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BE083D" w:rsidP="00AF2026">
            <w:pPr>
              <w:rPr>
                <w:rFonts w:ascii="Calibri" w:hAnsi="Calibri"/>
                <w:bCs/>
                <w:color w:val="auto"/>
              </w:rPr>
            </w:pP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 xml:space="preserve">trica (DEE) / </w:t>
            </w:r>
            <w:r w:rsidR="00AF2026" w:rsidRPr="00AF2026">
              <w:rPr>
                <w:rFonts w:ascii="Calibri" w:hAnsi="Calibri"/>
                <w:bCs/>
                <w:color w:val="auto"/>
              </w:rPr>
              <w:t>Superintend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ê</w:t>
            </w:r>
            <w:r w:rsidR="00AF2026" w:rsidRPr="00AF2026">
              <w:rPr>
                <w:rFonts w:ascii="Calibri" w:hAnsi="Calibri"/>
                <w:bCs/>
                <w:color w:val="auto"/>
              </w:rPr>
              <w:t>ncia de Planejamento da Gera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çã</w:t>
            </w:r>
            <w:r w:rsidR="00AF2026" w:rsidRPr="00AF2026">
              <w:rPr>
                <w:rFonts w:ascii="Calibri" w:hAnsi="Calibri"/>
                <w:bCs/>
                <w:color w:val="auto"/>
              </w:rPr>
              <w:t xml:space="preserve">o </w:t>
            </w:r>
            <w:r w:rsidRPr="00BE083D">
              <w:rPr>
                <w:rFonts w:ascii="Calibri" w:hAnsi="Calibri"/>
                <w:bCs/>
                <w:color w:val="auto"/>
              </w:rPr>
              <w:t>(SG</w:t>
            </w:r>
            <w:r w:rsidR="00AF2026">
              <w:rPr>
                <w:rFonts w:ascii="Calibri" w:hAnsi="Calibri"/>
                <w:bCs/>
                <w:color w:val="auto"/>
              </w:rPr>
              <w:t>E</w:t>
            </w:r>
            <w:r w:rsidRPr="00BE083D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superior completa </w:t>
            </w:r>
            <w:r w:rsidR="00F94C90" w:rsidRPr="00F94C90">
              <w:rPr>
                <w:rFonts w:ascii="Calibri" w:hAnsi="Calibri"/>
                <w:bCs/>
                <w:color w:val="auto"/>
              </w:rPr>
              <w:t xml:space="preserve">em </w:t>
            </w:r>
            <w:r w:rsidR="00AF2026" w:rsidRPr="00AF2026">
              <w:rPr>
                <w:rFonts w:ascii="Calibri" w:hAnsi="Calibri"/>
                <w:bCs/>
                <w:color w:val="auto"/>
              </w:rPr>
              <w:t>Engenharia, Estat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í</w:t>
            </w:r>
            <w:r w:rsidR="00AF2026" w:rsidRPr="00AF2026">
              <w:rPr>
                <w:rFonts w:ascii="Calibri" w:hAnsi="Calibri"/>
                <w:bCs/>
                <w:color w:val="auto"/>
              </w:rPr>
              <w:t>stica, Ci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ê</w:t>
            </w:r>
            <w:r w:rsidR="00AF2026" w:rsidRPr="00AF2026">
              <w:rPr>
                <w:rFonts w:ascii="Calibri" w:hAnsi="Calibri"/>
                <w:bCs/>
                <w:color w:val="auto"/>
              </w:rPr>
              <w:t>ncias da Computa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çã</w:t>
            </w:r>
            <w:r w:rsidR="00AF2026" w:rsidRPr="00AF2026">
              <w:rPr>
                <w:rFonts w:ascii="Calibri" w:hAnsi="Calibri"/>
                <w:bCs/>
                <w:color w:val="auto"/>
              </w:rPr>
              <w:t xml:space="preserve">o, </w:t>
            </w:r>
            <w:proofErr w:type="gramStart"/>
            <w:r w:rsidR="00AF2026" w:rsidRPr="00AF2026">
              <w:rPr>
                <w:rFonts w:ascii="Calibri" w:hAnsi="Calibri"/>
                <w:bCs/>
                <w:color w:val="auto"/>
              </w:rPr>
              <w:t>F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í</w:t>
            </w:r>
            <w:r w:rsidR="00AF2026" w:rsidRPr="00AF2026">
              <w:rPr>
                <w:rFonts w:ascii="Calibri" w:hAnsi="Calibri"/>
                <w:bCs/>
                <w:color w:val="auto"/>
              </w:rPr>
              <w:t>sica</w:t>
            </w:r>
            <w:proofErr w:type="gramEnd"/>
            <w:r w:rsidR="00AF2026" w:rsidRPr="00AF2026">
              <w:rPr>
                <w:rFonts w:ascii="Calibri" w:hAnsi="Calibri"/>
                <w:bCs/>
                <w:color w:val="auto"/>
              </w:rPr>
              <w:t xml:space="preserve"> ou Matem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á</w:t>
            </w:r>
            <w:r w:rsidR="00AF2026" w:rsidRPr="00AF2026">
              <w:rPr>
                <w:rFonts w:ascii="Calibri" w:hAnsi="Calibri"/>
                <w:bCs/>
                <w:color w:val="auto"/>
              </w:rPr>
              <w:t>tica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EB5EF3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6A3A0B" w:rsidRPr="00B8283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EB5EF3" w:rsidRDefault="007029F6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7029F6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7029F6">
              <w:rPr>
                <w:rFonts w:ascii="Calibri" w:hAnsi="Calibri"/>
                <w:bCs/>
                <w:color w:val="auto"/>
              </w:rPr>
              <w:t xml:space="preserve"> n</w:t>
            </w:r>
            <w:r w:rsidRPr="007029F6">
              <w:rPr>
                <w:rFonts w:ascii="Calibri" w:hAnsi="Calibri" w:hint="cs"/>
                <w:bCs/>
                <w:color w:val="auto"/>
              </w:rPr>
              <w:t>º</w:t>
            </w:r>
            <w:r w:rsidRPr="007029F6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7029F6">
              <w:rPr>
                <w:rFonts w:ascii="Calibri" w:hAnsi="Calibri" w:hint="cs"/>
                <w:bCs/>
                <w:color w:val="auto"/>
              </w:rPr>
              <w:t>–</w:t>
            </w:r>
            <w:r w:rsidRPr="007029F6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7029F6">
              <w:rPr>
                <w:rFonts w:ascii="Calibri" w:hAnsi="Calibri" w:hint="cs"/>
                <w:bCs/>
                <w:color w:val="auto"/>
              </w:rPr>
              <w:t>çã</w:t>
            </w:r>
            <w:r w:rsidRPr="007029F6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AF2026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BE083D">
              <w:rPr>
                <w:rFonts w:ascii="Calibri" w:hAnsi="Calibri"/>
                <w:b/>
                <w:bCs/>
                <w:color w:val="auto"/>
              </w:rPr>
              <w:t>G</w:t>
            </w:r>
            <w:r w:rsidR="001A1B83">
              <w:rPr>
                <w:rFonts w:ascii="Calibri" w:hAnsi="Calibri"/>
                <w:b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AF2026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AF2026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Cs/>
                <w:color w:val="auto"/>
              </w:rPr>
              <w:t>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BE083D">
              <w:rPr>
                <w:rFonts w:ascii="Calibri" w:hAnsi="Calibri"/>
                <w:bCs/>
                <w:color w:val="auto"/>
              </w:rPr>
              <w:t>G</w:t>
            </w:r>
            <w:r w:rsidR="00AF2026">
              <w:rPr>
                <w:rFonts w:ascii="Calibri" w:hAnsi="Calibri"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BE083D">
              <w:rPr>
                <w:rFonts w:ascii="Calibri" w:hAnsi="Calibri"/>
                <w:bCs/>
                <w:color w:val="auto"/>
              </w:rPr>
              <w:t>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BE083D" w:rsidP="005D5F93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>
              <w:rPr>
                <w:rFonts w:ascii="Calibri" w:hAnsi="Calibri"/>
                <w:bCs/>
                <w:color w:val="auto"/>
              </w:rPr>
              <w:t>G</w:t>
            </w:r>
            <w:r w:rsidR="005D5F93">
              <w:rPr>
                <w:rFonts w:ascii="Calibri" w:hAnsi="Calibri"/>
                <w:bCs/>
                <w:color w:val="auto"/>
              </w:rPr>
              <w:t>E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>
              <w:rPr>
                <w:rFonts w:ascii="Calibri" w:hAnsi="Calibri"/>
                <w:bCs/>
                <w:color w:val="auto"/>
              </w:rPr>
              <w:t>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 xml:space="preserve">trica (DEE) / </w:t>
            </w:r>
            <w:r w:rsidR="00AF2026" w:rsidRPr="00AF2026">
              <w:rPr>
                <w:rFonts w:ascii="Calibri" w:hAnsi="Calibri"/>
                <w:bCs/>
                <w:color w:val="auto"/>
              </w:rPr>
              <w:t>Superintend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ê</w:t>
            </w:r>
            <w:r w:rsidR="00AF2026" w:rsidRPr="00AF2026">
              <w:rPr>
                <w:rFonts w:ascii="Calibri" w:hAnsi="Calibri"/>
                <w:bCs/>
                <w:color w:val="auto"/>
              </w:rPr>
              <w:t>ncia de Planejamento da Gera</w:t>
            </w:r>
            <w:r w:rsidR="00AF2026" w:rsidRPr="00AF2026">
              <w:rPr>
                <w:rFonts w:ascii="Calibri" w:hAnsi="Calibri" w:hint="cs"/>
                <w:bCs/>
                <w:color w:val="auto"/>
              </w:rPr>
              <w:t>çã</w:t>
            </w:r>
            <w:r w:rsidR="00AF2026" w:rsidRPr="00AF2026">
              <w:rPr>
                <w:rFonts w:ascii="Calibri" w:hAnsi="Calibri"/>
                <w:bCs/>
                <w:color w:val="auto"/>
              </w:rPr>
              <w:t xml:space="preserve">o </w:t>
            </w:r>
            <w:r w:rsidR="00AF2026" w:rsidRPr="00BE083D">
              <w:rPr>
                <w:rFonts w:ascii="Calibri" w:hAnsi="Calibri"/>
                <w:bCs/>
                <w:color w:val="auto"/>
              </w:rPr>
              <w:t>(SG</w:t>
            </w:r>
            <w:r w:rsidR="00AF2026">
              <w:rPr>
                <w:rFonts w:ascii="Calibri" w:hAnsi="Calibri"/>
                <w:bCs/>
                <w:color w:val="auto"/>
              </w:rPr>
              <w:t>E</w:t>
            </w:r>
            <w:r w:rsidRPr="00BE083D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A4267B" w:rsidRDefault="00F94C90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A4267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</w:t>
            </w:r>
            <w:r w:rsidR="003E5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3E5359"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Diretoria de Estudos de Energia El</w:t>
            </w:r>
            <w:r w:rsidR="003E5359" w:rsidRPr="00BB2880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é</w:t>
            </w:r>
            <w:r w:rsidR="003E5359"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trica (DEE) da EPE, por meio da Movimentação, </w:t>
            </w:r>
            <w:r w:rsidR="003E5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de </w:t>
            </w:r>
            <w:r w:rsidR="003E5359"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profissional </w:t>
            </w:r>
            <w:r w:rsidR="003E5359" w:rsidRPr="003E5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voltado para Modelagem Computacional</w:t>
            </w:r>
            <w:r w:rsidR="003E535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conforme requisitos a seguir</w:t>
            </w:r>
            <w:r w:rsidR="003E5359"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.  </w:t>
            </w:r>
            <w:r w:rsidRPr="00A4267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A4267B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A4267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AF2026" w:rsidRPr="00A4267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Engenharia, Estat</w:t>
            </w:r>
            <w:r w:rsidR="00AF2026" w:rsidRPr="00A4267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AF2026" w:rsidRPr="00A4267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stica, Ci</w:t>
            </w:r>
            <w:r w:rsidR="00AF2026" w:rsidRPr="00A4267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AF2026" w:rsidRPr="00A4267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da Computa</w:t>
            </w:r>
            <w:r w:rsidR="00AF2026" w:rsidRPr="00A4267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AF2026" w:rsidRPr="00A4267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o, </w:t>
            </w:r>
            <w:proofErr w:type="gramStart"/>
            <w:r w:rsidR="00AF2026" w:rsidRPr="00A4267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F</w:t>
            </w:r>
            <w:r w:rsidR="00AF2026" w:rsidRPr="00A4267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AF2026" w:rsidRPr="00A4267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sica</w:t>
            </w:r>
            <w:proofErr w:type="gramEnd"/>
            <w:r w:rsidR="00AF2026" w:rsidRPr="00A4267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 ou Matem</w:t>
            </w:r>
            <w:r w:rsidR="00AF2026" w:rsidRPr="00A4267B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AF2026" w:rsidRPr="00A4267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</w:t>
            </w:r>
            <w:r w:rsidRPr="00A4267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A4267B" w:rsidRDefault="009E4091" w:rsidP="00BE083D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A4267B">
              <w:rPr>
                <w:rFonts w:ascii="Calibri" w:hAnsi="Calibri"/>
                <w:color w:val="auto"/>
              </w:rPr>
              <w:t>Número de vagas:</w:t>
            </w:r>
            <w:r w:rsidR="002C47CC" w:rsidRPr="00A4267B">
              <w:rPr>
                <w:rFonts w:ascii="Calibri" w:hAnsi="Calibri"/>
                <w:color w:val="auto"/>
              </w:rPr>
              <w:t xml:space="preserve"> 0</w:t>
            </w:r>
            <w:r w:rsidR="00BE083D" w:rsidRPr="00A4267B">
              <w:rPr>
                <w:rFonts w:ascii="Calibri" w:hAnsi="Calibri"/>
                <w:color w:val="auto"/>
              </w:rPr>
              <w:t>2</w:t>
            </w:r>
            <w:r w:rsidR="0061483D" w:rsidRPr="00A4267B">
              <w:rPr>
                <w:rFonts w:ascii="Calibri" w:hAnsi="Calibri"/>
                <w:color w:val="auto"/>
              </w:rPr>
              <w:t xml:space="preserve"> (</w:t>
            </w:r>
            <w:r w:rsidR="00BE083D" w:rsidRPr="00A4267B">
              <w:rPr>
                <w:rFonts w:ascii="Calibri" w:hAnsi="Calibri"/>
                <w:color w:val="auto"/>
              </w:rPr>
              <w:t>duas</w:t>
            </w:r>
            <w:r w:rsidR="00A372BD" w:rsidRPr="00A4267B">
              <w:rPr>
                <w:rFonts w:ascii="Calibri" w:hAnsi="Calibri"/>
                <w:color w:val="auto"/>
              </w:rPr>
              <w:t>)</w:t>
            </w:r>
            <w:r w:rsidRPr="00A4267B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AF2026" w:rsidRPr="00AF2026" w:rsidRDefault="00AF2026" w:rsidP="00AF202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simula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com modelos computacionais utilizados no planejamento do sistema brasileiro e analisar seus principais resultados;</w:t>
            </w:r>
          </w:p>
          <w:p w:rsidR="00AF2026" w:rsidRPr="00AF2026" w:rsidRDefault="00AF2026" w:rsidP="00AF202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Validar aprimoramentos nos modelos oficiais do setor e participar de grupos de trabalho espec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ficos, vinculados a Comiss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Permanente para An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de Metodologias e programas Computacionais do Setor El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trico 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–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CPAMP e For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as-Tarefa de Valida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Modelos Computacionais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–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FTs;</w:t>
            </w:r>
          </w:p>
          <w:p w:rsidR="00AF2026" w:rsidRPr="00AF2026" w:rsidRDefault="00AF2026" w:rsidP="00AF202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na constru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cen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AF2026" w:rsidRPr="00AF2026" w:rsidRDefault="00AF2026" w:rsidP="00AF202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pesquisas para incorporar novos avan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 tecnologias nos modelos computacionais utilizados no planejamento do sistema brasileiro;</w:t>
            </w:r>
          </w:p>
          <w:p w:rsidR="00AF2026" w:rsidRPr="00AF2026" w:rsidRDefault="00AF2026" w:rsidP="00AF202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Aprimorar modelos de otimiza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matem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tica para tomada de decis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em investimentos de gera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energia;</w:t>
            </w:r>
          </w:p>
          <w:p w:rsidR="00AF2026" w:rsidRPr="00AF2026" w:rsidRDefault="00AF2026" w:rsidP="00AF202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ferramentas que aprimorem a experi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dos usu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com estes modelos;</w:t>
            </w:r>
          </w:p>
          <w:p w:rsidR="00AF2026" w:rsidRPr="00AF2026" w:rsidRDefault="00AF2026" w:rsidP="00AF202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Aplicar treinamentos referentes ao uso das ferramentas e modelos desenvolvidos/aprimorados;</w:t>
            </w:r>
          </w:p>
          <w:p w:rsidR="00257404" w:rsidRPr="00A372BD" w:rsidRDefault="00AF2026" w:rsidP="00AF2026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Suportar a 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rea quanto 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aplica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melhorias na gest</w:t>
            </w:r>
            <w:r w:rsidRPr="00AF2026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AF2026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uso dos modelos.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BE083D" w:rsidP="00AF2026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Graduação em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AF2026"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Engenharia, Estat</w:t>
            </w:r>
            <w:r w:rsidR="00AF2026"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AF2026"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stica, Ci</w:t>
            </w:r>
            <w:r w:rsidR="00AF2026"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="00AF2026"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ncias da Computa</w:t>
            </w:r>
            <w:r w:rsidR="00AF2026"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="00AF2026"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o, </w:t>
            </w:r>
            <w:proofErr w:type="gramStart"/>
            <w:r w:rsidR="00AF2026"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F</w:t>
            </w:r>
            <w:r w:rsidR="00AF2026"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AF2026"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sica</w:t>
            </w:r>
            <w:proofErr w:type="gramEnd"/>
            <w:r w:rsidR="00AF2026"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ou Matem</w:t>
            </w:r>
            <w:r w:rsidR="00AF2026"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</w:t>
            </w:r>
            <w:r w:rsidR="0089077E"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AF2026" w:rsidRPr="00AF2026" w:rsidRDefault="00AF2026" w:rsidP="00AF2026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com desenvolvimento de modelos de otimiza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matem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tica;</w:t>
            </w:r>
          </w:p>
          <w:p w:rsidR="00AF2026" w:rsidRPr="00AF2026" w:rsidRDefault="00AF2026" w:rsidP="00AF2026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vel: experi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 os modelos de simula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utilizados no setor de energia el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trica 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–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Newave, Suishi, Decomp entre outros;</w:t>
            </w:r>
          </w:p>
          <w:p w:rsidR="00AF2026" w:rsidRPr="00AF2026" w:rsidRDefault="00AF2026" w:rsidP="00AF2026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de m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todos quantitativos aplic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 a problemas de pesquisa operacional, incluindo estima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s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ries temporais, econometria, sele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vari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veis, modelos vetoriais auto-regressivos, identifica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n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o-estacionariedade (quebras e tend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ncias) e t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cnicas de otimiza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matem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tica;</w:t>
            </w:r>
          </w:p>
          <w:p w:rsidR="00AF2026" w:rsidRPr="00AF2026" w:rsidRDefault="00AF2026" w:rsidP="00AF2026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AF2026" w:rsidRPr="00AF2026" w:rsidRDefault="00AF2026" w:rsidP="00A4267B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lastRenderedPageBreak/>
              <w:t>Modelagens matem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ticas de problemas de otimiza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t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cnicas de pesquisa operacional;</w:t>
            </w:r>
          </w:p>
          <w:p w:rsidR="005F28DD" w:rsidRPr="00BE083D" w:rsidRDefault="00AF2026" w:rsidP="00A4267B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Linguagens de programa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espec</w:t>
            </w:r>
            <w:r w:rsidRPr="00AF2026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AF2026">
              <w:rPr>
                <w:rFonts w:ascii="Calibri" w:hAnsi="Calibri"/>
                <w:color w:val="auto"/>
                <w:szCs w:val="24"/>
                <w:shd w:val="clear" w:color="auto" w:fill="FFFFFF"/>
              </w:rPr>
              <w:t>ficas para pesquisa operacional (ex.: Python, R, Matlab e Julia)</w:t>
            </w:r>
            <w:r w:rsidR="00F94C90"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lastRenderedPageBreak/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BE083D">
              <w:rPr>
                <w:rFonts w:ascii="Calibri" w:hAnsi="Calibri"/>
                <w:b/>
                <w:bCs/>
                <w:color w:val="auto"/>
              </w:rPr>
              <w:t>G</w:t>
            </w:r>
            <w:r w:rsidR="00AF2026">
              <w:rPr>
                <w:rFonts w:ascii="Calibri" w:hAnsi="Calibri"/>
                <w:b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BE083D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EB5EF3" w:rsidRPr="007029F6" w:rsidRDefault="00EB5EF3" w:rsidP="00EB5EF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7029F6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7029F6" w:rsidRPr="007029F6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7029F6" w:rsidRPr="007029F6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7029F6" w:rsidRPr="007029F6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7029F6" w:rsidRPr="007029F6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7029F6" w:rsidRPr="007029F6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7029F6" w:rsidRPr="007029F6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7029F6" w:rsidRPr="007029F6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EB5EF3" w:rsidRPr="00A74AF3" w:rsidRDefault="00EB5EF3" w:rsidP="00EB5EF3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F56" w:rsidRDefault="003B2F56" w:rsidP="00C81B76">
      <w:r>
        <w:separator/>
      </w:r>
    </w:p>
  </w:endnote>
  <w:endnote w:type="continuationSeparator" w:id="0">
    <w:p w:rsidR="003B2F56" w:rsidRDefault="003B2F56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F56" w:rsidRDefault="003B2F56" w:rsidP="00C81B76">
      <w:r>
        <w:separator/>
      </w:r>
    </w:p>
  </w:footnote>
  <w:footnote w:type="continuationSeparator" w:id="0">
    <w:p w:rsidR="003B2F56" w:rsidRDefault="003B2F56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C77062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</w:t>
    </w:r>
    <w:r w:rsidR="00BE083D">
      <w:rPr>
        <w:rFonts w:eastAsia="Times New Roman"/>
        <w:b/>
        <w:caps/>
        <w:kern w:val="28"/>
        <w:sz w:val="28"/>
        <w:szCs w:val="56"/>
      </w:rPr>
      <w:t>E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BE083D">
      <w:rPr>
        <w:rFonts w:eastAsia="Times New Roman"/>
        <w:b/>
        <w:caps/>
        <w:kern w:val="28"/>
        <w:sz w:val="28"/>
        <w:szCs w:val="56"/>
      </w:rPr>
      <w:t>G</w:t>
    </w:r>
    <w:r w:rsidR="00AF2026">
      <w:rPr>
        <w:rFonts w:eastAsia="Times New Roman"/>
        <w:b/>
        <w:caps/>
        <w:kern w:val="28"/>
        <w:sz w:val="28"/>
        <w:szCs w:val="56"/>
      </w:rPr>
      <w:t>e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BE083D">
      <w:rPr>
        <w:rFonts w:eastAsia="Times New Roman"/>
        <w:b/>
        <w:caps/>
        <w:kern w:val="28"/>
        <w:sz w:val="28"/>
        <w:szCs w:val="56"/>
      </w:rPr>
      <w:t>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A6979"/>
    <w:rsid w:val="003B16F9"/>
    <w:rsid w:val="003B1DD7"/>
    <w:rsid w:val="003B2F56"/>
    <w:rsid w:val="003B7EC7"/>
    <w:rsid w:val="003C31D0"/>
    <w:rsid w:val="003C61E2"/>
    <w:rsid w:val="003D68E3"/>
    <w:rsid w:val="003E1862"/>
    <w:rsid w:val="003E5359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43CF8"/>
    <w:rsid w:val="00557D87"/>
    <w:rsid w:val="0057668C"/>
    <w:rsid w:val="005A06E2"/>
    <w:rsid w:val="005B2A90"/>
    <w:rsid w:val="005C2B6D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029F6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B3DE1"/>
    <w:rsid w:val="007D01F4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4267B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202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E083D"/>
    <w:rsid w:val="00BF106A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77062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C5770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5EF3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92B6E8B2-329F-419C-A115-0C39AC4DB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EB5EF3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1F0C7-F37E-4B62-B233-98EA34E1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5092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2020-01-08T20:52:00Z</dcterms:created>
  <dcterms:modified xsi:type="dcterms:W3CDTF">2020-01-29T19:10:00Z</dcterms:modified>
</cp:coreProperties>
</file>