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D09B8" w14:textId="48B5C15A" w:rsidR="008F71F1" w:rsidRPr="008F71F1" w:rsidRDefault="008F71F1" w:rsidP="008F71F1">
      <w:pPr>
        <w:jc w:val="center"/>
        <w:rPr>
          <w:sz w:val="24"/>
          <w:szCs w:val="24"/>
        </w:rPr>
      </w:pPr>
      <w:r w:rsidRPr="008F71F1">
        <w:rPr>
          <w:sz w:val="24"/>
          <w:szCs w:val="24"/>
        </w:rPr>
        <w:t>MODELO</w:t>
      </w:r>
    </w:p>
    <w:p w14:paraId="5CAAA4B8" w14:textId="7FC7776D" w:rsidR="008F71F1" w:rsidRPr="008F71F1" w:rsidRDefault="008F71F1" w:rsidP="008F71F1">
      <w:pPr>
        <w:jc w:val="center"/>
        <w:rPr>
          <w:sz w:val="24"/>
          <w:szCs w:val="24"/>
        </w:rPr>
      </w:pPr>
      <w:r w:rsidRPr="008F71F1">
        <w:rPr>
          <w:sz w:val="24"/>
          <w:szCs w:val="24"/>
        </w:rPr>
        <w:t>FORMULÁRIO PROPOSTA DE CONSENSUALIDADE</w:t>
      </w:r>
    </w:p>
    <w:p w14:paraId="712CDD98" w14:textId="46D76B55" w:rsidR="00296FFE" w:rsidRDefault="00296FFE">
      <w:pPr>
        <w:rPr>
          <w:sz w:val="24"/>
          <w:szCs w:val="24"/>
        </w:rPr>
      </w:pPr>
    </w:p>
    <w:p w14:paraId="55B8DE38" w14:textId="4A0F2E79" w:rsidR="008F71F1" w:rsidRPr="008F71F1" w:rsidRDefault="008F71F1">
      <w:pPr>
        <w:rPr>
          <w:b/>
          <w:bCs/>
          <w:sz w:val="24"/>
          <w:szCs w:val="24"/>
        </w:rPr>
      </w:pPr>
      <w:r w:rsidRPr="008F71F1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4557F9" wp14:editId="4375CCD8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724525" cy="381000"/>
                <wp:effectExtent l="0" t="0" r="28575" b="19050"/>
                <wp:wrapNone/>
                <wp:docPr id="1302620543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95B9F6" w14:textId="2F7755DC" w:rsidR="008F71F1" w:rsidRDefault="008F71F1" w:rsidP="008F71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4557F9" id="Retângulo 2" o:spid="_x0000_s1026" style="position:absolute;margin-left:0;margin-top:21.2pt;width:450.75pt;height:30pt;z-index:25165721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" fillcolor="white [3201]" strokecolor="#70ad47 [3209]" strokeweight="1pt">
                <v:textbox>
                  <w:txbxContent>
                    <w:p w14:paraId="6495B9F6" w14:textId="2F7755DC" w:rsidR="008F71F1" w:rsidRDefault="008F71F1" w:rsidP="008F71F1"/>
                  </w:txbxContent>
                </v:textbox>
                <w10:wrap anchorx="margin"/>
              </v:rect>
            </w:pict>
          </mc:Fallback>
        </mc:AlternateContent>
      </w:r>
      <w:r w:rsidRPr="008F71F1">
        <w:rPr>
          <w:b/>
          <w:bCs/>
          <w:sz w:val="24"/>
          <w:szCs w:val="24"/>
        </w:rPr>
        <w:t>NOME / RAZÃO SOCIAL DO INTERESSADO</w:t>
      </w:r>
    </w:p>
    <w:p w14:paraId="21DC1F28" w14:textId="1BBFE178" w:rsidR="008F71F1" w:rsidRDefault="008F71F1">
      <w:pPr>
        <w:rPr>
          <w:sz w:val="24"/>
          <w:szCs w:val="24"/>
        </w:rPr>
      </w:pPr>
    </w:p>
    <w:p w14:paraId="3A5AC3DB" w14:textId="4376B6E4" w:rsidR="008F71F1" w:rsidRDefault="008F71F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B98222" wp14:editId="3E902E3F">
                <wp:simplePos x="0" y="0"/>
                <wp:positionH relativeFrom="margin">
                  <wp:align>right</wp:align>
                </wp:positionH>
                <wp:positionV relativeFrom="paragraph">
                  <wp:posOffset>226060</wp:posOffset>
                </wp:positionV>
                <wp:extent cx="5334000" cy="381000"/>
                <wp:effectExtent l="0" t="0" r="19050" b="19050"/>
                <wp:wrapNone/>
                <wp:docPr id="891687694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A811C4" w14:textId="77777777" w:rsidR="008F71F1" w:rsidRDefault="008F71F1" w:rsidP="008F71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B98222" id="_x0000_s1027" style="position:absolute;margin-left:368.8pt;margin-top:17.8pt;width:420pt;height:30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" fillcolor="white [3201]" strokecolor="#70ad47 [3209]" strokeweight="1pt">
                <v:textbox>
                  <w:txbxContent>
                    <w:p w14:paraId="7BA811C4" w14:textId="77777777" w:rsidR="008F71F1" w:rsidRDefault="008F71F1" w:rsidP="008F71F1"/>
                  </w:txbxContent>
                </v:textbox>
                <w10:wrap anchorx="margin"/>
              </v:rect>
            </w:pict>
          </mc:Fallback>
        </mc:AlternateContent>
      </w:r>
    </w:p>
    <w:p w14:paraId="07C99E2F" w14:textId="4FC10146" w:rsidR="008F71F1" w:rsidRPr="008F71F1" w:rsidRDefault="008F71F1">
      <w:pPr>
        <w:rPr>
          <w:b/>
          <w:bCs/>
          <w:sz w:val="24"/>
          <w:szCs w:val="24"/>
        </w:rPr>
      </w:pPr>
      <w:r w:rsidRPr="008F71F1">
        <w:rPr>
          <w:b/>
          <w:bCs/>
          <w:sz w:val="24"/>
          <w:szCs w:val="24"/>
        </w:rPr>
        <w:t>CNPJ</w:t>
      </w:r>
    </w:p>
    <w:p w14:paraId="09336972" w14:textId="68B8131F" w:rsidR="00BF42D2" w:rsidRPr="00BF42D2" w:rsidRDefault="00BF42D2" w:rsidP="00BF42D2">
      <w:pPr>
        <w:spacing w:before="360"/>
        <w:rPr>
          <w:b/>
          <w:bCs/>
          <w:sz w:val="24"/>
          <w:szCs w:val="24"/>
        </w:rPr>
      </w:pPr>
      <w:bookmarkStart w:id="0" w:name="_Hlk181350542"/>
      <w:r w:rsidRPr="008F71F1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497B41" wp14:editId="13D04550">
                <wp:simplePos x="0" y="0"/>
                <wp:positionH relativeFrom="margin">
                  <wp:align>right</wp:align>
                </wp:positionH>
                <wp:positionV relativeFrom="paragraph">
                  <wp:posOffset>338455</wp:posOffset>
                </wp:positionV>
                <wp:extent cx="5724525" cy="828675"/>
                <wp:effectExtent l="0" t="0" r="28575" b="28575"/>
                <wp:wrapNone/>
                <wp:docPr id="381782878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A18106" w14:textId="77777777" w:rsidR="00BF42D2" w:rsidRDefault="00BF42D2" w:rsidP="00BF42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497B41" id="_x0000_s1028" style="position:absolute;margin-left:399.55pt;margin-top:26.65pt;width:450.75pt;height:65.2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" fillcolor="white [3201]" strokecolor="#70ad47 [3209]" strokeweight="1pt">
                <v:textbox>
                  <w:txbxContent>
                    <w:p w14:paraId="06A18106" w14:textId="77777777" w:rsidR="00BF42D2" w:rsidRDefault="00BF42D2" w:rsidP="00BF42D2"/>
                  </w:txbxContent>
                </v:textbox>
                <w10:wrap anchorx="margin"/>
              </v:rect>
            </w:pict>
          </mc:Fallback>
        </mc:AlternateContent>
      </w:r>
      <w:r w:rsidRPr="00BF42D2">
        <w:rPr>
          <w:b/>
          <w:bCs/>
          <w:sz w:val="24"/>
          <w:szCs w:val="24"/>
        </w:rPr>
        <w:t>NÚMERO</w:t>
      </w:r>
      <w:r>
        <w:rPr>
          <w:b/>
          <w:bCs/>
          <w:sz w:val="24"/>
          <w:szCs w:val="24"/>
        </w:rPr>
        <w:t xml:space="preserve">(S) </w:t>
      </w:r>
      <w:r w:rsidRPr="00BF42D2">
        <w:rPr>
          <w:b/>
          <w:bCs/>
          <w:sz w:val="24"/>
          <w:szCs w:val="24"/>
        </w:rPr>
        <w:t>PROCESSO</w:t>
      </w:r>
      <w:r>
        <w:rPr>
          <w:b/>
          <w:bCs/>
          <w:sz w:val="24"/>
          <w:szCs w:val="24"/>
        </w:rPr>
        <w:t>(S)</w:t>
      </w:r>
      <w:r w:rsidRPr="00BF42D2">
        <w:rPr>
          <w:b/>
          <w:bCs/>
          <w:sz w:val="24"/>
          <w:szCs w:val="24"/>
        </w:rPr>
        <w:t xml:space="preserve"> ADMINISTRATIVO</w:t>
      </w:r>
      <w:r w:rsidRPr="00BF42D2">
        <w:rPr>
          <w:b/>
          <w:bCs/>
          <w:sz w:val="24"/>
          <w:szCs w:val="24"/>
        </w:rPr>
        <w:t xml:space="preserve"> OU JUDICIAL </w:t>
      </w:r>
      <w:r w:rsidRPr="00BF42D2">
        <w:rPr>
          <w:b/>
          <w:bCs/>
          <w:sz w:val="24"/>
          <w:szCs w:val="24"/>
        </w:rPr>
        <w:t>(SE HOUVER</w:t>
      </w:r>
      <w:bookmarkEnd w:id="0"/>
      <w:r w:rsidRPr="00BF42D2">
        <w:rPr>
          <w:b/>
          <w:bCs/>
          <w:sz w:val="24"/>
          <w:szCs w:val="24"/>
        </w:rPr>
        <w:t>)</w:t>
      </w:r>
    </w:p>
    <w:p w14:paraId="34D44FD8" w14:textId="714939F8" w:rsidR="00BF42D2" w:rsidRDefault="00BF42D2">
      <w:pPr>
        <w:rPr>
          <w:sz w:val="24"/>
          <w:szCs w:val="24"/>
        </w:rPr>
      </w:pPr>
    </w:p>
    <w:p w14:paraId="567FB98C" w14:textId="77777777" w:rsidR="00BF42D2" w:rsidRDefault="00BF42D2">
      <w:pPr>
        <w:rPr>
          <w:sz w:val="24"/>
          <w:szCs w:val="24"/>
        </w:rPr>
      </w:pPr>
    </w:p>
    <w:p w14:paraId="3C9DFD78" w14:textId="77777777" w:rsidR="00BF42D2" w:rsidRDefault="00BF42D2">
      <w:pPr>
        <w:rPr>
          <w:sz w:val="24"/>
          <w:szCs w:val="24"/>
        </w:rPr>
      </w:pPr>
    </w:p>
    <w:p w14:paraId="0396A7C4" w14:textId="77777777" w:rsidR="008F71F1" w:rsidRPr="00BF42D2" w:rsidRDefault="008F71F1" w:rsidP="008F71F1">
      <w:pPr>
        <w:spacing w:after="120"/>
        <w:jc w:val="both"/>
        <w:rPr>
          <w:rFonts w:cs="Calibri"/>
          <w:b/>
          <w:bCs/>
          <w:sz w:val="24"/>
          <w:szCs w:val="24"/>
        </w:rPr>
      </w:pPr>
      <w:r w:rsidRPr="00BF42D2">
        <w:rPr>
          <w:rFonts w:cs="Calibri"/>
          <w:b/>
          <w:bCs/>
          <w:sz w:val="24"/>
          <w:szCs w:val="24"/>
        </w:rPr>
        <w:t>I - DESCRIÇÃO DO CONFLITO</w:t>
      </w:r>
    </w:p>
    <w:p w14:paraId="1A6F1B7F" w14:textId="3B523C76" w:rsidR="00BF42D2" w:rsidRPr="00BF42D2" w:rsidRDefault="00BF42D2" w:rsidP="00BF42D2">
      <w:pPr>
        <w:spacing w:after="120"/>
        <w:jc w:val="both"/>
        <w:rPr>
          <w:rFonts w:cs="Calibri"/>
          <w:color w:val="A6A6A6" w:themeColor="background1" w:themeShade="A6"/>
        </w:rPr>
      </w:pPr>
      <w:r w:rsidRPr="00BF42D2">
        <w:rPr>
          <w:rFonts w:cs="Calibri"/>
          <w:color w:val="A6A6A6" w:themeColor="background1" w:themeShade="A6"/>
          <w:sz w:val="24"/>
          <w:szCs w:val="24"/>
        </w:rPr>
        <w:t>Orientações</w:t>
      </w:r>
      <w:r w:rsidRPr="00BF42D2">
        <w:rPr>
          <w:rFonts w:cs="Calibri"/>
          <w:color w:val="A6A6A6" w:themeColor="background1" w:themeShade="A6"/>
        </w:rPr>
        <w:t xml:space="preserve">: </w:t>
      </w:r>
    </w:p>
    <w:p w14:paraId="337E9255" w14:textId="77777777" w:rsidR="00BF42D2" w:rsidRPr="00BF42D2" w:rsidRDefault="00BF42D2" w:rsidP="00BF42D2">
      <w:pPr>
        <w:pStyle w:val="PargrafodaLista"/>
        <w:numPr>
          <w:ilvl w:val="0"/>
          <w:numId w:val="1"/>
        </w:numPr>
        <w:suppressAutoHyphens w:val="0"/>
        <w:autoSpaceDN/>
        <w:spacing w:after="120" w:line="240" w:lineRule="auto"/>
        <w:ind w:left="284" w:hanging="284"/>
        <w:jc w:val="both"/>
        <w:textAlignment w:val="auto"/>
        <w:rPr>
          <w:rFonts w:cs="Calibri"/>
          <w:color w:val="A6A6A6" w:themeColor="background1" w:themeShade="A6"/>
        </w:rPr>
      </w:pPr>
      <w:r w:rsidRPr="00BF42D2">
        <w:rPr>
          <w:rFonts w:cs="Calibri"/>
          <w:color w:val="A6A6A6" w:themeColor="background1" w:themeShade="A6"/>
        </w:rPr>
        <w:t>Descreva de forma sumária e precisa a situação a ser tratada no procedimento de Consensualidade Fiscal - Receita de Consenso - no âmbito da Secretaria Especial da Receita Federal do Brasil – RFB</w:t>
      </w:r>
    </w:p>
    <w:p w14:paraId="19C08D64" w14:textId="77777777" w:rsidR="00BF42D2" w:rsidRPr="00BF42D2" w:rsidRDefault="00BF42D2" w:rsidP="00BF42D2">
      <w:pPr>
        <w:pStyle w:val="PargrafodaLista"/>
        <w:numPr>
          <w:ilvl w:val="0"/>
          <w:numId w:val="1"/>
        </w:numPr>
        <w:suppressAutoHyphens w:val="0"/>
        <w:autoSpaceDN/>
        <w:spacing w:after="120" w:line="240" w:lineRule="auto"/>
        <w:ind w:left="284" w:hanging="284"/>
        <w:jc w:val="both"/>
        <w:textAlignment w:val="auto"/>
        <w:rPr>
          <w:rFonts w:cs="Calibri"/>
          <w:color w:val="A6A6A6" w:themeColor="background1" w:themeShade="A6"/>
        </w:rPr>
      </w:pPr>
      <w:r w:rsidRPr="00BF42D2">
        <w:rPr>
          <w:rFonts w:cs="Calibri"/>
          <w:color w:val="A6A6A6" w:themeColor="background1" w:themeShade="A6"/>
        </w:rPr>
        <w:t>O Consenso busca evitar, por intermédio de técnicas de consensualidade, conflitos ou prováveis conflitos tributários.</w:t>
      </w:r>
    </w:p>
    <w:p w14:paraId="0AFCE5E3" w14:textId="77777777" w:rsidR="00BF42D2" w:rsidRPr="00BF42D2" w:rsidRDefault="00BF42D2" w:rsidP="00BF42D2">
      <w:pPr>
        <w:pStyle w:val="PargrafodaLista"/>
        <w:numPr>
          <w:ilvl w:val="0"/>
          <w:numId w:val="1"/>
        </w:numPr>
        <w:suppressAutoHyphens w:val="0"/>
        <w:autoSpaceDN/>
        <w:spacing w:after="120" w:line="240" w:lineRule="auto"/>
        <w:ind w:left="284" w:hanging="284"/>
        <w:jc w:val="both"/>
        <w:textAlignment w:val="auto"/>
        <w:rPr>
          <w:rFonts w:cs="Calibri"/>
          <w:color w:val="A6A6A6" w:themeColor="background1" w:themeShade="A6"/>
        </w:rPr>
      </w:pPr>
      <w:r w:rsidRPr="00BF42D2">
        <w:rPr>
          <w:rFonts w:cs="Calibri"/>
          <w:color w:val="A6A6A6" w:themeColor="background1" w:themeShade="A6"/>
        </w:rPr>
        <w:t xml:space="preserve">Seja preciso e objetivo na descrição dos fatos que resultam no conflito ou provável conflito, inclusive com indicação de números de declarações, processos, escrituração etc. </w:t>
      </w:r>
    </w:p>
    <w:p w14:paraId="5135B4DE" w14:textId="77777777" w:rsidR="008F71F1" w:rsidRDefault="008F71F1">
      <w:pPr>
        <w:rPr>
          <w:sz w:val="24"/>
          <w:szCs w:val="24"/>
        </w:rPr>
      </w:pPr>
    </w:p>
    <w:p w14:paraId="22F2DFCC" w14:textId="77777777" w:rsidR="00BF42D2" w:rsidRDefault="00BF42D2">
      <w:pPr>
        <w:rPr>
          <w:sz w:val="24"/>
          <w:szCs w:val="24"/>
        </w:rPr>
      </w:pPr>
    </w:p>
    <w:p w14:paraId="10652718" w14:textId="3FD229A3" w:rsidR="008F71F1" w:rsidRPr="00BF42D2" w:rsidRDefault="008F71F1">
      <w:pPr>
        <w:rPr>
          <w:b/>
          <w:bCs/>
          <w:sz w:val="24"/>
          <w:szCs w:val="24"/>
        </w:rPr>
      </w:pPr>
      <w:r w:rsidRPr="00BF42D2">
        <w:rPr>
          <w:b/>
          <w:bCs/>
          <w:sz w:val="24"/>
          <w:szCs w:val="24"/>
        </w:rPr>
        <w:t>II - FUNDAMENTAÇÃO</w:t>
      </w:r>
    </w:p>
    <w:p w14:paraId="119A6E8F" w14:textId="77777777" w:rsidR="00BF42D2" w:rsidRDefault="00BF42D2" w:rsidP="00BF42D2">
      <w:pPr>
        <w:spacing w:after="120"/>
        <w:jc w:val="both"/>
        <w:rPr>
          <w:rFonts w:cs="Calibri"/>
          <w:color w:val="A6A6A6" w:themeColor="background1" w:themeShade="A6"/>
        </w:rPr>
      </w:pPr>
      <w:r w:rsidRPr="00BF42D2">
        <w:rPr>
          <w:rFonts w:cs="Calibri"/>
          <w:color w:val="A6A6A6" w:themeColor="background1" w:themeShade="A6"/>
          <w:sz w:val="24"/>
          <w:szCs w:val="24"/>
        </w:rPr>
        <w:t>Orientações</w:t>
      </w:r>
      <w:r w:rsidRPr="00BF42D2">
        <w:rPr>
          <w:rFonts w:cs="Calibri"/>
          <w:color w:val="A6A6A6" w:themeColor="background1" w:themeShade="A6"/>
        </w:rPr>
        <w:t xml:space="preserve">: </w:t>
      </w:r>
    </w:p>
    <w:p w14:paraId="56ED97B2" w14:textId="77777777" w:rsidR="00BF42D2" w:rsidRPr="00BF42D2" w:rsidRDefault="00BF42D2" w:rsidP="00BF42D2">
      <w:pPr>
        <w:pStyle w:val="PargrafodaLista"/>
        <w:numPr>
          <w:ilvl w:val="0"/>
          <w:numId w:val="1"/>
        </w:numPr>
        <w:suppressAutoHyphens w:val="0"/>
        <w:autoSpaceDN/>
        <w:spacing w:after="120" w:line="240" w:lineRule="auto"/>
        <w:ind w:left="284" w:hanging="284"/>
        <w:jc w:val="both"/>
        <w:textAlignment w:val="auto"/>
        <w:rPr>
          <w:rFonts w:cs="Calibri"/>
          <w:color w:val="A6A6A6" w:themeColor="background1" w:themeShade="A6"/>
        </w:rPr>
      </w:pPr>
      <w:r w:rsidRPr="00BF42D2">
        <w:rPr>
          <w:rFonts w:cs="Calibri"/>
          <w:color w:val="A6A6A6" w:themeColor="background1" w:themeShade="A6"/>
        </w:rPr>
        <w:t>O interessado deve fundamentar seu entendimento acerca da qualificação do fato tributário ou aduaneiro.</w:t>
      </w:r>
    </w:p>
    <w:p w14:paraId="73E15E0E" w14:textId="77777777" w:rsidR="00BF42D2" w:rsidRPr="00BF42D2" w:rsidRDefault="00BF42D2" w:rsidP="00BF42D2">
      <w:pPr>
        <w:pStyle w:val="PargrafodaLista"/>
        <w:numPr>
          <w:ilvl w:val="0"/>
          <w:numId w:val="1"/>
        </w:numPr>
        <w:suppressAutoHyphens w:val="0"/>
        <w:autoSpaceDN/>
        <w:spacing w:after="120" w:line="240" w:lineRule="auto"/>
        <w:ind w:left="284" w:hanging="284"/>
        <w:jc w:val="both"/>
        <w:textAlignment w:val="auto"/>
        <w:rPr>
          <w:rFonts w:cs="Calibri"/>
          <w:color w:val="A6A6A6" w:themeColor="background1" w:themeShade="A6"/>
        </w:rPr>
      </w:pPr>
      <w:r w:rsidRPr="00BF42D2">
        <w:rPr>
          <w:rFonts w:cs="Calibri"/>
          <w:color w:val="A6A6A6" w:themeColor="background1" w:themeShade="A6"/>
        </w:rPr>
        <w:t xml:space="preserve">O Consenso não pode contrariar entendimentos normativos ou interpretativos vinculantes. </w:t>
      </w:r>
    </w:p>
    <w:p w14:paraId="27E2297C" w14:textId="77777777" w:rsidR="00BF42D2" w:rsidRPr="00BF42D2" w:rsidRDefault="00BF42D2" w:rsidP="00BF42D2">
      <w:pPr>
        <w:pStyle w:val="PargrafodaLista"/>
        <w:numPr>
          <w:ilvl w:val="0"/>
          <w:numId w:val="1"/>
        </w:numPr>
        <w:suppressAutoHyphens w:val="0"/>
        <w:autoSpaceDN/>
        <w:spacing w:after="120" w:line="240" w:lineRule="auto"/>
        <w:ind w:left="284" w:hanging="284"/>
        <w:jc w:val="both"/>
        <w:textAlignment w:val="auto"/>
        <w:rPr>
          <w:rFonts w:cs="Calibri"/>
          <w:color w:val="A6A6A6" w:themeColor="background1" w:themeShade="A6"/>
        </w:rPr>
      </w:pPr>
      <w:r w:rsidRPr="00BF42D2">
        <w:rPr>
          <w:rFonts w:cs="Calibri"/>
          <w:color w:val="A6A6A6" w:themeColor="background1" w:themeShade="A6"/>
        </w:rPr>
        <w:t>Caso a divergência seja que o fato se aplica ou não a algum entendimento vinculante, indicar precisamente tal divergência, de preferência em um tópico específico;</w:t>
      </w:r>
    </w:p>
    <w:p w14:paraId="2A5E5131" w14:textId="77777777" w:rsidR="00BF42D2" w:rsidRPr="00BF42D2" w:rsidRDefault="00BF42D2" w:rsidP="00BF42D2">
      <w:pPr>
        <w:pStyle w:val="PargrafodaLista"/>
        <w:numPr>
          <w:ilvl w:val="0"/>
          <w:numId w:val="1"/>
        </w:numPr>
        <w:suppressAutoHyphens w:val="0"/>
        <w:autoSpaceDN/>
        <w:spacing w:after="120" w:line="240" w:lineRule="auto"/>
        <w:ind w:left="284" w:hanging="284"/>
        <w:jc w:val="both"/>
        <w:textAlignment w:val="auto"/>
        <w:rPr>
          <w:rFonts w:cs="Calibri"/>
          <w:color w:val="A6A6A6" w:themeColor="background1" w:themeShade="A6"/>
        </w:rPr>
      </w:pPr>
      <w:r w:rsidRPr="00BF42D2">
        <w:rPr>
          <w:rFonts w:cs="Calibri"/>
          <w:color w:val="A6A6A6" w:themeColor="background1" w:themeShade="A6"/>
        </w:rPr>
        <w:t>Seja o mais objetivo e conciso possível, pois maiores detalhamentos serão solicitados e debatidos durante o procedimento de consensualidade, não havendo preclusão.</w:t>
      </w:r>
    </w:p>
    <w:p w14:paraId="334F8D8F" w14:textId="77777777" w:rsidR="00BF42D2" w:rsidRPr="00BF42D2" w:rsidRDefault="00BF42D2" w:rsidP="00BF42D2">
      <w:pPr>
        <w:pStyle w:val="PargrafodaLista"/>
        <w:suppressAutoHyphens w:val="0"/>
        <w:autoSpaceDN/>
        <w:spacing w:after="120" w:line="240" w:lineRule="auto"/>
        <w:ind w:left="284"/>
        <w:jc w:val="both"/>
        <w:textAlignment w:val="auto"/>
        <w:rPr>
          <w:rFonts w:cs="Calibri"/>
          <w:color w:val="A6A6A6" w:themeColor="background1" w:themeShade="A6"/>
        </w:rPr>
      </w:pPr>
    </w:p>
    <w:p w14:paraId="049FD043" w14:textId="77777777" w:rsidR="008F71F1" w:rsidRDefault="008F71F1">
      <w:pPr>
        <w:rPr>
          <w:sz w:val="24"/>
          <w:szCs w:val="24"/>
        </w:rPr>
      </w:pPr>
    </w:p>
    <w:p w14:paraId="6F4CBD5A" w14:textId="77777777" w:rsidR="00BF42D2" w:rsidRDefault="00BF42D2">
      <w:pPr>
        <w:rPr>
          <w:sz w:val="24"/>
          <w:szCs w:val="24"/>
        </w:rPr>
      </w:pPr>
    </w:p>
    <w:p w14:paraId="6F75C082" w14:textId="77777777" w:rsidR="00BF42D2" w:rsidRDefault="00BF42D2">
      <w:pPr>
        <w:rPr>
          <w:sz w:val="24"/>
          <w:szCs w:val="24"/>
        </w:rPr>
      </w:pPr>
    </w:p>
    <w:p w14:paraId="7682E931" w14:textId="77777777" w:rsidR="00BF42D2" w:rsidRDefault="00BF42D2">
      <w:pPr>
        <w:rPr>
          <w:sz w:val="24"/>
          <w:szCs w:val="24"/>
        </w:rPr>
      </w:pPr>
    </w:p>
    <w:p w14:paraId="0103F90B" w14:textId="77777777" w:rsidR="00BF42D2" w:rsidRPr="00BF42D2" w:rsidRDefault="00BF42D2" w:rsidP="00BF42D2">
      <w:pPr>
        <w:rPr>
          <w:b/>
          <w:bCs/>
          <w:sz w:val="24"/>
          <w:szCs w:val="24"/>
        </w:rPr>
      </w:pPr>
      <w:r w:rsidRPr="00BF42D2">
        <w:rPr>
          <w:b/>
          <w:bCs/>
          <w:sz w:val="24"/>
          <w:szCs w:val="24"/>
        </w:rPr>
        <w:t>III - RAZÕES PARA ADMISSIBILIDADE</w:t>
      </w:r>
    </w:p>
    <w:p w14:paraId="29D11EBB" w14:textId="77777777" w:rsidR="00BF42D2" w:rsidRDefault="00BF42D2" w:rsidP="00BF42D2">
      <w:pPr>
        <w:spacing w:after="120"/>
        <w:jc w:val="both"/>
        <w:rPr>
          <w:rFonts w:cs="Calibri"/>
          <w:color w:val="A6A6A6" w:themeColor="background1" w:themeShade="A6"/>
        </w:rPr>
      </w:pPr>
      <w:r w:rsidRPr="00BF42D2">
        <w:rPr>
          <w:rFonts w:cs="Calibri"/>
          <w:color w:val="A6A6A6" w:themeColor="background1" w:themeShade="A6"/>
          <w:sz w:val="24"/>
          <w:szCs w:val="24"/>
        </w:rPr>
        <w:t>Orientações</w:t>
      </w:r>
      <w:r w:rsidRPr="00BF42D2">
        <w:rPr>
          <w:rFonts w:cs="Calibri"/>
          <w:color w:val="A6A6A6" w:themeColor="background1" w:themeShade="A6"/>
        </w:rPr>
        <w:t xml:space="preserve">: </w:t>
      </w:r>
    </w:p>
    <w:p w14:paraId="730FFDA8" w14:textId="77777777" w:rsidR="00BF42D2" w:rsidRPr="00BF42D2" w:rsidRDefault="00BF42D2" w:rsidP="00BF42D2">
      <w:pPr>
        <w:pStyle w:val="PargrafodaLista"/>
        <w:numPr>
          <w:ilvl w:val="0"/>
          <w:numId w:val="1"/>
        </w:numPr>
        <w:suppressAutoHyphens w:val="0"/>
        <w:autoSpaceDN/>
        <w:spacing w:after="120" w:line="240" w:lineRule="auto"/>
        <w:ind w:left="284" w:hanging="284"/>
        <w:jc w:val="both"/>
        <w:textAlignment w:val="auto"/>
        <w:rPr>
          <w:rFonts w:cs="Calibri"/>
          <w:color w:val="A6A6A6" w:themeColor="background1" w:themeShade="A6"/>
        </w:rPr>
      </w:pPr>
      <w:r w:rsidRPr="00BF42D2">
        <w:rPr>
          <w:rFonts w:cs="Calibri"/>
          <w:color w:val="A6A6A6" w:themeColor="background1" w:themeShade="A6"/>
        </w:rPr>
        <w:t xml:space="preserve">A equipe de ingresso avaliará a matéria controvertida, o grau de incerteza sobre a qualificação dos fatos, a existência de conduta com repercussão em lançamentos semelhantes para períodos de apuração posteriores, e a existência de jurisprudência administrativa ou judicial sobre situações idênticas ou similares aos fatos do caso concreto. </w:t>
      </w:r>
    </w:p>
    <w:p w14:paraId="47831A21" w14:textId="77777777" w:rsidR="00BF42D2" w:rsidRPr="00BF42D2" w:rsidRDefault="00BF42D2" w:rsidP="00BF42D2">
      <w:pPr>
        <w:pStyle w:val="PargrafodaLista"/>
        <w:numPr>
          <w:ilvl w:val="0"/>
          <w:numId w:val="1"/>
        </w:numPr>
        <w:suppressAutoHyphens w:val="0"/>
        <w:autoSpaceDN/>
        <w:spacing w:after="120" w:line="240" w:lineRule="auto"/>
        <w:ind w:left="284" w:hanging="284"/>
        <w:jc w:val="both"/>
        <w:textAlignment w:val="auto"/>
        <w:rPr>
          <w:rFonts w:cs="Calibri"/>
          <w:color w:val="A6A6A6" w:themeColor="background1" w:themeShade="A6"/>
        </w:rPr>
      </w:pPr>
      <w:r w:rsidRPr="00BF42D2">
        <w:rPr>
          <w:rFonts w:cs="Calibri"/>
          <w:color w:val="A6A6A6" w:themeColor="background1" w:themeShade="A6"/>
        </w:rPr>
        <w:t xml:space="preserve">A matéria controvertida será avaliada pela possibilidade de mais de uma interpretação razoável sobre norma legal ou infralegal tributária incidente sobre o ato ou fato jurídico e que não tenha sido objeto de entendimento vinculante. </w:t>
      </w:r>
    </w:p>
    <w:p w14:paraId="0B8E46D2" w14:textId="77777777" w:rsidR="00BF42D2" w:rsidRPr="00BF42D2" w:rsidRDefault="00BF42D2" w:rsidP="00BF42D2">
      <w:pPr>
        <w:pStyle w:val="PargrafodaLista"/>
        <w:numPr>
          <w:ilvl w:val="0"/>
          <w:numId w:val="1"/>
        </w:numPr>
        <w:suppressAutoHyphens w:val="0"/>
        <w:autoSpaceDN/>
        <w:spacing w:after="120" w:line="240" w:lineRule="auto"/>
        <w:ind w:left="284" w:hanging="284"/>
        <w:jc w:val="both"/>
        <w:textAlignment w:val="auto"/>
        <w:rPr>
          <w:rFonts w:cs="Calibri"/>
          <w:color w:val="A6A6A6" w:themeColor="background1" w:themeShade="A6"/>
        </w:rPr>
      </w:pPr>
      <w:r w:rsidRPr="00BF42D2">
        <w:rPr>
          <w:rFonts w:cs="Calibri"/>
          <w:color w:val="A6A6A6" w:themeColor="background1" w:themeShade="A6"/>
        </w:rPr>
        <w:t>O grau de incerteza sobre os fatos tributários ou aduaneiros resulta de razoável divergência sobre a realidade dos atos ou fatos ocorridos e/ou a aplicação de norma legal ou de ato interpretativo sobre tais fatos.</w:t>
      </w:r>
    </w:p>
    <w:p w14:paraId="6C3FB02A" w14:textId="77777777" w:rsidR="00BF42D2" w:rsidRPr="00BF42D2" w:rsidRDefault="00BF42D2" w:rsidP="00BF42D2">
      <w:pPr>
        <w:pStyle w:val="PargrafodaLista"/>
        <w:numPr>
          <w:ilvl w:val="0"/>
          <w:numId w:val="1"/>
        </w:numPr>
        <w:suppressAutoHyphens w:val="0"/>
        <w:autoSpaceDN/>
        <w:spacing w:after="120" w:line="240" w:lineRule="auto"/>
        <w:ind w:left="284" w:hanging="284"/>
        <w:jc w:val="both"/>
        <w:textAlignment w:val="auto"/>
        <w:rPr>
          <w:rFonts w:cs="Calibri"/>
          <w:color w:val="A6A6A6" w:themeColor="background1" w:themeShade="A6"/>
        </w:rPr>
      </w:pPr>
      <w:r w:rsidRPr="00BF42D2">
        <w:rPr>
          <w:rFonts w:cs="Calibri"/>
          <w:color w:val="A6A6A6" w:themeColor="background1" w:themeShade="A6"/>
        </w:rPr>
        <w:t>A existência de conduta com repercussão em lançamentos semelhantes para períodos de apuração posteriores será avaliada pelo risco de o fato controvertido resultar em litígios em anos-calendário posteriores.</w:t>
      </w:r>
    </w:p>
    <w:p w14:paraId="62563F34" w14:textId="77777777" w:rsidR="00BF42D2" w:rsidRPr="00BF42D2" w:rsidRDefault="00BF42D2" w:rsidP="00BF42D2">
      <w:pPr>
        <w:pStyle w:val="PargrafodaLista"/>
        <w:numPr>
          <w:ilvl w:val="0"/>
          <w:numId w:val="1"/>
        </w:numPr>
        <w:suppressAutoHyphens w:val="0"/>
        <w:autoSpaceDN/>
        <w:spacing w:after="120" w:line="240" w:lineRule="auto"/>
        <w:ind w:left="284" w:hanging="284"/>
        <w:jc w:val="both"/>
        <w:textAlignment w:val="auto"/>
        <w:rPr>
          <w:rFonts w:cs="Calibri"/>
          <w:color w:val="A6A6A6" w:themeColor="background1" w:themeShade="A6"/>
        </w:rPr>
      </w:pPr>
      <w:r w:rsidRPr="00BF42D2">
        <w:rPr>
          <w:rFonts w:cs="Calibri"/>
          <w:color w:val="A6A6A6" w:themeColor="background1" w:themeShade="A6"/>
        </w:rPr>
        <w:t>A existência de jurisprudência administrativa sobre situações idênticas ou similares aos fatos do caso concreto demanda a demonstração de que há ao menos três julgados de ao menos três Delegacias da Receita Federal do Brasil de Julgamento, ou três julgados do Conselho Administrativo de Recursos Fiscais, com o mesmo objeto da controvérsia.</w:t>
      </w:r>
    </w:p>
    <w:p w14:paraId="21C3A926" w14:textId="77777777" w:rsidR="00BF42D2" w:rsidRPr="00BF42D2" w:rsidRDefault="00BF42D2" w:rsidP="00BF42D2">
      <w:pPr>
        <w:pStyle w:val="PargrafodaLista"/>
        <w:numPr>
          <w:ilvl w:val="0"/>
          <w:numId w:val="1"/>
        </w:numPr>
        <w:suppressAutoHyphens w:val="0"/>
        <w:autoSpaceDN/>
        <w:spacing w:after="120" w:line="240" w:lineRule="auto"/>
        <w:ind w:left="284" w:hanging="284"/>
        <w:jc w:val="both"/>
        <w:textAlignment w:val="auto"/>
        <w:rPr>
          <w:rFonts w:cs="Calibri"/>
          <w:color w:val="A6A6A6" w:themeColor="background1" w:themeShade="A6"/>
        </w:rPr>
      </w:pPr>
      <w:r w:rsidRPr="00BF42D2">
        <w:rPr>
          <w:rFonts w:cs="Calibri"/>
          <w:color w:val="A6A6A6" w:themeColor="background1" w:themeShade="A6"/>
        </w:rPr>
        <w:t>A existência de jurisprudência judicial sobre situações idênticas ou similares aos fatos do caso concreto demanda a demonstração de que há ao menos três julgados de ao menos dois Tribunais Regionais Federais, ou um julgado do Superior Tribunal de Justiça ou do Supremo Tribunal Federal, com o mesmo objeto da controvérsia.</w:t>
      </w:r>
    </w:p>
    <w:p w14:paraId="2E64F459" w14:textId="77777777" w:rsidR="00BF42D2" w:rsidRDefault="00BF42D2" w:rsidP="00BF42D2">
      <w:pPr>
        <w:spacing w:after="120"/>
        <w:jc w:val="both"/>
        <w:rPr>
          <w:rFonts w:cs="Calibri"/>
          <w:sz w:val="24"/>
          <w:szCs w:val="24"/>
        </w:rPr>
      </w:pPr>
    </w:p>
    <w:p w14:paraId="6BB1FE10" w14:textId="77777777" w:rsidR="00BF42D2" w:rsidRPr="00BF42D2" w:rsidRDefault="00BF42D2" w:rsidP="00BF42D2">
      <w:pPr>
        <w:spacing w:after="120"/>
        <w:jc w:val="both"/>
        <w:rPr>
          <w:rFonts w:cs="Calibri"/>
          <w:b/>
          <w:bCs/>
          <w:sz w:val="24"/>
          <w:szCs w:val="24"/>
        </w:rPr>
      </w:pPr>
      <w:r w:rsidRPr="00BF42D2">
        <w:rPr>
          <w:rFonts w:cs="Calibri"/>
          <w:b/>
          <w:bCs/>
          <w:sz w:val="24"/>
          <w:szCs w:val="24"/>
        </w:rPr>
        <w:t>IV - PROPOSTA DE SOLUÇÃO</w:t>
      </w:r>
    </w:p>
    <w:p w14:paraId="5694BB6E" w14:textId="77777777" w:rsidR="00BF42D2" w:rsidRDefault="00BF42D2" w:rsidP="00BF42D2">
      <w:pPr>
        <w:spacing w:after="120"/>
        <w:jc w:val="both"/>
        <w:rPr>
          <w:rFonts w:cs="Calibri"/>
          <w:color w:val="A6A6A6" w:themeColor="background1" w:themeShade="A6"/>
        </w:rPr>
      </w:pPr>
      <w:r w:rsidRPr="00BF42D2">
        <w:rPr>
          <w:rFonts w:cs="Calibri"/>
          <w:color w:val="A6A6A6" w:themeColor="background1" w:themeShade="A6"/>
          <w:sz w:val="24"/>
          <w:szCs w:val="24"/>
        </w:rPr>
        <w:t>Orientações</w:t>
      </w:r>
      <w:r w:rsidRPr="00BF42D2">
        <w:rPr>
          <w:rFonts w:cs="Calibri"/>
          <w:color w:val="A6A6A6" w:themeColor="background1" w:themeShade="A6"/>
        </w:rPr>
        <w:t xml:space="preserve">: </w:t>
      </w:r>
    </w:p>
    <w:p w14:paraId="193FE7D4" w14:textId="77777777" w:rsidR="00BF42D2" w:rsidRPr="00BF42D2" w:rsidRDefault="00BF42D2" w:rsidP="00BF42D2">
      <w:pPr>
        <w:pStyle w:val="PargrafodaLista"/>
        <w:numPr>
          <w:ilvl w:val="0"/>
          <w:numId w:val="1"/>
        </w:numPr>
        <w:suppressAutoHyphens w:val="0"/>
        <w:autoSpaceDN/>
        <w:spacing w:after="120" w:line="240" w:lineRule="auto"/>
        <w:ind w:left="284" w:hanging="284"/>
        <w:jc w:val="both"/>
        <w:textAlignment w:val="auto"/>
        <w:rPr>
          <w:rFonts w:cs="Calibri"/>
          <w:color w:val="A6A6A6" w:themeColor="background1" w:themeShade="A6"/>
        </w:rPr>
      </w:pPr>
      <w:r w:rsidRPr="00BF42D2">
        <w:rPr>
          <w:rFonts w:cs="Calibri"/>
          <w:color w:val="A6A6A6" w:themeColor="background1" w:themeShade="A6"/>
        </w:rPr>
        <w:t>Indique a proposta de solução ao seu caso.</w:t>
      </w:r>
    </w:p>
    <w:p w14:paraId="43AD745A" w14:textId="77777777" w:rsidR="00BF42D2" w:rsidRPr="00BF42D2" w:rsidRDefault="00BF42D2" w:rsidP="00BF42D2">
      <w:pPr>
        <w:pStyle w:val="PargrafodaLista"/>
        <w:numPr>
          <w:ilvl w:val="0"/>
          <w:numId w:val="1"/>
        </w:numPr>
        <w:suppressAutoHyphens w:val="0"/>
        <w:autoSpaceDN/>
        <w:spacing w:after="120" w:line="240" w:lineRule="auto"/>
        <w:ind w:left="284" w:hanging="284"/>
        <w:jc w:val="both"/>
        <w:textAlignment w:val="auto"/>
        <w:rPr>
          <w:rFonts w:cs="Calibri"/>
          <w:color w:val="A6A6A6" w:themeColor="background1" w:themeShade="A6"/>
        </w:rPr>
      </w:pPr>
      <w:r w:rsidRPr="00BF42D2">
        <w:rPr>
          <w:rFonts w:cs="Calibri"/>
          <w:color w:val="A6A6A6" w:themeColor="background1" w:themeShade="A6"/>
        </w:rPr>
        <w:t>Caso entenda poder existir mais de uma solução, poderá apresentar soluções alternativas.</w:t>
      </w:r>
    </w:p>
    <w:p w14:paraId="5E441673" w14:textId="77777777" w:rsidR="00BF42D2" w:rsidRDefault="00BF42D2" w:rsidP="00BF42D2">
      <w:pPr>
        <w:spacing w:after="120"/>
        <w:jc w:val="both"/>
        <w:rPr>
          <w:rFonts w:cs="Calibri"/>
          <w:sz w:val="24"/>
          <w:szCs w:val="24"/>
        </w:rPr>
      </w:pPr>
    </w:p>
    <w:p w14:paraId="2044CAA8" w14:textId="77777777" w:rsidR="00BF42D2" w:rsidRDefault="00BF42D2" w:rsidP="00BF42D2">
      <w:pPr>
        <w:spacing w:after="120"/>
        <w:jc w:val="both"/>
        <w:rPr>
          <w:rFonts w:cs="Calibri"/>
          <w:sz w:val="24"/>
          <w:szCs w:val="24"/>
        </w:rPr>
      </w:pPr>
    </w:p>
    <w:p w14:paraId="4F482EEC" w14:textId="77777777" w:rsidR="00BF42D2" w:rsidRPr="00BF42D2" w:rsidRDefault="00BF42D2" w:rsidP="00BF42D2">
      <w:pPr>
        <w:spacing w:after="120"/>
        <w:jc w:val="both"/>
        <w:rPr>
          <w:rFonts w:cs="Calibri"/>
          <w:b/>
          <w:bCs/>
          <w:sz w:val="24"/>
          <w:szCs w:val="24"/>
        </w:rPr>
      </w:pPr>
      <w:r w:rsidRPr="00BF42D2">
        <w:rPr>
          <w:rFonts w:cs="Calibri"/>
          <w:b/>
          <w:bCs/>
          <w:sz w:val="24"/>
          <w:szCs w:val="24"/>
        </w:rPr>
        <w:t>V - REQUISITOS ESPECÍFICOS</w:t>
      </w:r>
    </w:p>
    <w:p w14:paraId="22E76073" w14:textId="77777777" w:rsidR="00BF42D2" w:rsidRDefault="00BF42D2" w:rsidP="00BF42D2">
      <w:pPr>
        <w:spacing w:after="120"/>
        <w:jc w:val="both"/>
        <w:rPr>
          <w:rFonts w:cs="Calibri"/>
          <w:color w:val="A6A6A6" w:themeColor="background1" w:themeShade="A6"/>
        </w:rPr>
      </w:pPr>
      <w:r w:rsidRPr="00BF42D2">
        <w:rPr>
          <w:rFonts w:cs="Calibri"/>
          <w:color w:val="A6A6A6" w:themeColor="background1" w:themeShade="A6"/>
          <w:sz w:val="24"/>
          <w:szCs w:val="24"/>
        </w:rPr>
        <w:t>Orientações</w:t>
      </w:r>
      <w:r w:rsidRPr="00BF42D2">
        <w:rPr>
          <w:rFonts w:cs="Calibri"/>
          <w:color w:val="A6A6A6" w:themeColor="background1" w:themeShade="A6"/>
        </w:rPr>
        <w:t xml:space="preserve">: </w:t>
      </w:r>
    </w:p>
    <w:p w14:paraId="3156A82B" w14:textId="77777777" w:rsidR="00BF42D2" w:rsidRPr="00BF42D2" w:rsidRDefault="00BF42D2" w:rsidP="00BF42D2">
      <w:pPr>
        <w:pStyle w:val="PargrafodaLista"/>
        <w:numPr>
          <w:ilvl w:val="0"/>
          <w:numId w:val="1"/>
        </w:numPr>
        <w:suppressAutoHyphens w:val="0"/>
        <w:autoSpaceDN/>
        <w:spacing w:after="120" w:line="240" w:lineRule="auto"/>
        <w:ind w:left="284" w:hanging="284"/>
        <w:jc w:val="both"/>
        <w:textAlignment w:val="auto"/>
        <w:rPr>
          <w:rFonts w:cs="Calibri"/>
          <w:color w:val="A6A6A6" w:themeColor="background1" w:themeShade="A6"/>
        </w:rPr>
      </w:pPr>
      <w:r w:rsidRPr="00BF42D2">
        <w:rPr>
          <w:rFonts w:cs="Calibri"/>
          <w:color w:val="A6A6A6" w:themeColor="background1" w:themeShade="A6"/>
        </w:rPr>
        <w:t xml:space="preserve">No caso de o procedimento consensual se referir à consequência tributária de determinado negócio jurídico (planejamento tributário), acrescentar quadro cronológico dos atos jurídicos que envolveram o negócio e fluxograma comparativo das situações fáticas prévias e posteriores.  </w:t>
      </w:r>
    </w:p>
    <w:p w14:paraId="2B7B01DF" w14:textId="77777777" w:rsidR="00BF42D2" w:rsidRDefault="00BF42D2" w:rsidP="00BF42D2">
      <w:pPr>
        <w:spacing w:after="120"/>
        <w:jc w:val="both"/>
        <w:rPr>
          <w:rFonts w:cs="Calibri"/>
          <w:color w:val="A6A6A6" w:themeColor="background1" w:themeShade="A6"/>
        </w:rPr>
      </w:pPr>
    </w:p>
    <w:p w14:paraId="1928BF6B" w14:textId="77777777" w:rsidR="00BF42D2" w:rsidRDefault="00BF42D2" w:rsidP="00BF42D2">
      <w:pPr>
        <w:spacing w:after="120"/>
        <w:jc w:val="both"/>
        <w:rPr>
          <w:rFonts w:cs="Calibri"/>
          <w:sz w:val="24"/>
          <w:szCs w:val="24"/>
        </w:rPr>
      </w:pPr>
    </w:p>
    <w:p w14:paraId="133EFF4B" w14:textId="77777777" w:rsidR="00BF42D2" w:rsidRDefault="00BF42D2" w:rsidP="00BF42D2">
      <w:pPr>
        <w:spacing w:after="120"/>
        <w:jc w:val="both"/>
        <w:rPr>
          <w:rFonts w:cs="Calibri"/>
          <w:sz w:val="24"/>
          <w:szCs w:val="24"/>
        </w:rPr>
      </w:pPr>
    </w:p>
    <w:p w14:paraId="34A62D45" w14:textId="1134069C" w:rsidR="00BF42D2" w:rsidRDefault="00BF42D2" w:rsidP="00BF42D2">
      <w:pPr>
        <w:spacing w:after="120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Assinatura Digital do Responsável</w:t>
      </w:r>
    </w:p>
    <w:p w14:paraId="747E5383" w14:textId="3EF9E341" w:rsidR="008F71F1" w:rsidRPr="008F71F1" w:rsidRDefault="00BF42D2" w:rsidP="003C0188">
      <w:pPr>
        <w:spacing w:after="120"/>
        <w:jc w:val="center"/>
        <w:rPr>
          <w:sz w:val="24"/>
          <w:szCs w:val="24"/>
        </w:rPr>
      </w:pPr>
      <w:r>
        <w:rPr>
          <w:rFonts w:cs="Calibri"/>
          <w:sz w:val="24"/>
          <w:szCs w:val="24"/>
        </w:rPr>
        <w:t>ou Procurador</w:t>
      </w:r>
    </w:p>
    <w:sectPr w:rsidR="008F71F1" w:rsidRPr="008F71F1" w:rsidSect="008F71F1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A10A4"/>
    <w:multiLevelType w:val="hybridMultilevel"/>
    <w:tmpl w:val="459AAE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8067B"/>
    <w:multiLevelType w:val="hybridMultilevel"/>
    <w:tmpl w:val="ACB4EE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B0351"/>
    <w:multiLevelType w:val="hybridMultilevel"/>
    <w:tmpl w:val="C49641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62304">
    <w:abstractNumId w:val="0"/>
  </w:num>
  <w:num w:numId="2" w16cid:durableId="306935824">
    <w:abstractNumId w:val="1"/>
  </w:num>
  <w:num w:numId="3" w16cid:durableId="1091043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1F1"/>
    <w:rsid w:val="00296FFE"/>
    <w:rsid w:val="003C0188"/>
    <w:rsid w:val="008F71F1"/>
    <w:rsid w:val="00BF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708A"/>
  <w15:chartTrackingRefBased/>
  <w15:docId w15:val="{F462EBEE-0196-4FB9-8E93-9FA571BE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F42D2"/>
    <w:pPr>
      <w:suppressAutoHyphens/>
      <w:autoSpaceDN w:val="0"/>
      <w:spacing w:line="254" w:lineRule="auto"/>
      <w:ind w:left="720"/>
      <w:contextualSpacing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Receita Federal do Brasil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Coutinho Aguiar</dc:creator>
  <cp:keywords/>
  <dc:description/>
  <cp:lastModifiedBy>Denis Coutinho Aguiar</cp:lastModifiedBy>
  <cp:revision>2</cp:revision>
  <dcterms:created xsi:type="dcterms:W3CDTF">2024-11-01T14:32:00Z</dcterms:created>
  <dcterms:modified xsi:type="dcterms:W3CDTF">2024-11-01T14:32:00Z</dcterms:modified>
</cp:coreProperties>
</file>