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87077" w14:textId="697E8A70" w:rsidR="00AD7F52" w:rsidRPr="00D02751" w:rsidRDefault="00384D11" w:rsidP="002437A7">
      <w:pPr>
        <w:spacing w:after="12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D02751">
        <w:rPr>
          <w:rFonts w:cstheme="minorHAnsi"/>
          <w:sz w:val="24"/>
          <w:szCs w:val="24"/>
        </w:rPr>
        <w:t xml:space="preserve">INSTRUÇÃO </w:t>
      </w:r>
      <w:r w:rsidR="008F1D9A" w:rsidRPr="00D02751">
        <w:rPr>
          <w:rFonts w:cstheme="minorHAnsi"/>
          <w:sz w:val="24"/>
          <w:szCs w:val="24"/>
        </w:rPr>
        <w:t>PREVIC</w:t>
      </w:r>
      <w:r w:rsidR="00AD7F52" w:rsidRPr="00D02751">
        <w:rPr>
          <w:rFonts w:cstheme="minorHAnsi"/>
          <w:sz w:val="24"/>
          <w:szCs w:val="24"/>
        </w:rPr>
        <w:t xml:space="preserve"> n</w:t>
      </w:r>
      <w:r w:rsidR="00796FFC" w:rsidRPr="00D02751">
        <w:rPr>
          <w:rFonts w:eastAsia="Times New Roman" w:cstheme="minorHAnsi"/>
          <w:sz w:val="24"/>
          <w:szCs w:val="24"/>
          <w:lang w:eastAsia="pt-BR"/>
        </w:rPr>
        <w:t>º</w:t>
      </w:r>
      <w:r w:rsidR="00AD7F52" w:rsidRPr="00D02751">
        <w:rPr>
          <w:rFonts w:cstheme="minorHAnsi"/>
          <w:sz w:val="24"/>
          <w:szCs w:val="24"/>
        </w:rPr>
        <w:t xml:space="preserve"> </w:t>
      </w:r>
      <w:r w:rsidR="00AD7F52" w:rsidRPr="00D02751">
        <w:rPr>
          <w:rFonts w:cstheme="minorHAnsi"/>
          <w:sz w:val="24"/>
          <w:szCs w:val="24"/>
          <w:highlight w:val="yellow"/>
        </w:rPr>
        <w:t>XX</w:t>
      </w:r>
      <w:r w:rsidR="00AD7F52" w:rsidRPr="00D02751">
        <w:rPr>
          <w:rFonts w:cstheme="minorHAnsi"/>
          <w:sz w:val="24"/>
          <w:szCs w:val="24"/>
        </w:rPr>
        <w:t xml:space="preserve">, DE </w:t>
      </w:r>
      <w:r w:rsidR="00AD7F52" w:rsidRPr="00D02751">
        <w:rPr>
          <w:rFonts w:cstheme="minorHAnsi"/>
          <w:sz w:val="24"/>
          <w:szCs w:val="24"/>
          <w:highlight w:val="yellow"/>
        </w:rPr>
        <w:t>XX</w:t>
      </w:r>
      <w:r w:rsidR="00AD7F52" w:rsidRPr="00D02751">
        <w:rPr>
          <w:rFonts w:cstheme="minorHAnsi"/>
          <w:sz w:val="24"/>
          <w:szCs w:val="24"/>
        </w:rPr>
        <w:t xml:space="preserve"> DE </w:t>
      </w:r>
      <w:r w:rsidR="00D02751">
        <w:rPr>
          <w:rFonts w:cstheme="minorHAnsi"/>
          <w:sz w:val="24"/>
          <w:szCs w:val="24"/>
        </w:rPr>
        <w:t>XXX</w:t>
      </w:r>
      <w:r w:rsidR="00AD7F52" w:rsidRPr="00D02751">
        <w:rPr>
          <w:rFonts w:cstheme="minorHAnsi"/>
          <w:sz w:val="24"/>
          <w:szCs w:val="24"/>
        </w:rPr>
        <w:t xml:space="preserve"> DE </w:t>
      </w:r>
      <w:r w:rsidR="00D96196" w:rsidRPr="00D02751">
        <w:rPr>
          <w:rFonts w:cstheme="minorHAnsi"/>
          <w:sz w:val="24"/>
          <w:szCs w:val="24"/>
        </w:rPr>
        <w:t>20</w:t>
      </w:r>
      <w:r w:rsidR="00E12FE7" w:rsidRPr="00D02751">
        <w:rPr>
          <w:rFonts w:cstheme="minorHAnsi"/>
          <w:sz w:val="24"/>
          <w:szCs w:val="24"/>
        </w:rPr>
        <w:t>XX</w:t>
      </w:r>
    </w:p>
    <w:p w14:paraId="1C0F5F12" w14:textId="77777777" w:rsidR="00384D11" w:rsidRPr="00D02751" w:rsidRDefault="00384D11" w:rsidP="002437A7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14BF0737" w14:textId="0B4D699A" w:rsidR="00384D11" w:rsidRPr="00D02751" w:rsidRDefault="003B45AD" w:rsidP="00C10499">
      <w:pPr>
        <w:spacing w:after="120" w:line="240" w:lineRule="auto"/>
        <w:ind w:left="5103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Altera a Instrução </w:t>
      </w:r>
      <w:r w:rsidR="00C10499" w:rsidRPr="00D02751">
        <w:rPr>
          <w:rFonts w:eastAsia="Times New Roman" w:cstheme="minorHAnsi"/>
          <w:sz w:val="24"/>
          <w:szCs w:val="24"/>
          <w:lang w:eastAsia="pt-BR"/>
        </w:rPr>
        <w:t>MPS/SPC nº 34, de 24 de setembro de 2009, e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a Instrução Previc nº 6, de 14 de novembro de 2018</w:t>
      </w:r>
      <w:r w:rsidR="00C10499" w:rsidRPr="00D02751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7F847C01" w14:textId="77777777" w:rsidR="00470D03" w:rsidRPr="00D02751" w:rsidRDefault="00470D03" w:rsidP="00C10499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77BAC9E8" w14:textId="31F70F13" w:rsidR="003B45AD" w:rsidRPr="00D02751" w:rsidRDefault="003B45AD" w:rsidP="000B685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02751">
        <w:rPr>
          <w:rFonts w:eastAsia="Times New Roman" w:cstheme="minorHAnsi"/>
          <w:sz w:val="24"/>
          <w:szCs w:val="24"/>
          <w:lang w:eastAsia="pt-BR"/>
        </w:rPr>
        <w:t>A DIRETORIA COLEGIADA DA SUPERINTENDÊNCIA NACIONAL DE PREVIDÊNCIA COMPLEMENTAR</w:t>
      </w:r>
      <w:r w:rsidR="00E12FE7" w:rsidRPr="00D02751">
        <w:rPr>
          <w:rFonts w:eastAsia="Times New Roman" w:cstheme="minorHAnsi"/>
          <w:sz w:val="24"/>
          <w:szCs w:val="24"/>
          <w:lang w:eastAsia="pt-BR"/>
        </w:rPr>
        <w:t xml:space="preserve"> (</w:t>
      </w:r>
      <w:r w:rsidRPr="00D02751">
        <w:rPr>
          <w:rFonts w:eastAsia="Times New Roman" w:cstheme="minorHAnsi"/>
          <w:sz w:val="24"/>
          <w:szCs w:val="24"/>
          <w:lang w:eastAsia="pt-BR"/>
        </w:rPr>
        <w:t>PREVIC</w:t>
      </w:r>
      <w:r w:rsidR="00E12FE7" w:rsidRPr="00D02751">
        <w:rPr>
          <w:rFonts w:eastAsia="Times New Roman" w:cstheme="minorHAnsi"/>
          <w:sz w:val="24"/>
          <w:szCs w:val="24"/>
          <w:lang w:eastAsia="pt-BR"/>
        </w:rPr>
        <w:t>)</w:t>
      </w:r>
      <w:r w:rsidRPr="00D02751">
        <w:rPr>
          <w:rFonts w:eastAsia="Times New Roman" w:cstheme="minorHAnsi"/>
          <w:sz w:val="24"/>
          <w:szCs w:val="24"/>
          <w:lang w:eastAsia="pt-BR"/>
        </w:rPr>
        <w:t xml:space="preserve">, na 419ª sessão ordinária, realizada no dia 12 de novembro de 2018, no uso das atribuições que lhe conferem o art. 5º da Lei Complementar nº 109, de 29 de maio de 2001, o art. 2º da Lei nº 12.154, de 23 de dezembro de 2009, e o art. 10 do Anexo I do Decreto nº 8.992, de 20 de fevereiro de 2017, </w:t>
      </w:r>
      <w:r w:rsidR="00E12FE7" w:rsidRPr="00D02751">
        <w:rPr>
          <w:rFonts w:eastAsia="Times New Roman" w:cstheme="minorHAnsi"/>
          <w:b/>
          <w:sz w:val="24"/>
          <w:szCs w:val="24"/>
          <w:lang w:eastAsia="pt-BR"/>
        </w:rPr>
        <w:t>RESOLVE</w:t>
      </w:r>
      <w:r w:rsidRPr="00D02751">
        <w:rPr>
          <w:rFonts w:eastAsia="Times New Roman" w:cstheme="minorHAnsi"/>
          <w:sz w:val="24"/>
          <w:szCs w:val="24"/>
          <w:lang w:eastAsia="pt-BR"/>
        </w:rPr>
        <w:t xml:space="preserve">: </w:t>
      </w:r>
    </w:p>
    <w:p w14:paraId="70E39446" w14:textId="77777777" w:rsidR="003B45AD" w:rsidRPr="00D02751" w:rsidRDefault="003B45AD" w:rsidP="000B685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D76F663" w14:textId="77832695" w:rsidR="00A119C6" w:rsidRPr="00D02751" w:rsidRDefault="003B45AD" w:rsidP="000B685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02751">
        <w:rPr>
          <w:rFonts w:eastAsia="Times New Roman" w:cstheme="minorHAnsi"/>
          <w:sz w:val="24"/>
          <w:szCs w:val="24"/>
          <w:lang w:eastAsia="pt-BR"/>
        </w:rPr>
        <w:t xml:space="preserve">Art. 1º </w:t>
      </w:r>
      <w:r w:rsidR="00E12FE7" w:rsidRPr="00D0275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41A9D" w:rsidRPr="00D02751">
        <w:rPr>
          <w:rFonts w:eastAsia="Times New Roman" w:cstheme="minorHAnsi"/>
          <w:sz w:val="24"/>
          <w:szCs w:val="24"/>
          <w:lang w:eastAsia="pt-BR"/>
        </w:rPr>
        <w:t>A Instrução MPS/SPC nº 34, de 24 de setembro de 2009, passa a vigorar com as seguintes alterações:</w:t>
      </w:r>
    </w:p>
    <w:p w14:paraId="45071F2F" w14:textId="37E10F0A" w:rsidR="00672198" w:rsidRPr="00D02751" w:rsidRDefault="00672198" w:rsidP="00AC2C7F">
      <w:pPr>
        <w:spacing w:after="120" w:line="240" w:lineRule="auto"/>
        <w:ind w:left="851"/>
        <w:jc w:val="both"/>
        <w:rPr>
          <w:rFonts w:eastAsia="Times New Roman" w:cstheme="minorHAnsi"/>
          <w:sz w:val="24"/>
          <w:szCs w:val="24"/>
          <w:lang w:eastAsia="pt-BR"/>
        </w:rPr>
      </w:pPr>
      <w:r w:rsidRPr="00D02751">
        <w:rPr>
          <w:rFonts w:eastAsia="Times New Roman" w:cstheme="minorHAnsi"/>
          <w:sz w:val="24"/>
          <w:szCs w:val="24"/>
          <w:lang w:eastAsia="pt-BR"/>
        </w:rPr>
        <w:t xml:space="preserve">“Art. 3º </w:t>
      </w:r>
      <w:r w:rsidR="00E12FE7" w:rsidRPr="00D0275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D02751">
        <w:rPr>
          <w:rFonts w:eastAsia="Times New Roman" w:cstheme="minorHAnsi"/>
          <w:sz w:val="24"/>
          <w:szCs w:val="24"/>
          <w:lang w:eastAsia="pt-BR"/>
        </w:rPr>
        <w:t>Os documentos a serem enviados por meio de sistema eletrônico para transferência de arquivos disponibilizado pela Previc em seu sítio eletrônico na internet são os seguintes:</w:t>
      </w:r>
    </w:p>
    <w:p w14:paraId="0733B3C7" w14:textId="77777777" w:rsidR="00D03458" w:rsidRPr="00D02751" w:rsidRDefault="00D03458" w:rsidP="00AC2C7F">
      <w:pPr>
        <w:spacing w:after="120" w:line="240" w:lineRule="auto"/>
        <w:ind w:left="851"/>
        <w:jc w:val="both"/>
        <w:rPr>
          <w:rFonts w:cs="Arial"/>
          <w:color w:val="000000"/>
          <w:sz w:val="24"/>
          <w:szCs w:val="24"/>
        </w:rPr>
      </w:pPr>
      <w:r w:rsidRPr="00D02751">
        <w:rPr>
          <w:rFonts w:cs="Arial"/>
          <w:color w:val="000000"/>
          <w:sz w:val="24"/>
          <w:szCs w:val="24"/>
        </w:rPr>
        <w:t>.....................................................................................................</w:t>
      </w:r>
    </w:p>
    <w:p w14:paraId="71FA43D1" w14:textId="3C2BCDCE" w:rsidR="00C10499" w:rsidRPr="00D02751" w:rsidRDefault="00672198" w:rsidP="00AC2C7F">
      <w:pPr>
        <w:spacing w:after="120" w:line="240" w:lineRule="auto"/>
        <w:ind w:left="851"/>
        <w:jc w:val="both"/>
        <w:rPr>
          <w:rFonts w:eastAsia="Times New Roman" w:cstheme="minorHAnsi"/>
          <w:sz w:val="24"/>
          <w:szCs w:val="24"/>
          <w:lang w:eastAsia="pt-BR"/>
        </w:rPr>
      </w:pPr>
      <w:r w:rsidRPr="00D02751">
        <w:rPr>
          <w:rFonts w:eastAsia="Times New Roman" w:cstheme="minorHAnsi"/>
          <w:sz w:val="24"/>
          <w:szCs w:val="24"/>
          <w:lang w:eastAsia="pt-BR"/>
        </w:rPr>
        <w:t xml:space="preserve">Parágrafo único. </w:t>
      </w:r>
      <w:r w:rsidR="00E12FE7" w:rsidRPr="00D0275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D02751">
        <w:rPr>
          <w:rFonts w:eastAsia="Times New Roman" w:cstheme="minorHAnsi"/>
          <w:sz w:val="24"/>
          <w:szCs w:val="24"/>
          <w:lang w:eastAsia="pt-BR"/>
        </w:rPr>
        <w:t>Fica facultado à EFPC o envio da Demonstração do</w:t>
      </w:r>
      <w:r w:rsidR="00E12FE7" w:rsidRPr="00D02751">
        <w:rPr>
          <w:rFonts w:eastAsia="Times New Roman" w:cstheme="minorHAnsi"/>
          <w:sz w:val="24"/>
          <w:szCs w:val="24"/>
          <w:lang w:eastAsia="pt-BR"/>
        </w:rPr>
        <w:t xml:space="preserve"> Plano de Gestão Administrativa (</w:t>
      </w:r>
      <w:r w:rsidRPr="00D02751">
        <w:rPr>
          <w:rFonts w:eastAsia="Times New Roman" w:cstheme="minorHAnsi"/>
          <w:sz w:val="24"/>
          <w:szCs w:val="24"/>
          <w:lang w:eastAsia="pt-BR"/>
        </w:rPr>
        <w:t>DPGA</w:t>
      </w:r>
      <w:r w:rsidR="00E12FE7" w:rsidRPr="00D02751">
        <w:rPr>
          <w:rFonts w:eastAsia="Times New Roman" w:cstheme="minorHAnsi"/>
          <w:sz w:val="24"/>
          <w:szCs w:val="24"/>
          <w:lang w:eastAsia="pt-BR"/>
        </w:rPr>
        <w:t>)</w:t>
      </w:r>
      <w:r w:rsidRPr="00D02751">
        <w:rPr>
          <w:rFonts w:eastAsia="Times New Roman" w:cstheme="minorHAnsi"/>
          <w:sz w:val="24"/>
          <w:szCs w:val="24"/>
          <w:lang w:eastAsia="pt-BR"/>
        </w:rPr>
        <w:t xml:space="preserve"> por plano de benefícios.” (NR)</w:t>
      </w:r>
    </w:p>
    <w:p w14:paraId="54A4A5BA" w14:textId="7D6C1EA8" w:rsidR="003B45AD" w:rsidRPr="00D02751" w:rsidRDefault="003B45AD" w:rsidP="000B685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02751">
        <w:rPr>
          <w:rFonts w:eastAsia="Times New Roman" w:cstheme="minorHAnsi"/>
          <w:sz w:val="24"/>
          <w:szCs w:val="24"/>
          <w:lang w:eastAsia="pt-BR"/>
        </w:rPr>
        <w:t xml:space="preserve">Art. 2º </w:t>
      </w:r>
      <w:r w:rsidR="00E12FE7" w:rsidRPr="00D0275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D02751">
        <w:rPr>
          <w:rFonts w:eastAsia="Times New Roman" w:cstheme="minorHAnsi"/>
          <w:sz w:val="24"/>
          <w:szCs w:val="24"/>
          <w:lang w:eastAsia="pt-BR"/>
        </w:rPr>
        <w:t>A Instrução Previc nº 6, de 14 de novembro de 2018, passa a vigor</w:t>
      </w:r>
      <w:r w:rsidR="00A75793" w:rsidRPr="00D02751">
        <w:rPr>
          <w:rFonts w:eastAsia="Times New Roman" w:cstheme="minorHAnsi"/>
          <w:sz w:val="24"/>
          <w:szCs w:val="24"/>
          <w:lang w:eastAsia="pt-BR"/>
        </w:rPr>
        <w:t>ar com as seguintes alterações:</w:t>
      </w:r>
    </w:p>
    <w:p w14:paraId="69AB59CF" w14:textId="15E68BE1" w:rsidR="00FA78A8" w:rsidRPr="00D02751" w:rsidRDefault="00E12FE7" w:rsidP="00AC2C7F">
      <w:pPr>
        <w:spacing w:after="120" w:line="240" w:lineRule="auto"/>
        <w:ind w:left="851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D02751">
        <w:rPr>
          <w:rFonts w:eastAsia="Times New Roman" w:cstheme="minorHAnsi"/>
          <w:sz w:val="24"/>
          <w:szCs w:val="24"/>
          <w:lang w:eastAsia="pt-BR"/>
        </w:rPr>
        <w:t>“</w:t>
      </w:r>
      <w:r w:rsidR="00FA78A8" w:rsidRPr="00D02751">
        <w:rPr>
          <w:rFonts w:eastAsia="Times New Roman" w:cstheme="minorHAnsi"/>
          <w:sz w:val="24"/>
          <w:szCs w:val="24"/>
          <w:lang w:eastAsia="pt-BR"/>
        </w:rPr>
        <w:t xml:space="preserve">Art. 2º </w:t>
      </w:r>
      <w:r w:rsidRPr="00D0275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A78A8" w:rsidRPr="00D02751">
        <w:rPr>
          <w:rFonts w:eastAsia="Times New Roman" w:cstheme="minorHAnsi"/>
          <w:sz w:val="24"/>
          <w:szCs w:val="24"/>
          <w:lang w:eastAsia="pt-BR"/>
        </w:rPr>
        <w:t xml:space="preserve">A EFPC deve enviar à </w:t>
      </w:r>
      <w:r w:rsidR="00D96196" w:rsidRPr="00D02751">
        <w:rPr>
          <w:rFonts w:eastAsia="Times New Roman" w:cstheme="minorHAnsi"/>
          <w:sz w:val="24"/>
          <w:szCs w:val="24"/>
          <w:lang w:eastAsia="pt-BR"/>
        </w:rPr>
        <w:t xml:space="preserve">Previc </w:t>
      </w:r>
      <w:r w:rsidR="00FA78A8" w:rsidRPr="00D02751">
        <w:rPr>
          <w:rFonts w:eastAsia="Times New Roman" w:cstheme="minorHAnsi"/>
          <w:sz w:val="24"/>
          <w:szCs w:val="24"/>
          <w:lang w:eastAsia="pt-BR"/>
        </w:rPr>
        <w:t>as informações sobre os recursos dos planos por ela administrados, formados pelos ativos disponíveis e de investimentos, deduzidos de suas correspondentes exigibilidades, não computados os valores referentes a dívidas contratadas com os patrocinadores, observando o disposto na presente Instrução.</w:t>
      </w:r>
    </w:p>
    <w:p w14:paraId="6DA14665" w14:textId="2C7BDB0A" w:rsidR="00FA78A8" w:rsidRPr="00D02751" w:rsidRDefault="00FA78A8" w:rsidP="00AC2C7F">
      <w:pPr>
        <w:spacing w:after="120" w:line="240" w:lineRule="auto"/>
        <w:ind w:left="851"/>
        <w:jc w:val="both"/>
        <w:rPr>
          <w:rFonts w:eastAsia="Times New Roman" w:cstheme="minorHAnsi"/>
          <w:sz w:val="24"/>
          <w:szCs w:val="24"/>
          <w:lang w:eastAsia="pt-BR"/>
        </w:rPr>
      </w:pPr>
      <w:r w:rsidRPr="00D02751">
        <w:rPr>
          <w:rFonts w:eastAsia="Times New Roman" w:cstheme="minorHAnsi"/>
          <w:sz w:val="24"/>
          <w:szCs w:val="24"/>
          <w:lang w:eastAsia="pt-BR"/>
        </w:rPr>
        <w:t>Parágrafo único.</w:t>
      </w:r>
      <w:r w:rsidRPr="00D02751" w:rsidDel="007431EA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E12FE7" w:rsidRPr="00D0275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D02751">
        <w:rPr>
          <w:rFonts w:eastAsia="Times New Roman" w:cstheme="minorHAnsi"/>
          <w:sz w:val="24"/>
          <w:szCs w:val="24"/>
          <w:lang w:eastAsia="pt-BR"/>
        </w:rPr>
        <w:t xml:space="preserve">A operacionalização do envio das informações de que trata o </w:t>
      </w:r>
      <w:r w:rsidRPr="00D02751">
        <w:rPr>
          <w:rFonts w:eastAsia="Times New Roman" w:cstheme="minorHAnsi"/>
          <w:b/>
          <w:sz w:val="24"/>
          <w:szCs w:val="24"/>
          <w:lang w:eastAsia="pt-BR"/>
        </w:rPr>
        <w:t>caput</w:t>
      </w:r>
      <w:r w:rsidRPr="00D02751">
        <w:rPr>
          <w:rFonts w:eastAsia="Times New Roman" w:cstheme="minorHAnsi"/>
          <w:sz w:val="24"/>
          <w:szCs w:val="24"/>
          <w:lang w:eastAsia="pt-BR"/>
        </w:rPr>
        <w:t xml:space="preserve"> será realizada conforme Portaria da Diretoria de Fiscalização e Monitoramento (</w:t>
      </w:r>
      <w:r w:rsidR="00D96196" w:rsidRPr="00D02751">
        <w:rPr>
          <w:rFonts w:eastAsia="Times New Roman" w:cstheme="minorHAnsi"/>
          <w:sz w:val="24"/>
          <w:szCs w:val="24"/>
          <w:lang w:eastAsia="pt-BR"/>
        </w:rPr>
        <w:t>Difis</w:t>
      </w:r>
      <w:r w:rsidRPr="00D02751">
        <w:rPr>
          <w:rFonts w:eastAsia="Times New Roman" w:cstheme="minorHAnsi"/>
          <w:sz w:val="24"/>
          <w:szCs w:val="24"/>
          <w:lang w:eastAsia="pt-BR"/>
        </w:rPr>
        <w:t>) e no prazo estabelecido pela Instrução Previc nº 10, de 201</w:t>
      </w:r>
      <w:r w:rsidR="00D459D8" w:rsidRPr="00D02751">
        <w:rPr>
          <w:rFonts w:eastAsia="Times New Roman" w:cstheme="minorHAnsi"/>
          <w:sz w:val="24"/>
          <w:szCs w:val="24"/>
          <w:lang w:eastAsia="pt-BR"/>
        </w:rPr>
        <w:t>7</w:t>
      </w:r>
      <w:r w:rsidRPr="00D02751">
        <w:rPr>
          <w:rFonts w:eastAsia="Times New Roman" w:cstheme="minorHAnsi"/>
          <w:sz w:val="24"/>
          <w:szCs w:val="24"/>
          <w:lang w:eastAsia="pt-BR"/>
        </w:rPr>
        <w:t>.</w:t>
      </w:r>
      <w:r w:rsidR="00E12FE7" w:rsidRPr="00D02751">
        <w:rPr>
          <w:rFonts w:eastAsia="Times New Roman" w:cstheme="minorHAnsi"/>
          <w:sz w:val="24"/>
          <w:szCs w:val="24"/>
          <w:lang w:eastAsia="pt-BR"/>
        </w:rPr>
        <w:t>”</w:t>
      </w:r>
      <w:r w:rsidRPr="00D02751">
        <w:rPr>
          <w:rFonts w:eastAsia="Times New Roman" w:cstheme="minorHAnsi"/>
          <w:sz w:val="24"/>
          <w:szCs w:val="24"/>
          <w:lang w:eastAsia="pt-BR"/>
        </w:rPr>
        <w:t>(NR)</w:t>
      </w:r>
    </w:p>
    <w:p w14:paraId="08A88204" w14:textId="5E1B8CC5" w:rsidR="00FA78A8" w:rsidRPr="00D02751" w:rsidRDefault="00D03458" w:rsidP="000B685F">
      <w:pPr>
        <w:spacing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sz w:val="24"/>
          <w:szCs w:val="24"/>
          <w:lang w:eastAsia="pt-BR"/>
        </w:rPr>
        <w:t>“</w:t>
      </w:r>
      <w:r w:rsidR="00FA78A8" w:rsidRPr="00D02751">
        <w:rPr>
          <w:rFonts w:eastAsia="Times New Roman" w:cstheme="minorHAnsi"/>
          <w:sz w:val="24"/>
          <w:szCs w:val="24"/>
          <w:lang w:eastAsia="pt-BR"/>
        </w:rPr>
        <w:t>Seção</w:t>
      </w:r>
      <w:r w:rsidR="00FA78A8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II</w:t>
      </w:r>
    </w:p>
    <w:p w14:paraId="702E884C" w14:textId="6A34DEFE" w:rsidR="00FA78A8" w:rsidRPr="00D02751" w:rsidRDefault="00FA78A8" w:rsidP="000B685F">
      <w:pPr>
        <w:spacing w:after="12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b/>
          <w:color w:val="000000"/>
          <w:sz w:val="24"/>
          <w:szCs w:val="24"/>
          <w:lang w:eastAsia="pt-BR"/>
        </w:rPr>
        <w:t>Do Cadastro de Fundos de investimento</w:t>
      </w:r>
      <w:r w:rsidR="00D02751">
        <w:rPr>
          <w:rFonts w:eastAsia="Times New Roman" w:cstheme="minorHAnsi"/>
          <w:b/>
          <w:color w:val="000000"/>
          <w:sz w:val="24"/>
          <w:szCs w:val="24"/>
          <w:lang w:eastAsia="pt-BR"/>
        </w:rPr>
        <w:t>”</w:t>
      </w:r>
    </w:p>
    <w:p w14:paraId="442FC6DE" w14:textId="36A65C8D" w:rsidR="00FA78A8" w:rsidRPr="00D02751" w:rsidRDefault="00D02751" w:rsidP="00AC2C7F">
      <w:pPr>
        <w:spacing w:after="120" w:line="240" w:lineRule="auto"/>
        <w:ind w:left="851"/>
        <w:jc w:val="both"/>
        <w:rPr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“</w:t>
      </w:r>
      <w:r w:rsidR="00FA78A8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Art. 3º </w:t>
      </w:r>
      <w:r w:rsidR="00E12FE7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FA78A8" w:rsidRPr="00D02751">
        <w:rPr>
          <w:rFonts w:eastAsia="Times New Roman" w:cstheme="minorHAnsi"/>
          <w:color w:val="000000"/>
          <w:sz w:val="24"/>
          <w:szCs w:val="24"/>
          <w:lang w:eastAsia="pt-BR"/>
        </w:rPr>
        <w:t>A EFPC fica obrigada a manter cadastro atualizado dos fundos de investimento e dos fundos de investimento em cotas de fundos de investimento constituídos no Brasil dos quais seja cotista direta ou indiretamente.</w:t>
      </w:r>
    </w:p>
    <w:p w14:paraId="77ED04D7" w14:textId="38B5049E" w:rsidR="00FA78A8" w:rsidRPr="00D02751" w:rsidRDefault="00FA78A8" w:rsidP="00AC2C7F">
      <w:pPr>
        <w:spacing w:after="12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cstheme="minorHAnsi"/>
          <w:sz w:val="24"/>
          <w:szCs w:val="24"/>
        </w:rPr>
        <w:t xml:space="preserve">§ 1º </w:t>
      </w:r>
      <w:r w:rsidR="00BD69ED" w:rsidRPr="00D02751">
        <w:rPr>
          <w:rFonts w:cstheme="minorHAnsi"/>
          <w:sz w:val="24"/>
          <w:szCs w:val="24"/>
        </w:rPr>
        <w:t xml:space="preserve"> </w:t>
      </w:r>
      <w:r w:rsidRPr="00D02751">
        <w:rPr>
          <w:rFonts w:cstheme="minorHAnsi"/>
          <w:sz w:val="24"/>
          <w:szCs w:val="24"/>
        </w:rPr>
        <w:t>(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Revogado)</w:t>
      </w:r>
      <w:r w:rsidR="00A75793" w:rsidRPr="00D02751">
        <w:rPr>
          <w:rFonts w:eastAsia="Times New Roman" w:cstheme="minorHAnsi"/>
          <w:color w:val="000000"/>
          <w:sz w:val="24"/>
          <w:szCs w:val="24"/>
          <w:lang w:eastAsia="pt-BR"/>
        </w:rPr>
        <w:t>:</w:t>
      </w:r>
    </w:p>
    <w:p w14:paraId="5360732B" w14:textId="664BE361" w:rsidR="00FA78A8" w:rsidRPr="00D02751" w:rsidRDefault="00FA78A8" w:rsidP="00AC2C7F">
      <w:pPr>
        <w:spacing w:after="12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I </w:t>
      </w:r>
      <w:r w:rsidR="00D03458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– 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(Revogado)</w:t>
      </w:r>
      <w:r w:rsidR="00D03458" w:rsidRPr="00D02751">
        <w:rPr>
          <w:rFonts w:eastAsia="Times New Roman" w:cstheme="minorHAnsi"/>
          <w:color w:val="000000"/>
          <w:sz w:val="24"/>
          <w:szCs w:val="24"/>
          <w:lang w:eastAsia="pt-BR"/>
        </w:rPr>
        <w:t>;</w:t>
      </w:r>
    </w:p>
    <w:p w14:paraId="4AEBFC1C" w14:textId="2F20D447" w:rsidR="00FA78A8" w:rsidRPr="00D02751" w:rsidRDefault="00FA78A8" w:rsidP="00AC2C7F">
      <w:pPr>
        <w:spacing w:after="12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II </w:t>
      </w:r>
      <w:r w:rsidR="00D03458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– 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(Revogado)</w:t>
      </w:r>
      <w:r w:rsidR="00D03458" w:rsidRPr="00D02751">
        <w:rPr>
          <w:rFonts w:eastAsia="Times New Roman" w:cstheme="minorHAnsi"/>
          <w:color w:val="000000"/>
          <w:sz w:val="24"/>
          <w:szCs w:val="24"/>
          <w:lang w:eastAsia="pt-BR"/>
        </w:rPr>
        <w:t>;</w:t>
      </w:r>
    </w:p>
    <w:p w14:paraId="0ACB40B4" w14:textId="197C7978" w:rsidR="00FA78A8" w:rsidRPr="00D02751" w:rsidRDefault="00FA78A8" w:rsidP="00AC2C7F">
      <w:pPr>
        <w:spacing w:after="12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III </w:t>
      </w:r>
      <w:r w:rsidR="00D03458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– 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(Revogado)</w:t>
      </w:r>
      <w:r w:rsidR="00D03458" w:rsidRPr="00D02751">
        <w:rPr>
          <w:rFonts w:eastAsia="Times New Roman" w:cstheme="minorHAnsi"/>
          <w:color w:val="000000"/>
          <w:sz w:val="24"/>
          <w:szCs w:val="24"/>
          <w:lang w:eastAsia="pt-BR"/>
        </w:rPr>
        <w:t>;</w:t>
      </w:r>
    </w:p>
    <w:p w14:paraId="221A87A9" w14:textId="574CA39E" w:rsidR="00FA78A8" w:rsidRPr="00D02751" w:rsidRDefault="00FA78A8" w:rsidP="00AC2C7F">
      <w:pPr>
        <w:spacing w:after="12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IV </w:t>
      </w:r>
      <w:r w:rsidR="00D03458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– 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(Revogado)</w:t>
      </w:r>
      <w:r w:rsidR="00D03458" w:rsidRPr="00D02751">
        <w:rPr>
          <w:rFonts w:eastAsia="Times New Roman" w:cstheme="minorHAnsi"/>
          <w:color w:val="000000"/>
          <w:sz w:val="24"/>
          <w:szCs w:val="24"/>
          <w:lang w:eastAsia="pt-BR"/>
        </w:rPr>
        <w:t>;</w:t>
      </w:r>
    </w:p>
    <w:p w14:paraId="367A9A7B" w14:textId="322DD8FD" w:rsidR="00FA78A8" w:rsidRPr="00D02751" w:rsidRDefault="00FA78A8" w:rsidP="00AC2C7F">
      <w:pPr>
        <w:spacing w:after="12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V </w:t>
      </w:r>
      <w:r w:rsidR="00D03458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– 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(Revogado)</w:t>
      </w:r>
      <w:r w:rsidR="00D03458" w:rsidRPr="00D02751">
        <w:rPr>
          <w:rFonts w:eastAsia="Times New Roman" w:cstheme="minorHAnsi"/>
          <w:color w:val="000000"/>
          <w:sz w:val="24"/>
          <w:szCs w:val="24"/>
          <w:lang w:eastAsia="pt-BR"/>
        </w:rPr>
        <w:t>;</w:t>
      </w:r>
    </w:p>
    <w:p w14:paraId="48E106D6" w14:textId="23EA2DAA" w:rsidR="00FA78A8" w:rsidRPr="00D02751" w:rsidRDefault="00FA78A8" w:rsidP="00AC2C7F">
      <w:pPr>
        <w:spacing w:after="12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VI </w:t>
      </w:r>
      <w:r w:rsidR="00D03458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– 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(Revogado)</w:t>
      </w:r>
      <w:r w:rsidR="00D03458" w:rsidRPr="00D02751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798EF981" w14:textId="247507B2" w:rsidR="00FA78A8" w:rsidRPr="00D02751" w:rsidRDefault="00FA78A8" w:rsidP="00AC2C7F">
      <w:pPr>
        <w:spacing w:after="12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§ 2º </w:t>
      </w:r>
      <w:r w:rsidR="00BD69ED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(Revogado)</w:t>
      </w:r>
      <w:r w:rsidR="00BD69ED" w:rsidRPr="00D02751">
        <w:rPr>
          <w:rFonts w:eastAsia="Times New Roman" w:cstheme="minorHAnsi"/>
          <w:color w:val="000000"/>
          <w:sz w:val="24"/>
          <w:szCs w:val="24"/>
          <w:lang w:eastAsia="pt-BR"/>
        </w:rPr>
        <w:t>.”</w:t>
      </w:r>
      <w:r w:rsidR="00D03458" w:rsidRPr="00D02751">
        <w:rPr>
          <w:rFonts w:eastAsia="Times New Roman" w:cstheme="minorHAnsi"/>
          <w:color w:val="000000"/>
          <w:sz w:val="24"/>
          <w:szCs w:val="24"/>
          <w:lang w:eastAsia="pt-BR"/>
        </w:rPr>
        <w:t>(NR)</w:t>
      </w:r>
    </w:p>
    <w:p w14:paraId="7D06C6C4" w14:textId="5AC1CC8C" w:rsidR="00FA78A8" w:rsidRPr="00D02751" w:rsidRDefault="00D03458" w:rsidP="00AC2C7F">
      <w:pPr>
        <w:spacing w:after="12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“</w:t>
      </w:r>
      <w:r w:rsidR="00FA78A8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Art. 4º </w:t>
      </w:r>
      <w:r w:rsidR="00BD69ED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FA78A8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 EFPC, ao enviar o cadastro dos fundos de investimento e dos fundos de investimento em cotas de fundos de investimento, fica ciente de que a Previc terá acesso aos dados e informações relativas às operações e posições dos ativos financeiros pertencentes a estes fundos, a quaisquer sistemas de registro e de liquidação financeira ou depositados perante depositário central, observada a regulamentação </w:t>
      </w:r>
      <w:r w:rsidR="00BD69ED" w:rsidRPr="00D02751">
        <w:rPr>
          <w:rFonts w:eastAsia="Times New Roman" w:cstheme="minorHAnsi"/>
          <w:color w:val="000000"/>
          <w:sz w:val="24"/>
          <w:szCs w:val="24"/>
          <w:lang w:eastAsia="pt-BR"/>
        </w:rPr>
        <w:t>do Banco Central do Brasil</w:t>
      </w:r>
      <w:r w:rsidR="00FA78A8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ou da Comis</w:t>
      </w:r>
      <w:r w:rsidR="00BD69ED" w:rsidRPr="00D02751">
        <w:rPr>
          <w:rFonts w:eastAsia="Times New Roman" w:cstheme="minorHAnsi"/>
          <w:color w:val="000000"/>
          <w:sz w:val="24"/>
          <w:szCs w:val="24"/>
          <w:lang w:eastAsia="pt-BR"/>
        </w:rPr>
        <w:t>são de Valores Mobiliários</w:t>
      </w:r>
      <w:r w:rsidR="00FA78A8" w:rsidRPr="00D02751">
        <w:rPr>
          <w:rFonts w:eastAsia="Times New Roman" w:cstheme="minorHAnsi"/>
          <w:color w:val="000000"/>
          <w:sz w:val="24"/>
          <w:szCs w:val="24"/>
          <w:lang w:eastAsia="pt-BR"/>
        </w:rPr>
        <w:t>, nas suas respectivas áreas de competência.</w:t>
      </w:r>
    </w:p>
    <w:p w14:paraId="0804459E" w14:textId="2D9A01D4" w:rsidR="00FA78A8" w:rsidRPr="00D02751" w:rsidRDefault="00FA78A8" w:rsidP="00AC2C7F">
      <w:pPr>
        <w:spacing w:after="12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Parágrafo único. </w:t>
      </w:r>
      <w:r w:rsidR="00D02751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(Revogado)</w:t>
      </w:r>
      <w:r w:rsidR="00D03458" w:rsidRPr="00D02751">
        <w:rPr>
          <w:rFonts w:eastAsia="Times New Roman" w:cstheme="minorHAnsi"/>
          <w:color w:val="000000"/>
          <w:sz w:val="24"/>
          <w:szCs w:val="24"/>
          <w:lang w:eastAsia="pt-BR"/>
        </w:rPr>
        <w:t>.” (NR)</w:t>
      </w:r>
    </w:p>
    <w:p w14:paraId="2A013903" w14:textId="40A480F2" w:rsidR="00D03458" w:rsidRPr="00D02751" w:rsidRDefault="00D03458" w:rsidP="00AC2C7F">
      <w:pPr>
        <w:spacing w:after="12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“Art. 7º </w:t>
      </w:r>
      <w:r w:rsidR="00BD69ED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A75793" w:rsidRPr="00D02751">
        <w:rPr>
          <w:rFonts w:cs="Arial"/>
          <w:color w:val="000000"/>
          <w:sz w:val="24"/>
          <w:szCs w:val="24"/>
        </w:rPr>
        <w:t>...............................................................................</w:t>
      </w:r>
      <w:r w:rsidR="008F4B44">
        <w:rPr>
          <w:rFonts w:cs="Arial"/>
          <w:color w:val="000000"/>
          <w:sz w:val="24"/>
          <w:szCs w:val="24"/>
        </w:rPr>
        <w:t>........</w:t>
      </w:r>
    </w:p>
    <w:p w14:paraId="2B131C7A" w14:textId="57D0F185" w:rsidR="00D03458" w:rsidRPr="00D02751" w:rsidRDefault="00D03458" w:rsidP="00AC2C7F">
      <w:pPr>
        <w:spacing w:after="12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§ 1º </w:t>
      </w:r>
      <w:r w:rsidR="00BD69ED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O demonstrativo de investimentos de todos os planos administrados, inclusive do Plano de Gestão Administrativa (PGA), deve ser enviado pela EFPC</w:t>
      </w:r>
      <w:r w:rsidR="00D96196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à Previc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21922D92" w14:textId="04C1F2AC" w:rsidR="00D03458" w:rsidRPr="00D02751" w:rsidRDefault="00D03458" w:rsidP="00AC2C7F">
      <w:pPr>
        <w:spacing w:after="12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cs="Arial"/>
          <w:color w:val="000000"/>
          <w:sz w:val="24"/>
          <w:szCs w:val="24"/>
        </w:rPr>
        <w:t>.....................................................................................................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” (NR)</w:t>
      </w:r>
    </w:p>
    <w:p w14:paraId="472C7227" w14:textId="76215B9E" w:rsidR="00D03458" w:rsidRPr="00D02751" w:rsidRDefault="00D03458" w:rsidP="00AC2C7F">
      <w:pPr>
        <w:spacing w:after="12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“Art. 8º </w:t>
      </w:r>
      <w:r w:rsidR="00BD69ED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É obrigatório o envio das informações de todos os fundos de investimento e fundos de investimento em cotas de fundos de investimento constituídos no Brasil dos quais a EFPC seja cotista, direta ou indiretamente, cons</w:t>
      </w:r>
      <w:r w:rsidR="00BD69ED" w:rsidRPr="00D02751">
        <w:rPr>
          <w:rFonts w:eastAsia="Times New Roman" w:cstheme="minorHAnsi"/>
          <w:color w:val="000000"/>
          <w:sz w:val="24"/>
          <w:szCs w:val="24"/>
          <w:lang w:eastAsia="pt-BR"/>
        </w:rPr>
        <w:t>iderando a regulamentação da Comissão de Valores Mobiliários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.” (NR)</w:t>
      </w:r>
    </w:p>
    <w:p w14:paraId="1F876709" w14:textId="745EDBC0" w:rsidR="00D03458" w:rsidRPr="00D02751" w:rsidRDefault="00D03458" w:rsidP="00AC2C7F">
      <w:pPr>
        <w:spacing w:after="12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“Art. 9º </w:t>
      </w:r>
      <w:r w:rsidR="00BD69ED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(Revogado).” (NR)</w:t>
      </w:r>
    </w:p>
    <w:p w14:paraId="78F07827" w14:textId="2E3F34CC" w:rsidR="005C1C73" w:rsidRPr="00D02751" w:rsidRDefault="00D03458" w:rsidP="00AC2C7F">
      <w:pPr>
        <w:spacing w:after="12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“Art. 10. </w:t>
      </w:r>
      <w:r w:rsidR="00BD69ED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O envio das informações e das revisões da Política de Investimento devem ser realizados pela EFPC, conforme o estabelecido no parágrafo único do art. 2º.</w:t>
      </w:r>
    </w:p>
    <w:p w14:paraId="43E462DA" w14:textId="3F2543D1" w:rsidR="00D03458" w:rsidRPr="00D02751" w:rsidRDefault="005C1C73" w:rsidP="00AC2C7F">
      <w:pPr>
        <w:spacing w:after="12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cs="Arial"/>
          <w:color w:val="000000"/>
          <w:sz w:val="24"/>
          <w:szCs w:val="24"/>
        </w:rPr>
        <w:t>.....................................................................................................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” </w:t>
      </w:r>
      <w:r w:rsidR="00D03458" w:rsidRPr="00D02751">
        <w:rPr>
          <w:rFonts w:eastAsia="Times New Roman" w:cstheme="minorHAnsi"/>
          <w:color w:val="000000"/>
          <w:sz w:val="24"/>
          <w:szCs w:val="24"/>
          <w:lang w:eastAsia="pt-BR"/>
        </w:rPr>
        <w:t>(NR)</w:t>
      </w:r>
    </w:p>
    <w:p w14:paraId="0B57B53D" w14:textId="4B4A3B99" w:rsidR="005C1C73" w:rsidRPr="00D02751" w:rsidRDefault="005C1C73" w:rsidP="00AC2C7F">
      <w:pPr>
        <w:spacing w:after="12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“Art. 31. </w:t>
      </w:r>
      <w:r w:rsidR="00BD69ED"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A EFPC deve manter atualizadas as informações sobre exclusão ou alteração</w:t>
      </w:r>
      <w:r w:rsidRPr="00D02751" w:rsidDel="00B111F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do estoque de imóveis remanescente</w:t>
      </w:r>
      <w:r w:rsidRPr="00D02751" w:rsidDel="00E51843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na carteira própria dos quais seja proprietária diretamente antes da entrada em vigor da Resolução nº 4.661, de 2018, do Conselho Monetário Nacional, conforme o estabelecido no parágrafo único do art. 2º</w:t>
      </w:r>
      <w:r w:rsidR="00BD69ED" w:rsidRPr="00D02751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3ED09C88" w14:textId="2A31CD1F" w:rsidR="005C1C73" w:rsidRPr="00D02751" w:rsidRDefault="005C1C73" w:rsidP="00AC2C7F">
      <w:pPr>
        <w:spacing w:after="120" w:line="240" w:lineRule="auto"/>
        <w:ind w:left="851"/>
        <w:jc w:val="both"/>
        <w:rPr>
          <w:rFonts w:cstheme="minorHAnsi"/>
          <w:sz w:val="24"/>
          <w:szCs w:val="24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Parágrafo único. </w:t>
      </w:r>
      <w:r w:rsidRPr="00D02751">
        <w:rPr>
          <w:rFonts w:cstheme="minorHAnsi"/>
          <w:sz w:val="24"/>
          <w:szCs w:val="24"/>
        </w:rPr>
        <w:t>(Revogado).” (NR)</w:t>
      </w:r>
    </w:p>
    <w:p w14:paraId="62066BA0" w14:textId="2756395B" w:rsidR="005C1C73" w:rsidRPr="00D02751" w:rsidRDefault="005C1C73" w:rsidP="00AC2C7F">
      <w:pPr>
        <w:spacing w:after="12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“Art</w:t>
      </w:r>
      <w:r w:rsidRPr="00D02751">
        <w:rPr>
          <w:rFonts w:eastAsia="Times New Roman" w:cstheme="minorHAnsi"/>
          <w:sz w:val="24"/>
          <w:szCs w:val="24"/>
          <w:lang w:eastAsia="pt-BR"/>
        </w:rPr>
        <w:t xml:space="preserve">. 34. </w:t>
      </w:r>
      <w:r w:rsidR="00BD69ED" w:rsidRPr="00D0275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D02751">
        <w:rPr>
          <w:rFonts w:cstheme="minorHAnsi"/>
          <w:sz w:val="24"/>
          <w:szCs w:val="24"/>
        </w:rPr>
        <w:t>Esta instrução não se aplica aos planos de assistência à saúde a que se refere o art. 76 da Lei Complementar nº 109, de 29 de maio de 2001, registrados na Agência Nac</w:t>
      </w:r>
      <w:r w:rsidR="00BD69ED" w:rsidRPr="00D02751">
        <w:rPr>
          <w:rFonts w:cstheme="minorHAnsi"/>
          <w:sz w:val="24"/>
          <w:szCs w:val="24"/>
        </w:rPr>
        <w:t>ional de Saúde Suplementar</w:t>
      </w:r>
      <w:r w:rsidRPr="00D02751">
        <w:rPr>
          <w:rFonts w:cstheme="minorHAnsi"/>
          <w:sz w:val="24"/>
          <w:szCs w:val="24"/>
        </w:rPr>
        <w:t>.” (NR)</w:t>
      </w:r>
    </w:p>
    <w:p w14:paraId="517F5C66" w14:textId="16F5A005" w:rsidR="009831CD" w:rsidRPr="00D02751" w:rsidRDefault="00D34298" w:rsidP="000B685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02751">
        <w:rPr>
          <w:rFonts w:eastAsia="Times New Roman" w:cstheme="minorHAnsi"/>
          <w:sz w:val="24"/>
          <w:szCs w:val="24"/>
          <w:lang w:eastAsia="pt-BR"/>
        </w:rPr>
        <w:t xml:space="preserve">Art. 3º </w:t>
      </w:r>
      <w:r w:rsidR="00BD69ED" w:rsidRPr="00D0275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55571" w:rsidRPr="00D02751">
        <w:rPr>
          <w:rFonts w:eastAsia="Times New Roman" w:cstheme="minorHAnsi"/>
          <w:sz w:val="24"/>
          <w:szCs w:val="24"/>
          <w:lang w:eastAsia="pt-BR"/>
        </w:rPr>
        <w:t xml:space="preserve">Esta instrução entra em vigor </w:t>
      </w:r>
      <w:r w:rsidR="00BD69ED" w:rsidRPr="00D02751">
        <w:rPr>
          <w:rFonts w:eastAsia="Times New Roman" w:cstheme="minorHAnsi"/>
          <w:sz w:val="24"/>
          <w:szCs w:val="24"/>
          <w:lang w:eastAsia="pt-BR"/>
        </w:rPr>
        <w:t>no [número ordinal por extenso] dia do [número ordinal por extenso] mês após a data da publicação</w:t>
      </w:r>
      <w:r w:rsidR="009831CD" w:rsidRPr="00D02751"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="009831CD" w:rsidRPr="00D02751">
        <w:rPr>
          <w:rFonts w:eastAsia="Times New Roman" w:cstheme="minorHAnsi"/>
          <w:sz w:val="24"/>
          <w:szCs w:val="24"/>
          <w:highlight w:val="yellow"/>
          <w:lang w:eastAsia="pt-BR"/>
        </w:rPr>
        <w:t>OU</w:t>
      </w:r>
    </w:p>
    <w:p w14:paraId="37D72C60" w14:textId="52C273E1" w:rsidR="00A55571" w:rsidRPr="00D02751" w:rsidRDefault="009831CD" w:rsidP="000B685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02751">
        <w:rPr>
          <w:rFonts w:eastAsia="Times New Roman" w:cstheme="minorHAnsi"/>
          <w:sz w:val="24"/>
          <w:szCs w:val="24"/>
          <w:lang w:eastAsia="pt-BR"/>
        </w:rPr>
        <w:t>Art. 3º  Esta instrução entra em vigor em [data por extenso]</w:t>
      </w:r>
      <w:r w:rsidR="00A55571" w:rsidRPr="00D02751">
        <w:rPr>
          <w:rFonts w:eastAsia="Times New Roman" w:cstheme="minorHAnsi"/>
          <w:sz w:val="24"/>
          <w:szCs w:val="24"/>
          <w:lang w:eastAsia="pt-BR"/>
        </w:rPr>
        <w:t>.</w:t>
      </w:r>
    </w:p>
    <w:p w14:paraId="3AC8DBAF" w14:textId="36A06732" w:rsidR="00AC322D" w:rsidRPr="00D02751" w:rsidRDefault="00AC322D" w:rsidP="000B685F">
      <w:pPr>
        <w:spacing w:after="120" w:line="240" w:lineRule="auto"/>
        <w:jc w:val="both"/>
        <w:rPr>
          <w:sz w:val="24"/>
          <w:szCs w:val="24"/>
        </w:rPr>
      </w:pPr>
      <w:r w:rsidRPr="00D02751">
        <w:rPr>
          <w:rFonts w:eastAsia="Times New Roman" w:cs="Arial"/>
          <w:color w:val="000000"/>
          <w:sz w:val="24"/>
          <w:szCs w:val="24"/>
          <w:lang w:eastAsia="pt-BR"/>
        </w:rPr>
        <w:t xml:space="preserve">Parágrafo único. </w:t>
      </w:r>
      <w:r w:rsidR="00BD69ED" w:rsidRPr="00D02751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Pr="00D02751">
        <w:rPr>
          <w:rFonts w:eastAsia="Times New Roman" w:cs="Arial"/>
          <w:color w:val="000000"/>
          <w:sz w:val="24"/>
          <w:szCs w:val="24"/>
          <w:lang w:eastAsia="pt-BR"/>
        </w:rPr>
        <w:t>As E</w:t>
      </w:r>
      <w:r w:rsidR="00BD69ED" w:rsidRPr="00D02751">
        <w:rPr>
          <w:rFonts w:eastAsia="Times New Roman" w:cs="Arial"/>
          <w:color w:val="000000"/>
          <w:sz w:val="24"/>
          <w:szCs w:val="24"/>
          <w:lang w:eastAsia="pt-BR"/>
        </w:rPr>
        <w:t>FPC devem se adaptar em até noventa</w:t>
      </w:r>
      <w:r w:rsidRPr="00D02751">
        <w:rPr>
          <w:rFonts w:eastAsia="Times New Roman" w:cs="Arial"/>
          <w:color w:val="000000"/>
          <w:sz w:val="24"/>
          <w:szCs w:val="24"/>
          <w:lang w:eastAsia="pt-BR"/>
        </w:rPr>
        <w:t xml:space="preserve"> dias, contados a partir da data</w:t>
      </w:r>
      <w:r w:rsidR="00BD69ED" w:rsidRPr="00D02751">
        <w:rPr>
          <w:rFonts w:eastAsia="Times New Roman" w:cs="Arial"/>
          <w:color w:val="000000"/>
          <w:sz w:val="24"/>
          <w:szCs w:val="24"/>
          <w:lang w:eastAsia="pt-BR"/>
        </w:rPr>
        <w:t xml:space="preserve"> de publicação desta i</w:t>
      </w:r>
      <w:r w:rsidRPr="00D02751">
        <w:rPr>
          <w:rFonts w:eastAsia="Times New Roman" w:cs="Arial"/>
          <w:color w:val="000000"/>
          <w:sz w:val="24"/>
          <w:szCs w:val="24"/>
          <w:lang w:eastAsia="pt-BR"/>
        </w:rPr>
        <w:t xml:space="preserve">nstrução, às regras para </w:t>
      </w:r>
      <w:r w:rsidRPr="00D02751">
        <w:rPr>
          <w:rFonts w:eastAsia="Times New Roman" w:cstheme="minorHAnsi"/>
          <w:sz w:val="24"/>
          <w:szCs w:val="24"/>
          <w:lang w:eastAsia="pt-BR"/>
        </w:rPr>
        <w:t>envio à Previc do cadastro de fundos de investimento e de fundos de investimento em cotas de fundos de investimento constituídos no Brasil dos quais seja cotista direta ou indiretamente, das informações sobre operações com participantes e política de investimento de plano de benefícios.</w:t>
      </w:r>
    </w:p>
    <w:p w14:paraId="54CE34BE" w14:textId="77777777" w:rsidR="0033417E" w:rsidRPr="00D02751" w:rsidRDefault="0033417E" w:rsidP="000B685F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05CA3D03" w14:textId="5AD6AA32" w:rsidR="0033417E" w:rsidRPr="00D02751" w:rsidRDefault="00C10499" w:rsidP="002437A7">
      <w:pPr>
        <w:spacing w:after="12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Brasília-DF, XX de </w:t>
      </w:r>
      <w:r w:rsidR="00BD69ED" w:rsidRPr="00D02751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20</w:t>
      </w:r>
      <w:r w:rsidR="00BD69ED" w:rsidRPr="00D02751">
        <w:rPr>
          <w:rFonts w:eastAsia="Times New Roman" w:cstheme="minorHAnsi"/>
          <w:color w:val="000000"/>
          <w:sz w:val="24"/>
          <w:szCs w:val="24"/>
          <w:lang w:eastAsia="pt-BR"/>
        </w:rPr>
        <w:t>XX</w:t>
      </w:r>
    </w:p>
    <w:p w14:paraId="3E8BB46E" w14:textId="784C3952" w:rsidR="0033417E" w:rsidRPr="00D02751" w:rsidRDefault="0033417E" w:rsidP="00BD69ED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031C550A" w14:textId="77777777" w:rsidR="007E7BB9" w:rsidRPr="00D02751" w:rsidRDefault="007E7BB9" w:rsidP="007E7BB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NOME DA AUTORIDADE COMPETENTE </w:t>
      </w:r>
    </w:p>
    <w:p w14:paraId="70F71707" w14:textId="77777777" w:rsidR="007E7BB9" w:rsidRPr="00D02751" w:rsidRDefault="007E7BB9" w:rsidP="007E7BB9">
      <w:pPr>
        <w:jc w:val="center"/>
        <w:rPr>
          <w:sz w:val="24"/>
          <w:szCs w:val="24"/>
        </w:rPr>
      </w:pPr>
      <w:r w:rsidRPr="00D02751">
        <w:rPr>
          <w:rFonts w:eastAsia="Times New Roman" w:cstheme="minorHAnsi"/>
          <w:color w:val="000000"/>
          <w:sz w:val="24"/>
          <w:szCs w:val="24"/>
          <w:lang w:eastAsia="pt-BR"/>
        </w:rPr>
        <w:t>Cargo da Autoridade Competente</w:t>
      </w:r>
    </w:p>
    <w:p w14:paraId="58230061" w14:textId="455C5B03" w:rsidR="0033417E" w:rsidRPr="00D02751" w:rsidRDefault="0033417E" w:rsidP="007E7BB9">
      <w:pPr>
        <w:spacing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sectPr w:rsidR="0033417E" w:rsidRPr="00D02751" w:rsidSect="00796FFC">
      <w:headerReference w:type="even" r:id="rId9"/>
      <w:headerReference w:type="default" r:id="rId10"/>
      <w:headerReference w:type="first" r:id="rId11"/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4C340" w14:textId="77777777" w:rsidR="00D02751" w:rsidRDefault="00D02751" w:rsidP="007836F1">
      <w:pPr>
        <w:spacing w:after="0" w:line="240" w:lineRule="auto"/>
      </w:pPr>
      <w:r>
        <w:separator/>
      </w:r>
    </w:p>
  </w:endnote>
  <w:endnote w:type="continuationSeparator" w:id="0">
    <w:p w14:paraId="0142F7DF" w14:textId="77777777" w:rsidR="00D02751" w:rsidRDefault="00D02751" w:rsidP="007836F1">
      <w:pPr>
        <w:spacing w:after="0" w:line="240" w:lineRule="auto"/>
      </w:pPr>
      <w:r>
        <w:continuationSeparator/>
      </w:r>
    </w:p>
  </w:endnote>
  <w:endnote w:type="continuationNotice" w:id="1">
    <w:p w14:paraId="0C966751" w14:textId="77777777" w:rsidR="00D02751" w:rsidRDefault="00D02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0DDCC" w14:textId="77777777" w:rsidR="00D02751" w:rsidRDefault="00D02751" w:rsidP="007836F1">
      <w:pPr>
        <w:spacing w:after="0" w:line="240" w:lineRule="auto"/>
      </w:pPr>
      <w:r>
        <w:separator/>
      </w:r>
    </w:p>
  </w:footnote>
  <w:footnote w:type="continuationSeparator" w:id="0">
    <w:p w14:paraId="7B5FEC90" w14:textId="77777777" w:rsidR="00D02751" w:rsidRDefault="00D02751" w:rsidP="007836F1">
      <w:pPr>
        <w:spacing w:after="0" w:line="240" w:lineRule="auto"/>
      </w:pPr>
      <w:r>
        <w:continuationSeparator/>
      </w:r>
    </w:p>
  </w:footnote>
  <w:footnote w:type="continuationNotice" w:id="1">
    <w:p w14:paraId="5C7C8664" w14:textId="77777777" w:rsidR="00D02751" w:rsidRDefault="00D027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37A0C3" w14:textId="77777777" w:rsidR="00D02751" w:rsidRDefault="00C16BC3">
    <w:pPr>
      <w:pStyle w:val="Header"/>
    </w:pPr>
    <w:r>
      <w:rPr>
        <w:noProof/>
      </w:rPr>
      <w:pict w14:anchorId="3B75AD57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192751" o:spid="_x0000_s2050" type="#_x0000_t136" style="position:absolute;margin-left:0;margin-top:0;width:503.6pt;height:215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89B5AF" w14:textId="77777777" w:rsidR="00D02751" w:rsidRDefault="00C16BC3">
    <w:pPr>
      <w:pStyle w:val="Header"/>
    </w:pPr>
    <w:r>
      <w:rPr>
        <w:noProof/>
      </w:rPr>
      <w:pict w14:anchorId="2C87C97C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192752" o:spid="_x0000_s2051" type="#_x0000_t136" style="position:absolute;margin-left:0;margin-top:0;width:503.6pt;height:215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1CF487D" w14:textId="77777777" w:rsidR="00D02751" w:rsidRDefault="00C16BC3">
    <w:pPr>
      <w:pStyle w:val="Header"/>
    </w:pPr>
    <w:r>
      <w:rPr>
        <w:noProof/>
      </w:rPr>
      <w:pict w14:anchorId="70495C9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192750" o:spid="_x0000_s2049" type="#_x0000_t136" style="position:absolute;margin-left:0;margin-top:0;width:503.6pt;height:215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3CE4"/>
    <w:multiLevelType w:val="hybridMultilevel"/>
    <w:tmpl w:val="7E0C0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C7BA3"/>
    <w:multiLevelType w:val="multilevel"/>
    <w:tmpl w:val="C29A2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5A"/>
    <w:rsid w:val="00001DF4"/>
    <w:rsid w:val="00004984"/>
    <w:rsid w:val="000078F2"/>
    <w:rsid w:val="0001509B"/>
    <w:rsid w:val="00015BFE"/>
    <w:rsid w:val="00024403"/>
    <w:rsid w:val="00024E20"/>
    <w:rsid w:val="00026043"/>
    <w:rsid w:val="00031972"/>
    <w:rsid w:val="00032A0E"/>
    <w:rsid w:val="00032F2B"/>
    <w:rsid w:val="00036C28"/>
    <w:rsid w:val="000515F2"/>
    <w:rsid w:val="000538F3"/>
    <w:rsid w:val="00060AF5"/>
    <w:rsid w:val="00064B0B"/>
    <w:rsid w:val="000734DB"/>
    <w:rsid w:val="000772FE"/>
    <w:rsid w:val="00083D4E"/>
    <w:rsid w:val="00087DF3"/>
    <w:rsid w:val="000A7315"/>
    <w:rsid w:val="000B3BD6"/>
    <w:rsid w:val="000B3F36"/>
    <w:rsid w:val="000B67DB"/>
    <w:rsid w:val="000B685F"/>
    <w:rsid w:val="000C28EA"/>
    <w:rsid w:val="000C3B41"/>
    <w:rsid w:val="000D27A0"/>
    <w:rsid w:val="000D3546"/>
    <w:rsid w:val="000D68F6"/>
    <w:rsid w:val="000E5057"/>
    <w:rsid w:val="000E61E7"/>
    <w:rsid w:val="000F0BF4"/>
    <w:rsid w:val="000F0D43"/>
    <w:rsid w:val="000F3616"/>
    <w:rsid w:val="000F5219"/>
    <w:rsid w:val="001022FF"/>
    <w:rsid w:val="001044D7"/>
    <w:rsid w:val="00104E47"/>
    <w:rsid w:val="001068A9"/>
    <w:rsid w:val="00110FF0"/>
    <w:rsid w:val="00112498"/>
    <w:rsid w:val="00114178"/>
    <w:rsid w:val="00126CBD"/>
    <w:rsid w:val="00135175"/>
    <w:rsid w:val="00141721"/>
    <w:rsid w:val="00142984"/>
    <w:rsid w:val="00145D24"/>
    <w:rsid w:val="001507A7"/>
    <w:rsid w:val="00154C58"/>
    <w:rsid w:val="00155493"/>
    <w:rsid w:val="00157CE4"/>
    <w:rsid w:val="001633D1"/>
    <w:rsid w:val="00163541"/>
    <w:rsid w:val="00181D9F"/>
    <w:rsid w:val="0018464F"/>
    <w:rsid w:val="00191EF2"/>
    <w:rsid w:val="00192543"/>
    <w:rsid w:val="00195AC5"/>
    <w:rsid w:val="0019686F"/>
    <w:rsid w:val="001A0AD9"/>
    <w:rsid w:val="001B2A3C"/>
    <w:rsid w:val="001C1096"/>
    <w:rsid w:val="001C2386"/>
    <w:rsid w:val="001D0CD3"/>
    <w:rsid w:val="001D33DF"/>
    <w:rsid w:val="001D4A5F"/>
    <w:rsid w:val="001D700A"/>
    <w:rsid w:val="001E643A"/>
    <w:rsid w:val="002001F3"/>
    <w:rsid w:val="002035C3"/>
    <w:rsid w:val="00203C65"/>
    <w:rsid w:val="00213BB8"/>
    <w:rsid w:val="00215D6E"/>
    <w:rsid w:val="00222497"/>
    <w:rsid w:val="002277D8"/>
    <w:rsid w:val="00227D8A"/>
    <w:rsid w:val="00230C5D"/>
    <w:rsid w:val="002351A3"/>
    <w:rsid w:val="002354C9"/>
    <w:rsid w:val="0023685C"/>
    <w:rsid w:val="00241A9D"/>
    <w:rsid w:val="00242D36"/>
    <w:rsid w:val="00243131"/>
    <w:rsid w:val="002437A7"/>
    <w:rsid w:val="00243EEC"/>
    <w:rsid w:val="0025581F"/>
    <w:rsid w:val="00257F70"/>
    <w:rsid w:val="00264D08"/>
    <w:rsid w:val="00267B85"/>
    <w:rsid w:val="00273BE9"/>
    <w:rsid w:val="0027547A"/>
    <w:rsid w:val="00277697"/>
    <w:rsid w:val="002907FE"/>
    <w:rsid w:val="00294CFF"/>
    <w:rsid w:val="00294E8E"/>
    <w:rsid w:val="0029674B"/>
    <w:rsid w:val="002B10DA"/>
    <w:rsid w:val="002B1E18"/>
    <w:rsid w:val="002B400E"/>
    <w:rsid w:val="002B4F0F"/>
    <w:rsid w:val="002B4FC4"/>
    <w:rsid w:val="002B51A0"/>
    <w:rsid w:val="002C400B"/>
    <w:rsid w:val="002D6DAF"/>
    <w:rsid w:val="002E5F2A"/>
    <w:rsid w:val="002E745C"/>
    <w:rsid w:val="002F3E06"/>
    <w:rsid w:val="00300B67"/>
    <w:rsid w:val="003012ED"/>
    <w:rsid w:val="00301332"/>
    <w:rsid w:val="003069C3"/>
    <w:rsid w:val="00315B9A"/>
    <w:rsid w:val="0032050F"/>
    <w:rsid w:val="00323EF1"/>
    <w:rsid w:val="003262D9"/>
    <w:rsid w:val="00330B2B"/>
    <w:rsid w:val="0033417E"/>
    <w:rsid w:val="00334E35"/>
    <w:rsid w:val="00340444"/>
    <w:rsid w:val="00340F8E"/>
    <w:rsid w:val="00342620"/>
    <w:rsid w:val="00355021"/>
    <w:rsid w:val="0037786D"/>
    <w:rsid w:val="00377ADA"/>
    <w:rsid w:val="00377E6C"/>
    <w:rsid w:val="003834E4"/>
    <w:rsid w:val="00384D11"/>
    <w:rsid w:val="003A215F"/>
    <w:rsid w:val="003A2A1B"/>
    <w:rsid w:val="003A2B88"/>
    <w:rsid w:val="003A3FCA"/>
    <w:rsid w:val="003A5593"/>
    <w:rsid w:val="003A575C"/>
    <w:rsid w:val="003B45AD"/>
    <w:rsid w:val="003D455A"/>
    <w:rsid w:val="003D6E6B"/>
    <w:rsid w:val="003E5190"/>
    <w:rsid w:val="003E6569"/>
    <w:rsid w:val="003F79A6"/>
    <w:rsid w:val="00400644"/>
    <w:rsid w:val="00411173"/>
    <w:rsid w:val="00422134"/>
    <w:rsid w:val="004229A1"/>
    <w:rsid w:val="004242DA"/>
    <w:rsid w:val="00430A20"/>
    <w:rsid w:val="00434383"/>
    <w:rsid w:val="00442B36"/>
    <w:rsid w:val="004451EA"/>
    <w:rsid w:val="0044535A"/>
    <w:rsid w:val="00451772"/>
    <w:rsid w:val="00460287"/>
    <w:rsid w:val="00464510"/>
    <w:rsid w:val="00467393"/>
    <w:rsid w:val="0047056D"/>
    <w:rsid w:val="0047057C"/>
    <w:rsid w:val="00470D03"/>
    <w:rsid w:val="00476502"/>
    <w:rsid w:val="00483A37"/>
    <w:rsid w:val="004857A0"/>
    <w:rsid w:val="0049265D"/>
    <w:rsid w:val="004A1D94"/>
    <w:rsid w:val="004A3595"/>
    <w:rsid w:val="004A3888"/>
    <w:rsid w:val="004A4CDE"/>
    <w:rsid w:val="004A785C"/>
    <w:rsid w:val="004B20E5"/>
    <w:rsid w:val="004B430E"/>
    <w:rsid w:val="004B63C0"/>
    <w:rsid w:val="004C24C4"/>
    <w:rsid w:val="004E4577"/>
    <w:rsid w:val="004F192A"/>
    <w:rsid w:val="004F2B81"/>
    <w:rsid w:val="004F529D"/>
    <w:rsid w:val="00502DB9"/>
    <w:rsid w:val="005053F8"/>
    <w:rsid w:val="00513A99"/>
    <w:rsid w:val="0052389A"/>
    <w:rsid w:val="00530208"/>
    <w:rsid w:val="00534147"/>
    <w:rsid w:val="00544E18"/>
    <w:rsid w:val="005555E7"/>
    <w:rsid w:val="0055736D"/>
    <w:rsid w:val="005575AF"/>
    <w:rsid w:val="00571350"/>
    <w:rsid w:val="00575B8C"/>
    <w:rsid w:val="00575D30"/>
    <w:rsid w:val="0057679E"/>
    <w:rsid w:val="00576968"/>
    <w:rsid w:val="00581463"/>
    <w:rsid w:val="00582A5C"/>
    <w:rsid w:val="00582AB0"/>
    <w:rsid w:val="00583691"/>
    <w:rsid w:val="00583C01"/>
    <w:rsid w:val="00585B36"/>
    <w:rsid w:val="005934BF"/>
    <w:rsid w:val="005A2DE8"/>
    <w:rsid w:val="005A341B"/>
    <w:rsid w:val="005B1F42"/>
    <w:rsid w:val="005B7400"/>
    <w:rsid w:val="005C1C73"/>
    <w:rsid w:val="005C2FAD"/>
    <w:rsid w:val="005D22DB"/>
    <w:rsid w:val="005D2683"/>
    <w:rsid w:val="006019D8"/>
    <w:rsid w:val="00602681"/>
    <w:rsid w:val="0061056F"/>
    <w:rsid w:val="00621D54"/>
    <w:rsid w:val="006232D4"/>
    <w:rsid w:val="00635C74"/>
    <w:rsid w:val="006412A9"/>
    <w:rsid w:val="00647E8B"/>
    <w:rsid w:val="00652DAF"/>
    <w:rsid w:val="00656A18"/>
    <w:rsid w:val="006703D3"/>
    <w:rsid w:val="006709EF"/>
    <w:rsid w:val="00672198"/>
    <w:rsid w:val="00672889"/>
    <w:rsid w:val="00672FB8"/>
    <w:rsid w:val="00675B96"/>
    <w:rsid w:val="006766DC"/>
    <w:rsid w:val="0068289B"/>
    <w:rsid w:val="00690491"/>
    <w:rsid w:val="006940C0"/>
    <w:rsid w:val="00694480"/>
    <w:rsid w:val="006A20A6"/>
    <w:rsid w:val="006A6FA0"/>
    <w:rsid w:val="006A72A8"/>
    <w:rsid w:val="006A7DCE"/>
    <w:rsid w:val="006B7EC3"/>
    <w:rsid w:val="006D7B3F"/>
    <w:rsid w:val="006E45E1"/>
    <w:rsid w:val="006E6391"/>
    <w:rsid w:val="006F1634"/>
    <w:rsid w:val="006F284E"/>
    <w:rsid w:val="006F7BB4"/>
    <w:rsid w:val="00700331"/>
    <w:rsid w:val="00701E48"/>
    <w:rsid w:val="00701F14"/>
    <w:rsid w:val="00702D5B"/>
    <w:rsid w:val="0070424E"/>
    <w:rsid w:val="0070502D"/>
    <w:rsid w:val="00706733"/>
    <w:rsid w:val="00706763"/>
    <w:rsid w:val="00707B37"/>
    <w:rsid w:val="007114AC"/>
    <w:rsid w:val="00713F38"/>
    <w:rsid w:val="007245B7"/>
    <w:rsid w:val="0073006E"/>
    <w:rsid w:val="007431EA"/>
    <w:rsid w:val="00751021"/>
    <w:rsid w:val="00751588"/>
    <w:rsid w:val="00751CBD"/>
    <w:rsid w:val="00755774"/>
    <w:rsid w:val="00760815"/>
    <w:rsid w:val="00765C0A"/>
    <w:rsid w:val="00766B6F"/>
    <w:rsid w:val="00767488"/>
    <w:rsid w:val="00770056"/>
    <w:rsid w:val="00774527"/>
    <w:rsid w:val="00780FF4"/>
    <w:rsid w:val="007836F1"/>
    <w:rsid w:val="00794AC6"/>
    <w:rsid w:val="00795501"/>
    <w:rsid w:val="00796FFC"/>
    <w:rsid w:val="00797265"/>
    <w:rsid w:val="007973D6"/>
    <w:rsid w:val="007A1D27"/>
    <w:rsid w:val="007A1F2B"/>
    <w:rsid w:val="007A7AF0"/>
    <w:rsid w:val="007B16BB"/>
    <w:rsid w:val="007B6A3D"/>
    <w:rsid w:val="007C0B70"/>
    <w:rsid w:val="007C1258"/>
    <w:rsid w:val="007C6E6D"/>
    <w:rsid w:val="007D46FE"/>
    <w:rsid w:val="007D6791"/>
    <w:rsid w:val="007E1D79"/>
    <w:rsid w:val="007E39E3"/>
    <w:rsid w:val="007E7BB9"/>
    <w:rsid w:val="007F6595"/>
    <w:rsid w:val="008002F3"/>
    <w:rsid w:val="008040B8"/>
    <w:rsid w:val="00812EE9"/>
    <w:rsid w:val="0082261D"/>
    <w:rsid w:val="008260A7"/>
    <w:rsid w:val="00827117"/>
    <w:rsid w:val="008302DB"/>
    <w:rsid w:val="008322BF"/>
    <w:rsid w:val="00832569"/>
    <w:rsid w:val="0084086B"/>
    <w:rsid w:val="0084164E"/>
    <w:rsid w:val="00842B4F"/>
    <w:rsid w:val="00845AFE"/>
    <w:rsid w:val="008642DE"/>
    <w:rsid w:val="00866080"/>
    <w:rsid w:val="00870024"/>
    <w:rsid w:val="00870708"/>
    <w:rsid w:val="008803C1"/>
    <w:rsid w:val="00880440"/>
    <w:rsid w:val="00885F24"/>
    <w:rsid w:val="00886873"/>
    <w:rsid w:val="00887C0E"/>
    <w:rsid w:val="00893442"/>
    <w:rsid w:val="008A6685"/>
    <w:rsid w:val="008B7365"/>
    <w:rsid w:val="008B73DC"/>
    <w:rsid w:val="008C2BE9"/>
    <w:rsid w:val="008D6B91"/>
    <w:rsid w:val="008E2AC3"/>
    <w:rsid w:val="008E2E5A"/>
    <w:rsid w:val="008F1BA2"/>
    <w:rsid w:val="008F1D9A"/>
    <w:rsid w:val="008F2715"/>
    <w:rsid w:val="008F2942"/>
    <w:rsid w:val="008F4B44"/>
    <w:rsid w:val="008F54CB"/>
    <w:rsid w:val="00901E3F"/>
    <w:rsid w:val="0090217B"/>
    <w:rsid w:val="0090242F"/>
    <w:rsid w:val="00903462"/>
    <w:rsid w:val="009049C6"/>
    <w:rsid w:val="009060DA"/>
    <w:rsid w:val="00910112"/>
    <w:rsid w:val="009122E5"/>
    <w:rsid w:val="00912C65"/>
    <w:rsid w:val="00922634"/>
    <w:rsid w:val="009314C2"/>
    <w:rsid w:val="00934BC3"/>
    <w:rsid w:val="0093740B"/>
    <w:rsid w:val="009455FD"/>
    <w:rsid w:val="0094584E"/>
    <w:rsid w:val="00952304"/>
    <w:rsid w:val="0095591D"/>
    <w:rsid w:val="00960D57"/>
    <w:rsid w:val="0096190B"/>
    <w:rsid w:val="009623F0"/>
    <w:rsid w:val="00962A14"/>
    <w:rsid w:val="00973F2E"/>
    <w:rsid w:val="00981204"/>
    <w:rsid w:val="009831CD"/>
    <w:rsid w:val="009924F6"/>
    <w:rsid w:val="00992B72"/>
    <w:rsid w:val="00994C39"/>
    <w:rsid w:val="00994DC4"/>
    <w:rsid w:val="00995957"/>
    <w:rsid w:val="009B09F5"/>
    <w:rsid w:val="009B24A1"/>
    <w:rsid w:val="009C16DF"/>
    <w:rsid w:val="009C750F"/>
    <w:rsid w:val="009D2CE9"/>
    <w:rsid w:val="009E496A"/>
    <w:rsid w:val="009F03DE"/>
    <w:rsid w:val="009F3D82"/>
    <w:rsid w:val="00A119C6"/>
    <w:rsid w:val="00A14744"/>
    <w:rsid w:val="00A2069C"/>
    <w:rsid w:val="00A23C83"/>
    <w:rsid w:val="00A25B30"/>
    <w:rsid w:val="00A2612F"/>
    <w:rsid w:val="00A40C1F"/>
    <w:rsid w:val="00A47A97"/>
    <w:rsid w:val="00A500B5"/>
    <w:rsid w:val="00A51950"/>
    <w:rsid w:val="00A536F6"/>
    <w:rsid w:val="00A55571"/>
    <w:rsid w:val="00A56B15"/>
    <w:rsid w:val="00A57C36"/>
    <w:rsid w:val="00A67336"/>
    <w:rsid w:val="00A74207"/>
    <w:rsid w:val="00A75793"/>
    <w:rsid w:val="00A82D38"/>
    <w:rsid w:val="00A82FF7"/>
    <w:rsid w:val="00A8749E"/>
    <w:rsid w:val="00AA3BB7"/>
    <w:rsid w:val="00AA4392"/>
    <w:rsid w:val="00AB1C97"/>
    <w:rsid w:val="00AB4199"/>
    <w:rsid w:val="00AB4231"/>
    <w:rsid w:val="00AC2C7F"/>
    <w:rsid w:val="00AC322D"/>
    <w:rsid w:val="00AC3C72"/>
    <w:rsid w:val="00AD7F52"/>
    <w:rsid w:val="00AE279E"/>
    <w:rsid w:val="00AE7DF6"/>
    <w:rsid w:val="00B012E2"/>
    <w:rsid w:val="00B024DB"/>
    <w:rsid w:val="00B111F1"/>
    <w:rsid w:val="00B11EC1"/>
    <w:rsid w:val="00B164A5"/>
    <w:rsid w:val="00B20F0E"/>
    <w:rsid w:val="00B235D2"/>
    <w:rsid w:val="00B23E8E"/>
    <w:rsid w:val="00B30153"/>
    <w:rsid w:val="00B3150D"/>
    <w:rsid w:val="00B326A2"/>
    <w:rsid w:val="00B3297A"/>
    <w:rsid w:val="00B36690"/>
    <w:rsid w:val="00B422AB"/>
    <w:rsid w:val="00B43D4D"/>
    <w:rsid w:val="00B50CCD"/>
    <w:rsid w:val="00B51D06"/>
    <w:rsid w:val="00B574E3"/>
    <w:rsid w:val="00B6394A"/>
    <w:rsid w:val="00B6757A"/>
    <w:rsid w:val="00B75347"/>
    <w:rsid w:val="00B761B6"/>
    <w:rsid w:val="00B926EF"/>
    <w:rsid w:val="00B9747A"/>
    <w:rsid w:val="00BA188C"/>
    <w:rsid w:val="00BA4085"/>
    <w:rsid w:val="00BA4643"/>
    <w:rsid w:val="00BA4D4E"/>
    <w:rsid w:val="00BB33E8"/>
    <w:rsid w:val="00BB4AC2"/>
    <w:rsid w:val="00BB6513"/>
    <w:rsid w:val="00BC2D07"/>
    <w:rsid w:val="00BD0770"/>
    <w:rsid w:val="00BD69ED"/>
    <w:rsid w:val="00BE1035"/>
    <w:rsid w:val="00BE345B"/>
    <w:rsid w:val="00BE4C77"/>
    <w:rsid w:val="00BE5E4B"/>
    <w:rsid w:val="00BF02C6"/>
    <w:rsid w:val="00BF12BB"/>
    <w:rsid w:val="00BF521C"/>
    <w:rsid w:val="00BF5935"/>
    <w:rsid w:val="00BF7067"/>
    <w:rsid w:val="00C001BB"/>
    <w:rsid w:val="00C10499"/>
    <w:rsid w:val="00C12767"/>
    <w:rsid w:val="00C16BC3"/>
    <w:rsid w:val="00C23A87"/>
    <w:rsid w:val="00C25A85"/>
    <w:rsid w:val="00C27A78"/>
    <w:rsid w:val="00C315FB"/>
    <w:rsid w:val="00C346D2"/>
    <w:rsid w:val="00C51935"/>
    <w:rsid w:val="00C56BD6"/>
    <w:rsid w:val="00C60FEF"/>
    <w:rsid w:val="00C61B34"/>
    <w:rsid w:val="00C64F40"/>
    <w:rsid w:val="00C67535"/>
    <w:rsid w:val="00C750C4"/>
    <w:rsid w:val="00C8212A"/>
    <w:rsid w:val="00C92606"/>
    <w:rsid w:val="00CA2296"/>
    <w:rsid w:val="00CB644E"/>
    <w:rsid w:val="00CC0EF2"/>
    <w:rsid w:val="00CC0F56"/>
    <w:rsid w:val="00CC315A"/>
    <w:rsid w:val="00CD4614"/>
    <w:rsid w:val="00CD57E8"/>
    <w:rsid w:val="00CE178B"/>
    <w:rsid w:val="00CE5273"/>
    <w:rsid w:val="00CF07D0"/>
    <w:rsid w:val="00CF40F6"/>
    <w:rsid w:val="00CF4551"/>
    <w:rsid w:val="00D0102C"/>
    <w:rsid w:val="00D02751"/>
    <w:rsid w:val="00D03458"/>
    <w:rsid w:val="00D168D5"/>
    <w:rsid w:val="00D2115D"/>
    <w:rsid w:val="00D244E5"/>
    <w:rsid w:val="00D34298"/>
    <w:rsid w:val="00D401CD"/>
    <w:rsid w:val="00D440EB"/>
    <w:rsid w:val="00D44177"/>
    <w:rsid w:val="00D4519F"/>
    <w:rsid w:val="00D459D8"/>
    <w:rsid w:val="00D53B93"/>
    <w:rsid w:val="00D65022"/>
    <w:rsid w:val="00D665C9"/>
    <w:rsid w:val="00D74763"/>
    <w:rsid w:val="00D833AE"/>
    <w:rsid w:val="00D858BA"/>
    <w:rsid w:val="00D858E0"/>
    <w:rsid w:val="00D95181"/>
    <w:rsid w:val="00D96196"/>
    <w:rsid w:val="00D971B1"/>
    <w:rsid w:val="00DA3602"/>
    <w:rsid w:val="00DB0B89"/>
    <w:rsid w:val="00DD0CC4"/>
    <w:rsid w:val="00DD4443"/>
    <w:rsid w:val="00DD670C"/>
    <w:rsid w:val="00DF5D5E"/>
    <w:rsid w:val="00E0346D"/>
    <w:rsid w:val="00E05AF5"/>
    <w:rsid w:val="00E0687B"/>
    <w:rsid w:val="00E07005"/>
    <w:rsid w:val="00E12FE7"/>
    <w:rsid w:val="00E20FC1"/>
    <w:rsid w:val="00E3660F"/>
    <w:rsid w:val="00E40372"/>
    <w:rsid w:val="00E41CB3"/>
    <w:rsid w:val="00E448C0"/>
    <w:rsid w:val="00E47063"/>
    <w:rsid w:val="00E51843"/>
    <w:rsid w:val="00E54C4D"/>
    <w:rsid w:val="00E61FC2"/>
    <w:rsid w:val="00E64240"/>
    <w:rsid w:val="00E663F5"/>
    <w:rsid w:val="00E700D7"/>
    <w:rsid w:val="00E713C3"/>
    <w:rsid w:val="00E73C69"/>
    <w:rsid w:val="00E83F7D"/>
    <w:rsid w:val="00E91D8D"/>
    <w:rsid w:val="00E932AE"/>
    <w:rsid w:val="00EB3CC1"/>
    <w:rsid w:val="00EB69D1"/>
    <w:rsid w:val="00EB7137"/>
    <w:rsid w:val="00EC0C37"/>
    <w:rsid w:val="00EC21F5"/>
    <w:rsid w:val="00EC3109"/>
    <w:rsid w:val="00EC778B"/>
    <w:rsid w:val="00ED28EE"/>
    <w:rsid w:val="00ED3C53"/>
    <w:rsid w:val="00ED4BDC"/>
    <w:rsid w:val="00EE15C7"/>
    <w:rsid w:val="00EE21CB"/>
    <w:rsid w:val="00EE6D88"/>
    <w:rsid w:val="00EF1126"/>
    <w:rsid w:val="00EF2C8F"/>
    <w:rsid w:val="00EF6816"/>
    <w:rsid w:val="00EF6821"/>
    <w:rsid w:val="00F134F6"/>
    <w:rsid w:val="00F13610"/>
    <w:rsid w:val="00F14461"/>
    <w:rsid w:val="00F14AED"/>
    <w:rsid w:val="00F153F4"/>
    <w:rsid w:val="00F21C38"/>
    <w:rsid w:val="00F22DCB"/>
    <w:rsid w:val="00F3240E"/>
    <w:rsid w:val="00F32950"/>
    <w:rsid w:val="00F40E09"/>
    <w:rsid w:val="00F4191A"/>
    <w:rsid w:val="00F51B8E"/>
    <w:rsid w:val="00F57974"/>
    <w:rsid w:val="00F60CA1"/>
    <w:rsid w:val="00F614AD"/>
    <w:rsid w:val="00F622C3"/>
    <w:rsid w:val="00F67818"/>
    <w:rsid w:val="00F70B4E"/>
    <w:rsid w:val="00F768F1"/>
    <w:rsid w:val="00F81D7D"/>
    <w:rsid w:val="00F82D5F"/>
    <w:rsid w:val="00F84B55"/>
    <w:rsid w:val="00F92835"/>
    <w:rsid w:val="00FA0096"/>
    <w:rsid w:val="00FA7201"/>
    <w:rsid w:val="00FA78A8"/>
    <w:rsid w:val="00FB0293"/>
    <w:rsid w:val="00FB6D04"/>
    <w:rsid w:val="00FD1983"/>
    <w:rsid w:val="00FD305C"/>
    <w:rsid w:val="00FD7C39"/>
    <w:rsid w:val="00FD7FD2"/>
    <w:rsid w:val="00FE1143"/>
    <w:rsid w:val="00FE43D1"/>
    <w:rsid w:val="00FF00E5"/>
    <w:rsid w:val="00FF03D1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7E17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0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0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7A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19C6"/>
    <w:pPr>
      <w:ind w:left="720"/>
      <w:contextualSpacing/>
    </w:pPr>
  </w:style>
  <w:style w:type="paragraph" w:styleId="Revision">
    <w:name w:val="Revision"/>
    <w:hidden/>
    <w:uiPriority w:val="99"/>
    <w:semiHidden/>
    <w:rsid w:val="00A147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3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6F1"/>
  </w:style>
  <w:style w:type="paragraph" w:styleId="Footer">
    <w:name w:val="footer"/>
    <w:basedOn w:val="Normal"/>
    <w:link w:val="FooterChar"/>
    <w:uiPriority w:val="99"/>
    <w:unhideWhenUsed/>
    <w:rsid w:val="00783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6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0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0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7A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19C6"/>
    <w:pPr>
      <w:ind w:left="720"/>
      <w:contextualSpacing/>
    </w:pPr>
  </w:style>
  <w:style w:type="paragraph" w:styleId="Revision">
    <w:name w:val="Revision"/>
    <w:hidden/>
    <w:uiPriority w:val="99"/>
    <w:semiHidden/>
    <w:rsid w:val="00A147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3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6F1"/>
  </w:style>
  <w:style w:type="paragraph" w:styleId="Footer">
    <w:name w:val="footer"/>
    <w:basedOn w:val="Normal"/>
    <w:link w:val="FooterChar"/>
    <w:uiPriority w:val="99"/>
    <w:unhideWhenUsed/>
    <w:rsid w:val="00783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49FBE-D703-AE4B-9BCB-31A961C0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4248</Characters>
  <Application>Microsoft Macintosh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Duarte Folle - PREVICDF</dc:creator>
  <cp:keywords/>
  <dc:description/>
  <cp:lastModifiedBy>Priscila Sabino</cp:lastModifiedBy>
  <cp:revision>2</cp:revision>
  <cp:lastPrinted>2018-05-30T17:41:00Z</cp:lastPrinted>
  <dcterms:created xsi:type="dcterms:W3CDTF">2022-08-11T13:52:00Z</dcterms:created>
  <dcterms:modified xsi:type="dcterms:W3CDTF">2022-08-11T13:52:00Z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1942991682</vt:i4>
  </property>
</Properties>
</file>