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olors5.xml" ContentType="application/vnd.ms-office.chartcolorstyle+xml"/>
  <Override PartName="/word/theme/theme1.xml" ContentType="application/vnd.openxmlformats-officedocument.theme+xml"/>
  <Override PartName="/word/charts/style5.xml" ContentType="application/vnd.ms-office.chartstyle+xml"/>
  <Override PartName="/word/charts/colors4.xml" ContentType="application/vnd.ms-office.chartcolorstyle+xml"/>
  <Override PartName="/word/charts/style1.xml" ContentType="application/vnd.ms-office.chartstyle+xml"/>
  <Override PartName="/word/charts/chart1.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style2.xml" ContentType="application/vnd.ms-office.chartstyle+xml"/>
  <Override PartName="/word/charts/style4.xml" ContentType="application/vnd.ms-office.chartstyle+xml"/>
  <Override PartName="/word/charts/chart4.xml" ContentType="application/vnd.openxmlformats-officedocument.drawingml.chart+xml"/>
  <Override PartName="/word/charts/chart2.xml" ContentType="application/vnd.openxmlformats-officedocument.drawingml.chart+xml"/>
  <Override PartName="/word/charts/colors3.xml" ContentType="application/vnd.ms-office.chartcolorstyle+xml"/>
  <Override PartName="/word/charts/chart3.xml" ContentType="application/vnd.openxmlformats-officedocument.drawingml.chart+xml"/>
  <Override PartName="/word/charts/colors2.xml" ContentType="application/vnd.ms-office.chartcolorstyle+xml"/>
  <Override PartName="/word/charts/style3.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0B5B" w14:textId="77777777" w:rsidR="002D2FBD" w:rsidRPr="005432E1" w:rsidRDefault="00DF6103" w:rsidP="00F9215A">
      <w:pPr>
        <w:rPr>
          <w:rFonts w:asciiTheme="minorHAnsi" w:hAnsiTheme="minorHAnsi"/>
          <w:b/>
          <w:sz w:val="28"/>
          <w:szCs w:val="28"/>
        </w:rPr>
      </w:pPr>
      <w:bookmarkStart w:id="0" w:name="OLE_LINK5"/>
      <w:bookmarkStart w:id="1" w:name="_Toc132510844"/>
      <w:bookmarkStart w:id="2" w:name="_Toc132510916"/>
      <w:bookmarkStart w:id="3" w:name="_Toc132514529"/>
      <w:bookmarkStart w:id="4" w:name="_Toc132533714"/>
      <w:bookmarkStart w:id="5" w:name="_Toc132534042"/>
      <w:bookmarkStart w:id="6" w:name="_Toc132534185"/>
      <w:bookmarkStart w:id="7" w:name="_Toc132610234"/>
      <w:bookmarkStart w:id="8" w:name="_Toc132621126"/>
      <w:bookmarkStart w:id="9" w:name="_Toc132623176"/>
      <w:bookmarkStart w:id="10" w:name="_Toc132623441"/>
      <w:bookmarkStart w:id="11" w:name="_Toc132623522"/>
      <w:bookmarkStart w:id="12" w:name="_Toc132624027"/>
      <w:bookmarkStart w:id="13" w:name="_Toc132624142"/>
      <w:bookmarkStart w:id="14" w:name="_Toc163007567"/>
      <w:bookmarkStart w:id="15" w:name="_Toc163007989"/>
      <w:bookmarkStart w:id="16" w:name="_Toc163008526"/>
      <w:bookmarkStart w:id="17" w:name="_Toc163008694"/>
      <w:bookmarkStart w:id="18" w:name="_Toc163014737"/>
      <w:bookmarkStart w:id="19" w:name="_Toc163298119"/>
      <w:bookmarkStart w:id="20" w:name="_Toc163298234"/>
      <w:bookmarkStart w:id="21" w:name="_Toc163377909"/>
      <w:bookmarkStart w:id="22" w:name="_Toc163535953"/>
      <w:bookmarkStart w:id="23" w:name="_Toc226363337"/>
      <w:bookmarkStart w:id="24" w:name="_Toc226364378"/>
      <w:bookmarkStart w:id="25" w:name="_Toc226432542"/>
      <w:bookmarkStart w:id="26" w:name="_Toc226434493"/>
      <w:bookmarkStart w:id="27" w:name="_Toc226434712"/>
      <w:bookmarkStart w:id="28" w:name="_Toc226519723"/>
      <w:bookmarkStart w:id="29" w:name="_Toc226519814"/>
      <w:bookmarkStart w:id="30" w:name="_Toc257728043"/>
      <w:bookmarkStart w:id="31" w:name="_Toc257728077"/>
      <w:r w:rsidRPr="005432E1">
        <w:rPr>
          <w:rFonts w:asciiTheme="minorHAnsi" w:hAnsiTheme="minorHAnsi"/>
          <w:b/>
          <w:sz w:val="28"/>
          <w:szCs w:val="28"/>
        </w:rPr>
        <w:tab/>
      </w:r>
      <w:r w:rsidRPr="005432E1">
        <w:rPr>
          <w:rFonts w:asciiTheme="minorHAnsi" w:hAnsiTheme="minorHAnsi"/>
          <w:b/>
          <w:sz w:val="28"/>
          <w:szCs w:val="28"/>
        </w:rPr>
        <w:tab/>
      </w:r>
      <w:r w:rsidRPr="005432E1">
        <w:rPr>
          <w:rFonts w:asciiTheme="minorHAnsi" w:hAnsiTheme="minorHAnsi"/>
          <w:b/>
          <w:sz w:val="28"/>
          <w:szCs w:val="28"/>
        </w:rPr>
        <w:tab/>
      </w:r>
      <w:r w:rsidRPr="005432E1">
        <w:rPr>
          <w:rFonts w:asciiTheme="minorHAnsi" w:hAnsiTheme="minorHAnsi"/>
          <w:b/>
          <w:sz w:val="28"/>
          <w:szCs w:val="28"/>
        </w:rPr>
        <w:tab/>
      </w:r>
      <w:r w:rsidRPr="005432E1">
        <w:rPr>
          <w:rFonts w:asciiTheme="minorHAnsi" w:hAnsiTheme="minorHAnsi"/>
          <w:b/>
          <w:sz w:val="28"/>
          <w:szCs w:val="28"/>
        </w:rPr>
        <w:tab/>
      </w:r>
      <w:r w:rsidRPr="005432E1">
        <w:rPr>
          <w:rFonts w:asciiTheme="minorHAnsi" w:hAnsiTheme="minorHAnsi"/>
          <w:b/>
          <w:sz w:val="28"/>
          <w:szCs w:val="28"/>
        </w:rPr>
        <w:tab/>
      </w:r>
      <w:r w:rsidR="002D2FBD" w:rsidRPr="005432E1">
        <w:rPr>
          <w:rFonts w:asciiTheme="minorHAnsi" w:hAnsiTheme="minorHAnsi"/>
          <w:b/>
          <w:sz w:val="28"/>
          <w:szCs w:val="28"/>
        </w:rPr>
        <w:t>Anexo V</w:t>
      </w:r>
    </w:p>
    <w:p w14:paraId="68B3943F" w14:textId="77777777" w:rsidR="002D2FBD" w:rsidRPr="005432E1" w:rsidRDefault="002D2FBD" w:rsidP="002D2FBD">
      <w:pPr>
        <w:jc w:val="center"/>
        <w:rPr>
          <w:rFonts w:asciiTheme="minorHAnsi" w:hAnsiTheme="minorHAnsi"/>
          <w:b/>
          <w:sz w:val="28"/>
          <w:szCs w:val="28"/>
        </w:rPr>
      </w:pPr>
      <w:r w:rsidRPr="005432E1">
        <w:rPr>
          <w:rFonts w:asciiTheme="minorHAnsi" w:hAnsiTheme="minorHAnsi"/>
          <w:b/>
          <w:sz w:val="28"/>
          <w:szCs w:val="28"/>
        </w:rPr>
        <w:t>Riscos Fiscais</w:t>
      </w:r>
    </w:p>
    <w:p w14:paraId="4C4B2E32" w14:textId="77777777" w:rsidR="002D2FBD" w:rsidRPr="005432E1" w:rsidRDefault="002D2FBD" w:rsidP="002D2FBD">
      <w:pPr>
        <w:jc w:val="center"/>
        <w:rPr>
          <w:rFonts w:asciiTheme="minorHAnsi" w:hAnsiTheme="minorHAnsi"/>
          <w:sz w:val="28"/>
          <w:szCs w:val="28"/>
        </w:rPr>
      </w:pPr>
      <w:r w:rsidRPr="005432E1">
        <w:rPr>
          <w:rFonts w:asciiTheme="minorHAnsi" w:hAnsiTheme="minorHAnsi"/>
          <w:sz w:val="28"/>
          <w:szCs w:val="28"/>
        </w:rPr>
        <w:t>(Art. 4</w:t>
      </w:r>
      <w:r w:rsidRPr="005432E1">
        <w:rPr>
          <w:rFonts w:asciiTheme="minorHAnsi" w:hAnsiTheme="minorHAnsi"/>
          <w:sz w:val="28"/>
          <w:szCs w:val="28"/>
          <w:u w:val="single"/>
          <w:vertAlign w:val="superscript"/>
        </w:rPr>
        <w:t>o</w:t>
      </w:r>
      <w:r w:rsidRPr="005432E1">
        <w:rPr>
          <w:rFonts w:asciiTheme="minorHAnsi" w:hAnsiTheme="minorHAnsi"/>
          <w:sz w:val="28"/>
          <w:szCs w:val="28"/>
        </w:rPr>
        <w:t>, § 3</w:t>
      </w:r>
      <w:r w:rsidRPr="005432E1">
        <w:rPr>
          <w:rFonts w:asciiTheme="minorHAnsi" w:hAnsiTheme="minorHAnsi"/>
          <w:sz w:val="28"/>
          <w:szCs w:val="28"/>
          <w:u w:val="single"/>
          <w:vertAlign w:val="superscript"/>
        </w:rPr>
        <w:t>o</w:t>
      </w:r>
      <w:r w:rsidRPr="005432E1">
        <w:rPr>
          <w:rFonts w:asciiTheme="minorHAnsi" w:hAnsiTheme="minorHAnsi"/>
          <w:sz w:val="28"/>
          <w:szCs w:val="28"/>
        </w:rPr>
        <w:t>, da Lei Complementar n</w:t>
      </w:r>
      <w:r w:rsidRPr="005432E1">
        <w:rPr>
          <w:rFonts w:asciiTheme="minorHAnsi" w:hAnsiTheme="minorHAnsi"/>
          <w:sz w:val="28"/>
          <w:szCs w:val="28"/>
          <w:u w:val="single"/>
          <w:vertAlign w:val="superscript"/>
        </w:rPr>
        <w:t>o</w:t>
      </w:r>
      <w:r w:rsidRPr="005432E1">
        <w:rPr>
          <w:rFonts w:asciiTheme="minorHAnsi" w:hAnsiTheme="minorHAnsi"/>
          <w:sz w:val="28"/>
          <w:szCs w:val="28"/>
        </w:rPr>
        <w:t xml:space="preserve"> 101, de 4 de maio de 2000)</w:t>
      </w:r>
    </w:p>
    <w:sdt>
      <w:sdtPr>
        <w:rPr>
          <w:rFonts w:asciiTheme="minorHAnsi" w:hAnsiTheme="minorHAnsi"/>
          <w:b/>
          <w:color w:val="auto"/>
          <w:sz w:val="36"/>
          <w:szCs w:val="36"/>
        </w:rPr>
        <w:id w:val="-1668965"/>
        <w:docPartObj>
          <w:docPartGallery w:val="Table of Contents"/>
          <w:docPartUnique/>
        </w:docPartObj>
      </w:sdtPr>
      <w:sdtEndPr>
        <w:rPr>
          <w:bCs/>
          <w:sz w:val="24"/>
          <w:szCs w:val="24"/>
        </w:rPr>
      </w:sdtEndPr>
      <w:sdtContent>
        <w:p w14:paraId="7B3810EC" w14:textId="77777777" w:rsidR="00801F74" w:rsidRPr="005432E1" w:rsidRDefault="00801F74">
          <w:pPr>
            <w:pStyle w:val="CabealhodoSumrio"/>
            <w:rPr>
              <w:rFonts w:asciiTheme="minorHAnsi" w:hAnsiTheme="minorHAnsi"/>
              <w:b/>
              <w:sz w:val="36"/>
              <w:szCs w:val="36"/>
            </w:rPr>
          </w:pPr>
          <w:r w:rsidRPr="005432E1">
            <w:rPr>
              <w:rFonts w:asciiTheme="minorHAnsi" w:hAnsiTheme="minorHAnsi"/>
              <w:b/>
              <w:sz w:val="36"/>
              <w:szCs w:val="36"/>
            </w:rPr>
            <w:t>Sumário</w:t>
          </w:r>
        </w:p>
        <w:p w14:paraId="30EE28FE" w14:textId="77777777" w:rsidR="00CE6862" w:rsidRPr="005432E1" w:rsidRDefault="00CE6862" w:rsidP="00CE6862">
          <w:pPr>
            <w:rPr>
              <w:rFonts w:asciiTheme="minorHAnsi" w:hAnsiTheme="minorHAnsi"/>
            </w:rPr>
          </w:pPr>
        </w:p>
        <w:p w14:paraId="017A1882" w14:textId="5CEB998E" w:rsidR="00DE2C70" w:rsidRPr="005432E1" w:rsidRDefault="00801F74">
          <w:pPr>
            <w:pStyle w:val="Sumrio1"/>
            <w:rPr>
              <w:rStyle w:val="Hyperlink"/>
              <w:rFonts w:asciiTheme="minorHAnsi" w:hAnsiTheme="minorHAnsi"/>
            </w:rPr>
          </w:pPr>
          <w:r w:rsidRPr="005432E1">
            <w:rPr>
              <w:rFonts w:asciiTheme="minorHAnsi" w:hAnsiTheme="minorHAnsi"/>
            </w:rPr>
            <w:fldChar w:fldCharType="begin"/>
          </w:r>
          <w:r w:rsidRPr="005432E1">
            <w:rPr>
              <w:rFonts w:asciiTheme="minorHAnsi" w:hAnsiTheme="minorHAnsi"/>
            </w:rPr>
            <w:instrText xml:space="preserve"> TOC \o "1-3" \h \z \u </w:instrText>
          </w:r>
          <w:r w:rsidRPr="005432E1">
            <w:rPr>
              <w:rFonts w:asciiTheme="minorHAnsi" w:hAnsiTheme="minorHAnsi"/>
            </w:rPr>
            <w:fldChar w:fldCharType="separate"/>
          </w:r>
          <w:hyperlink w:anchor="_Toc511230010" w:history="1">
            <w:r w:rsidR="00DE2C70" w:rsidRPr="005432E1">
              <w:rPr>
                <w:rStyle w:val="Hyperlink"/>
                <w:rFonts w:asciiTheme="minorHAnsi" w:hAnsiTheme="minorHAnsi"/>
              </w:rPr>
              <w:t xml:space="preserve">1. </w:t>
            </w:r>
            <w:r w:rsidR="00DE2C70" w:rsidRPr="005432E1">
              <w:rPr>
                <w:rFonts w:asciiTheme="minorHAnsi" w:eastAsiaTheme="minorEastAsia" w:hAnsiTheme="minorHAnsi"/>
                <w:b w:val="0"/>
                <w:bCs w:val="0"/>
                <w:sz w:val="22"/>
                <w:szCs w:val="22"/>
              </w:rPr>
              <w:tab/>
            </w:r>
            <w:r w:rsidR="00DE2C70" w:rsidRPr="005432E1">
              <w:rPr>
                <w:rStyle w:val="Hyperlink"/>
                <w:rFonts w:asciiTheme="minorHAnsi" w:hAnsiTheme="minorHAnsi"/>
              </w:rPr>
              <w:t>INTRODUÇÃO</w:t>
            </w:r>
            <w:r w:rsidR="00DE2C70" w:rsidRPr="005432E1">
              <w:rPr>
                <w:rFonts w:asciiTheme="minorHAnsi" w:hAnsiTheme="minorHAnsi"/>
                <w:webHidden/>
              </w:rPr>
              <w:tab/>
            </w:r>
            <w:r w:rsidR="00DE2C70" w:rsidRPr="005432E1">
              <w:rPr>
                <w:rFonts w:asciiTheme="minorHAnsi" w:hAnsiTheme="minorHAnsi"/>
                <w:webHidden/>
              </w:rPr>
              <w:fldChar w:fldCharType="begin"/>
            </w:r>
            <w:r w:rsidR="00DE2C70" w:rsidRPr="005432E1">
              <w:rPr>
                <w:rFonts w:asciiTheme="minorHAnsi" w:hAnsiTheme="minorHAnsi"/>
                <w:webHidden/>
              </w:rPr>
              <w:instrText xml:space="preserve"> PAGEREF _Toc511230010 \h </w:instrText>
            </w:r>
            <w:r w:rsidR="00DE2C70" w:rsidRPr="005432E1">
              <w:rPr>
                <w:rFonts w:asciiTheme="minorHAnsi" w:hAnsiTheme="minorHAnsi"/>
                <w:webHidden/>
              </w:rPr>
            </w:r>
            <w:r w:rsidR="00DE2C70" w:rsidRPr="005432E1">
              <w:rPr>
                <w:rFonts w:asciiTheme="minorHAnsi" w:hAnsiTheme="minorHAnsi"/>
                <w:webHidden/>
              </w:rPr>
              <w:fldChar w:fldCharType="separate"/>
            </w:r>
            <w:r w:rsidR="00EA76B6" w:rsidRPr="005432E1">
              <w:rPr>
                <w:rFonts w:asciiTheme="minorHAnsi" w:hAnsiTheme="minorHAnsi"/>
                <w:webHidden/>
              </w:rPr>
              <w:t>2</w:t>
            </w:r>
            <w:r w:rsidR="00DE2C70" w:rsidRPr="005432E1">
              <w:rPr>
                <w:rFonts w:asciiTheme="minorHAnsi" w:hAnsiTheme="minorHAnsi"/>
                <w:webHidden/>
              </w:rPr>
              <w:fldChar w:fldCharType="end"/>
            </w:r>
          </w:hyperlink>
        </w:p>
        <w:p w14:paraId="556ECE2D" w14:textId="77777777" w:rsidR="00DE2C70" w:rsidRPr="005432E1" w:rsidRDefault="00DE2C70" w:rsidP="00DE2C70">
          <w:pPr>
            <w:rPr>
              <w:rFonts w:asciiTheme="minorHAnsi" w:eastAsiaTheme="minorEastAsia" w:hAnsiTheme="minorHAnsi"/>
              <w:noProof/>
            </w:rPr>
          </w:pPr>
        </w:p>
        <w:p w14:paraId="440AE8A7" w14:textId="79B4D2F1" w:rsidR="00DE2C70" w:rsidRPr="005432E1" w:rsidRDefault="005432E1">
          <w:pPr>
            <w:pStyle w:val="Sumrio1"/>
            <w:rPr>
              <w:rStyle w:val="Hyperlink"/>
              <w:rFonts w:asciiTheme="minorHAnsi" w:hAnsiTheme="minorHAnsi"/>
            </w:rPr>
          </w:pPr>
          <w:hyperlink w:anchor="_Toc511230011" w:history="1">
            <w:r w:rsidR="00DE2C70" w:rsidRPr="005432E1">
              <w:rPr>
                <w:rStyle w:val="Hyperlink"/>
                <w:rFonts w:asciiTheme="minorHAnsi" w:hAnsiTheme="minorHAnsi"/>
              </w:rPr>
              <w:t>2</w:t>
            </w:r>
            <w:r w:rsidR="00DE2C70" w:rsidRPr="005432E1">
              <w:rPr>
                <w:rFonts w:asciiTheme="minorHAnsi" w:eastAsiaTheme="minorEastAsia" w:hAnsiTheme="minorHAnsi"/>
                <w:b w:val="0"/>
                <w:bCs w:val="0"/>
                <w:sz w:val="22"/>
                <w:szCs w:val="22"/>
              </w:rPr>
              <w:tab/>
            </w:r>
            <w:r w:rsidR="00DE2C70" w:rsidRPr="005432E1">
              <w:rPr>
                <w:rStyle w:val="Hyperlink"/>
                <w:rFonts w:asciiTheme="minorHAnsi" w:hAnsiTheme="minorHAnsi"/>
              </w:rPr>
              <w:t>ANÁLISE MACROECONÔMICA DO RISCO</w:t>
            </w:r>
            <w:r w:rsidR="00DE2C70" w:rsidRPr="005432E1">
              <w:rPr>
                <w:rFonts w:asciiTheme="minorHAnsi" w:hAnsiTheme="minorHAnsi"/>
                <w:webHidden/>
              </w:rPr>
              <w:tab/>
            </w:r>
            <w:r w:rsidR="00DE2C70" w:rsidRPr="005432E1">
              <w:rPr>
                <w:rFonts w:asciiTheme="minorHAnsi" w:hAnsiTheme="minorHAnsi"/>
                <w:webHidden/>
              </w:rPr>
              <w:fldChar w:fldCharType="begin"/>
            </w:r>
            <w:r w:rsidR="00DE2C70" w:rsidRPr="005432E1">
              <w:rPr>
                <w:rFonts w:asciiTheme="minorHAnsi" w:hAnsiTheme="minorHAnsi"/>
                <w:webHidden/>
              </w:rPr>
              <w:instrText xml:space="preserve"> PAGEREF _Toc511230011 \h </w:instrText>
            </w:r>
            <w:r w:rsidR="00DE2C70" w:rsidRPr="005432E1">
              <w:rPr>
                <w:rFonts w:asciiTheme="minorHAnsi" w:hAnsiTheme="minorHAnsi"/>
                <w:webHidden/>
              </w:rPr>
            </w:r>
            <w:r w:rsidR="00DE2C70" w:rsidRPr="005432E1">
              <w:rPr>
                <w:rFonts w:asciiTheme="minorHAnsi" w:hAnsiTheme="minorHAnsi"/>
                <w:webHidden/>
              </w:rPr>
              <w:fldChar w:fldCharType="separate"/>
            </w:r>
            <w:r w:rsidR="00EA76B6" w:rsidRPr="005432E1">
              <w:rPr>
                <w:rFonts w:asciiTheme="minorHAnsi" w:hAnsiTheme="minorHAnsi"/>
                <w:webHidden/>
              </w:rPr>
              <w:t>4</w:t>
            </w:r>
            <w:r w:rsidR="00DE2C70" w:rsidRPr="005432E1">
              <w:rPr>
                <w:rFonts w:asciiTheme="minorHAnsi" w:hAnsiTheme="minorHAnsi"/>
                <w:webHidden/>
              </w:rPr>
              <w:fldChar w:fldCharType="end"/>
            </w:r>
          </w:hyperlink>
        </w:p>
        <w:p w14:paraId="290D71DF" w14:textId="77777777" w:rsidR="00DE2C70" w:rsidRPr="005432E1" w:rsidRDefault="00DE2C70" w:rsidP="00DE2C70">
          <w:pPr>
            <w:rPr>
              <w:rFonts w:asciiTheme="minorHAnsi" w:eastAsiaTheme="minorEastAsia" w:hAnsiTheme="minorHAnsi"/>
              <w:noProof/>
            </w:rPr>
          </w:pPr>
        </w:p>
        <w:p w14:paraId="718C15B3"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12" w:history="1">
            <w:r w:rsidR="00DE2C70" w:rsidRPr="005432E1">
              <w:rPr>
                <w:rStyle w:val="Hyperlink"/>
                <w:rFonts w:asciiTheme="minorHAnsi" w:hAnsiTheme="minorHAnsi" w:cs="Times New Roman"/>
                <w:noProof/>
              </w:rPr>
              <w:t>2.1</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caps/>
                <w:noProof/>
              </w:rPr>
              <w:t>Sensibilidade da Receita</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_Toc511230012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4</w:t>
            </w:r>
            <w:r w:rsidR="00DE2C70" w:rsidRPr="005432E1">
              <w:rPr>
                <w:rFonts w:asciiTheme="minorHAnsi" w:hAnsiTheme="minorHAnsi" w:cs="Times New Roman"/>
                <w:noProof/>
                <w:webHidden/>
              </w:rPr>
              <w:fldChar w:fldCharType="end"/>
            </w:r>
          </w:hyperlink>
        </w:p>
        <w:p w14:paraId="262960D3"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13" w:history="1">
            <w:r w:rsidR="00DE2C70" w:rsidRPr="005432E1">
              <w:rPr>
                <w:rStyle w:val="Hyperlink"/>
                <w:rFonts w:asciiTheme="minorHAnsi" w:hAnsiTheme="minorHAnsi" w:cs="Times New Roman"/>
                <w:noProof/>
              </w:rPr>
              <w:t>2.2</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caps/>
                <w:noProof/>
              </w:rPr>
              <w:t>Sensibilidade da Despesa</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_Toc511230013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5</w:t>
            </w:r>
            <w:r w:rsidR="00DE2C70" w:rsidRPr="005432E1">
              <w:rPr>
                <w:rFonts w:asciiTheme="minorHAnsi" w:hAnsiTheme="minorHAnsi" w:cs="Times New Roman"/>
                <w:noProof/>
                <w:webHidden/>
              </w:rPr>
              <w:fldChar w:fldCharType="end"/>
            </w:r>
          </w:hyperlink>
        </w:p>
        <w:p w14:paraId="03D6377B" w14:textId="4C1B1764" w:rsidR="00DE2C70" w:rsidRPr="005432E1" w:rsidRDefault="005432E1" w:rsidP="00DE2C70">
          <w:pPr>
            <w:pStyle w:val="Sumrio3"/>
            <w:rPr>
              <w:rFonts w:asciiTheme="minorHAnsi" w:hAnsiTheme="minorHAnsi" w:cs="Times New Roman"/>
              <w:noProof/>
              <w:color w:val="0000FF"/>
              <w:u w:val="single"/>
            </w:rPr>
          </w:pPr>
          <w:hyperlink w:anchor="_Toc511230014" w:history="1">
            <w:r w:rsidR="00DE2C70" w:rsidRPr="005432E1">
              <w:rPr>
                <w:rStyle w:val="Hyperlink"/>
                <w:rFonts w:asciiTheme="minorHAnsi" w:hAnsiTheme="minorHAnsi" w:cs="Times New Roman"/>
                <w:noProof/>
              </w:rPr>
              <w:t xml:space="preserve">2.3 </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caps/>
                <w:noProof/>
              </w:rPr>
              <w:t>Sensibilidade da Dívida</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_Toc511230014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7</w:t>
            </w:r>
            <w:r w:rsidR="00DE2C70" w:rsidRPr="005432E1">
              <w:rPr>
                <w:rFonts w:asciiTheme="minorHAnsi" w:hAnsiTheme="minorHAnsi" w:cs="Times New Roman"/>
                <w:noProof/>
                <w:webHidden/>
              </w:rPr>
              <w:fldChar w:fldCharType="end"/>
            </w:r>
          </w:hyperlink>
        </w:p>
        <w:p w14:paraId="34F83C84" w14:textId="2C3229F4" w:rsidR="00DE2C70" w:rsidRPr="005432E1" w:rsidRDefault="005432E1">
          <w:pPr>
            <w:pStyle w:val="Sumrio3"/>
            <w:rPr>
              <w:rFonts w:asciiTheme="minorHAnsi" w:eastAsiaTheme="minorEastAsia" w:hAnsiTheme="minorHAnsi" w:cs="Times New Roman"/>
              <w:b w:val="0"/>
              <w:noProof/>
              <w:sz w:val="22"/>
              <w:szCs w:val="22"/>
            </w:rPr>
          </w:pPr>
          <w:hyperlink w:anchor="_Toc511230015" w:history="1">
            <w:r w:rsidR="00DE2C70" w:rsidRPr="005432E1">
              <w:rPr>
                <w:rStyle w:val="Hyperlink"/>
                <w:rFonts w:asciiTheme="minorHAnsi" w:hAnsiTheme="minorHAnsi" w:cs="Times New Roman"/>
                <w:b w:val="0"/>
                <w:noProof/>
              </w:rPr>
              <w:t>2.3.1</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Riscos da Dívida Pública Federal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_Toc511230015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7</w:t>
            </w:r>
            <w:r w:rsidR="00DE2C70" w:rsidRPr="005432E1">
              <w:rPr>
                <w:rFonts w:asciiTheme="minorHAnsi" w:hAnsiTheme="minorHAnsi" w:cs="Times New Roman"/>
                <w:b w:val="0"/>
                <w:noProof/>
                <w:webHidden/>
              </w:rPr>
              <w:fldChar w:fldCharType="end"/>
            </w:r>
          </w:hyperlink>
        </w:p>
        <w:p w14:paraId="3236743D" w14:textId="04F7A99A" w:rsidR="00DE2C70" w:rsidRPr="005432E1" w:rsidRDefault="005432E1">
          <w:pPr>
            <w:pStyle w:val="Sumrio3"/>
            <w:rPr>
              <w:rFonts w:asciiTheme="minorHAnsi" w:eastAsiaTheme="minorEastAsia" w:hAnsiTheme="minorHAnsi" w:cs="Times New Roman"/>
              <w:b w:val="0"/>
              <w:noProof/>
              <w:sz w:val="22"/>
              <w:szCs w:val="22"/>
            </w:rPr>
          </w:pPr>
          <w:hyperlink w:anchor="_Toc511230016" w:history="1">
            <w:r w:rsidR="00DE2C70" w:rsidRPr="005432E1">
              <w:rPr>
                <w:rStyle w:val="Hyperlink"/>
                <w:rFonts w:asciiTheme="minorHAnsi" w:hAnsiTheme="minorHAnsi" w:cs="Times New Roman"/>
                <w:b w:val="0"/>
                <w:noProof/>
              </w:rPr>
              <w:t>2.3.2</w:t>
            </w:r>
            <w:r w:rsidR="00DE2C70" w:rsidRPr="005432E1">
              <w:rPr>
                <w:rStyle w:val="Hyperlink"/>
                <w:rFonts w:asciiTheme="minorHAnsi" w:hAnsiTheme="minorHAnsi" w:cs="Times New Roman"/>
                <w:b w:val="0"/>
                <w:noProof/>
              </w:rPr>
              <w:tab/>
              <w:t>Riscos da Dívida Líquida do Setor Público e Dívida Bruta do Governo Geral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_Toc511230016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9</w:t>
            </w:r>
            <w:r w:rsidR="00DE2C70" w:rsidRPr="005432E1">
              <w:rPr>
                <w:rFonts w:asciiTheme="minorHAnsi" w:hAnsiTheme="minorHAnsi" w:cs="Times New Roman"/>
                <w:b w:val="0"/>
                <w:noProof/>
                <w:webHidden/>
              </w:rPr>
              <w:fldChar w:fldCharType="end"/>
            </w:r>
          </w:hyperlink>
        </w:p>
        <w:p w14:paraId="6E160B4B" w14:textId="08CD0EB7" w:rsidR="00DE2C70" w:rsidRPr="005432E1" w:rsidRDefault="005432E1">
          <w:pPr>
            <w:pStyle w:val="Sumrio3"/>
            <w:rPr>
              <w:rStyle w:val="Hyperlink"/>
              <w:rFonts w:asciiTheme="minorHAnsi" w:hAnsiTheme="minorHAnsi" w:cs="Times New Roman"/>
              <w:noProof/>
            </w:rPr>
          </w:pPr>
          <w:hyperlink w:anchor="_Toc511230017" w:history="1">
            <w:r w:rsidR="00DE2C70" w:rsidRPr="005432E1">
              <w:rPr>
                <w:rStyle w:val="Hyperlink"/>
                <w:rFonts w:asciiTheme="minorHAnsi" w:hAnsiTheme="minorHAnsi" w:cs="Times New Roman"/>
                <w:noProof/>
              </w:rPr>
              <w:t xml:space="preserve">2.4    </w:t>
            </w:r>
            <w:r w:rsidR="00DE2C70" w:rsidRPr="005432E1">
              <w:rPr>
                <w:rStyle w:val="Hyperlink"/>
                <w:rFonts w:asciiTheme="minorHAnsi" w:hAnsiTheme="minorHAnsi" w:cs="Times New Roman"/>
                <w:caps/>
                <w:noProof/>
              </w:rPr>
              <w:t>Estresse dos Parâmetros Macroeconômicos e Simulações DE Receitas, Despesas e Dívida</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_Toc511230017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10</w:t>
            </w:r>
            <w:r w:rsidR="00DE2C70" w:rsidRPr="005432E1">
              <w:rPr>
                <w:rFonts w:asciiTheme="minorHAnsi" w:hAnsiTheme="minorHAnsi" w:cs="Times New Roman"/>
                <w:noProof/>
                <w:webHidden/>
              </w:rPr>
              <w:fldChar w:fldCharType="end"/>
            </w:r>
          </w:hyperlink>
        </w:p>
        <w:p w14:paraId="56B2AE33" w14:textId="77777777" w:rsidR="00DE2C70" w:rsidRPr="005432E1" w:rsidRDefault="00DE2C70" w:rsidP="00DE2C70">
          <w:pPr>
            <w:rPr>
              <w:rFonts w:asciiTheme="minorHAnsi" w:eastAsiaTheme="minorEastAsia" w:hAnsiTheme="minorHAnsi"/>
              <w:noProof/>
            </w:rPr>
          </w:pPr>
        </w:p>
        <w:p w14:paraId="5EBC32DB" w14:textId="77777777" w:rsidR="00DE2C70" w:rsidRPr="005432E1" w:rsidRDefault="005432E1">
          <w:pPr>
            <w:pStyle w:val="Sumrio1"/>
            <w:rPr>
              <w:rStyle w:val="Hyperlink"/>
              <w:rFonts w:asciiTheme="minorHAnsi" w:hAnsiTheme="minorHAnsi"/>
            </w:rPr>
          </w:pPr>
          <w:hyperlink w:anchor="_Toc511230018" w:history="1">
            <w:r w:rsidR="00DE2C70" w:rsidRPr="005432E1">
              <w:rPr>
                <w:rStyle w:val="Hyperlink"/>
                <w:rFonts w:asciiTheme="minorHAnsi" w:hAnsiTheme="minorHAnsi"/>
              </w:rPr>
              <w:t>3.</w:t>
            </w:r>
            <w:r w:rsidR="00DE2C70" w:rsidRPr="005432E1">
              <w:rPr>
                <w:rFonts w:asciiTheme="minorHAnsi" w:eastAsiaTheme="minorEastAsia" w:hAnsiTheme="minorHAnsi"/>
                <w:b w:val="0"/>
                <w:bCs w:val="0"/>
                <w:sz w:val="22"/>
                <w:szCs w:val="22"/>
              </w:rPr>
              <w:tab/>
            </w:r>
            <w:r w:rsidR="00DE2C70" w:rsidRPr="005432E1">
              <w:rPr>
                <w:rStyle w:val="Hyperlink"/>
                <w:rFonts w:asciiTheme="minorHAnsi" w:hAnsiTheme="minorHAnsi"/>
                <w:caps/>
              </w:rPr>
              <w:t>Riscos não incorporados na Análise Macroeconômica</w:t>
            </w:r>
            <w:r w:rsidR="00DE2C70" w:rsidRPr="005432E1">
              <w:rPr>
                <w:rFonts w:asciiTheme="minorHAnsi" w:hAnsiTheme="minorHAnsi"/>
                <w:webHidden/>
              </w:rPr>
              <w:tab/>
            </w:r>
            <w:r w:rsidR="00DE2C70" w:rsidRPr="005432E1">
              <w:rPr>
                <w:rFonts w:asciiTheme="minorHAnsi" w:hAnsiTheme="minorHAnsi"/>
                <w:webHidden/>
              </w:rPr>
              <w:fldChar w:fldCharType="begin"/>
            </w:r>
            <w:r w:rsidR="00DE2C70" w:rsidRPr="005432E1">
              <w:rPr>
                <w:rFonts w:asciiTheme="minorHAnsi" w:hAnsiTheme="minorHAnsi"/>
                <w:webHidden/>
              </w:rPr>
              <w:instrText xml:space="preserve"> PAGEREF _Toc511230018 \h </w:instrText>
            </w:r>
            <w:r w:rsidR="00DE2C70" w:rsidRPr="005432E1">
              <w:rPr>
                <w:rFonts w:asciiTheme="minorHAnsi" w:hAnsiTheme="minorHAnsi"/>
                <w:webHidden/>
              </w:rPr>
            </w:r>
            <w:r w:rsidR="00DE2C70" w:rsidRPr="005432E1">
              <w:rPr>
                <w:rFonts w:asciiTheme="minorHAnsi" w:hAnsiTheme="minorHAnsi"/>
                <w:webHidden/>
              </w:rPr>
              <w:fldChar w:fldCharType="separate"/>
            </w:r>
            <w:r w:rsidR="00EA76B6" w:rsidRPr="005432E1">
              <w:rPr>
                <w:rFonts w:asciiTheme="minorHAnsi" w:hAnsiTheme="minorHAnsi"/>
                <w:webHidden/>
              </w:rPr>
              <w:t>15</w:t>
            </w:r>
            <w:r w:rsidR="00DE2C70" w:rsidRPr="005432E1">
              <w:rPr>
                <w:rFonts w:asciiTheme="minorHAnsi" w:hAnsiTheme="minorHAnsi"/>
                <w:webHidden/>
              </w:rPr>
              <w:fldChar w:fldCharType="end"/>
            </w:r>
          </w:hyperlink>
        </w:p>
        <w:p w14:paraId="3DBA4ADD" w14:textId="77777777" w:rsidR="00DE2C70" w:rsidRPr="005432E1" w:rsidRDefault="00DE2C70" w:rsidP="00DE2C70">
          <w:pPr>
            <w:rPr>
              <w:rFonts w:asciiTheme="minorHAnsi" w:eastAsiaTheme="minorEastAsia" w:hAnsiTheme="minorHAnsi"/>
              <w:noProof/>
            </w:rPr>
          </w:pPr>
        </w:p>
        <w:p w14:paraId="74F7EA13"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19" w:history="1">
            <w:r w:rsidR="00DE2C70" w:rsidRPr="005432E1">
              <w:rPr>
                <w:rStyle w:val="Hyperlink"/>
                <w:rFonts w:asciiTheme="minorHAnsi" w:hAnsiTheme="minorHAnsi" w:cs="Times New Roman"/>
                <w:noProof/>
              </w:rPr>
              <w:t>3.1</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caps/>
                <w:noProof/>
              </w:rPr>
              <w:t>Passivos Contingentes</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_Toc511230019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15</w:t>
            </w:r>
            <w:r w:rsidR="00DE2C70" w:rsidRPr="005432E1">
              <w:rPr>
                <w:rFonts w:asciiTheme="minorHAnsi" w:hAnsiTheme="minorHAnsi" w:cs="Times New Roman"/>
                <w:noProof/>
                <w:webHidden/>
              </w:rPr>
              <w:fldChar w:fldCharType="end"/>
            </w:r>
          </w:hyperlink>
        </w:p>
        <w:p w14:paraId="65DBD808" w14:textId="4A934211" w:rsidR="00DE2C70" w:rsidRPr="005432E1" w:rsidRDefault="005432E1">
          <w:pPr>
            <w:pStyle w:val="Sumrio3"/>
            <w:rPr>
              <w:rFonts w:asciiTheme="minorHAnsi" w:eastAsiaTheme="minorEastAsia" w:hAnsiTheme="minorHAnsi" w:cs="Times New Roman"/>
              <w:b w:val="0"/>
              <w:noProof/>
              <w:sz w:val="22"/>
              <w:szCs w:val="22"/>
            </w:rPr>
          </w:pPr>
          <w:hyperlink w:anchor="_Toc511230020" w:history="1">
            <w:r w:rsidR="00DE2C70" w:rsidRPr="005432E1">
              <w:rPr>
                <w:rStyle w:val="Hyperlink"/>
                <w:rFonts w:asciiTheme="minorHAnsi" w:hAnsiTheme="minorHAnsi" w:cs="Times New Roman"/>
                <w:b w:val="0"/>
                <w:noProof/>
              </w:rPr>
              <w:t>3.1.1</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Demandas Judiciais contra a Administração Direta da União</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_Toc511230020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16</w:t>
            </w:r>
            <w:r w:rsidR="00DE2C70" w:rsidRPr="005432E1">
              <w:rPr>
                <w:rFonts w:asciiTheme="minorHAnsi" w:hAnsiTheme="minorHAnsi" w:cs="Times New Roman"/>
                <w:b w:val="0"/>
                <w:noProof/>
                <w:webHidden/>
              </w:rPr>
              <w:fldChar w:fldCharType="end"/>
            </w:r>
          </w:hyperlink>
        </w:p>
        <w:p w14:paraId="3DFB91EF" w14:textId="051C7EDE" w:rsidR="00DE2C70" w:rsidRPr="005432E1" w:rsidRDefault="005432E1">
          <w:pPr>
            <w:pStyle w:val="Sumrio3"/>
            <w:rPr>
              <w:rFonts w:asciiTheme="minorHAnsi" w:eastAsiaTheme="minorEastAsia" w:hAnsiTheme="minorHAnsi" w:cs="Times New Roman"/>
              <w:b w:val="0"/>
              <w:noProof/>
              <w:sz w:val="22"/>
              <w:szCs w:val="22"/>
            </w:rPr>
          </w:pPr>
          <w:hyperlink w:anchor="_Toc511230021" w:history="1">
            <w:r w:rsidR="00DE2C70" w:rsidRPr="005432E1">
              <w:rPr>
                <w:rStyle w:val="Hyperlink"/>
                <w:rFonts w:asciiTheme="minorHAnsi" w:hAnsiTheme="minorHAnsi" w:cs="Times New Roman"/>
                <w:b w:val="0"/>
                <w:noProof/>
              </w:rPr>
              <w:t>3.1.2</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Demandas Judiciais contra a União de Natureza Tributária</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_Toc511230021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17</w:t>
            </w:r>
            <w:r w:rsidR="00DE2C70" w:rsidRPr="005432E1">
              <w:rPr>
                <w:rFonts w:asciiTheme="minorHAnsi" w:hAnsiTheme="minorHAnsi" w:cs="Times New Roman"/>
                <w:b w:val="0"/>
                <w:noProof/>
                <w:webHidden/>
              </w:rPr>
              <w:fldChar w:fldCharType="end"/>
            </w:r>
          </w:hyperlink>
        </w:p>
        <w:p w14:paraId="771A4E4B" w14:textId="03E966B8" w:rsidR="00DE2C70" w:rsidRPr="005432E1" w:rsidRDefault="005432E1">
          <w:pPr>
            <w:pStyle w:val="Sumrio3"/>
            <w:rPr>
              <w:rFonts w:asciiTheme="minorHAnsi" w:eastAsiaTheme="minorEastAsia" w:hAnsiTheme="minorHAnsi" w:cs="Times New Roman"/>
              <w:b w:val="0"/>
              <w:noProof/>
              <w:sz w:val="22"/>
              <w:szCs w:val="22"/>
            </w:rPr>
          </w:pPr>
          <w:hyperlink w:anchor="_Toc511230022" w:history="1">
            <w:r w:rsidR="00DE2C70" w:rsidRPr="005432E1">
              <w:rPr>
                <w:rStyle w:val="Hyperlink"/>
                <w:rFonts w:asciiTheme="minorHAnsi" w:hAnsiTheme="minorHAnsi" w:cs="Times New Roman"/>
                <w:b w:val="0"/>
                <w:noProof/>
              </w:rPr>
              <w:t>3.1.3</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Demandas Judiciais Contra as Autarquias e Fundações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_Toc511230022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23</w:t>
            </w:r>
            <w:r w:rsidR="00DE2C70" w:rsidRPr="005432E1">
              <w:rPr>
                <w:rFonts w:asciiTheme="minorHAnsi" w:hAnsiTheme="minorHAnsi" w:cs="Times New Roman"/>
                <w:b w:val="0"/>
                <w:noProof/>
                <w:webHidden/>
              </w:rPr>
              <w:fldChar w:fldCharType="end"/>
            </w:r>
          </w:hyperlink>
        </w:p>
        <w:p w14:paraId="473A9698" w14:textId="2C1664E1" w:rsidR="00DE2C70" w:rsidRPr="005432E1" w:rsidRDefault="005432E1">
          <w:pPr>
            <w:pStyle w:val="Sumrio3"/>
            <w:rPr>
              <w:rFonts w:asciiTheme="minorHAnsi" w:eastAsiaTheme="minorEastAsia" w:hAnsiTheme="minorHAnsi" w:cs="Times New Roman"/>
              <w:b w:val="0"/>
              <w:noProof/>
              <w:sz w:val="22"/>
              <w:szCs w:val="22"/>
            </w:rPr>
          </w:pPr>
          <w:hyperlink w:anchor="_Toc511230023" w:history="1">
            <w:r w:rsidR="00DE2C70" w:rsidRPr="005432E1">
              <w:rPr>
                <w:rStyle w:val="Hyperlink"/>
                <w:rFonts w:asciiTheme="minorHAnsi" w:hAnsiTheme="minorHAnsi" w:cs="Times New Roman"/>
                <w:b w:val="0"/>
                <w:noProof/>
              </w:rPr>
              <w:t>3.1.4</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Demandas Judiciais das Empresas Estatais Dependentes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_Toc511230023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24</w:t>
            </w:r>
            <w:r w:rsidR="00DE2C70" w:rsidRPr="005432E1">
              <w:rPr>
                <w:rFonts w:asciiTheme="minorHAnsi" w:hAnsiTheme="minorHAnsi" w:cs="Times New Roman"/>
                <w:b w:val="0"/>
                <w:noProof/>
                <w:webHidden/>
              </w:rPr>
              <w:fldChar w:fldCharType="end"/>
            </w:r>
          </w:hyperlink>
        </w:p>
        <w:p w14:paraId="2DB02F18" w14:textId="0CA066CC" w:rsidR="00DE2C70" w:rsidRPr="005432E1" w:rsidRDefault="005432E1">
          <w:pPr>
            <w:pStyle w:val="Sumrio3"/>
            <w:rPr>
              <w:rFonts w:asciiTheme="minorHAnsi" w:eastAsiaTheme="minorEastAsia" w:hAnsiTheme="minorHAnsi" w:cs="Times New Roman"/>
              <w:b w:val="0"/>
              <w:noProof/>
              <w:sz w:val="22"/>
              <w:szCs w:val="22"/>
            </w:rPr>
          </w:pPr>
          <w:hyperlink w:anchor="_Toc511230024" w:history="1">
            <w:r w:rsidR="00DE2C70" w:rsidRPr="005432E1">
              <w:rPr>
                <w:rStyle w:val="Hyperlink"/>
                <w:rFonts w:asciiTheme="minorHAnsi" w:hAnsiTheme="minorHAnsi" w:cs="Times New Roman"/>
                <w:b w:val="0"/>
                <w:noProof/>
              </w:rPr>
              <w:t>3.1.5</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Demandas Judiciais Contra o Banco Central Do Brasil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_Toc511230024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25</w:t>
            </w:r>
            <w:r w:rsidR="00DE2C70" w:rsidRPr="005432E1">
              <w:rPr>
                <w:rFonts w:asciiTheme="minorHAnsi" w:hAnsiTheme="minorHAnsi" w:cs="Times New Roman"/>
                <w:b w:val="0"/>
                <w:noProof/>
                <w:webHidden/>
              </w:rPr>
              <w:fldChar w:fldCharType="end"/>
            </w:r>
          </w:hyperlink>
        </w:p>
        <w:p w14:paraId="5B0B7872"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25" w:history="1">
            <w:r w:rsidR="00DE2C70" w:rsidRPr="005432E1">
              <w:rPr>
                <w:rStyle w:val="Hyperlink"/>
                <w:rFonts w:asciiTheme="minorHAnsi" w:hAnsiTheme="minorHAnsi" w:cs="Times New Roman"/>
                <w:b w:val="0"/>
                <w:noProof/>
              </w:rPr>
              <w:t>3.1.6</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Passivos contingentes administrados pelo Tesouro Nacional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_Toc511230025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26</w:t>
            </w:r>
            <w:r w:rsidR="00DE2C70" w:rsidRPr="005432E1">
              <w:rPr>
                <w:rFonts w:asciiTheme="minorHAnsi" w:hAnsiTheme="minorHAnsi" w:cs="Times New Roman"/>
                <w:b w:val="0"/>
                <w:noProof/>
                <w:webHidden/>
              </w:rPr>
              <w:fldChar w:fldCharType="end"/>
            </w:r>
          </w:hyperlink>
        </w:p>
        <w:p w14:paraId="62188740"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26" w:history="1">
            <w:r w:rsidR="00DE2C70" w:rsidRPr="005432E1">
              <w:rPr>
                <w:rStyle w:val="Hyperlink"/>
                <w:rFonts w:asciiTheme="minorHAnsi" w:hAnsiTheme="minorHAnsi" w:cs="Times New Roman"/>
                <w:noProof/>
              </w:rPr>
              <w:t>3.2</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noProof/>
              </w:rPr>
              <w:t>ATIVOS CONTINGENTES</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_Toc511230026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33</w:t>
            </w:r>
            <w:r w:rsidR="00DE2C70" w:rsidRPr="005432E1">
              <w:rPr>
                <w:rFonts w:asciiTheme="minorHAnsi" w:hAnsiTheme="minorHAnsi" w:cs="Times New Roman"/>
                <w:noProof/>
                <w:webHidden/>
              </w:rPr>
              <w:fldChar w:fldCharType="end"/>
            </w:r>
          </w:hyperlink>
        </w:p>
        <w:p w14:paraId="62099A49" w14:textId="01053618" w:rsidR="00DE2C70" w:rsidRPr="005432E1" w:rsidRDefault="005432E1">
          <w:pPr>
            <w:pStyle w:val="Sumrio3"/>
            <w:rPr>
              <w:rFonts w:asciiTheme="minorHAnsi" w:eastAsiaTheme="minorEastAsia" w:hAnsiTheme="minorHAnsi" w:cs="Times New Roman"/>
              <w:b w:val="0"/>
              <w:noProof/>
              <w:sz w:val="22"/>
              <w:szCs w:val="22"/>
            </w:rPr>
          </w:pPr>
          <w:hyperlink w:anchor="_Toc511230027" w:history="1">
            <w:r w:rsidR="00DE2C70" w:rsidRPr="005432E1">
              <w:rPr>
                <w:rStyle w:val="Hyperlink"/>
                <w:rFonts w:asciiTheme="minorHAnsi" w:hAnsiTheme="minorHAnsi" w:cs="Times New Roman"/>
                <w:b w:val="0"/>
                <w:noProof/>
              </w:rPr>
              <w:t xml:space="preserve">3.2.1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Dívida Ativa Da União</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_Toc511230027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34</w:t>
            </w:r>
            <w:r w:rsidR="00DE2C70" w:rsidRPr="005432E1">
              <w:rPr>
                <w:rFonts w:asciiTheme="minorHAnsi" w:hAnsiTheme="minorHAnsi" w:cs="Times New Roman"/>
                <w:b w:val="0"/>
                <w:noProof/>
                <w:webHidden/>
              </w:rPr>
              <w:fldChar w:fldCharType="end"/>
            </w:r>
          </w:hyperlink>
        </w:p>
        <w:p w14:paraId="2570BBE9" w14:textId="3FF8F223" w:rsidR="00DE2C70" w:rsidRPr="005432E1" w:rsidRDefault="005432E1">
          <w:pPr>
            <w:pStyle w:val="Sumrio3"/>
            <w:rPr>
              <w:rFonts w:asciiTheme="minorHAnsi" w:eastAsiaTheme="minorEastAsia" w:hAnsiTheme="minorHAnsi" w:cs="Times New Roman"/>
              <w:b w:val="0"/>
              <w:noProof/>
              <w:sz w:val="22"/>
              <w:szCs w:val="22"/>
            </w:rPr>
          </w:pPr>
          <w:hyperlink w:anchor="_Toc511230028" w:history="1">
            <w:r w:rsidR="00DE2C70" w:rsidRPr="005432E1">
              <w:rPr>
                <w:rStyle w:val="Hyperlink"/>
                <w:rFonts w:asciiTheme="minorHAnsi" w:hAnsiTheme="minorHAnsi" w:cs="Times New Roman"/>
                <w:b w:val="0"/>
                <w:noProof/>
              </w:rPr>
              <w:t xml:space="preserve">3.2.2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Depósitos Judiciais da União</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_Toc511230028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36</w:t>
            </w:r>
            <w:r w:rsidR="00DE2C70" w:rsidRPr="005432E1">
              <w:rPr>
                <w:rFonts w:asciiTheme="minorHAnsi" w:hAnsiTheme="minorHAnsi" w:cs="Times New Roman"/>
                <w:b w:val="0"/>
                <w:noProof/>
                <w:webHidden/>
              </w:rPr>
              <w:fldChar w:fldCharType="end"/>
            </w:r>
          </w:hyperlink>
        </w:p>
        <w:p w14:paraId="70E5A7DE" w14:textId="5E3C680A" w:rsidR="00DE2C70" w:rsidRPr="005432E1" w:rsidRDefault="005432E1">
          <w:pPr>
            <w:pStyle w:val="Sumrio3"/>
            <w:rPr>
              <w:rFonts w:asciiTheme="minorHAnsi" w:eastAsiaTheme="minorEastAsia" w:hAnsiTheme="minorHAnsi" w:cs="Times New Roman"/>
              <w:b w:val="0"/>
              <w:noProof/>
              <w:sz w:val="22"/>
              <w:szCs w:val="22"/>
            </w:rPr>
          </w:pPr>
          <w:hyperlink w:anchor="_Toc511230029" w:history="1">
            <w:r w:rsidR="00DE2C70" w:rsidRPr="005432E1">
              <w:rPr>
                <w:rStyle w:val="Hyperlink"/>
                <w:rFonts w:asciiTheme="minorHAnsi" w:hAnsiTheme="minorHAnsi" w:cs="Times New Roman"/>
                <w:b w:val="0"/>
                <w:noProof/>
              </w:rPr>
              <w:t xml:space="preserve">3.2.3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Créditos do Banco Central do Brasil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_Toc511230029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36</w:t>
            </w:r>
            <w:r w:rsidR="00DE2C70" w:rsidRPr="005432E1">
              <w:rPr>
                <w:rFonts w:asciiTheme="minorHAnsi" w:hAnsiTheme="minorHAnsi" w:cs="Times New Roman"/>
                <w:b w:val="0"/>
                <w:noProof/>
                <w:webHidden/>
              </w:rPr>
              <w:fldChar w:fldCharType="end"/>
            </w:r>
          </w:hyperlink>
        </w:p>
        <w:p w14:paraId="3565E1C4" w14:textId="4E703C12" w:rsidR="00DE2C70" w:rsidRPr="005432E1" w:rsidRDefault="005432E1">
          <w:pPr>
            <w:pStyle w:val="Sumrio3"/>
            <w:rPr>
              <w:rFonts w:asciiTheme="minorHAnsi" w:eastAsiaTheme="minorEastAsia" w:hAnsiTheme="minorHAnsi" w:cs="Times New Roman"/>
              <w:b w:val="0"/>
              <w:noProof/>
              <w:sz w:val="22"/>
              <w:szCs w:val="22"/>
            </w:rPr>
          </w:pPr>
          <w:hyperlink w:anchor="_Toc511230030" w:history="1">
            <w:r w:rsidR="00DE2C70" w:rsidRPr="005432E1">
              <w:rPr>
                <w:rStyle w:val="Hyperlink"/>
                <w:rFonts w:asciiTheme="minorHAnsi" w:hAnsiTheme="minorHAnsi" w:cs="Times New Roman"/>
                <w:b w:val="0"/>
                <w:noProof/>
              </w:rPr>
              <w:t xml:space="preserve">3.2.4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Empréstimos compulsórios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_Toc511230030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37</w:t>
            </w:r>
            <w:r w:rsidR="00DE2C70" w:rsidRPr="005432E1">
              <w:rPr>
                <w:rFonts w:asciiTheme="minorHAnsi" w:hAnsiTheme="minorHAnsi" w:cs="Times New Roman"/>
                <w:b w:val="0"/>
                <w:noProof/>
                <w:webHidden/>
              </w:rPr>
              <w:fldChar w:fldCharType="end"/>
            </w:r>
          </w:hyperlink>
        </w:p>
        <w:p w14:paraId="2092E842" w14:textId="42BD62B8" w:rsidR="00DE2C70" w:rsidRPr="005432E1" w:rsidRDefault="005432E1">
          <w:pPr>
            <w:pStyle w:val="Sumrio3"/>
            <w:rPr>
              <w:rFonts w:asciiTheme="minorHAnsi" w:eastAsiaTheme="minorEastAsia" w:hAnsiTheme="minorHAnsi" w:cs="Times New Roman"/>
              <w:b w:val="0"/>
              <w:noProof/>
              <w:sz w:val="22"/>
              <w:szCs w:val="22"/>
            </w:rPr>
          </w:pPr>
          <w:hyperlink w:anchor="_Toc511230031" w:history="1">
            <w:r w:rsidR="00DE2C70" w:rsidRPr="005432E1">
              <w:rPr>
                <w:rStyle w:val="Hyperlink"/>
                <w:rFonts w:asciiTheme="minorHAnsi" w:hAnsiTheme="minorHAnsi" w:cs="Times New Roman"/>
                <w:b w:val="0"/>
                <w:noProof/>
              </w:rPr>
              <w:t xml:space="preserve">3.2.5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Haveres Financeiros da União</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_Toc511230031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38</w:t>
            </w:r>
            <w:r w:rsidR="00DE2C70" w:rsidRPr="005432E1">
              <w:rPr>
                <w:rFonts w:asciiTheme="minorHAnsi" w:hAnsiTheme="minorHAnsi" w:cs="Times New Roman"/>
                <w:b w:val="0"/>
                <w:noProof/>
                <w:webHidden/>
              </w:rPr>
              <w:fldChar w:fldCharType="end"/>
            </w:r>
          </w:hyperlink>
        </w:p>
        <w:p w14:paraId="3EE4ED77" w14:textId="77777777" w:rsidR="00DE2C70" w:rsidRPr="005432E1" w:rsidRDefault="005432E1">
          <w:pPr>
            <w:pStyle w:val="Sumrio3"/>
            <w:rPr>
              <w:rFonts w:asciiTheme="minorHAnsi" w:eastAsiaTheme="minorEastAsia" w:hAnsiTheme="minorHAnsi" w:cs="Times New Roman"/>
              <w:b w:val="0"/>
              <w:noProof/>
              <w:sz w:val="22"/>
              <w:szCs w:val="22"/>
            </w:rPr>
          </w:pPr>
          <w:hyperlink w:anchor="_Toc511230032" w:history="1">
            <w:r w:rsidR="00DE2C70" w:rsidRPr="005432E1">
              <w:rPr>
                <w:rStyle w:val="Hyperlink"/>
                <w:rFonts w:asciiTheme="minorHAnsi" w:hAnsiTheme="minorHAnsi" w:cs="Times New Roman"/>
                <w:noProof/>
              </w:rPr>
              <w:t>3.3</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noProof/>
              </w:rPr>
              <w:t>OUTROS RISCOS ESPECÍFICOS</w:t>
            </w:r>
            <w:r w:rsidR="00DE2C70" w:rsidRPr="005432E1">
              <w:rPr>
                <w:rFonts w:asciiTheme="minorHAnsi" w:hAnsiTheme="minorHAnsi" w:cs="Times New Roman"/>
                <w:noProof/>
                <w:webHidden/>
              </w:rPr>
              <w:tab/>
            </w:r>
            <w:r w:rsidR="00DE2C70" w:rsidRPr="005432E1">
              <w:rPr>
                <w:rFonts w:asciiTheme="minorHAnsi" w:hAnsiTheme="minorHAnsi" w:cs="Times New Roman"/>
                <w:noProof/>
                <w:webHidden/>
              </w:rPr>
              <w:fldChar w:fldCharType="begin"/>
            </w:r>
            <w:r w:rsidR="00DE2C70" w:rsidRPr="005432E1">
              <w:rPr>
                <w:rFonts w:asciiTheme="minorHAnsi" w:hAnsiTheme="minorHAnsi" w:cs="Times New Roman"/>
                <w:noProof/>
                <w:webHidden/>
              </w:rPr>
              <w:instrText xml:space="preserve"> PAGEREF _Toc511230032 \h </w:instrText>
            </w:r>
            <w:r w:rsidR="00DE2C70" w:rsidRPr="005432E1">
              <w:rPr>
                <w:rFonts w:asciiTheme="minorHAnsi" w:hAnsiTheme="minorHAnsi" w:cs="Times New Roman"/>
                <w:noProof/>
                <w:webHidden/>
              </w:rPr>
            </w:r>
            <w:r w:rsidR="00DE2C70" w:rsidRPr="005432E1">
              <w:rPr>
                <w:rFonts w:asciiTheme="minorHAnsi" w:hAnsiTheme="minorHAnsi" w:cs="Times New Roman"/>
                <w:noProof/>
                <w:webHidden/>
              </w:rPr>
              <w:fldChar w:fldCharType="separate"/>
            </w:r>
            <w:r w:rsidR="00EA76B6" w:rsidRPr="005432E1">
              <w:rPr>
                <w:rFonts w:asciiTheme="minorHAnsi" w:hAnsiTheme="minorHAnsi" w:cs="Times New Roman"/>
                <w:noProof/>
                <w:webHidden/>
              </w:rPr>
              <w:t>67</w:t>
            </w:r>
            <w:r w:rsidR="00DE2C70" w:rsidRPr="005432E1">
              <w:rPr>
                <w:rFonts w:asciiTheme="minorHAnsi" w:hAnsiTheme="minorHAnsi" w:cs="Times New Roman"/>
                <w:noProof/>
                <w:webHidden/>
              </w:rPr>
              <w:fldChar w:fldCharType="end"/>
            </w:r>
          </w:hyperlink>
        </w:p>
        <w:p w14:paraId="6F76BEA0" w14:textId="349D64BE" w:rsidR="00DE2C70" w:rsidRPr="005432E1" w:rsidRDefault="005432E1">
          <w:pPr>
            <w:pStyle w:val="Sumrio3"/>
            <w:rPr>
              <w:rFonts w:asciiTheme="minorHAnsi" w:eastAsiaTheme="minorEastAsia" w:hAnsiTheme="minorHAnsi" w:cs="Times New Roman"/>
              <w:b w:val="0"/>
              <w:noProof/>
              <w:sz w:val="22"/>
              <w:szCs w:val="22"/>
            </w:rPr>
          </w:pPr>
          <w:hyperlink w:anchor="_Toc511230033" w:history="1">
            <w:r w:rsidR="00DE2C70" w:rsidRPr="005432E1">
              <w:rPr>
                <w:rStyle w:val="Hyperlink"/>
                <w:rFonts w:asciiTheme="minorHAnsi" w:hAnsiTheme="minorHAnsi" w:cs="Times New Roman"/>
                <w:b w:val="0"/>
                <w:noProof/>
              </w:rPr>
              <w:t>3.3.1</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R</w:t>
            </w:r>
            <w:r w:rsidR="009456BB" w:rsidRPr="005432E1">
              <w:rPr>
                <w:rStyle w:val="Hyperlink"/>
                <w:rFonts w:asciiTheme="minorHAnsi" w:hAnsiTheme="minorHAnsi" w:cs="Times New Roman"/>
                <w:b w:val="0"/>
                <w:noProof/>
              </w:rPr>
              <w:t>iscos relativos à Administração d Dívida Pública Mobiliária</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_Toc511230033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67</w:t>
            </w:r>
            <w:r w:rsidR="00DE2C70" w:rsidRPr="005432E1">
              <w:rPr>
                <w:rFonts w:asciiTheme="minorHAnsi" w:hAnsiTheme="minorHAnsi" w:cs="Times New Roman"/>
                <w:b w:val="0"/>
                <w:noProof/>
                <w:webHidden/>
              </w:rPr>
              <w:fldChar w:fldCharType="end"/>
            </w:r>
          </w:hyperlink>
        </w:p>
        <w:p w14:paraId="397BFC82" w14:textId="76E5E3B4" w:rsidR="00DE2C70" w:rsidRPr="005432E1" w:rsidRDefault="005432E1">
          <w:pPr>
            <w:pStyle w:val="Sumrio3"/>
            <w:rPr>
              <w:rFonts w:asciiTheme="minorHAnsi" w:eastAsiaTheme="minorEastAsia" w:hAnsiTheme="minorHAnsi" w:cs="Times New Roman"/>
              <w:b w:val="0"/>
              <w:noProof/>
              <w:sz w:val="22"/>
              <w:szCs w:val="22"/>
            </w:rPr>
          </w:pPr>
          <w:hyperlink w:anchor="_Toc511230034" w:history="1">
            <w:r w:rsidR="00DE2C70" w:rsidRPr="005432E1">
              <w:rPr>
                <w:rStyle w:val="Hyperlink"/>
                <w:rFonts w:asciiTheme="minorHAnsi" w:hAnsiTheme="minorHAnsi" w:cs="Times New Roman"/>
                <w:b w:val="0"/>
                <w:noProof/>
              </w:rPr>
              <w:t xml:space="preserve">3.3.2      </w:t>
            </w:r>
            <w:r w:rsidR="009456BB" w:rsidRPr="005432E1">
              <w:rPr>
                <w:rStyle w:val="Hyperlink"/>
                <w:rFonts w:asciiTheme="minorHAnsi" w:hAnsiTheme="minorHAnsi" w:cs="Times New Roman"/>
                <w:b w:val="0"/>
                <w:noProof/>
              </w:rPr>
              <w:t xml:space="preserve">Riscos em Concessões e Parcerias Público-Privadas </w:t>
            </w:r>
            <w:r w:rsidR="00DE2C70" w:rsidRPr="005432E1">
              <w:rPr>
                <w:rStyle w:val="Hyperlink"/>
                <w:rFonts w:asciiTheme="minorHAnsi" w:hAnsiTheme="minorHAnsi" w:cs="Times New Roman"/>
                <w:b w:val="0"/>
                <w:noProof/>
              </w:rPr>
              <w:t>(PPPs)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_Toc511230034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70</w:t>
            </w:r>
            <w:r w:rsidR="00DE2C70" w:rsidRPr="005432E1">
              <w:rPr>
                <w:rFonts w:asciiTheme="minorHAnsi" w:hAnsiTheme="minorHAnsi" w:cs="Times New Roman"/>
                <w:b w:val="0"/>
                <w:noProof/>
                <w:webHidden/>
              </w:rPr>
              <w:fldChar w:fldCharType="end"/>
            </w:r>
          </w:hyperlink>
        </w:p>
        <w:p w14:paraId="6492CEC8" w14:textId="7BD6B4CB" w:rsidR="00DE2C70" w:rsidRPr="005432E1" w:rsidRDefault="005432E1">
          <w:pPr>
            <w:pStyle w:val="Sumrio3"/>
            <w:rPr>
              <w:rFonts w:asciiTheme="minorHAnsi" w:eastAsiaTheme="minorEastAsia" w:hAnsiTheme="minorHAnsi" w:cs="Times New Roman"/>
              <w:b w:val="0"/>
              <w:noProof/>
              <w:sz w:val="22"/>
              <w:szCs w:val="22"/>
            </w:rPr>
          </w:pPr>
          <w:hyperlink w:anchor="_Toc511230035" w:history="1">
            <w:r w:rsidR="00DE2C70" w:rsidRPr="005432E1">
              <w:rPr>
                <w:rStyle w:val="Hyperlink"/>
                <w:rFonts w:asciiTheme="minorHAnsi" w:hAnsiTheme="minorHAnsi" w:cs="Times New Roman"/>
                <w:b w:val="0"/>
                <w:noProof/>
              </w:rPr>
              <w:t>3.3.3</w:t>
            </w:r>
            <w:r w:rsidR="00DE2C70" w:rsidRPr="005432E1">
              <w:rPr>
                <w:rFonts w:asciiTheme="minorHAnsi" w:eastAsiaTheme="minorEastAsia" w:hAnsiTheme="minorHAnsi" w:cs="Times New Roman"/>
                <w:b w:val="0"/>
                <w:noProof/>
                <w:sz w:val="22"/>
                <w:szCs w:val="22"/>
              </w:rPr>
              <w:tab/>
            </w:r>
            <w:r w:rsidR="00DE2C70" w:rsidRPr="005432E1">
              <w:rPr>
                <w:rStyle w:val="Hyperlink"/>
                <w:rFonts w:asciiTheme="minorHAnsi" w:hAnsiTheme="minorHAnsi" w:cs="Times New Roman"/>
                <w:b w:val="0"/>
                <w:noProof/>
              </w:rPr>
              <w:t>R</w:t>
            </w:r>
            <w:r w:rsidR="009456BB" w:rsidRPr="005432E1">
              <w:rPr>
                <w:rStyle w:val="Hyperlink"/>
                <w:rFonts w:asciiTheme="minorHAnsi" w:hAnsiTheme="minorHAnsi" w:cs="Times New Roman"/>
                <w:b w:val="0"/>
                <w:noProof/>
              </w:rPr>
              <w:t>iscos referentes às Estatais Federais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_Toc511230035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76</w:t>
            </w:r>
            <w:r w:rsidR="00DE2C70" w:rsidRPr="005432E1">
              <w:rPr>
                <w:rFonts w:asciiTheme="minorHAnsi" w:hAnsiTheme="minorHAnsi" w:cs="Times New Roman"/>
                <w:b w:val="0"/>
                <w:noProof/>
                <w:webHidden/>
              </w:rPr>
              <w:fldChar w:fldCharType="end"/>
            </w:r>
          </w:hyperlink>
        </w:p>
        <w:p w14:paraId="6F13BA67" w14:textId="2E927128" w:rsidR="00DE2C70" w:rsidRPr="005432E1" w:rsidRDefault="005432E1">
          <w:pPr>
            <w:pStyle w:val="Sumrio3"/>
            <w:rPr>
              <w:rFonts w:asciiTheme="minorHAnsi" w:eastAsiaTheme="minorEastAsia" w:hAnsiTheme="minorHAnsi" w:cs="Times New Roman"/>
              <w:b w:val="0"/>
              <w:noProof/>
              <w:sz w:val="22"/>
              <w:szCs w:val="22"/>
            </w:rPr>
          </w:pPr>
          <w:hyperlink w:anchor="_Toc511230036" w:history="1">
            <w:r w:rsidR="00DE2C70" w:rsidRPr="005432E1">
              <w:rPr>
                <w:rStyle w:val="Hyperlink"/>
                <w:rFonts w:asciiTheme="minorHAnsi" w:hAnsiTheme="minorHAnsi" w:cs="Times New Roman"/>
                <w:b w:val="0"/>
                <w:noProof/>
              </w:rPr>
              <w:t xml:space="preserve">3.3.4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R</w:t>
            </w:r>
            <w:r w:rsidR="009456BB" w:rsidRPr="005432E1">
              <w:rPr>
                <w:rStyle w:val="Hyperlink"/>
                <w:rFonts w:asciiTheme="minorHAnsi" w:hAnsiTheme="minorHAnsi" w:cs="Times New Roman"/>
                <w:b w:val="0"/>
                <w:noProof/>
              </w:rPr>
              <w:t>estos a pagar</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_Toc511230036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79</w:t>
            </w:r>
            <w:r w:rsidR="00DE2C70" w:rsidRPr="005432E1">
              <w:rPr>
                <w:rFonts w:asciiTheme="minorHAnsi" w:hAnsiTheme="minorHAnsi" w:cs="Times New Roman"/>
                <w:b w:val="0"/>
                <w:noProof/>
                <w:webHidden/>
              </w:rPr>
              <w:fldChar w:fldCharType="end"/>
            </w:r>
          </w:hyperlink>
        </w:p>
        <w:p w14:paraId="62E2E2E6" w14:textId="06D4F674" w:rsidR="00DE2C70" w:rsidRPr="005432E1" w:rsidRDefault="005432E1">
          <w:pPr>
            <w:pStyle w:val="Sumrio3"/>
            <w:rPr>
              <w:rFonts w:asciiTheme="minorHAnsi" w:eastAsiaTheme="minorEastAsia" w:hAnsiTheme="minorHAnsi" w:cs="Times New Roman"/>
              <w:b w:val="0"/>
              <w:noProof/>
              <w:sz w:val="22"/>
              <w:szCs w:val="22"/>
            </w:rPr>
          </w:pPr>
          <w:hyperlink w:anchor="_Toc511230037" w:history="1">
            <w:r w:rsidR="00DE2C70" w:rsidRPr="005432E1">
              <w:rPr>
                <w:rStyle w:val="Hyperlink"/>
                <w:rFonts w:asciiTheme="minorHAnsi" w:hAnsiTheme="minorHAnsi" w:cs="Times New Roman"/>
                <w:b w:val="0"/>
                <w:noProof/>
              </w:rPr>
              <w:t xml:space="preserve">3.3.5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F</w:t>
            </w:r>
            <w:r w:rsidR="009456BB" w:rsidRPr="005432E1">
              <w:rPr>
                <w:rStyle w:val="Hyperlink"/>
                <w:rFonts w:asciiTheme="minorHAnsi" w:hAnsiTheme="minorHAnsi" w:cs="Times New Roman"/>
                <w:b w:val="0"/>
                <w:noProof/>
              </w:rPr>
              <w:t>undo de Financiamento Estudantil (FIES)</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_Toc511230037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79</w:t>
            </w:r>
            <w:r w:rsidR="00DE2C70" w:rsidRPr="005432E1">
              <w:rPr>
                <w:rFonts w:asciiTheme="minorHAnsi" w:hAnsiTheme="minorHAnsi" w:cs="Times New Roman"/>
                <w:b w:val="0"/>
                <w:noProof/>
                <w:webHidden/>
              </w:rPr>
              <w:fldChar w:fldCharType="end"/>
            </w:r>
          </w:hyperlink>
        </w:p>
        <w:p w14:paraId="35277788" w14:textId="531B913F" w:rsidR="00DE2C70" w:rsidRPr="005432E1" w:rsidRDefault="005432E1">
          <w:pPr>
            <w:pStyle w:val="Sumrio3"/>
            <w:rPr>
              <w:rStyle w:val="Hyperlink"/>
              <w:rFonts w:asciiTheme="minorHAnsi" w:hAnsiTheme="minorHAnsi" w:cs="Times New Roman"/>
              <w:b w:val="0"/>
              <w:noProof/>
            </w:rPr>
          </w:pPr>
          <w:hyperlink w:anchor="_Toc511230038" w:history="1">
            <w:r w:rsidR="00DE2C70" w:rsidRPr="005432E1">
              <w:rPr>
                <w:rStyle w:val="Hyperlink"/>
                <w:rFonts w:asciiTheme="minorHAnsi" w:hAnsiTheme="minorHAnsi" w:cs="Times New Roman"/>
                <w:b w:val="0"/>
                <w:noProof/>
              </w:rPr>
              <w:t>3.3.6   </w:t>
            </w:r>
            <w:r w:rsidR="009456BB" w:rsidRPr="005432E1">
              <w:rPr>
                <w:rStyle w:val="Hyperlink"/>
                <w:rFonts w:asciiTheme="minorHAnsi" w:hAnsiTheme="minorHAnsi" w:cs="Times New Roman"/>
                <w:b w:val="0"/>
                <w:noProof/>
              </w:rPr>
              <w:tab/>
            </w:r>
            <w:r w:rsidR="00DE2C70" w:rsidRPr="005432E1">
              <w:rPr>
                <w:rStyle w:val="Hyperlink"/>
                <w:rFonts w:asciiTheme="minorHAnsi" w:hAnsiTheme="minorHAnsi" w:cs="Times New Roman"/>
                <w:b w:val="0"/>
                <w:noProof/>
              </w:rPr>
              <w:t>R</w:t>
            </w:r>
            <w:r w:rsidR="009456BB" w:rsidRPr="005432E1">
              <w:rPr>
                <w:rStyle w:val="Hyperlink"/>
                <w:rFonts w:asciiTheme="minorHAnsi" w:hAnsiTheme="minorHAnsi" w:cs="Times New Roman"/>
                <w:b w:val="0"/>
                <w:noProof/>
              </w:rPr>
              <w:t>iscos referentes ao Sistema Financeiro Nacional</w:t>
            </w:r>
            <w:r w:rsidR="00DE2C70" w:rsidRPr="005432E1">
              <w:rPr>
                <w:rFonts w:asciiTheme="minorHAnsi" w:hAnsiTheme="minorHAnsi" w:cs="Times New Roman"/>
                <w:b w:val="0"/>
                <w:noProof/>
                <w:webHidden/>
              </w:rPr>
              <w:tab/>
            </w:r>
            <w:r w:rsidR="00DE2C70" w:rsidRPr="005432E1">
              <w:rPr>
                <w:rFonts w:asciiTheme="minorHAnsi" w:hAnsiTheme="minorHAnsi" w:cs="Times New Roman"/>
                <w:b w:val="0"/>
                <w:noProof/>
                <w:webHidden/>
              </w:rPr>
              <w:fldChar w:fldCharType="begin"/>
            </w:r>
            <w:r w:rsidR="00DE2C70" w:rsidRPr="005432E1">
              <w:rPr>
                <w:rFonts w:asciiTheme="minorHAnsi" w:hAnsiTheme="minorHAnsi" w:cs="Times New Roman"/>
                <w:b w:val="0"/>
                <w:noProof/>
                <w:webHidden/>
              </w:rPr>
              <w:instrText xml:space="preserve"> PAGEREF _Toc511230038 \h </w:instrText>
            </w:r>
            <w:r w:rsidR="00DE2C70" w:rsidRPr="005432E1">
              <w:rPr>
                <w:rFonts w:asciiTheme="minorHAnsi" w:hAnsiTheme="minorHAnsi" w:cs="Times New Roman"/>
                <w:b w:val="0"/>
                <w:noProof/>
                <w:webHidden/>
              </w:rPr>
            </w:r>
            <w:r w:rsidR="00DE2C70" w:rsidRPr="005432E1">
              <w:rPr>
                <w:rFonts w:asciiTheme="minorHAnsi" w:hAnsiTheme="minorHAnsi" w:cs="Times New Roman"/>
                <w:b w:val="0"/>
                <w:noProof/>
                <w:webHidden/>
              </w:rPr>
              <w:fldChar w:fldCharType="separate"/>
            </w:r>
            <w:r w:rsidR="00EA76B6" w:rsidRPr="005432E1">
              <w:rPr>
                <w:rFonts w:asciiTheme="minorHAnsi" w:hAnsiTheme="minorHAnsi" w:cs="Times New Roman"/>
                <w:b w:val="0"/>
                <w:noProof/>
                <w:webHidden/>
              </w:rPr>
              <w:t>83</w:t>
            </w:r>
            <w:r w:rsidR="00DE2C70" w:rsidRPr="005432E1">
              <w:rPr>
                <w:rFonts w:asciiTheme="minorHAnsi" w:hAnsiTheme="minorHAnsi" w:cs="Times New Roman"/>
                <w:b w:val="0"/>
                <w:noProof/>
                <w:webHidden/>
              </w:rPr>
              <w:fldChar w:fldCharType="end"/>
            </w:r>
          </w:hyperlink>
        </w:p>
        <w:p w14:paraId="0B683DD1" w14:textId="77777777" w:rsidR="009456BB" w:rsidRPr="005432E1" w:rsidRDefault="009456BB" w:rsidP="009456BB">
          <w:pPr>
            <w:rPr>
              <w:rFonts w:asciiTheme="minorHAnsi" w:eastAsiaTheme="minorEastAsia" w:hAnsiTheme="minorHAnsi"/>
              <w:noProof/>
            </w:rPr>
          </w:pPr>
        </w:p>
        <w:p w14:paraId="46217E6A" w14:textId="77777777" w:rsidR="00DE2C70" w:rsidRPr="005432E1" w:rsidRDefault="005432E1">
          <w:pPr>
            <w:pStyle w:val="Sumrio1"/>
            <w:rPr>
              <w:rStyle w:val="Hyperlink"/>
              <w:rFonts w:asciiTheme="minorHAnsi" w:hAnsiTheme="minorHAnsi"/>
            </w:rPr>
          </w:pPr>
          <w:hyperlink w:anchor="_Toc511230039" w:history="1">
            <w:r w:rsidR="00DE2C70" w:rsidRPr="005432E1">
              <w:rPr>
                <w:rStyle w:val="Hyperlink"/>
                <w:rFonts w:asciiTheme="minorHAnsi" w:hAnsiTheme="minorHAnsi"/>
              </w:rPr>
              <w:t>4.</w:t>
            </w:r>
            <w:r w:rsidR="00DE2C70" w:rsidRPr="005432E1">
              <w:rPr>
                <w:rFonts w:asciiTheme="minorHAnsi" w:eastAsiaTheme="minorEastAsia" w:hAnsiTheme="minorHAnsi"/>
                <w:b w:val="0"/>
                <w:bCs w:val="0"/>
                <w:sz w:val="22"/>
                <w:szCs w:val="22"/>
              </w:rPr>
              <w:tab/>
            </w:r>
            <w:r w:rsidR="00DE2C70" w:rsidRPr="005432E1">
              <w:rPr>
                <w:rStyle w:val="Hyperlink"/>
                <w:rFonts w:asciiTheme="minorHAnsi" w:hAnsiTheme="minorHAnsi"/>
              </w:rPr>
              <w:t>GESTÃO DE RISCO</w:t>
            </w:r>
            <w:r w:rsidR="00DE2C70" w:rsidRPr="005432E1">
              <w:rPr>
                <w:rFonts w:asciiTheme="minorHAnsi" w:hAnsiTheme="minorHAnsi"/>
                <w:webHidden/>
              </w:rPr>
              <w:tab/>
            </w:r>
            <w:r w:rsidR="00DE2C70" w:rsidRPr="005432E1">
              <w:rPr>
                <w:rFonts w:asciiTheme="minorHAnsi" w:hAnsiTheme="minorHAnsi"/>
                <w:webHidden/>
              </w:rPr>
              <w:fldChar w:fldCharType="begin"/>
            </w:r>
            <w:r w:rsidR="00DE2C70" w:rsidRPr="005432E1">
              <w:rPr>
                <w:rFonts w:asciiTheme="minorHAnsi" w:hAnsiTheme="minorHAnsi"/>
                <w:webHidden/>
              </w:rPr>
              <w:instrText xml:space="preserve"> PAGEREF _Toc511230039 \h </w:instrText>
            </w:r>
            <w:r w:rsidR="00DE2C70" w:rsidRPr="005432E1">
              <w:rPr>
                <w:rFonts w:asciiTheme="minorHAnsi" w:hAnsiTheme="minorHAnsi"/>
                <w:webHidden/>
              </w:rPr>
            </w:r>
            <w:r w:rsidR="00DE2C70" w:rsidRPr="005432E1">
              <w:rPr>
                <w:rFonts w:asciiTheme="minorHAnsi" w:hAnsiTheme="minorHAnsi"/>
                <w:webHidden/>
              </w:rPr>
              <w:fldChar w:fldCharType="separate"/>
            </w:r>
            <w:r w:rsidR="00EA76B6" w:rsidRPr="005432E1">
              <w:rPr>
                <w:rFonts w:asciiTheme="minorHAnsi" w:hAnsiTheme="minorHAnsi"/>
                <w:webHidden/>
              </w:rPr>
              <w:t>83</w:t>
            </w:r>
            <w:r w:rsidR="00DE2C70" w:rsidRPr="005432E1">
              <w:rPr>
                <w:rFonts w:asciiTheme="minorHAnsi" w:hAnsiTheme="minorHAnsi"/>
                <w:webHidden/>
              </w:rPr>
              <w:fldChar w:fldCharType="end"/>
            </w:r>
          </w:hyperlink>
        </w:p>
        <w:p w14:paraId="639FFAE0" w14:textId="77777777" w:rsidR="009456BB" w:rsidRPr="005432E1" w:rsidRDefault="009456BB" w:rsidP="009456BB">
          <w:pPr>
            <w:rPr>
              <w:rFonts w:asciiTheme="minorHAnsi" w:eastAsiaTheme="minorEastAsia" w:hAnsiTheme="minorHAnsi"/>
              <w:noProof/>
            </w:rPr>
          </w:pPr>
        </w:p>
        <w:p w14:paraId="0DFB7277" w14:textId="77777777" w:rsidR="00DE2C70" w:rsidRPr="005432E1" w:rsidRDefault="005432E1">
          <w:pPr>
            <w:pStyle w:val="Sumrio1"/>
            <w:rPr>
              <w:rFonts w:asciiTheme="minorHAnsi" w:eastAsiaTheme="minorEastAsia" w:hAnsiTheme="minorHAnsi"/>
              <w:b w:val="0"/>
              <w:bCs w:val="0"/>
              <w:sz w:val="22"/>
              <w:szCs w:val="22"/>
            </w:rPr>
          </w:pPr>
          <w:hyperlink w:anchor="_Toc511230040" w:history="1">
            <w:r w:rsidR="00DE2C70" w:rsidRPr="005432E1">
              <w:rPr>
                <w:rStyle w:val="Hyperlink"/>
                <w:rFonts w:asciiTheme="minorHAnsi" w:hAnsiTheme="minorHAnsi"/>
              </w:rPr>
              <w:t>5.</w:t>
            </w:r>
            <w:r w:rsidR="00DE2C70" w:rsidRPr="005432E1">
              <w:rPr>
                <w:rFonts w:asciiTheme="minorHAnsi" w:eastAsiaTheme="minorEastAsia" w:hAnsiTheme="minorHAnsi"/>
                <w:b w:val="0"/>
                <w:bCs w:val="0"/>
                <w:sz w:val="22"/>
                <w:szCs w:val="22"/>
              </w:rPr>
              <w:tab/>
            </w:r>
            <w:r w:rsidR="00DE2C70" w:rsidRPr="005432E1">
              <w:rPr>
                <w:rStyle w:val="Hyperlink"/>
                <w:rFonts w:asciiTheme="minorHAnsi" w:hAnsiTheme="minorHAnsi"/>
              </w:rPr>
              <w:t>CONSIDERAÇÕES FINAIS</w:t>
            </w:r>
            <w:r w:rsidR="00DE2C70" w:rsidRPr="005432E1">
              <w:rPr>
                <w:rFonts w:asciiTheme="minorHAnsi" w:hAnsiTheme="minorHAnsi"/>
                <w:webHidden/>
              </w:rPr>
              <w:tab/>
            </w:r>
            <w:r w:rsidR="00DE2C70" w:rsidRPr="005432E1">
              <w:rPr>
                <w:rFonts w:asciiTheme="minorHAnsi" w:hAnsiTheme="minorHAnsi"/>
                <w:webHidden/>
              </w:rPr>
              <w:fldChar w:fldCharType="begin"/>
            </w:r>
            <w:r w:rsidR="00DE2C70" w:rsidRPr="005432E1">
              <w:rPr>
                <w:rFonts w:asciiTheme="minorHAnsi" w:hAnsiTheme="minorHAnsi"/>
                <w:webHidden/>
              </w:rPr>
              <w:instrText xml:space="preserve"> PAGEREF _Toc511230040 \h </w:instrText>
            </w:r>
            <w:r w:rsidR="00DE2C70" w:rsidRPr="005432E1">
              <w:rPr>
                <w:rFonts w:asciiTheme="minorHAnsi" w:hAnsiTheme="minorHAnsi"/>
                <w:webHidden/>
              </w:rPr>
            </w:r>
            <w:r w:rsidR="00DE2C70" w:rsidRPr="005432E1">
              <w:rPr>
                <w:rFonts w:asciiTheme="minorHAnsi" w:hAnsiTheme="minorHAnsi"/>
                <w:webHidden/>
              </w:rPr>
              <w:fldChar w:fldCharType="separate"/>
            </w:r>
            <w:r w:rsidR="00EA76B6" w:rsidRPr="005432E1">
              <w:rPr>
                <w:rFonts w:asciiTheme="minorHAnsi" w:hAnsiTheme="minorHAnsi"/>
                <w:webHidden/>
              </w:rPr>
              <w:t>84</w:t>
            </w:r>
            <w:r w:rsidR="00DE2C70" w:rsidRPr="005432E1">
              <w:rPr>
                <w:rFonts w:asciiTheme="minorHAnsi" w:hAnsiTheme="minorHAnsi"/>
                <w:webHidden/>
              </w:rPr>
              <w:fldChar w:fldCharType="end"/>
            </w:r>
          </w:hyperlink>
        </w:p>
        <w:p w14:paraId="2DE09B6B" w14:textId="77777777" w:rsidR="00801F74" w:rsidRPr="005432E1" w:rsidRDefault="00801F74">
          <w:pPr>
            <w:rPr>
              <w:rFonts w:asciiTheme="minorHAnsi" w:hAnsiTheme="minorHAnsi"/>
            </w:rPr>
          </w:pPr>
          <w:r w:rsidRPr="005432E1">
            <w:rPr>
              <w:rFonts w:asciiTheme="minorHAnsi" w:hAnsiTheme="minorHAnsi"/>
              <w:b/>
              <w:bCs/>
            </w:rPr>
            <w:fldChar w:fldCharType="end"/>
          </w:r>
        </w:p>
      </w:sdtContent>
    </w:sdt>
    <w:p w14:paraId="1CB710E5" w14:textId="77777777" w:rsidR="006C47B6" w:rsidRPr="005432E1" w:rsidRDefault="006C47B6" w:rsidP="00885D2B">
      <w:pPr>
        <w:jc w:val="both"/>
        <w:rPr>
          <w:rFonts w:asciiTheme="minorHAnsi" w:hAnsiTheme="minorHAnsi"/>
        </w:rPr>
      </w:pPr>
    </w:p>
    <w:p w14:paraId="360FDD6F" w14:textId="77777777" w:rsidR="0028644F" w:rsidRPr="005432E1" w:rsidRDefault="0028644F" w:rsidP="006F4AC5">
      <w:pPr>
        <w:pStyle w:val="Sumrio1"/>
        <w:rPr>
          <w:rFonts w:asciiTheme="minorHAnsi" w:hAnsiTheme="minorHAnsi"/>
        </w:rPr>
      </w:pPr>
    </w:p>
    <w:p w14:paraId="19AEC6AA" w14:textId="77777777" w:rsidR="001E54FC" w:rsidRPr="005432E1" w:rsidRDefault="0028644F" w:rsidP="0098031F">
      <w:pPr>
        <w:pStyle w:val="Ttulo1"/>
        <w:numPr>
          <w:ilvl w:val="0"/>
          <w:numId w:val="0"/>
        </w:numPr>
        <w:ind w:left="432"/>
        <w:rPr>
          <w:rFonts w:asciiTheme="minorHAnsi" w:hAnsiTheme="minorHAnsi"/>
        </w:rPr>
      </w:pPr>
      <w:r w:rsidRPr="005432E1">
        <w:rPr>
          <w:rFonts w:asciiTheme="minorHAnsi" w:hAnsiTheme="minorHAnsi"/>
        </w:rPr>
        <w:br w:type="page"/>
      </w:r>
      <w:bookmarkStart w:id="32" w:name="_Toc226432536"/>
      <w:bookmarkStart w:id="33" w:name="_Toc226434487"/>
      <w:bookmarkStart w:id="34" w:name="_Toc226434706"/>
      <w:bookmarkStart w:id="35" w:name="_Toc226519717"/>
      <w:bookmarkStart w:id="36" w:name="_Toc226519808"/>
      <w:bookmarkStart w:id="37" w:name="_Toc257728038"/>
      <w:bookmarkStart w:id="38" w:name="_Toc257728071"/>
      <w:bookmarkStart w:id="39" w:name="_Toc447189105"/>
    </w:p>
    <w:p w14:paraId="61082B57" w14:textId="77777777" w:rsidR="002B0F44" w:rsidRPr="005432E1" w:rsidRDefault="00B95753" w:rsidP="00DB1CC0">
      <w:pPr>
        <w:pStyle w:val="Ttulo1"/>
        <w:numPr>
          <w:ilvl w:val="0"/>
          <w:numId w:val="0"/>
        </w:numPr>
        <w:ind w:left="432" w:hanging="432"/>
        <w:rPr>
          <w:rFonts w:asciiTheme="minorHAnsi" w:hAnsiTheme="minorHAnsi"/>
          <w:highlight w:val="yellow"/>
        </w:rPr>
      </w:pPr>
      <w:bookmarkStart w:id="40" w:name="_Toc510534767"/>
      <w:bookmarkStart w:id="41" w:name="_Toc510535445"/>
      <w:bookmarkStart w:id="42" w:name="_Toc511230010"/>
      <w:r w:rsidRPr="005432E1">
        <w:rPr>
          <w:rFonts w:asciiTheme="minorHAnsi" w:hAnsiTheme="minorHAnsi"/>
        </w:rPr>
        <w:lastRenderedPageBreak/>
        <w:t xml:space="preserve">1. </w:t>
      </w:r>
      <w:r w:rsidR="00DB1CC0" w:rsidRPr="005432E1">
        <w:rPr>
          <w:rFonts w:asciiTheme="minorHAnsi" w:hAnsiTheme="minorHAnsi"/>
        </w:rPr>
        <w:tab/>
      </w:r>
      <w:r w:rsidR="002B0F44" w:rsidRPr="005432E1">
        <w:rPr>
          <w:rFonts w:asciiTheme="minorHAnsi" w:hAnsiTheme="minorHAnsi"/>
        </w:rPr>
        <w:t>I</w:t>
      </w:r>
      <w:r w:rsidR="00D963EF" w:rsidRPr="005432E1">
        <w:rPr>
          <w:rFonts w:asciiTheme="minorHAnsi" w:hAnsiTheme="minorHAnsi"/>
        </w:rPr>
        <w:t>ntrodução</w:t>
      </w:r>
      <w:bookmarkEnd w:id="32"/>
      <w:bookmarkEnd w:id="33"/>
      <w:bookmarkEnd w:id="34"/>
      <w:bookmarkEnd w:id="35"/>
      <w:bookmarkEnd w:id="36"/>
      <w:bookmarkEnd w:id="37"/>
      <w:bookmarkEnd w:id="38"/>
      <w:bookmarkEnd w:id="39"/>
      <w:bookmarkEnd w:id="40"/>
      <w:bookmarkEnd w:id="41"/>
      <w:bookmarkEnd w:id="42"/>
      <w:r w:rsidR="002B0F44" w:rsidRPr="005432E1">
        <w:rPr>
          <w:rFonts w:asciiTheme="minorHAnsi" w:hAnsiTheme="minorHAnsi"/>
        </w:rPr>
        <w:t xml:space="preserve"> </w:t>
      </w:r>
    </w:p>
    <w:p w14:paraId="1173A2AB" w14:textId="77777777" w:rsidR="002B0F44" w:rsidRPr="005432E1" w:rsidRDefault="002B0F44" w:rsidP="006F4AC5">
      <w:pPr>
        <w:ind w:firstLine="708"/>
        <w:jc w:val="both"/>
        <w:rPr>
          <w:rFonts w:asciiTheme="minorHAnsi" w:hAnsiTheme="minorHAnsi"/>
        </w:rPr>
      </w:pPr>
    </w:p>
    <w:p w14:paraId="1C34297A" w14:textId="77777777" w:rsidR="00AF0AAB" w:rsidRPr="005432E1" w:rsidRDefault="00B644A7" w:rsidP="006F4AC5">
      <w:pPr>
        <w:spacing w:after="240"/>
        <w:ind w:firstLine="709"/>
        <w:jc w:val="both"/>
        <w:rPr>
          <w:rFonts w:asciiTheme="minorHAnsi" w:hAnsiTheme="minorHAnsi"/>
        </w:rPr>
      </w:pPr>
      <w:bookmarkStart w:id="43" w:name="_Toc163298115"/>
      <w:bookmarkStart w:id="44" w:name="_Toc163298230"/>
      <w:bookmarkStart w:id="45" w:name="_Toc163377905"/>
      <w:bookmarkStart w:id="46" w:name="_Toc163535949"/>
      <w:bookmarkStart w:id="47" w:name="_Toc194486431"/>
      <w:bookmarkStart w:id="48" w:name="_Toc225917795"/>
      <w:bookmarkStart w:id="49" w:name="_Toc226363334"/>
      <w:bookmarkStart w:id="50" w:name="_Toc226432538"/>
      <w:bookmarkStart w:id="51" w:name="_Toc226434489"/>
      <w:bookmarkStart w:id="52" w:name="_Toc226434708"/>
      <w:bookmarkStart w:id="53" w:name="_Toc226519719"/>
      <w:bookmarkStart w:id="54" w:name="_Toc226519810"/>
      <w:bookmarkStart w:id="55" w:name="_Toc257728040"/>
      <w:bookmarkStart w:id="56" w:name="_Toc257728073"/>
      <w:bookmarkStart w:id="57" w:name="_Toc447189106"/>
      <w:r w:rsidRPr="005432E1">
        <w:rPr>
          <w:rFonts w:asciiTheme="minorHAnsi" w:hAnsiTheme="minorHAnsi"/>
        </w:rPr>
        <w:t>Com o objetivo de prover maior transparência na apuração dos resultados fiscais dos governos, a Lei Complementar n</w:t>
      </w:r>
      <w:r w:rsidRPr="005432E1">
        <w:rPr>
          <w:rFonts w:asciiTheme="minorHAnsi" w:hAnsiTheme="minorHAnsi"/>
          <w:u w:val="single"/>
          <w:vertAlign w:val="superscript"/>
        </w:rPr>
        <w:t>o</w:t>
      </w:r>
      <w:r w:rsidRPr="005432E1">
        <w:rPr>
          <w:rFonts w:asciiTheme="minorHAnsi" w:hAnsiTheme="minorHAnsi"/>
        </w:rPr>
        <w:t xml:space="preserve"> 101, de 4 de maio de 2000, </w:t>
      </w:r>
      <w:r w:rsidR="00412966" w:rsidRPr="005432E1">
        <w:rPr>
          <w:rFonts w:asciiTheme="minorHAnsi" w:hAnsiTheme="minorHAnsi"/>
        </w:rPr>
        <w:t xml:space="preserve">determinou </w:t>
      </w:r>
      <w:r w:rsidRPr="005432E1">
        <w:rPr>
          <w:rFonts w:asciiTheme="minorHAnsi" w:hAnsiTheme="minorHAnsi"/>
        </w:rPr>
        <w:t>que a Lei de Diretrizes Orçamentárias Anual (LDO) deve estabelecer meta de superávit primário e conter Anexo de Riscos Fiscais com a avaliação dos passivos contingentes e de outros riscos capazes de afetar</w:t>
      </w:r>
      <w:r w:rsidR="009E1FE1" w:rsidRPr="005432E1">
        <w:rPr>
          <w:rFonts w:asciiTheme="minorHAnsi" w:hAnsiTheme="minorHAnsi"/>
        </w:rPr>
        <w:t xml:space="preserve"> as contas públicas.</w:t>
      </w:r>
      <w:r w:rsidR="0069427A" w:rsidRPr="005432E1">
        <w:rPr>
          <w:rFonts w:asciiTheme="minorHAnsi" w:hAnsiTheme="minorHAnsi"/>
        </w:rPr>
        <w:t xml:space="preserve"> </w:t>
      </w:r>
    </w:p>
    <w:p w14:paraId="1827FF5F" w14:textId="77777777" w:rsidR="00F342B7" w:rsidRPr="005432E1" w:rsidRDefault="00DD5852" w:rsidP="006F4AC5">
      <w:pPr>
        <w:spacing w:after="240"/>
        <w:ind w:firstLine="709"/>
        <w:jc w:val="both"/>
        <w:rPr>
          <w:rFonts w:asciiTheme="minorHAnsi" w:hAnsiTheme="minorHAnsi"/>
        </w:rPr>
      </w:pPr>
      <w:r w:rsidRPr="005432E1">
        <w:rPr>
          <w:rFonts w:asciiTheme="minorHAnsi" w:hAnsiTheme="minorHAnsi"/>
        </w:rPr>
        <w:t xml:space="preserve">De modo amplo, </w:t>
      </w:r>
      <w:r w:rsidR="00D22360" w:rsidRPr="005432E1">
        <w:rPr>
          <w:rFonts w:asciiTheme="minorHAnsi" w:hAnsiTheme="minorHAnsi"/>
        </w:rPr>
        <w:t xml:space="preserve">existem </w:t>
      </w:r>
      <w:r w:rsidRPr="005432E1">
        <w:rPr>
          <w:rFonts w:asciiTheme="minorHAnsi" w:hAnsiTheme="minorHAnsi"/>
        </w:rPr>
        <w:t xml:space="preserve">duas classes de eventos de risco </w:t>
      </w:r>
      <w:r w:rsidR="00D22360" w:rsidRPr="005432E1">
        <w:rPr>
          <w:rFonts w:asciiTheme="minorHAnsi" w:hAnsiTheme="minorHAnsi"/>
        </w:rPr>
        <w:t>que podem</w:t>
      </w:r>
      <w:r w:rsidRPr="005432E1">
        <w:rPr>
          <w:rFonts w:asciiTheme="minorHAnsi" w:hAnsiTheme="minorHAnsi"/>
        </w:rPr>
        <w:t xml:space="preserve"> afetar as contas públicas</w:t>
      </w:r>
      <w:r w:rsidR="00D22360" w:rsidRPr="005432E1">
        <w:rPr>
          <w:rFonts w:asciiTheme="minorHAnsi" w:hAnsiTheme="minorHAnsi"/>
        </w:rPr>
        <w:t xml:space="preserve">. A primeira se refere aos eventos </w:t>
      </w:r>
      <w:r w:rsidRPr="005432E1">
        <w:rPr>
          <w:rFonts w:asciiTheme="minorHAnsi" w:hAnsiTheme="minorHAnsi"/>
        </w:rPr>
        <w:t>cujo impacto se materializa através da afetação dos parâmetros macroeconômicos projetados para a elaboração do cenário base contido na Lei Orçamentária Anual (LOA)</w:t>
      </w:r>
      <w:r w:rsidR="00D22360" w:rsidRPr="005432E1">
        <w:rPr>
          <w:rFonts w:asciiTheme="minorHAnsi" w:hAnsiTheme="minorHAnsi"/>
        </w:rPr>
        <w:t xml:space="preserve">. </w:t>
      </w:r>
      <w:r w:rsidRPr="005432E1">
        <w:rPr>
          <w:rFonts w:asciiTheme="minorHAnsi" w:hAnsiTheme="minorHAnsi"/>
        </w:rPr>
        <w:t xml:space="preserve"> </w:t>
      </w:r>
      <w:r w:rsidR="00D22360" w:rsidRPr="005432E1">
        <w:rPr>
          <w:rFonts w:asciiTheme="minorHAnsi" w:hAnsiTheme="minorHAnsi"/>
        </w:rPr>
        <w:t xml:space="preserve">A segunda classe trata daqueles </w:t>
      </w:r>
      <w:r w:rsidRPr="005432E1">
        <w:rPr>
          <w:rFonts w:asciiTheme="minorHAnsi" w:hAnsiTheme="minorHAnsi"/>
        </w:rPr>
        <w:t xml:space="preserve">cujo impacto se dá de forma direta nas receitas e/ou despesas constantes no cenário base, sem necessariamente afetar, </w:t>
      </w:r>
      <w:r w:rsidRPr="005432E1">
        <w:rPr>
          <w:rFonts w:asciiTheme="minorHAnsi" w:hAnsiTheme="minorHAnsi"/>
          <w:i/>
        </w:rPr>
        <w:t>a priori</w:t>
      </w:r>
      <w:r w:rsidRPr="005432E1">
        <w:rPr>
          <w:rFonts w:asciiTheme="minorHAnsi" w:hAnsiTheme="minorHAnsi"/>
        </w:rPr>
        <w:t>, os parâmetros projetados para a sua construção.</w:t>
      </w:r>
    </w:p>
    <w:p w14:paraId="517C8F04" w14:textId="77777777" w:rsidR="006E502D" w:rsidRPr="005432E1" w:rsidRDefault="009C2A94" w:rsidP="006F4AC5">
      <w:pPr>
        <w:spacing w:after="240"/>
        <w:ind w:firstLine="709"/>
        <w:jc w:val="both"/>
        <w:rPr>
          <w:rFonts w:asciiTheme="minorHAnsi" w:hAnsiTheme="minorHAnsi"/>
        </w:rPr>
      </w:pPr>
      <w:r w:rsidRPr="005432E1">
        <w:rPr>
          <w:rFonts w:asciiTheme="minorHAnsi" w:hAnsiTheme="minorHAnsi"/>
        </w:rPr>
        <w:t>Os principais</w:t>
      </w:r>
      <w:r w:rsidR="00EE120A" w:rsidRPr="005432E1">
        <w:rPr>
          <w:rFonts w:asciiTheme="minorHAnsi" w:hAnsiTheme="minorHAnsi"/>
        </w:rPr>
        <w:t xml:space="preserve"> parâmetros macroeconômicos</w:t>
      </w:r>
      <w:r w:rsidR="001E6E82" w:rsidRPr="005432E1">
        <w:rPr>
          <w:rFonts w:asciiTheme="minorHAnsi" w:hAnsiTheme="minorHAnsi"/>
        </w:rPr>
        <w:t xml:space="preserve"> projetados </w:t>
      </w:r>
      <w:r w:rsidR="00EE120A" w:rsidRPr="005432E1">
        <w:rPr>
          <w:rFonts w:asciiTheme="minorHAnsi" w:hAnsiTheme="minorHAnsi"/>
        </w:rPr>
        <w:t>pelo Governo para a construção do cenário base são os seguintes</w:t>
      </w:r>
      <w:r w:rsidR="00B644A7" w:rsidRPr="005432E1">
        <w:rPr>
          <w:rFonts w:asciiTheme="minorHAnsi" w:hAnsiTheme="minorHAnsi"/>
        </w:rPr>
        <w:t>: (i) de atividade econômica, envolvendo o PIB</w:t>
      </w:r>
      <w:r w:rsidR="00963698" w:rsidRPr="005432E1">
        <w:rPr>
          <w:rFonts w:asciiTheme="minorHAnsi" w:hAnsiTheme="minorHAnsi"/>
        </w:rPr>
        <w:t xml:space="preserve"> e</w:t>
      </w:r>
      <w:r w:rsidR="00B644A7" w:rsidRPr="005432E1">
        <w:rPr>
          <w:rFonts w:asciiTheme="minorHAnsi" w:hAnsiTheme="minorHAnsi"/>
        </w:rPr>
        <w:t xml:space="preserve"> a produção industrial </w:t>
      </w:r>
      <w:r w:rsidR="00963698" w:rsidRPr="005432E1">
        <w:rPr>
          <w:rFonts w:asciiTheme="minorHAnsi" w:hAnsiTheme="minorHAnsi"/>
        </w:rPr>
        <w:t>d</w:t>
      </w:r>
      <w:r w:rsidR="00B644A7" w:rsidRPr="005432E1">
        <w:rPr>
          <w:rFonts w:asciiTheme="minorHAnsi" w:hAnsiTheme="minorHAnsi"/>
        </w:rPr>
        <w:t>e alguns</w:t>
      </w:r>
      <w:r w:rsidR="00963698" w:rsidRPr="005432E1">
        <w:rPr>
          <w:rFonts w:asciiTheme="minorHAnsi" w:hAnsiTheme="minorHAnsi"/>
        </w:rPr>
        <w:t xml:space="preserve"> setores </w:t>
      </w:r>
      <w:r w:rsidR="00B644A7" w:rsidRPr="005432E1">
        <w:rPr>
          <w:rFonts w:asciiTheme="minorHAnsi" w:hAnsiTheme="minorHAnsi"/>
        </w:rPr>
        <w:t>específicos; (ii) do mercado de trabalho</w:t>
      </w:r>
      <w:r w:rsidR="008758B9" w:rsidRPr="005432E1">
        <w:rPr>
          <w:rFonts w:asciiTheme="minorHAnsi" w:hAnsiTheme="minorHAnsi"/>
        </w:rPr>
        <w:t>;</w:t>
      </w:r>
      <w:r w:rsidR="00B644A7" w:rsidRPr="005432E1">
        <w:rPr>
          <w:rFonts w:asciiTheme="minorHAnsi" w:hAnsiTheme="minorHAnsi"/>
        </w:rPr>
        <w:t xml:space="preserve"> (</w:t>
      </w:r>
      <w:r w:rsidR="00BA7D40" w:rsidRPr="005432E1">
        <w:rPr>
          <w:rFonts w:asciiTheme="minorHAnsi" w:hAnsiTheme="minorHAnsi"/>
        </w:rPr>
        <w:t>iii</w:t>
      </w:r>
      <w:r w:rsidR="00B644A7" w:rsidRPr="005432E1">
        <w:rPr>
          <w:rFonts w:asciiTheme="minorHAnsi" w:hAnsiTheme="minorHAnsi"/>
        </w:rPr>
        <w:t>) da inflação; (</w:t>
      </w:r>
      <w:r w:rsidR="00BA7D40" w:rsidRPr="005432E1">
        <w:rPr>
          <w:rFonts w:asciiTheme="minorHAnsi" w:hAnsiTheme="minorHAnsi"/>
        </w:rPr>
        <w:t>iv</w:t>
      </w:r>
      <w:r w:rsidR="00B644A7" w:rsidRPr="005432E1">
        <w:rPr>
          <w:rFonts w:asciiTheme="minorHAnsi" w:hAnsiTheme="minorHAnsi"/>
        </w:rPr>
        <w:t>) do setor externo, incluindo taxa de câmbio; (v) dos agregados monetário</w:t>
      </w:r>
      <w:r w:rsidR="00412966" w:rsidRPr="005432E1">
        <w:rPr>
          <w:rFonts w:asciiTheme="minorHAnsi" w:hAnsiTheme="minorHAnsi"/>
        </w:rPr>
        <w:t>s</w:t>
      </w:r>
      <w:r w:rsidR="00B644A7" w:rsidRPr="005432E1">
        <w:rPr>
          <w:rFonts w:asciiTheme="minorHAnsi" w:hAnsiTheme="minorHAnsi"/>
        </w:rPr>
        <w:t xml:space="preserve"> e taxa de juro básica da economia; e (vi) do preço do petróleo.</w:t>
      </w:r>
      <w:r w:rsidR="00AF0AAB" w:rsidRPr="005432E1">
        <w:rPr>
          <w:rFonts w:asciiTheme="minorHAnsi" w:hAnsiTheme="minorHAnsi"/>
        </w:rPr>
        <w:t xml:space="preserve"> </w:t>
      </w:r>
      <w:r w:rsidR="00AE5951" w:rsidRPr="005432E1">
        <w:rPr>
          <w:rFonts w:asciiTheme="minorHAnsi" w:hAnsiTheme="minorHAnsi"/>
        </w:rPr>
        <w:t>Para efeitos deste Relatório, t</w:t>
      </w:r>
      <w:r w:rsidR="00A66F20" w:rsidRPr="005432E1">
        <w:rPr>
          <w:rFonts w:asciiTheme="minorHAnsi" w:hAnsiTheme="minorHAnsi"/>
        </w:rPr>
        <w:t xml:space="preserve">odas as </w:t>
      </w:r>
      <w:r w:rsidR="00AE5951" w:rsidRPr="005432E1">
        <w:rPr>
          <w:rFonts w:asciiTheme="minorHAnsi" w:hAnsiTheme="minorHAnsi"/>
        </w:rPr>
        <w:t xml:space="preserve">demais </w:t>
      </w:r>
      <w:r w:rsidR="00A66F20" w:rsidRPr="005432E1">
        <w:rPr>
          <w:rFonts w:asciiTheme="minorHAnsi" w:hAnsiTheme="minorHAnsi"/>
        </w:rPr>
        <w:t>variáveis incorporadas na construção do cenário base</w:t>
      </w:r>
      <w:r w:rsidR="00AF0AAB" w:rsidRPr="005432E1">
        <w:rPr>
          <w:rFonts w:asciiTheme="minorHAnsi" w:hAnsiTheme="minorHAnsi"/>
        </w:rPr>
        <w:t xml:space="preserve"> ou que podem vir a afetá-lo</w:t>
      </w:r>
      <w:r w:rsidR="00A66F20" w:rsidRPr="005432E1">
        <w:rPr>
          <w:rFonts w:asciiTheme="minorHAnsi" w:hAnsiTheme="minorHAnsi"/>
        </w:rPr>
        <w:t xml:space="preserve"> são consideradas</w:t>
      </w:r>
      <w:r w:rsidR="00AE5951" w:rsidRPr="005432E1">
        <w:rPr>
          <w:rFonts w:asciiTheme="minorHAnsi" w:hAnsiTheme="minorHAnsi"/>
        </w:rPr>
        <w:t xml:space="preserve"> d</w:t>
      </w:r>
      <w:r w:rsidR="00A66F20" w:rsidRPr="005432E1">
        <w:rPr>
          <w:rFonts w:asciiTheme="minorHAnsi" w:hAnsiTheme="minorHAnsi"/>
        </w:rPr>
        <w:t>e cunho não macroeconômico.</w:t>
      </w:r>
    </w:p>
    <w:p w14:paraId="32876C70" w14:textId="77777777" w:rsidR="00B644A7" w:rsidRPr="005432E1" w:rsidRDefault="00F16B96" w:rsidP="006F4AC5">
      <w:pPr>
        <w:spacing w:after="240"/>
        <w:ind w:firstLine="709"/>
        <w:jc w:val="both"/>
        <w:rPr>
          <w:rFonts w:asciiTheme="minorHAnsi" w:hAnsiTheme="minorHAnsi"/>
        </w:rPr>
      </w:pPr>
      <w:r w:rsidRPr="005432E1">
        <w:rPr>
          <w:rFonts w:asciiTheme="minorHAnsi" w:hAnsiTheme="minorHAnsi"/>
        </w:rPr>
        <w:t>O</w:t>
      </w:r>
      <w:r w:rsidR="00B644A7" w:rsidRPr="005432E1">
        <w:rPr>
          <w:rFonts w:asciiTheme="minorHAnsi" w:hAnsiTheme="minorHAnsi"/>
        </w:rPr>
        <w:t xml:space="preserve"> cenário base é a referência para a projeção das receitas do governo e para o estabelecimento do nível de despesas compatível com a meta de superávit primár</w:t>
      </w:r>
      <w:r w:rsidR="0043472F" w:rsidRPr="005432E1">
        <w:rPr>
          <w:rFonts w:asciiTheme="minorHAnsi" w:hAnsiTheme="minorHAnsi"/>
        </w:rPr>
        <w:t>io estabelecida no corpo da LDO, assim como para as projeções de dívida pública.</w:t>
      </w:r>
    </w:p>
    <w:p w14:paraId="1057D251" w14:textId="77777777" w:rsidR="001F7ED5" w:rsidRPr="005432E1" w:rsidRDefault="00B644A7" w:rsidP="006F4AC5">
      <w:pPr>
        <w:spacing w:after="240"/>
        <w:ind w:firstLine="709"/>
        <w:jc w:val="both"/>
        <w:rPr>
          <w:rFonts w:asciiTheme="minorHAnsi" w:hAnsiTheme="minorHAnsi"/>
        </w:rPr>
      </w:pPr>
      <w:r w:rsidRPr="005432E1">
        <w:rPr>
          <w:rFonts w:asciiTheme="minorHAnsi" w:hAnsiTheme="minorHAnsi"/>
        </w:rPr>
        <w:t>As principais premissas desse cenário são d</w:t>
      </w:r>
      <w:r w:rsidR="00691458" w:rsidRPr="005432E1">
        <w:rPr>
          <w:rFonts w:asciiTheme="minorHAnsi" w:hAnsiTheme="minorHAnsi"/>
        </w:rPr>
        <w:t xml:space="preserve">escritas no </w:t>
      </w:r>
      <w:r w:rsidRPr="005432E1">
        <w:rPr>
          <w:rFonts w:asciiTheme="minorHAnsi" w:hAnsiTheme="minorHAnsi"/>
        </w:rPr>
        <w:t xml:space="preserve">Anexo de Metas Fiscais </w:t>
      </w:r>
      <w:r w:rsidR="009F438C" w:rsidRPr="005432E1">
        <w:rPr>
          <w:rFonts w:asciiTheme="minorHAnsi" w:hAnsiTheme="minorHAnsi"/>
        </w:rPr>
        <w:t>Anuais</w:t>
      </w:r>
      <w:r w:rsidR="00691458" w:rsidRPr="005432E1">
        <w:rPr>
          <w:rFonts w:asciiTheme="minorHAnsi" w:hAnsiTheme="minorHAnsi"/>
        </w:rPr>
        <w:t xml:space="preserve"> d</w:t>
      </w:r>
      <w:r w:rsidR="004D7D5A" w:rsidRPr="005432E1">
        <w:rPr>
          <w:rFonts w:asciiTheme="minorHAnsi" w:hAnsiTheme="minorHAnsi"/>
        </w:rPr>
        <w:t>a</w:t>
      </w:r>
      <w:r w:rsidR="00691458" w:rsidRPr="005432E1">
        <w:rPr>
          <w:rFonts w:asciiTheme="minorHAnsi" w:hAnsiTheme="minorHAnsi"/>
        </w:rPr>
        <w:t xml:space="preserve"> Lei de Diretrizes Orçamentárias, LDO</w:t>
      </w:r>
      <w:r w:rsidR="009F438C" w:rsidRPr="005432E1">
        <w:rPr>
          <w:rFonts w:asciiTheme="minorHAnsi" w:hAnsiTheme="minorHAnsi"/>
        </w:rPr>
        <w:t xml:space="preserve">, </w:t>
      </w:r>
      <w:r w:rsidRPr="005432E1">
        <w:rPr>
          <w:rFonts w:asciiTheme="minorHAnsi" w:hAnsiTheme="minorHAnsi"/>
        </w:rPr>
        <w:t>e norteiam a elaboração dos demais Anexos</w:t>
      </w:r>
      <w:r w:rsidR="00691458" w:rsidRPr="005432E1">
        <w:rPr>
          <w:rFonts w:asciiTheme="minorHAnsi" w:hAnsiTheme="minorHAnsi"/>
        </w:rPr>
        <w:t xml:space="preserve"> do projeto de lei,</w:t>
      </w:r>
      <w:r w:rsidRPr="005432E1">
        <w:rPr>
          <w:rFonts w:asciiTheme="minorHAnsi" w:hAnsiTheme="minorHAnsi"/>
        </w:rPr>
        <w:t xml:space="preserve"> quais sejam: (i) </w:t>
      </w:r>
      <w:r w:rsidR="009F438C" w:rsidRPr="005432E1">
        <w:rPr>
          <w:rFonts w:asciiTheme="minorHAnsi" w:hAnsiTheme="minorHAnsi"/>
        </w:rPr>
        <w:t>Demonstrativo da Margem de Expansão das Despesas Obrigatórias de Caráter Continuado</w:t>
      </w:r>
      <w:r w:rsidRPr="005432E1">
        <w:rPr>
          <w:rFonts w:asciiTheme="minorHAnsi" w:hAnsiTheme="minorHAnsi"/>
        </w:rPr>
        <w:t>, que trata da projeção da arrecadação para os anos futuros e o espaço fiscal existente para o aumento da despesa de forma compatível com as metas de superávit primário futuras estabelecidas no Anexo</w:t>
      </w:r>
      <w:r w:rsidR="00691458" w:rsidRPr="005432E1">
        <w:rPr>
          <w:rFonts w:asciiTheme="minorHAnsi" w:hAnsiTheme="minorHAnsi"/>
        </w:rPr>
        <w:t xml:space="preserve"> de </w:t>
      </w:r>
      <w:r w:rsidRPr="005432E1">
        <w:rPr>
          <w:rFonts w:asciiTheme="minorHAnsi" w:hAnsiTheme="minorHAnsi"/>
        </w:rPr>
        <w:t xml:space="preserve">Metas Fiscais; (ii) Objetivos das Políticas Monetárias, Creditícia e Cambial, embora a política monetária seja independente na consecução do seu objetivo, esse é afetado pela trajetória da política fiscal e da atividade econômica; e (iii) Anexo de </w:t>
      </w:r>
      <w:r w:rsidR="00691458" w:rsidRPr="005432E1">
        <w:rPr>
          <w:rFonts w:asciiTheme="minorHAnsi" w:hAnsiTheme="minorHAnsi"/>
        </w:rPr>
        <w:t>R</w:t>
      </w:r>
      <w:r w:rsidRPr="005432E1">
        <w:rPr>
          <w:rFonts w:asciiTheme="minorHAnsi" w:hAnsiTheme="minorHAnsi"/>
        </w:rPr>
        <w:t>en</w:t>
      </w:r>
      <w:r w:rsidR="005E2946" w:rsidRPr="005432E1">
        <w:rPr>
          <w:rFonts w:asciiTheme="minorHAnsi" w:hAnsiTheme="minorHAnsi"/>
        </w:rPr>
        <w:t>ú</w:t>
      </w:r>
      <w:r w:rsidRPr="005432E1">
        <w:rPr>
          <w:rFonts w:asciiTheme="minorHAnsi" w:hAnsiTheme="minorHAnsi"/>
        </w:rPr>
        <w:t xml:space="preserve">ncias </w:t>
      </w:r>
      <w:r w:rsidR="00691458" w:rsidRPr="005432E1">
        <w:rPr>
          <w:rFonts w:asciiTheme="minorHAnsi" w:hAnsiTheme="minorHAnsi"/>
        </w:rPr>
        <w:t>Tributárias.</w:t>
      </w:r>
      <w:r w:rsidR="001A320E" w:rsidRPr="005432E1">
        <w:rPr>
          <w:rFonts w:asciiTheme="minorHAnsi" w:hAnsiTheme="minorHAnsi"/>
        </w:rPr>
        <w:t xml:space="preserve"> </w:t>
      </w:r>
      <w:r w:rsidR="00104071" w:rsidRPr="005432E1">
        <w:rPr>
          <w:rFonts w:asciiTheme="minorHAnsi" w:hAnsiTheme="minorHAnsi"/>
        </w:rPr>
        <w:t xml:space="preserve">Todavia, é importante salientar que </w:t>
      </w:r>
      <w:r w:rsidR="0097057E" w:rsidRPr="005432E1">
        <w:rPr>
          <w:rFonts w:asciiTheme="minorHAnsi" w:hAnsiTheme="minorHAnsi"/>
        </w:rPr>
        <w:t xml:space="preserve">o próprio lapso temporal entre a elaboração da </w:t>
      </w:r>
      <w:r w:rsidR="00104071" w:rsidRPr="005432E1">
        <w:rPr>
          <w:rFonts w:asciiTheme="minorHAnsi" w:hAnsiTheme="minorHAnsi"/>
        </w:rPr>
        <w:t xml:space="preserve">LDO </w:t>
      </w:r>
      <w:r w:rsidR="0097057E" w:rsidRPr="005432E1">
        <w:rPr>
          <w:rFonts w:asciiTheme="minorHAnsi" w:hAnsiTheme="minorHAnsi"/>
        </w:rPr>
        <w:t xml:space="preserve">e o início do ano a que ela se aplica </w:t>
      </w:r>
      <w:r w:rsidR="0044253E" w:rsidRPr="005432E1">
        <w:rPr>
          <w:rFonts w:asciiTheme="minorHAnsi" w:hAnsiTheme="minorHAnsi"/>
        </w:rPr>
        <w:t>resulta</w:t>
      </w:r>
      <w:r w:rsidR="0097057E" w:rsidRPr="005432E1">
        <w:rPr>
          <w:rFonts w:asciiTheme="minorHAnsi" w:hAnsiTheme="minorHAnsi"/>
        </w:rPr>
        <w:t xml:space="preserve"> na majoração dos riscos </w:t>
      </w:r>
      <w:r w:rsidR="00A53443" w:rsidRPr="005432E1">
        <w:rPr>
          <w:rFonts w:asciiTheme="minorHAnsi" w:hAnsiTheme="minorHAnsi"/>
        </w:rPr>
        <w:t>em torno d</w:t>
      </w:r>
      <w:r w:rsidR="007A7D41" w:rsidRPr="005432E1">
        <w:rPr>
          <w:rFonts w:asciiTheme="minorHAnsi" w:hAnsiTheme="minorHAnsi"/>
        </w:rPr>
        <w:t>a consecução do</w:t>
      </w:r>
      <w:r w:rsidR="00A53443" w:rsidRPr="005432E1">
        <w:rPr>
          <w:rFonts w:asciiTheme="minorHAnsi" w:hAnsiTheme="minorHAnsi"/>
        </w:rPr>
        <w:t xml:space="preserve"> cenário base originalmente projetado.</w:t>
      </w:r>
      <w:r w:rsidR="0044253E" w:rsidRPr="005432E1">
        <w:rPr>
          <w:rFonts w:asciiTheme="minorHAnsi" w:hAnsiTheme="minorHAnsi"/>
        </w:rPr>
        <w:t xml:space="preserve"> </w:t>
      </w:r>
    </w:p>
    <w:p w14:paraId="142C27CC" w14:textId="77777777" w:rsidR="0097057E" w:rsidRPr="005432E1" w:rsidRDefault="008D3DAE" w:rsidP="006F4AC5">
      <w:pPr>
        <w:spacing w:after="240"/>
        <w:ind w:firstLine="708"/>
        <w:jc w:val="both"/>
        <w:rPr>
          <w:rFonts w:asciiTheme="minorHAnsi" w:hAnsiTheme="minorHAnsi"/>
        </w:rPr>
      </w:pPr>
      <w:r w:rsidRPr="005432E1">
        <w:rPr>
          <w:rFonts w:asciiTheme="minorHAnsi" w:hAnsiTheme="minorHAnsi"/>
        </w:rPr>
        <w:t xml:space="preserve">Como exemplo desse processo </w:t>
      </w:r>
      <w:r w:rsidR="00062F86" w:rsidRPr="005432E1">
        <w:rPr>
          <w:rFonts w:asciiTheme="minorHAnsi" w:hAnsiTheme="minorHAnsi"/>
        </w:rPr>
        <w:t>de afetação do cenário base pel</w:t>
      </w:r>
      <w:r w:rsidR="000D4B84" w:rsidRPr="005432E1">
        <w:rPr>
          <w:rFonts w:asciiTheme="minorHAnsi" w:hAnsiTheme="minorHAnsi"/>
        </w:rPr>
        <w:t>a ocorr</w:t>
      </w:r>
      <w:r w:rsidR="00BF2700" w:rsidRPr="005432E1">
        <w:rPr>
          <w:rFonts w:asciiTheme="minorHAnsi" w:hAnsiTheme="minorHAnsi"/>
        </w:rPr>
        <w:t>ência de riscos, seja relacionados a parâmetros m</w:t>
      </w:r>
      <w:r w:rsidR="000D4B84" w:rsidRPr="005432E1">
        <w:rPr>
          <w:rFonts w:asciiTheme="minorHAnsi" w:hAnsiTheme="minorHAnsi"/>
        </w:rPr>
        <w:t>acroecon</w:t>
      </w:r>
      <w:r w:rsidR="00BF2700" w:rsidRPr="005432E1">
        <w:rPr>
          <w:rFonts w:asciiTheme="minorHAnsi" w:hAnsiTheme="minorHAnsi"/>
        </w:rPr>
        <w:t xml:space="preserve">ômicos ou não, </w:t>
      </w:r>
      <w:r w:rsidR="007570D9" w:rsidRPr="005432E1">
        <w:rPr>
          <w:rFonts w:asciiTheme="minorHAnsi" w:hAnsiTheme="minorHAnsi"/>
        </w:rPr>
        <w:t>a</w:t>
      </w:r>
      <w:r w:rsidR="00FD181E" w:rsidRPr="005432E1">
        <w:rPr>
          <w:rFonts w:asciiTheme="minorHAnsi" w:hAnsiTheme="minorHAnsi"/>
        </w:rPr>
        <w:t xml:space="preserve"> Tabela 1</w:t>
      </w:r>
      <w:r w:rsidR="005C6947" w:rsidRPr="005432E1">
        <w:rPr>
          <w:rFonts w:asciiTheme="minorHAnsi" w:hAnsiTheme="minorHAnsi"/>
        </w:rPr>
        <w:t xml:space="preserve"> </w:t>
      </w:r>
      <w:r w:rsidR="00B40213" w:rsidRPr="005432E1">
        <w:rPr>
          <w:rFonts w:asciiTheme="minorHAnsi" w:hAnsiTheme="minorHAnsi"/>
        </w:rPr>
        <w:t xml:space="preserve">evidencia </w:t>
      </w:r>
      <w:r w:rsidR="00E01B05" w:rsidRPr="005432E1">
        <w:rPr>
          <w:rFonts w:asciiTheme="minorHAnsi" w:hAnsiTheme="minorHAnsi"/>
        </w:rPr>
        <w:t xml:space="preserve">as diferentes previsões de receita elaboradas </w:t>
      </w:r>
      <w:r w:rsidR="00F96F4C" w:rsidRPr="005432E1">
        <w:rPr>
          <w:rFonts w:asciiTheme="minorHAnsi" w:hAnsiTheme="minorHAnsi"/>
        </w:rPr>
        <w:t>para o ano de 201</w:t>
      </w:r>
      <w:r w:rsidR="00B343B7" w:rsidRPr="005432E1">
        <w:rPr>
          <w:rFonts w:asciiTheme="minorHAnsi" w:hAnsiTheme="minorHAnsi"/>
        </w:rPr>
        <w:t>7</w:t>
      </w:r>
      <w:r w:rsidR="001F7ED5" w:rsidRPr="005432E1">
        <w:rPr>
          <w:rFonts w:asciiTheme="minorHAnsi" w:hAnsiTheme="minorHAnsi"/>
        </w:rPr>
        <w:t xml:space="preserve"> </w:t>
      </w:r>
      <w:r w:rsidR="007E46DE" w:rsidRPr="005432E1">
        <w:rPr>
          <w:rFonts w:asciiTheme="minorHAnsi" w:hAnsiTheme="minorHAnsi"/>
        </w:rPr>
        <w:t>e os</w:t>
      </w:r>
      <w:r w:rsidR="001F7ED5" w:rsidRPr="005432E1">
        <w:rPr>
          <w:rFonts w:asciiTheme="minorHAnsi" w:hAnsiTheme="minorHAnsi"/>
        </w:rPr>
        <w:t xml:space="preserve"> </w:t>
      </w:r>
      <w:r w:rsidR="00E01B05" w:rsidRPr="005432E1">
        <w:rPr>
          <w:rFonts w:asciiTheme="minorHAnsi" w:hAnsiTheme="minorHAnsi"/>
        </w:rPr>
        <w:t>mont</w:t>
      </w:r>
      <w:r w:rsidR="001F7ED5" w:rsidRPr="005432E1">
        <w:rPr>
          <w:rFonts w:asciiTheme="minorHAnsi" w:hAnsiTheme="minorHAnsi"/>
        </w:rPr>
        <w:t>antes efetivamente arrecadados.</w:t>
      </w:r>
    </w:p>
    <w:p w14:paraId="7CFF83B0" w14:textId="77777777" w:rsidR="00FD181E" w:rsidRPr="005432E1" w:rsidRDefault="00FD181E" w:rsidP="006F4AC5">
      <w:pPr>
        <w:spacing w:after="240"/>
        <w:ind w:firstLine="709"/>
        <w:jc w:val="both"/>
        <w:rPr>
          <w:rFonts w:asciiTheme="minorHAnsi" w:hAnsiTheme="minorHAnsi"/>
        </w:rPr>
      </w:pPr>
    </w:p>
    <w:p w14:paraId="716BFB2F" w14:textId="77777777" w:rsidR="00FD181E" w:rsidRPr="005432E1" w:rsidRDefault="00FD181E" w:rsidP="006F4AC5">
      <w:pPr>
        <w:spacing w:after="240"/>
        <w:ind w:firstLine="709"/>
        <w:jc w:val="both"/>
        <w:rPr>
          <w:rFonts w:asciiTheme="minorHAnsi" w:hAnsiTheme="minorHAnsi"/>
        </w:rPr>
      </w:pPr>
    </w:p>
    <w:p w14:paraId="56902AD7" w14:textId="77777777" w:rsidR="000A2C3E" w:rsidRPr="005432E1" w:rsidRDefault="000A2C3E" w:rsidP="006F4AC5">
      <w:pPr>
        <w:ind w:firstLine="708"/>
        <w:jc w:val="center"/>
        <w:rPr>
          <w:rFonts w:asciiTheme="minorHAnsi" w:hAnsiTheme="minorHAnsi"/>
        </w:rPr>
      </w:pPr>
      <w:r w:rsidRPr="005432E1">
        <w:rPr>
          <w:rFonts w:asciiTheme="minorHAnsi" w:hAnsiTheme="minorHAnsi"/>
          <w:b/>
        </w:rPr>
        <w:lastRenderedPageBreak/>
        <w:t>Tabela 1: Previsão das Receita</w:t>
      </w:r>
      <w:r w:rsidR="00EE5D8A" w:rsidRPr="005432E1">
        <w:rPr>
          <w:rFonts w:asciiTheme="minorHAnsi" w:hAnsiTheme="minorHAnsi"/>
          <w:b/>
        </w:rPr>
        <w:t>s Administradas pela RFB em 2017</w:t>
      </w:r>
      <w:r w:rsidR="0008681E" w:rsidRPr="005432E1">
        <w:rPr>
          <w:rFonts w:asciiTheme="minorHAnsi" w:hAnsiTheme="minorHAnsi"/>
          <w:b/>
        </w:rPr>
        <w:t xml:space="preserve"> (R$ milhões)</w:t>
      </w:r>
      <w:r w:rsidR="0008681E" w:rsidRPr="005432E1">
        <w:rPr>
          <w:rFonts w:asciiTheme="minorHAnsi" w:hAnsiTheme="minorHAnsi"/>
          <w:b/>
          <w:noProof/>
        </w:rPr>
        <w:drawing>
          <wp:inline distT="0" distB="0" distL="0" distR="0" wp14:anchorId="78ED4E8E" wp14:editId="42EB8417">
            <wp:extent cx="6043284" cy="3084971"/>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7579" cy="3112687"/>
                    </a:xfrm>
                    <a:prstGeom prst="rect">
                      <a:avLst/>
                    </a:prstGeom>
                    <a:noFill/>
                    <a:ln>
                      <a:noFill/>
                    </a:ln>
                  </pic:spPr>
                </pic:pic>
              </a:graphicData>
            </a:graphic>
          </wp:inline>
        </w:drawing>
      </w:r>
    </w:p>
    <w:p w14:paraId="73C8622E" w14:textId="77777777" w:rsidR="00A06C07" w:rsidRPr="005432E1" w:rsidRDefault="0008681E" w:rsidP="0008681E">
      <w:pPr>
        <w:pStyle w:val="Corpodetexto2"/>
        <w:spacing w:after="240"/>
        <w:jc w:val="left"/>
        <w:rPr>
          <w:rFonts w:asciiTheme="minorHAnsi" w:hAnsiTheme="minorHAnsi" w:cs="Times New Roman"/>
          <w:sz w:val="18"/>
          <w:szCs w:val="18"/>
        </w:rPr>
      </w:pPr>
      <w:r w:rsidRPr="005432E1">
        <w:rPr>
          <w:rFonts w:asciiTheme="minorHAnsi" w:hAnsiTheme="minorHAnsi" w:cs="Times New Roman"/>
          <w:sz w:val="18"/>
          <w:szCs w:val="18"/>
        </w:rPr>
        <w:t>Fonte: RFB. Observação: não contempla CPSS.</w:t>
      </w:r>
    </w:p>
    <w:p w14:paraId="696B6403" w14:textId="77777777" w:rsidR="00735D15" w:rsidRPr="005432E1" w:rsidRDefault="00735D15" w:rsidP="00735D15">
      <w:pPr>
        <w:pStyle w:val="Corpodetexto2"/>
        <w:spacing w:after="240"/>
        <w:rPr>
          <w:rFonts w:asciiTheme="minorHAnsi" w:hAnsiTheme="minorHAnsi" w:cs="Times New Roman"/>
        </w:rPr>
      </w:pPr>
      <w:r w:rsidRPr="005432E1">
        <w:rPr>
          <w:rFonts w:asciiTheme="minorHAnsi" w:hAnsiTheme="minorHAnsi" w:cs="Times New Roman"/>
          <w:sz w:val="18"/>
          <w:szCs w:val="18"/>
        </w:rPr>
        <w:tab/>
      </w:r>
      <w:r w:rsidRPr="005432E1">
        <w:rPr>
          <w:rFonts w:asciiTheme="minorHAnsi" w:hAnsiTheme="minorHAnsi" w:cs="Times New Roman"/>
        </w:rPr>
        <w:t>A arrecadação como um todo, é explicada pelo comportamento dos parâmetros macroeconômicos e, pelas arrecadações extraordinárias, em 2017, especialmente relacionadas com o parcelamento especial PERT/PRT. O desempenho do IRPJ e da CSLL é explicado, principalmente, pela queda nos recolhimentos das estimativas mensal em decorrência de queda da lucrativa, especialmente em instituições financeiras.</w:t>
      </w:r>
    </w:p>
    <w:p w14:paraId="57E8B71B" w14:textId="251F361D" w:rsidR="005432E1" w:rsidRDefault="00735D15" w:rsidP="00735D15">
      <w:pPr>
        <w:pStyle w:val="Corpodetexto2"/>
        <w:spacing w:after="240"/>
        <w:rPr>
          <w:rFonts w:asciiTheme="minorHAnsi" w:hAnsiTheme="minorHAnsi" w:cs="Times New Roman"/>
          <w:b/>
        </w:rPr>
      </w:pPr>
      <w:r w:rsidRPr="005432E1">
        <w:rPr>
          <w:rFonts w:asciiTheme="minorHAnsi" w:hAnsiTheme="minorHAnsi" w:cs="Times New Roman"/>
        </w:rPr>
        <w:tab/>
        <w:t>O comportamento do PIS/Cofins foi influenciado pela redução de parâmet</w:t>
      </w:r>
      <w:r w:rsidR="00EA644C" w:rsidRPr="005432E1">
        <w:rPr>
          <w:rFonts w:asciiTheme="minorHAnsi" w:hAnsiTheme="minorHAnsi" w:cs="Times New Roman"/>
        </w:rPr>
        <w:t>ro</w:t>
      </w:r>
      <w:r w:rsidRPr="005432E1">
        <w:rPr>
          <w:rFonts w:asciiTheme="minorHAnsi" w:hAnsiTheme="minorHAnsi" w:cs="Times New Roman"/>
        </w:rPr>
        <w:t>s, em relação aos estimados no PLOA/17, em combinação com a elevação das alíquotas do PIS/Cofins sobre os combustíveis. O desempenho do item Outras Receitas Administradas pela RFB é explicado pelas reclassificações de receitas, especialmente pela reclassificação do estoque de parcelamentos, ocorrida no mês de novembro/17. O desempenho da Receita Previdenciária</w:t>
      </w:r>
      <w:r w:rsidR="00D71CEA" w:rsidRPr="005432E1">
        <w:rPr>
          <w:rFonts w:asciiTheme="minorHAnsi" w:hAnsiTheme="minorHAnsi" w:cs="Times New Roman"/>
        </w:rPr>
        <w:t>, por sua vez,</w:t>
      </w:r>
      <w:r w:rsidRPr="005432E1">
        <w:rPr>
          <w:rFonts w:asciiTheme="minorHAnsi" w:hAnsiTheme="minorHAnsi" w:cs="Times New Roman"/>
        </w:rPr>
        <w:t xml:space="preserve"> é explicado, principalmente, pelo comportamento da massa salarial ao longo de 2017.</w:t>
      </w:r>
      <w:r w:rsidR="00A54CA9" w:rsidRPr="005432E1">
        <w:rPr>
          <w:rFonts w:asciiTheme="minorHAnsi" w:hAnsiTheme="minorHAnsi" w:cs="Times New Roman"/>
        </w:rPr>
        <w:t xml:space="preserve"> Ao se comparar o valor </w:t>
      </w:r>
      <w:r w:rsidR="001546B2" w:rsidRPr="005432E1">
        <w:rPr>
          <w:rFonts w:asciiTheme="minorHAnsi" w:hAnsiTheme="minorHAnsi" w:cs="Times New Roman"/>
        </w:rPr>
        <w:t xml:space="preserve">total </w:t>
      </w:r>
      <w:r w:rsidR="00DC461A" w:rsidRPr="005432E1">
        <w:rPr>
          <w:rFonts w:asciiTheme="minorHAnsi" w:hAnsiTheme="minorHAnsi" w:cs="Times New Roman"/>
        </w:rPr>
        <w:t>da receita previst</w:t>
      </w:r>
      <w:r w:rsidR="00A54CA9" w:rsidRPr="005432E1">
        <w:rPr>
          <w:rFonts w:asciiTheme="minorHAnsi" w:hAnsiTheme="minorHAnsi" w:cs="Times New Roman"/>
        </w:rPr>
        <w:t>o na LOA 2017</w:t>
      </w:r>
      <w:r w:rsidR="00DC461A" w:rsidRPr="005432E1">
        <w:rPr>
          <w:rFonts w:asciiTheme="minorHAnsi" w:hAnsiTheme="minorHAnsi" w:cs="Times New Roman"/>
        </w:rPr>
        <w:t xml:space="preserve"> e aquele efetivamente realizado</w:t>
      </w:r>
      <w:r w:rsidR="00A54CA9" w:rsidRPr="005432E1">
        <w:rPr>
          <w:rFonts w:asciiTheme="minorHAnsi" w:hAnsiTheme="minorHAnsi" w:cs="Times New Roman"/>
        </w:rPr>
        <w:t>, verifica-se que houve uma arrecadação a menor n</w:t>
      </w:r>
      <w:r w:rsidR="00BD21A1" w:rsidRPr="005432E1">
        <w:rPr>
          <w:rFonts w:asciiTheme="minorHAnsi" w:hAnsiTheme="minorHAnsi" w:cs="Times New Roman"/>
        </w:rPr>
        <w:t>o importe</w:t>
      </w:r>
      <w:r w:rsidR="00A54CA9" w:rsidRPr="005432E1">
        <w:rPr>
          <w:rFonts w:asciiTheme="minorHAnsi" w:hAnsiTheme="minorHAnsi" w:cs="Times New Roman"/>
        </w:rPr>
        <w:t xml:space="preserve"> de </w:t>
      </w:r>
      <w:r w:rsidR="00A54CA9" w:rsidRPr="005432E1">
        <w:rPr>
          <w:rFonts w:asciiTheme="minorHAnsi" w:hAnsiTheme="minorHAnsi" w:cs="Times New Roman"/>
          <w:b/>
        </w:rPr>
        <w:t>R$</w:t>
      </w:r>
      <w:r w:rsidR="00BD21A1" w:rsidRPr="005432E1">
        <w:rPr>
          <w:rFonts w:asciiTheme="minorHAnsi" w:hAnsiTheme="minorHAnsi" w:cs="Times New Roman"/>
          <w:b/>
        </w:rPr>
        <w:t xml:space="preserve"> </w:t>
      </w:r>
      <w:r w:rsidR="00A54CA9" w:rsidRPr="005432E1">
        <w:rPr>
          <w:rFonts w:asciiTheme="minorHAnsi" w:hAnsiTheme="minorHAnsi" w:cs="Times New Roman"/>
          <w:b/>
        </w:rPr>
        <w:t>49.746 bilhões.</w:t>
      </w:r>
    </w:p>
    <w:p w14:paraId="396BB46D" w14:textId="77777777" w:rsidR="005432E1" w:rsidRDefault="005432E1">
      <w:pPr>
        <w:rPr>
          <w:rFonts w:asciiTheme="minorHAnsi" w:hAnsiTheme="minorHAnsi"/>
          <w:b/>
        </w:rPr>
      </w:pPr>
      <w:r>
        <w:rPr>
          <w:rFonts w:asciiTheme="minorHAnsi" w:hAnsiTheme="minorHAnsi"/>
          <w:b/>
        </w:rPr>
        <w:br w:type="page"/>
      </w:r>
    </w:p>
    <w:p w14:paraId="0580468D" w14:textId="77777777" w:rsidR="00735D15" w:rsidRPr="005432E1" w:rsidRDefault="00735D15" w:rsidP="00735D15">
      <w:pPr>
        <w:pStyle w:val="Corpodetexto2"/>
        <w:spacing w:after="240"/>
        <w:rPr>
          <w:rFonts w:asciiTheme="minorHAnsi" w:hAnsiTheme="minorHAnsi"/>
          <w:b/>
        </w:rPr>
      </w:pPr>
    </w:p>
    <w:p w14:paraId="6E597264" w14:textId="5D977CC5" w:rsidR="00937C97" w:rsidRPr="005432E1" w:rsidRDefault="00937C97" w:rsidP="00735D15">
      <w:pPr>
        <w:pStyle w:val="Corpodetexto2"/>
        <w:spacing w:after="240"/>
        <w:rPr>
          <w:rFonts w:asciiTheme="minorHAnsi" w:hAnsiTheme="minorHAnsi" w:cs="Times New Roman"/>
        </w:rPr>
      </w:pPr>
      <w:r w:rsidRPr="005432E1">
        <w:rPr>
          <w:rFonts w:asciiTheme="minorHAnsi" w:hAnsiTheme="minorHAnsi" w:cs="Times New Roman"/>
          <w:b/>
        </w:rPr>
        <w:tab/>
        <w:t>Tabela 2 – Arrecadação prevista e realizada 2017</w:t>
      </w:r>
    </w:p>
    <w:tbl>
      <w:tblPr>
        <w:tblpPr w:leftFromText="141" w:rightFromText="141" w:vertAnchor="text" w:horzAnchor="page" w:tblpX="1621" w:tblpY="89"/>
        <w:tblW w:w="7823" w:type="dxa"/>
        <w:tblCellMar>
          <w:left w:w="70" w:type="dxa"/>
          <w:right w:w="70" w:type="dxa"/>
        </w:tblCellMar>
        <w:tblLook w:val="04A0" w:firstRow="1" w:lastRow="0" w:firstColumn="1" w:lastColumn="0" w:noHBand="0" w:noVBand="1"/>
      </w:tblPr>
      <w:tblGrid>
        <w:gridCol w:w="3971"/>
        <w:gridCol w:w="1199"/>
        <w:gridCol w:w="1533"/>
        <w:gridCol w:w="1120"/>
      </w:tblGrid>
      <w:tr w:rsidR="00A54CA9" w:rsidRPr="005432E1" w14:paraId="1BE915A6" w14:textId="77777777" w:rsidTr="00A54CA9">
        <w:trPr>
          <w:trHeight w:val="644"/>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75DB" w14:textId="77777777" w:rsidR="00A54CA9" w:rsidRPr="005432E1" w:rsidRDefault="00A54CA9" w:rsidP="00A54CA9">
            <w:pPr>
              <w:rPr>
                <w:rFonts w:asciiTheme="minorHAnsi" w:hAnsiTheme="minorHAnsi"/>
                <w:b/>
                <w:bCs/>
                <w:color w:val="000000"/>
                <w:sz w:val="22"/>
                <w:szCs w:val="22"/>
              </w:rPr>
            </w:pPr>
            <w:r w:rsidRPr="005432E1">
              <w:rPr>
                <w:rFonts w:asciiTheme="minorHAnsi" w:hAnsiTheme="minorHAnsi"/>
                <w:b/>
                <w:bCs/>
                <w:color w:val="000000"/>
                <w:sz w:val="22"/>
                <w:szCs w:val="22"/>
              </w:rPr>
              <w:t>Receitas</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53470D60" w14:textId="77777777" w:rsidR="00A54CA9" w:rsidRPr="005432E1" w:rsidRDefault="00A54CA9" w:rsidP="00A54CA9">
            <w:pPr>
              <w:jc w:val="center"/>
              <w:rPr>
                <w:rFonts w:asciiTheme="minorHAnsi" w:hAnsiTheme="minorHAnsi"/>
                <w:b/>
                <w:bCs/>
                <w:color w:val="000000"/>
                <w:sz w:val="22"/>
                <w:szCs w:val="22"/>
              </w:rPr>
            </w:pPr>
            <w:r w:rsidRPr="005432E1">
              <w:rPr>
                <w:rFonts w:asciiTheme="minorHAnsi" w:hAnsiTheme="minorHAnsi"/>
                <w:b/>
                <w:bCs/>
                <w:color w:val="000000"/>
                <w:sz w:val="22"/>
                <w:szCs w:val="22"/>
              </w:rPr>
              <w:t>LOA 2017 (1)</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14:paraId="67D90C44" w14:textId="77777777" w:rsidR="00A54CA9" w:rsidRPr="005432E1" w:rsidRDefault="00A54CA9" w:rsidP="00A54CA9">
            <w:pPr>
              <w:jc w:val="center"/>
              <w:rPr>
                <w:rFonts w:asciiTheme="minorHAnsi" w:hAnsiTheme="minorHAnsi"/>
                <w:b/>
                <w:bCs/>
                <w:color w:val="000000"/>
                <w:sz w:val="22"/>
                <w:szCs w:val="22"/>
              </w:rPr>
            </w:pPr>
            <w:r w:rsidRPr="005432E1">
              <w:rPr>
                <w:rFonts w:asciiTheme="minorHAnsi" w:hAnsiTheme="minorHAnsi"/>
                <w:b/>
                <w:bCs/>
                <w:color w:val="000000"/>
                <w:sz w:val="22"/>
                <w:szCs w:val="22"/>
              </w:rPr>
              <w:t>Arrecadação efetiva 2017 (2)</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0CB8783B" w14:textId="77777777" w:rsidR="00A54CA9" w:rsidRPr="005432E1" w:rsidRDefault="00A54CA9" w:rsidP="00A54CA9">
            <w:pPr>
              <w:jc w:val="center"/>
              <w:rPr>
                <w:rFonts w:asciiTheme="minorHAnsi" w:hAnsiTheme="minorHAnsi"/>
                <w:b/>
                <w:bCs/>
                <w:color w:val="000000"/>
                <w:sz w:val="22"/>
                <w:szCs w:val="22"/>
              </w:rPr>
            </w:pPr>
            <w:r w:rsidRPr="005432E1">
              <w:rPr>
                <w:rFonts w:asciiTheme="minorHAnsi" w:hAnsiTheme="minorHAnsi"/>
                <w:b/>
                <w:bCs/>
                <w:color w:val="000000"/>
                <w:sz w:val="22"/>
                <w:szCs w:val="22"/>
              </w:rPr>
              <w:t>Diferença (2 -1)</w:t>
            </w:r>
          </w:p>
        </w:tc>
      </w:tr>
      <w:tr w:rsidR="00A54CA9" w:rsidRPr="005432E1" w14:paraId="3E7E206C"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57F04D35"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Impostos sobre a importação</w:t>
            </w:r>
          </w:p>
        </w:tc>
        <w:tc>
          <w:tcPr>
            <w:tcW w:w="1199" w:type="dxa"/>
            <w:tcBorders>
              <w:top w:val="nil"/>
              <w:left w:val="nil"/>
              <w:bottom w:val="single" w:sz="4" w:space="0" w:color="auto"/>
              <w:right w:val="single" w:sz="4" w:space="0" w:color="auto"/>
            </w:tcBorders>
            <w:shd w:val="clear" w:color="auto" w:fill="auto"/>
            <w:noWrap/>
            <w:vAlign w:val="bottom"/>
            <w:hideMark/>
          </w:tcPr>
          <w:p w14:paraId="38CEC42B"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38.770</w:t>
            </w:r>
          </w:p>
        </w:tc>
        <w:tc>
          <w:tcPr>
            <w:tcW w:w="1533" w:type="dxa"/>
            <w:tcBorders>
              <w:top w:val="nil"/>
              <w:left w:val="nil"/>
              <w:bottom w:val="single" w:sz="4" w:space="0" w:color="auto"/>
              <w:right w:val="single" w:sz="4" w:space="0" w:color="auto"/>
            </w:tcBorders>
            <w:shd w:val="clear" w:color="auto" w:fill="auto"/>
            <w:noWrap/>
            <w:vAlign w:val="bottom"/>
            <w:hideMark/>
          </w:tcPr>
          <w:p w14:paraId="6F487E42"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32.426</w:t>
            </w:r>
          </w:p>
        </w:tc>
        <w:tc>
          <w:tcPr>
            <w:tcW w:w="1120" w:type="dxa"/>
            <w:tcBorders>
              <w:top w:val="nil"/>
              <w:left w:val="nil"/>
              <w:bottom w:val="single" w:sz="4" w:space="0" w:color="auto"/>
              <w:right w:val="single" w:sz="4" w:space="0" w:color="auto"/>
            </w:tcBorders>
            <w:shd w:val="clear" w:color="auto" w:fill="auto"/>
            <w:noWrap/>
            <w:vAlign w:val="bottom"/>
            <w:hideMark/>
          </w:tcPr>
          <w:p w14:paraId="4B20A59C"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-6.344</w:t>
            </w:r>
          </w:p>
        </w:tc>
      </w:tr>
      <w:tr w:rsidR="00A54CA9" w:rsidRPr="005432E1" w14:paraId="5B09C321"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07AEA568"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Impostos sobre Produtos Industrializados</w:t>
            </w:r>
          </w:p>
        </w:tc>
        <w:tc>
          <w:tcPr>
            <w:tcW w:w="1199" w:type="dxa"/>
            <w:tcBorders>
              <w:top w:val="nil"/>
              <w:left w:val="nil"/>
              <w:bottom w:val="single" w:sz="4" w:space="0" w:color="auto"/>
              <w:right w:val="single" w:sz="4" w:space="0" w:color="auto"/>
            </w:tcBorders>
            <w:shd w:val="clear" w:color="auto" w:fill="auto"/>
            <w:noWrap/>
            <w:vAlign w:val="bottom"/>
            <w:hideMark/>
          </w:tcPr>
          <w:p w14:paraId="520C35E9"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52.210</w:t>
            </w:r>
          </w:p>
        </w:tc>
        <w:tc>
          <w:tcPr>
            <w:tcW w:w="1533" w:type="dxa"/>
            <w:tcBorders>
              <w:top w:val="nil"/>
              <w:left w:val="nil"/>
              <w:bottom w:val="single" w:sz="4" w:space="0" w:color="auto"/>
              <w:right w:val="single" w:sz="4" w:space="0" w:color="auto"/>
            </w:tcBorders>
            <w:shd w:val="clear" w:color="auto" w:fill="auto"/>
            <w:noWrap/>
            <w:vAlign w:val="bottom"/>
            <w:hideMark/>
          </w:tcPr>
          <w:p w14:paraId="397D0F26"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48.033</w:t>
            </w:r>
          </w:p>
        </w:tc>
        <w:tc>
          <w:tcPr>
            <w:tcW w:w="1120" w:type="dxa"/>
            <w:tcBorders>
              <w:top w:val="nil"/>
              <w:left w:val="nil"/>
              <w:bottom w:val="single" w:sz="4" w:space="0" w:color="auto"/>
              <w:right w:val="single" w:sz="4" w:space="0" w:color="auto"/>
            </w:tcBorders>
            <w:shd w:val="clear" w:color="auto" w:fill="auto"/>
            <w:noWrap/>
            <w:vAlign w:val="bottom"/>
            <w:hideMark/>
          </w:tcPr>
          <w:p w14:paraId="0DBB070A"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-4.177</w:t>
            </w:r>
          </w:p>
        </w:tc>
      </w:tr>
      <w:tr w:rsidR="00A54CA9" w:rsidRPr="005432E1" w14:paraId="12C907A9"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208FA12E"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Impostos sobre a Renda</w:t>
            </w:r>
          </w:p>
        </w:tc>
        <w:tc>
          <w:tcPr>
            <w:tcW w:w="1199" w:type="dxa"/>
            <w:tcBorders>
              <w:top w:val="nil"/>
              <w:left w:val="nil"/>
              <w:bottom w:val="single" w:sz="4" w:space="0" w:color="auto"/>
              <w:right w:val="single" w:sz="4" w:space="0" w:color="auto"/>
            </w:tcBorders>
            <w:shd w:val="clear" w:color="auto" w:fill="auto"/>
            <w:noWrap/>
            <w:vAlign w:val="bottom"/>
            <w:hideMark/>
          </w:tcPr>
          <w:p w14:paraId="41273388"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352.853</w:t>
            </w:r>
          </w:p>
        </w:tc>
        <w:tc>
          <w:tcPr>
            <w:tcW w:w="1533" w:type="dxa"/>
            <w:tcBorders>
              <w:top w:val="nil"/>
              <w:left w:val="nil"/>
              <w:bottom w:val="single" w:sz="4" w:space="0" w:color="auto"/>
              <w:right w:val="single" w:sz="4" w:space="0" w:color="auto"/>
            </w:tcBorders>
            <w:shd w:val="clear" w:color="auto" w:fill="auto"/>
            <w:noWrap/>
            <w:vAlign w:val="bottom"/>
            <w:hideMark/>
          </w:tcPr>
          <w:p w14:paraId="17F0CFBC"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339.841</w:t>
            </w:r>
          </w:p>
        </w:tc>
        <w:tc>
          <w:tcPr>
            <w:tcW w:w="1120" w:type="dxa"/>
            <w:tcBorders>
              <w:top w:val="nil"/>
              <w:left w:val="nil"/>
              <w:bottom w:val="single" w:sz="4" w:space="0" w:color="auto"/>
              <w:right w:val="single" w:sz="4" w:space="0" w:color="auto"/>
            </w:tcBorders>
            <w:shd w:val="clear" w:color="auto" w:fill="auto"/>
            <w:noWrap/>
            <w:vAlign w:val="bottom"/>
            <w:hideMark/>
          </w:tcPr>
          <w:p w14:paraId="0C5E2549"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-13.012</w:t>
            </w:r>
          </w:p>
        </w:tc>
      </w:tr>
      <w:tr w:rsidR="00A54CA9" w:rsidRPr="005432E1" w14:paraId="1A273ABD"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4537A354"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I.O.F. Impostos s/ Operações Financeiras</w:t>
            </w:r>
          </w:p>
        </w:tc>
        <w:tc>
          <w:tcPr>
            <w:tcW w:w="1199" w:type="dxa"/>
            <w:tcBorders>
              <w:top w:val="nil"/>
              <w:left w:val="nil"/>
              <w:bottom w:val="single" w:sz="4" w:space="0" w:color="auto"/>
              <w:right w:val="single" w:sz="4" w:space="0" w:color="auto"/>
            </w:tcBorders>
            <w:shd w:val="clear" w:color="auto" w:fill="auto"/>
            <w:noWrap/>
            <w:vAlign w:val="bottom"/>
            <w:hideMark/>
          </w:tcPr>
          <w:p w14:paraId="0281AB8E"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37.657</w:t>
            </w:r>
          </w:p>
        </w:tc>
        <w:tc>
          <w:tcPr>
            <w:tcW w:w="1533" w:type="dxa"/>
            <w:tcBorders>
              <w:top w:val="nil"/>
              <w:left w:val="nil"/>
              <w:bottom w:val="single" w:sz="4" w:space="0" w:color="auto"/>
              <w:right w:val="single" w:sz="4" w:space="0" w:color="auto"/>
            </w:tcBorders>
            <w:shd w:val="clear" w:color="auto" w:fill="auto"/>
            <w:noWrap/>
            <w:vAlign w:val="bottom"/>
            <w:hideMark/>
          </w:tcPr>
          <w:p w14:paraId="439F187D"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34.984</w:t>
            </w:r>
          </w:p>
        </w:tc>
        <w:tc>
          <w:tcPr>
            <w:tcW w:w="1120" w:type="dxa"/>
            <w:tcBorders>
              <w:top w:val="nil"/>
              <w:left w:val="nil"/>
              <w:bottom w:val="single" w:sz="4" w:space="0" w:color="auto"/>
              <w:right w:val="single" w:sz="4" w:space="0" w:color="auto"/>
            </w:tcBorders>
            <w:shd w:val="clear" w:color="auto" w:fill="auto"/>
            <w:noWrap/>
            <w:vAlign w:val="bottom"/>
            <w:hideMark/>
          </w:tcPr>
          <w:p w14:paraId="497B4C34"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-2.673</w:t>
            </w:r>
          </w:p>
        </w:tc>
      </w:tr>
      <w:tr w:rsidR="00A54CA9" w:rsidRPr="005432E1" w14:paraId="2FA7B781"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6E0521F3"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COFINS- Contribuição Seguridade Social</w:t>
            </w:r>
          </w:p>
        </w:tc>
        <w:tc>
          <w:tcPr>
            <w:tcW w:w="1199" w:type="dxa"/>
            <w:tcBorders>
              <w:top w:val="nil"/>
              <w:left w:val="nil"/>
              <w:bottom w:val="single" w:sz="4" w:space="0" w:color="auto"/>
              <w:right w:val="single" w:sz="4" w:space="0" w:color="auto"/>
            </w:tcBorders>
            <w:shd w:val="clear" w:color="auto" w:fill="auto"/>
            <w:noWrap/>
            <w:vAlign w:val="bottom"/>
            <w:hideMark/>
          </w:tcPr>
          <w:p w14:paraId="55F45772"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222.797</w:t>
            </w:r>
          </w:p>
        </w:tc>
        <w:tc>
          <w:tcPr>
            <w:tcW w:w="1533" w:type="dxa"/>
            <w:tcBorders>
              <w:top w:val="nil"/>
              <w:left w:val="nil"/>
              <w:bottom w:val="single" w:sz="4" w:space="0" w:color="auto"/>
              <w:right w:val="single" w:sz="4" w:space="0" w:color="auto"/>
            </w:tcBorders>
            <w:shd w:val="clear" w:color="auto" w:fill="auto"/>
            <w:noWrap/>
            <w:vAlign w:val="bottom"/>
            <w:hideMark/>
          </w:tcPr>
          <w:p w14:paraId="19CB871C"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235.759</w:t>
            </w:r>
          </w:p>
        </w:tc>
        <w:tc>
          <w:tcPr>
            <w:tcW w:w="1120" w:type="dxa"/>
            <w:tcBorders>
              <w:top w:val="nil"/>
              <w:left w:val="nil"/>
              <w:bottom w:val="single" w:sz="4" w:space="0" w:color="auto"/>
              <w:right w:val="single" w:sz="4" w:space="0" w:color="auto"/>
            </w:tcBorders>
            <w:shd w:val="clear" w:color="auto" w:fill="auto"/>
            <w:noWrap/>
            <w:vAlign w:val="bottom"/>
            <w:hideMark/>
          </w:tcPr>
          <w:p w14:paraId="300AF6B8"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12.962</w:t>
            </w:r>
          </w:p>
        </w:tc>
      </w:tr>
      <w:tr w:rsidR="00A54CA9" w:rsidRPr="005432E1" w14:paraId="003A34F9"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50378E5A"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Contribuição para o PIS/PASEP</w:t>
            </w:r>
          </w:p>
        </w:tc>
        <w:tc>
          <w:tcPr>
            <w:tcW w:w="1199" w:type="dxa"/>
            <w:tcBorders>
              <w:top w:val="nil"/>
              <w:left w:val="nil"/>
              <w:bottom w:val="single" w:sz="4" w:space="0" w:color="auto"/>
              <w:right w:val="single" w:sz="4" w:space="0" w:color="auto"/>
            </w:tcBorders>
            <w:shd w:val="clear" w:color="auto" w:fill="auto"/>
            <w:noWrap/>
            <w:vAlign w:val="bottom"/>
            <w:hideMark/>
          </w:tcPr>
          <w:p w14:paraId="7E5CFF43"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59.701</w:t>
            </w:r>
          </w:p>
        </w:tc>
        <w:tc>
          <w:tcPr>
            <w:tcW w:w="1533" w:type="dxa"/>
            <w:tcBorders>
              <w:top w:val="nil"/>
              <w:left w:val="nil"/>
              <w:bottom w:val="single" w:sz="4" w:space="0" w:color="auto"/>
              <w:right w:val="single" w:sz="4" w:space="0" w:color="auto"/>
            </w:tcBorders>
            <w:shd w:val="clear" w:color="auto" w:fill="auto"/>
            <w:noWrap/>
            <w:vAlign w:val="bottom"/>
            <w:hideMark/>
          </w:tcPr>
          <w:p w14:paraId="50B9B51C"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62.561</w:t>
            </w:r>
          </w:p>
        </w:tc>
        <w:tc>
          <w:tcPr>
            <w:tcW w:w="1120" w:type="dxa"/>
            <w:tcBorders>
              <w:top w:val="nil"/>
              <w:left w:val="nil"/>
              <w:bottom w:val="single" w:sz="4" w:space="0" w:color="auto"/>
              <w:right w:val="single" w:sz="4" w:space="0" w:color="auto"/>
            </w:tcBorders>
            <w:shd w:val="clear" w:color="auto" w:fill="auto"/>
            <w:noWrap/>
            <w:vAlign w:val="bottom"/>
            <w:hideMark/>
          </w:tcPr>
          <w:p w14:paraId="7F65D21A"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2.860</w:t>
            </w:r>
          </w:p>
        </w:tc>
      </w:tr>
      <w:tr w:rsidR="00A54CA9" w:rsidRPr="005432E1" w14:paraId="2D79A1CA"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540EDBF1"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CSLL - Contribuição Social S/ Lucro Líquido</w:t>
            </w:r>
          </w:p>
        </w:tc>
        <w:tc>
          <w:tcPr>
            <w:tcW w:w="1199" w:type="dxa"/>
            <w:tcBorders>
              <w:top w:val="nil"/>
              <w:left w:val="nil"/>
              <w:bottom w:val="single" w:sz="4" w:space="0" w:color="auto"/>
              <w:right w:val="single" w:sz="4" w:space="0" w:color="auto"/>
            </w:tcBorders>
            <w:shd w:val="clear" w:color="auto" w:fill="auto"/>
            <w:noWrap/>
            <w:vAlign w:val="bottom"/>
            <w:hideMark/>
          </w:tcPr>
          <w:p w14:paraId="5918A230"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78.965</w:t>
            </w:r>
          </w:p>
        </w:tc>
        <w:tc>
          <w:tcPr>
            <w:tcW w:w="1533" w:type="dxa"/>
            <w:tcBorders>
              <w:top w:val="nil"/>
              <w:left w:val="nil"/>
              <w:bottom w:val="single" w:sz="4" w:space="0" w:color="auto"/>
              <w:right w:val="single" w:sz="4" w:space="0" w:color="auto"/>
            </w:tcBorders>
            <w:shd w:val="clear" w:color="auto" w:fill="auto"/>
            <w:noWrap/>
            <w:vAlign w:val="bottom"/>
            <w:hideMark/>
          </w:tcPr>
          <w:p w14:paraId="2112FA69"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75.651</w:t>
            </w:r>
          </w:p>
        </w:tc>
        <w:tc>
          <w:tcPr>
            <w:tcW w:w="1120" w:type="dxa"/>
            <w:tcBorders>
              <w:top w:val="nil"/>
              <w:left w:val="nil"/>
              <w:bottom w:val="single" w:sz="4" w:space="0" w:color="auto"/>
              <w:right w:val="single" w:sz="4" w:space="0" w:color="auto"/>
            </w:tcBorders>
            <w:shd w:val="clear" w:color="auto" w:fill="auto"/>
            <w:noWrap/>
            <w:vAlign w:val="bottom"/>
            <w:hideMark/>
          </w:tcPr>
          <w:p w14:paraId="701D41FE"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-3.314</w:t>
            </w:r>
          </w:p>
        </w:tc>
      </w:tr>
      <w:tr w:rsidR="00A54CA9" w:rsidRPr="005432E1" w14:paraId="1DA618CA"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2E40873E"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CIDE- Combustíveis</w:t>
            </w:r>
          </w:p>
        </w:tc>
        <w:tc>
          <w:tcPr>
            <w:tcW w:w="1199" w:type="dxa"/>
            <w:tcBorders>
              <w:top w:val="nil"/>
              <w:left w:val="nil"/>
              <w:bottom w:val="single" w:sz="4" w:space="0" w:color="auto"/>
              <w:right w:val="single" w:sz="4" w:space="0" w:color="auto"/>
            </w:tcBorders>
            <w:shd w:val="clear" w:color="auto" w:fill="auto"/>
            <w:noWrap/>
            <w:vAlign w:val="bottom"/>
            <w:hideMark/>
          </w:tcPr>
          <w:p w14:paraId="7C912C96"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6.023</w:t>
            </w:r>
          </w:p>
        </w:tc>
        <w:tc>
          <w:tcPr>
            <w:tcW w:w="1533" w:type="dxa"/>
            <w:tcBorders>
              <w:top w:val="nil"/>
              <w:left w:val="nil"/>
              <w:bottom w:val="single" w:sz="4" w:space="0" w:color="auto"/>
              <w:right w:val="single" w:sz="4" w:space="0" w:color="auto"/>
            </w:tcBorders>
            <w:shd w:val="clear" w:color="auto" w:fill="auto"/>
            <w:noWrap/>
            <w:vAlign w:val="bottom"/>
            <w:hideMark/>
          </w:tcPr>
          <w:p w14:paraId="6868793D"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5.827</w:t>
            </w:r>
          </w:p>
        </w:tc>
        <w:tc>
          <w:tcPr>
            <w:tcW w:w="1120" w:type="dxa"/>
            <w:tcBorders>
              <w:top w:val="nil"/>
              <w:left w:val="nil"/>
              <w:bottom w:val="single" w:sz="4" w:space="0" w:color="auto"/>
              <w:right w:val="single" w:sz="4" w:space="0" w:color="auto"/>
            </w:tcBorders>
            <w:shd w:val="clear" w:color="auto" w:fill="auto"/>
            <w:noWrap/>
            <w:vAlign w:val="bottom"/>
            <w:hideMark/>
          </w:tcPr>
          <w:p w14:paraId="0B001804"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-196</w:t>
            </w:r>
          </w:p>
        </w:tc>
      </w:tr>
      <w:tr w:rsidR="00A54CA9" w:rsidRPr="005432E1" w14:paraId="754C8F8B"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0811ADDD"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Outras Administradas pela RFB</w:t>
            </w:r>
          </w:p>
        </w:tc>
        <w:tc>
          <w:tcPr>
            <w:tcW w:w="1199" w:type="dxa"/>
            <w:tcBorders>
              <w:top w:val="nil"/>
              <w:left w:val="nil"/>
              <w:bottom w:val="single" w:sz="4" w:space="0" w:color="auto"/>
              <w:right w:val="single" w:sz="4" w:space="0" w:color="auto"/>
            </w:tcBorders>
            <w:shd w:val="clear" w:color="auto" w:fill="auto"/>
            <w:noWrap/>
            <w:vAlign w:val="bottom"/>
            <w:hideMark/>
          </w:tcPr>
          <w:p w14:paraId="2947BEC5"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32.611</w:t>
            </w:r>
          </w:p>
        </w:tc>
        <w:tc>
          <w:tcPr>
            <w:tcW w:w="1533" w:type="dxa"/>
            <w:tcBorders>
              <w:top w:val="nil"/>
              <w:left w:val="nil"/>
              <w:bottom w:val="single" w:sz="4" w:space="0" w:color="auto"/>
              <w:right w:val="single" w:sz="4" w:space="0" w:color="auto"/>
            </w:tcBorders>
            <w:shd w:val="clear" w:color="auto" w:fill="auto"/>
            <w:noWrap/>
            <w:vAlign w:val="bottom"/>
            <w:hideMark/>
          </w:tcPr>
          <w:p w14:paraId="406E49FB"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482</w:t>
            </w:r>
          </w:p>
        </w:tc>
        <w:tc>
          <w:tcPr>
            <w:tcW w:w="1120" w:type="dxa"/>
            <w:tcBorders>
              <w:top w:val="nil"/>
              <w:left w:val="nil"/>
              <w:bottom w:val="single" w:sz="4" w:space="0" w:color="auto"/>
              <w:right w:val="single" w:sz="4" w:space="0" w:color="auto"/>
            </w:tcBorders>
            <w:shd w:val="clear" w:color="auto" w:fill="auto"/>
            <w:noWrap/>
            <w:vAlign w:val="bottom"/>
            <w:hideMark/>
          </w:tcPr>
          <w:p w14:paraId="621907C9"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-32.129</w:t>
            </w:r>
          </w:p>
        </w:tc>
      </w:tr>
      <w:tr w:rsidR="00A54CA9" w:rsidRPr="005432E1" w14:paraId="4678FD7D"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152BCC6C"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Subtotal (A)</w:t>
            </w:r>
          </w:p>
        </w:tc>
        <w:tc>
          <w:tcPr>
            <w:tcW w:w="1199" w:type="dxa"/>
            <w:tcBorders>
              <w:top w:val="nil"/>
              <w:left w:val="nil"/>
              <w:bottom w:val="single" w:sz="4" w:space="0" w:color="auto"/>
              <w:right w:val="single" w:sz="4" w:space="0" w:color="auto"/>
            </w:tcBorders>
            <w:shd w:val="clear" w:color="auto" w:fill="auto"/>
            <w:noWrap/>
            <w:vAlign w:val="bottom"/>
            <w:hideMark/>
          </w:tcPr>
          <w:p w14:paraId="4C4E07B3"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881.588</w:t>
            </w:r>
          </w:p>
        </w:tc>
        <w:tc>
          <w:tcPr>
            <w:tcW w:w="1533" w:type="dxa"/>
            <w:tcBorders>
              <w:top w:val="nil"/>
              <w:left w:val="nil"/>
              <w:bottom w:val="single" w:sz="4" w:space="0" w:color="auto"/>
              <w:right w:val="single" w:sz="4" w:space="0" w:color="auto"/>
            </w:tcBorders>
            <w:shd w:val="clear" w:color="auto" w:fill="auto"/>
            <w:noWrap/>
            <w:vAlign w:val="bottom"/>
            <w:hideMark/>
          </w:tcPr>
          <w:p w14:paraId="688A4E45"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835.564</w:t>
            </w:r>
          </w:p>
        </w:tc>
        <w:tc>
          <w:tcPr>
            <w:tcW w:w="1120" w:type="dxa"/>
            <w:tcBorders>
              <w:top w:val="nil"/>
              <w:left w:val="nil"/>
              <w:bottom w:val="single" w:sz="4" w:space="0" w:color="auto"/>
              <w:right w:val="single" w:sz="4" w:space="0" w:color="auto"/>
            </w:tcBorders>
            <w:shd w:val="clear" w:color="auto" w:fill="auto"/>
            <w:noWrap/>
            <w:vAlign w:val="bottom"/>
            <w:hideMark/>
          </w:tcPr>
          <w:p w14:paraId="1CE98AA8"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-46.024</w:t>
            </w:r>
          </w:p>
        </w:tc>
      </w:tr>
      <w:tr w:rsidR="00A54CA9" w:rsidRPr="005432E1" w14:paraId="3CD33CA0"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2AA16F91" w14:textId="77777777" w:rsidR="00A54CA9" w:rsidRPr="005432E1" w:rsidRDefault="00A54CA9" w:rsidP="00A54CA9">
            <w:pPr>
              <w:rPr>
                <w:rFonts w:asciiTheme="minorHAnsi" w:hAnsiTheme="minorHAnsi"/>
                <w:color w:val="000000"/>
                <w:sz w:val="22"/>
                <w:szCs w:val="22"/>
              </w:rPr>
            </w:pPr>
            <w:r w:rsidRPr="005432E1">
              <w:rPr>
                <w:rFonts w:asciiTheme="minorHAnsi" w:hAnsiTheme="minorHAnsi"/>
                <w:color w:val="000000"/>
                <w:sz w:val="22"/>
                <w:szCs w:val="22"/>
              </w:rPr>
              <w:t>Receita Previdenciária (B)</w:t>
            </w:r>
          </w:p>
        </w:tc>
        <w:tc>
          <w:tcPr>
            <w:tcW w:w="1199" w:type="dxa"/>
            <w:tcBorders>
              <w:top w:val="nil"/>
              <w:left w:val="nil"/>
              <w:bottom w:val="single" w:sz="4" w:space="0" w:color="auto"/>
              <w:right w:val="single" w:sz="4" w:space="0" w:color="auto"/>
            </w:tcBorders>
            <w:shd w:val="clear" w:color="auto" w:fill="auto"/>
            <w:noWrap/>
            <w:vAlign w:val="bottom"/>
            <w:hideMark/>
          </w:tcPr>
          <w:p w14:paraId="0E41C846"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364.606</w:t>
            </w:r>
          </w:p>
        </w:tc>
        <w:tc>
          <w:tcPr>
            <w:tcW w:w="1533" w:type="dxa"/>
            <w:tcBorders>
              <w:top w:val="nil"/>
              <w:left w:val="nil"/>
              <w:bottom w:val="single" w:sz="4" w:space="0" w:color="auto"/>
              <w:right w:val="single" w:sz="4" w:space="0" w:color="auto"/>
            </w:tcBorders>
            <w:shd w:val="clear" w:color="auto" w:fill="auto"/>
            <w:noWrap/>
            <w:vAlign w:val="bottom"/>
            <w:hideMark/>
          </w:tcPr>
          <w:p w14:paraId="0CACDA8F"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360.883</w:t>
            </w:r>
          </w:p>
        </w:tc>
        <w:tc>
          <w:tcPr>
            <w:tcW w:w="1120" w:type="dxa"/>
            <w:tcBorders>
              <w:top w:val="nil"/>
              <w:left w:val="nil"/>
              <w:bottom w:val="single" w:sz="4" w:space="0" w:color="auto"/>
              <w:right w:val="single" w:sz="4" w:space="0" w:color="auto"/>
            </w:tcBorders>
            <w:shd w:val="clear" w:color="auto" w:fill="auto"/>
            <w:noWrap/>
            <w:vAlign w:val="bottom"/>
            <w:hideMark/>
          </w:tcPr>
          <w:p w14:paraId="5E494B1B"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-3.723</w:t>
            </w:r>
          </w:p>
        </w:tc>
      </w:tr>
      <w:tr w:rsidR="00A54CA9" w:rsidRPr="005432E1" w14:paraId="4A666CBF" w14:textId="77777777" w:rsidTr="00A54CA9">
        <w:trPr>
          <w:trHeight w:val="26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0EC99C98" w14:textId="77777777" w:rsidR="00A54CA9" w:rsidRPr="005432E1" w:rsidRDefault="00A54CA9" w:rsidP="00A54CA9">
            <w:pPr>
              <w:rPr>
                <w:rFonts w:asciiTheme="minorHAnsi" w:hAnsiTheme="minorHAnsi"/>
                <w:b/>
                <w:bCs/>
                <w:color w:val="000000"/>
                <w:sz w:val="22"/>
                <w:szCs w:val="22"/>
              </w:rPr>
            </w:pPr>
            <w:r w:rsidRPr="005432E1">
              <w:rPr>
                <w:rFonts w:asciiTheme="minorHAnsi" w:hAnsiTheme="minorHAnsi"/>
                <w:b/>
                <w:bCs/>
                <w:color w:val="000000"/>
                <w:sz w:val="22"/>
                <w:szCs w:val="22"/>
              </w:rPr>
              <w:t>TOTAL (A + B)</w:t>
            </w:r>
          </w:p>
        </w:tc>
        <w:tc>
          <w:tcPr>
            <w:tcW w:w="1199" w:type="dxa"/>
            <w:tcBorders>
              <w:top w:val="nil"/>
              <w:left w:val="nil"/>
              <w:bottom w:val="single" w:sz="4" w:space="0" w:color="auto"/>
              <w:right w:val="single" w:sz="4" w:space="0" w:color="auto"/>
            </w:tcBorders>
            <w:shd w:val="clear" w:color="auto" w:fill="auto"/>
            <w:noWrap/>
            <w:vAlign w:val="bottom"/>
            <w:hideMark/>
          </w:tcPr>
          <w:p w14:paraId="67893E38"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1.246.193</w:t>
            </w:r>
          </w:p>
        </w:tc>
        <w:tc>
          <w:tcPr>
            <w:tcW w:w="1533" w:type="dxa"/>
            <w:tcBorders>
              <w:top w:val="nil"/>
              <w:left w:val="nil"/>
              <w:bottom w:val="single" w:sz="4" w:space="0" w:color="auto"/>
              <w:right w:val="single" w:sz="4" w:space="0" w:color="auto"/>
            </w:tcBorders>
            <w:shd w:val="clear" w:color="auto" w:fill="auto"/>
            <w:noWrap/>
            <w:vAlign w:val="bottom"/>
            <w:hideMark/>
          </w:tcPr>
          <w:p w14:paraId="1724E3BB" w14:textId="77777777" w:rsidR="00A54CA9" w:rsidRPr="005432E1" w:rsidRDefault="00A54CA9" w:rsidP="00A54CA9">
            <w:pPr>
              <w:jc w:val="right"/>
              <w:rPr>
                <w:rFonts w:asciiTheme="minorHAnsi" w:hAnsiTheme="minorHAnsi"/>
                <w:color w:val="000000"/>
                <w:sz w:val="22"/>
                <w:szCs w:val="22"/>
              </w:rPr>
            </w:pPr>
            <w:r w:rsidRPr="005432E1">
              <w:rPr>
                <w:rFonts w:asciiTheme="minorHAnsi" w:hAnsiTheme="minorHAnsi"/>
                <w:color w:val="000000"/>
                <w:sz w:val="22"/>
                <w:szCs w:val="22"/>
              </w:rPr>
              <w:t>1.196.447</w:t>
            </w:r>
          </w:p>
        </w:tc>
        <w:tc>
          <w:tcPr>
            <w:tcW w:w="1120" w:type="dxa"/>
            <w:tcBorders>
              <w:top w:val="nil"/>
              <w:left w:val="nil"/>
              <w:bottom w:val="single" w:sz="4" w:space="0" w:color="auto"/>
              <w:right w:val="single" w:sz="4" w:space="0" w:color="auto"/>
            </w:tcBorders>
            <w:shd w:val="clear" w:color="auto" w:fill="auto"/>
            <w:noWrap/>
            <w:vAlign w:val="bottom"/>
            <w:hideMark/>
          </w:tcPr>
          <w:p w14:paraId="7D413A4C" w14:textId="77777777" w:rsidR="00A54CA9" w:rsidRPr="005432E1" w:rsidRDefault="00A54CA9" w:rsidP="00A54CA9">
            <w:pPr>
              <w:jc w:val="right"/>
              <w:rPr>
                <w:rFonts w:asciiTheme="minorHAnsi" w:hAnsiTheme="minorHAnsi"/>
                <w:b/>
                <w:bCs/>
                <w:color w:val="000000"/>
                <w:sz w:val="22"/>
                <w:szCs w:val="22"/>
              </w:rPr>
            </w:pPr>
            <w:r w:rsidRPr="005432E1">
              <w:rPr>
                <w:rFonts w:asciiTheme="minorHAnsi" w:hAnsiTheme="minorHAnsi"/>
                <w:b/>
                <w:bCs/>
                <w:color w:val="000000"/>
                <w:sz w:val="22"/>
                <w:szCs w:val="22"/>
              </w:rPr>
              <w:t>-49.746</w:t>
            </w:r>
          </w:p>
        </w:tc>
      </w:tr>
    </w:tbl>
    <w:p w14:paraId="5666AE08" w14:textId="77777777" w:rsidR="00591990" w:rsidRPr="005432E1" w:rsidRDefault="00591990" w:rsidP="006F4AC5">
      <w:pPr>
        <w:pStyle w:val="Corpodetexto2"/>
        <w:spacing w:after="240"/>
        <w:ind w:firstLine="720"/>
        <w:rPr>
          <w:rFonts w:asciiTheme="minorHAnsi" w:hAnsiTheme="minorHAnsi" w:cs="Times New Roman"/>
        </w:rPr>
      </w:pPr>
    </w:p>
    <w:p w14:paraId="3C2F5028" w14:textId="77777777" w:rsidR="004E25ED" w:rsidRPr="005432E1" w:rsidRDefault="004E25ED" w:rsidP="006F4AC5">
      <w:pPr>
        <w:pStyle w:val="Corpodetexto2"/>
        <w:spacing w:after="240"/>
        <w:ind w:firstLine="720"/>
        <w:rPr>
          <w:rFonts w:asciiTheme="minorHAnsi" w:hAnsiTheme="minorHAnsi" w:cs="Times New Roman"/>
        </w:rPr>
      </w:pPr>
    </w:p>
    <w:p w14:paraId="7E22F3E8" w14:textId="77777777" w:rsidR="004E25ED" w:rsidRPr="005432E1" w:rsidRDefault="004E25ED" w:rsidP="006F4AC5">
      <w:pPr>
        <w:pStyle w:val="Corpodetexto2"/>
        <w:spacing w:after="240"/>
        <w:ind w:firstLine="720"/>
        <w:rPr>
          <w:rFonts w:asciiTheme="minorHAnsi" w:hAnsiTheme="minorHAnsi" w:cs="Times New Roman"/>
        </w:rPr>
      </w:pPr>
    </w:p>
    <w:p w14:paraId="1DF40245" w14:textId="77777777" w:rsidR="004E25ED" w:rsidRPr="005432E1" w:rsidRDefault="004E25ED" w:rsidP="006F4AC5">
      <w:pPr>
        <w:pStyle w:val="Corpodetexto2"/>
        <w:spacing w:after="240"/>
        <w:ind w:firstLine="720"/>
        <w:rPr>
          <w:rFonts w:asciiTheme="minorHAnsi" w:hAnsiTheme="minorHAnsi" w:cs="Times New Roman"/>
        </w:rPr>
      </w:pPr>
    </w:p>
    <w:p w14:paraId="3507D5A0" w14:textId="77777777" w:rsidR="004E25ED" w:rsidRPr="005432E1" w:rsidRDefault="004E25ED" w:rsidP="006F4AC5">
      <w:pPr>
        <w:pStyle w:val="Corpodetexto2"/>
        <w:spacing w:after="240"/>
        <w:ind w:firstLine="720"/>
        <w:rPr>
          <w:rFonts w:asciiTheme="minorHAnsi" w:hAnsiTheme="minorHAnsi" w:cs="Times New Roman"/>
        </w:rPr>
      </w:pPr>
    </w:p>
    <w:p w14:paraId="089B3CAF" w14:textId="77777777" w:rsidR="004E25ED" w:rsidRPr="005432E1" w:rsidRDefault="004E25ED" w:rsidP="006F4AC5">
      <w:pPr>
        <w:pStyle w:val="Corpodetexto2"/>
        <w:spacing w:after="240"/>
        <w:ind w:firstLine="720"/>
        <w:rPr>
          <w:rFonts w:asciiTheme="minorHAnsi" w:hAnsiTheme="minorHAnsi" w:cs="Times New Roman"/>
        </w:rPr>
      </w:pPr>
    </w:p>
    <w:p w14:paraId="4673CC15" w14:textId="77777777" w:rsidR="004E25ED" w:rsidRPr="005432E1" w:rsidRDefault="004E25ED" w:rsidP="006F4AC5">
      <w:pPr>
        <w:pStyle w:val="Corpodetexto2"/>
        <w:spacing w:after="240"/>
        <w:ind w:firstLine="720"/>
        <w:rPr>
          <w:rFonts w:asciiTheme="minorHAnsi" w:hAnsiTheme="minorHAnsi" w:cs="Times New Roman"/>
        </w:rPr>
      </w:pPr>
    </w:p>
    <w:p w14:paraId="6369188B" w14:textId="77777777" w:rsidR="004E25ED" w:rsidRPr="005432E1" w:rsidRDefault="004E25ED" w:rsidP="006F4AC5">
      <w:pPr>
        <w:pStyle w:val="Corpodetexto2"/>
        <w:spacing w:after="240"/>
        <w:ind w:firstLine="720"/>
        <w:rPr>
          <w:rFonts w:asciiTheme="minorHAnsi" w:hAnsiTheme="minorHAnsi" w:cs="Times New Roman"/>
        </w:rPr>
      </w:pPr>
    </w:p>
    <w:p w14:paraId="51DF814F" w14:textId="77777777" w:rsidR="00EA313C" w:rsidRPr="005432E1" w:rsidRDefault="00EA313C" w:rsidP="006F4AC5">
      <w:pPr>
        <w:pStyle w:val="Corpodetexto2"/>
        <w:spacing w:after="240"/>
        <w:ind w:firstLine="720"/>
        <w:rPr>
          <w:rFonts w:asciiTheme="minorHAnsi" w:hAnsiTheme="minorHAnsi" w:cs="Times New Roman"/>
        </w:rPr>
      </w:pPr>
    </w:p>
    <w:p w14:paraId="27F84D0A" w14:textId="77777777" w:rsidR="00A54CA9" w:rsidRPr="005432E1" w:rsidRDefault="00A54CA9" w:rsidP="006F4AC5">
      <w:pPr>
        <w:pStyle w:val="Corpodetexto2"/>
        <w:spacing w:after="240"/>
        <w:ind w:firstLine="720"/>
        <w:rPr>
          <w:rFonts w:asciiTheme="minorHAnsi" w:hAnsiTheme="minorHAnsi" w:cs="Times New Roman"/>
        </w:rPr>
      </w:pPr>
      <w:r w:rsidRPr="005432E1">
        <w:rPr>
          <w:rFonts w:asciiTheme="minorHAnsi" w:hAnsiTheme="minorHAnsi" w:cs="Times New Roman"/>
        </w:rPr>
        <w:lastRenderedPageBreak/>
        <w:t>Ainda tomando como exemplo a arrecadação federal para o ano de 2017, a Tabela 2 elenca eventos e riscos de caráter não macroeconômico que contribuíram positivamente para as receitas, sem os quais seu valor teria sido R$ 28,9 bilhões menor.</w:t>
      </w:r>
    </w:p>
    <w:p w14:paraId="7BB03446" w14:textId="3C4BC446" w:rsidR="00C27C24" w:rsidRPr="005432E1" w:rsidRDefault="000716C1" w:rsidP="006F4AC5">
      <w:pPr>
        <w:pStyle w:val="Corpodetexto2"/>
        <w:spacing w:after="240"/>
        <w:ind w:firstLine="708"/>
        <w:jc w:val="center"/>
        <w:rPr>
          <w:rFonts w:asciiTheme="minorHAnsi" w:hAnsiTheme="minorHAnsi" w:cs="Times New Roman"/>
          <w:b/>
        </w:rPr>
      </w:pPr>
      <w:r w:rsidRPr="005432E1">
        <w:rPr>
          <w:rFonts w:asciiTheme="minorHAnsi" w:hAnsiTheme="minorHAnsi" w:cs="Times New Roman"/>
          <w:b/>
        </w:rPr>
        <w:t>T</w:t>
      </w:r>
      <w:r w:rsidR="00C22CB8" w:rsidRPr="005432E1">
        <w:rPr>
          <w:rFonts w:asciiTheme="minorHAnsi" w:hAnsiTheme="minorHAnsi" w:cs="Times New Roman"/>
          <w:b/>
        </w:rPr>
        <w:t xml:space="preserve">abela </w:t>
      </w:r>
      <w:r w:rsidR="003C5A1E" w:rsidRPr="005432E1">
        <w:rPr>
          <w:rFonts w:asciiTheme="minorHAnsi" w:hAnsiTheme="minorHAnsi" w:cs="Times New Roman"/>
          <w:b/>
        </w:rPr>
        <w:t>3</w:t>
      </w:r>
      <w:r w:rsidR="00C22CB8" w:rsidRPr="005432E1">
        <w:rPr>
          <w:rFonts w:asciiTheme="minorHAnsi" w:hAnsiTheme="minorHAnsi" w:cs="Times New Roman"/>
          <w:b/>
        </w:rPr>
        <w:t>: Receitas atípicas</w:t>
      </w:r>
      <w:r w:rsidR="00EE5D8A" w:rsidRPr="005432E1">
        <w:rPr>
          <w:rFonts w:asciiTheme="minorHAnsi" w:hAnsiTheme="minorHAnsi" w:cs="Times New Roman"/>
          <w:b/>
        </w:rPr>
        <w:t xml:space="preserve"> de 2017</w:t>
      </w:r>
      <w:r w:rsidR="0008681E" w:rsidRPr="005432E1">
        <w:rPr>
          <w:rFonts w:asciiTheme="minorHAnsi" w:hAnsiTheme="minorHAnsi" w:cs="Times New Roman"/>
          <w:b/>
        </w:rPr>
        <w:t xml:space="preserve"> (R$ milhões)</w:t>
      </w:r>
    </w:p>
    <w:p w14:paraId="31D251C0" w14:textId="77777777" w:rsidR="00BC061A" w:rsidRPr="005432E1" w:rsidRDefault="0008681E" w:rsidP="006F4AC5">
      <w:pPr>
        <w:jc w:val="center"/>
        <w:rPr>
          <w:rFonts w:asciiTheme="minorHAnsi" w:hAnsiTheme="minorHAnsi"/>
          <w:sz w:val="22"/>
          <w:szCs w:val="22"/>
        </w:rPr>
      </w:pPr>
      <w:r w:rsidRPr="005432E1">
        <w:rPr>
          <w:rFonts w:asciiTheme="minorHAnsi" w:hAnsiTheme="minorHAnsi"/>
          <w:noProof/>
          <w:sz w:val="22"/>
          <w:szCs w:val="22"/>
        </w:rPr>
        <w:drawing>
          <wp:inline distT="0" distB="0" distL="0" distR="0" wp14:anchorId="60372C69" wp14:editId="3FAFB1FA">
            <wp:extent cx="4540250" cy="40449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250" cy="4044950"/>
                    </a:xfrm>
                    <a:prstGeom prst="rect">
                      <a:avLst/>
                    </a:prstGeom>
                    <a:noFill/>
                    <a:ln>
                      <a:noFill/>
                    </a:ln>
                  </pic:spPr>
                </pic:pic>
              </a:graphicData>
            </a:graphic>
          </wp:inline>
        </w:drawing>
      </w:r>
    </w:p>
    <w:p w14:paraId="6C96F103" w14:textId="77777777" w:rsidR="00C27C24" w:rsidRPr="005432E1" w:rsidRDefault="0008681E" w:rsidP="0008681E">
      <w:pPr>
        <w:ind w:left="709" w:firstLine="709"/>
        <w:rPr>
          <w:rFonts w:asciiTheme="minorHAnsi" w:hAnsiTheme="minorHAnsi"/>
          <w:sz w:val="18"/>
          <w:szCs w:val="18"/>
        </w:rPr>
      </w:pPr>
      <w:r w:rsidRPr="005432E1">
        <w:rPr>
          <w:rFonts w:asciiTheme="minorHAnsi" w:hAnsiTheme="minorHAnsi"/>
          <w:sz w:val="22"/>
          <w:szCs w:val="22"/>
        </w:rPr>
        <w:t xml:space="preserve">Fonte: </w:t>
      </w:r>
      <w:r w:rsidR="00C27C24" w:rsidRPr="005432E1">
        <w:rPr>
          <w:rFonts w:asciiTheme="minorHAnsi" w:hAnsiTheme="minorHAnsi"/>
          <w:sz w:val="18"/>
          <w:szCs w:val="18"/>
        </w:rPr>
        <w:t>RFB/MF.</w:t>
      </w:r>
    </w:p>
    <w:p w14:paraId="75A8FE1E" w14:textId="77777777" w:rsidR="00F70BD9" w:rsidRPr="005432E1" w:rsidRDefault="00F70BD9" w:rsidP="006F4AC5">
      <w:pPr>
        <w:pStyle w:val="Corpodetexto2"/>
        <w:spacing w:after="240"/>
        <w:ind w:firstLine="720"/>
        <w:rPr>
          <w:rFonts w:asciiTheme="minorHAnsi" w:hAnsiTheme="minorHAnsi" w:cs="Times New Roman"/>
        </w:rPr>
      </w:pPr>
    </w:p>
    <w:p w14:paraId="6F29B2D1" w14:textId="77777777" w:rsidR="00D963EF" w:rsidRPr="005432E1" w:rsidRDefault="000F7557" w:rsidP="006F4AC5">
      <w:pPr>
        <w:pStyle w:val="Corpodetexto2"/>
        <w:spacing w:after="240"/>
        <w:ind w:firstLine="720"/>
        <w:rPr>
          <w:rFonts w:asciiTheme="minorHAnsi" w:hAnsiTheme="minorHAnsi" w:cs="Times New Roman"/>
        </w:rPr>
      </w:pPr>
      <w:r w:rsidRPr="005432E1">
        <w:rPr>
          <w:rFonts w:asciiTheme="minorHAnsi" w:hAnsiTheme="minorHAnsi" w:cs="Times New Roman"/>
        </w:rPr>
        <w:t xml:space="preserve">A partir das definições expostas acima, </w:t>
      </w:r>
      <w:r w:rsidR="00B71C4E" w:rsidRPr="005432E1">
        <w:rPr>
          <w:rFonts w:asciiTheme="minorHAnsi" w:hAnsiTheme="minorHAnsi" w:cs="Times New Roman"/>
        </w:rPr>
        <w:t>o</w:t>
      </w:r>
      <w:r w:rsidR="00F70BD9" w:rsidRPr="005432E1">
        <w:rPr>
          <w:rFonts w:asciiTheme="minorHAnsi" w:hAnsiTheme="minorHAnsi" w:cs="Times New Roman"/>
        </w:rPr>
        <w:t xml:space="preserve"> presente Anexo de Riscos </w:t>
      </w:r>
      <w:r w:rsidR="007E46DE" w:rsidRPr="005432E1">
        <w:rPr>
          <w:rFonts w:asciiTheme="minorHAnsi" w:hAnsiTheme="minorHAnsi" w:cs="Times New Roman"/>
        </w:rPr>
        <w:t xml:space="preserve">Fiscais </w:t>
      </w:r>
      <w:r w:rsidR="00F70BD9" w:rsidRPr="005432E1">
        <w:rPr>
          <w:rFonts w:asciiTheme="minorHAnsi" w:hAnsiTheme="minorHAnsi" w:cs="Times New Roman"/>
        </w:rPr>
        <w:t xml:space="preserve">está </w:t>
      </w:r>
      <w:r w:rsidRPr="005432E1">
        <w:rPr>
          <w:rFonts w:asciiTheme="minorHAnsi" w:hAnsiTheme="minorHAnsi" w:cs="Times New Roman"/>
        </w:rPr>
        <w:t xml:space="preserve">estruturado em três seções, </w:t>
      </w:r>
      <w:r w:rsidR="00F70BD9" w:rsidRPr="005432E1">
        <w:rPr>
          <w:rFonts w:asciiTheme="minorHAnsi" w:hAnsiTheme="minorHAnsi" w:cs="Times New Roman"/>
        </w:rPr>
        <w:t xml:space="preserve">além desta Introdução e das Conclusões Finais: Análise Macroeconômica do Risco; Riscos não Incorporados na Análise Macroeconômica e Gestão de Riscos. </w:t>
      </w:r>
    </w:p>
    <w:p w14:paraId="2DBDE7C0" w14:textId="77777777" w:rsidR="002B0F44" w:rsidRPr="005432E1" w:rsidRDefault="00D963EF" w:rsidP="00DB1CC0">
      <w:pPr>
        <w:pStyle w:val="Ttulo1"/>
        <w:numPr>
          <w:ilvl w:val="0"/>
          <w:numId w:val="0"/>
        </w:numPr>
        <w:ind w:left="432" w:hanging="432"/>
        <w:rPr>
          <w:rFonts w:asciiTheme="minorHAnsi" w:hAnsiTheme="minorHAnsi"/>
        </w:rPr>
      </w:pPr>
      <w:bookmarkStart w:id="58" w:name="_Toc510534768"/>
      <w:bookmarkStart w:id="59" w:name="_Toc510535446"/>
      <w:bookmarkStart w:id="60" w:name="_Toc511230011"/>
      <w:r w:rsidRPr="005432E1">
        <w:rPr>
          <w:rFonts w:asciiTheme="minorHAnsi" w:hAnsiTheme="minorHAnsi"/>
        </w:rPr>
        <w:t>2</w:t>
      </w:r>
      <w:r w:rsidRPr="005432E1">
        <w:rPr>
          <w:rFonts w:asciiTheme="minorHAnsi" w:hAnsiTheme="minorHAnsi"/>
        </w:rPr>
        <w:tab/>
        <w:t>Análise Macroeconômica do Risco</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97072E9" w14:textId="77777777" w:rsidR="002B0F44" w:rsidRPr="005432E1" w:rsidRDefault="002B0F44" w:rsidP="006F4AC5">
      <w:pPr>
        <w:jc w:val="both"/>
        <w:rPr>
          <w:rFonts w:asciiTheme="minorHAnsi" w:hAnsiTheme="minorHAnsi"/>
        </w:rPr>
      </w:pPr>
    </w:p>
    <w:p w14:paraId="19F53D66" w14:textId="77777777" w:rsidR="00DF1D04" w:rsidRPr="005432E1" w:rsidRDefault="00EE4664" w:rsidP="006F4AC5">
      <w:pPr>
        <w:spacing w:after="240"/>
        <w:ind w:firstLine="709"/>
        <w:jc w:val="both"/>
        <w:rPr>
          <w:rFonts w:asciiTheme="minorHAnsi" w:hAnsiTheme="minorHAnsi"/>
        </w:rPr>
      </w:pPr>
      <w:r w:rsidRPr="005432E1">
        <w:rPr>
          <w:rFonts w:asciiTheme="minorHAnsi" w:hAnsiTheme="minorHAnsi"/>
        </w:rPr>
        <w:t>Nesta seção são analisados os riscos fiscais gerados a partir da variabilidade dos parâmetros macroeconômicos</w:t>
      </w:r>
      <w:r w:rsidR="00DF1D04" w:rsidRPr="005432E1">
        <w:rPr>
          <w:rFonts w:asciiTheme="minorHAnsi" w:hAnsiTheme="minorHAnsi"/>
        </w:rPr>
        <w:t xml:space="preserve"> utilizados para a construção do cen</w:t>
      </w:r>
      <w:r w:rsidR="00183D7A" w:rsidRPr="005432E1">
        <w:rPr>
          <w:rFonts w:asciiTheme="minorHAnsi" w:hAnsiTheme="minorHAnsi"/>
        </w:rPr>
        <w:t>ário base</w:t>
      </w:r>
      <w:r w:rsidR="004B6B65" w:rsidRPr="005432E1">
        <w:rPr>
          <w:rFonts w:asciiTheme="minorHAnsi" w:hAnsiTheme="minorHAnsi"/>
        </w:rPr>
        <w:t xml:space="preserve"> de receitas, despesas e resultado primário do governo, assim como da dívida pública.</w:t>
      </w:r>
    </w:p>
    <w:p w14:paraId="704122FB" w14:textId="77777777" w:rsidR="002C032F" w:rsidRPr="005432E1" w:rsidRDefault="002C032F" w:rsidP="002C032F">
      <w:pPr>
        <w:pStyle w:val="Ttulo3"/>
        <w:numPr>
          <w:ilvl w:val="0"/>
          <w:numId w:val="0"/>
        </w:numPr>
        <w:rPr>
          <w:rFonts w:asciiTheme="minorHAnsi" w:hAnsiTheme="minorHAnsi"/>
          <w:b/>
          <w:smallCaps w:val="0"/>
          <w:sz w:val="28"/>
          <w:szCs w:val="20"/>
        </w:rPr>
      </w:pPr>
      <w:bookmarkStart w:id="61" w:name="_Toc447189111"/>
      <w:bookmarkStart w:id="62" w:name="_Toc447189113"/>
      <w:bookmarkStart w:id="63" w:name="_Toc447613111"/>
      <w:bookmarkStart w:id="64" w:name="_Toc511230012"/>
      <w:bookmarkEnd w:id="61"/>
      <w:r w:rsidRPr="005432E1">
        <w:rPr>
          <w:rFonts w:asciiTheme="minorHAnsi" w:hAnsiTheme="minorHAnsi"/>
          <w:b/>
        </w:rPr>
        <w:t>2.1</w:t>
      </w:r>
      <w:r w:rsidRPr="005432E1">
        <w:rPr>
          <w:rFonts w:asciiTheme="minorHAnsi" w:hAnsiTheme="minorHAnsi"/>
          <w:b/>
        </w:rPr>
        <w:tab/>
        <w:t>Sensibilidade da Receita</w:t>
      </w:r>
      <w:bookmarkEnd w:id="62"/>
      <w:bookmarkEnd w:id="63"/>
      <w:bookmarkEnd w:id="64"/>
    </w:p>
    <w:p w14:paraId="0DE7E87B" w14:textId="77777777" w:rsidR="006F10F2" w:rsidRPr="005432E1" w:rsidRDefault="006F10F2" w:rsidP="006F4AC5">
      <w:pPr>
        <w:rPr>
          <w:rFonts w:asciiTheme="minorHAnsi" w:hAnsiTheme="minorHAnsi"/>
          <w:b/>
          <w:bCs/>
          <w:sz w:val="28"/>
          <w:szCs w:val="20"/>
        </w:rPr>
      </w:pPr>
    </w:p>
    <w:p w14:paraId="14CE5C60"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 xml:space="preserve">No que se refere às questões metodológicas, cabe esclarecer que a projeção das receitas para a elaboração do Projeto de Lei Orçamentária é </w:t>
      </w:r>
      <w:r w:rsidR="000E6E6C" w:rsidRPr="005432E1">
        <w:rPr>
          <w:rFonts w:asciiTheme="minorHAnsi" w:hAnsiTheme="minorHAnsi"/>
        </w:rPr>
        <w:t>feita</w:t>
      </w:r>
      <w:r w:rsidRPr="005432E1">
        <w:rPr>
          <w:rFonts w:asciiTheme="minorHAnsi" w:hAnsiTheme="minorHAnsi"/>
        </w:rPr>
        <w:t xml:space="preserve"> com base no modelo adotado pela R</w:t>
      </w:r>
      <w:r w:rsidR="000E6E6C" w:rsidRPr="005432E1">
        <w:rPr>
          <w:rFonts w:asciiTheme="minorHAnsi" w:hAnsiTheme="minorHAnsi"/>
        </w:rPr>
        <w:t>FB</w:t>
      </w:r>
      <w:r w:rsidRPr="005432E1">
        <w:rPr>
          <w:rFonts w:asciiTheme="minorHAnsi" w:hAnsiTheme="minorHAnsi"/>
        </w:rPr>
        <w:t xml:space="preserve">, considerando-se as estimativas de variáveis macroeconômicas que afetam a arrecadação da União, como a variação do PIB, taxa de inflação, taxa de câmbio, taxa de juros </w:t>
      </w:r>
      <w:r w:rsidR="000E6E6C" w:rsidRPr="005432E1">
        <w:rPr>
          <w:rFonts w:asciiTheme="minorHAnsi" w:hAnsiTheme="minorHAnsi"/>
        </w:rPr>
        <w:t>e massa salarial, entre outras.</w:t>
      </w:r>
    </w:p>
    <w:p w14:paraId="4BBA905D" w14:textId="0AD043CA" w:rsidR="002A561C" w:rsidRPr="005432E1" w:rsidRDefault="000E6E6C" w:rsidP="006F4AC5">
      <w:pPr>
        <w:spacing w:after="240"/>
        <w:ind w:firstLine="709"/>
        <w:jc w:val="both"/>
        <w:rPr>
          <w:rFonts w:asciiTheme="minorHAnsi" w:hAnsiTheme="minorHAnsi"/>
        </w:rPr>
      </w:pPr>
      <w:r w:rsidRPr="005432E1">
        <w:rPr>
          <w:rFonts w:asciiTheme="minorHAnsi" w:hAnsiTheme="minorHAnsi"/>
        </w:rPr>
        <w:t>A</w:t>
      </w:r>
      <w:r w:rsidR="00FD1D39" w:rsidRPr="005432E1">
        <w:rPr>
          <w:rFonts w:asciiTheme="minorHAnsi" w:hAnsiTheme="minorHAnsi"/>
        </w:rPr>
        <w:t xml:space="preserve"> </w:t>
      </w:r>
      <w:r w:rsidR="00866225" w:rsidRPr="005432E1">
        <w:rPr>
          <w:rFonts w:asciiTheme="minorHAnsi" w:hAnsiTheme="minorHAnsi"/>
        </w:rPr>
        <w:t>T</w:t>
      </w:r>
      <w:r w:rsidR="00FD1D39" w:rsidRPr="005432E1">
        <w:rPr>
          <w:rFonts w:asciiTheme="minorHAnsi" w:hAnsiTheme="minorHAnsi"/>
        </w:rPr>
        <w:t>abela</w:t>
      </w:r>
      <w:r w:rsidR="002B0F44" w:rsidRPr="005432E1">
        <w:rPr>
          <w:rFonts w:asciiTheme="minorHAnsi" w:hAnsiTheme="minorHAnsi"/>
        </w:rPr>
        <w:t xml:space="preserve"> </w:t>
      </w:r>
      <w:r w:rsidR="003C5A1E" w:rsidRPr="005432E1">
        <w:rPr>
          <w:rFonts w:asciiTheme="minorHAnsi" w:hAnsiTheme="minorHAnsi"/>
        </w:rPr>
        <w:t>4</w:t>
      </w:r>
      <w:r w:rsidR="00866225" w:rsidRPr="005432E1">
        <w:rPr>
          <w:rFonts w:asciiTheme="minorHAnsi" w:hAnsiTheme="minorHAnsi"/>
        </w:rPr>
        <w:t xml:space="preserve"> </w:t>
      </w:r>
      <w:r w:rsidR="002B0F44" w:rsidRPr="005432E1">
        <w:rPr>
          <w:rFonts w:asciiTheme="minorHAnsi" w:hAnsiTheme="minorHAnsi"/>
        </w:rPr>
        <w:t>mostra o efeito da variação de</w:t>
      </w:r>
      <w:r w:rsidR="004A0629" w:rsidRPr="005432E1">
        <w:rPr>
          <w:rFonts w:asciiTheme="minorHAnsi" w:hAnsiTheme="minorHAnsi"/>
        </w:rPr>
        <w:t xml:space="preserve"> 1</w:t>
      </w:r>
      <w:r w:rsidR="0018498F" w:rsidRPr="005432E1">
        <w:rPr>
          <w:rFonts w:asciiTheme="minorHAnsi" w:hAnsiTheme="minorHAnsi"/>
        </w:rPr>
        <w:t xml:space="preserve"> p.p.</w:t>
      </w:r>
      <w:r w:rsidR="002B0F44" w:rsidRPr="005432E1">
        <w:rPr>
          <w:rFonts w:asciiTheme="minorHAnsi" w:hAnsiTheme="minorHAnsi"/>
        </w:rPr>
        <w:t xml:space="preserve"> dos principais parâmetros </w:t>
      </w:r>
      <w:r w:rsidR="007B433D" w:rsidRPr="005432E1">
        <w:rPr>
          <w:rFonts w:asciiTheme="minorHAnsi" w:hAnsiTheme="minorHAnsi"/>
        </w:rPr>
        <w:t xml:space="preserve">sobre o </w:t>
      </w:r>
      <w:r w:rsidR="002B0F44" w:rsidRPr="005432E1">
        <w:rPr>
          <w:rFonts w:asciiTheme="minorHAnsi" w:hAnsiTheme="minorHAnsi"/>
        </w:rPr>
        <w:t>total de tributos que compõem a receita administrada pela RFB</w:t>
      </w:r>
      <w:r w:rsidR="007B433D" w:rsidRPr="005432E1">
        <w:rPr>
          <w:rFonts w:asciiTheme="minorHAnsi" w:hAnsiTheme="minorHAnsi"/>
        </w:rPr>
        <w:t>,</w:t>
      </w:r>
      <w:r w:rsidR="002B0F44" w:rsidRPr="005432E1">
        <w:rPr>
          <w:rFonts w:asciiTheme="minorHAnsi" w:hAnsiTheme="minorHAnsi"/>
        </w:rPr>
        <w:t xml:space="preserve"> tomando-se como base os parâmetros estimados pela Secretaria de Política Econômica </w:t>
      </w:r>
      <w:r w:rsidR="006815F8" w:rsidRPr="005432E1">
        <w:rPr>
          <w:rFonts w:asciiTheme="minorHAnsi" w:hAnsiTheme="minorHAnsi"/>
        </w:rPr>
        <w:t>(</w:t>
      </w:r>
      <w:r w:rsidRPr="005432E1">
        <w:rPr>
          <w:rFonts w:asciiTheme="minorHAnsi" w:hAnsiTheme="minorHAnsi"/>
        </w:rPr>
        <w:t>SPE/MF</w:t>
      </w:r>
      <w:r w:rsidR="006815F8" w:rsidRPr="005432E1">
        <w:rPr>
          <w:rFonts w:asciiTheme="minorHAnsi" w:hAnsiTheme="minorHAnsi"/>
        </w:rPr>
        <w:t>)</w:t>
      </w:r>
      <w:r w:rsidRPr="005432E1">
        <w:rPr>
          <w:rFonts w:asciiTheme="minorHAnsi" w:hAnsiTheme="minorHAnsi"/>
        </w:rPr>
        <w:t xml:space="preserve">. </w:t>
      </w:r>
      <w:r w:rsidR="002B0F44" w:rsidRPr="005432E1">
        <w:rPr>
          <w:rFonts w:asciiTheme="minorHAnsi" w:hAnsiTheme="minorHAnsi"/>
        </w:rPr>
        <w:t>A análise de sensibilidade mostra que a taxa de crescimento econômico e de inflação são os parâmetros que mais afetam a receita total administrada pela R</w:t>
      </w:r>
      <w:r w:rsidRPr="005432E1">
        <w:rPr>
          <w:rFonts w:asciiTheme="minorHAnsi" w:hAnsiTheme="minorHAnsi"/>
        </w:rPr>
        <w:t>FB</w:t>
      </w:r>
      <w:r w:rsidR="002B0F44" w:rsidRPr="005432E1">
        <w:rPr>
          <w:rFonts w:asciiTheme="minorHAnsi" w:hAnsiTheme="minorHAnsi"/>
        </w:rPr>
        <w:t>. Observe-se que os tributos são afetados ao mesmo</w:t>
      </w:r>
      <w:r w:rsidR="00FD1D39" w:rsidRPr="005432E1">
        <w:rPr>
          <w:rFonts w:asciiTheme="minorHAnsi" w:hAnsiTheme="minorHAnsi"/>
        </w:rPr>
        <w:t xml:space="preserve"> tempo por mais de um parâmetro</w:t>
      </w:r>
      <w:r w:rsidR="002B0F44" w:rsidRPr="005432E1">
        <w:rPr>
          <w:rFonts w:asciiTheme="minorHAnsi" w:hAnsiTheme="minorHAnsi"/>
        </w:rPr>
        <w:t xml:space="preserve"> </w:t>
      </w:r>
      <w:r w:rsidR="007B433D" w:rsidRPr="005432E1">
        <w:rPr>
          <w:rFonts w:asciiTheme="minorHAnsi" w:hAnsiTheme="minorHAnsi"/>
        </w:rPr>
        <w:t xml:space="preserve">e, </w:t>
      </w:r>
      <w:r w:rsidR="002B0F44" w:rsidRPr="005432E1">
        <w:rPr>
          <w:rFonts w:asciiTheme="minorHAnsi" w:hAnsiTheme="minorHAnsi"/>
        </w:rPr>
        <w:t>portanto, o efeito da variação des</w:t>
      </w:r>
      <w:r w:rsidR="00FD1D39" w:rsidRPr="005432E1">
        <w:rPr>
          <w:rFonts w:asciiTheme="minorHAnsi" w:hAnsiTheme="minorHAnsi"/>
        </w:rPr>
        <w:t>s</w:t>
      </w:r>
      <w:r w:rsidR="002B0F44" w:rsidRPr="005432E1">
        <w:rPr>
          <w:rFonts w:asciiTheme="minorHAnsi" w:hAnsiTheme="minorHAnsi"/>
        </w:rPr>
        <w:t xml:space="preserve">es parâmetros na receita é resultado </w:t>
      </w:r>
      <w:r w:rsidR="00E31E79" w:rsidRPr="005432E1">
        <w:rPr>
          <w:rFonts w:asciiTheme="minorHAnsi" w:hAnsiTheme="minorHAnsi"/>
        </w:rPr>
        <w:t xml:space="preserve">da combinação de </w:t>
      </w:r>
      <w:r w:rsidR="002B0F44" w:rsidRPr="005432E1">
        <w:rPr>
          <w:rFonts w:asciiTheme="minorHAnsi" w:hAnsiTheme="minorHAnsi"/>
        </w:rPr>
        <w:t>dois fatores</w:t>
      </w:r>
      <w:r w:rsidR="00E31E79" w:rsidRPr="005432E1">
        <w:rPr>
          <w:rFonts w:asciiTheme="minorHAnsi" w:hAnsiTheme="minorHAnsi"/>
        </w:rPr>
        <w:t>: preço e quantidade</w:t>
      </w:r>
      <w:r w:rsidRPr="005432E1">
        <w:rPr>
          <w:rFonts w:asciiTheme="minorHAnsi" w:hAnsiTheme="minorHAnsi"/>
        </w:rPr>
        <w:t>.</w:t>
      </w:r>
    </w:p>
    <w:p w14:paraId="4F41102F" w14:textId="72C56390" w:rsidR="00E44437" w:rsidRPr="005432E1" w:rsidRDefault="00D33511" w:rsidP="006F4AC5">
      <w:pPr>
        <w:jc w:val="center"/>
        <w:rPr>
          <w:rFonts w:asciiTheme="minorHAnsi" w:hAnsiTheme="minorHAnsi"/>
          <w:b/>
        </w:rPr>
      </w:pPr>
      <w:r w:rsidRPr="005432E1">
        <w:rPr>
          <w:rFonts w:asciiTheme="minorHAnsi" w:hAnsiTheme="minorHAnsi"/>
          <w:b/>
        </w:rPr>
        <w:t xml:space="preserve">Tabela </w:t>
      </w:r>
      <w:r w:rsidR="003C5A1E" w:rsidRPr="005432E1">
        <w:rPr>
          <w:rFonts w:asciiTheme="minorHAnsi" w:hAnsiTheme="minorHAnsi"/>
          <w:b/>
        </w:rPr>
        <w:t>4</w:t>
      </w:r>
      <w:r w:rsidRPr="005432E1">
        <w:rPr>
          <w:rFonts w:asciiTheme="minorHAnsi" w:hAnsiTheme="minorHAnsi"/>
          <w:b/>
        </w:rPr>
        <w:t xml:space="preserve">: </w:t>
      </w:r>
      <w:r w:rsidR="00093078" w:rsidRPr="005432E1">
        <w:rPr>
          <w:rFonts w:asciiTheme="minorHAnsi" w:hAnsiTheme="minorHAnsi"/>
          <w:b/>
        </w:rPr>
        <w:t xml:space="preserve">Efeito na Receita Administrada pela RFB </w:t>
      </w:r>
      <w:r w:rsidR="00315BF5" w:rsidRPr="005432E1">
        <w:rPr>
          <w:rFonts w:asciiTheme="minorHAnsi" w:hAnsiTheme="minorHAnsi"/>
          <w:b/>
        </w:rPr>
        <w:t>pela variação de 1</w:t>
      </w:r>
      <w:r w:rsidR="007B433D" w:rsidRPr="005432E1">
        <w:rPr>
          <w:rFonts w:asciiTheme="minorHAnsi" w:hAnsiTheme="minorHAnsi"/>
          <w:b/>
        </w:rPr>
        <w:t xml:space="preserve"> p.p. em cada</w:t>
      </w:r>
      <w:r w:rsidR="00315BF5" w:rsidRPr="005432E1">
        <w:rPr>
          <w:rFonts w:asciiTheme="minorHAnsi" w:hAnsiTheme="minorHAnsi"/>
          <w:b/>
        </w:rPr>
        <w:t xml:space="preserve"> parâmetro</w:t>
      </w:r>
    </w:p>
    <w:p w14:paraId="0E16B118" w14:textId="77777777" w:rsidR="00317060" w:rsidRPr="005432E1" w:rsidRDefault="00317060" w:rsidP="006F4AC5">
      <w:pPr>
        <w:jc w:val="center"/>
        <w:rPr>
          <w:rFonts w:asciiTheme="minorHAnsi" w:hAnsiTheme="minorHAnsi"/>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640"/>
        <w:gridCol w:w="3240"/>
      </w:tblGrid>
      <w:tr w:rsidR="00B16060" w:rsidRPr="005432E1" w14:paraId="469F99D4" w14:textId="77777777" w:rsidTr="00E44437">
        <w:trPr>
          <w:cantSplit/>
          <w:jc w:val="center"/>
        </w:trPr>
        <w:tc>
          <w:tcPr>
            <w:tcW w:w="2400" w:type="dxa"/>
            <w:vMerge w:val="restart"/>
            <w:vAlign w:val="center"/>
          </w:tcPr>
          <w:p w14:paraId="1794AD47" w14:textId="77777777" w:rsidR="002B0F44" w:rsidRPr="005432E1" w:rsidRDefault="002B0F44" w:rsidP="006F4AC5">
            <w:pPr>
              <w:jc w:val="center"/>
              <w:rPr>
                <w:rFonts w:asciiTheme="minorHAnsi" w:hAnsiTheme="minorHAnsi"/>
                <w:bCs/>
                <w:sz w:val="22"/>
                <w:szCs w:val="22"/>
              </w:rPr>
            </w:pPr>
            <w:r w:rsidRPr="005432E1">
              <w:rPr>
                <w:rFonts w:asciiTheme="minorHAnsi" w:hAnsiTheme="minorHAnsi"/>
                <w:bCs/>
                <w:sz w:val="22"/>
                <w:szCs w:val="22"/>
              </w:rPr>
              <w:t>PARÂMETRO</w:t>
            </w:r>
          </w:p>
        </w:tc>
        <w:tc>
          <w:tcPr>
            <w:tcW w:w="5880" w:type="dxa"/>
            <w:gridSpan w:val="2"/>
            <w:tcBorders>
              <w:bottom w:val="single" w:sz="4" w:space="0" w:color="auto"/>
            </w:tcBorders>
          </w:tcPr>
          <w:p w14:paraId="3DC8422D" w14:textId="77777777" w:rsidR="002B0F44" w:rsidRPr="005432E1" w:rsidRDefault="002B0F44" w:rsidP="006F4AC5">
            <w:pPr>
              <w:jc w:val="center"/>
              <w:rPr>
                <w:rFonts w:asciiTheme="minorHAnsi" w:hAnsiTheme="minorHAnsi"/>
                <w:bCs/>
                <w:sz w:val="22"/>
                <w:szCs w:val="22"/>
              </w:rPr>
            </w:pPr>
            <w:r w:rsidRPr="005432E1">
              <w:rPr>
                <w:rFonts w:asciiTheme="minorHAnsi" w:hAnsiTheme="minorHAnsi"/>
                <w:bCs/>
                <w:sz w:val="22"/>
                <w:szCs w:val="22"/>
              </w:rPr>
              <w:t>RECEITA ADMINISTRADA PELA RFB</w:t>
            </w:r>
          </w:p>
        </w:tc>
      </w:tr>
      <w:tr w:rsidR="00B16060" w:rsidRPr="005432E1" w14:paraId="7E84A764" w14:textId="77777777" w:rsidTr="00E44437">
        <w:trPr>
          <w:cantSplit/>
          <w:jc w:val="center"/>
        </w:trPr>
        <w:tc>
          <w:tcPr>
            <w:tcW w:w="2400" w:type="dxa"/>
            <w:vMerge/>
            <w:tcBorders>
              <w:bottom w:val="single" w:sz="4" w:space="0" w:color="auto"/>
            </w:tcBorders>
          </w:tcPr>
          <w:p w14:paraId="73DD3FEA" w14:textId="77777777" w:rsidR="002B0F44" w:rsidRPr="005432E1" w:rsidRDefault="002B0F44" w:rsidP="006F4AC5">
            <w:pPr>
              <w:jc w:val="center"/>
              <w:rPr>
                <w:rFonts w:asciiTheme="minorHAnsi" w:hAnsiTheme="minorHAnsi"/>
                <w:bCs/>
                <w:sz w:val="22"/>
                <w:szCs w:val="22"/>
              </w:rPr>
            </w:pPr>
          </w:p>
        </w:tc>
        <w:tc>
          <w:tcPr>
            <w:tcW w:w="2640" w:type="dxa"/>
            <w:tcBorders>
              <w:bottom w:val="single" w:sz="4" w:space="0" w:color="auto"/>
            </w:tcBorders>
            <w:vAlign w:val="center"/>
          </w:tcPr>
          <w:p w14:paraId="09E9F56A" w14:textId="77777777" w:rsidR="002B0F44" w:rsidRPr="005432E1" w:rsidRDefault="002B0F44" w:rsidP="006F4AC5">
            <w:pPr>
              <w:jc w:val="center"/>
              <w:rPr>
                <w:rFonts w:asciiTheme="minorHAnsi" w:hAnsiTheme="minorHAnsi"/>
                <w:bCs/>
                <w:sz w:val="22"/>
                <w:szCs w:val="22"/>
              </w:rPr>
            </w:pPr>
            <w:r w:rsidRPr="005432E1">
              <w:rPr>
                <w:rFonts w:asciiTheme="minorHAnsi" w:hAnsiTheme="minorHAnsi"/>
                <w:bCs/>
                <w:sz w:val="22"/>
                <w:szCs w:val="22"/>
              </w:rPr>
              <w:t>EXCETO PREVIDENCIÁRIA</w:t>
            </w:r>
          </w:p>
        </w:tc>
        <w:tc>
          <w:tcPr>
            <w:tcW w:w="3240" w:type="dxa"/>
            <w:tcBorders>
              <w:bottom w:val="single" w:sz="4" w:space="0" w:color="auto"/>
            </w:tcBorders>
            <w:vAlign w:val="center"/>
          </w:tcPr>
          <w:p w14:paraId="6F788B4B" w14:textId="77777777" w:rsidR="002B0F44" w:rsidRPr="005432E1" w:rsidRDefault="002B0F44" w:rsidP="006F4AC5">
            <w:pPr>
              <w:jc w:val="center"/>
              <w:rPr>
                <w:rFonts w:asciiTheme="minorHAnsi" w:hAnsiTheme="minorHAnsi"/>
                <w:bCs/>
                <w:sz w:val="22"/>
                <w:szCs w:val="22"/>
              </w:rPr>
            </w:pPr>
            <w:r w:rsidRPr="005432E1">
              <w:rPr>
                <w:rFonts w:asciiTheme="minorHAnsi" w:hAnsiTheme="minorHAnsi"/>
                <w:bCs/>
                <w:sz w:val="22"/>
                <w:szCs w:val="22"/>
              </w:rPr>
              <w:t>PREVIDENCIÁRIA</w:t>
            </w:r>
          </w:p>
        </w:tc>
      </w:tr>
      <w:tr w:rsidR="00B16060" w:rsidRPr="005432E1" w14:paraId="10B71159" w14:textId="77777777" w:rsidTr="00EA375C">
        <w:trPr>
          <w:jc w:val="center"/>
        </w:trPr>
        <w:tc>
          <w:tcPr>
            <w:tcW w:w="2400" w:type="dxa"/>
            <w:tcBorders>
              <w:top w:val="single" w:sz="4" w:space="0" w:color="auto"/>
              <w:left w:val="single" w:sz="4" w:space="0" w:color="auto"/>
              <w:bottom w:val="nil"/>
              <w:right w:val="single" w:sz="4" w:space="0" w:color="auto"/>
            </w:tcBorders>
          </w:tcPr>
          <w:p w14:paraId="42169DF1"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PIB</w:t>
            </w:r>
          </w:p>
        </w:tc>
        <w:tc>
          <w:tcPr>
            <w:tcW w:w="2640" w:type="dxa"/>
            <w:tcBorders>
              <w:top w:val="single" w:sz="4" w:space="0" w:color="auto"/>
              <w:left w:val="single" w:sz="4" w:space="0" w:color="auto"/>
              <w:bottom w:val="nil"/>
              <w:right w:val="single" w:sz="4" w:space="0" w:color="auto"/>
            </w:tcBorders>
          </w:tcPr>
          <w:p w14:paraId="78B5EEB4"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0,6</w:t>
            </w:r>
            <w:r w:rsidR="007A0837" w:rsidRPr="005432E1">
              <w:rPr>
                <w:rFonts w:asciiTheme="minorHAnsi" w:hAnsiTheme="minorHAnsi"/>
                <w:sz w:val="22"/>
                <w:szCs w:val="22"/>
              </w:rPr>
              <w:t>2</w:t>
            </w:r>
            <w:r w:rsidRPr="005432E1">
              <w:rPr>
                <w:rFonts w:asciiTheme="minorHAnsi" w:hAnsiTheme="minorHAnsi"/>
                <w:sz w:val="22"/>
                <w:szCs w:val="22"/>
              </w:rPr>
              <w:t>%</w:t>
            </w:r>
          </w:p>
        </w:tc>
        <w:tc>
          <w:tcPr>
            <w:tcW w:w="3240" w:type="dxa"/>
            <w:tcBorders>
              <w:top w:val="single" w:sz="4" w:space="0" w:color="auto"/>
              <w:left w:val="single" w:sz="4" w:space="0" w:color="auto"/>
              <w:bottom w:val="nil"/>
              <w:right w:val="single" w:sz="4" w:space="0" w:color="auto"/>
            </w:tcBorders>
            <w:vAlign w:val="center"/>
          </w:tcPr>
          <w:p w14:paraId="76936C85" w14:textId="77777777" w:rsidR="00E747AA" w:rsidRPr="005432E1" w:rsidRDefault="007A0837" w:rsidP="006F4AC5">
            <w:pPr>
              <w:jc w:val="center"/>
              <w:rPr>
                <w:rFonts w:asciiTheme="minorHAnsi" w:hAnsiTheme="minorHAnsi"/>
                <w:sz w:val="22"/>
                <w:szCs w:val="22"/>
              </w:rPr>
            </w:pPr>
            <w:r w:rsidRPr="005432E1">
              <w:rPr>
                <w:rFonts w:asciiTheme="minorHAnsi" w:hAnsiTheme="minorHAnsi"/>
                <w:sz w:val="22"/>
                <w:szCs w:val="22"/>
              </w:rPr>
              <w:t>0,15</w:t>
            </w:r>
            <w:r w:rsidR="00E747AA" w:rsidRPr="005432E1">
              <w:rPr>
                <w:rFonts w:asciiTheme="minorHAnsi" w:hAnsiTheme="minorHAnsi"/>
                <w:sz w:val="22"/>
                <w:szCs w:val="22"/>
              </w:rPr>
              <w:t>%</w:t>
            </w:r>
          </w:p>
        </w:tc>
      </w:tr>
      <w:tr w:rsidR="00B16060" w:rsidRPr="005432E1" w14:paraId="534B2C80" w14:textId="77777777" w:rsidTr="00EA375C">
        <w:trPr>
          <w:jc w:val="center"/>
        </w:trPr>
        <w:tc>
          <w:tcPr>
            <w:tcW w:w="2400" w:type="dxa"/>
            <w:tcBorders>
              <w:top w:val="nil"/>
              <w:left w:val="single" w:sz="4" w:space="0" w:color="auto"/>
              <w:bottom w:val="nil"/>
              <w:right w:val="single" w:sz="4" w:space="0" w:color="auto"/>
            </w:tcBorders>
          </w:tcPr>
          <w:p w14:paraId="5A212D84"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Inflação (IER)</w:t>
            </w:r>
          </w:p>
        </w:tc>
        <w:tc>
          <w:tcPr>
            <w:tcW w:w="2640" w:type="dxa"/>
            <w:tcBorders>
              <w:top w:val="nil"/>
              <w:left w:val="single" w:sz="4" w:space="0" w:color="auto"/>
              <w:bottom w:val="nil"/>
              <w:right w:val="single" w:sz="4" w:space="0" w:color="auto"/>
            </w:tcBorders>
          </w:tcPr>
          <w:p w14:paraId="45DC04E8"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w:t>
            </w:r>
            <w:r w:rsidR="007A0837" w:rsidRPr="005432E1">
              <w:rPr>
                <w:rFonts w:asciiTheme="minorHAnsi" w:hAnsiTheme="minorHAnsi"/>
                <w:sz w:val="22"/>
                <w:szCs w:val="22"/>
              </w:rPr>
              <w:t>59</w:t>
            </w:r>
            <w:r w:rsidRPr="005432E1">
              <w:rPr>
                <w:rFonts w:asciiTheme="minorHAnsi" w:hAnsiTheme="minorHAnsi"/>
                <w:sz w:val="22"/>
                <w:szCs w:val="22"/>
              </w:rPr>
              <w:t>%</w:t>
            </w:r>
          </w:p>
        </w:tc>
        <w:tc>
          <w:tcPr>
            <w:tcW w:w="3240" w:type="dxa"/>
            <w:tcBorders>
              <w:top w:val="nil"/>
              <w:left w:val="single" w:sz="4" w:space="0" w:color="auto"/>
              <w:bottom w:val="nil"/>
              <w:right w:val="single" w:sz="4" w:space="0" w:color="auto"/>
            </w:tcBorders>
            <w:vAlign w:val="center"/>
          </w:tcPr>
          <w:p w14:paraId="24B51DF6"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0,1</w:t>
            </w:r>
            <w:r w:rsidR="007A0837" w:rsidRPr="005432E1">
              <w:rPr>
                <w:rFonts w:asciiTheme="minorHAnsi" w:hAnsiTheme="minorHAnsi"/>
                <w:sz w:val="22"/>
                <w:szCs w:val="22"/>
              </w:rPr>
              <w:t>5</w:t>
            </w:r>
            <w:r w:rsidRPr="005432E1">
              <w:rPr>
                <w:rFonts w:asciiTheme="minorHAnsi" w:hAnsiTheme="minorHAnsi"/>
                <w:sz w:val="22"/>
                <w:szCs w:val="22"/>
              </w:rPr>
              <w:t>%</w:t>
            </w:r>
          </w:p>
        </w:tc>
      </w:tr>
      <w:tr w:rsidR="00B16060" w:rsidRPr="005432E1" w14:paraId="317BCAFF" w14:textId="77777777" w:rsidTr="00EA375C">
        <w:trPr>
          <w:jc w:val="center"/>
        </w:trPr>
        <w:tc>
          <w:tcPr>
            <w:tcW w:w="2400" w:type="dxa"/>
            <w:tcBorders>
              <w:top w:val="nil"/>
              <w:left w:val="single" w:sz="4" w:space="0" w:color="auto"/>
              <w:bottom w:val="nil"/>
              <w:right w:val="single" w:sz="4" w:space="0" w:color="auto"/>
            </w:tcBorders>
          </w:tcPr>
          <w:p w14:paraId="05F704F1"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Câmbio</w:t>
            </w:r>
          </w:p>
        </w:tc>
        <w:tc>
          <w:tcPr>
            <w:tcW w:w="2640" w:type="dxa"/>
            <w:tcBorders>
              <w:top w:val="nil"/>
              <w:left w:val="single" w:sz="4" w:space="0" w:color="auto"/>
              <w:bottom w:val="nil"/>
              <w:right w:val="single" w:sz="4" w:space="0" w:color="auto"/>
            </w:tcBorders>
          </w:tcPr>
          <w:p w14:paraId="70854E3D"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w:t>
            </w:r>
            <w:r w:rsidR="007A0837" w:rsidRPr="005432E1">
              <w:rPr>
                <w:rFonts w:asciiTheme="minorHAnsi" w:hAnsiTheme="minorHAnsi"/>
                <w:sz w:val="22"/>
                <w:szCs w:val="22"/>
              </w:rPr>
              <w:t>1</w:t>
            </w:r>
            <w:r w:rsidRPr="005432E1">
              <w:rPr>
                <w:rFonts w:asciiTheme="minorHAnsi" w:hAnsiTheme="minorHAnsi"/>
                <w:sz w:val="22"/>
                <w:szCs w:val="22"/>
              </w:rPr>
              <w:t>0%</w:t>
            </w:r>
          </w:p>
        </w:tc>
        <w:tc>
          <w:tcPr>
            <w:tcW w:w="3240" w:type="dxa"/>
            <w:tcBorders>
              <w:top w:val="nil"/>
              <w:left w:val="single" w:sz="4" w:space="0" w:color="auto"/>
              <w:bottom w:val="nil"/>
              <w:right w:val="single" w:sz="4" w:space="0" w:color="auto"/>
            </w:tcBorders>
            <w:vAlign w:val="center"/>
          </w:tcPr>
          <w:p w14:paraId="45177F4F"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w:t>
            </w:r>
          </w:p>
        </w:tc>
      </w:tr>
      <w:tr w:rsidR="00B16060" w:rsidRPr="005432E1" w14:paraId="0B2B802C" w14:textId="77777777" w:rsidTr="00EA375C">
        <w:trPr>
          <w:jc w:val="center"/>
        </w:trPr>
        <w:tc>
          <w:tcPr>
            <w:tcW w:w="2400" w:type="dxa"/>
            <w:tcBorders>
              <w:top w:val="nil"/>
              <w:left w:val="single" w:sz="4" w:space="0" w:color="auto"/>
              <w:bottom w:val="nil"/>
              <w:right w:val="single" w:sz="4" w:space="0" w:color="auto"/>
            </w:tcBorders>
          </w:tcPr>
          <w:p w14:paraId="7527758B"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Massa Salarial</w:t>
            </w:r>
          </w:p>
        </w:tc>
        <w:tc>
          <w:tcPr>
            <w:tcW w:w="2640" w:type="dxa"/>
            <w:tcBorders>
              <w:top w:val="nil"/>
              <w:left w:val="single" w:sz="4" w:space="0" w:color="auto"/>
              <w:bottom w:val="nil"/>
              <w:right w:val="single" w:sz="4" w:space="0" w:color="auto"/>
            </w:tcBorders>
          </w:tcPr>
          <w:p w14:paraId="05D55EB2"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0,09%</w:t>
            </w:r>
          </w:p>
        </w:tc>
        <w:tc>
          <w:tcPr>
            <w:tcW w:w="3240" w:type="dxa"/>
            <w:tcBorders>
              <w:top w:val="nil"/>
              <w:left w:val="single" w:sz="4" w:space="0" w:color="auto"/>
              <w:bottom w:val="nil"/>
              <w:right w:val="single" w:sz="4" w:space="0" w:color="auto"/>
            </w:tcBorders>
            <w:vAlign w:val="center"/>
          </w:tcPr>
          <w:p w14:paraId="659E7641"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0,7</w:t>
            </w:r>
            <w:r w:rsidR="007A0837" w:rsidRPr="005432E1">
              <w:rPr>
                <w:rFonts w:asciiTheme="minorHAnsi" w:hAnsiTheme="minorHAnsi"/>
                <w:sz w:val="22"/>
                <w:szCs w:val="22"/>
              </w:rPr>
              <w:t>9</w:t>
            </w:r>
            <w:r w:rsidRPr="005432E1">
              <w:rPr>
                <w:rFonts w:asciiTheme="minorHAnsi" w:hAnsiTheme="minorHAnsi"/>
                <w:sz w:val="22"/>
                <w:szCs w:val="22"/>
              </w:rPr>
              <w:t>%</w:t>
            </w:r>
          </w:p>
        </w:tc>
      </w:tr>
      <w:tr w:rsidR="00B16060" w:rsidRPr="005432E1" w14:paraId="37692C2B" w14:textId="77777777" w:rsidTr="00EA375C">
        <w:trPr>
          <w:jc w:val="center"/>
        </w:trPr>
        <w:tc>
          <w:tcPr>
            <w:tcW w:w="2400" w:type="dxa"/>
            <w:tcBorders>
              <w:top w:val="nil"/>
              <w:left w:val="single" w:sz="4" w:space="0" w:color="auto"/>
              <w:bottom w:val="single" w:sz="4" w:space="0" w:color="auto"/>
              <w:right w:val="single" w:sz="4" w:space="0" w:color="auto"/>
            </w:tcBorders>
          </w:tcPr>
          <w:p w14:paraId="1EE0C252"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Juros (OVER)</w:t>
            </w:r>
          </w:p>
        </w:tc>
        <w:tc>
          <w:tcPr>
            <w:tcW w:w="2640" w:type="dxa"/>
            <w:tcBorders>
              <w:top w:val="nil"/>
              <w:left w:val="single" w:sz="4" w:space="0" w:color="auto"/>
              <w:bottom w:val="single" w:sz="4" w:space="0" w:color="auto"/>
              <w:right w:val="single" w:sz="4" w:space="0" w:color="auto"/>
            </w:tcBorders>
          </w:tcPr>
          <w:p w14:paraId="2F8B8F51" w14:textId="77777777" w:rsidR="00E747AA" w:rsidRPr="005432E1" w:rsidRDefault="00E747AA" w:rsidP="007A0837">
            <w:pPr>
              <w:jc w:val="center"/>
              <w:rPr>
                <w:rFonts w:asciiTheme="minorHAnsi" w:hAnsiTheme="minorHAnsi"/>
                <w:sz w:val="22"/>
                <w:szCs w:val="22"/>
              </w:rPr>
            </w:pPr>
            <w:r w:rsidRPr="005432E1">
              <w:rPr>
                <w:rFonts w:asciiTheme="minorHAnsi" w:hAnsiTheme="minorHAnsi"/>
                <w:sz w:val="22"/>
                <w:szCs w:val="22"/>
              </w:rPr>
              <w:t>0,0</w:t>
            </w:r>
            <w:r w:rsidR="007A0837" w:rsidRPr="005432E1">
              <w:rPr>
                <w:rFonts w:asciiTheme="minorHAnsi" w:hAnsiTheme="minorHAnsi"/>
                <w:sz w:val="22"/>
                <w:szCs w:val="22"/>
              </w:rPr>
              <w:t>3</w:t>
            </w:r>
            <w:r w:rsidRPr="005432E1">
              <w:rPr>
                <w:rFonts w:asciiTheme="minorHAnsi" w:hAnsiTheme="minorHAnsi"/>
                <w:sz w:val="22"/>
                <w:szCs w:val="22"/>
              </w:rPr>
              <w:t>%</w:t>
            </w:r>
          </w:p>
        </w:tc>
        <w:tc>
          <w:tcPr>
            <w:tcW w:w="3240" w:type="dxa"/>
            <w:tcBorders>
              <w:top w:val="nil"/>
              <w:left w:val="single" w:sz="4" w:space="0" w:color="auto"/>
              <w:bottom w:val="single" w:sz="4" w:space="0" w:color="auto"/>
              <w:right w:val="single" w:sz="4" w:space="0" w:color="auto"/>
            </w:tcBorders>
            <w:vAlign w:val="center"/>
          </w:tcPr>
          <w:p w14:paraId="1805F3DD" w14:textId="77777777" w:rsidR="00E747AA" w:rsidRPr="005432E1" w:rsidRDefault="00E747AA" w:rsidP="006F4AC5">
            <w:pPr>
              <w:jc w:val="center"/>
              <w:rPr>
                <w:rFonts w:asciiTheme="minorHAnsi" w:hAnsiTheme="minorHAnsi"/>
                <w:sz w:val="22"/>
                <w:szCs w:val="22"/>
              </w:rPr>
            </w:pPr>
            <w:r w:rsidRPr="005432E1">
              <w:rPr>
                <w:rFonts w:asciiTheme="minorHAnsi" w:hAnsiTheme="minorHAnsi"/>
                <w:sz w:val="22"/>
                <w:szCs w:val="22"/>
              </w:rPr>
              <w:t>-</w:t>
            </w:r>
          </w:p>
        </w:tc>
      </w:tr>
    </w:tbl>
    <w:p w14:paraId="58D04104" w14:textId="77777777" w:rsidR="00791FC3" w:rsidRPr="005432E1" w:rsidRDefault="0041703B" w:rsidP="006F4AC5">
      <w:pPr>
        <w:ind w:firstLine="708"/>
        <w:jc w:val="both"/>
        <w:rPr>
          <w:rFonts w:asciiTheme="minorHAnsi" w:hAnsiTheme="minorHAnsi"/>
          <w:sz w:val="18"/>
          <w:szCs w:val="18"/>
        </w:rPr>
      </w:pPr>
      <w:r w:rsidRPr="005432E1">
        <w:rPr>
          <w:rFonts w:asciiTheme="minorHAnsi" w:hAnsiTheme="minorHAnsi"/>
          <w:sz w:val="18"/>
          <w:szCs w:val="18"/>
        </w:rPr>
        <w:t>Fonte: RFB/MF.</w:t>
      </w:r>
    </w:p>
    <w:p w14:paraId="485B16A9" w14:textId="77777777" w:rsidR="0041703B" w:rsidRPr="005432E1" w:rsidRDefault="0041703B" w:rsidP="006F4AC5">
      <w:pPr>
        <w:ind w:firstLine="708"/>
        <w:jc w:val="both"/>
        <w:rPr>
          <w:rFonts w:asciiTheme="minorHAnsi" w:hAnsiTheme="minorHAnsi"/>
          <w:highlight w:val="yellow"/>
        </w:rPr>
      </w:pPr>
    </w:p>
    <w:p w14:paraId="698133EC" w14:textId="77777777" w:rsidR="002B0F44" w:rsidRPr="005432E1" w:rsidRDefault="00DB23FD" w:rsidP="006F4AC5">
      <w:pPr>
        <w:spacing w:after="240"/>
        <w:ind w:firstLine="708"/>
        <w:jc w:val="both"/>
        <w:rPr>
          <w:rFonts w:asciiTheme="minorHAnsi" w:hAnsiTheme="minorHAnsi"/>
        </w:rPr>
      </w:pPr>
      <w:r w:rsidRPr="005432E1">
        <w:rPr>
          <w:rFonts w:asciiTheme="minorHAnsi" w:hAnsiTheme="minorHAnsi"/>
        </w:rPr>
        <w:t xml:space="preserve">A maior elasticidade </w:t>
      </w:r>
      <w:r w:rsidR="00D34A5F" w:rsidRPr="005432E1">
        <w:rPr>
          <w:rFonts w:asciiTheme="minorHAnsi" w:hAnsiTheme="minorHAnsi"/>
        </w:rPr>
        <w:t>encontrad</w:t>
      </w:r>
      <w:r w:rsidRPr="005432E1">
        <w:rPr>
          <w:rFonts w:asciiTheme="minorHAnsi" w:hAnsiTheme="minorHAnsi"/>
        </w:rPr>
        <w:t>a</w:t>
      </w:r>
      <w:r w:rsidR="00D34A5F" w:rsidRPr="005432E1">
        <w:rPr>
          <w:rFonts w:asciiTheme="minorHAnsi" w:hAnsiTheme="minorHAnsi"/>
        </w:rPr>
        <w:t xml:space="preserve"> foi da massa salarial sobre a receita previdenciária.</w:t>
      </w:r>
      <w:r w:rsidRPr="005432E1">
        <w:rPr>
          <w:rFonts w:asciiTheme="minorHAnsi" w:hAnsiTheme="minorHAnsi"/>
        </w:rPr>
        <w:t xml:space="preserve"> No entanto,</w:t>
      </w:r>
      <w:r w:rsidR="00D34A5F" w:rsidRPr="005432E1">
        <w:rPr>
          <w:rFonts w:asciiTheme="minorHAnsi" w:hAnsiTheme="minorHAnsi"/>
        </w:rPr>
        <w:t xml:space="preserve"> </w:t>
      </w:r>
      <w:r w:rsidRPr="005432E1">
        <w:rPr>
          <w:rFonts w:asciiTheme="minorHAnsi" w:hAnsiTheme="minorHAnsi"/>
        </w:rPr>
        <w:t>o</w:t>
      </w:r>
      <w:r w:rsidR="002B0F44" w:rsidRPr="005432E1">
        <w:rPr>
          <w:rFonts w:asciiTheme="minorHAnsi" w:hAnsiTheme="minorHAnsi"/>
        </w:rPr>
        <w:t xml:space="preserve"> maior efeito</w:t>
      </w:r>
      <w:r w:rsidR="004A0629" w:rsidRPr="005432E1">
        <w:rPr>
          <w:rFonts w:asciiTheme="minorHAnsi" w:hAnsiTheme="minorHAnsi"/>
        </w:rPr>
        <w:t xml:space="preserve"> sobre as receitas administradas, exceto previdenciária,</w:t>
      </w:r>
      <w:r w:rsidR="002B0F44" w:rsidRPr="005432E1">
        <w:rPr>
          <w:rFonts w:asciiTheme="minorHAnsi" w:hAnsiTheme="minorHAnsi"/>
        </w:rPr>
        <w:t xml:space="preserve"> é de uma</w:t>
      </w:r>
      <w:r w:rsidR="00EA0190" w:rsidRPr="005432E1">
        <w:rPr>
          <w:rFonts w:asciiTheme="minorHAnsi" w:hAnsiTheme="minorHAnsi"/>
        </w:rPr>
        <w:t xml:space="preserve"> </w:t>
      </w:r>
      <w:r w:rsidR="002B0F44" w:rsidRPr="005432E1">
        <w:rPr>
          <w:rFonts w:asciiTheme="minorHAnsi" w:hAnsiTheme="minorHAnsi"/>
        </w:rPr>
        <w:t>variação n</w:t>
      </w:r>
      <w:r w:rsidR="005D1256" w:rsidRPr="005432E1">
        <w:rPr>
          <w:rFonts w:asciiTheme="minorHAnsi" w:hAnsiTheme="minorHAnsi"/>
        </w:rPr>
        <w:t>a</w:t>
      </w:r>
      <w:r w:rsidR="00B91CCC" w:rsidRPr="005432E1">
        <w:rPr>
          <w:rFonts w:asciiTheme="minorHAnsi" w:hAnsiTheme="minorHAnsi"/>
        </w:rPr>
        <w:t xml:space="preserve"> atividade econômica</w:t>
      </w:r>
      <w:r w:rsidR="002B0F44" w:rsidRPr="005432E1">
        <w:rPr>
          <w:rFonts w:asciiTheme="minorHAnsi" w:hAnsiTheme="minorHAnsi"/>
        </w:rPr>
        <w:t xml:space="preserve"> medida pela taxa de crescimento real do PIB, </w:t>
      </w:r>
      <w:r w:rsidR="00B91CCC" w:rsidRPr="005432E1">
        <w:rPr>
          <w:rFonts w:asciiTheme="minorHAnsi" w:hAnsiTheme="minorHAnsi"/>
        </w:rPr>
        <w:t>que</w:t>
      </w:r>
      <w:r w:rsidR="002B0F44" w:rsidRPr="005432E1">
        <w:rPr>
          <w:rFonts w:asciiTheme="minorHAnsi" w:hAnsiTheme="minorHAnsi"/>
        </w:rPr>
        <w:t xml:space="preserve"> afeta diversos tributos: Contribuição para o Financiamento da Seguridade Social </w:t>
      </w:r>
      <w:r w:rsidR="006815F8" w:rsidRPr="005432E1">
        <w:rPr>
          <w:rFonts w:asciiTheme="minorHAnsi" w:hAnsiTheme="minorHAnsi"/>
        </w:rPr>
        <w:t>(</w:t>
      </w:r>
      <w:r w:rsidR="002B0F44" w:rsidRPr="005432E1">
        <w:rPr>
          <w:rFonts w:asciiTheme="minorHAnsi" w:hAnsiTheme="minorHAnsi"/>
        </w:rPr>
        <w:t>COFINS</w:t>
      </w:r>
      <w:r w:rsidR="006815F8" w:rsidRPr="005432E1">
        <w:rPr>
          <w:rFonts w:asciiTheme="minorHAnsi" w:hAnsiTheme="minorHAnsi"/>
        </w:rPr>
        <w:t>)</w:t>
      </w:r>
      <w:r w:rsidR="002B0F44" w:rsidRPr="005432E1">
        <w:rPr>
          <w:rFonts w:asciiTheme="minorHAnsi" w:hAnsiTheme="minorHAnsi"/>
        </w:rPr>
        <w:t xml:space="preserve">, Contribuição para o Programa de Integração Social </w:t>
      </w:r>
      <w:r w:rsidR="006815F8" w:rsidRPr="005432E1">
        <w:rPr>
          <w:rFonts w:asciiTheme="minorHAnsi" w:hAnsiTheme="minorHAnsi"/>
        </w:rPr>
        <w:t>(</w:t>
      </w:r>
      <w:r w:rsidR="002B0F44" w:rsidRPr="005432E1">
        <w:rPr>
          <w:rFonts w:asciiTheme="minorHAnsi" w:hAnsiTheme="minorHAnsi"/>
        </w:rPr>
        <w:t>PIS</w:t>
      </w:r>
      <w:r w:rsidR="006815F8" w:rsidRPr="005432E1">
        <w:rPr>
          <w:rFonts w:asciiTheme="minorHAnsi" w:hAnsiTheme="minorHAnsi"/>
        </w:rPr>
        <w:t>)</w:t>
      </w:r>
      <w:r w:rsidR="002B0F44" w:rsidRPr="005432E1">
        <w:rPr>
          <w:rFonts w:asciiTheme="minorHAnsi" w:hAnsiTheme="minorHAnsi"/>
        </w:rPr>
        <w:t>, Contribuição para o Programa de Formação do Patrimô</w:t>
      </w:r>
      <w:r w:rsidR="00FD1D39" w:rsidRPr="005432E1">
        <w:rPr>
          <w:rFonts w:asciiTheme="minorHAnsi" w:hAnsiTheme="minorHAnsi"/>
        </w:rPr>
        <w:t xml:space="preserve">nio do Servidor Público </w:t>
      </w:r>
      <w:r w:rsidR="006815F8" w:rsidRPr="005432E1">
        <w:rPr>
          <w:rFonts w:asciiTheme="minorHAnsi" w:hAnsiTheme="minorHAnsi"/>
        </w:rPr>
        <w:t>(</w:t>
      </w:r>
      <w:r w:rsidR="00FD1D39" w:rsidRPr="005432E1">
        <w:rPr>
          <w:rFonts w:asciiTheme="minorHAnsi" w:hAnsiTheme="minorHAnsi"/>
        </w:rPr>
        <w:t>PASEP</w:t>
      </w:r>
      <w:r w:rsidR="006815F8" w:rsidRPr="005432E1">
        <w:rPr>
          <w:rFonts w:asciiTheme="minorHAnsi" w:hAnsiTheme="minorHAnsi"/>
        </w:rPr>
        <w:t>)</w:t>
      </w:r>
      <w:r w:rsidR="00B91CCC" w:rsidRPr="005432E1">
        <w:rPr>
          <w:rFonts w:asciiTheme="minorHAnsi" w:hAnsiTheme="minorHAnsi"/>
        </w:rPr>
        <w:t xml:space="preserve"> e </w:t>
      </w:r>
      <w:r w:rsidR="002B0F44" w:rsidRPr="005432E1">
        <w:rPr>
          <w:rFonts w:asciiTheme="minorHAnsi" w:hAnsiTheme="minorHAnsi"/>
        </w:rPr>
        <w:t xml:space="preserve">Imposto sobre a Renda e Proventos de Qualquer Natureza </w:t>
      </w:r>
      <w:r w:rsidR="006815F8" w:rsidRPr="005432E1">
        <w:rPr>
          <w:rFonts w:asciiTheme="minorHAnsi" w:hAnsiTheme="minorHAnsi"/>
        </w:rPr>
        <w:t>(</w:t>
      </w:r>
      <w:r w:rsidR="002B0F44" w:rsidRPr="005432E1">
        <w:rPr>
          <w:rFonts w:asciiTheme="minorHAnsi" w:hAnsiTheme="minorHAnsi"/>
        </w:rPr>
        <w:t>IR</w:t>
      </w:r>
      <w:r w:rsidR="006815F8" w:rsidRPr="005432E1">
        <w:rPr>
          <w:rFonts w:asciiTheme="minorHAnsi" w:hAnsiTheme="minorHAnsi"/>
        </w:rPr>
        <w:t>)</w:t>
      </w:r>
      <w:r w:rsidR="002B0F44" w:rsidRPr="005432E1">
        <w:rPr>
          <w:rFonts w:asciiTheme="minorHAnsi" w:hAnsiTheme="minorHAnsi"/>
        </w:rPr>
        <w:t>, particularmente o Imposto de Renda das Pessoas Jurídicas</w:t>
      </w:r>
      <w:r w:rsidR="0017382F" w:rsidRPr="005432E1">
        <w:rPr>
          <w:rFonts w:asciiTheme="minorHAnsi" w:hAnsiTheme="minorHAnsi"/>
        </w:rPr>
        <w:t xml:space="preserve"> </w:t>
      </w:r>
      <w:r w:rsidR="006815F8" w:rsidRPr="005432E1">
        <w:rPr>
          <w:rFonts w:asciiTheme="minorHAnsi" w:hAnsiTheme="minorHAnsi"/>
        </w:rPr>
        <w:t>(</w:t>
      </w:r>
      <w:r w:rsidR="0017382F" w:rsidRPr="005432E1">
        <w:rPr>
          <w:rFonts w:asciiTheme="minorHAnsi" w:hAnsiTheme="minorHAnsi"/>
        </w:rPr>
        <w:t>IRPJ</w:t>
      </w:r>
      <w:r w:rsidR="006815F8" w:rsidRPr="005432E1">
        <w:rPr>
          <w:rFonts w:asciiTheme="minorHAnsi" w:hAnsiTheme="minorHAnsi"/>
        </w:rPr>
        <w:t>)</w:t>
      </w:r>
      <w:r w:rsidR="002B0F44" w:rsidRPr="005432E1">
        <w:rPr>
          <w:rFonts w:asciiTheme="minorHAnsi" w:hAnsiTheme="minorHAnsi"/>
        </w:rPr>
        <w:t>.</w:t>
      </w:r>
    </w:p>
    <w:p w14:paraId="1CB1DF78"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 xml:space="preserve">A inflação também </w:t>
      </w:r>
      <w:r w:rsidR="00FD1D39" w:rsidRPr="005432E1">
        <w:rPr>
          <w:rFonts w:asciiTheme="minorHAnsi" w:hAnsiTheme="minorHAnsi"/>
        </w:rPr>
        <w:t>tem</w:t>
      </w:r>
      <w:r w:rsidRPr="005432E1">
        <w:rPr>
          <w:rFonts w:asciiTheme="minorHAnsi" w:hAnsiTheme="minorHAnsi"/>
        </w:rPr>
        <w:t xml:space="preserve"> impacto relevante na maioria dos itens de receitas. Para mensurar </w:t>
      </w:r>
      <w:r w:rsidR="001C48C2" w:rsidRPr="005432E1">
        <w:rPr>
          <w:rFonts w:asciiTheme="minorHAnsi" w:hAnsiTheme="minorHAnsi"/>
        </w:rPr>
        <w:t>seu</w:t>
      </w:r>
      <w:r w:rsidRPr="005432E1">
        <w:rPr>
          <w:rFonts w:asciiTheme="minorHAnsi" w:hAnsiTheme="minorHAnsi"/>
        </w:rPr>
        <w:t xml:space="preserve"> efeito</w:t>
      </w:r>
      <w:r w:rsidR="007B433D" w:rsidRPr="005432E1">
        <w:rPr>
          <w:rFonts w:asciiTheme="minorHAnsi" w:hAnsiTheme="minorHAnsi"/>
        </w:rPr>
        <w:t>,</w:t>
      </w:r>
      <w:r w:rsidRPr="005432E1">
        <w:rPr>
          <w:rFonts w:asciiTheme="minorHAnsi" w:hAnsiTheme="minorHAnsi"/>
        </w:rPr>
        <w:t xml:space="preserve"> utiliza-se uma combinação de índices com uma ponderação que demonstra maior correlação com a arrecadação realizada nos últimos exercícios. O Índice de Estimativa da Receita </w:t>
      </w:r>
      <w:r w:rsidR="006815F8" w:rsidRPr="005432E1">
        <w:rPr>
          <w:rFonts w:asciiTheme="minorHAnsi" w:hAnsiTheme="minorHAnsi"/>
        </w:rPr>
        <w:t>(</w:t>
      </w:r>
      <w:r w:rsidRPr="005432E1">
        <w:rPr>
          <w:rFonts w:asciiTheme="minorHAnsi" w:hAnsiTheme="minorHAnsi"/>
        </w:rPr>
        <w:t>IER</w:t>
      </w:r>
      <w:r w:rsidR="006815F8" w:rsidRPr="005432E1">
        <w:rPr>
          <w:rFonts w:asciiTheme="minorHAnsi" w:hAnsiTheme="minorHAnsi"/>
        </w:rPr>
        <w:t>)</w:t>
      </w:r>
      <w:r w:rsidRPr="005432E1">
        <w:rPr>
          <w:rFonts w:asciiTheme="minorHAnsi" w:hAnsiTheme="minorHAnsi"/>
        </w:rPr>
        <w:t xml:space="preserve"> é composto por uma média ponderada que atribui 55% à taxa média do IPCA e 45% à taxa média do </w:t>
      </w:r>
      <w:r w:rsidR="00B91CCC" w:rsidRPr="005432E1">
        <w:rPr>
          <w:rFonts w:asciiTheme="minorHAnsi" w:hAnsiTheme="minorHAnsi"/>
        </w:rPr>
        <w:t>IGP-DI.</w:t>
      </w:r>
      <w:r w:rsidR="00766844" w:rsidRPr="005432E1">
        <w:rPr>
          <w:rFonts w:asciiTheme="minorHAnsi" w:hAnsiTheme="minorHAnsi"/>
        </w:rPr>
        <w:t xml:space="preserve"> </w:t>
      </w:r>
    </w:p>
    <w:p w14:paraId="6ED6C64C" w14:textId="77777777" w:rsidR="002B0F44" w:rsidRPr="005432E1" w:rsidRDefault="002B0F44" w:rsidP="006F4AC5">
      <w:pPr>
        <w:spacing w:after="240"/>
        <w:ind w:firstLine="708"/>
        <w:jc w:val="both"/>
        <w:rPr>
          <w:rFonts w:asciiTheme="minorHAnsi" w:hAnsiTheme="minorHAnsi"/>
        </w:rPr>
      </w:pPr>
      <w:r w:rsidRPr="005432E1">
        <w:rPr>
          <w:rFonts w:asciiTheme="minorHAnsi" w:hAnsiTheme="minorHAnsi"/>
        </w:rPr>
        <w:t xml:space="preserve">A taxa de câmbio </w:t>
      </w:r>
      <w:r w:rsidR="00FD1D39" w:rsidRPr="005432E1">
        <w:rPr>
          <w:rFonts w:asciiTheme="minorHAnsi" w:hAnsiTheme="minorHAnsi"/>
        </w:rPr>
        <w:t>tem</w:t>
      </w:r>
      <w:r w:rsidRPr="005432E1">
        <w:rPr>
          <w:rFonts w:asciiTheme="minorHAnsi" w:hAnsiTheme="minorHAnsi"/>
        </w:rPr>
        <w:t xml:space="preserve"> impacto menor, pois a sua variação influencia diretamente apenas o Imposto de Importação</w:t>
      </w:r>
      <w:r w:rsidR="001C48C2" w:rsidRPr="005432E1">
        <w:rPr>
          <w:rFonts w:asciiTheme="minorHAnsi" w:hAnsiTheme="minorHAnsi"/>
        </w:rPr>
        <w:t xml:space="preserve"> - II</w:t>
      </w:r>
      <w:r w:rsidRPr="005432E1">
        <w:rPr>
          <w:rFonts w:asciiTheme="minorHAnsi" w:hAnsiTheme="minorHAnsi"/>
        </w:rPr>
        <w:t xml:space="preserve">, o Imposto Sobre Produtos Industrializados </w:t>
      </w:r>
      <w:r w:rsidR="006815F8" w:rsidRPr="005432E1">
        <w:rPr>
          <w:rFonts w:asciiTheme="minorHAnsi" w:hAnsiTheme="minorHAnsi"/>
        </w:rPr>
        <w:t>(</w:t>
      </w:r>
      <w:r w:rsidRPr="005432E1">
        <w:rPr>
          <w:rFonts w:asciiTheme="minorHAnsi" w:hAnsiTheme="minorHAnsi"/>
        </w:rPr>
        <w:t>IPI</w:t>
      </w:r>
      <w:r w:rsidR="006815F8" w:rsidRPr="005432E1">
        <w:rPr>
          <w:rFonts w:asciiTheme="minorHAnsi" w:hAnsiTheme="minorHAnsi"/>
        </w:rPr>
        <w:t>)</w:t>
      </w:r>
      <w:r w:rsidRPr="005432E1">
        <w:rPr>
          <w:rFonts w:asciiTheme="minorHAnsi" w:hAnsiTheme="minorHAnsi"/>
        </w:rPr>
        <w:t>, vinculado à Importação</w:t>
      </w:r>
      <w:r w:rsidR="007B433D" w:rsidRPr="005432E1">
        <w:rPr>
          <w:rFonts w:asciiTheme="minorHAnsi" w:hAnsiTheme="minorHAnsi"/>
        </w:rPr>
        <w:t>,</w:t>
      </w:r>
      <w:r w:rsidRPr="005432E1">
        <w:rPr>
          <w:rFonts w:asciiTheme="minorHAnsi" w:hAnsiTheme="minorHAnsi"/>
        </w:rPr>
        <w:t xml:space="preserve"> e o </w:t>
      </w:r>
      <w:r w:rsidR="007B433D" w:rsidRPr="005432E1">
        <w:rPr>
          <w:rFonts w:asciiTheme="minorHAnsi" w:hAnsiTheme="minorHAnsi"/>
        </w:rPr>
        <w:t xml:space="preserve">IR </w:t>
      </w:r>
      <w:r w:rsidRPr="005432E1">
        <w:rPr>
          <w:rFonts w:asciiTheme="minorHAnsi" w:hAnsiTheme="minorHAnsi"/>
        </w:rPr>
        <w:t>incidente sobre as remessas ao exterior. Da mesma forma, a taxa de juros também tem impacto reduzido, pois afeta diretamente a arrecadação do I</w:t>
      </w:r>
      <w:r w:rsidR="00B91CCC" w:rsidRPr="005432E1">
        <w:rPr>
          <w:rFonts w:asciiTheme="minorHAnsi" w:hAnsiTheme="minorHAnsi"/>
        </w:rPr>
        <w:t>R</w:t>
      </w:r>
      <w:r w:rsidRPr="005432E1">
        <w:rPr>
          <w:rFonts w:asciiTheme="minorHAnsi" w:hAnsiTheme="minorHAnsi"/>
        </w:rPr>
        <w:t xml:space="preserve"> sobre aplicações financeiras e os impostos arrecadados com atraso, </w:t>
      </w:r>
      <w:r w:rsidR="00AF3BF7" w:rsidRPr="005432E1">
        <w:rPr>
          <w:rFonts w:asciiTheme="minorHAnsi" w:hAnsiTheme="minorHAnsi"/>
        </w:rPr>
        <w:t>n</w:t>
      </w:r>
      <w:r w:rsidRPr="005432E1">
        <w:rPr>
          <w:rFonts w:asciiTheme="minorHAnsi" w:hAnsiTheme="minorHAnsi"/>
        </w:rPr>
        <w:t>os quais incide</w:t>
      </w:r>
      <w:r w:rsidR="00EA71D6" w:rsidRPr="005432E1">
        <w:rPr>
          <w:rFonts w:asciiTheme="minorHAnsi" w:hAnsiTheme="minorHAnsi"/>
        </w:rPr>
        <w:t>m</w:t>
      </w:r>
      <w:r w:rsidRPr="005432E1">
        <w:rPr>
          <w:rFonts w:asciiTheme="minorHAnsi" w:hAnsiTheme="minorHAnsi"/>
        </w:rPr>
        <w:t xml:space="preserve"> juros.</w:t>
      </w:r>
    </w:p>
    <w:p w14:paraId="40824B4B" w14:textId="77777777" w:rsidR="00FC0C3A" w:rsidRPr="005432E1" w:rsidRDefault="00D963EF" w:rsidP="00367ECE">
      <w:pPr>
        <w:pStyle w:val="Ttulo3"/>
        <w:numPr>
          <w:ilvl w:val="0"/>
          <w:numId w:val="0"/>
        </w:numPr>
        <w:rPr>
          <w:rFonts w:asciiTheme="minorHAnsi" w:hAnsiTheme="minorHAnsi"/>
          <w:b/>
        </w:rPr>
      </w:pPr>
      <w:bookmarkStart w:id="65" w:name="_Toc479778047"/>
      <w:bookmarkStart w:id="66" w:name="_Toc479778107"/>
      <w:bookmarkStart w:id="67" w:name="_Toc511230013"/>
      <w:bookmarkEnd w:id="65"/>
      <w:bookmarkEnd w:id="66"/>
      <w:r w:rsidRPr="005432E1">
        <w:rPr>
          <w:rFonts w:asciiTheme="minorHAnsi" w:hAnsiTheme="minorHAnsi"/>
          <w:b/>
        </w:rPr>
        <w:t>2.2</w:t>
      </w:r>
      <w:r w:rsidRPr="005432E1">
        <w:rPr>
          <w:rFonts w:asciiTheme="minorHAnsi" w:hAnsiTheme="minorHAnsi"/>
          <w:b/>
        </w:rPr>
        <w:tab/>
        <w:t>Sensibilidade da Despesa</w:t>
      </w:r>
      <w:bookmarkEnd w:id="67"/>
    </w:p>
    <w:p w14:paraId="618F557C" w14:textId="77777777" w:rsidR="0061157B" w:rsidRPr="005432E1" w:rsidRDefault="0061157B" w:rsidP="006F4AC5">
      <w:pPr>
        <w:rPr>
          <w:rFonts w:asciiTheme="minorHAnsi" w:hAnsiTheme="minorHAnsi"/>
        </w:rPr>
      </w:pPr>
    </w:p>
    <w:p w14:paraId="52CF5CB3" w14:textId="77777777" w:rsidR="00791B44" w:rsidRPr="005432E1" w:rsidRDefault="00791B44" w:rsidP="006F4AC5">
      <w:pPr>
        <w:pStyle w:val="Recuodecorpodetexto"/>
        <w:rPr>
          <w:rFonts w:asciiTheme="minorHAnsi" w:hAnsiTheme="minorHAnsi"/>
        </w:rPr>
      </w:pPr>
      <w:r w:rsidRPr="005432E1">
        <w:rPr>
          <w:rFonts w:asciiTheme="minorHAnsi" w:hAnsiTheme="minorHAnsi"/>
        </w:rPr>
        <w:t>Os riscos de previsão de despesa decorrem, em geral, de ações judiciais em andamento e/ou de eventuais variações em parâmetros de projeção e no quantitativo estimado.</w:t>
      </w:r>
    </w:p>
    <w:p w14:paraId="78241305" w14:textId="77777777" w:rsidR="00791B44" w:rsidRPr="005432E1" w:rsidRDefault="00791B44" w:rsidP="006F4AC5">
      <w:pPr>
        <w:pStyle w:val="Recuodecorpodetexto"/>
        <w:rPr>
          <w:rFonts w:asciiTheme="minorHAnsi" w:hAnsiTheme="minorHAnsi"/>
        </w:rPr>
      </w:pPr>
      <w:r w:rsidRPr="005432E1">
        <w:rPr>
          <w:rFonts w:asciiTheme="minorHAnsi" w:hAnsiTheme="minorHAnsi"/>
        </w:rPr>
        <w:t>Para as despesas de Pessoal e Encargos Sociais, não há risco de índice de preço, uma vez que o percentual de reajuste dos salários dos servidores já está definido. Tampouco há risco quantitativo, tendo em vista que o ingresso de novos servidores é controlado pelo Anexo V da Lei Orçamentária Anual.</w:t>
      </w:r>
    </w:p>
    <w:p w14:paraId="1AFA9869" w14:textId="77777777" w:rsidR="006B569B" w:rsidRPr="005432E1" w:rsidRDefault="00791B44" w:rsidP="006F4AC5">
      <w:pPr>
        <w:pStyle w:val="Recuodecorpodetexto"/>
        <w:rPr>
          <w:rFonts w:asciiTheme="minorHAnsi" w:hAnsiTheme="minorHAnsi"/>
          <w:color w:val="FF0000"/>
        </w:rPr>
      </w:pPr>
      <w:r w:rsidRPr="005432E1">
        <w:rPr>
          <w:rFonts w:asciiTheme="minorHAnsi" w:hAnsiTheme="minorHAnsi"/>
        </w:rPr>
        <w:t>Os benefícios previdenciários e assistenciais obrigatórios têm como principal parâmetro o Índice Nacional de Preços ao Consumidor–INPC, que reajusta os benefícios previdenciários, a tabela para cálculo do benefício seguro-desemprego e o salário mínimo, cuja atual estimativa leva em consideração a regra estabelecida pela Lei nº 13.152, de 29 de junho de 2015. Essa regra determina que a correção do salário mínimo, para 201</w:t>
      </w:r>
      <w:r w:rsidR="006B569B" w:rsidRPr="005432E1">
        <w:rPr>
          <w:rFonts w:asciiTheme="minorHAnsi" w:hAnsiTheme="minorHAnsi"/>
        </w:rPr>
        <w:t>9</w:t>
      </w:r>
      <w:r w:rsidRPr="005432E1">
        <w:rPr>
          <w:rFonts w:asciiTheme="minorHAnsi" w:hAnsiTheme="minorHAnsi"/>
        </w:rPr>
        <w:t>, corresponda à variação acumulada do INPC verificada no período de janeiro a dezembro de 201</w:t>
      </w:r>
      <w:r w:rsidR="006B569B" w:rsidRPr="005432E1">
        <w:rPr>
          <w:rFonts w:asciiTheme="minorHAnsi" w:hAnsiTheme="minorHAnsi"/>
        </w:rPr>
        <w:t>8</w:t>
      </w:r>
      <w:r w:rsidRPr="005432E1">
        <w:rPr>
          <w:rFonts w:asciiTheme="minorHAnsi" w:hAnsiTheme="minorHAnsi"/>
        </w:rPr>
        <w:t xml:space="preserve">, acrescida de percentual equivalente à taxa de variação real do Produto Interno Bruto </w:t>
      </w:r>
      <w:r w:rsidR="00536137" w:rsidRPr="005432E1">
        <w:rPr>
          <w:rFonts w:asciiTheme="minorHAnsi" w:hAnsiTheme="minorHAnsi"/>
        </w:rPr>
        <w:t xml:space="preserve">– </w:t>
      </w:r>
      <w:r w:rsidRPr="005432E1">
        <w:rPr>
          <w:rFonts w:asciiTheme="minorHAnsi" w:hAnsiTheme="minorHAnsi"/>
        </w:rPr>
        <w:t>PIB de 201</w:t>
      </w:r>
      <w:r w:rsidR="006B569B" w:rsidRPr="005432E1">
        <w:rPr>
          <w:rFonts w:asciiTheme="minorHAnsi" w:hAnsiTheme="minorHAnsi"/>
        </w:rPr>
        <w:t>7</w:t>
      </w:r>
      <w:r w:rsidRPr="005432E1">
        <w:rPr>
          <w:rFonts w:asciiTheme="minorHAnsi" w:hAnsiTheme="minorHAnsi"/>
        </w:rPr>
        <w:t xml:space="preserve">, ambos os índices apurados pelo Instituto Brasileiro de Geografia e Estatística - IBGE. Diante disso, chega-se a um salário mínimo de R$ </w:t>
      </w:r>
      <w:r w:rsidR="0092144C" w:rsidRPr="005432E1">
        <w:rPr>
          <w:rFonts w:asciiTheme="minorHAnsi" w:hAnsiTheme="minorHAnsi"/>
        </w:rPr>
        <w:t>1002,00</w:t>
      </w:r>
      <w:r w:rsidRPr="005432E1">
        <w:rPr>
          <w:rFonts w:asciiTheme="minorHAnsi" w:hAnsiTheme="minorHAnsi"/>
        </w:rPr>
        <w:t xml:space="preserve"> em 201</w:t>
      </w:r>
      <w:r w:rsidR="006B569B" w:rsidRPr="005432E1">
        <w:rPr>
          <w:rFonts w:asciiTheme="minorHAnsi" w:hAnsiTheme="minorHAnsi"/>
        </w:rPr>
        <w:t>9</w:t>
      </w:r>
      <w:r w:rsidR="00903012" w:rsidRPr="005432E1">
        <w:rPr>
          <w:rStyle w:val="Refdenotaderodap"/>
          <w:rFonts w:asciiTheme="minorHAnsi" w:hAnsiTheme="minorHAnsi"/>
        </w:rPr>
        <w:footnoteReference w:id="2"/>
      </w:r>
      <w:r w:rsidR="00903012" w:rsidRPr="005432E1">
        <w:rPr>
          <w:rFonts w:asciiTheme="minorHAnsi" w:hAnsiTheme="minorHAnsi"/>
        </w:rPr>
        <w:t xml:space="preserve"> </w:t>
      </w:r>
      <w:r w:rsidRPr="005432E1">
        <w:rPr>
          <w:rFonts w:asciiTheme="minorHAnsi" w:hAnsiTheme="minorHAnsi"/>
        </w:rPr>
        <w:t>frente ao de R$ 9</w:t>
      </w:r>
      <w:r w:rsidR="00644B6B" w:rsidRPr="005432E1">
        <w:rPr>
          <w:rFonts w:asciiTheme="minorHAnsi" w:hAnsiTheme="minorHAnsi"/>
        </w:rPr>
        <w:t>54</w:t>
      </w:r>
      <w:r w:rsidRPr="005432E1">
        <w:rPr>
          <w:rFonts w:asciiTheme="minorHAnsi" w:hAnsiTheme="minorHAnsi"/>
        </w:rPr>
        <w:t>,00 estabelecido para 201</w:t>
      </w:r>
      <w:r w:rsidR="006B569B" w:rsidRPr="005432E1">
        <w:rPr>
          <w:rFonts w:asciiTheme="minorHAnsi" w:hAnsiTheme="minorHAnsi"/>
        </w:rPr>
        <w:t>8</w:t>
      </w:r>
      <w:r w:rsidRPr="005432E1">
        <w:rPr>
          <w:rFonts w:asciiTheme="minorHAnsi" w:hAnsiTheme="minorHAnsi"/>
        </w:rPr>
        <w:t xml:space="preserve"> pelo Decreto nº </w:t>
      </w:r>
      <w:r w:rsidR="00743960" w:rsidRPr="005432E1">
        <w:rPr>
          <w:rFonts w:asciiTheme="minorHAnsi" w:hAnsiTheme="minorHAnsi"/>
        </w:rPr>
        <w:t>9.255</w:t>
      </w:r>
      <w:r w:rsidR="006B569B" w:rsidRPr="005432E1">
        <w:rPr>
          <w:rFonts w:asciiTheme="minorHAnsi" w:hAnsiTheme="minorHAnsi"/>
        </w:rPr>
        <w:t xml:space="preserve">, de </w:t>
      </w:r>
      <w:r w:rsidR="00743960" w:rsidRPr="005432E1">
        <w:rPr>
          <w:rFonts w:asciiTheme="minorHAnsi" w:hAnsiTheme="minorHAnsi"/>
        </w:rPr>
        <w:t>29</w:t>
      </w:r>
      <w:r w:rsidR="006B569B" w:rsidRPr="005432E1">
        <w:rPr>
          <w:rFonts w:asciiTheme="minorHAnsi" w:hAnsiTheme="minorHAnsi"/>
        </w:rPr>
        <w:t xml:space="preserve"> de </w:t>
      </w:r>
      <w:r w:rsidR="00743960" w:rsidRPr="005432E1">
        <w:rPr>
          <w:rFonts w:asciiTheme="minorHAnsi" w:hAnsiTheme="minorHAnsi"/>
        </w:rPr>
        <w:t>dezembro</w:t>
      </w:r>
      <w:r w:rsidR="006B569B" w:rsidRPr="005432E1">
        <w:rPr>
          <w:rFonts w:asciiTheme="minorHAnsi" w:hAnsiTheme="minorHAnsi"/>
        </w:rPr>
        <w:t xml:space="preserve"> de </w:t>
      </w:r>
      <w:r w:rsidR="00743960" w:rsidRPr="005432E1">
        <w:rPr>
          <w:rFonts w:asciiTheme="minorHAnsi" w:hAnsiTheme="minorHAnsi"/>
        </w:rPr>
        <w:t>2017</w:t>
      </w:r>
      <w:r w:rsidR="006B569B" w:rsidRPr="005432E1">
        <w:rPr>
          <w:rFonts w:asciiTheme="minorHAnsi" w:hAnsiTheme="minorHAnsi"/>
        </w:rPr>
        <w:t>.</w:t>
      </w:r>
    </w:p>
    <w:p w14:paraId="1AB5B5B6" w14:textId="77777777" w:rsidR="00791B44" w:rsidRPr="005432E1" w:rsidRDefault="000A49FA" w:rsidP="006F4AC5">
      <w:pPr>
        <w:pStyle w:val="Recuodecorpodetexto"/>
        <w:rPr>
          <w:rFonts w:asciiTheme="minorHAnsi" w:hAnsiTheme="minorHAnsi"/>
        </w:rPr>
      </w:pPr>
      <w:r w:rsidRPr="005432E1">
        <w:rPr>
          <w:rFonts w:asciiTheme="minorHAnsi" w:hAnsiTheme="minorHAnsi"/>
        </w:rPr>
        <w:t xml:space="preserve">O crescimento vegetativo dos benefícios decorre de estudos das séries históricas. A Tabela 4 mostra os impactos das despesas primárias selecionadas decorrentes da variação de um ponto percentual no INPC. O impacto na variação do INPC está segregado entre os benefícios que recebem até um salário mínimo e aqueles acima deste valor. </w:t>
      </w:r>
    </w:p>
    <w:p w14:paraId="4808B81F" w14:textId="77777777" w:rsidR="00FC0C3A" w:rsidRPr="005432E1" w:rsidRDefault="00FC0C3A" w:rsidP="006F4AC5">
      <w:pPr>
        <w:pStyle w:val="Recuodecorpodetexto"/>
        <w:spacing w:before="0"/>
        <w:ind w:firstLine="0"/>
        <w:jc w:val="left"/>
        <w:rPr>
          <w:rFonts w:asciiTheme="minorHAnsi" w:hAnsiTheme="minorHAnsi"/>
        </w:rPr>
      </w:pPr>
    </w:p>
    <w:p w14:paraId="118C4F29" w14:textId="724901AD" w:rsidR="00E44437" w:rsidRPr="005432E1" w:rsidRDefault="00FC0C3A" w:rsidP="006F4AC5">
      <w:pPr>
        <w:pStyle w:val="Recuodecorpodetexto"/>
        <w:spacing w:before="0"/>
        <w:ind w:firstLine="0"/>
        <w:jc w:val="center"/>
        <w:rPr>
          <w:rFonts w:asciiTheme="minorHAnsi" w:hAnsiTheme="minorHAnsi"/>
          <w:b/>
        </w:rPr>
      </w:pPr>
      <w:r w:rsidRPr="005432E1">
        <w:rPr>
          <w:rFonts w:asciiTheme="minorHAnsi" w:hAnsiTheme="minorHAnsi"/>
          <w:b/>
        </w:rPr>
        <w:t xml:space="preserve">Tabela </w:t>
      </w:r>
      <w:r w:rsidR="003C5A1E" w:rsidRPr="005432E1">
        <w:rPr>
          <w:rFonts w:asciiTheme="minorHAnsi" w:hAnsiTheme="minorHAnsi"/>
          <w:b/>
        </w:rPr>
        <w:t>5</w:t>
      </w:r>
      <w:r w:rsidRPr="005432E1">
        <w:rPr>
          <w:rFonts w:asciiTheme="minorHAnsi" w:hAnsiTheme="minorHAnsi"/>
          <w:b/>
        </w:rPr>
        <w:t xml:space="preserve">: </w:t>
      </w:r>
      <w:r w:rsidR="00C07CDA" w:rsidRPr="005432E1">
        <w:rPr>
          <w:rFonts w:asciiTheme="minorHAnsi" w:hAnsiTheme="minorHAnsi"/>
          <w:b/>
        </w:rPr>
        <w:t xml:space="preserve">Efeito </w:t>
      </w:r>
      <w:r w:rsidR="00FA34A0" w:rsidRPr="005432E1">
        <w:rPr>
          <w:rFonts w:asciiTheme="minorHAnsi" w:hAnsiTheme="minorHAnsi"/>
          <w:b/>
        </w:rPr>
        <w:t>em despesas primárias selecionadas da</w:t>
      </w:r>
      <w:r w:rsidR="00C07CDA" w:rsidRPr="005432E1">
        <w:rPr>
          <w:rFonts w:asciiTheme="minorHAnsi" w:hAnsiTheme="minorHAnsi"/>
          <w:b/>
        </w:rPr>
        <w:t xml:space="preserve"> variação de 1 p.p. em cada parâmetro</w:t>
      </w:r>
    </w:p>
    <w:p w14:paraId="4EC59FD3" w14:textId="77777777" w:rsidR="00C3663F" w:rsidRPr="005432E1" w:rsidRDefault="00C3663F" w:rsidP="006F4AC5">
      <w:pPr>
        <w:pStyle w:val="Recuodecorpodetexto"/>
        <w:spacing w:before="0"/>
        <w:ind w:firstLine="0"/>
        <w:jc w:val="center"/>
        <w:rPr>
          <w:rFonts w:asciiTheme="minorHAnsi" w:hAnsiTheme="minorHAnsi"/>
          <w:b/>
          <w:color w:val="FF0000"/>
        </w:rPr>
      </w:pPr>
    </w:p>
    <w:tbl>
      <w:tblPr>
        <w:tblW w:w="5021" w:type="dxa"/>
        <w:tblInd w:w="1894" w:type="dxa"/>
        <w:tblCellMar>
          <w:left w:w="70" w:type="dxa"/>
          <w:right w:w="70" w:type="dxa"/>
        </w:tblCellMar>
        <w:tblLook w:val="04A0" w:firstRow="1" w:lastRow="0" w:firstColumn="1" w:lastColumn="0" w:noHBand="0" w:noVBand="1"/>
      </w:tblPr>
      <w:tblGrid>
        <w:gridCol w:w="2759"/>
        <w:gridCol w:w="2262"/>
      </w:tblGrid>
      <w:tr w:rsidR="00C3663F" w:rsidRPr="005432E1" w14:paraId="0C99B3D0" w14:textId="77777777" w:rsidTr="00283778">
        <w:trPr>
          <w:trHeight w:val="262"/>
        </w:trPr>
        <w:tc>
          <w:tcPr>
            <w:tcW w:w="27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149E2"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Item</w:t>
            </w:r>
          </w:p>
        </w:tc>
        <w:tc>
          <w:tcPr>
            <w:tcW w:w="2262" w:type="dxa"/>
            <w:tcBorders>
              <w:top w:val="single" w:sz="4" w:space="0" w:color="auto"/>
              <w:left w:val="nil"/>
              <w:bottom w:val="single" w:sz="4" w:space="0" w:color="auto"/>
              <w:right w:val="single" w:sz="4" w:space="0" w:color="auto"/>
            </w:tcBorders>
            <w:shd w:val="clear" w:color="000000" w:fill="FFFFFF"/>
            <w:noWrap/>
            <w:vAlign w:val="center"/>
            <w:hideMark/>
          </w:tcPr>
          <w:p w14:paraId="76CC099D"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INPC</w:t>
            </w:r>
          </w:p>
        </w:tc>
      </w:tr>
      <w:tr w:rsidR="00C3663F" w:rsidRPr="005432E1" w14:paraId="2A1D2895" w14:textId="77777777" w:rsidTr="00283778">
        <w:trPr>
          <w:trHeight w:val="262"/>
        </w:trPr>
        <w:tc>
          <w:tcPr>
            <w:tcW w:w="2759" w:type="dxa"/>
            <w:tcBorders>
              <w:top w:val="nil"/>
              <w:left w:val="single" w:sz="4" w:space="0" w:color="auto"/>
              <w:bottom w:val="nil"/>
              <w:right w:val="single" w:sz="4" w:space="0" w:color="auto"/>
            </w:tcBorders>
            <w:shd w:val="clear" w:color="000000" w:fill="FFFFFF"/>
            <w:noWrap/>
            <w:vAlign w:val="bottom"/>
            <w:hideMark/>
          </w:tcPr>
          <w:p w14:paraId="7F93FC10" w14:textId="77777777" w:rsidR="00C3663F" w:rsidRPr="005432E1" w:rsidRDefault="00C3663F">
            <w:pPr>
              <w:rPr>
                <w:rFonts w:asciiTheme="minorHAnsi" w:hAnsiTheme="minorHAnsi"/>
                <w:sz w:val="22"/>
                <w:szCs w:val="22"/>
              </w:rPr>
            </w:pPr>
            <w:r w:rsidRPr="005432E1">
              <w:rPr>
                <w:rFonts w:asciiTheme="minorHAnsi" w:hAnsiTheme="minorHAnsi"/>
                <w:sz w:val="22"/>
                <w:szCs w:val="22"/>
              </w:rPr>
              <w:t>Despesa Previdenciária</w:t>
            </w:r>
          </w:p>
        </w:tc>
        <w:tc>
          <w:tcPr>
            <w:tcW w:w="2262" w:type="dxa"/>
            <w:tcBorders>
              <w:top w:val="nil"/>
              <w:left w:val="nil"/>
              <w:bottom w:val="nil"/>
              <w:right w:val="single" w:sz="4" w:space="0" w:color="auto"/>
            </w:tcBorders>
            <w:shd w:val="clear" w:color="auto" w:fill="auto"/>
            <w:noWrap/>
            <w:vAlign w:val="center"/>
            <w:hideMark/>
          </w:tcPr>
          <w:p w14:paraId="6B39F948"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0,9%</w:t>
            </w:r>
          </w:p>
        </w:tc>
      </w:tr>
      <w:tr w:rsidR="00C3663F" w:rsidRPr="005432E1" w14:paraId="0EBA84A6" w14:textId="77777777" w:rsidTr="00283778">
        <w:trPr>
          <w:trHeight w:val="262"/>
        </w:trPr>
        <w:tc>
          <w:tcPr>
            <w:tcW w:w="2759" w:type="dxa"/>
            <w:tcBorders>
              <w:top w:val="nil"/>
              <w:left w:val="single" w:sz="4" w:space="0" w:color="auto"/>
              <w:bottom w:val="nil"/>
              <w:right w:val="single" w:sz="4" w:space="0" w:color="auto"/>
            </w:tcBorders>
            <w:shd w:val="clear" w:color="000000" w:fill="FFFFFF"/>
            <w:noWrap/>
            <w:vAlign w:val="bottom"/>
            <w:hideMark/>
          </w:tcPr>
          <w:p w14:paraId="3BAAA57C" w14:textId="77777777" w:rsidR="00C3663F" w:rsidRPr="005432E1" w:rsidRDefault="00C3663F">
            <w:pPr>
              <w:rPr>
                <w:rFonts w:asciiTheme="minorHAnsi" w:hAnsiTheme="minorHAnsi"/>
                <w:sz w:val="22"/>
                <w:szCs w:val="22"/>
              </w:rPr>
            </w:pPr>
            <w:r w:rsidRPr="005432E1">
              <w:rPr>
                <w:rFonts w:asciiTheme="minorHAnsi" w:hAnsiTheme="minorHAnsi"/>
                <w:sz w:val="22"/>
                <w:szCs w:val="22"/>
              </w:rPr>
              <w:t>RMV</w:t>
            </w:r>
          </w:p>
        </w:tc>
        <w:tc>
          <w:tcPr>
            <w:tcW w:w="2262" w:type="dxa"/>
            <w:tcBorders>
              <w:top w:val="nil"/>
              <w:left w:val="nil"/>
              <w:bottom w:val="nil"/>
              <w:right w:val="single" w:sz="4" w:space="0" w:color="auto"/>
            </w:tcBorders>
            <w:shd w:val="clear" w:color="auto" w:fill="auto"/>
            <w:noWrap/>
            <w:vAlign w:val="center"/>
            <w:hideMark/>
          </w:tcPr>
          <w:p w14:paraId="1C9B5938"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0,9%</w:t>
            </w:r>
          </w:p>
        </w:tc>
      </w:tr>
      <w:tr w:rsidR="00C3663F" w:rsidRPr="005432E1" w14:paraId="66B70C2E" w14:textId="77777777" w:rsidTr="00283778">
        <w:trPr>
          <w:trHeight w:val="262"/>
        </w:trPr>
        <w:tc>
          <w:tcPr>
            <w:tcW w:w="2759" w:type="dxa"/>
            <w:tcBorders>
              <w:top w:val="nil"/>
              <w:left w:val="single" w:sz="4" w:space="0" w:color="auto"/>
              <w:bottom w:val="nil"/>
              <w:right w:val="single" w:sz="4" w:space="0" w:color="auto"/>
            </w:tcBorders>
            <w:shd w:val="clear" w:color="000000" w:fill="FFFFFF"/>
            <w:noWrap/>
            <w:vAlign w:val="bottom"/>
            <w:hideMark/>
          </w:tcPr>
          <w:p w14:paraId="247F9CD6" w14:textId="77777777" w:rsidR="00C3663F" w:rsidRPr="005432E1" w:rsidRDefault="00C3663F">
            <w:pPr>
              <w:rPr>
                <w:rFonts w:asciiTheme="minorHAnsi" w:hAnsiTheme="minorHAnsi"/>
                <w:sz w:val="22"/>
                <w:szCs w:val="22"/>
              </w:rPr>
            </w:pPr>
            <w:r w:rsidRPr="005432E1">
              <w:rPr>
                <w:rFonts w:asciiTheme="minorHAnsi" w:hAnsiTheme="minorHAnsi"/>
                <w:sz w:val="22"/>
                <w:szCs w:val="22"/>
              </w:rPr>
              <w:t xml:space="preserve">LOAS </w:t>
            </w:r>
          </w:p>
        </w:tc>
        <w:tc>
          <w:tcPr>
            <w:tcW w:w="2262" w:type="dxa"/>
            <w:tcBorders>
              <w:top w:val="nil"/>
              <w:left w:val="nil"/>
              <w:bottom w:val="nil"/>
              <w:right w:val="single" w:sz="4" w:space="0" w:color="auto"/>
            </w:tcBorders>
            <w:shd w:val="clear" w:color="auto" w:fill="auto"/>
            <w:noWrap/>
            <w:vAlign w:val="center"/>
            <w:hideMark/>
          </w:tcPr>
          <w:p w14:paraId="4EB090FD"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0,9%</w:t>
            </w:r>
          </w:p>
        </w:tc>
      </w:tr>
      <w:tr w:rsidR="00C3663F" w:rsidRPr="005432E1" w14:paraId="5952F9DF" w14:textId="77777777" w:rsidTr="00283778">
        <w:trPr>
          <w:trHeight w:val="262"/>
        </w:trPr>
        <w:tc>
          <w:tcPr>
            <w:tcW w:w="2759" w:type="dxa"/>
            <w:tcBorders>
              <w:top w:val="nil"/>
              <w:left w:val="single" w:sz="4" w:space="0" w:color="auto"/>
              <w:bottom w:val="nil"/>
              <w:right w:val="single" w:sz="4" w:space="0" w:color="auto"/>
            </w:tcBorders>
            <w:shd w:val="clear" w:color="000000" w:fill="FFFFFF"/>
            <w:noWrap/>
            <w:vAlign w:val="bottom"/>
            <w:hideMark/>
          </w:tcPr>
          <w:p w14:paraId="175B2B7D" w14:textId="77777777" w:rsidR="00C3663F" w:rsidRPr="005432E1" w:rsidRDefault="00C3663F">
            <w:pPr>
              <w:rPr>
                <w:rFonts w:asciiTheme="minorHAnsi" w:hAnsiTheme="minorHAnsi"/>
                <w:sz w:val="22"/>
                <w:szCs w:val="22"/>
              </w:rPr>
            </w:pPr>
            <w:r w:rsidRPr="005432E1">
              <w:rPr>
                <w:rFonts w:asciiTheme="minorHAnsi" w:hAnsiTheme="minorHAnsi"/>
                <w:sz w:val="22"/>
                <w:szCs w:val="22"/>
              </w:rPr>
              <w:t>Abono Salarial</w:t>
            </w:r>
          </w:p>
        </w:tc>
        <w:tc>
          <w:tcPr>
            <w:tcW w:w="2262" w:type="dxa"/>
            <w:tcBorders>
              <w:top w:val="nil"/>
              <w:left w:val="nil"/>
              <w:bottom w:val="nil"/>
              <w:right w:val="single" w:sz="4" w:space="0" w:color="auto"/>
            </w:tcBorders>
            <w:shd w:val="clear" w:color="auto" w:fill="auto"/>
            <w:noWrap/>
            <w:vAlign w:val="center"/>
            <w:hideMark/>
          </w:tcPr>
          <w:p w14:paraId="1FA007AB"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1,0%</w:t>
            </w:r>
          </w:p>
        </w:tc>
      </w:tr>
      <w:tr w:rsidR="00C3663F" w:rsidRPr="005432E1" w14:paraId="27502666" w14:textId="77777777" w:rsidTr="00283778">
        <w:trPr>
          <w:trHeight w:val="262"/>
        </w:trPr>
        <w:tc>
          <w:tcPr>
            <w:tcW w:w="2759" w:type="dxa"/>
            <w:tcBorders>
              <w:top w:val="nil"/>
              <w:left w:val="single" w:sz="4" w:space="0" w:color="auto"/>
              <w:bottom w:val="single" w:sz="4" w:space="0" w:color="auto"/>
              <w:right w:val="single" w:sz="4" w:space="0" w:color="auto"/>
            </w:tcBorders>
            <w:shd w:val="clear" w:color="000000" w:fill="FFFFFF"/>
            <w:noWrap/>
            <w:vAlign w:val="bottom"/>
            <w:hideMark/>
          </w:tcPr>
          <w:p w14:paraId="5F48B62D" w14:textId="77777777" w:rsidR="00C3663F" w:rsidRPr="005432E1" w:rsidRDefault="00C3663F">
            <w:pPr>
              <w:rPr>
                <w:rFonts w:asciiTheme="minorHAnsi" w:hAnsiTheme="minorHAnsi"/>
                <w:sz w:val="22"/>
                <w:szCs w:val="22"/>
              </w:rPr>
            </w:pPr>
            <w:r w:rsidRPr="005432E1">
              <w:rPr>
                <w:rFonts w:asciiTheme="minorHAnsi" w:hAnsiTheme="minorHAnsi"/>
                <w:sz w:val="22"/>
                <w:szCs w:val="22"/>
              </w:rPr>
              <w:t>Seguro-Desemprego</w:t>
            </w:r>
          </w:p>
        </w:tc>
        <w:tc>
          <w:tcPr>
            <w:tcW w:w="2262" w:type="dxa"/>
            <w:tcBorders>
              <w:top w:val="nil"/>
              <w:left w:val="nil"/>
              <w:bottom w:val="single" w:sz="4" w:space="0" w:color="auto"/>
              <w:right w:val="single" w:sz="4" w:space="0" w:color="auto"/>
            </w:tcBorders>
            <w:shd w:val="clear" w:color="auto" w:fill="auto"/>
            <w:noWrap/>
            <w:vAlign w:val="center"/>
            <w:hideMark/>
          </w:tcPr>
          <w:p w14:paraId="0381D835" w14:textId="77777777" w:rsidR="00C3663F" w:rsidRPr="005432E1" w:rsidRDefault="00C3663F">
            <w:pPr>
              <w:jc w:val="center"/>
              <w:rPr>
                <w:rFonts w:asciiTheme="minorHAnsi" w:hAnsiTheme="minorHAnsi"/>
                <w:sz w:val="22"/>
                <w:szCs w:val="22"/>
              </w:rPr>
            </w:pPr>
            <w:r w:rsidRPr="005432E1">
              <w:rPr>
                <w:rFonts w:asciiTheme="minorHAnsi" w:hAnsiTheme="minorHAnsi"/>
                <w:sz w:val="22"/>
                <w:szCs w:val="22"/>
              </w:rPr>
              <w:t>0,7%</w:t>
            </w:r>
          </w:p>
        </w:tc>
      </w:tr>
    </w:tbl>
    <w:p w14:paraId="48DDD2EC" w14:textId="77777777" w:rsidR="0041703B" w:rsidRPr="005432E1" w:rsidRDefault="00324A81" w:rsidP="006F4AC5">
      <w:pPr>
        <w:ind w:firstLine="708"/>
        <w:rPr>
          <w:rFonts w:asciiTheme="minorHAnsi" w:hAnsiTheme="minorHAnsi"/>
          <w:sz w:val="18"/>
          <w:szCs w:val="18"/>
        </w:rPr>
      </w:pPr>
      <w:r w:rsidRPr="005432E1">
        <w:rPr>
          <w:rFonts w:asciiTheme="minorHAnsi" w:hAnsiTheme="minorHAnsi"/>
          <w:color w:val="FF0000"/>
          <w:sz w:val="18"/>
          <w:szCs w:val="18"/>
        </w:rPr>
        <w:tab/>
      </w:r>
      <w:r w:rsidRPr="005432E1">
        <w:rPr>
          <w:rFonts w:asciiTheme="minorHAnsi" w:hAnsiTheme="minorHAnsi"/>
          <w:color w:val="FF0000"/>
          <w:sz w:val="18"/>
          <w:szCs w:val="18"/>
        </w:rPr>
        <w:tab/>
      </w:r>
      <w:r w:rsidR="00E44437" w:rsidRPr="005432E1">
        <w:rPr>
          <w:rFonts w:asciiTheme="minorHAnsi" w:hAnsiTheme="minorHAnsi"/>
          <w:sz w:val="18"/>
          <w:szCs w:val="18"/>
        </w:rPr>
        <w:t xml:space="preserve">               </w:t>
      </w:r>
      <w:r w:rsidR="0041703B" w:rsidRPr="005432E1">
        <w:rPr>
          <w:rFonts w:asciiTheme="minorHAnsi" w:hAnsiTheme="minorHAnsi"/>
          <w:sz w:val="18"/>
          <w:szCs w:val="18"/>
        </w:rPr>
        <w:t xml:space="preserve">Fonte: </w:t>
      </w:r>
      <w:r w:rsidR="004C69BC" w:rsidRPr="005432E1">
        <w:rPr>
          <w:rFonts w:asciiTheme="minorHAnsi" w:hAnsiTheme="minorHAnsi"/>
          <w:sz w:val="18"/>
          <w:szCs w:val="18"/>
        </w:rPr>
        <w:t>SOF</w:t>
      </w:r>
      <w:r w:rsidR="0041703B" w:rsidRPr="005432E1">
        <w:rPr>
          <w:rFonts w:asciiTheme="minorHAnsi" w:hAnsiTheme="minorHAnsi"/>
          <w:sz w:val="18"/>
          <w:szCs w:val="18"/>
        </w:rPr>
        <w:t>/</w:t>
      </w:r>
      <w:r w:rsidR="004C69BC" w:rsidRPr="005432E1">
        <w:rPr>
          <w:rFonts w:asciiTheme="minorHAnsi" w:hAnsiTheme="minorHAnsi"/>
          <w:sz w:val="18"/>
          <w:szCs w:val="18"/>
        </w:rPr>
        <w:t>MP</w:t>
      </w:r>
      <w:r w:rsidR="0041703B" w:rsidRPr="005432E1">
        <w:rPr>
          <w:rFonts w:asciiTheme="minorHAnsi" w:hAnsiTheme="minorHAnsi"/>
          <w:sz w:val="18"/>
          <w:szCs w:val="18"/>
        </w:rPr>
        <w:t>.</w:t>
      </w:r>
    </w:p>
    <w:p w14:paraId="00F18699" w14:textId="77777777" w:rsidR="0041703B" w:rsidRPr="005432E1" w:rsidRDefault="0041703B" w:rsidP="006F4AC5">
      <w:pPr>
        <w:pStyle w:val="Recuodecorpodetexto"/>
        <w:spacing w:before="0"/>
        <w:ind w:firstLine="0"/>
        <w:jc w:val="center"/>
        <w:rPr>
          <w:rFonts w:asciiTheme="minorHAnsi" w:hAnsiTheme="minorHAnsi"/>
          <w:highlight w:val="yellow"/>
        </w:rPr>
      </w:pPr>
    </w:p>
    <w:p w14:paraId="4CC54D69" w14:textId="75D247F3" w:rsidR="0061157B" w:rsidRPr="005432E1" w:rsidRDefault="00B565D3" w:rsidP="006F4AC5">
      <w:pPr>
        <w:pStyle w:val="Corpodetexto3"/>
        <w:spacing w:line="240" w:lineRule="auto"/>
        <w:ind w:firstLine="709"/>
        <w:rPr>
          <w:rFonts w:asciiTheme="minorHAnsi" w:hAnsiTheme="minorHAnsi"/>
        </w:rPr>
      </w:pPr>
      <w:r w:rsidRPr="005432E1">
        <w:rPr>
          <w:rFonts w:asciiTheme="minorHAnsi" w:hAnsiTheme="minorHAnsi"/>
        </w:rPr>
        <w:t>Na</w:t>
      </w:r>
      <w:r w:rsidR="00791B44" w:rsidRPr="005432E1">
        <w:rPr>
          <w:rFonts w:asciiTheme="minorHAnsi" w:hAnsiTheme="minorHAnsi"/>
        </w:rPr>
        <w:t xml:space="preserve"> Tabela </w:t>
      </w:r>
      <w:r w:rsidR="003C5A1E" w:rsidRPr="005432E1">
        <w:rPr>
          <w:rFonts w:asciiTheme="minorHAnsi" w:hAnsiTheme="minorHAnsi"/>
        </w:rPr>
        <w:t>6</w:t>
      </w:r>
      <w:r w:rsidR="0061157B" w:rsidRPr="005432E1">
        <w:rPr>
          <w:rFonts w:asciiTheme="minorHAnsi" w:hAnsiTheme="minorHAnsi"/>
        </w:rPr>
        <w:t>,</w:t>
      </w:r>
      <w:r w:rsidR="00FA34A0" w:rsidRPr="005432E1">
        <w:rPr>
          <w:rFonts w:asciiTheme="minorHAnsi" w:hAnsiTheme="minorHAnsi"/>
        </w:rPr>
        <w:t xml:space="preserve"> </w:t>
      </w:r>
      <w:r w:rsidR="0061157B" w:rsidRPr="005432E1">
        <w:rPr>
          <w:rFonts w:asciiTheme="minorHAnsi" w:hAnsiTheme="minorHAnsi"/>
        </w:rPr>
        <w:t xml:space="preserve">a </w:t>
      </w:r>
      <w:r w:rsidR="00F64B43" w:rsidRPr="005432E1">
        <w:rPr>
          <w:rFonts w:asciiTheme="minorHAnsi" w:hAnsiTheme="minorHAnsi"/>
        </w:rPr>
        <w:t xml:space="preserve">sensibilidade </w:t>
      </w:r>
      <w:r w:rsidR="00FA34A0" w:rsidRPr="005432E1">
        <w:rPr>
          <w:rFonts w:asciiTheme="minorHAnsi" w:hAnsiTheme="minorHAnsi"/>
        </w:rPr>
        <w:t xml:space="preserve">das </w:t>
      </w:r>
      <w:r w:rsidR="0061157B" w:rsidRPr="005432E1">
        <w:rPr>
          <w:rFonts w:asciiTheme="minorHAnsi" w:hAnsiTheme="minorHAnsi"/>
        </w:rPr>
        <w:t xml:space="preserve">despesas </w:t>
      </w:r>
      <w:r w:rsidR="001B0B7D" w:rsidRPr="005432E1">
        <w:rPr>
          <w:rFonts w:asciiTheme="minorHAnsi" w:hAnsiTheme="minorHAnsi"/>
        </w:rPr>
        <w:t>é</w:t>
      </w:r>
      <w:r w:rsidR="0061157B" w:rsidRPr="005432E1">
        <w:rPr>
          <w:rFonts w:asciiTheme="minorHAnsi" w:hAnsiTheme="minorHAnsi"/>
        </w:rPr>
        <w:t xml:space="preserve"> mostrada em termos de milhões de reais em resposta à variação de R$ 1 real no salário mínimo ou de 0,1 p.p. no Índice Nacional de Preços ao Consumidor – INPC.</w:t>
      </w:r>
      <w:r w:rsidR="00EA375C" w:rsidRPr="005432E1">
        <w:rPr>
          <w:rFonts w:asciiTheme="minorHAnsi" w:hAnsiTheme="minorHAnsi"/>
        </w:rPr>
        <w:t xml:space="preserve"> Conforme se pode observar, cada um real </w:t>
      </w:r>
      <w:r w:rsidR="00B61281" w:rsidRPr="005432E1">
        <w:rPr>
          <w:rFonts w:asciiTheme="minorHAnsi" w:hAnsiTheme="minorHAnsi"/>
        </w:rPr>
        <w:t>de aumento no salário mínimo gera um</w:t>
      </w:r>
      <w:r w:rsidR="00721CDE" w:rsidRPr="005432E1">
        <w:rPr>
          <w:rFonts w:asciiTheme="minorHAnsi" w:hAnsiTheme="minorHAnsi"/>
        </w:rPr>
        <w:t xml:space="preserve"> incremento</w:t>
      </w:r>
      <w:r w:rsidR="00B61281" w:rsidRPr="005432E1">
        <w:rPr>
          <w:rFonts w:asciiTheme="minorHAnsi" w:hAnsiTheme="minorHAnsi"/>
        </w:rPr>
        <w:t xml:space="preserve"> de R$</w:t>
      </w:r>
      <w:r w:rsidR="00536137" w:rsidRPr="005432E1">
        <w:rPr>
          <w:rFonts w:asciiTheme="minorHAnsi" w:hAnsiTheme="minorHAnsi"/>
        </w:rPr>
        <w:t xml:space="preserve"> </w:t>
      </w:r>
      <w:r w:rsidR="00B61281" w:rsidRPr="005432E1">
        <w:rPr>
          <w:rFonts w:asciiTheme="minorHAnsi" w:hAnsiTheme="minorHAnsi"/>
        </w:rPr>
        <w:t>30</w:t>
      </w:r>
      <w:r w:rsidR="00AB6099" w:rsidRPr="005432E1">
        <w:rPr>
          <w:rFonts w:asciiTheme="minorHAnsi" w:hAnsiTheme="minorHAnsi"/>
        </w:rPr>
        <w:t>3</w:t>
      </w:r>
      <w:r w:rsidR="00B61281" w:rsidRPr="005432E1">
        <w:rPr>
          <w:rFonts w:asciiTheme="minorHAnsi" w:hAnsiTheme="minorHAnsi"/>
        </w:rPr>
        <w:t>,</w:t>
      </w:r>
      <w:r w:rsidR="00AB6099" w:rsidRPr="005432E1">
        <w:rPr>
          <w:rFonts w:asciiTheme="minorHAnsi" w:hAnsiTheme="minorHAnsi"/>
        </w:rPr>
        <w:t>9</w:t>
      </w:r>
      <w:r w:rsidR="00B61281" w:rsidRPr="005432E1">
        <w:rPr>
          <w:rFonts w:asciiTheme="minorHAnsi" w:hAnsiTheme="minorHAnsi"/>
        </w:rPr>
        <w:t xml:space="preserve"> milhões</w:t>
      </w:r>
      <w:r w:rsidR="004756B1" w:rsidRPr="005432E1">
        <w:rPr>
          <w:rFonts w:asciiTheme="minorHAnsi" w:hAnsiTheme="minorHAnsi"/>
        </w:rPr>
        <w:t xml:space="preserve"> ao ano</w:t>
      </w:r>
      <w:r w:rsidR="00B61281" w:rsidRPr="005432E1">
        <w:rPr>
          <w:rFonts w:asciiTheme="minorHAnsi" w:hAnsiTheme="minorHAnsi"/>
        </w:rPr>
        <w:t xml:space="preserve"> </w:t>
      </w:r>
      <w:r w:rsidR="006C29F3" w:rsidRPr="005432E1">
        <w:rPr>
          <w:rFonts w:asciiTheme="minorHAnsi" w:hAnsiTheme="minorHAnsi"/>
        </w:rPr>
        <w:t>nas despesas do governo. Por seu turno, a inflaç</w:t>
      </w:r>
      <w:r w:rsidR="00421F53" w:rsidRPr="005432E1">
        <w:rPr>
          <w:rFonts w:asciiTheme="minorHAnsi" w:hAnsiTheme="minorHAnsi"/>
        </w:rPr>
        <w:t>ão afeta o reajuste de um número</w:t>
      </w:r>
      <w:r w:rsidR="004756B1" w:rsidRPr="005432E1">
        <w:rPr>
          <w:rFonts w:asciiTheme="minorHAnsi" w:hAnsiTheme="minorHAnsi"/>
        </w:rPr>
        <w:t xml:space="preserve"> maior</w:t>
      </w:r>
      <w:r w:rsidR="00421F53" w:rsidRPr="005432E1">
        <w:rPr>
          <w:rFonts w:asciiTheme="minorHAnsi" w:hAnsiTheme="minorHAnsi"/>
        </w:rPr>
        <w:t xml:space="preserve"> de beneficiários</w:t>
      </w:r>
      <w:r w:rsidR="00721CDE" w:rsidRPr="005432E1">
        <w:rPr>
          <w:rFonts w:asciiTheme="minorHAnsi" w:hAnsiTheme="minorHAnsi"/>
        </w:rPr>
        <w:t>, gerando um acréscimo</w:t>
      </w:r>
      <w:r w:rsidR="00421F53" w:rsidRPr="005432E1">
        <w:rPr>
          <w:rFonts w:asciiTheme="minorHAnsi" w:hAnsiTheme="minorHAnsi"/>
        </w:rPr>
        <w:t xml:space="preserve"> </w:t>
      </w:r>
      <w:r w:rsidR="00721CDE" w:rsidRPr="005432E1">
        <w:rPr>
          <w:rFonts w:asciiTheme="minorHAnsi" w:hAnsiTheme="minorHAnsi"/>
        </w:rPr>
        <w:t xml:space="preserve">de R$ </w:t>
      </w:r>
      <w:r w:rsidR="00AB6099" w:rsidRPr="005432E1">
        <w:rPr>
          <w:rFonts w:asciiTheme="minorHAnsi" w:hAnsiTheme="minorHAnsi"/>
        </w:rPr>
        <w:t>590,9</w:t>
      </w:r>
      <w:r w:rsidR="00721CDE" w:rsidRPr="005432E1">
        <w:rPr>
          <w:rFonts w:asciiTheme="minorHAnsi" w:hAnsiTheme="minorHAnsi"/>
        </w:rPr>
        <w:t xml:space="preserve"> milhões </w:t>
      </w:r>
      <w:r w:rsidR="004756B1" w:rsidRPr="005432E1">
        <w:rPr>
          <w:rFonts w:asciiTheme="minorHAnsi" w:hAnsiTheme="minorHAnsi"/>
        </w:rPr>
        <w:t>nas contas públicas.</w:t>
      </w:r>
    </w:p>
    <w:p w14:paraId="483786F8" w14:textId="73F594C8" w:rsidR="005432E1" w:rsidRDefault="005432E1">
      <w:pPr>
        <w:rPr>
          <w:rFonts w:asciiTheme="minorHAnsi" w:hAnsiTheme="minorHAnsi"/>
          <w:szCs w:val="20"/>
        </w:rPr>
      </w:pPr>
      <w:r>
        <w:rPr>
          <w:rFonts w:asciiTheme="minorHAnsi" w:hAnsiTheme="minorHAnsi"/>
        </w:rPr>
        <w:br w:type="page"/>
      </w:r>
    </w:p>
    <w:p w14:paraId="2F59BF08" w14:textId="77777777" w:rsidR="003F6E18" w:rsidRPr="005432E1" w:rsidRDefault="003F6E18" w:rsidP="006F4AC5">
      <w:pPr>
        <w:pStyle w:val="Corpodetexto3"/>
        <w:spacing w:line="240" w:lineRule="auto"/>
        <w:ind w:firstLine="709"/>
        <w:rPr>
          <w:rFonts w:asciiTheme="minorHAnsi" w:hAnsiTheme="minorHAnsi"/>
        </w:rPr>
      </w:pPr>
    </w:p>
    <w:p w14:paraId="1541A486" w14:textId="1F1F2A18" w:rsidR="00F57BA1" w:rsidRPr="005432E1" w:rsidRDefault="00F57BA1" w:rsidP="00283778">
      <w:pPr>
        <w:rPr>
          <w:rFonts w:asciiTheme="minorHAnsi" w:hAnsiTheme="minorHAnsi"/>
          <w:b/>
        </w:rPr>
      </w:pPr>
      <w:r w:rsidRPr="005432E1">
        <w:rPr>
          <w:rFonts w:asciiTheme="minorHAnsi" w:hAnsiTheme="minorHAnsi"/>
          <w:b/>
        </w:rPr>
        <w:t xml:space="preserve">Tabela </w:t>
      </w:r>
      <w:r w:rsidR="003C5A1E" w:rsidRPr="005432E1">
        <w:rPr>
          <w:rFonts w:asciiTheme="minorHAnsi" w:hAnsiTheme="minorHAnsi"/>
          <w:b/>
        </w:rPr>
        <w:t>6</w:t>
      </w:r>
      <w:r w:rsidRPr="005432E1">
        <w:rPr>
          <w:rFonts w:asciiTheme="minorHAnsi" w:hAnsiTheme="minorHAnsi"/>
          <w:b/>
        </w:rPr>
        <w:t>: Efeito nas despesas primárias selecionadas em resposta à variação de R$ 1 real no salário mínimo ou de 0,1 p.p. no Índice Nacional de Preços ao Consumidor – INPC</w:t>
      </w:r>
      <w:r w:rsidRPr="005432E1" w:rsidDel="00B7527C">
        <w:rPr>
          <w:rFonts w:asciiTheme="minorHAnsi" w:hAnsiTheme="minorHAnsi"/>
          <w:b/>
        </w:rPr>
        <w:t xml:space="preserve"> </w:t>
      </w:r>
    </w:p>
    <w:p w14:paraId="125166A6" w14:textId="77777777" w:rsidR="00C941C6" w:rsidRPr="005432E1" w:rsidRDefault="00C941C6" w:rsidP="00F57BA1">
      <w:pPr>
        <w:pStyle w:val="Recuodecorpodetexto"/>
        <w:spacing w:before="0"/>
        <w:ind w:firstLine="0"/>
        <w:jc w:val="center"/>
        <w:rPr>
          <w:rFonts w:asciiTheme="minorHAnsi" w:hAnsiTheme="minorHAnsi"/>
          <w:b/>
          <w:color w:val="FF0000"/>
        </w:rPr>
      </w:pPr>
    </w:p>
    <w:p w14:paraId="57DBAA19" w14:textId="77777777" w:rsidR="00C941C6" w:rsidRPr="005432E1" w:rsidRDefault="00C941C6" w:rsidP="00F57BA1">
      <w:pPr>
        <w:pStyle w:val="Recuodecorpodetexto"/>
        <w:spacing w:before="0"/>
        <w:ind w:firstLine="0"/>
        <w:jc w:val="center"/>
        <w:rPr>
          <w:rFonts w:asciiTheme="minorHAnsi" w:hAnsiTheme="minorHAnsi"/>
          <w:b/>
          <w:color w:val="FF0000"/>
        </w:rPr>
      </w:pPr>
      <w:r w:rsidRPr="005432E1">
        <w:rPr>
          <w:rFonts w:asciiTheme="minorHAnsi" w:hAnsiTheme="minorHAnsi"/>
          <w:noProof/>
        </w:rPr>
        <w:drawing>
          <wp:inline distT="0" distB="0" distL="0" distR="0" wp14:anchorId="524BAAFF" wp14:editId="3BEBD70C">
            <wp:extent cx="4985468" cy="3476709"/>
            <wp:effectExtent l="0" t="0" r="571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336" cy="3503117"/>
                    </a:xfrm>
                    <a:prstGeom prst="rect">
                      <a:avLst/>
                    </a:prstGeom>
                    <a:noFill/>
                    <a:ln>
                      <a:noFill/>
                    </a:ln>
                  </pic:spPr>
                </pic:pic>
              </a:graphicData>
            </a:graphic>
          </wp:inline>
        </w:drawing>
      </w:r>
    </w:p>
    <w:p w14:paraId="211958FA" w14:textId="679A89E1" w:rsidR="001B148A" w:rsidRPr="005432E1" w:rsidRDefault="00C941C6" w:rsidP="006F4AC5">
      <w:pPr>
        <w:rPr>
          <w:rFonts w:asciiTheme="minorHAnsi" w:hAnsiTheme="minorHAnsi"/>
          <w:sz w:val="18"/>
          <w:szCs w:val="18"/>
        </w:rPr>
      </w:pPr>
      <w:r w:rsidRPr="005432E1">
        <w:rPr>
          <w:rFonts w:asciiTheme="minorHAnsi" w:hAnsiTheme="minorHAnsi"/>
          <w:sz w:val="22"/>
          <w:szCs w:val="22"/>
        </w:rPr>
        <w:t xml:space="preserve"> </w:t>
      </w:r>
      <w:r w:rsidR="00DD7575" w:rsidRPr="005432E1">
        <w:rPr>
          <w:rFonts w:asciiTheme="minorHAnsi" w:hAnsiTheme="minorHAnsi"/>
          <w:sz w:val="22"/>
          <w:szCs w:val="22"/>
        </w:rPr>
        <w:t xml:space="preserve">         </w:t>
      </w:r>
      <w:r w:rsidR="00141D58" w:rsidRPr="005432E1">
        <w:rPr>
          <w:rFonts w:asciiTheme="minorHAnsi" w:hAnsiTheme="minorHAnsi"/>
          <w:sz w:val="22"/>
          <w:szCs w:val="22"/>
        </w:rPr>
        <w:t xml:space="preserve">   </w:t>
      </w:r>
      <w:r w:rsidR="00DD7575" w:rsidRPr="005432E1">
        <w:rPr>
          <w:rFonts w:asciiTheme="minorHAnsi" w:hAnsiTheme="minorHAnsi"/>
          <w:sz w:val="22"/>
          <w:szCs w:val="22"/>
        </w:rPr>
        <w:t xml:space="preserve"> </w:t>
      </w:r>
      <w:r w:rsidR="001B148A" w:rsidRPr="005432E1">
        <w:rPr>
          <w:rFonts w:asciiTheme="minorHAnsi" w:hAnsiTheme="minorHAnsi"/>
          <w:sz w:val="18"/>
          <w:szCs w:val="18"/>
        </w:rPr>
        <w:t>Fonte: SOF/MP.</w:t>
      </w:r>
    </w:p>
    <w:p w14:paraId="647724C4" w14:textId="77777777" w:rsidR="0061157B" w:rsidRPr="005432E1" w:rsidRDefault="0061157B" w:rsidP="006F4AC5">
      <w:pPr>
        <w:pStyle w:val="Corpodetexto3"/>
        <w:spacing w:line="240" w:lineRule="auto"/>
        <w:ind w:firstLine="709"/>
        <w:rPr>
          <w:rFonts w:asciiTheme="minorHAnsi" w:hAnsiTheme="minorHAnsi"/>
        </w:rPr>
      </w:pPr>
    </w:p>
    <w:p w14:paraId="20C69DC7" w14:textId="77777777" w:rsidR="00FC0C3A" w:rsidRPr="005432E1" w:rsidRDefault="00FC0C3A" w:rsidP="006F4AC5">
      <w:pPr>
        <w:pStyle w:val="Corpodetexto3"/>
        <w:spacing w:line="240" w:lineRule="auto"/>
        <w:ind w:firstLine="709"/>
        <w:rPr>
          <w:rFonts w:asciiTheme="minorHAnsi" w:hAnsiTheme="minorHAnsi"/>
        </w:rPr>
      </w:pPr>
      <w:r w:rsidRPr="005432E1">
        <w:rPr>
          <w:rFonts w:asciiTheme="minorHAnsi" w:hAnsiTheme="minorHAnsi"/>
        </w:rPr>
        <w:t xml:space="preserve">Embora o uso do crescimento vegetativo dos benefícios sociais para estimação das despesas seja razoavelmente confiável para </w:t>
      </w:r>
      <w:r w:rsidR="004B7A8F" w:rsidRPr="005432E1">
        <w:rPr>
          <w:rFonts w:asciiTheme="minorHAnsi" w:hAnsiTheme="minorHAnsi"/>
        </w:rPr>
        <w:t xml:space="preserve">as </w:t>
      </w:r>
      <w:r w:rsidRPr="005432E1">
        <w:rPr>
          <w:rFonts w:asciiTheme="minorHAnsi" w:hAnsiTheme="minorHAnsi"/>
        </w:rPr>
        <w:t>análises de curto prazo, há riscos não negligenciáveis de médio prazo decorrentes do aumento das despesas associadas a variáveis institucionais e estruturais que nem sempre estão sob controle do Governo. O caso do Benefício de Prestação Continuada</w:t>
      </w:r>
      <w:r w:rsidRPr="005432E1">
        <w:rPr>
          <w:rStyle w:val="Refdenotaderodap"/>
          <w:rFonts w:asciiTheme="minorHAnsi" w:hAnsiTheme="minorHAnsi"/>
        </w:rPr>
        <w:footnoteReference w:id="3"/>
      </w:r>
      <w:r w:rsidRPr="005432E1">
        <w:rPr>
          <w:rFonts w:asciiTheme="minorHAnsi" w:hAnsiTheme="minorHAnsi"/>
        </w:rPr>
        <w:t xml:space="preserve"> é ilustrativo. Nele, os potenciais efeitos nos gastos oriundos da transformação demográfica, por exemplo, são significativos, o que sugere a necessidade de maior atenção para esse aspecto. </w:t>
      </w:r>
    </w:p>
    <w:p w14:paraId="7E9FA5FE" w14:textId="77777777" w:rsidR="002D2FBD" w:rsidRPr="005432E1" w:rsidRDefault="00FC0C3A" w:rsidP="006F4AC5">
      <w:pPr>
        <w:spacing w:before="120" w:after="120"/>
        <w:ind w:firstLine="708"/>
        <w:jc w:val="both"/>
        <w:rPr>
          <w:rStyle w:val="apple-style-span"/>
          <w:rFonts w:asciiTheme="minorHAnsi" w:hAnsiTheme="minorHAnsi"/>
          <w:color w:val="000000"/>
        </w:rPr>
      </w:pPr>
      <w:r w:rsidRPr="005432E1">
        <w:rPr>
          <w:rStyle w:val="apple-style-span"/>
          <w:rFonts w:asciiTheme="minorHAnsi" w:hAnsiTheme="minorHAnsi"/>
          <w:color w:val="000000"/>
        </w:rPr>
        <w:t>O envelhecimento da população brasileira e o aumento da expectativa de sobrevida, aliados ao aumento anual do salário mínimo superior ao aumento da renda média sugerem que as despesas com o BPC deverão aumentar substancialmente no futuro próximo.</w:t>
      </w:r>
    </w:p>
    <w:p w14:paraId="4DB00526" w14:textId="77777777" w:rsidR="002D2FBD" w:rsidRPr="005432E1" w:rsidRDefault="002D2FBD">
      <w:pPr>
        <w:rPr>
          <w:rStyle w:val="apple-style-span"/>
          <w:rFonts w:asciiTheme="minorHAnsi" w:hAnsiTheme="minorHAnsi"/>
          <w:color w:val="000000"/>
        </w:rPr>
      </w:pPr>
    </w:p>
    <w:p w14:paraId="74C250A7" w14:textId="77777777" w:rsidR="00920ABB" w:rsidRPr="005432E1" w:rsidRDefault="00D963EF" w:rsidP="00367ECE">
      <w:pPr>
        <w:pStyle w:val="Ttulo3"/>
        <w:numPr>
          <w:ilvl w:val="0"/>
          <w:numId w:val="0"/>
        </w:numPr>
        <w:rPr>
          <w:rFonts w:asciiTheme="minorHAnsi" w:hAnsiTheme="minorHAnsi"/>
          <w:b/>
        </w:rPr>
      </w:pPr>
      <w:bookmarkStart w:id="68" w:name="_Toc511230014"/>
      <w:bookmarkStart w:id="69" w:name="_Toc447189114"/>
      <w:bookmarkStart w:id="70" w:name="_Toc447613112"/>
      <w:r w:rsidRPr="005432E1">
        <w:rPr>
          <w:rFonts w:asciiTheme="minorHAnsi" w:hAnsiTheme="minorHAnsi"/>
          <w:b/>
        </w:rPr>
        <w:t xml:space="preserve">2.3 </w:t>
      </w:r>
      <w:r w:rsidRPr="005432E1">
        <w:rPr>
          <w:rFonts w:asciiTheme="minorHAnsi" w:hAnsiTheme="minorHAnsi"/>
          <w:b/>
        </w:rPr>
        <w:tab/>
        <w:t>Sensibilidade da Dívida</w:t>
      </w:r>
      <w:bookmarkEnd w:id="68"/>
    </w:p>
    <w:p w14:paraId="5D9D0C4E" w14:textId="77777777" w:rsidR="002D2FBD" w:rsidRPr="005432E1" w:rsidRDefault="002D2FBD" w:rsidP="002D2FBD">
      <w:pPr>
        <w:rPr>
          <w:rFonts w:asciiTheme="minorHAnsi" w:hAnsiTheme="minorHAnsi"/>
          <w:b/>
        </w:rPr>
      </w:pPr>
      <w:bookmarkStart w:id="71" w:name="_Toc479778247"/>
    </w:p>
    <w:p w14:paraId="6CEDED11" w14:textId="77777777" w:rsidR="00920ABB" w:rsidRPr="005432E1" w:rsidRDefault="00D963EF" w:rsidP="00367ECE">
      <w:pPr>
        <w:pStyle w:val="Ttulo3"/>
        <w:numPr>
          <w:ilvl w:val="0"/>
          <w:numId w:val="0"/>
        </w:numPr>
        <w:rPr>
          <w:rFonts w:asciiTheme="minorHAnsi" w:hAnsiTheme="minorHAnsi"/>
          <w:b/>
        </w:rPr>
      </w:pPr>
      <w:bookmarkStart w:id="72" w:name="_Toc511230015"/>
      <w:r w:rsidRPr="005432E1">
        <w:rPr>
          <w:rFonts w:asciiTheme="minorHAnsi" w:hAnsiTheme="minorHAnsi"/>
          <w:b/>
        </w:rPr>
        <w:t>2.3.1</w:t>
      </w:r>
      <w:r w:rsidRPr="005432E1">
        <w:rPr>
          <w:rFonts w:asciiTheme="minorHAnsi" w:hAnsiTheme="minorHAnsi"/>
          <w:b/>
        </w:rPr>
        <w:tab/>
        <w:t xml:space="preserve"> Riscos da Dívida Pública Federal (Dpf)</w:t>
      </w:r>
      <w:bookmarkEnd w:id="71"/>
      <w:bookmarkEnd w:id="72"/>
    </w:p>
    <w:p w14:paraId="7EAC921E" w14:textId="24E92A13" w:rsidR="00A546E4" w:rsidRPr="005432E1" w:rsidRDefault="00A546E4" w:rsidP="00A546E4">
      <w:pPr>
        <w:spacing w:before="100" w:beforeAutospacing="1" w:after="100" w:afterAutospacing="1"/>
        <w:jc w:val="both"/>
        <w:rPr>
          <w:rFonts w:asciiTheme="minorHAnsi" w:hAnsiTheme="minorHAnsi"/>
        </w:rPr>
      </w:pPr>
      <w:r w:rsidRPr="005432E1">
        <w:rPr>
          <w:rFonts w:asciiTheme="minorHAnsi" w:hAnsiTheme="minorHAnsi"/>
        </w:rPr>
        <w:tab/>
        <w:t>Uma forma de se avaliar o risco de mercado da dívida é estimar a sensibilidade do valor de seu estoque a alterações marginais de variáveis macroeconômicas</w:t>
      </w:r>
      <w:r w:rsidR="003C5A1E" w:rsidRPr="005432E1">
        <w:rPr>
          <w:rStyle w:val="Refdenotaderodap"/>
          <w:rFonts w:asciiTheme="minorHAnsi" w:hAnsiTheme="minorHAnsi"/>
        </w:rPr>
        <w:footnoteReference w:id="4"/>
      </w:r>
      <w:r w:rsidR="00FE473A" w:rsidRPr="005432E1">
        <w:rPr>
          <w:rFonts w:asciiTheme="minorHAnsi" w:hAnsiTheme="minorHAnsi"/>
        </w:rPr>
        <w:t>. Nest</w:t>
      </w:r>
      <w:r w:rsidRPr="005432E1">
        <w:rPr>
          <w:rFonts w:asciiTheme="minorHAnsi" w:hAnsiTheme="minorHAnsi"/>
        </w:rPr>
        <w:t>e caso, para uma melhor análise, toma-se como parâmetro a relação DPF/PIB. Nesse caso, os efeitos de um aumento (redução) de 1% nas taxas de câmbio real/dólar, de inflação e de juros (Selic) podem ser observados na tabela abaixo. Vale destacar que a parcela da dívida cambial ainda remanescente encontra ampla proteção no volume de reservas cambiais do país.</w:t>
      </w:r>
    </w:p>
    <w:p w14:paraId="3D6E8D4C" w14:textId="1FFFE53C" w:rsidR="00920ABB" w:rsidRPr="005432E1" w:rsidRDefault="00920ABB" w:rsidP="006F4AC5">
      <w:pPr>
        <w:spacing w:before="120" w:after="120"/>
        <w:jc w:val="center"/>
        <w:rPr>
          <w:rFonts w:asciiTheme="minorHAnsi" w:hAnsiTheme="minorHAnsi"/>
          <w:b/>
        </w:rPr>
      </w:pPr>
      <w:r w:rsidRPr="005432E1">
        <w:rPr>
          <w:rFonts w:asciiTheme="minorHAnsi" w:hAnsiTheme="minorHAnsi"/>
          <w:b/>
        </w:rPr>
        <w:t xml:space="preserve">Tabela </w:t>
      </w:r>
      <w:r w:rsidR="00F441F1" w:rsidRPr="005432E1">
        <w:rPr>
          <w:rFonts w:asciiTheme="minorHAnsi" w:hAnsiTheme="minorHAnsi"/>
          <w:b/>
        </w:rPr>
        <w:t>7</w:t>
      </w:r>
      <w:r w:rsidRPr="005432E1">
        <w:rPr>
          <w:rFonts w:asciiTheme="minorHAnsi" w:hAnsiTheme="minorHAnsi"/>
          <w:b/>
        </w:rPr>
        <w:t xml:space="preserve"> - Previsões de Sensibilidade do Estoque da DPF a Choques de 1% nas Variáveis Macroeconômicas - % PIB</w:t>
      </w:r>
    </w:p>
    <w:tbl>
      <w:tblPr>
        <w:tblW w:w="594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1047"/>
        <w:gridCol w:w="861"/>
        <w:gridCol w:w="1009"/>
      </w:tblGrid>
      <w:tr w:rsidR="0026114A" w:rsidRPr="005432E1" w14:paraId="100B7435" w14:textId="77777777" w:rsidTr="00475C2B">
        <w:trPr>
          <w:trHeight w:val="233"/>
          <w:tblCellSpacing w:w="0" w:type="dxa"/>
          <w:jc w:val="center"/>
        </w:trPr>
        <w:tc>
          <w:tcPr>
            <w:tcW w:w="2999" w:type="dxa"/>
            <w:tcBorders>
              <w:top w:val="outset" w:sz="6" w:space="0" w:color="auto"/>
              <w:left w:val="outset" w:sz="6" w:space="0" w:color="auto"/>
              <w:bottom w:val="outset" w:sz="6" w:space="0" w:color="auto"/>
              <w:right w:val="outset" w:sz="6" w:space="0" w:color="auto"/>
            </w:tcBorders>
            <w:noWrap/>
            <w:vAlign w:val="center"/>
            <w:hideMark/>
          </w:tcPr>
          <w:p w14:paraId="552F74F3"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Variáveis Macroeconômicas</w:t>
            </w:r>
          </w:p>
        </w:tc>
        <w:tc>
          <w:tcPr>
            <w:tcW w:w="1017" w:type="dxa"/>
            <w:tcBorders>
              <w:top w:val="outset" w:sz="6" w:space="0" w:color="auto"/>
              <w:left w:val="outset" w:sz="6" w:space="0" w:color="auto"/>
              <w:bottom w:val="outset" w:sz="6" w:space="0" w:color="auto"/>
              <w:right w:val="outset" w:sz="6" w:space="0" w:color="auto"/>
            </w:tcBorders>
            <w:noWrap/>
            <w:vAlign w:val="center"/>
            <w:hideMark/>
          </w:tcPr>
          <w:p w14:paraId="18A66E0A"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D82E5B"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2018*</w:t>
            </w:r>
          </w:p>
        </w:tc>
        <w:tc>
          <w:tcPr>
            <w:tcW w:w="979" w:type="dxa"/>
            <w:tcBorders>
              <w:top w:val="outset" w:sz="6" w:space="0" w:color="auto"/>
              <w:left w:val="outset" w:sz="6" w:space="0" w:color="auto"/>
              <w:bottom w:val="outset" w:sz="6" w:space="0" w:color="auto"/>
              <w:right w:val="outset" w:sz="6" w:space="0" w:color="auto"/>
            </w:tcBorders>
            <w:noWrap/>
            <w:vAlign w:val="center"/>
            <w:hideMark/>
          </w:tcPr>
          <w:p w14:paraId="57771FCA"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2019**</w:t>
            </w:r>
          </w:p>
        </w:tc>
      </w:tr>
      <w:tr w:rsidR="0026114A" w:rsidRPr="005432E1" w14:paraId="2FA47952" w14:textId="77777777" w:rsidTr="00475C2B">
        <w:trPr>
          <w:trHeight w:val="233"/>
          <w:tblCellSpacing w:w="0" w:type="dxa"/>
          <w:jc w:val="center"/>
        </w:trPr>
        <w:tc>
          <w:tcPr>
            <w:tcW w:w="2999" w:type="dxa"/>
            <w:tcBorders>
              <w:top w:val="outset" w:sz="6" w:space="0" w:color="auto"/>
              <w:left w:val="outset" w:sz="6" w:space="0" w:color="auto"/>
              <w:bottom w:val="outset" w:sz="6" w:space="0" w:color="auto"/>
              <w:right w:val="outset" w:sz="6" w:space="0" w:color="auto"/>
            </w:tcBorders>
            <w:noWrap/>
            <w:vAlign w:val="center"/>
            <w:hideMark/>
          </w:tcPr>
          <w:p w14:paraId="2275D758"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Câmbio</w:t>
            </w:r>
          </w:p>
        </w:tc>
        <w:tc>
          <w:tcPr>
            <w:tcW w:w="1017" w:type="dxa"/>
            <w:tcBorders>
              <w:top w:val="outset" w:sz="6" w:space="0" w:color="auto"/>
              <w:left w:val="outset" w:sz="6" w:space="0" w:color="auto"/>
              <w:bottom w:val="outset" w:sz="6" w:space="0" w:color="auto"/>
              <w:right w:val="outset" w:sz="6" w:space="0" w:color="auto"/>
            </w:tcBorders>
            <w:noWrap/>
            <w:vAlign w:val="center"/>
            <w:hideMark/>
          </w:tcPr>
          <w:p w14:paraId="1DD30664"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A8DF61"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0,02</w:t>
            </w:r>
          </w:p>
        </w:tc>
        <w:tc>
          <w:tcPr>
            <w:tcW w:w="979" w:type="dxa"/>
            <w:tcBorders>
              <w:top w:val="outset" w:sz="6" w:space="0" w:color="auto"/>
              <w:left w:val="outset" w:sz="6" w:space="0" w:color="auto"/>
              <w:bottom w:val="outset" w:sz="6" w:space="0" w:color="auto"/>
              <w:right w:val="outset" w:sz="6" w:space="0" w:color="auto"/>
            </w:tcBorders>
            <w:noWrap/>
            <w:vAlign w:val="center"/>
            <w:hideMark/>
          </w:tcPr>
          <w:p w14:paraId="408E56CB"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0,02</w:t>
            </w:r>
          </w:p>
        </w:tc>
      </w:tr>
      <w:tr w:rsidR="0026114A" w:rsidRPr="005432E1" w14:paraId="108620B1" w14:textId="77777777" w:rsidTr="00475C2B">
        <w:trPr>
          <w:trHeight w:val="243"/>
          <w:tblCellSpacing w:w="0" w:type="dxa"/>
          <w:jc w:val="center"/>
        </w:trPr>
        <w:tc>
          <w:tcPr>
            <w:tcW w:w="2999" w:type="dxa"/>
            <w:tcBorders>
              <w:top w:val="outset" w:sz="6" w:space="0" w:color="auto"/>
              <w:left w:val="outset" w:sz="6" w:space="0" w:color="auto"/>
              <w:bottom w:val="outset" w:sz="6" w:space="0" w:color="auto"/>
              <w:right w:val="outset" w:sz="6" w:space="0" w:color="auto"/>
            </w:tcBorders>
            <w:noWrap/>
            <w:vAlign w:val="center"/>
            <w:hideMark/>
          </w:tcPr>
          <w:p w14:paraId="53CF14E1"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Inflação</w:t>
            </w:r>
          </w:p>
        </w:tc>
        <w:tc>
          <w:tcPr>
            <w:tcW w:w="1017" w:type="dxa"/>
            <w:tcBorders>
              <w:top w:val="outset" w:sz="6" w:space="0" w:color="auto"/>
              <w:left w:val="outset" w:sz="6" w:space="0" w:color="auto"/>
              <w:bottom w:val="outset" w:sz="6" w:space="0" w:color="auto"/>
              <w:right w:val="outset" w:sz="6" w:space="0" w:color="auto"/>
            </w:tcBorders>
            <w:noWrap/>
            <w:vAlign w:val="center"/>
            <w:hideMark/>
          </w:tcPr>
          <w:p w14:paraId="4A60F0A0"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0,16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3FC11C1"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0,15</w:t>
            </w:r>
          </w:p>
        </w:tc>
        <w:tc>
          <w:tcPr>
            <w:tcW w:w="979" w:type="dxa"/>
            <w:tcBorders>
              <w:top w:val="outset" w:sz="6" w:space="0" w:color="auto"/>
              <w:left w:val="outset" w:sz="6" w:space="0" w:color="auto"/>
              <w:bottom w:val="outset" w:sz="6" w:space="0" w:color="auto"/>
              <w:right w:val="outset" w:sz="6" w:space="0" w:color="auto"/>
            </w:tcBorders>
            <w:noWrap/>
            <w:vAlign w:val="center"/>
            <w:hideMark/>
          </w:tcPr>
          <w:p w14:paraId="7841D49A"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0,15</w:t>
            </w:r>
          </w:p>
        </w:tc>
      </w:tr>
      <w:tr w:rsidR="0026114A" w:rsidRPr="005432E1" w14:paraId="773ADAE3" w14:textId="77777777" w:rsidTr="00475C2B">
        <w:trPr>
          <w:trHeight w:val="233"/>
          <w:tblCellSpacing w:w="0" w:type="dxa"/>
          <w:jc w:val="center"/>
        </w:trPr>
        <w:tc>
          <w:tcPr>
            <w:tcW w:w="2999" w:type="dxa"/>
            <w:tcBorders>
              <w:top w:val="outset" w:sz="6" w:space="0" w:color="auto"/>
              <w:left w:val="outset" w:sz="6" w:space="0" w:color="auto"/>
              <w:bottom w:val="outset" w:sz="6" w:space="0" w:color="auto"/>
              <w:right w:val="outset" w:sz="6" w:space="0" w:color="auto"/>
            </w:tcBorders>
            <w:noWrap/>
            <w:vAlign w:val="center"/>
            <w:hideMark/>
          </w:tcPr>
          <w:p w14:paraId="04A0ECD0"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Juros</w:t>
            </w:r>
          </w:p>
        </w:tc>
        <w:tc>
          <w:tcPr>
            <w:tcW w:w="1017" w:type="dxa"/>
            <w:tcBorders>
              <w:top w:val="outset" w:sz="6" w:space="0" w:color="auto"/>
              <w:left w:val="outset" w:sz="6" w:space="0" w:color="auto"/>
              <w:bottom w:val="outset" w:sz="6" w:space="0" w:color="auto"/>
              <w:right w:val="outset" w:sz="6" w:space="0" w:color="auto"/>
            </w:tcBorders>
            <w:noWrap/>
            <w:vAlign w:val="center"/>
            <w:hideMark/>
          </w:tcPr>
          <w:p w14:paraId="2CA9981E"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3D855A"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0,19</w:t>
            </w:r>
          </w:p>
        </w:tc>
        <w:tc>
          <w:tcPr>
            <w:tcW w:w="979" w:type="dxa"/>
            <w:tcBorders>
              <w:top w:val="outset" w:sz="6" w:space="0" w:color="auto"/>
              <w:left w:val="outset" w:sz="6" w:space="0" w:color="auto"/>
              <w:bottom w:val="outset" w:sz="6" w:space="0" w:color="auto"/>
              <w:right w:val="outset" w:sz="6" w:space="0" w:color="auto"/>
            </w:tcBorders>
            <w:noWrap/>
            <w:vAlign w:val="center"/>
            <w:hideMark/>
          </w:tcPr>
          <w:p w14:paraId="303187FE"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0,20</w:t>
            </w:r>
          </w:p>
        </w:tc>
      </w:tr>
    </w:tbl>
    <w:p w14:paraId="27EC23F9" w14:textId="578BC33B" w:rsidR="00A546E4" w:rsidRPr="005432E1" w:rsidRDefault="00141D58" w:rsidP="00141D58">
      <w:pPr>
        <w:spacing w:after="100" w:afterAutospacing="1"/>
        <w:rPr>
          <w:rFonts w:asciiTheme="minorHAnsi" w:hAnsiTheme="minorHAnsi"/>
          <w:i/>
          <w:iCs/>
          <w:sz w:val="20"/>
          <w:szCs w:val="20"/>
        </w:rPr>
      </w:pPr>
      <w:r w:rsidRPr="005432E1">
        <w:rPr>
          <w:rFonts w:asciiTheme="minorHAnsi" w:hAnsiTheme="minorHAnsi"/>
          <w:i/>
          <w:iCs/>
          <w:sz w:val="20"/>
          <w:szCs w:val="20"/>
        </w:rPr>
        <w:tab/>
      </w:r>
      <w:r w:rsidRPr="005432E1">
        <w:rPr>
          <w:rFonts w:asciiTheme="minorHAnsi" w:hAnsiTheme="minorHAnsi"/>
          <w:i/>
          <w:iCs/>
          <w:sz w:val="20"/>
          <w:szCs w:val="20"/>
        </w:rPr>
        <w:tab/>
      </w:r>
      <w:r w:rsidR="00A546E4" w:rsidRPr="005432E1">
        <w:rPr>
          <w:rFonts w:asciiTheme="minorHAnsi" w:hAnsiTheme="minorHAnsi"/>
          <w:i/>
          <w:iCs/>
          <w:sz w:val="20"/>
          <w:szCs w:val="20"/>
        </w:rPr>
        <w:t xml:space="preserve">* Projeções com base no PAF 2018; ** Projeções para 2019 com base em um cenário de continuidade </w:t>
      </w:r>
      <w:r w:rsidRPr="005432E1">
        <w:rPr>
          <w:rFonts w:asciiTheme="minorHAnsi" w:hAnsiTheme="minorHAnsi"/>
          <w:i/>
          <w:iCs/>
          <w:sz w:val="20"/>
          <w:szCs w:val="20"/>
        </w:rPr>
        <w:tab/>
      </w:r>
      <w:r w:rsidRPr="005432E1">
        <w:rPr>
          <w:rFonts w:asciiTheme="minorHAnsi" w:hAnsiTheme="minorHAnsi"/>
          <w:i/>
          <w:iCs/>
          <w:sz w:val="20"/>
          <w:szCs w:val="20"/>
        </w:rPr>
        <w:tab/>
      </w:r>
      <w:r w:rsidR="00A546E4" w:rsidRPr="005432E1">
        <w:rPr>
          <w:rFonts w:asciiTheme="minorHAnsi" w:hAnsiTheme="minorHAnsi"/>
          <w:i/>
          <w:iCs/>
          <w:sz w:val="20"/>
          <w:szCs w:val="20"/>
        </w:rPr>
        <w:t>do PAF 2018. Fonte: COGEP/STN.</w:t>
      </w:r>
    </w:p>
    <w:p w14:paraId="292CE019" w14:textId="77777777" w:rsidR="00A546E4" w:rsidRPr="005432E1" w:rsidRDefault="00A546E4" w:rsidP="00A546E4">
      <w:pPr>
        <w:spacing w:before="100" w:beforeAutospacing="1" w:after="100" w:afterAutospacing="1"/>
        <w:jc w:val="both"/>
        <w:rPr>
          <w:rFonts w:asciiTheme="minorHAnsi" w:hAnsiTheme="minorHAnsi"/>
        </w:rPr>
      </w:pPr>
      <w:r w:rsidRPr="005432E1">
        <w:rPr>
          <w:rFonts w:asciiTheme="minorHAnsi" w:hAnsiTheme="minorHAnsi"/>
        </w:rPr>
        <w:tab/>
        <w:t>É possível observar na tabela um aumento da sensibilidade da DPF a alterações nos juros e maior estabilidade da sensibilidade da DPF a alterações no câmbio e inflação. Tal resultado está alinhado às alterações de composição observadas desde 2015 e constantes ainda nas metas do PAF 2018 e projeções para 2019, que permitem o aumento para a participação de dívida com taxas de juros flutuantes na DPF no curto prazo, em um cenário macroeconômico que ainda guarda incertezas quanto ao ritmo de retomada da atividade econômica. Nesse sentido, a retomada da redução da dívida flutuante será função da evolução de outros indicadores da DPF, como o percentual vincendo em 12 meses, bem como de uma avaliação de custos, que dependerá das condições de mercado. A STN garantirá, assim, que a melhoria na composição da dívida não implique em retrocesso de outros indicadores, igualmente relevantes.</w:t>
      </w:r>
    </w:p>
    <w:p w14:paraId="399DF45A" w14:textId="77777777" w:rsidR="00A546E4" w:rsidRPr="005432E1" w:rsidRDefault="00A546E4" w:rsidP="00A546E4">
      <w:pPr>
        <w:spacing w:before="100" w:beforeAutospacing="1" w:after="100" w:afterAutospacing="1"/>
        <w:jc w:val="both"/>
        <w:rPr>
          <w:rFonts w:asciiTheme="minorHAnsi" w:hAnsiTheme="minorHAnsi"/>
        </w:rPr>
      </w:pPr>
      <w:r w:rsidRPr="005432E1">
        <w:rPr>
          <w:rFonts w:asciiTheme="minorHAnsi" w:hAnsiTheme="minorHAnsi"/>
        </w:rPr>
        <w:t>Outro ponto a destacar refere-se à sensibilidade da DPF à variação da inflação. A esse respeito, a parcela da dívida indexada à inflação (em sua grande maioria, ao IPCA) encontra hedge natural no fato de as receitas do governo apresentarem correlação positiva com choques nas taxas de inflação, o que contribui para reduzir a relevância desse fator de risco.</w:t>
      </w:r>
    </w:p>
    <w:p w14:paraId="7BB3EF4B" w14:textId="3772E1C7" w:rsidR="005432E1" w:rsidRDefault="00A546E4" w:rsidP="00A546E4">
      <w:pPr>
        <w:spacing w:before="100" w:beforeAutospacing="1" w:after="100" w:afterAutospacing="1"/>
        <w:jc w:val="both"/>
        <w:rPr>
          <w:rFonts w:asciiTheme="minorHAnsi" w:hAnsiTheme="minorHAnsi"/>
        </w:rPr>
      </w:pPr>
      <w:r w:rsidRPr="005432E1">
        <w:rPr>
          <w:rFonts w:asciiTheme="minorHAnsi" w:hAnsiTheme="minorHAnsi"/>
        </w:rPr>
        <w:t>Adicionalmente, cabe analisar o cronograma de maturação e a sensibilidade da despesa orçamentária da dívida às mesmas variáveis. Tendo como referência projeções baseadas nos cenários do PAF 2018 e considerando os vencimentos de dívida previstos para 2018 e 2019, os efeitos de um aumento (redução) de 1% nas taxas de câmbio real/dólar, de inflação e de juros podem ser observadas na tabela abaixo.</w:t>
      </w:r>
    </w:p>
    <w:p w14:paraId="4D4C6815" w14:textId="77777777" w:rsidR="005432E1" w:rsidRDefault="005432E1">
      <w:pPr>
        <w:rPr>
          <w:rFonts w:asciiTheme="minorHAnsi" w:hAnsiTheme="minorHAnsi"/>
        </w:rPr>
      </w:pPr>
      <w:r>
        <w:rPr>
          <w:rFonts w:asciiTheme="minorHAnsi" w:hAnsiTheme="minorHAnsi"/>
        </w:rPr>
        <w:br w:type="page"/>
      </w:r>
    </w:p>
    <w:p w14:paraId="75D6406F" w14:textId="77777777" w:rsidR="00A546E4" w:rsidRPr="005432E1" w:rsidRDefault="00A546E4" w:rsidP="00A546E4">
      <w:pPr>
        <w:spacing w:before="100" w:beforeAutospacing="1" w:after="100" w:afterAutospacing="1"/>
        <w:jc w:val="both"/>
        <w:rPr>
          <w:rFonts w:asciiTheme="minorHAnsi" w:hAnsiTheme="minorHAnsi"/>
        </w:rPr>
      </w:pPr>
    </w:p>
    <w:p w14:paraId="40EFFED7" w14:textId="3709E977" w:rsidR="00920ABB" w:rsidRPr="005432E1" w:rsidRDefault="006C390C" w:rsidP="00A546E4">
      <w:pPr>
        <w:spacing w:before="120" w:after="120"/>
        <w:jc w:val="both"/>
        <w:rPr>
          <w:rFonts w:asciiTheme="minorHAnsi" w:hAnsiTheme="minorHAnsi"/>
          <w:b/>
        </w:rPr>
      </w:pPr>
      <w:r w:rsidRPr="005432E1">
        <w:rPr>
          <w:rFonts w:asciiTheme="minorHAnsi" w:hAnsiTheme="minorHAnsi"/>
        </w:rPr>
        <w:tab/>
      </w:r>
      <w:r w:rsidR="00920ABB" w:rsidRPr="005432E1">
        <w:rPr>
          <w:rFonts w:asciiTheme="minorHAnsi" w:hAnsiTheme="minorHAnsi"/>
          <w:b/>
        </w:rPr>
        <w:t xml:space="preserve">Tabela </w:t>
      </w:r>
      <w:r w:rsidR="008261CF" w:rsidRPr="005432E1">
        <w:rPr>
          <w:rFonts w:asciiTheme="minorHAnsi" w:hAnsiTheme="minorHAnsi"/>
          <w:b/>
        </w:rPr>
        <w:t>8</w:t>
      </w:r>
      <w:r w:rsidR="00920ABB" w:rsidRPr="005432E1">
        <w:rPr>
          <w:rFonts w:asciiTheme="minorHAnsi" w:hAnsiTheme="minorHAnsi"/>
        </w:rPr>
        <w:t xml:space="preserve"> - </w:t>
      </w:r>
      <w:r w:rsidR="00920ABB" w:rsidRPr="005432E1">
        <w:rPr>
          <w:rFonts w:asciiTheme="minorHAnsi" w:hAnsiTheme="minorHAnsi"/>
          <w:b/>
        </w:rPr>
        <w:t xml:space="preserve">Previsões de Sensibilidade da Despesa Orçamentária a Choques de 1% nas </w:t>
      </w:r>
      <w:r w:rsidR="00C23F23" w:rsidRPr="005432E1">
        <w:rPr>
          <w:rFonts w:asciiTheme="minorHAnsi" w:hAnsiTheme="minorHAnsi"/>
          <w:b/>
        </w:rPr>
        <w:tab/>
      </w:r>
      <w:r w:rsidR="00C23F23" w:rsidRPr="005432E1">
        <w:rPr>
          <w:rFonts w:asciiTheme="minorHAnsi" w:hAnsiTheme="minorHAnsi"/>
          <w:b/>
        </w:rPr>
        <w:tab/>
      </w:r>
      <w:r w:rsidR="00C23F23" w:rsidRPr="005432E1">
        <w:rPr>
          <w:rFonts w:asciiTheme="minorHAnsi" w:hAnsiTheme="minorHAnsi"/>
          <w:b/>
        </w:rPr>
        <w:tab/>
      </w:r>
      <w:r w:rsidR="00C23F23" w:rsidRPr="005432E1">
        <w:rPr>
          <w:rFonts w:asciiTheme="minorHAnsi" w:hAnsiTheme="minorHAnsi"/>
          <w:b/>
        </w:rPr>
        <w:tab/>
      </w:r>
      <w:r w:rsidR="00920ABB" w:rsidRPr="005432E1">
        <w:rPr>
          <w:rFonts w:asciiTheme="minorHAnsi" w:hAnsiTheme="minorHAnsi"/>
          <w:b/>
        </w:rPr>
        <w:t>Variáveis Macroeconômicas - % PIB</w:t>
      </w:r>
    </w:p>
    <w:tbl>
      <w:tblPr>
        <w:tblW w:w="54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1388"/>
        <w:gridCol w:w="1157"/>
        <w:gridCol w:w="1106"/>
      </w:tblGrid>
      <w:tr w:rsidR="0026114A" w:rsidRPr="005432E1" w14:paraId="32FA3875" w14:textId="77777777" w:rsidTr="00283778">
        <w:trPr>
          <w:trHeight w:val="177"/>
          <w:tblCellSpacing w:w="0" w:type="dxa"/>
          <w:jc w:val="center"/>
        </w:trPr>
        <w:tc>
          <w:tcPr>
            <w:tcW w:w="1873" w:type="dxa"/>
            <w:tcBorders>
              <w:top w:val="outset" w:sz="6" w:space="0" w:color="auto"/>
              <w:left w:val="outset" w:sz="6" w:space="0" w:color="auto"/>
              <w:bottom w:val="outset" w:sz="6" w:space="0" w:color="auto"/>
              <w:right w:val="outset" w:sz="6" w:space="0" w:color="auto"/>
            </w:tcBorders>
            <w:noWrap/>
            <w:vAlign w:val="center"/>
            <w:hideMark/>
          </w:tcPr>
          <w:p w14:paraId="52105BD7" w14:textId="77777777" w:rsidR="00A546E4" w:rsidRPr="005432E1" w:rsidRDefault="00864BAF" w:rsidP="00756D40">
            <w:pPr>
              <w:spacing w:before="100" w:beforeAutospacing="1" w:after="100" w:afterAutospacing="1"/>
              <w:rPr>
                <w:rFonts w:asciiTheme="minorHAnsi" w:hAnsiTheme="minorHAnsi"/>
              </w:rPr>
            </w:pPr>
            <w:r w:rsidRPr="005432E1">
              <w:rPr>
                <w:rFonts w:asciiTheme="minorHAnsi" w:hAnsiTheme="minorHAnsi"/>
              </w:rPr>
              <w:t xml:space="preserve">  </w:t>
            </w:r>
          </w:p>
        </w:tc>
        <w:tc>
          <w:tcPr>
            <w:tcW w:w="1358" w:type="dxa"/>
            <w:tcBorders>
              <w:top w:val="outset" w:sz="6" w:space="0" w:color="auto"/>
              <w:left w:val="outset" w:sz="6" w:space="0" w:color="auto"/>
              <w:bottom w:val="outset" w:sz="6" w:space="0" w:color="auto"/>
              <w:right w:val="outset" w:sz="6" w:space="0" w:color="auto"/>
            </w:tcBorders>
            <w:noWrap/>
            <w:vAlign w:val="center"/>
            <w:hideMark/>
          </w:tcPr>
          <w:p w14:paraId="58A029DC"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2017</w:t>
            </w:r>
          </w:p>
        </w:tc>
        <w:tc>
          <w:tcPr>
            <w:tcW w:w="1127" w:type="dxa"/>
            <w:tcBorders>
              <w:top w:val="outset" w:sz="6" w:space="0" w:color="auto"/>
              <w:left w:val="outset" w:sz="6" w:space="0" w:color="auto"/>
              <w:bottom w:val="outset" w:sz="6" w:space="0" w:color="auto"/>
              <w:right w:val="outset" w:sz="6" w:space="0" w:color="auto"/>
            </w:tcBorders>
            <w:noWrap/>
            <w:vAlign w:val="center"/>
            <w:hideMark/>
          </w:tcPr>
          <w:p w14:paraId="1372C633"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2018*</w:t>
            </w:r>
          </w:p>
        </w:tc>
        <w:tc>
          <w:tcPr>
            <w:tcW w:w="1076" w:type="dxa"/>
            <w:tcBorders>
              <w:top w:val="outset" w:sz="6" w:space="0" w:color="auto"/>
              <w:left w:val="outset" w:sz="6" w:space="0" w:color="auto"/>
              <w:bottom w:val="outset" w:sz="6" w:space="0" w:color="auto"/>
              <w:right w:val="outset" w:sz="6" w:space="0" w:color="auto"/>
            </w:tcBorders>
            <w:noWrap/>
            <w:vAlign w:val="center"/>
            <w:hideMark/>
          </w:tcPr>
          <w:p w14:paraId="352A4DDF"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2019**</w:t>
            </w:r>
          </w:p>
        </w:tc>
      </w:tr>
      <w:tr w:rsidR="0026114A" w:rsidRPr="005432E1" w14:paraId="5BDC7E8F" w14:textId="77777777" w:rsidTr="00283778">
        <w:trPr>
          <w:trHeight w:val="177"/>
          <w:tblCellSpacing w:w="0" w:type="dxa"/>
          <w:jc w:val="center"/>
        </w:trPr>
        <w:tc>
          <w:tcPr>
            <w:tcW w:w="1873" w:type="dxa"/>
            <w:tcBorders>
              <w:top w:val="outset" w:sz="6" w:space="0" w:color="auto"/>
              <w:left w:val="outset" w:sz="6" w:space="0" w:color="auto"/>
              <w:bottom w:val="outset" w:sz="6" w:space="0" w:color="auto"/>
              <w:right w:val="outset" w:sz="6" w:space="0" w:color="auto"/>
            </w:tcBorders>
            <w:noWrap/>
            <w:vAlign w:val="center"/>
            <w:hideMark/>
          </w:tcPr>
          <w:p w14:paraId="4454AF2E"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Câmbio</w:t>
            </w:r>
          </w:p>
        </w:tc>
        <w:tc>
          <w:tcPr>
            <w:tcW w:w="1358" w:type="dxa"/>
            <w:tcBorders>
              <w:top w:val="outset" w:sz="6" w:space="0" w:color="auto"/>
              <w:left w:val="outset" w:sz="6" w:space="0" w:color="auto"/>
              <w:bottom w:val="outset" w:sz="6" w:space="0" w:color="auto"/>
              <w:right w:val="outset" w:sz="6" w:space="0" w:color="auto"/>
            </w:tcBorders>
            <w:noWrap/>
            <w:vAlign w:val="center"/>
            <w:hideMark/>
          </w:tcPr>
          <w:p w14:paraId="7FD146E8"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0,002</w:t>
            </w:r>
          </w:p>
        </w:tc>
        <w:tc>
          <w:tcPr>
            <w:tcW w:w="1127" w:type="dxa"/>
            <w:tcBorders>
              <w:top w:val="outset" w:sz="6" w:space="0" w:color="auto"/>
              <w:left w:val="outset" w:sz="6" w:space="0" w:color="auto"/>
              <w:bottom w:val="outset" w:sz="6" w:space="0" w:color="auto"/>
              <w:right w:val="outset" w:sz="6" w:space="0" w:color="auto"/>
            </w:tcBorders>
            <w:noWrap/>
            <w:vAlign w:val="center"/>
            <w:hideMark/>
          </w:tcPr>
          <w:p w14:paraId="1A9A3243"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0,001</w:t>
            </w:r>
          </w:p>
        </w:tc>
        <w:tc>
          <w:tcPr>
            <w:tcW w:w="1076" w:type="dxa"/>
            <w:tcBorders>
              <w:top w:val="outset" w:sz="6" w:space="0" w:color="auto"/>
              <w:left w:val="outset" w:sz="6" w:space="0" w:color="auto"/>
              <w:bottom w:val="outset" w:sz="6" w:space="0" w:color="auto"/>
              <w:right w:val="outset" w:sz="6" w:space="0" w:color="auto"/>
            </w:tcBorders>
            <w:noWrap/>
            <w:vAlign w:val="center"/>
            <w:hideMark/>
          </w:tcPr>
          <w:p w14:paraId="2886F11C"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0,001</w:t>
            </w:r>
          </w:p>
        </w:tc>
      </w:tr>
      <w:tr w:rsidR="0026114A" w:rsidRPr="005432E1" w14:paraId="56FE6EAE" w14:textId="77777777" w:rsidTr="00283778">
        <w:trPr>
          <w:trHeight w:val="184"/>
          <w:tblCellSpacing w:w="0" w:type="dxa"/>
          <w:jc w:val="center"/>
        </w:trPr>
        <w:tc>
          <w:tcPr>
            <w:tcW w:w="1873" w:type="dxa"/>
            <w:tcBorders>
              <w:top w:val="outset" w:sz="6" w:space="0" w:color="auto"/>
              <w:left w:val="outset" w:sz="6" w:space="0" w:color="auto"/>
              <w:bottom w:val="outset" w:sz="6" w:space="0" w:color="auto"/>
              <w:right w:val="outset" w:sz="6" w:space="0" w:color="auto"/>
            </w:tcBorders>
            <w:noWrap/>
            <w:vAlign w:val="center"/>
            <w:hideMark/>
          </w:tcPr>
          <w:p w14:paraId="34F0276A"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Inflação</w:t>
            </w:r>
          </w:p>
        </w:tc>
        <w:tc>
          <w:tcPr>
            <w:tcW w:w="1358" w:type="dxa"/>
            <w:tcBorders>
              <w:top w:val="outset" w:sz="6" w:space="0" w:color="auto"/>
              <w:left w:val="outset" w:sz="6" w:space="0" w:color="auto"/>
              <w:bottom w:val="outset" w:sz="6" w:space="0" w:color="auto"/>
              <w:right w:val="outset" w:sz="6" w:space="0" w:color="auto"/>
            </w:tcBorders>
            <w:noWrap/>
            <w:vAlign w:val="center"/>
            <w:hideMark/>
          </w:tcPr>
          <w:p w14:paraId="7C24E3D2"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0,018</w:t>
            </w:r>
          </w:p>
        </w:tc>
        <w:tc>
          <w:tcPr>
            <w:tcW w:w="1127" w:type="dxa"/>
            <w:tcBorders>
              <w:top w:val="outset" w:sz="6" w:space="0" w:color="auto"/>
              <w:left w:val="outset" w:sz="6" w:space="0" w:color="auto"/>
              <w:bottom w:val="outset" w:sz="6" w:space="0" w:color="auto"/>
              <w:right w:val="outset" w:sz="6" w:space="0" w:color="auto"/>
            </w:tcBorders>
            <w:noWrap/>
            <w:vAlign w:val="center"/>
            <w:hideMark/>
          </w:tcPr>
          <w:p w14:paraId="2E44F915"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0,018</w:t>
            </w:r>
          </w:p>
        </w:tc>
        <w:tc>
          <w:tcPr>
            <w:tcW w:w="1076" w:type="dxa"/>
            <w:tcBorders>
              <w:top w:val="outset" w:sz="6" w:space="0" w:color="auto"/>
              <w:left w:val="outset" w:sz="6" w:space="0" w:color="auto"/>
              <w:bottom w:val="outset" w:sz="6" w:space="0" w:color="auto"/>
              <w:right w:val="outset" w:sz="6" w:space="0" w:color="auto"/>
            </w:tcBorders>
            <w:noWrap/>
            <w:vAlign w:val="center"/>
            <w:hideMark/>
          </w:tcPr>
          <w:p w14:paraId="271475F8"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0,020</w:t>
            </w:r>
          </w:p>
        </w:tc>
      </w:tr>
      <w:tr w:rsidR="0026114A" w:rsidRPr="005432E1" w14:paraId="5B6DCAEC" w14:textId="77777777" w:rsidTr="00283778">
        <w:trPr>
          <w:trHeight w:val="177"/>
          <w:tblCellSpacing w:w="0" w:type="dxa"/>
          <w:jc w:val="center"/>
        </w:trPr>
        <w:tc>
          <w:tcPr>
            <w:tcW w:w="1873" w:type="dxa"/>
            <w:tcBorders>
              <w:top w:val="outset" w:sz="6" w:space="0" w:color="auto"/>
              <w:left w:val="outset" w:sz="6" w:space="0" w:color="auto"/>
              <w:bottom w:val="outset" w:sz="6" w:space="0" w:color="auto"/>
              <w:right w:val="outset" w:sz="6" w:space="0" w:color="auto"/>
            </w:tcBorders>
            <w:noWrap/>
            <w:vAlign w:val="center"/>
            <w:hideMark/>
          </w:tcPr>
          <w:p w14:paraId="79E8DCE7"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Juros</w:t>
            </w:r>
          </w:p>
        </w:tc>
        <w:tc>
          <w:tcPr>
            <w:tcW w:w="1358" w:type="dxa"/>
            <w:tcBorders>
              <w:top w:val="outset" w:sz="6" w:space="0" w:color="auto"/>
              <w:left w:val="outset" w:sz="6" w:space="0" w:color="auto"/>
              <w:bottom w:val="outset" w:sz="6" w:space="0" w:color="auto"/>
              <w:right w:val="outset" w:sz="6" w:space="0" w:color="auto"/>
            </w:tcBorders>
            <w:noWrap/>
            <w:vAlign w:val="center"/>
            <w:hideMark/>
          </w:tcPr>
          <w:p w14:paraId="756F85FF"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0,008</w:t>
            </w:r>
          </w:p>
        </w:tc>
        <w:tc>
          <w:tcPr>
            <w:tcW w:w="1127" w:type="dxa"/>
            <w:tcBorders>
              <w:top w:val="outset" w:sz="6" w:space="0" w:color="auto"/>
              <w:left w:val="outset" w:sz="6" w:space="0" w:color="auto"/>
              <w:bottom w:val="outset" w:sz="6" w:space="0" w:color="auto"/>
              <w:right w:val="outset" w:sz="6" w:space="0" w:color="auto"/>
            </w:tcBorders>
            <w:noWrap/>
            <w:vAlign w:val="center"/>
            <w:hideMark/>
          </w:tcPr>
          <w:p w14:paraId="5274800C"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0,019</w:t>
            </w:r>
          </w:p>
        </w:tc>
        <w:tc>
          <w:tcPr>
            <w:tcW w:w="1076" w:type="dxa"/>
            <w:tcBorders>
              <w:top w:val="outset" w:sz="6" w:space="0" w:color="auto"/>
              <w:left w:val="outset" w:sz="6" w:space="0" w:color="auto"/>
              <w:bottom w:val="outset" w:sz="6" w:space="0" w:color="auto"/>
              <w:right w:val="outset" w:sz="6" w:space="0" w:color="auto"/>
            </w:tcBorders>
            <w:noWrap/>
            <w:vAlign w:val="center"/>
            <w:hideMark/>
          </w:tcPr>
          <w:p w14:paraId="5A61224D" w14:textId="77777777" w:rsidR="00A546E4" w:rsidRPr="005432E1" w:rsidRDefault="00A546E4" w:rsidP="00756D40">
            <w:pPr>
              <w:spacing w:before="100" w:beforeAutospacing="1" w:after="100" w:afterAutospacing="1"/>
              <w:rPr>
                <w:rFonts w:asciiTheme="minorHAnsi" w:hAnsiTheme="minorHAnsi"/>
              </w:rPr>
            </w:pPr>
            <w:r w:rsidRPr="005432E1">
              <w:rPr>
                <w:rFonts w:asciiTheme="minorHAnsi" w:hAnsiTheme="minorHAnsi"/>
              </w:rPr>
              <w:t>0,009</w:t>
            </w:r>
          </w:p>
        </w:tc>
      </w:tr>
    </w:tbl>
    <w:p w14:paraId="1E0EAF9B" w14:textId="7657ED22" w:rsidR="00A546E4" w:rsidRPr="005432E1" w:rsidRDefault="00BB20CE" w:rsidP="00BB20CE">
      <w:pPr>
        <w:spacing w:after="100" w:afterAutospacing="1"/>
        <w:rPr>
          <w:rFonts w:asciiTheme="minorHAnsi" w:hAnsiTheme="minorHAnsi"/>
          <w:sz w:val="20"/>
          <w:szCs w:val="20"/>
        </w:rPr>
      </w:pPr>
      <w:r w:rsidRPr="005432E1">
        <w:rPr>
          <w:rFonts w:asciiTheme="minorHAnsi" w:hAnsiTheme="minorHAnsi"/>
          <w:i/>
          <w:iCs/>
          <w:sz w:val="20"/>
          <w:szCs w:val="20"/>
        </w:rPr>
        <w:tab/>
      </w:r>
      <w:r w:rsidRPr="005432E1">
        <w:rPr>
          <w:rFonts w:asciiTheme="minorHAnsi" w:hAnsiTheme="minorHAnsi"/>
          <w:i/>
          <w:iCs/>
          <w:sz w:val="20"/>
          <w:szCs w:val="20"/>
        </w:rPr>
        <w:tab/>
      </w:r>
      <w:r w:rsidRPr="005432E1">
        <w:rPr>
          <w:rFonts w:asciiTheme="minorHAnsi" w:hAnsiTheme="minorHAnsi"/>
          <w:i/>
          <w:iCs/>
          <w:sz w:val="20"/>
          <w:szCs w:val="20"/>
        </w:rPr>
        <w:tab/>
        <w:t>*</w:t>
      </w:r>
      <w:r w:rsidR="00A546E4" w:rsidRPr="005432E1">
        <w:rPr>
          <w:rFonts w:asciiTheme="minorHAnsi" w:hAnsiTheme="minorHAnsi"/>
          <w:i/>
          <w:iCs/>
          <w:sz w:val="20"/>
          <w:szCs w:val="20"/>
        </w:rPr>
        <w:t xml:space="preserve"> Projeções com base no PAF 2018; ** Projeções para 2019 com base em um cenário de </w:t>
      </w:r>
      <w:r w:rsidRPr="005432E1">
        <w:rPr>
          <w:rFonts w:asciiTheme="minorHAnsi" w:hAnsiTheme="minorHAnsi"/>
          <w:i/>
          <w:iCs/>
          <w:sz w:val="20"/>
          <w:szCs w:val="20"/>
        </w:rPr>
        <w:tab/>
      </w:r>
      <w:r w:rsidRPr="005432E1">
        <w:rPr>
          <w:rFonts w:asciiTheme="minorHAnsi" w:hAnsiTheme="minorHAnsi"/>
          <w:i/>
          <w:iCs/>
          <w:sz w:val="20"/>
          <w:szCs w:val="20"/>
        </w:rPr>
        <w:tab/>
      </w:r>
      <w:r w:rsidRPr="005432E1">
        <w:rPr>
          <w:rFonts w:asciiTheme="minorHAnsi" w:hAnsiTheme="minorHAnsi"/>
          <w:i/>
          <w:iCs/>
          <w:sz w:val="20"/>
          <w:szCs w:val="20"/>
        </w:rPr>
        <w:tab/>
      </w:r>
      <w:r w:rsidR="00A546E4" w:rsidRPr="005432E1">
        <w:rPr>
          <w:rFonts w:asciiTheme="minorHAnsi" w:hAnsiTheme="minorHAnsi"/>
          <w:i/>
          <w:iCs/>
          <w:sz w:val="20"/>
          <w:szCs w:val="20"/>
        </w:rPr>
        <w:t>continuidade do PAF 2018. Fonte: COGEP/STN.</w:t>
      </w:r>
    </w:p>
    <w:p w14:paraId="3473880E" w14:textId="77777777" w:rsidR="0048244A" w:rsidRPr="005432E1" w:rsidRDefault="0048244A" w:rsidP="0048244A">
      <w:pPr>
        <w:spacing w:before="100" w:beforeAutospacing="1" w:after="100" w:afterAutospacing="1"/>
        <w:jc w:val="both"/>
        <w:rPr>
          <w:rFonts w:asciiTheme="minorHAnsi" w:hAnsiTheme="minorHAnsi"/>
        </w:rPr>
      </w:pPr>
      <w:r w:rsidRPr="005432E1">
        <w:rPr>
          <w:rFonts w:asciiTheme="minorHAnsi" w:hAnsiTheme="minorHAnsi"/>
        </w:rPr>
        <w:tab/>
        <w:t>A sensibilidade apresentada na tabela acima variará conforme o cronograma de maturação dos títulos da DPF, de forma que a sensibilidade será maior nos anos em que haja grande vencimentos de títulos indexados a cada variável econômica. Observa-se na tabela que a sensibilidade da despesa orçamentária é bem menor do que a sensibilidade da DPF, porque considera apenas o montante da dívida que está vincendo em determinado exercício. Não obstante, é uma sensibilidade relevante porque mede o impacto de curto prazo na gestão da despesa orçamentária para o pagamento da dívida. </w:t>
      </w:r>
    </w:p>
    <w:p w14:paraId="4F374425" w14:textId="77777777" w:rsidR="0048244A" w:rsidRPr="005432E1" w:rsidRDefault="0048244A" w:rsidP="0048244A">
      <w:pPr>
        <w:spacing w:before="100" w:beforeAutospacing="1" w:after="100" w:afterAutospacing="1"/>
        <w:jc w:val="both"/>
        <w:rPr>
          <w:rFonts w:asciiTheme="minorHAnsi" w:hAnsiTheme="minorHAnsi"/>
        </w:rPr>
      </w:pPr>
      <w:r w:rsidRPr="005432E1">
        <w:rPr>
          <w:rFonts w:asciiTheme="minorHAnsi" w:hAnsiTheme="minorHAnsi"/>
        </w:rPr>
        <w:tab/>
        <w:t>Por fim, o teste de estresse evidencia a evolução do risco de aumento no estoque da DPF em situações de grandes e persistentes turbulências. Considerando os estoques da DPF ao final dos períodos, o impacto de um cenário de estresse nos juros e no câmbio corresponderia a um incremento da dívida de 9,0% do PIB em 2004 e de apenas 3,3% do PIB em 2019, conforme podemos observar na figura a seguir, o que demonstra a expressiva redução desses riscos ao longo dos últimos anos.  </w:t>
      </w:r>
    </w:p>
    <w:p w14:paraId="163E2F16" w14:textId="77777777" w:rsidR="00920ABB" w:rsidRPr="005432E1" w:rsidRDefault="009A37D8" w:rsidP="006F4AC5">
      <w:pPr>
        <w:pStyle w:val="Legenda"/>
        <w:keepNext/>
        <w:jc w:val="center"/>
        <w:rPr>
          <w:rFonts w:asciiTheme="minorHAnsi" w:hAnsiTheme="minorHAnsi"/>
          <w:b/>
          <w:i w:val="0"/>
          <w:color w:val="auto"/>
          <w:sz w:val="24"/>
        </w:rPr>
      </w:pPr>
      <w:r w:rsidRPr="005432E1">
        <w:rPr>
          <w:rFonts w:asciiTheme="minorHAnsi" w:hAnsiTheme="minorHAnsi"/>
          <w:b/>
          <w:i w:val="0"/>
          <w:color w:val="auto"/>
          <w:sz w:val="24"/>
        </w:rPr>
        <w:t>Gráfico</w:t>
      </w:r>
      <w:r w:rsidR="00920ABB" w:rsidRPr="005432E1">
        <w:rPr>
          <w:rFonts w:asciiTheme="minorHAnsi" w:hAnsiTheme="minorHAnsi"/>
          <w:b/>
          <w:i w:val="0"/>
          <w:color w:val="auto"/>
          <w:sz w:val="24"/>
        </w:rPr>
        <w:t xml:space="preserve"> </w:t>
      </w:r>
      <w:r w:rsidR="00E44F85" w:rsidRPr="005432E1">
        <w:rPr>
          <w:rFonts w:asciiTheme="minorHAnsi" w:hAnsiTheme="minorHAnsi"/>
          <w:b/>
          <w:i w:val="0"/>
          <w:color w:val="auto"/>
          <w:sz w:val="24"/>
        </w:rPr>
        <w:t>1</w:t>
      </w:r>
      <w:r w:rsidR="00920ABB" w:rsidRPr="005432E1">
        <w:rPr>
          <w:rFonts w:asciiTheme="minorHAnsi" w:hAnsiTheme="minorHAnsi"/>
          <w:b/>
          <w:i w:val="0"/>
          <w:color w:val="auto"/>
          <w:sz w:val="24"/>
        </w:rPr>
        <w:t xml:space="preserve"> - Teste de Estresse de Juros e Câmbio sobre a DPF</w:t>
      </w:r>
    </w:p>
    <w:p w14:paraId="6AA12B31" w14:textId="77777777" w:rsidR="00920ABB" w:rsidRPr="005432E1" w:rsidRDefault="0048244A" w:rsidP="006F4AC5">
      <w:pPr>
        <w:spacing w:before="120" w:after="120"/>
        <w:jc w:val="center"/>
        <w:rPr>
          <w:rFonts w:asciiTheme="minorHAnsi" w:hAnsiTheme="minorHAnsi"/>
        </w:rPr>
      </w:pPr>
      <w:r w:rsidRPr="005432E1">
        <w:rPr>
          <w:rFonts w:asciiTheme="minorHAnsi" w:hAnsiTheme="minorHAnsi"/>
          <w:noProof/>
        </w:rPr>
        <w:drawing>
          <wp:inline distT="0" distB="0" distL="0" distR="0" wp14:anchorId="61A5BC1A" wp14:editId="2E2E1BFF">
            <wp:extent cx="4930445" cy="2183008"/>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036" cy="2204965"/>
                    </a:xfrm>
                    <a:prstGeom prst="rect">
                      <a:avLst/>
                    </a:prstGeom>
                    <a:noFill/>
                  </pic:spPr>
                </pic:pic>
              </a:graphicData>
            </a:graphic>
          </wp:inline>
        </w:drawing>
      </w:r>
    </w:p>
    <w:p w14:paraId="4402EC97" w14:textId="77777777" w:rsidR="0048244A" w:rsidRPr="005432E1" w:rsidRDefault="0048244A" w:rsidP="0048244A">
      <w:pPr>
        <w:spacing w:before="100" w:beforeAutospacing="1" w:after="100" w:afterAutospacing="1"/>
        <w:rPr>
          <w:rFonts w:asciiTheme="minorHAnsi" w:hAnsiTheme="minorHAnsi"/>
          <w:sz w:val="20"/>
          <w:szCs w:val="20"/>
        </w:rPr>
      </w:pPr>
      <w:r w:rsidRPr="005432E1">
        <w:rPr>
          <w:rFonts w:asciiTheme="minorHAnsi" w:hAnsiTheme="minorHAnsi"/>
          <w:i/>
          <w:iCs/>
          <w:sz w:val="20"/>
          <w:szCs w:val="20"/>
        </w:rPr>
        <w:t>* Projeções com base no PAF 2018; ** Projeções para 2019 com base em um cenário de continuidade do PAF 2018. Fonte: COGEP/STN.</w:t>
      </w:r>
    </w:p>
    <w:p w14:paraId="3F3B2503" w14:textId="77777777" w:rsidR="008231DB" w:rsidRPr="005432E1" w:rsidRDefault="008231DB" w:rsidP="008231DB">
      <w:pPr>
        <w:spacing w:before="100" w:beforeAutospacing="1" w:after="100" w:afterAutospacing="1"/>
        <w:jc w:val="both"/>
        <w:rPr>
          <w:rFonts w:asciiTheme="minorHAnsi" w:hAnsiTheme="minorHAnsi"/>
        </w:rPr>
      </w:pPr>
      <w:r w:rsidRPr="005432E1">
        <w:rPr>
          <w:rFonts w:asciiTheme="minorHAnsi" w:hAnsiTheme="minorHAnsi"/>
        </w:rPr>
        <w:tab/>
        <w:t>Assim, do ponto de vista do risco de mercado, o aspecto mais relevante decorrente de choques nas variáveis macroeconômicas atualmente é o risco de taxa de juros que, apesar de estar maior em relação aos anos anteriores, encontra-se em patamar bem mais confortável do que no início do período observado, devido a uma maior participação hoje das dívidas prefixadas e indexadas à inflação na DPF.</w:t>
      </w:r>
    </w:p>
    <w:p w14:paraId="5B07BADB" w14:textId="77777777" w:rsidR="00B346E0" w:rsidRPr="005432E1" w:rsidRDefault="00920ABB" w:rsidP="004C4B03">
      <w:pPr>
        <w:pStyle w:val="Ttulo3"/>
        <w:numPr>
          <w:ilvl w:val="0"/>
          <w:numId w:val="0"/>
        </w:numPr>
        <w:rPr>
          <w:rFonts w:asciiTheme="minorHAnsi" w:hAnsiTheme="minorHAnsi"/>
          <w:b/>
        </w:rPr>
      </w:pPr>
      <w:bookmarkStart w:id="73" w:name="_Toc511230016"/>
      <w:r w:rsidRPr="005432E1">
        <w:rPr>
          <w:rFonts w:asciiTheme="minorHAnsi" w:hAnsiTheme="minorHAnsi"/>
          <w:b/>
        </w:rPr>
        <w:t>2.3.2 Riscos da Dívida Líquida do Setor Público</w:t>
      </w:r>
      <w:r w:rsidR="00D013DF" w:rsidRPr="005432E1">
        <w:rPr>
          <w:rFonts w:asciiTheme="minorHAnsi" w:hAnsiTheme="minorHAnsi"/>
          <w:b/>
        </w:rPr>
        <w:t xml:space="preserve"> (DLSP)</w:t>
      </w:r>
      <w:r w:rsidRPr="005432E1">
        <w:rPr>
          <w:rFonts w:asciiTheme="minorHAnsi" w:hAnsiTheme="minorHAnsi"/>
          <w:b/>
        </w:rPr>
        <w:t xml:space="preserve"> e Dívida Bruta do Governo Geral</w:t>
      </w:r>
      <w:r w:rsidR="00D013DF" w:rsidRPr="005432E1">
        <w:rPr>
          <w:rFonts w:asciiTheme="minorHAnsi" w:hAnsiTheme="minorHAnsi"/>
          <w:b/>
        </w:rPr>
        <w:t xml:space="preserve"> (DBGG)</w:t>
      </w:r>
      <w:bookmarkEnd w:id="73"/>
    </w:p>
    <w:p w14:paraId="52984A6F" w14:textId="77777777" w:rsidR="008231DB" w:rsidRPr="005432E1" w:rsidRDefault="00001136" w:rsidP="008231DB">
      <w:pPr>
        <w:spacing w:before="100" w:beforeAutospacing="1" w:after="100" w:afterAutospacing="1"/>
        <w:jc w:val="both"/>
        <w:rPr>
          <w:rFonts w:asciiTheme="minorHAnsi" w:hAnsiTheme="minorHAnsi"/>
        </w:rPr>
      </w:pPr>
      <w:r w:rsidRPr="005432E1">
        <w:rPr>
          <w:rFonts w:asciiTheme="minorHAnsi" w:hAnsiTheme="minorHAnsi"/>
        </w:rPr>
        <w:tab/>
        <w:t>Na</w:t>
      </w:r>
      <w:r w:rsidR="008231DB" w:rsidRPr="005432E1">
        <w:rPr>
          <w:rFonts w:asciiTheme="minorHAnsi" w:hAnsiTheme="minorHAnsi"/>
        </w:rPr>
        <w:t xml:space="preserve"> seç</w:t>
      </w:r>
      <w:r w:rsidRPr="005432E1">
        <w:rPr>
          <w:rFonts w:asciiTheme="minorHAnsi" w:hAnsiTheme="minorHAnsi"/>
        </w:rPr>
        <w:t>ão</w:t>
      </w:r>
      <w:r w:rsidR="008231DB" w:rsidRPr="005432E1">
        <w:rPr>
          <w:rFonts w:asciiTheme="minorHAnsi" w:hAnsiTheme="minorHAnsi"/>
        </w:rPr>
        <w:t xml:space="preserve"> anterior, foram avaliados os riscos da Dívida Pública Federal (DPF). Es</w:t>
      </w:r>
      <w:r w:rsidR="008547AB" w:rsidRPr="005432E1">
        <w:rPr>
          <w:rFonts w:asciiTheme="minorHAnsi" w:hAnsiTheme="minorHAnsi"/>
        </w:rPr>
        <w:t>t</w:t>
      </w:r>
      <w:r w:rsidR="008231DB" w:rsidRPr="005432E1">
        <w:rPr>
          <w:rFonts w:asciiTheme="minorHAnsi" w:hAnsiTheme="minorHAnsi"/>
        </w:rPr>
        <w:t>a abrange a dívida do Governo Federal em mercado, incluindo os títulos da dívida interna (cerca de 95%) e os títulos e contratos da dívida externa.</w:t>
      </w:r>
    </w:p>
    <w:p w14:paraId="376C6D3A" w14:textId="77777777" w:rsidR="008231DB" w:rsidRPr="005432E1" w:rsidRDefault="008231DB" w:rsidP="008231DB">
      <w:pPr>
        <w:spacing w:before="100" w:beforeAutospacing="1" w:after="100" w:afterAutospacing="1"/>
        <w:jc w:val="both"/>
        <w:rPr>
          <w:rFonts w:asciiTheme="minorHAnsi" w:hAnsiTheme="minorHAnsi"/>
        </w:rPr>
      </w:pPr>
      <w:r w:rsidRPr="005432E1">
        <w:rPr>
          <w:rFonts w:asciiTheme="minorHAnsi" w:hAnsiTheme="minorHAnsi"/>
        </w:rPr>
        <w:tab/>
        <w:t>Outro conceito de dívida amplamente utilizado é a Dívida Bruta do Governo Geral (DBGG), que tem se tornado a principal referência para a elaboração de políticas econômicas e para sinalizar a solvência do Estado brasileiro. A DBGG abrange a dívida do Governo Federal (a DPF), mais as dívidas dos governos estaduais e municipais com o setor privado, mais as operações compromissadas do Banco Central do Brasil (BCB).</w:t>
      </w:r>
    </w:p>
    <w:p w14:paraId="55A708EF" w14:textId="77777777" w:rsidR="008231DB" w:rsidRPr="005432E1" w:rsidRDefault="008231DB" w:rsidP="008231DB">
      <w:pPr>
        <w:spacing w:before="100" w:beforeAutospacing="1" w:after="100" w:afterAutospacing="1"/>
        <w:jc w:val="both"/>
        <w:rPr>
          <w:rFonts w:asciiTheme="minorHAnsi" w:hAnsiTheme="minorHAnsi"/>
        </w:rPr>
      </w:pPr>
      <w:r w:rsidRPr="005432E1">
        <w:rPr>
          <w:rFonts w:asciiTheme="minorHAnsi" w:hAnsiTheme="minorHAnsi"/>
        </w:rPr>
        <w:tab/>
        <w:t>A DPF e a DBGG são métricas que só incluem passivos e, portanto, não medem a acumulação de ativos pelo governo. Assim, é útil avançar para o conceito de endividamento líquido, que traz um balanço entre débitos e créditos do governo frente aos agentes privados. Essa característica está presente na Dívida Líquida do Setor Público (DLSP). Para além do Governo Geral, o Setor Público abrange ainda as empresas estatais não financeiras e o BCB.</w:t>
      </w:r>
    </w:p>
    <w:p w14:paraId="040EA1E1" w14:textId="77777777" w:rsidR="008231DB" w:rsidRPr="005432E1" w:rsidRDefault="008231DB" w:rsidP="008231DB">
      <w:pPr>
        <w:spacing w:before="100" w:beforeAutospacing="1" w:after="100" w:afterAutospacing="1"/>
        <w:jc w:val="both"/>
        <w:rPr>
          <w:rFonts w:asciiTheme="minorHAnsi" w:hAnsiTheme="minorHAnsi"/>
        </w:rPr>
      </w:pPr>
      <w:r w:rsidRPr="005432E1">
        <w:rPr>
          <w:rFonts w:asciiTheme="minorHAnsi" w:hAnsiTheme="minorHAnsi"/>
        </w:rPr>
        <w:tab/>
        <w:t>Os riscos avaliados para estes dois indicadores serão o risco de mercado, especificamente o risco de taxa de juros e os riscos decorrentes de flutuações nos resultados primários.</w:t>
      </w:r>
    </w:p>
    <w:p w14:paraId="4064DB2D" w14:textId="77777777" w:rsidR="0049257D" w:rsidRPr="005432E1" w:rsidRDefault="00920ABB" w:rsidP="00A74E66">
      <w:pPr>
        <w:rPr>
          <w:rFonts w:asciiTheme="minorHAnsi" w:hAnsiTheme="minorHAnsi"/>
          <w:b/>
        </w:rPr>
      </w:pPr>
      <w:r w:rsidRPr="005432E1">
        <w:rPr>
          <w:rFonts w:asciiTheme="minorHAnsi" w:hAnsiTheme="minorHAnsi"/>
          <w:b/>
        </w:rPr>
        <w:t>2.3.3</w:t>
      </w:r>
      <w:r w:rsidR="00411E80" w:rsidRPr="005432E1">
        <w:rPr>
          <w:rFonts w:asciiTheme="minorHAnsi" w:hAnsiTheme="minorHAnsi"/>
          <w:b/>
        </w:rPr>
        <w:t xml:space="preserve"> </w:t>
      </w:r>
      <w:r w:rsidRPr="005432E1">
        <w:rPr>
          <w:rFonts w:asciiTheme="minorHAnsi" w:hAnsiTheme="minorHAnsi"/>
          <w:b/>
        </w:rPr>
        <w:t>Avaliação dos riscos da Dívida Líquida do Setor Público (DLSP) e Dívida Bruta do Governo Geral (DBGG)</w:t>
      </w:r>
    </w:p>
    <w:p w14:paraId="78392E27" w14:textId="77777777" w:rsidR="00411E80" w:rsidRPr="005432E1" w:rsidRDefault="0049257D" w:rsidP="00411E80">
      <w:pPr>
        <w:spacing w:before="100" w:beforeAutospacing="1" w:after="100" w:afterAutospacing="1"/>
        <w:jc w:val="both"/>
        <w:rPr>
          <w:rFonts w:asciiTheme="minorHAnsi" w:hAnsiTheme="minorHAnsi"/>
        </w:rPr>
      </w:pPr>
      <w:r w:rsidRPr="005432E1">
        <w:rPr>
          <w:rFonts w:asciiTheme="minorHAnsi" w:hAnsiTheme="minorHAnsi"/>
        </w:rPr>
        <w:tab/>
      </w:r>
      <w:r w:rsidR="00411E80" w:rsidRPr="005432E1">
        <w:rPr>
          <w:rFonts w:asciiTheme="minorHAnsi" w:hAnsiTheme="minorHAnsi"/>
        </w:rPr>
        <w:t>Inicialmente, foi gerado um cenário base para a projeção da DLSP/PIB e DBGG/PIB para os próximos 3 anos. Sobre este cenário foram feitas análises de risco de taxa de juros, da taxa de crescimento do PIB e de variações no resultado primário.</w:t>
      </w:r>
    </w:p>
    <w:p w14:paraId="44AC8215" w14:textId="77777777" w:rsidR="00411E80" w:rsidRPr="005432E1" w:rsidRDefault="00411E80" w:rsidP="00411E80">
      <w:pPr>
        <w:spacing w:before="100" w:beforeAutospacing="1" w:after="100" w:afterAutospacing="1"/>
        <w:jc w:val="both"/>
        <w:rPr>
          <w:rFonts w:asciiTheme="minorHAnsi" w:hAnsiTheme="minorHAnsi"/>
        </w:rPr>
      </w:pPr>
      <w:r w:rsidRPr="005432E1">
        <w:rPr>
          <w:rFonts w:asciiTheme="minorHAnsi" w:hAnsiTheme="minorHAnsi"/>
        </w:rPr>
        <w:tab/>
        <w:t>As projeções indicam que a DLSP e a DBGG crescem ao longo do horizonte de análise. De forma a se avaliar o risco de taxas de juros foi feito uma análise de estática comparativa nas projeções, considerando-se uma variação de 1 ponto percentual na taxa SELIC para cima e para baixo em relação ao cenário Base. Os resultados mostram uma sensibilidade relevante da trajetória da dívida ao choque proposto na DLSP/PIB e DBGG/PIB, respectivamente:</w:t>
      </w:r>
    </w:p>
    <w:p w14:paraId="29073978" w14:textId="124E5CB0" w:rsidR="00920ABB" w:rsidRPr="005432E1" w:rsidRDefault="00920ABB" w:rsidP="006F4AC5">
      <w:pPr>
        <w:pStyle w:val="Legenda"/>
        <w:keepNext/>
        <w:jc w:val="center"/>
        <w:rPr>
          <w:rFonts w:asciiTheme="minorHAnsi" w:hAnsiTheme="minorHAnsi"/>
          <w:b/>
          <w:i w:val="0"/>
          <w:color w:val="auto"/>
          <w:sz w:val="24"/>
          <w:szCs w:val="24"/>
        </w:rPr>
      </w:pPr>
      <w:r w:rsidRPr="005432E1">
        <w:rPr>
          <w:rFonts w:asciiTheme="minorHAnsi" w:hAnsiTheme="minorHAnsi"/>
          <w:b/>
          <w:i w:val="0"/>
          <w:color w:val="auto"/>
          <w:sz w:val="24"/>
          <w:szCs w:val="24"/>
        </w:rPr>
        <w:t xml:space="preserve">Tabela </w:t>
      </w:r>
      <w:r w:rsidR="008261CF" w:rsidRPr="005432E1">
        <w:rPr>
          <w:rFonts w:asciiTheme="minorHAnsi" w:hAnsiTheme="minorHAnsi"/>
          <w:b/>
          <w:i w:val="0"/>
          <w:color w:val="auto"/>
          <w:sz w:val="24"/>
          <w:szCs w:val="24"/>
        </w:rPr>
        <w:t>9</w:t>
      </w:r>
      <w:r w:rsidRPr="005432E1">
        <w:rPr>
          <w:rFonts w:asciiTheme="minorHAnsi" w:hAnsiTheme="minorHAnsi"/>
          <w:b/>
          <w:i w:val="0"/>
          <w:color w:val="auto"/>
          <w:sz w:val="24"/>
          <w:szCs w:val="24"/>
        </w:rPr>
        <w:t xml:space="preserve"> - Sensibilidade da DLSP/PIB e DBGG/PIB à Taxa de Juros</w:t>
      </w: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5"/>
        <w:gridCol w:w="696"/>
        <w:gridCol w:w="696"/>
        <w:gridCol w:w="696"/>
        <w:gridCol w:w="696"/>
        <w:gridCol w:w="47"/>
        <w:gridCol w:w="1535"/>
        <w:gridCol w:w="696"/>
        <w:gridCol w:w="696"/>
        <w:gridCol w:w="696"/>
        <w:gridCol w:w="696"/>
      </w:tblGrid>
      <w:tr w:rsidR="0026114A" w:rsidRPr="005432E1" w14:paraId="1E8942D0"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5348245"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DLSP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76441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1F1AF2"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25981AB"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ED0491A"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2021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9124F8" w14:textId="77777777" w:rsidR="00411E80" w:rsidRPr="005432E1" w:rsidRDefault="00411E80" w:rsidP="00411E80">
            <w:pPr>
              <w:spacing w:before="100" w:beforeAutospacing="1" w:after="100" w:afterAutospacing="1"/>
              <w:rPr>
                <w:rFonts w:asciiTheme="minorHAnsi" w:hAnsiTheme="minorHAnsi"/>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43EC3F"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DBGG</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6CB28E4"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ECA445"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66C50D"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8A289B2"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2021</w:t>
            </w:r>
          </w:p>
        </w:tc>
      </w:tr>
      <w:tr w:rsidR="0026114A" w:rsidRPr="005432E1" w14:paraId="0F140766"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2D4F48A"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SELIC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B616D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97259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8A4337"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41465C"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3505CB" w14:textId="77777777" w:rsidR="00411E80" w:rsidRPr="005432E1" w:rsidRDefault="00411E80" w:rsidP="00411E80">
            <w:pPr>
              <w:spacing w:before="100" w:beforeAutospacing="1" w:after="100" w:afterAutospacing="1"/>
              <w:rPr>
                <w:rFonts w:asciiTheme="minorHAnsi" w:hAnsiTheme="minorHAnsi"/>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2C3CCD"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SELIC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25484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52DAC1"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9F0DD5"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E277A0"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-1,9%</w:t>
            </w:r>
          </w:p>
        </w:tc>
      </w:tr>
      <w:tr w:rsidR="0026114A" w:rsidRPr="005432E1" w14:paraId="5B4B1160"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E6C987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SELIC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21E0D9"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9BBD9F1"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A4EF28"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77ADFE"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5AC8A8" w14:textId="77777777" w:rsidR="00411E80" w:rsidRPr="005432E1" w:rsidRDefault="00411E80" w:rsidP="00411E80">
            <w:pPr>
              <w:spacing w:before="100" w:beforeAutospacing="1" w:after="100" w:afterAutospacing="1"/>
              <w:rPr>
                <w:rFonts w:asciiTheme="minorHAnsi" w:hAnsiTheme="minorHAnsi"/>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D0B7A3"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SELIC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21C38D"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57E22B"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0,8%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D8C85AF"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F13A01" w14:textId="77777777" w:rsidR="00411E80" w:rsidRPr="005432E1" w:rsidRDefault="00411E80" w:rsidP="00411E80">
            <w:pPr>
              <w:spacing w:before="100" w:beforeAutospacing="1" w:after="100" w:afterAutospacing="1"/>
              <w:rPr>
                <w:rFonts w:asciiTheme="minorHAnsi" w:hAnsiTheme="minorHAnsi"/>
                <w:sz w:val="22"/>
                <w:szCs w:val="22"/>
              </w:rPr>
            </w:pPr>
            <w:r w:rsidRPr="005432E1">
              <w:rPr>
                <w:rFonts w:asciiTheme="minorHAnsi" w:hAnsiTheme="minorHAnsi"/>
                <w:sz w:val="22"/>
                <w:szCs w:val="22"/>
              </w:rPr>
              <w:t>1,9%</w:t>
            </w:r>
          </w:p>
        </w:tc>
      </w:tr>
    </w:tbl>
    <w:p w14:paraId="69E687FC" w14:textId="15BEAC2C" w:rsidR="00411E80" w:rsidRPr="005432E1" w:rsidRDefault="00FF7A02" w:rsidP="00FF7A02">
      <w:pPr>
        <w:spacing w:after="100" w:afterAutospacing="1"/>
        <w:rPr>
          <w:rFonts w:asciiTheme="minorHAnsi" w:hAnsiTheme="minorHAnsi"/>
          <w:sz w:val="20"/>
          <w:szCs w:val="20"/>
        </w:rPr>
      </w:pPr>
      <w:r w:rsidRPr="005432E1">
        <w:rPr>
          <w:rFonts w:asciiTheme="minorHAnsi" w:hAnsiTheme="minorHAnsi"/>
          <w:sz w:val="20"/>
          <w:szCs w:val="20"/>
        </w:rPr>
        <w:tab/>
      </w:r>
      <w:r w:rsidR="00411E80" w:rsidRPr="005432E1">
        <w:rPr>
          <w:rFonts w:asciiTheme="minorHAnsi" w:hAnsiTheme="minorHAnsi"/>
          <w:sz w:val="20"/>
          <w:szCs w:val="20"/>
        </w:rPr>
        <w:t xml:space="preserve">* Diferença em relação ao Cenário Base. </w:t>
      </w:r>
      <w:r w:rsidR="00411E80" w:rsidRPr="005432E1">
        <w:rPr>
          <w:rFonts w:asciiTheme="minorHAnsi" w:hAnsiTheme="minorHAnsi"/>
          <w:i/>
          <w:iCs/>
          <w:sz w:val="20"/>
          <w:szCs w:val="20"/>
        </w:rPr>
        <w:t>Fonte: COGEP/ STN</w:t>
      </w:r>
    </w:p>
    <w:p w14:paraId="4BFBAEE7" w14:textId="26756A6F" w:rsidR="003C33F3" w:rsidRPr="005432E1" w:rsidRDefault="003C33F3" w:rsidP="003C33F3">
      <w:pPr>
        <w:spacing w:before="100" w:beforeAutospacing="1" w:after="100" w:afterAutospacing="1"/>
        <w:jc w:val="both"/>
        <w:rPr>
          <w:rFonts w:asciiTheme="minorHAnsi" w:hAnsiTheme="minorHAnsi"/>
        </w:rPr>
      </w:pPr>
      <w:r w:rsidRPr="005432E1">
        <w:rPr>
          <w:rFonts w:asciiTheme="minorHAnsi" w:hAnsiTheme="minorHAnsi"/>
        </w:rPr>
        <w:tab/>
        <w:t>Outra variável bastante sensível para as projeções de endividamento é o PIB real. Também foi feita uma análise de estática comparativa, sensibilizando as projeções de dívida com um cenário de 1 ponto percentual a mais de crescimento do PIB real e com um cenário de 1 ponto percentual a menos, ambos em relação ao cenário base</w:t>
      </w:r>
      <w:r w:rsidR="008261CF" w:rsidRPr="005432E1">
        <w:rPr>
          <w:rStyle w:val="Refdenotaderodap"/>
          <w:rFonts w:asciiTheme="minorHAnsi" w:hAnsiTheme="minorHAnsi"/>
        </w:rPr>
        <w:footnoteReference w:id="5"/>
      </w:r>
      <w:r w:rsidRPr="005432E1">
        <w:rPr>
          <w:rFonts w:asciiTheme="minorHAnsi" w:hAnsiTheme="minorHAnsi"/>
        </w:rPr>
        <w:t>.</w:t>
      </w:r>
    </w:p>
    <w:p w14:paraId="1171C463" w14:textId="0180F746" w:rsidR="003C33F3" w:rsidRPr="005432E1" w:rsidRDefault="003C33F3" w:rsidP="003C33F3">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8261CF" w:rsidRPr="005432E1">
        <w:rPr>
          <w:rFonts w:asciiTheme="minorHAnsi" w:hAnsiTheme="minorHAnsi"/>
          <w:b/>
          <w:bCs/>
        </w:rPr>
        <w:t>10</w:t>
      </w:r>
      <w:r w:rsidRPr="005432E1">
        <w:rPr>
          <w:rFonts w:asciiTheme="minorHAnsi" w:hAnsiTheme="minorHAnsi"/>
          <w:b/>
          <w:bCs/>
        </w:rPr>
        <w:t xml:space="preserve"> - Sensibilidade da DLSP/PIB e DBGG/PIB ao crescimento do PIB real</w:t>
      </w:r>
    </w:p>
    <w:tbl>
      <w:tblPr>
        <w:tblW w:w="8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723"/>
        <w:gridCol w:w="722"/>
        <w:gridCol w:w="722"/>
        <w:gridCol w:w="722"/>
        <w:gridCol w:w="51"/>
        <w:gridCol w:w="1340"/>
        <w:gridCol w:w="722"/>
        <w:gridCol w:w="722"/>
        <w:gridCol w:w="722"/>
        <w:gridCol w:w="722"/>
      </w:tblGrid>
      <w:tr w:rsidR="0026114A" w:rsidRPr="005432E1" w14:paraId="19CF3106"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487D617"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DLSP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2D1F2C"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011CDA0"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0A49AB"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B8F718"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2021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9EC229F" w14:textId="77777777" w:rsidR="003C33F3" w:rsidRPr="005432E1" w:rsidRDefault="003C33F3" w:rsidP="00756D40">
            <w:pPr>
              <w:spacing w:before="100" w:beforeAutospacing="1" w:after="100" w:afterAutospacing="1"/>
              <w:rPr>
                <w:rFonts w:asciiTheme="minorHAnsi" w:hAnsiTheme="minorHAnsi"/>
                <w:sz w:val="21"/>
                <w:szCs w:val="21"/>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F8EB80"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DBGG</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26F811E"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AB919CB"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1F3592"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57150C"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2021</w:t>
            </w:r>
          </w:p>
        </w:tc>
      </w:tr>
      <w:tr w:rsidR="0026114A" w:rsidRPr="005432E1" w14:paraId="590AE01F"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C98677B"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PIB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C6AB48"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9A5BB95"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19EF1D"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F6F6EA"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C6B3E81" w14:textId="77777777" w:rsidR="003C33F3" w:rsidRPr="005432E1" w:rsidRDefault="003C33F3" w:rsidP="00756D40">
            <w:pPr>
              <w:spacing w:before="100" w:beforeAutospacing="1" w:after="100" w:afterAutospacing="1"/>
              <w:rPr>
                <w:rFonts w:asciiTheme="minorHAnsi" w:hAnsiTheme="minorHAnsi"/>
                <w:sz w:val="21"/>
                <w:szCs w:val="21"/>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949D059"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PIB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FCADF57"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E6F3DC"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25FDF0"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8BB0D0"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4,1%</w:t>
            </w:r>
          </w:p>
        </w:tc>
      </w:tr>
      <w:tr w:rsidR="0026114A" w:rsidRPr="005432E1" w14:paraId="5CF28495"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144E6D2"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PIB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57CCCD"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2588508"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8F42BFE"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488FED"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CC68370" w14:textId="77777777" w:rsidR="003C33F3" w:rsidRPr="005432E1" w:rsidRDefault="003C33F3" w:rsidP="00756D40">
            <w:pPr>
              <w:spacing w:before="100" w:beforeAutospacing="1" w:after="100" w:afterAutospacing="1"/>
              <w:rPr>
                <w:rFonts w:asciiTheme="minorHAnsi" w:hAnsiTheme="minorHAnsi"/>
                <w:sz w:val="21"/>
                <w:szCs w:val="21"/>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AD41C4"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PIB + 1 p.p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FC0F37D"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849E2D7"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90499E"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650160" w14:textId="77777777" w:rsidR="003C33F3" w:rsidRPr="005432E1" w:rsidRDefault="003C33F3" w:rsidP="00756D40">
            <w:pPr>
              <w:spacing w:before="100" w:beforeAutospacing="1" w:after="100" w:afterAutospacing="1"/>
              <w:rPr>
                <w:rFonts w:asciiTheme="minorHAnsi" w:hAnsiTheme="minorHAnsi"/>
                <w:sz w:val="21"/>
                <w:szCs w:val="21"/>
              </w:rPr>
            </w:pPr>
            <w:r w:rsidRPr="005432E1">
              <w:rPr>
                <w:rFonts w:asciiTheme="minorHAnsi" w:hAnsiTheme="minorHAnsi"/>
                <w:sz w:val="21"/>
                <w:szCs w:val="21"/>
              </w:rPr>
              <w:t>-3,9%</w:t>
            </w:r>
          </w:p>
        </w:tc>
      </w:tr>
    </w:tbl>
    <w:p w14:paraId="5ED5379F" w14:textId="77777777" w:rsidR="003C33F3" w:rsidRPr="005432E1" w:rsidRDefault="003C33F3" w:rsidP="003C33F3">
      <w:pPr>
        <w:pStyle w:val="PargrafodaLista"/>
        <w:ind w:left="1425"/>
        <w:rPr>
          <w:rFonts w:asciiTheme="minorHAnsi" w:hAnsiTheme="minorHAnsi"/>
          <w:sz w:val="20"/>
          <w:szCs w:val="20"/>
        </w:rPr>
      </w:pPr>
      <w:bookmarkStart w:id="74" w:name="_Toc479778055"/>
      <w:bookmarkStart w:id="75" w:name="_Toc479778115"/>
      <w:bookmarkStart w:id="76" w:name="_Toc479778194"/>
      <w:bookmarkStart w:id="77" w:name="_Toc479778056"/>
      <w:bookmarkStart w:id="78" w:name="_Toc479778116"/>
      <w:bookmarkStart w:id="79" w:name="_Toc479778195"/>
      <w:bookmarkStart w:id="80" w:name="_Toc479778057"/>
      <w:bookmarkStart w:id="81" w:name="_Toc479778117"/>
      <w:bookmarkStart w:id="82" w:name="_Toc479778196"/>
      <w:bookmarkEnd w:id="74"/>
      <w:bookmarkEnd w:id="75"/>
      <w:bookmarkEnd w:id="76"/>
      <w:bookmarkEnd w:id="77"/>
      <w:bookmarkEnd w:id="78"/>
      <w:bookmarkEnd w:id="79"/>
      <w:bookmarkEnd w:id="80"/>
      <w:bookmarkEnd w:id="81"/>
      <w:bookmarkEnd w:id="82"/>
      <w:r w:rsidRPr="005432E1">
        <w:rPr>
          <w:rFonts w:asciiTheme="minorHAnsi" w:hAnsiTheme="minorHAnsi"/>
          <w:sz w:val="20"/>
          <w:szCs w:val="20"/>
        </w:rPr>
        <w:t>*Diferença em relação ao cenário base</w:t>
      </w:r>
    </w:p>
    <w:p w14:paraId="34C3B364" w14:textId="77777777" w:rsidR="003C33F3" w:rsidRPr="005432E1" w:rsidRDefault="003C33F3" w:rsidP="002D2FBD">
      <w:pPr>
        <w:rPr>
          <w:rFonts w:asciiTheme="minorHAnsi" w:hAnsiTheme="minorHAnsi"/>
          <w:b/>
        </w:rPr>
      </w:pPr>
    </w:p>
    <w:p w14:paraId="52C5DAFE" w14:textId="77777777" w:rsidR="005E1EAE" w:rsidRPr="005432E1" w:rsidRDefault="00D963EF" w:rsidP="004C4B03">
      <w:pPr>
        <w:pStyle w:val="Ttulo3"/>
        <w:numPr>
          <w:ilvl w:val="0"/>
          <w:numId w:val="0"/>
        </w:numPr>
        <w:rPr>
          <w:rFonts w:asciiTheme="minorHAnsi" w:hAnsiTheme="minorHAnsi"/>
          <w:b/>
        </w:rPr>
      </w:pPr>
      <w:bookmarkStart w:id="83" w:name="_Toc511230017"/>
      <w:r w:rsidRPr="005432E1">
        <w:rPr>
          <w:rFonts w:asciiTheme="minorHAnsi" w:hAnsiTheme="minorHAnsi"/>
          <w:b/>
        </w:rPr>
        <w:t>2.4</w:t>
      </w:r>
      <w:r w:rsidR="00D97B7B" w:rsidRPr="005432E1">
        <w:rPr>
          <w:rFonts w:asciiTheme="minorHAnsi" w:hAnsiTheme="minorHAnsi"/>
          <w:b/>
        </w:rPr>
        <w:t xml:space="preserve"> </w:t>
      </w:r>
      <w:r w:rsidRPr="005432E1">
        <w:rPr>
          <w:rFonts w:asciiTheme="minorHAnsi" w:hAnsiTheme="minorHAnsi"/>
          <w:b/>
        </w:rPr>
        <w:t xml:space="preserve">Estresse dos Parâmetros Macroeconômicos e Simulações de Receitas, Despesas </w:t>
      </w:r>
      <w:bookmarkEnd w:id="69"/>
      <w:bookmarkEnd w:id="70"/>
      <w:r w:rsidRPr="005432E1">
        <w:rPr>
          <w:rFonts w:asciiTheme="minorHAnsi" w:hAnsiTheme="minorHAnsi"/>
          <w:b/>
        </w:rPr>
        <w:t>e Dívida</w:t>
      </w:r>
      <w:bookmarkEnd w:id="83"/>
    </w:p>
    <w:p w14:paraId="0B6F300C" w14:textId="77777777" w:rsidR="00893502" w:rsidRPr="005432E1" w:rsidRDefault="00893502" w:rsidP="006F4AC5">
      <w:pPr>
        <w:rPr>
          <w:rFonts w:asciiTheme="minorHAnsi" w:hAnsiTheme="minorHAnsi"/>
        </w:rPr>
      </w:pPr>
    </w:p>
    <w:p w14:paraId="4392F3CE" w14:textId="77777777" w:rsidR="00BF3235" w:rsidRPr="005432E1" w:rsidRDefault="00BF3235" w:rsidP="006F4AC5">
      <w:pPr>
        <w:pStyle w:val="Recuodecorpodetexto"/>
        <w:spacing w:before="0" w:after="240"/>
        <w:ind w:firstLine="709"/>
        <w:rPr>
          <w:rFonts w:asciiTheme="minorHAnsi" w:hAnsiTheme="minorHAnsi"/>
        </w:rPr>
      </w:pPr>
      <w:r w:rsidRPr="005432E1">
        <w:rPr>
          <w:rFonts w:asciiTheme="minorHAnsi" w:hAnsiTheme="minorHAnsi"/>
        </w:rPr>
        <w:t xml:space="preserve">O cenário de indicadores macroeconômicos sob estresse utilizou como ponto médio da distribuição os valores da Grade de Parâmetros de </w:t>
      </w:r>
      <w:r w:rsidR="00BC48A3" w:rsidRPr="005432E1">
        <w:rPr>
          <w:rFonts w:asciiTheme="minorHAnsi" w:hAnsiTheme="minorHAnsi"/>
        </w:rPr>
        <w:t>12</w:t>
      </w:r>
      <w:r w:rsidRPr="005432E1">
        <w:rPr>
          <w:rFonts w:asciiTheme="minorHAnsi" w:hAnsiTheme="minorHAnsi"/>
        </w:rPr>
        <w:t>/3/201</w:t>
      </w:r>
      <w:r w:rsidR="00BC48A3" w:rsidRPr="005432E1">
        <w:rPr>
          <w:rFonts w:asciiTheme="minorHAnsi" w:hAnsiTheme="minorHAnsi"/>
        </w:rPr>
        <w:t>8</w:t>
      </w:r>
      <w:r w:rsidRPr="005432E1">
        <w:rPr>
          <w:rFonts w:asciiTheme="minorHAnsi" w:hAnsiTheme="minorHAnsi"/>
        </w:rPr>
        <w:t>, fornecida pela Secretaria de Política Econômica do Ministério da Fazenda, SPE/MF</w:t>
      </w:r>
      <w:r w:rsidRPr="005432E1">
        <w:rPr>
          <w:rStyle w:val="Refdenotaderodap"/>
          <w:rFonts w:asciiTheme="minorHAnsi" w:hAnsiTheme="minorHAnsi"/>
        </w:rPr>
        <w:footnoteReference w:id="6"/>
      </w:r>
      <w:r w:rsidRPr="005432E1">
        <w:rPr>
          <w:rFonts w:asciiTheme="minorHAnsi" w:hAnsiTheme="minorHAnsi"/>
        </w:rPr>
        <w:t>, a qual serviu como mediana (cenário base) para todos os indicadores.</w:t>
      </w:r>
    </w:p>
    <w:p w14:paraId="77A00F8F" w14:textId="77777777" w:rsidR="00BF3235" w:rsidRPr="005432E1" w:rsidRDefault="00BF3235" w:rsidP="006F4AC5">
      <w:pPr>
        <w:pStyle w:val="Recuodecorpodetexto"/>
        <w:spacing w:before="0" w:after="240"/>
        <w:ind w:firstLine="709"/>
        <w:rPr>
          <w:rFonts w:asciiTheme="minorHAnsi" w:hAnsiTheme="minorHAnsi"/>
        </w:rPr>
      </w:pPr>
      <w:r w:rsidRPr="005432E1">
        <w:rPr>
          <w:rFonts w:asciiTheme="minorHAnsi" w:hAnsiTheme="minorHAnsi"/>
        </w:rPr>
        <w:t>Para calcular o cenário de estresse dos parâmetros macroeconômicos, fo</w:t>
      </w:r>
      <w:r w:rsidR="003A1755" w:rsidRPr="005432E1">
        <w:rPr>
          <w:rFonts w:asciiTheme="minorHAnsi" w:hAnsiTheme="minorHAnsi"/>
        </w:rPr>
        <w:t>ram</w:t>
      </w:r>
      <w:r w:rsidRPr="005432E1">
        <w:rPr>
          <w:rFonts w:asciiTheme="minorHAnsi" w:hAnsiTheme="minorHAnsi"/>
        </w:rPr>
        <w:t xml:space="preserve"> adicionado</w:t>
      </w:r>
      <w:r w:rsidR="003A1755" w:rsidRPr="005432E1">
        <w:rPr>
          <w:rFonts w:asciiTheme="minorHAnsi" w:hAnsiTheme="minorHAnsi"/>
        </w:rPr>
        <w:t>s</w:t>
      </w:r>
      <w:r w:rsidRPr="005432E1">
        <w:rPr>
          <w:rFonts w:asciiTheme="minorHAnsi" w:hAnsiTheme="minorHAnsi"/>
        </w:rPr>
        <w:t xml:space="preserve"> 10 mil choques gaussianos</w:t>
      </w:r>
      <w:r w:rsidR="008D60E0" w:rsidRPr="005432E1">
        <w:rPr>
          <w:rStyle w:val="Refdenotaderodap"/>
          <w:rFonts w:asciiTheme="minorHAnsi" w:hAnsiTheme="minorHAnsi"/>
        </w:rPr>
        <w:footnoteReference w:id="7"/>
      </w:r>
      <w:r w:rsidRPr="005432E1">
        <w:rPr>
          <w:rFonts w:asciiTheme="minorHAnsi" w:hAnsiTheme="minorHAnsi"/>
        </w:rPr>
        <w:t xml:space="preserve"> ao caminho médio do crescimento do PIB (</w:t>
      </w:r>
      <w:r w:rsidR="000F3136" w:rsidRPr="005432E1">
        <w:rPr>
          <w:rFonts w:asciiTheme="minorHAnsi" w:hAnsiTheme="minorHAnsi"/>
        </w:rPr>
        <w:t>G</w:t>
      </w:r>
      <w:r w:rsidRPr="005432E1">
        <w:rPr>
          <w:rFonts w:asciiTheme="minorHAnsi" w:hAnsiTheme="minorHAnsi"/>
        </w:rPr>
        <w:t xml:space="preserve">rade de </w:t>
      </w:r>
      <w:r w:rsidR="000F3136" w:rsidRPr="005432E1">
        <w:rPr>
          <w:rFonts w:asciiTheme="minorHAnsi" w:hAnsiTheme="minorHAnsi"/>
        </w:rPr>
        <w:t>P</w:t>
      </w:r>
      <w:r w:rsidRPr="005432E1">
        <w:rPr>
          <w:rFonts w:asciiTheme="minorHAnsi" w:hAnsiTheme="minorHAnsi"/>
        </w:rPr>
        <w:t>arâmetros), multiplicando</w:t>
      </w:r>
      <w:r w:rsidR="003A1755" w:rsidRPr="005432E1">
        <w:rPr>
          <w:rFonts w:asciiTheme="minorHAnsi" w:hAnsiTheme="minorHAnsi"/>
        </w:rPr>
        <w:t>-</w:t>
      </w:r>
      <w:r w:rsidRPr="005432E1">
        <w:rPr>
          <w:rFonts w:asciiTheme="minorHAnsi" w:hAnsiTheme="minorHAnsi"/>
        </w:rPr>
        <w:t xml:space="preserve">os pelo desvio padrão de seu valor histórico. Desta forma, </w:t>
      </w:r>
      <w:r w:rsidR="003A1755" w:rsidRPr="005432E1">
        <w:rPr>
          <w:rFonts w:asciiTheme="minorHAnsi" w:hAnsiTheme="minorHAnsi"/>
        </w:rPr>
        <w:t xml:space="preserve">foram gerados </w:t>
      </w:r>
      <w:r w:rsidRPr="005432E1">
        <w:rPr>
          <w:rFonts w:asciiTheme="minorHAnsi" w:hAnsiTheme="minorHAnsi"/>
        </w:rPr>
        <w:t xml:space="preserve">diversos cenários </w:t>
      </w:r>
      <w:r w:rsidR="00B158B8" w:rsidRPr="005432E1">
        <w:rPr>
          <w:rFonts w:asciiTheme="minorHAnsi" w:hAnsiTheme="minorHAnsi"/>
        </w:rPr>
        <w:t xml:space="preserve">de estresse </w:t>
      </w:r>
      <w:r w:rsidRPr="005432E1">
        <w:rPr>
          <w:rFonts w:asciiTheme="minorHAnsi" w:hAnsiTheme="minorHAnsi"/>
        </w:rPr>
        <w:t>para a variação do PIB até 202</w:t>
      </w:r>
      <w:r w:rsidR="00BC48A3" w:rsidRPr="005432E1">
        <w:rPr>
          <w:rFonts w:asciiTheme="minorHAnsi" w:hAnsiTheme="minorHAnsi"/>
        </w:rPr>
        <w:t>1</w:t>
      </w:r>
      <w:r w:rsidRPr="005432E1">
        <w:rPr>
          <w:rFonts w:asciiTheme="minorHAnsi" w:hAnsiTheme="minorHAnsi"/>
        </w:rPr>
        <w:t>.</w:t>
      </w:r>
    </w:p>
    <w:p w14:paraId="5281C61A" w14:textId="77777777" w:rsidR="009D1829" w:rsidRPr="005432E1" w:rsidRDefault="009D1829" w:rsidP="006F4AC5">
      <w:pPr>
        <w:spacing w:after="240"/>
        <w:ind w:firstLine="709"/>
        <w:jc w:val="both"/>
        <w:rPr>
          <w:rFonts w:asciiTheme="minorHAnsi" w:hAnsiTheme="minorHAnsi"/>
          <w:color w:val="000000"/>
          <w:shd w:val="clear" w:color="auto" w:fill="FFFFFF"/>
        </w:rPr>
      </w:pPr>
      <w:r w:rsidRPr="005432E1">
        <w:rPr>
          <w:rFonts w:asciiTheme="minorHAnsi" w:hAnsiTheme="minorHAnsi"/>
          <w:color w:val="000000"/>
          <w:shd w:val="clear" w:color="auto" w:fill="FFFFFF"/>
        </w:rPr>
        <w:t>No entanto, é necessário que os choques do PIB reflitam nas outras variáveis macroeconômicas. Desta forma, estim</w:t>
      </w:r>
      <w:r w:rsidR="00791538" w:rsidRPr="005432E1">
        <w:rPr>
          <w:rFonts w:asciiTheme="minorHAnsi" w:hAnsiTheme="minorHAnsi"/>
          <w:color w:val="000000"/>
          <w:shd w:val="clear" w:color="auto" w:fill="FFFFFF"/>
        </w:rPr>
        <w:t>aram</w:t>
      </w:r>
      <w:r w:rsidRPr="005432E1">
        <w:rPr>
          <w:rFonts w:asciiTheme="minorHAnsi" w:hAnsiTheme="minorHAnsi"/>
          <w:color w:val="000000"/>
          <w:shd w:val="clear" w:color="auto" w:fill="FFFFFF"/>
        </w:rPr>
        <w:t>-se algumas equações para obter as relações entre os indicadores. Para as variáveis de atividade real</w:t>
      </w:r>
      <w:r w:rsidR="00791538" w:rsidRPr="005432E1">
        <w:rPr>
          <w:rFonts w:asciiTheme="minorHAnsi" w:hAnsiTheme="minorHAnsi"/>
          <w:color w:val="000000"/>
          <w:shd w:val="clear" w:color="auto" w:fill="FFFFFF"/>
        </w:rPr>
        <w:t>,</w:t>
      </w:r>
      <w:r w:rsidRPr="005432E1">
        <w:rPr>
          <w:rFonts w:asciiTheme="minorHAnsi" w:hAnsiTheme="minorHAnsi"/>
          <w:color w:val="000000"/>
          <w:shd w:val="clear" w:color="auto" w:fill="FFFFFF"/>
        </w:rPr>
        <w:t xml:space="preserve"> como produção física da indústria de transformação, licenciamento de veículos produzidos nacionalmente e outros, calculou-se a elasticidade com o PIB e aplic</w:t>
      </w:r>
      <w:r w:rsidR="003A1755" w:rsidRPr="005432E1">
        <w:rPr>
          <w:rFonts w:asciiTheme="minorHAnsi" w:hAnsiTheme="minorHAnsi"/>
          <w:color w:val="000000"/>
          <w:shd w:val="clear" w:color="auto" w:fill="FFFFFF"/>
        </w:rPr>
        <w:t xml:space="preserve">aram-se </w:t>
      </w:r>
      <w:r w:rsidRPr="005432E1">
        <w:rPr>
          <w:rFonts w:asciiTheme="minorHAnsi" w:hAnsiTheme="minorHAnsi"/>
          <w:color w:val="000000"/>
          <w:shd w:val="clear" w:color="auto" w:fill="FFFFFF"/>
        </w:rPr>
        <w:t>os choques para avaliar o seu impacto nestas séries econômicas. Para os indicadores de mercado de trabalho, estimou-se uma equação que determina os valores dos indicadores como taxa de desemprego e população ocupada. O último passo foi estimar a relação entre o nível de ociosidade da econ</w:t>
      </w:r>
      <w:r w:rsidR="00A63C20" w:rsidRPr="005432E1">
        <w:rPr>
          <w:rFonts w:asciiTheme="minorHAnsi" w:hAnsiTheme="minorHAnsi"/>
          <w:color w:val="000000"/>
          <w:shd w:val="clear" w:color="auto" w:fill="FFFFFF"/>
        </w:rPr>
        <w:t>omia</w:t>
      </w:r>
      <w:r w:rsidRPr="005432E1">
        <w:rPr>
          <w:rFonts w:asciiTheme="minorHAnsi" w:hAnsiTheme="minorHAnsi"/>
          <w:color w:val="000000"/>
          <w:shd w:val="clear" w:color="auto" w:fill="FFFFFF"/>
        </w:rPr>
        <w:t xml:space="preserve">, mediante a diferença entre o crescimento obtido pelos choques e o PIB potencial. Estimou-se a relação entre o hiato da atividade com a inflação ao consumidor e ao atacado. Assim, com as variações aleatórias adicionadas ao crescimento do PIB, pode-se verificar o efeito nos diversos indicadores macroeconômicos e posteriormente o seu efeito nas variáveis fiscais como receita, despesa, superávit e endividamento público. </w:t>
      </w:r>
    </w:p>
    <w:p w14:paraId="5799B5AD" w14:textId="3ACC9AA8" w:rsidR="00034F5F" w:rsidRPr="005432E1" w:rsidRDefault="00BF3235" w:rsidP="006F4AC5">
      <w:pPr>
        <w:spacing w:after="240"/>
        <w:ind w:firstLine="709"/>
        <w:jc w:val="both"/>
        <w:rPr>
          <w:rFonts w:asciiTheme="minorHAnsi" w:hAnsiTheme="minorHAnsi"/>
        </w:rPr>
      </w:pPr>
      <w:r w:rsidRPr="005432E1">
        <w:rPr>
          <w:rFonts w:asciiTheme="minorHAnsi" w:hAnsiTheme="minorHAnsi"/>
        </w:rPr>
        <w:t>A partir do PIB, estimou-se a relação entre este indicador e a produção da indústria de transformação, a qual foi utilizada para estimar o impacto na produção de bebidas. Outras variáveis utilizadas que foram revistas com base no cenário de estresse do PIB foram: vendas de veículos e vendas de fumo, população economicamente ativa, nível de ocupação, rendimento real e nominal e massa salarial. Por fim, valores de taxa de câmbio (R$/US$), inflação (IPCA, INPC e IGP-DI) foram atualizados com</w:t>
      </w:r>
      <w:r w:rsidR="00124BDD" w:rsidRPr="005432E1">
        <w:rPr>
          <w:rFonts w:asciiTheme="minorHAnsi" w:hAnsiTheme="minorHAnsi"/>
        </w:rPr>
        <w:t xml:space="preserve"> base em valores já observados. Elegeu-se o decil 30</w:t>
      </w:r>
      <w:r w:rsidR="00583FDD" w:rsidRPr="005432E1">
        <w:rPr>
          <w:rStyle w:val="Refdenotaderodap"/>
          <w:rFonts w:asciiTheme="minorHAnsi" w:hAnsiTheme="minorHAnsi"/>
        </w:rPr>
        <w:footnoteReference w:id="8"/>
      </w:r>
      <w:r w:rsidR="00124BDD" w:rsidRPr="005432E1">
        <w:rPr>
          <w:rFonts w:asciiTheme="minorHAnsi" w:hAnsiTheme="minorHAnsi"/>
        </w:rPr>
        <w:t xml:space="preserve"> da distribuição de valores aleatórios para o crescimento do PIB como o cenário de estresse. </w:t>
      </w:r>
      <w:r w:rsidRPr="005432E1">
        <w:rPr>
          <w:rFonts w:asciiTheme="minorHAnsi" w:hAnsiTheme="minorHAnsi"/>
        </w:rPr>
        <w:t xml:space="preserve">A Tabela </w:t>
      </w:r>
      <w:r w:rsidR="0028198C" w:rsidRPr="005432E1">
        <w:rPr>
          <w:rFonts w:asciiTheme="minorHAnsi" w:hAnsiTheme="minorHAnsi"/>
        </w:rPr>
        <w:t>1</w:t>
      </w:r>
      <w:r w:rsidR="008261CF" w:rsidRPr="005432E1">
        <w:rPr>
          <w:rFonts w:asciiTheme="minorHAnsi" w:hAnsiTheme="minorHAnsi"/>
        </w:rPr>
        <w:t>1</w:t>
      </w:r>
      <w:r w:rsidRPr="005432E1">
        <w:rPr>
          <w:rFonts w:asciiTheme="minorHAnsi" w:hAnsiTheme="minorHAnsi"/>
        </w:rPr>
        <w:t xml:space="preserve"> mostra a comparação entre os parâmetros do cenário base e os parâmetros no cenário de </w:t>
      </w:r>
      <w:r w:rsidR="00B158B8" w:rsidRPr="005432E1">
        <w:rPr>
          <w:rFonts w:asciiTheme="minorHAnsi" w:hAnsiTheme="minorHAnsi"/>
        </w:rPr>
        <w:t>estresse.</w:t>
      </w:r>
      <w:r w:rsidR="00077EFF" w:rsidRPr="005432E1">
        <w:rPr>
          <w:rFonts w:asciiTheme="minorHAnsi" w:hAnsiTheme="minorHAnsi"/>
        </w:rPr>
        <w:t xml:space="preserve"> </w:t>
      </w:r>
    </w:p>
    <w:p w14:paraId="745F5F7F" w14:textId="0741D0D6" w:rsidR="005432E1" w:rsidRDefault="005432E1">
      <w:pPr>
        <w:rPr>
          <w:rFonts w:asciiTheme="minorHAnsi" w:hAnsiTheme="minorHAnsi"/>
          <w:b/>
        </w:rPr>
      </w:pPr>
      <w:r>
        <w:rPr>
          <w:rFonts w:asciiTheme="minorHAnsi" w:hAnsiTheme="minorHAnsi"/>
          <w:b/>
        </w:rPr>
        <w:br w:type="page"/>
      </w:r>
    </w:p>
    <w:p w14:paraId="02F5681B" w14:textId="77777777" w:rsidR="00FA7861" w:rsidRPr="005432E1" w:rsidRDefault="00FA7861" w:rsidP="006F4AC5">
      <w:pPr>
        <w:jc w:val="center"/>
        <w:rPr>
          <w:rFonts w:asciiTheme="minorHAnsi" w:hAnsiTheme="minorHAnsi"/>
          <w:b/>
        </w:rPr>
      </w:pPr>
    </w:p>
    <w:p w14:paraId="3EDB8CB5" w14:textId="5655FA85" w:rsidR="00BF3235" w:rsidRPr="005432E1" w:rsidRDefault="00BF3235" w:rsidP="006F4AC5">
      <w:pPr>
        <w:jc w:val="center"/>
        <w:rPr>
          <w:rFonts w:asciiTheme="minorHAnsi" w:hAnsiTheme="minorHAnsi"/>
          <w:b/>
          <w:color w:val="FF0000"/>
        </w:rPr>
      </w:pPr>
      <w:r w:rsidRPr="005432E1">
        <w:rPr>
          <w:rFonts w:asciiTheme="minorHAnsi" w:hAnsiTheme="minorHAnsi"/>
          <w:b/>
        </w:rPr>
        <w:t xml:space="preserve">Tabela </w:t>
      </w:r>
      <w:r w:rsidR="0028198C" w:rsidRPr="005432E1">
        <w:rPr>
          <w:rFonts w:asciiTheme="minorHAnsi" w:hAnsiTheme="minorHAnsi"/>
          <w:b/>
        </w:rPr>
        <w:t>1</w:t>
      </w:r>
      <w:r w:rsidR="008261CF" w:rsidRPr="005432E1">
        <w:rPr>
          <w:rFonts w:asciiTheme="minorHAnsi" w:hAnsiTheme="minorHAnsi"/>
          <w:b/>
        </w:rPr>
        <w:t>1</w:t>
      </w:r>
      <w:r w:rsidRPr="005432E1">
        <w:rPr>
          <w:rFonts w:asciiTheme="minorHAnsi" w:hAnsiTheme="minorHAnsi"/>
          <w:b/>
        </w:rPr>
        <w:t xml:space="preserve"> – Comparação de parâmetros do Cenário Base x Estresse </w:t>
      </w:r>
      <w:r w:rsidR="000053EC" w:rsidRPr="005432E1">
        <w:rPr>
          <w:rFonts w:asciiTheme="minorHAnsi" w:hAnsiTheme="minorHAnsi"/>
          <w:b/>
        </w:rPr>
        <w:t xml:space="preserve">para </w:t>
      </w:r>
      <w:r w:rsidRPr="005432E1">
        <w:rPr>
          <w:rFonts w:asciiTheme="minorHAnsi" w:hAnsiTheme="minorHAnsi"/>
          <w:b/>
        </w:rPr>
        <w:t>201</w:t>
      </w:r>
      <w:r w:rsidR="008271CE" w:rsidRPr="005432E1">
        <w:rPr>
          <w:rFonts w:asciiTheme="minorHAnsi" w:hAnsiTheme="minorHAnsi"/>
          <w:b/>
        </w:rPr>
        <w:t>9</w:t>
      </w:r>
    </w:p>
    <w:p w14:paraId="07B1D3F3" w14:textId="77777777" w:rsidR="00BF3235" w:rsidRPr="005432E1" w:rsidRDefault="00BF3235" w:rsidP="006F4AC5">
      <w:pPr>
        <w:jc w:val="center"/>
        <w:rPr>
          <w:rFonts w:asciiTheme="minorHAnsi" w:hAnsiTheme="min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1963"/>
        <w:gridCol w:w="2303"/>
      </w:tblGrid>
      <w:tr w:rsidR="0026114A" w:rsidRPr="005432E1" w14:paraId="22A155AD" w14:textId="77777777" w:rsidTr="005C001A">
        <w:trPr>
          <w:trHeight w:val="197"/>
          <w:jc w:val="center"/>
        </w:trPr>
        <w:tc>
          <w:tcPr>
            <w:tcW w:w="4726" w:type="dxa"/>
            <w:shd w:val="clear" w:color="auto" w:fill="auto"/>
          </w:tcPr>
          <w:p w14:paraId="4C1CBCBC" w14:textId="77777777" w:rsidR="00BF3235" w:rsidRPr="005432E1" w:rsidRDefault="00BF3235" w:rsidP="006F4AC5">
            <w:pPr>
              <w:rPr>
                <w:rFonts w:asciiTheme="minorHAnsi" w:hAnsiTheme="minorHAnsi"/>
              </w:rPr>
            </w:pPr>
          </w:p>
        </w:tc>
        <w:tc>
          <w:tcPr>
            <w:tcW w:w="1963" w:type="dxa"/>
          </w:tcPr>
          <w:p w14:paraId="05815FA0" w14:textId="77777777" w:rsidR="00BF3235" w:rsidRPr="005432E1" w:rsidRDefault="00BF3235" w:rsidP="006F4AC5">
            <w:pPr>
              <w:jc w:val="center"/>
              <w:rPr>
                <w:rFonts w:asciiTheme="minorHAnsi" w:hAnsiTheme="minorHAnsi"/>
              </w:rPr>
            </w:pPr>
            <w:r w:rsidRPr="005432E1">
              <w:rPr>
                <w:rFonts w:asciiTheme="minorHAnsi" w:hAnsiTheme="minorHAnsi"/>
              </w:rPr>
              <w:t>Cenário Base</w:t>
            </w:r>
          </w:p>
        </w:tc>
        <w:tc>
          <w:tcPr>
            <w:tcW w:w="2303" w:type="dxa"/>
          </w:tcPr>
          <w:p w14:paraId="4F3E431C" w14:textId="77777777" w:rsidR="00BF3235" w:rsidRPr="005432E1" w:rsidRDefault="00BF3235" w:rsidP="006F4AC5">
            <w:pPr>
              <w:jc w:val="center"/>
              <w:rPr>
                <w:rFonts w:asciiTheme="minorHAnsi" w:hAnsiTheme="minorHAnsi"/>
              </w:rPr>
            </w:pPr>
            <w:r w:rsidRPr="005432E1">
              <w:rPr>
                <w:rFonts w:asciiTheme="minorHAnsi" w:hAnsiTheme="minorHAnsi"/>
              </w:rPr>
              <w:t>Cenário de Estresse</w:t>
            </w:r>
          </w:p>
        </w:tc>
      </w:tr>
      <w:tr w:rsidR="0026114A" w:rsidRPr="005432E1" w14:paraId="62F6999D" w14:textId="77777777" w:rsidTr="005C001A">
        <w:trPr>
          <w:trHeight w:val="190"/>
          <w:jc w:val="center"/>
        </w:trPr>
        <w:tc>
          <w:tcPr>
            <w:tcW w:w="4726" w:type="dxa"/>
            <w:shd w:val="clear" w:color="auto" w:fill="auto"/>
          </w:tcPr>
          <w:p w14:paraId="226092C9" w14:textId="77777777" w:rsidR="00BF3235" w:rsidRPr="005432E1" w:rsidRDefault="00BF3235" w:rsidP="006F4AC5">
            <w:pPr>
              <w:rPr>
                <w:rFonts w:asciiTheme="minorHAnsi" w:hAnsiTheme="minorHAnsi"/>
              </w:rPr>
            </w:pPr>
            <w:r w:rsidRPr="005432E1">
              <w:rPr>
                <w:rFonts w:asciiTheme="minorHAnsi" w:hAnsiTheme="minorHAnsi"/>
              </w:rPr>
              <w:t>PIB real (var %)</w:t>
            </w:r>
          </w:p>
        </w:tc>
        <w:tc>
          <w:tcPr>
            <w:tcW w:w="1963" w:type="dxa"/>
          </w:tcPr>
          <w:p w14:paraId="6DEBE0B0" w14:textId="77777777" w:rsidR="00BF3235" w:rsidRPr="005432E1" w:rsidRDefault="000509F5" w:rsidP="00791538">
            <w:pPr>
              <w:jc w:val="center"/>
              <w:rPr>
                <w:rFonts w:asciiTheme="minorHAnsi" w:hAnsiTheme="minorHAnsi"/>
              </w:rPr>
            </w:pPr>
            <w:r w:rsidRPr="005432E1">
              <w:rPr>
                <w:rFonts w:asciiTheme="minorHAnsi" w:hAnsiTheme="minorHAnsi"/>
              </w:rPr>
              <w:t>3,0</w:t>
            </w:r>
          </w:p>
        </w:tc>
        <w:tc>
          <w:tcPr>
            <w:tcW w:w="2303" w:type="dxa"/>
          </w:tcPr>
          <w:p w14:paraId="0D17BE92" w14:textId="77777777" w:rsidR="00BF3235" w:rsidRPr="005432E1" w:rsidRDefault="00B1722D" w:rsidP="00791538">
            <w:pPr>
              <w:jc w:val="center"/>
              <w:rPr>
                <w:rFonts w:asciiTheme="minorHAnsi" w:hAnsiTheme="minorHAnsi"/>
              </w:rPr>
            </w:pPr>
            <w:r w:rsidRPr="005432E1">
              <w:rPr>
                <w:rFonts w:asciiTheme="minorHAnsi" w:hAnsiTheme="minorHAnsi"/>
              </w:rPr>
              <w:t>1</w:t>
            </w:r>
            <w:r w:rsidR="00791538" w:rsidRPr="005432E1">
              <w:rPr>
                <w:rFonts w:asciiTheme="minorHAnsi" w:hAnsiTheme="minorHAnsi"/>
              </w:rPr>
              <w:t>,</w:t>
            </w:r>
            <w:r w:rsidR="00B57492" w:rsidRPr="005432E1">
              <w:rPr>
                <w:rFonts w:asciiTheme="minorHAnsi" w:hAnsiTheme="minorHAnsi"/>
              </w:rPr>
              <w:t>71</w:t>
            </w:r>
          </w:p>
        </w:tc>
      </w:tr>
      <w:tr w:rsidR="0026114A" w:rsidRPr="005432E1" w14:paraId="46C97809" w14:textId="77777777" w:rsidTr="005C001A">
        <w:trPr>
          <w:trHeight w:val="190"/>
          <w:jc w:val="center"/>
        </w:trPr>
        <w:tc>
          <w:tcPr>
            <w:tcW w:w="4726" w:type="dxa"/>
            <w:shd w:val="clear" w:color="auto" w:fill="auto"/>
          </w:tcPr>
          <w:p w14:paraId="29700D2E" w14:textId="77777777" w:rsidR="00BF3235" w:rsidRPr="005432E1" w:rsidRDefault="00BF3235" w:rsidP="006F4AC5">
            <w:pPr>
              <w:rPr>
                <w:rFonts w:asciiTheme="minorHAnsi" w:hAnsiTheme="minorHAnsi"/>
              </w:rPr>
            </w:pPr>
            <w:r w:rsidRPr="005432E1">
              <w:rPr>
                <w:rFonts w:asciiTheme="minorHAnsi" w:hAnsiTheme="minorHAnsi"/>
              </w:rPr>
              <w:t>PIB nominal (R$ milhões)</w:t>
            </w:r>
          </w:p>
        </w:tc>
        <w:tc>
          <w:tcPr>
            <w:tcW w:w="1963" w:type="dxa"/>
          </w:tcPr>
          <w:p w14:paraId="4AB65BD3" w14:textId="77777777" w:rsidR="00BF3235" w:rsidRPr="005432E1" w:rsidRDefault="000509F5" w:rsidP="006F4AC5">
            <w:pPr>
              <w:jc w:val="center"/>
              <w:rPr>
                <w:rFonts w:asciiTheme="minorHAnsi" w:hAnsiTheme="minorHAnsi"/>
              </w:rPr>
            </w:pPr>
            <w:r w:rsidRPr="005432E1">
              <w:rPr>
                <w:rFonts w:asciiTheme="minorHAnsi" w:hAnsiTheme="minorHAnsi"/>
              </w:rPr>
              <w:t>7.549.333</w:t>
            </w:r>
          </w:p>
        </w:tc>
        <w:tc>
          <w:tcPr>
            <w:tcW w:w="2303" w:type="dxa"/>
          </w:tcPr>
          <w:p w14:paraId="50ED9DBF" w14:textId="77777777" w:rsidR="00BF3235" w:rsidRPr="005432E1" w:rsidRDefault="002C700C" w:rsidP="006F4AC5">
            <w:pPr>
              <w:jc w:val="center"/>
              <w:rPr>
                <w:rFonts w:asciiTheme="minorHAnsi" w:hAnsiTheme="minorHAnsi"/>
                <w:color w:val="FF0000"/>
              </w:rPr>
            </w:pPr>
            <w:r w:rsidRPr="005432E1">
              <w:rPr>
                <w:rFonts w:asciiTheme="minorHAnsi" w:hAnsiTheme="minorHAnsi"/>
              </w:rPr>
              <w:t>7.353.670</w:t>
            </w:r>
          </w:p>
        </w:tc>
      </w:tr>
      <w:tr w:rsidR="0026114A" w:rsidRPr="005432E1" w14:paraId="4D0A8BDE" w14:textId="77777777" w:rsidTr="005C001A">
        <w:trPr>
          <w:trHeight w:val="190"/>
          <w:jc w:val="center"/>
        </w:trPr>
        <w:tc>
          <w:tcPr>
            <w:tcW w:w="4726" w:type="dxa"/>
            <w:shd w:val="clear" w:color="auto" w:fill="auto"/>
          </w:tcPr>
          <w:p w14:paraId="3A0ECE55" w14:textId="77777777" w:rsidR="00BF3235" w:rsidRPr="005432E1" w:rsidRDefault="00BF3235" w:rsidP="006F4AC5">
            <w:pPr>
              <w:rPr>
                <w:rFonts w:asciiTheme="minorHAnsi" w:hAnsiTheme="minorHAnsi"/>
              </w:rPr>
            </w:pPr>
            <w:r w:rsidRPr="005432E1">
              <w:rPr>
                <w:rFonts w:asciiTheme="minorHAnsi" w:hAnsiTheme="minorHAnsi"/>
              </w:rPr>
              <w:t>Ind. Transformação (var %)</w:t>
            </w:r>
          </w:p>
        </w:tc>
        <w:tc>
          <w:tcPr>
            <w:tcW w:w="1963" w:type="dxa"/>
          </w:tcPr>
          <w:p w14:paraId="650E5D48" w14:textId="77777777" w:rsidR="00BF3235" w:rsidRPr="005432E1" w:rsidRDefault="00003A13" w:rsidP="00791538">
            <w:pPr>
              <w:jc w:val="center"/>
              <w:rPr>
                <w:rFonts w:asciiTheme="minorHAnsi" w:hAnsiTheme="minorHAnsi"/>
              </w:rPr>
            </w:pPr>
            <w:r w:rsidRPr="005432E1">
              <w:rPr>
                <w:rFonts w:asciiTheme="minorHAnsi" w:hAnsiTheme="minorHAnsi"/>
              </w:rPr>
              <w:t>5,9</w:t>
            </w:r>
          </w:p>
        </w:tc>
        <w:tc>
          <w:tcPr>
            <w:tcW w:w="2303" w:type="dxa"/>
          </w:tcPr>
          <w:p w14:paraId="731D7B27" w14:textId="77777777" w:rsidR="00BF3235" w:rsidRPr="005432E1" w:rsidRDefault="00003A13" w:rsidP="006F4AC5">
            <w:pPr>
              <w:jc w:val="center"/>
              <w:rPr>
                <w:rFonts w:asciiTheme="minorHAnsi" w:hAnsiTheme="minorHAnsi"/>
                <w:color w:val="FF0000"/>
              </w:rPr>
            </w:pPr>
            <w:r w:rsidRPr="005432E1">
              <w:rPr>
                <w:rFonts w:asciiTheme="minorHAnsi" w:hAnsiTheme="minorHAnsi"/>
              </w:rPr>
              <w:t>3,84</w:t>
            </w:r>
          </w:p>
        </w:tc>
      </w:tr>
      <w:tr w:rsidR="0026114A" w:rsidRPr="005432E1" w14:paraId="56C2D699" w14:textId="77777777" w:rsidTr="005C001A">
        <w:trPr>
          <w:trHeight w:val="197"/>
          <w:jc w:val="center"/>
        </w:trPr>
        <w:tc>
          <w:tcPr>
            <w:tcW w:w="4726" w:type="dxa"/>
            <w:shd w:val="clear" w:color="auto" w:fill="auto"/>
          </w:tcPr>
          <w:p w14:paraId="28A49180" w14:textId="77777777" w:rsidR="00BF3235" w:rsidRPr="005432E1" w:rsidRDefault="00BF3235" w:rsidP="006F4AC5">
            <w:pPr>
              <w:rPr>
                <w:rFonts w:asciiTheme="minorHAnsi" w:hAnsiTheme="minorHAnsi"/>
              </w:rPr>
            </w:pPr>
            <w:r w:rsidRPr="005432E1">
              <w:rPr>
                <w:rFonts w:asciiTheme="minorHAnsi" w:hAnsiTheme="minorHAnsi"/>
              </w:rPr>
              <w:t>PEA</w:t>
            </w:r>
            <w:r w:rsidR="00791538" w:rsidRPr="005432E1">
              <w:rPr>
                <w:rFonts w:asciiTheme="minorHAnsi" w:hAnsiTheme="minorHAnsi"/>
              </w:rPr>
              <w:t xml:space="preserve"> (var %)</w:t>
            </w:r>
          </w:p>
        </w:tc>
        <w:tc>
          <w:tcPr>
            <w:tcW w:w="1963" w:type="dxa"/>
          </w:tcPr>
          <w:p w14:paraId="4C6EAAC6" w14:textId="77777777" w:rsidR="00BF3235" w:rsidRPr="005432E1" w:rsidRDefault="00BF3235" w:rsidP="00791538">
            <w:pPr>
              <w:jc w:val="center"/>
              <w:rPr>
                <w:rFonts w:asciiTheme="minorHAnsi" w:hAnsiTheme="minorHAnsi"/>
              </w:rPr>
            </w:pPr>
            <w:r w:rsidRPr="005432E1">
              <w:rPr>
                <w:rFonts w:asciiTheme="minorHAnsi" w:hAnsiTheme="minorHAnsi"/>
              </w:rPr>
              <w:t>1</w:t>
            </w:r>
            <w:r w:rsidR="00791538" w:rsidRPr="005432E1">
              <w:rPr>
                <w:rFonts w:asciiTheme="minorHAnsi" w:hAnsiTheme="minorHAnsi"/>
              </w:rPr>
              <w:t>,</w:t>
            </w:r>
            <w:r w:rsidR="000509F5" w:rsidRPr="005432E1">
              <w:rPr>
                <w:rFonts w:asciiTheme="minorHAnsi" w:hAnsiTheme="minorHAnsi"/>
              </w:rPr>
              <w:t>2</w:t>
            </w:r>
          </w:p>
        </w:tc>
        <w:tc>
          <w:tcPr>
            <w:tcW w:w="2303" w:type="dxa"/>
          </w:tcPr>
          <w:p w14:paraId="4C9A4E83" w14:textId="77777777" w:rsidR="00BF3235" w:rsidRPr="005432E1" w:rsidRDefault="00BF3235" w:rsidP="00791538">
            <w:pPr>
              <w:jc w:val="center"/>
              <w:rPr>
                <w:rFonts w:asciiTheme="minorHAnsi" w:hAnsiTheme="minorHAnsi"/>
                <w:color w:val="FF0000"/>
              </w:rPr>
            </w:pPr>
            <w:r w:rsidRPr="005432E1">
              <w:rPr>
                <w:rFonts w:asciiTheme="minorHAnsi" w:hAnsiTheme="minorHAnsi"/>
              </w:rPr>
              <w:t>1</w:t>
            </w:r>
            <w:r w:rsidR="00791538" w:rsidRPr="005432E1">
              <w:rPr>
                <w:rFonts w:asciiTheme="minorHAnsi" w:hAnsiTheme="minorHAnsi"/>
              </w:rPr>
              <w:t>,</w:t>
            </w:r>
            <w:r w:rsidR="00003A13" w:rsidRPr="005432E1">
              <w:rPr>
                <w:rFonts w:asciiTheme="minorHAnsi" w:hAnsiTheme="minorHAnsi"/>
              </w:rPr>
              <w:t>08</w:t>
            </w:r>
          </w:p>
        </w:tc>
      </w:tr>
      <w:tr w:rsidR="0026114A" w:rsidRPr="005432E1" w14:paraId="55BE97F6" w14:textId="77777777" w:rsidTr="005C001A">
        <w:trPr>
          <w:trHeight w:val="190"/>
          <w:jc w:val="center"/>
        </w:trPr>
        <w:tc>
          <w:tcPr>
            <w:tcW w:w="4726" w:type="dxa"/>
            <w:shd w:val="clear" w:color="auto" w:fill="auto"/>
          </w:tcPr>
          <w:p w14:paraId="0BAF91B6" w14:textId="77777777" w:rsidR="00BF3235" w:rsidRPr="005432E1" w:rsidRDefault="00BF3235" w:rsidP="006F4AC5">
            <w:pPr>
              <w:rPr>
                <w:rFonts w:asciiTheme="minorHAnsi" w:hAnsiTheme="minorHAnsi"/>
              </w:rPr>
            </w:pPr>
            <w:r w:rsidRPr="005432E1">
              <w:rPr>
                <w:rFonts w:asciiTheme="minorHAnsi" w:hAnsiTheme="minorHAnsi"/>
              </w:rPr>
              <w:t>Ocupação (var %)</w:t>
            </w:r>
          </w:p>
        </w:tc>
        <w:tc>
          <w:tcPr>
            <w:tcW w:w="1963" w:type="dxa"/>
          </w:tcPr>
          <w:p w14:paraId="6975BCB2" w14:textId="77777777" w:rsidR="00BF3235" w:rsidRPr="005432E1" w:rsidRDefault="000509F5" w:rsidP="00791538">
            <w:pPr>
              <w:jc w:val="center"/>
              <w:rPr>
                <w:rFonts w:asciiTheme="minorHAnsi" w:hAnsiTheme="minorHAnsi"/>
              </w:rPr>
            </w:pPr>
            <w:r w:rsidRPr="005432E1">
              <w:rPr>
                <w:rFonts w:asciiTheme="minorHAnsi" w:hAnsiTheme="minorHAnsi"/>
              </w:rPr>
              <w:t>1,9</w:t>
            </w:r>
          </w:p>
        </w:tc>
        <w:tc>
          <w:tcPr>
            <w:tcW w:w="2303" w:type="dxa"/>
          </w:tcPr>
          <w:p w14:paraId="64D4E0BD" w14:textId="77777777" w:rsidR="00BF3235" w:rsidRPr="005432E1" w:rsidRDefault="00003A13" w:rsidP="006F4AC5">
            <w:pPr>
              <w:jc w:val="center"/>
              <w:rPr>
                <w:rFonts w:asciiTheme="minorHAnsi" w:hAnsiTheme="minorHAnsi"/>
                <w:color w:val="FF0000"/>
              </w:rPr>
            </w:pPr>
            <w:r w:rsidRPr="005432E1">
              <w:rPr>
                <w:rFonts w:asciiTheme="minorHAnsi" w:hAnsiTheme="minorHAnsi"/>
              </w:rPr>
              <w:t>1,53</w:t>
            </w:r>
          </w:p>
        </w:tc>
      </w:tr>
      <w:tr w:rsidR="0026114A" w:rsidRPr="005432E1" w14:paraId="118D3AA8" w14:textId="77777777" w:rsidTr="005C001A">
        <w:trPr>
          <w:trHeight w:val="190"/>
          <w:jc w:val="center"/>
        </w:trPr>
        <w:tc>
          <w:tcPr>
            <w:tcW w:w="4726" w:type="dxa"/>
            <w:shd w:val="clear" w:color="auto" w:fill="auto"/>
          </w:tcPr>
          <w:p w14:paraId="0BD8A863" w14:textId="77777777" w:rsidR="00BF3235" w:rsidRPr="005432E1" w:rsidRDefault="00BF3235" w:rsidP="006F4AC5">
            <w:pPr>
              <w:rPr>
                <w:rFonts w:asciiTheme="minorHAnsi" w:hAnsiTheme="minorHAnsi"/>
              </w:rPr>
            </w:pPr>
            <w:r w:rsidRPr="005432E1">
              <w:rPr>
                <w:rFonts w:asciiTheme="minorHAnsi" w:hAnsiTheme="minorHAnsi"/>
              </w:rPr>
              <w:t>Rendimento real (var %)</w:t>
            </w:r>
          </w:p>
        </w:tc>
        <w:tc>
          <w:tcPr>
            <w:tcW w:w="1963" w:type="dxa"/>
          </w:tcPr>
          <w:p w14:paraId="11C0A6A6" w14:textId="77777777" w:rsidR="00BF3235" w:rsidRPr="005432E1" w:rsidRDefault="000509F5" w:rsidP="00791538">
            <w:pPr>
              <w:jc w:val="center"/>
              <w:rPr>
                <w:rFonts w:asciiTheme="minorHAnsi" w:hAnsiTheme="minorHAnsi"/>
              </w:rPr>
            </w:pPr>
            <w:r w:rsidRPr="005432E1">
              <w:rPr>
                <w:rFonts w:asciiTheme="minorHAnsi" w:hAnsiTheme="minorHAnsi"/>
              </w:rPr>
              <w:t>2,2</w:t>
            </w:r>
          </w:p>
        </w:tc>
        <w:tc>
          <w:tcPr>
            <w:tcW w:w="2303" w:type="dxa"/>
          </w:tcPr>
          <w:p w14:paraId="26C5E920" w14:textId="77777777" w:rsidR="00BF3235" w:rsidRPr="005432E1" w:rsidRDefault="00BF3235" w:rsidP="00791538">
            <w:pPr>
              <w:jc w:val="center"/>
              <w:rPr>
                <w:rFonts w:asciiTheme="minorHAnsi" w:hAnsiTheme="minorHAnsi"/>
                <w:color w:val="FF0000"/>
              </w:rPr>
            </w:pPr>
            <w:r w:rsidRPr="005432E1">
              <w:rPr>
                <w:rFonts w:asciiTheme="minorHAnsi" w:hAnsiTheme="minorHAnsi"/>
              </w:rPr>
              <w:t>1</w:t>
            </w:r>
            <w:r w:rsidR="00791538" w:rsidRPr="005432E1">
              <w:rPr>
                <w:rFonts w:asciiTheme="minorHAnsi" w:hAnsiTheme="minorHAnsi"/>
              </w:rPr>
              <w:t>,</w:t>
            </w:r>
            <w:r w:rsidR="006B5E3C" w:rsidRPr="005432E1">
              <w:rPr>
                <w:rFonts w:asciiTheme="minorHAnsi" w:hAnsiTheme="minorHAnsi"/>
              </w:rPr>
              <w:t>95</w:t>
            </w:r>
          </w:p>
        </w:tc>
      </w:tr>
      <w:tr w:rsidR="0026114A" w:rsidRPr="005432E1" w14:paraId="097837D0" w14:textId="77777777" w:rsidTr="005C001A">
        <w:trPr>
          <w:trHeight w:val="197"/>
          <w:jc w:val="center"/>
        </w:trPr>
        <w:tc>
          <w:tcPr>
            <w:tcW w:w="4726" w:type="dxa"/>
            <w:shd w:val="clear" w:color="auto" w:fill="auto"/>
          </w:tcPr>
          <w:p w14:paraId="72100430" w14:textId="77777777" w:rsidR="00BF3235" w:rsidRPr="005432E1" w:rsidRDefault="00BF3235" w:rsidP="006F4AC5">
            <w:pPr>
              <w:rPr>
                <w:rFonts w:asciiTheme="minorHAnsi" w:hAnsiTheme="minorHAnsi"/>
              </w:rPr>
            </w:pPr>
            <w:r w:rsidRPr="005432E1">
              <w:rPr>
                <w:rFonts w:asciiTheme="minorHAnsi" w:hAnsiTheme="minorHAnsi"/>
              </w:rPr>
              <w:t>Massa salarial real (var %)</w:t>
            </w:r>
          </w:p>
        </w:tc>
        <w:tc>
          <w:tcPr>
            <w:tcW w:w="1963" w:type="dxa"/>
          </w:tcPr>
          <w:p w14:paraId="6B7D9860" w14:textId="77777777" w:rsidR="00BF3235" w:rsidRPr="005432E1" w:rsidRDefault="000509F5" w:rsidP="00791538">
            <w:pPr>
              <w:jc w:val="center"/>
              <w:rPr>
                <w:rFonts w:asciiTheme="minorHAnsi" w:hAnsiTheme="minorHAnsi"/>
              </w:rPr>
            </w:pPr>
            <w:r w:rsidRPr="005432E1">
              <w:rPr>
                <w:rFonts w:asciiTheme="minorHAnsi" w:hAnsiTheme="minorHAnsi"/>
              </w:rPr>
              <w:t>4,1</w:t>
            </w:r>
          </w:p>
        </w:tc>
        <w:tc>
          <w:tcPr>
            <w:tcW w:w="2303" w:type="dxa"/>
          </w:tcPr>
          <w:p w14:paraId="4C4B8D4A" w14:textId="77777777" w:rsidR="00BF3235" w:rsidRPr="005432E1" w:rsidRDefault="00BC765D" w:rsidP="00791538">
            <w:pPr>
              <w:jc w:val="center"/>
              <w:rPr>
                <w:rFonts w:asciiTheme="minorHAnsi" w:hAnsiTheme="minorHAnsi"/>
                <w:color w:val="FF0000"/>
              </w:rPr>
            </w:pPr>
            <w:r w:rsidRPr="005432E1">
              <w:rPr>
                <w:rFonts w:asciiTheme="minorHAnsi" w:hAnsiTheme="minorHAnsi"/>
              </w:rPr>
              <w:t>3,51</w:t>
            </w:r>
          </w:p>
        </w:tc>
      </w:tr>
      <w:tr w:rsidR="0026114A" w:rsidRPr="005432E1" w14:paraId="7DF5F71A" w14:textId="77777777" w:rsidTr="005C001A">
        <w:trPr>
          <w:trHeight w:val="154"/>
          <w:jc w:val="center"/>
        </w:trPr>
        <w:tc>
          <w:tcPr>
            <w:tcW w:w="4726" w:type="dxa"/>
            <w:shd w:val="clear" w:color="auto" w:fill="auto"/>
          </w:tcPr>
          <w:p w14:paraId="6401D790" w14:textId="77777777" w:rsidR="00BF3235" w:rsidRPr="005432E1" w:rsidRDefault="00BF3235" w:rsidP="006F4AC5">
            <w:pPr>
              <w:rPr>
                <w:rFonts w:asciiTheme="minorHAnsi" w:hAnsiTheme="minorHAnsi"/>
              </w:rPr>
            </w:pPr>
            <w:r w:rsidRPr="005432E1">
              <w:rPr>
                <w:rFonts w:asciiTheme="minorHAnsi" w:hAnsiTheme="minorHAnsi"/>
              </w:rPr>
              <w:t>Importação sem Combustível (US$ milhões)</w:t>
            </w:r>
          </w:p>
        </w:tc>
        <w:tc>
          <w:tcPr>
            <w:tcW w:w="1963" w:type="dxa"/>
          </w:tcPr>
          <w:p w14:paraId="35B7A793" w14:textId="77777777" w:rsidR="00BF3235" w:rsidRPr="005432E1" w:rsidRDefault="000509F5" w:rsidP="006F4AC5">
            <w:pPr>
              <w:jc w:val="center"/>
              <w:rPr>
                <w:rFonts w:asciiTheme="minorHAnsi" w:hAnsiTheme="minorHAnsi"/>
              </w:rPr>
            </w:pPr>
            <w:r w:rsidRPr="005432E1">
              <w:rPr>
                <w:rFonts w:asciiTheme="minorHAnsi" w:hAnsiTheme="minorHAnsi"/>
              </w:rPr>
              <w:t>175.972</w:t>
            </w:r>
          </w:p>
        </w:tc>
        <w:tc>
          <w:tcPr>
            <w:tcW w:w="2303" w:type="dxa"/>
          </w:tcPr>
          <w:p w14:paraId="61A47A55" w14:textId="77777777" w:rsidR="00BF3235" w:rsidRPr="005432E1" w:rsidRDefault="00BC765D" w:rsidP="006F4AC5">
            <w:pPr>
              <w:jc w:val="center"/>
              <w:rPr>
                <w:rFonts w:asciiTheme="minorHAnsi" w:hAnsiTheme="minorHAnsi"/>
                <w:color w:val="FF0000"/>
              </w:rPr>
            </w:pPr>
            <w:r w:rsidRPr="005432E1">
              <w:rPr>
                <w:rFonts w:asciiTheme="minorHAnsi" w:hAnsiTheme="minorHAnsi"/>
              </w:rPr>
              <w:t>171.295</w:t>
            </w:r>
          </w:p>
        </w:tc>
      </w:tr>
      <w:tr w:rsidR="0026114A" w:rsidRPr="005432E1" w14:paraId="6EE7AF8B" w14:textId="77777777" w:rsidTr="005C001A">
        <w:trPr>
          <w:trHeight w:val="50"/>
          <w:jc w:val="center"/>
        </w:trPr>
        <w:tc>
          <w:tcPr>
            <w:tcW w:w="4726" w:type="dxa"/>
            <w:shd w:val="clear" w:color="auto" w:fill="auto"/>
          </w:tcPr>
          <w:p w14:paraId="601593AF" w14:textId="77777777" w:rsidR="00BF3235" w:rsidRPr="005432E1" w:rsidRDefault="00BF3235" w:rsidP="006F4AC5">
            <w:pPr>
              <w:rPr>
                <w:rFonts w:asciiTheme="minorHAnsi" w:hAnsiTheme="minorHAnsi"/>
              </w:rPr>
            </w:pPr>
            <w:r w:rsidRPr="005432E1">
              <w:rPr>
                <w:rFonts w:asciiTheme="minorHAnsi" w:hAnsiTheme="minorHAnsi"/>
              </w:rPr>
              <w:t>Salário Mínimo (R$)</w:t>
            </w:r>
          </w:p>
        </w:tc>
        <w:tc>
          <w:tcPr>
            <w:tcW w:w="1963" w:type="dxa"/>
          </w:tcPr>
          <w:p w14:paraId="36CF8880" w14:textId="77777777" w:rsidR="00BF3235" w:rsidRPr="005432E1" w:rsidRDefault="000509F5" w:rsidP="006F4AC5">
            <w:pPr>
              <w:jc w:val="center"/>
              <w:rPr>
                <w:rFonts w:asciiTheme="minorHAnsi" w:hAnsiTheme="minorHAnsi"/>
              </w:rPr>
            </w:pPr>
            <w:r w:rsidRPr="005432E1">
              <w:rPr>
                <w:rFonts w:asciiTheme="minorHAnsi" w:hAnsiTheme="minorHAnsi"/>
              </w:rPr>
              <w:t>1.002</w:t>
            </w:r>
          </w:p>
        </w:tc>
        <w:tc>
          <w:tcPr>
            <w:tcW w:w="2303" w:type="dxa"/>
          </w:tcPr>
          <w:p w14:paraId="52B46DDE" w14:textId="77777777" w:rsidR="00BF3235" w:rsidRPr="005432E1" w:rsidRDefault="00BC765D" w:rsidP="006F4AC5">
            <w:pPr>
              <w:jc w:val="center"/>
              <w:rPr>
                <w:rFonts w:asciiTheme="minorHAnsi" w:hAnsiTheme="minorHAnsi"/>
                <w:color w:val="FF0000"/>
              </w:rPr>
            </w:pPr>
            <w:r w:rsidRPr="005432E1">
              <w:rPr>
                <w:rFonts w:asciiTheme="minorHAnsi" w:hAnsiTheme="minorHAnsi"/>
              </w:rPr>
              <w:t>999</w:t>
            </w:r>
          </w:p>
        </w:tc>
      </w:tr>
      <w:tr w:rsidR="0026114A" w:rsidRPr="005432E1" w14:paraId="0DDB39A3" w14:textId="77777777" w:rsidTr="005C001A">
        <w:trPr>
          <w:trHeight w:val="50"/>
          <w:jc w:val="center"/>
        </w:trPr>
        <w:tc>
          <w:tcPr>
            <w:tcW w:w="4726" w:type="dxa"/>
            <w:shd w:val="clear" w:color="auto" w:fill="auto"/>
          </w:tcPr>
          <w:p w14:paraId="494655CA" w14:textId="77777777" w:rsidR="00C733A9" w:rsidRPr="005432E1" w:rsidRDefault="00A150FB" w:rsidP="006F4AC5">
            <w:pPr>
              <w:rPr>
                <w:rFonts w:asciiTheme="minorHAnsi" w:hAnsiTheme="minorHAnsi"/>
              </w:rPr>
            </w:pPr>
            <w:r w:rsidRPr="005432E1">
              <w:rPr>
                <w:rFonts w:asciiTheme="minorHAnsi" w:hAnsiTheme="minorHAnsi"/>
              </w:rPr>
              <w:t>INPC</w:t>
            </w:r>
            <w:r w:rsidR="00C733A9" w:rsidRPr="005432E1">
              <w:rPr>
                <w:rFonts w:asciiTheme="minorHAnsi" w:hAnsiTheme="minorHAnsi"/>
              </w:rPr>
              <w:t xml:space="preserve"> (fim de per</w:t>
            </w:r>
            <w:r w:rsidRPr="005432E1">
              <w:rPr>
                <w:rFonts w:asciiTheme="minorHAnsi" w:hAnsiTheme="minorHAnsi"/>
              </w:rPr>
              <w:t>íodo)</w:t>
            </w:r>
          </w:p>
        </w:tc>
        <w:tc>
          <w:tcPr>
            <w:tcW w:w="1963" w:type="dxa"/>
          </w:tcPr>
          <w:p w14:paraId="2A560E9C" w14:textId="77777777" w:rsidR="00C733A9" w:rsidRPr="005432E1" w:rsidRDefault="00B57492" w:rsidP="006F4AC5">
            <w:pPr>
              <w:jc w:val="center"/>
              <w:rPr>
                <w:rFonts w:asciiTheme="minorHAnsi" w:hAnsiTheme="minorHAnsi"/>
              </w:rPr>
            </w:pPr>
            <w:r w:rsidRPr="005432E1">
              <w:rPr>
                <w:rFonts w:asciiTheme="minorHAnsi" w:hAnsiTheme="minorHAnsi"/>
              </w:rPr>
              <w:t>4,2</w:t>
            </w:r>
          </w:p>
        </w:tc>
        <w:tc>
          <w:tcPr>
            <w:tcW w:w="2303" w:type="dxa"/>
          </w:tcPr>
          <w:p w14:paraId="427B438C" w14:textId="77777777" w:rsidR="00C733A9" w:rsidRPr="005432E1" w:rsidRDefault="00265A54" w:rsidP="006F4AC5">
            <w:pPr>
              <w:jc w:val="center"/>
              <w:rPr>
                <w:rFonts w:asciiTheme="minorHAnsi" w:hAnsiTheme="minorHAnsi"/>
                <w:color w:val="FF0000"/>
              </w:rPr>
            </w:pPr>
            <w:r w:rsidRPr="005432E1">
              <w:rPr>
                <w:rFonts w:asciiTheme="minorHAnsi" w:hAnsiTheme="minorHAnsi"/>
              </w:rPr>
              <w:t>3,75</w:t>
            </w:r>
          </w:p>
        </w:tc>
      </w:tr>
      <w:tr w:rsidR="0026114A" w:rsidRPr="005432E1" w14:paraId="07947B79" w14:textId="77777777" w:rsidTr="005C001A">
        <w:trPr>
          <w:trHeight w:val="50"/>
          <w:jc w:val="center"/>
        </w:trPr>
        <w:tc>
          <w:tcPr>
            <w:tcW w:w="4726" w:type="dxa"/>
            <w:shd w:val="clear" w:color="auto" w:fill="auto"/>
          </w:tcPr>
          <w:p w14:paraId="2E3EEBA5" w14:textId="77777777" w:rsidR="00C733A9" w:rsidRPr="005432E1" w:rsidRDefault="00C733A9" w:rsidP="006F4AC5">
            <w:pPr>
              <w:rPr>
                <w:rFonts w:asciiTheme="minorHAnsi" w:hAnsiTheme="minorHAnsi"/>
              </w:rPr>
            </w:pPr>
            <w:r w:rsidRPr="005432E1">
              <w:rPr>
                <w:rFonts w:asciiTheme="minorHAnsi" w:hAnsiTheme="minorHAnsi"/>
              </w:rPr>
              <w:t>I</w:t>
            </w:r>
            <w:r w:rsidR="00A150FB" w:rsidRPr="005432E1">
              <w:rPr>
                <w:rFonts w:asciiTheme="minorHAnsi" w:hAnsiTheme="minorHAnsi"/>
              </w:rPr>
              <w:t>PCA</w:t>
            </w:r>
            <w:r w:rsidRPr="005432E1">
              <w:rPr>
                <w:rFonts w:asciiTheme="minorHAnsi" w:hAnsiTheme="minorHAnsi"/>
              </w:rPr>
              <w:t xml:space="preserve"> (fim de período)</w:t>
            </w:r>
          </w:p>
        </w:tc>
        <w:tc>
          <w:tcPr>
            <w:tcW w:w="1963" w:type="dxa"/>
          </w:tcPr>
          <w:p w14:paraId="3EE2F315" w14:textId="77777777" w:rsidR="00C733A9" w:rsidRPr="005432E1" w:rsidRDefault="00B57492" w:rsidP="006F4AC5">
            <w:pPr>
              <w:jc w:val="center"/>
              <w:rPr>
                <w:rFonts w:asciiTheme="minorHAnsi" w:hAnsiTheme="minorHAnsi"/>
              </w:rPr>
            </w:pPr>
            <w:r w:rsidRPr="005432E1">
              <w:rPr>
                <w:rFonts w:asciiTheme="minorHAnsi" w:hAnsiTheme="minorHAnsi"/>
              </w:rPr>
              <w:t>4,2</w:t>
            </w:r>
          </w:p>
        </w:tc>
        <w:tc>
          <w:tcPr>
            <w:tcW w:w="2303" w:type="dxa"/>
          </w:tcPr>
          <w:p w14:paraId="239433D0" w14:textId="77777777" w:rsidR="00C733A9" w:rsidRPr="005432E1" w:rsidRDefault="00265A54" w:rsidP="006F4AC5">
            <w:pPr>
              <w:jc w:val="center"/>
              <w:rPr>
                <w:rFonts w:asciiTheme="minorHAnsi" w:hAnsiTheme="minorHAnsi"/>
                <w:color w:val="FF0000"/>
              </w:rPr>
            </w:pPr>
            <w:r w:rsidRPr="005432E1">
              <w:rPr>
                <w:rFonts w:asciiTheme="minorHAnsi" w:hAnsiTheme="minorHAnsi"/>
              </w:rPr>
              <w:t>3,77</w:t>
            </w:r>
          </w:p>
        </w:tc>
      </w:tr>
    </w:tbl>
    <w:p w14:paraId="66517A51" w14:textId="77777777" w:rsidR="00673482" w:rsidRPr="005432E1" w:rsidRDefault="00BF3235" w:rsidP="006F4AC5">
      <w:pPr>
        <w:rPr>
          <w:rFonts w:asciiTheme="minorHAnsi" w:hAnsiTheme="minorHAnsi"/>
          <w:color w:val="FF0000"/>
          <w:sz w:val="18"/>
          <w:szCs w:val="18"/>
        </w:rPr>
      </w:pPr>
      <w:r w:rsidRPr="005432E1">
        <w:rPr>
          <w:rFonts w:asciiTheme="minorHAnsi" w:hAnsiTheme="minorHAnsi"/>
          <w:color w:val="FF0000"/>
        </w:rPr>
        <w:t xml:space="preserve">        </w:t>
      </w:r>
      <w:r w:rsidRPr="005432E1">
        <w:rPr>
          <w:rFonts w:asciiTheme="minorHAnsi" w:hAnsiTheme="minorHAnsi"/>
          <w:sz w:val="18"/>
          <w:szCs w:val="18"/>
        </w:rPr>
        <w:t>Fonte: SEPLAN/MP</w:t>
      </w:r>
    </w:p>
    <w:p w14:paraId="2D4AA3CA" w14:textId="77777777" w:rsidR="008C17AC" w:rsidRPr="005432E1" w:rsidRDefault="006B65F4" w:rsidP="008C17AC">
      <w:pPr>
        <w:spacing w:before="120" w:after="120"/>
        <w:jc w:val="both"/>
        <w:rPr>
          <w:rFonts w:asciiTheme="minorHAnsi" w:hAnsiTheme="minorHAnsi"/>
        </w:rPr>
      </w:pPr>
      <w:r w:rsidRPr="005432E1">
        <w:rPr>
          <w:rFonts w:asciiTheme="minorHAnsi" w:hAnsiTheme="minorHAnsi"/>
        </w:rPr>
        <w:tab/>
      </w:r>
      <w:r w:rsidR="008C17AC" w:rsidRPr="005432E1">
        <w:rPr>
          <w:rFonts w:asciiTheme="minorHAnsi" w:hAnsiTheme="minorHAnsi"/>
        </w:rPr>
        <w:t>Além d</w:t>
      </w:r>
      <w:r w:rsidR="006663FA" w:rsidRPr="005432E1">
        <w:rPr>
          <w:rFonts w:asciiTheme="minorHAnsi" w:hAnsiTheme="minorHAnsi"/>
        </w:rPr>
        <w:t>o</w:t>
      </w:r>
      <w:r w:rsidR="008C17AC" w:rsidRPr="005432E1">
        <w:rPr>
          <w:rFonts w:asciiTheme="minorHAnsi" w:hAnsiTheme="minorHAnsi"/>
        </w:rPr>
        <w:t xml:space="preserve"> </w:t>
      </w:r>
      <w:r w:rsidR="006663FA" w:rsidRPr="005432E1">
        <w:rPr>
          <w:rFonts w:asciiTheme="minorHAnsi" w:hAnsiTheme="minorHAnsi"/>
        </w:rPr>
        <w:t>exercício descrito</w:t>
      </w:r>
      <w:r w:rsidR="008C17AC" w:rsidRPr="005432E1">
        <w:rPr>
          <w:rFonts w:asciiTheme="minorHAnsi" w:hAnsiTheme="minorHAnsi"/>
        </w:rPr>
        <w:t xml:space="preserve"> </w:t>
      </w:r>
      <w:r w:rsidR="006663FA" w:rsidRPr="005432E1">
        <w:rPr>
          <w:rFonts w:asciiTheme="minorHAnsi" w:hAnsiTheme="minorHAnsi"/>
        </w:rPr>
        <w:t>acima para elaboração do espectro de risco dos parâmetros macroeconômicos</w:t>
      </w:r>
      <w:r w:rsidR="006A61BD" w:rsidRPr="005432E1">
        <w:rPr>
          <w:rStyle w:val="Refdenotaderodap"/>
          <w:rFonts w:asciiTheme="minorHAnsi" w:hAnsiTheme="minorHAnsi"/>
        </w:rPr>
        <w:footnoteReference w:id="9"/>
      </w:r>
      <w:r w:rsidR="006A61BD" w:rsidRPr="005432E1">
        <w:rPr>
          <w:rFonts w:asciiTheme="minorHAnsi" w:hAnsiTheme="minorHAnsi"/>
        </w:rPr>
        <w:t>, f</w:t>
      </w:r>
      <w:r w:rsidR="006663FA" w:rsidRPr="005432E1">
        <w:rPr>
          <w:rFonts w:asciiTheme="minorHAnsi" w:hAnsiTheme="minorHAnsi"/>
        </w:rPr>
        <w:t>oram</w:t>
      </w:r>
      <w:r w:rsidR="008C17AC" w:rsidRPr="005432E1">
        <w:rPr>
          <w:rFonts w:asciiTheme="minorHAnsi" w:hAnsiTheme="minorHAnsi"/>
        </w:rPr>
        <w:t xml:space="preserve"> aplicados </w:t>
      </w:r>
      <w:r w:rsidR="00C77F58" w:rsidRPr="005432E1">
        <w:rPr>
          <w:rFonts w:asciiTheme="minorHAnsi" w:hAnsiTheme="minorHAnsi"/>
        </w:rPr>
        <w:t>esses</w:t>
      </w:r>
      <w:r w:rsidR="008C17AC" w:rsidRPr="005432E1">
        <w:rPr>
          <w:rFonts w:asciiTheme="minorHAnsi" w:hAnsiTheme="minorHAnsi"/>
        </w:rPr>
        <w:t xml:space="preserve"> diversos cenários de estresse nas principais variáveis fiscais, quais sejam: </w:t>
      </w:r>
      <w:r w:rsidR="00336896" w:rsidRPr="005432E1">
        <w:rPr>
          <w:rFonts w:asciiTheme="minorHAnsi" w:hAnsiTheme="minorHAnsi"/>
        </w:rPr>
        <w:t>receita, despesa, resultado primário e dívida pública.</w:t>
      </w:r>
      <w:r w:rsidR="006663FA" w:rsidRPr="005432E1">
        <w:rPr>
          <w:rFonts w:asciiTheme="minorHAnsi" w:hAnsiTheme="minorHAnsi"/>
        </w:rPr>
        <w:t xml:space="preserve"> O </w:t>
      </w:r>
      <w:r w:rsidR="008C17AC" w:rsidRPr="005432E1">
        <w:rPr>
          <w:rFonts w:asciiTheme="minorHAnsi" w:hAnsiTheme="minorHAnsi"/>
        </w:rPr>
        <w:t>exercício</w:t>
      </w:r>
      <w:r w:rsidR="00752A49" w:rsidRPr="005432E1">
        <w:rPr>
          <w:rFonts w:asciiTheme="minorHAnsi" w:hAnsiTheme="minorHAnsi"/>
        </w:rPr>
        <w:t xml:space="preserve"> se baseia </w:t>
      </w:r>
      <w:r w:rsidR="008C17AC" w:rsidRPr="005432E1">
        <w:rPr>
          <w:rFonts w:asciiTheme="minorHAnsi" w:hAnsiTheme="minorHAnsi"/>
        </w:rPr>
        <w:t>em efetuar as projeções d</w:t>
      </w:r>
      <w:r w:rsidR="00752A49" w:rsidRPr="005432E1">
        <w:rPr>
          <w:rFonts w:asciiTheme="minorHAnsi" w:hAnsiTheme="minorHAnsi"/>
        </w:rPr>
        <w:t>as variáveis fiscais</w:t>
      </w:r>
      <w:r w:rsidR="008C17AC" w:rsidRPr="005432E1">
        <w:rPr>
          <w:rFonts w:asciiTheme="minorHAnsi" w:hAnsiTheme="minorHAnsi"/>
        </w:rPr>
        <w:t xml:space="preserve"> com cenários </w:t>
      </w:r>
      <w:r w:rsidR="00E8776C" w:rsidRPr="005432E1">
        <w:rPr>
          <w:rFonts w:asciiTheme="minorHAnsi" w:hAnsiTheme="minorHAnsi"/>
        </w:rPr>
        <w:t>aleatórios,</w:t>
      </w:r>
      <w:r w:rsidR="008C17AC" w:rsidRPr="005432E1">
        <w:rPr>
          <w:rFonts w:asciiTheme="minorHAnsi" w:hAnsiTheme="minorHAnsi"/>
        </w:rPr>
        <w:t xml:space="preserve"> ou seja, são utilizados diversos cenários para estas variáveis, construídos em função do seu comportamento histórico, para sensibilizar as projeções de</w:t>
      </w:r>
      <w:r w:rsidR="00E8776C" w:rsidRPr="005432E1">
        <w:rPr>
          <w:rFonts w:asciiTheme="minorHAnsi" w:hAnsiTheme="minorHAnsi"/>
        </w:rPr>
        <w:t xml:space="preserve"> arrecadação, gastos e</w:t>
      </w:r>
      <w:r w:rsidR="008C17AC" w:rsidRPr="005432E1">
        <w:rPr>
          <w:rFonts w:asciiTheme="minorHAnsi" w:hAnsiTheme="minorHAnsi"/>
        </w:rPr>
        <w:t xml:space="preserve"> endividamento. </w:t>
      </w:r>
    </w:p>
    <w:p w14:paraId="237A3E66" w14:textId="77777777" w:rsidR="008C17AC" w:rsidRPr="005432E1" w:rsidRDefault="008C17AC" w:rsidP="008C17AC">
      <w:pPr>
        <w:spacing w:before="120" w:after="120"/>
        <w:jc w:val="both"/>
        <w:rPr>
          <w:rFonts w:asciiTheme="minorHAnsi" w:hAnsiTheme="minorHAnsi"/>
        </w:rPr>
      </w:pPr>
      <w:r w:rsidRPr="005432E1">
        <w:rPr>
          <w:rFonts w:asciiTheme="minorHAnsi" w:hAnsiTheme="minorHAnsi"/>
        </w:rPr>
        <w:tab/>
        <w:t xml:space="preserve">Os cenários </w:t>
      </w:r>
      <w:r w:rsidR="00E21EC0" w:rsidRPr="005432E1">
        <w:rPr>
          <w:rFonts w:asciiTheme="minorHAnsi" w:hAnsiTheme="minorHAnsi"/>
        </w:rPr>
        <w:t>aleatórios</w:t>
      </w:r>
      <w:r w:rsidRPr="005432E1">
        <w:rPr>
          <w:rFonts w:asciiTheme="minorHAnsi" w:hAnsiTheme="minorHAnsi"/>
        </w:rPr>
        <w:t xml:space="preserve"> apresentam a vantagem de combinar diversos cenários alternativos de PIB e d</w:t>
      </w:r>
      <w:r w:rsidR="00E21EC0" w:rsidRPr="005432E1">
        <w:rPr>
          <w:rFonts w:asciiTheme="minorHAnsi" w:hAnsiTheme="minorHAnsi"/>
        </w:rPr>
        <w:t>as demais variáveis da Grade de Parâmetros com seus efeitos nas mencionadas variáveis fiscais.</w:t>
      </w:r>
      <w:r w:rsidRPr="005432E1">
        <w:rPr>
          <w:rFonts w:asciiTheme="minorHAnsi" w:hAnsiTheme="minorHAnsi"/>
        </w:rPr>
        <w:t xml:space="preserve"> Este tipo de análise permite que se obtenham intervalos de confiança em torno do cenário base, sendo possível</w:t>
      </w:r>
      <w:r w:rsidR="00D01992" w:rsidRPr="005432E1">
        <w:rPr>
          <w:rFonts w:asciiTheme="minorHAnsi" w:hAnsiTheme="minorHAnsi"/>
        </w:rPr>
        <w:t xml:space="preserve"> atribuir probabilidades para as variáveis fiscais</w:t>
      </w:r>
      <w:r w:rsidRPr="005432E1">
        <w:rPr>
          <w:rFonts w:asciiTheme="minorHAnsi" w:hAnsiTheme="minorHAnsi"/>
        </w:rPr>
        <w:t xml:space="preserve"> ao longo do tem</w:t>
      </w:r>
      <w:r w:rsidR="00B073C4" w:rsidRPr="005432E1">
        <w:rPr>
          <w:rFonts w:asciiTheme="minorHAnsi" w:hAnsiTheme="minorHAnsi"/>
        </w:rPr>
        <w:t>po. Os resultados são exibidos a seguir.</w:t>
      </w:r>
    </w:p>
    <w:p w14:paraId="23B88382" w14:textId="3B7891D7" w:rsidR="00B158B8" w:rsidRPr="005432E1" w:rsidRDefault="008C17AC" w:rsidP="006F4AC5">
      <w:pPr>
        <w:jc w:val="both"/>
        <w:rPr>
          <w:rFonts w:asciiTheme="minorHAnsi" w:hAnsiTheme="minorHAnsi"/>
          <w:color w:val="FF0000"/>
        </w:rPr>
      </w:pPr>
      <w:r w:rsidRPr="005432E1">
        <w:rPr>
          <w:rFonts w:asciiTheme="minorHAnsi" w:hAnsiTheme="minorHAnsi"/>
        </w:rPr>
        <w:tab/>
      </w:r>
      <w:r w:rsidR="007D5DD1" w:rsidRPr="005432E1">
        <w:rPr>
          <w:rFonts w:asciiTheme="minorHAnsi" w:hAnsiTheme="minorHAnsi"/>
        </w:rPr>
        <w:t>C</w:t>
      </w:r>
      <w:r w:rsidR="006B65F4" w:rsidRPr="005432E1">
        <w:rPr>
          <w:rFonts w:asciiTheme="minorHAnsi" w:hAnsiTheme="minorHAnsi"/>
        </w:rPr>
        <w:t>om base no cenário de estresse,</w:t>
      </w:r>
      <w:r w:rsidR="007D5DD1" w:rsidRPr="005432E1">
        <w:rPr>
          <w:rFonts w:asciiTheme="minorHAnsi" w:hAnsiTheme="minorHAnsi"/>
        </w:rPr>
        <w:t xml:space="preserve"> na Tabela 1</w:t>
      </w:r>
      <w:r w:rsidR="008261CF" w:rsidRPr="005432E1">
        <w:rPr>
          <w:rFonts w:asciiTheme="minorHAnsi" w:hAnsiTheme="minorHAnsi"/>
        </w:rPr>
        <w:t>2</w:t>
      </w:r>
      <w:r w:rsidR="006B65F4" w:rsidRPr="005432E1">
        <w:rPr>
          <w:rFonts w:asciiTheme="minorHAnsi" w:hAnsiTheme="minorHAnsi"/>
        </w:rPr>
        <w:t xml:space="preserve"> estima-se uma receita total para a União de R$ 1.</w:t>
      </w:r>
      <w:r w:rsidR="00CA7D3A" w:rsidRPr="005432E1">
        <w:rPr>
          <w:rFonts w:asciiTheme="minorHAnsi" w:hAnsiTheme="minorHAnsi"/>
        </w:rPr>
        <w:t>516</w:t>
      </w:r>
      <w:r w:rsidR="006B65F4" w:rsidRPr="005432E1">
        <w:rPr>
          <w:rFonts w:asciiTheme="minorHAnsi" w:hAnsiTheme="minorHAnsi"/>
        </w:rPr>
        <w:t xml:space="preserve"> bilhões em 201</w:t>
      </w:r>
      <w:r w:rsidR="00CA7D3A" w:rsidRPr="005432E1">
        <w:rPr>
          <w:rFonts w:asciiTheme="minorHAnsi" w:hAnsiTheme="minorHAnsi"/>
        </w:rPr>
        <w:t>9</w:t>
      </w:r>
      <w:r w:rsidR="006B65F4" w:rsidRPr="005432E1">
        <w:rPr>
          <w:rFonts w:asciiTheme="minorHAnsi" w:hAnsiTheme="minorHAnsi"/>
        </w:rPr>
        <w:t xml:space="preserve">, queda de R$ </w:t>
      </w:r>
      <w:r w:rsidR="00CA7D3A" w:rsidRPr="005432E1">
        <w:rPr>
          <w:rFonts w:asciiTheme="minorHAnsi" w:hAnsiTheme="minorHAnsi"/>
        </w:rPr>
        <w:t>26,9</w:t>
      </w:r>
      <w:r w:rsidR="006B65F4" w:rsidRPr="005432E1">
        <w:rPr>
          <w:rFonts w:asciiTheme="minorHAnsi" w:hAnsiTheme="minorHAnsi"/>
        </w:rPr>
        <w:t xml:space="preserve"> bilhões ante o cenário base constante no Anexo de Metas Fiscais.</w:t>
      </w:r>
      <w:r w:rsidR="00C17449" w:rsidRPr="005432E1">
        <w:rPr>
          <w:rFonts w:asciiTheme="minorHAnsi" w:hAnsiTheme="minorHAnsi"/>
        </w:rPr>
        <w:t xml:space="preserve"> Descontadas as transferências de receita para entes subnacionais, a receita líquida no cenário de estresse atinge </w:t>
      </w:r>
      <w:r w:rsidR="00B07503" w:rsidRPr="005432E1">
        <w:rPr>
          <w:rFonts w:asciiTheme="minorHAnsi" w:hAnsiTheme="minorHAnsi"/>
        </w:rPr>
        <w:t xml:space="preserve">R$ </w:t>
      </w:r>
      <w:r w:rsidR="00EB2EFF" w:rsidRPr="005432E1">
        <w:rPr>
          <w:rFonts w:asciiTheme="minorHAnsi" w:hAnsiTheme="minorHAnsi"/>
        </w:rPr>
        <w:t>1.</w:t>
      </w:r>
      <w:r w:rsidR="00CA7D3A" w:rsidRPr="005432E1">
        <w:rPr>
          <w:rFonts w:asciiTheme="minorHAnsi" w:hAnsiTheme="minorHAnsi"/>
        </w:rPr>
        <w:t>250</w:t>
      </w:r>
      <w:r w:rsidR="00B07503" w:rsidRPr="005432E1">
        <w:rPr>
          <w:rFonts w:asciiTheme="minorHAnsi" w:hAnsiTheme="minorHAnsi"/>
        </w:rPr>
        <w:t xml:space="preserve"> </w:t>
      </w:r>
      <w:r w:rsidR="00EB2EFF" w:rsidRPr="005432E1">
        <w:rPr>
          <w:rFonts w:asciiTheme="minorHAnsi" w:hAnsiTheme="minorHAnsi"/>
        </w:rPr>
        <w:t>bilhões</w:t>
      </w:r>
      <w:r w:rsidR="00C17449" w:rsidRPr="005432E1">
        <w:rPr>
          <w:rFonts w:asciiTheme="minorHAnsi" w:hAnsiTheme="minorHAnsi"/>
        </w:rPr>
        <w:t xml:space="preserve"> no período,</w:t>
      </w:r>
      <w:r w:rsidR="00B07503" w:rsidRPr="005432E1">
        <w:rPr>
          <w:rFonts w:asciiTheme="minorHAnsi" w:hAnsiTheme="minorHAnsi"/>
        </w:rPr>
        <w:t xml:space="preserve"> queda de R$ </w:t>
      </w:r>
      <w:r w:rsidR="00CA7D3A" w:rsidRPr="005432E1">
        <w:rPr>
          <w:rFonts w:asciiTheme="minorHAnsi" w:hAnsiTheme="minorHAnsi"/>
        </w:rPr>
        <w:t>2</w:t>
      </w:r>
      <w:r w:rsidR="00EB2EFF" w:rsidRPr="005432E1">
        <w:rPr>
          <w:rFonts w:asciiTheme="minorHAnsi" w:hAnsiTheme="minorHAnsi"/>
        </w:rPr>
        <w:t>6,</w:t>
      </w:r>
      <w:r w:rsidR="00CA7D3A" w:rsidRPr="005432E1">
        <w:rPr>
          <w:rFonts w:asciiTheme="minorHAnsi" w:hAnsiTheme="minorHAnsi"/>
        </w:rPr>
        <w:t>6</w:t>
      </w:r>
      <w:r w:rsidR="00EB2EFF" w:rsidRPr="005432E1">
        <w:rPr>
          <w:rFonts w:asciiTheme="minorHAnsi" w:hAnsiTheme="minorHAnsi"/>
        </w:rPr>
        <w:t xml:space="preserve"> bilhões</w:t>
      </w:r>
      <w:r w:rsidR="00B07503" w:rsidRPr="005432E1">
        <w:rPr>
          <w:rFonts w:asciiTheme="minorHAnsi" w:hAnsiTheme="minorHAnsi"/>
        </w:rPr>
        <w:t xml:space="preserve"> ante o cenário base</w:t>
      </w:r>
      <w:r w:rsidR="00C17449" w:rsidRPr="005432E1">
        <w:rPr>
          <w:rFonts w:asciiTheme="minorHAnsi" w:hAnsiTheme="minorHAnsi"/>
        </w:rPr>
        <w:t>.</w:t>
      </w:r>
    </w:p>
    <w:p w14:paraId="7899CB65" w14:textId="77777777" w:rsidR="006B65F4" w:rsidRPr="005432E1" w:rsidRDefault="006B65F4" w:rsidP="006F4AC5">
      <w:pPr>
        <w:ind w:firstLine="708"/>
        <w:jc w:val="both"/>
        <w:rPr>
          <w:rFonts w:asciiTheme="minorHAnsi" w:hAnsiTheme="minorHAnsi"/>
        </w:rPr>
      </w:pPr>
    </w:p>
    <w:p w14:paraId="3F1CD23C" w14:textId="2BD2AFCC" w:rsidR="005432E1" w:rsidRDefault="00B158B8" w:rsidP="006F4AC5">
      <w:pPr>
        <w:ind w:firstLine="708"/>
        <w:jc w:val="both"/>
        <w:rPr>
          <w:rFonts w:asciiTheme="minorHAnsi" w:hAnsiTheme="minorHAnsi"/>
        </w:rPr>
      </w:pPr>
      <w:r w:rsidRPr="005432E1">
        <w:rPr>
          <w:rFonts w:asciiTheme="minorHAnsi" w:hAnsiTheme="minorHAnsi"/>
        </w:rPr>
        <w:t xml:space="preserve">Do ponto de vista da despesa, as estimativas resultantes do </w:t>
      </w:r>
      <w:r w:rsidR="000C29FB" w:rsidRPr="005432E1">
        <w:rPr>
          <w:rFonts w:asciiTheme="minorHAnsi" w:hAnsiTheme="minorHAnsi"/>
        </w:rPr>
        <w:t xml:space="preserve">cenário de estresse implicam </w:t>
      </w:r>
      <w:r w:rsidRPr="005432E1">
        <w:rPr>
          <w:rFonts w:asciiTheme="minorHAnsi" w:hAnsiTheme="minorHAnsi"/>
        </w:rPr>
        <w:t>um</w:t>
      </w:r>
      <w:r w:rsidR="00413EAF" w:rsidRPr="005432E1">
        <w:rPr>
          <w:rFonts w:asciiTheme="minorHAnsi" w:hAnsiTheme="minorHAnsi"/>
        </w:rPr>
        <w:t>a redução</w:t>
      </w:r>
      <w:r w:rsidRPr="005432E1">
        <w:rPr>
          <w:rFonts w:asciiTheme="minorHAnsi" w:hAnsiTheme="minorHAnsi"/>
        </w:rPr>
        <w:t xml:space="preserve"> de R$</w:t>
      </w:r>
      <w:r w:rsidR="00917670" w:rsidRPr="005432E1">
        <w:rPr>
          <w:rFonts w:asciiTheme="minorHAnsi" w:hAnsiTheme="minorHAnsi"/>
        </w:rPr>
        <w:t xml:space="preserve"> </w:t>
      </w:r>
      <w:r w:rsidR="00413EAF" w:rsidRPr="005432E1">
        <w:rPr>
          <w:rFonts w:asciiTheme="minorHAnsi" w:hAnsiTheme="minorHAnsi"/>
        </w:rPr>
        <w:t>4,7</w:t>
      </w:r>
      <w:r w:rsidR="00917670" w:rsidRPr="005432E1">
        <w:rPr>
          <w:rFonts w:asciiTheme="minorHAnsi" w:hAnsiTheme="minorHAnsi"/>
        </w:rPr>
        <w:t xml:space="preserve"> bilhões</w:t>
      </w:r>
      <w:r w:rsidRPr="005432E1">
        <w:rPr>
          <w:rFonts w:asciiTheme="minorHAnsi" w:hAnsiTheme="minorHAnsi"/>
        </w:rPr>
        <w:t xml:space="preserve"> em 201</w:t>
      </w:r>
      <w:r w:rsidR="00413EAF" w:rsidRPr="005432E1">
        <w:rPr>
          <w:rFonts w:asciiTheme="minorHAnsi" w:hAnsiTheme="minorHAnsi"/>
        </w:rPr>
        <w:t>9</w:t>
      </w:r>
      <w:r w:rsidR="00917670" w:rsidRPr="005432E1">
        <w:rPr>
          <w:rFonts w:asciiTheme="minorHAnsi" w:hAnsiTheme="minorHAnsi"/>
        </w:rPr>
        <w:t xml:space="preserve">. </w:t>
      </w:r>
      <w:r w:rsidRPr="005432E1">
        <w:rPr>
          <w:rFonts w:asciiTheme="minorHAnsi" w:hAnsiTheme="minorHAnsi"/>
        </w:rPr>
        <w:t xml:space="preserve">Da conjugação de receitas e despesas estressadas, obtém-se o </w:t>
      </w:r>
      <w:r w:rsidR="00917670" w:rsidRPr="005432E1">
        <w:rPr>
          <w:rFonts w:asciiTheme="minorHAnsi" w:hAnsiTheme="minorHAnsi"/>
        </w:rPr>
        <w:t xml:space="preserve">déficit </w:t>
      </w:r>
      <w:r w:rsidRPr="005432E1">
        <w:rPr>
          <w:rFonts w:asciiTheme="minorHAnsi" w:hAnsiTheme="minorHAnsi"/>
        </w:rPr>
        <w:t>primário d</w:t>
      </w:r>
      <w:r w:rsidR="00917670" w:rsidRPr="005432E1">
        <w:rPr>
          <w:rFonts w:asciiTheme="minorHAnsi" w:hAnsiTheme="minorHAnsi"/>
        </w:rPr>
        <w:t>o Governo Central de</w:t>
      </w:r>
      <w:r w:rsidRPr="005432E1">
        <w:rPr>
          <w:rFonts w:asciiTheme="minorHAnsi" w:hAnsiTheme="minorHAnsi"/>
        </w:rPr>
        <w:t xml:space="preserve"> R$</w:t>
      </w:r>
      <w:r w:rsidR="00917670" w:rsidRPr="005432E1">
        <w:rPr>
          <w:rFonts w:asciiTheme="minorHAnsi" w:hAnsiTheme="minorHAnsi"/>
        </w:rPr>
        <w:t xml:space="preserve"> 1</w:t>
      </w:r>
      <w:r w:rsidR="00413EAF" w:rsidRPr="005432E1">
        <w:rPr>
          <w:rFonts w:asciiTheme="minorHAnsi" w:hAnsiTheme="minorHAnsi"/>
        </w:rPr>
        <w:t>60.878</w:t>
      </w:r>
      <w:r w:rsidR="00917670" w:rsidRPr="005432E1">
        <w:rPr>
          <w:rFonts w:asciiTheme="minorHAnsi" w:hAnsiTheme="minorHAnsi"/>
        </w:rPr>
        <w:t xml:space="preserve"> b</w:t>
      </w:r>
      <w:r w:rsidRPr="005432E1">
        <w:rPr>
          <w:rFonts w:asciiTheme="minorHAnsi" w:hAnsiTheme="minorHAnsi"/>
        </w:rPr>
        <w:t xml:space="preserve">ilhões, </w:t>
      </w:r>
      <w:r w:rsidR="00BF30D3" w:rsidRPr="005432E1">
        <w:rPr>
          <w:rFonts w:asciiTheme="minorHAnsi" w:hAnsiTheme="minorHAnsi"/>
        </w:rPr>
        <w:t xml:space="preserve">valor </w:t>
      </w:r>
      <w:r w:rsidR="0098498C" w:rsidRPr="005432E1">
        <w:rPr>
          <w:rFonts w:asciiTheme="minorHAnsi" w:hAnsiTheme="minorHAnsi"/>
        </w:rPr>
        <w:t>1</w:t>
      </w:r>
      <w:r w:rsidR="009B28C9" w:rsidRPr="005432E1">
        <w:rPr>
          <w:rFonts w:asciiTheme="minorHAnsi" w:hAnsiTheme="minorHAnsi"/>
        </w:rPr>
        <w:t>5</w:t>
      </w:r>
      <w:r w:rsidR="00413EAF" w:rsidRPr="005432E1">
        <w:rPr>
          <w:rFonts w:asciiTheme="minorHAnsi" w:hAnsiTheme="minorHAnsi"/>
        </w:rPr>
        <w:t>,</w:t>
      </w:r>
      <w:r w:rsidR="009B28C9" w:rsidRPr="005432E1">
        <w:rPr>
          <w:rFonts w:asciiTheme="minorHAnsi" w:hAnsiTheme="minorHAnsi"/>
        </w:rPr>
        <w:t>7</w:t>
      </w:r>
      <w:r w:rsidR="0098498C" w:rsidRPr="005432E1">
        <w:rPr>
          <w:rFonts w:asciiTheme="minorHAnsi" w:hAnsiTheme="minorHAnsi"/>
        </w:rPr>
        <w:t>% superior à meta original.</w:t>
      </w:r>
      <w:r w:rsidR="00C264C0" w:rsidRPr="005432E1">
        <w:rPr>
          <w:rFonts w:asciiTheme="minorHAnsi" w:hAnsiTheme="minorHAnsi"/>
        </w:rPr>
        <w:t xml:space="preserve"> Por fim, o impacto dos parâmetros e do resultado primário estressados resultam em uma relação Dívida Líquida do Setor Público</w:t>
      </w:r>
      <w:r w:rsidR="002D4FC1" w:rsidRPr="005432E1">
        <w:rPr>
          <w:rFonts w:asciiTheme="minorHAnsi" w:hAnsiTheme="minorHAnsi"/>
        </w:rPr>
        <w:t xml:space="preserve"> (DLSP)</w:t>
      </w:r>
      <w:r w:rsidR="00C264C0" w:rsidRPr="005432E1">
        <w:rPr>
          <w:rFonts w:asciiTheme="minorHAnsi" w:hAnsiTheme="minorHAnsi"/>
        </w:rPr>
        <w:t xml:space="preserve"> sobre PIB de </w:t>
      </w:r>
      <w:r w:rsidR="00A53CAB" w:rsidRPr="005432E1">
        <w:rPr>
          <w:rFonts w:asciiTheme="minorHAnsi" w:hAnsiTheme="minorHAnsi"/>
        </w:rPr>
        <w:t>60,2</w:t>
      </w:r>
      <w:r w:rsidR="00BB7A0C" w:rsidRPr="005432E1">
        <w:rPr>
          <w:rFonts w:asciiTheme="minorHAnsi" w:hAnsiTheme="minorHAnsi"/>
        </w:rPr>
        <w:t>%, elevação de mais de</w:t>
      </w:r>
      <w:r w:rsidR="00C264C0" w:rsidRPr="005432E1">
        <w:rPr>
          <w:rFonts w:asciiTheme="minorHAnsi" w:hAnsiTheme="minorHAnsi"/>
        </w:rPr>
        <w:t xml:space="preserve"> </w:t>
      </w:r>
      <w:r w:rsidR="00BB7A0C" w:rsidRPr="005432E1">
        <w:rPr>
          <w:rFonts w:asciiTheme="minorHAnsi" w:hAnsiTheme="minorHAnsi"/>
        </w:rPr>
        <w:t xml:space="preserve">quase dois </w:t>
      </w:r>
      <w:r w:rsidR="00C264C0" w:rsidRPr="005432E1">
        <w:rPr>
          <w:rFonts w:asciiTheme="minorHAnsi" w:hAnsiTheme="minorHAnsi"/>
        </w:rPr>
        <w:t xml:space="preserve">pontos base. </w:t>
      </w:r>
      <w:r w:rsidR="002D4FC1" w:rsidRPr="005432E1">
        <w:rPr>
          <w:rFonts w:asciiTheme="minorHAnsi" w:hAnsiTheme="minorHAnsi"/>
        </w:rPr>
        <w:t xml:space="preserve">Do ponto de vista da Dívida Bruta do Governo Geral (DBGG), o acréscimo é de </w:t>
      </w:r>
      <w:r w:rsidR="00BB7A0C" w:rsidRPr="005432E1">
        <w:rPr>
          <w:rFonts w:asciiTheme="minorHAnsi" w:hAnsiTheme="minorHAnsi"/>
        </w:rPr>
        <w:t>1,9</w:t>
      </w:r>
      <w:r w:rsidR="009E2117" w:rsidRPr="005432E1">
        <w:rPr>
          <w:rFonts w:asciiTheme="minorHAnsi" w:hAnsiTheme="minorHAnsi"/>
        </w:rPr>
        <w:t xml:space="preserve"> ponto base, atingindo 79,</w:t>
      </w:r>
      <w:r w:rsidR="00BB7A0C" w:rsidRPr="005432E1">
        <w:rPr>
          <w:rFonts w:asciiTheme="minorHAnsi" w:hAnsiTheme="minorHAnsi"/>
        </w:rPr>
        <w:t>6</w:t>
      </w:r>
      <w:r w:rsidR="009E2117" w:rsidRPr="005432E1">
        <w:rPr>
          <w:rFonts w:asciiTheme="minorHAnsi" w:hAnsiTheme="minorHAnsi"/>
        </w:rPr>
        <w:t>% do PIB ao final do período.</w:t>
      </w:r>
    </w:p>
    <w:p w14:paraId="4CAEE2B4" w14:textId="77777777" w:rsidR="005432E1" w:rsidRDefault="005432E1">
      <w:pPr>
        <w:rPr>
          <w:rFonts w:asciiTheme="minorHAnsi" w:hAnsiTheme="minorHAnsi"/>
        </w:rPr>
      </w:pPr>
      <w:r>
        <w:rPr>
          <w:rFonts w:asciiTheme="minorHAnsi" w:hAnsiTheme="minorHAnsi"/>
        </w:rPr>
        <w:br w:type="page"/>
      </w:r>
    </w:p>
    <w:p w14:paraId="02770A4C" w14:textId="77777777" w:rsidR="00C264C0" w:rsidRPr="005432E1" w:rsidRDefault="00C264C0" w:rsidP="006F4AC5">
      <w:pPr>
        <w:ind w:firstLine="708"/>
        <w:jc w:val="both"/>
        <w:rPr>
          <w:rFonts w:asciiTheme="minorHAnsi" w:hAnsiTheme="minorHAnsi"/>
        </w:rPr>
      </w:pPr>
    </w:p>
    <w:p w14:paraId="31AC4745" w14:textId="0CA5346C" w:rsidR="00B07503" w:rsidRPr="005432E1" w:rsidRDefault="00643F7B" w:rsidP="005432E1">
      <w:pPr>
        <w:spacing w:before="120" w:after="120"/>
        <w:jc w:val="both"/>
        <w:rPr>
          <w:rFonts w:asciiTheme="minorHAnsi" w:hAnsiTheme="minorHAnsi"/>
          <w:b/>
        </w:rPr>
      </w:pPr>
      <w:r w:rsidRPr="005432E1">
        <w:rPr>
          <w:rFonts w:asciiTheme="minorHAnsi" w:hAnsiTheme="minorHAnsi"/>
          <w:color w:val="FF0000"/>
        </w:rPr>
        <w:tab/>
      </w:r>
      <w:r w:rsidR="00B07503" w:rsidRPr="005432E1">
        <w:rPr>
          <w:rFonts w:asciiTheme="minorHAnsi" w:hAnsiTheme="minorHAnsi"/>
          <w:b/>
        </w:rPr>
        <w:t xml:space="preserve">Tabela </w:t>
      </w:r>
      <w:r w:rsidR="0028198C" w:rsidRPr="005432E1">
        <w:rPr>
          <w:rFonts w:asciiTheme="minorHAnsi" w:hAnsiTheme="minorHAnsi"/>
          <w:b/>
        </w:rPr>
        <w:t>1</w:t>
      </w:r>
      <w:r w:rsidR="008261CF" w:rsidRPr="005432E1">
        <w:rPr>
          <w:rFonts w:asciiTheme="minorHAnsi" w:hAnsiTheme="minorHAnsi"/>
          <w:b/>
        </w:rPr>
        <w:t>2</w:t>
      </w:r>
      <w:r w:rsidR="009945D8" w:rsidRPr="005432E1">
        <w:rPr>
          <w:rFonts w:asciiTheme="minorHAnsi" w:hAnsiTheme="minorHAnsi"/>
          <w:b/>
        </w:rPr>
        <w:t xml:space="preserve"> –</w:t>
      </w:r>
      <w:r w:rsidR="000053EC" w:rsidRPr="005432E1">
        <w:rPr>
          <w:rFonts w:asciiTheme="minorHAnsi" w:hAnsiTheme="minorHAnsi"/>
          <w:b/>
        </w:rPr>
        <w:t xml:space="preserve"> </w:t>
      </w:r>
      <w:r w:rsidR="00B07503" w:rsidRPr="005432E1">
        <w:rPr>
          <w:rFonts w:asciiTheme="minorHAnsi" w:hAnsiTheme="minorHAnsi"/>
          <w:b/>
        </w:rPr>
        <w:t>Cenário Base x</w:t>
      </w:r>
      <w:r w:rsidR="000053EC" w:rsidRPr="005432E1">
        <w:rPr>
          <w:rFonts w:asciiTheme="minorHAnsi" w:hAnsiTheme="minorHAnsi"/>
          <w:b/>
        </w:rPr>
        <w:t xml:space="preserve"> </w:t>
      </w:r>
      <w:r w:rsidR="00B07503" w:rsidRPr="005432E1">
        <w:rPr>
          <w:rFonts w:asciiTheme="minorHAnsi" w:hAnsiTheme="minorHAnsi"/>
          <w:b/>
        </w:rPr>
        <w:t>Estresse</w:t>
      </w:r>
      <w:r w:rsidR="00C67875" w:rsidRPr="005432E1">
        <w:rPr>
          <w:rFonts w:asciiTheme="minorHAnsi" w:hAnsiTheme="minorHAnsi"/>
          <w:b/>
        </w:rPr>
        <w:t xml:space="preserve"> para</w:t>
      </w:r>
      <w:r w:rsidR="009945D8" w:rsidRPr="005432E1">
        <w:rPr>
          <w:rFonts w:asciiTheme="minorHAnsi" w:hAnsiTheme="minorHAnsi"/>
          <w:b/>
        </w:rPr>
        <w:t xml:space="preserve"> as variáveis fiscais em</w:t>
      </w:r>
      <w:r w:rsidR="00C67875" w:rsidRPr="005432E1">
        <w:rPr>
          <w:rFonts w:asciiTheme="minorHAnsi" w:hAnsiTheme="minorHAnsi"/>
          <w:b/>
        </w:rPr>
        <w:t xml:space="preserve"> </w:t>
      </w:r>
      <w:r w:rsidR="00B07503" w:rsidRPr="005432E1">
        <w:rPr>
          <w:rFonts w:asciiTheme="minorHAnsi" w:hAnsiTheme="minorHAnsi"/>
          <w:b/>
        </w:rPr>
        <w:t>201</w:t>
      </w:r>
      <w:r w:rsidR="00B00A1A" w:rsidRPr="005432E1">
        <w:rPr>
          <w:rFonts w:asciiTheme="minorHAnsi" w:hAnsiTheme="minorHAnsi"/>
          <w:b/>
        </w:rPr>
        <w:t>9</w:t>
      </w:r>
      <w:r w:rsidR="00B07503" w:rsidRPr="005432E1">
        <w:rPr>
          <w:rFonts w:asciiTheme="minorHAnsi" w:hAnsiTheme="minorHAnsi"/>
          <w:b/>
        </w:rPr>
        <w:t xml:space="preserve"> (R$ milhões)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8"/>
        <w:gridCol w:w="2126"/>
      </w:tblGrid>
      <w:tr w:rsidR="0026114A" w:rsidRPr="005432E1" w14:paraId="3EE1B392" w14:textId="77777777" w:rsidTr="009945D8">
        <w:trPr>
          <w:trHeight w:val="236"/>
          <w:jc w:val="center"/>
        </w:trPr>
        <w:tc>
          <w:tcPr>
            <w:tcW w:w="5240" w:type="dxa"/>
            <w:shd w:val="clear" w:color="auto" w:fill="auto"/>
          </w:tcPr>
          <w:p w14:paraId="0A34A9F2" w14:textId="77777777" w:rsidR="00B07503" w:rsidRPr="005432E1" w:rsidRDefault="00B07503" w:rsidP="006F4AC5">
            <w:pPr>
              <w:jc w:val="both"/>
              <w:rPr>
                <w:rFonts w:asciiTheme="minorHAnsi" w:hAnsiTheme="minorHAnsi"/>
                <w:color w:val="FF0000"/>
              </w:rPr>
            </w:pPr>
          </w:p>
        </w:tc>
        <w:tc>
          <w:tcPr>
            <w:tcW w:w="2268" w:type="dxa"/>
            <w:shd w:val="clear" w:color="auto" w:fill="auto"/>
          </w:tcPr>
          <w:p w14:paraId="2168514D" w14:textId="77777777" w:rsidR="00B07503" w:rsidRPr="005432E1" w:rsidRDefault="00B07503" w:rsidP="006F4AC5">
            <w:pPr>
              <w:tabs>
                <w:tab w:val="left" w:pos="1750"/>
              </w:tabs>
              <w:jc w:val="center"/>
              <w:rPr>
                <w:rFonts w:asciiTheme="minorHAnsi" w:hAnsiTheme="minorHAnsi"/>
                <w:color w:val="FF0000"/>
              </w:rPr>
            </w:pPr>
            <w:r w:rsidRPr="005432E1">
              <w:rPr>
                <w:rFonts w:asciiTheme="minorHAnsi" w:hAnsiTheme="minorHAnsi"/>
              </w:rPr>
              <w:t>Cenário Base</w:t>
            </w:r>
          </w:p>
        </w:tc>
        <w:tc>
          <w:tcPr>
            <w:tcW w:w="2126" w:type="dxa"/>
            <w:shd w:val="clear" w:color="auto" w:fill="auto"/>
          </w:tcPr>
          <w:p w14:paraId="3A03CD24" w14:textId="77777777" w:rsidR="00B07503" w:rsidRPr="005432E1" w:rsidRDefault="00B07503" w:rsidP="006F4AC5">
            <w:pPr>
              <w:jc w:val="center"/>
              <w:rPr>
                <w:rFonts w:asciiTheme="minorHAnsi" w:hAnsiTheme="minorHAnsi"/>
              </w:rPr>
            </w:pPr>
            <w:r w:rsidRPr="005432E1">
              <w:rPr>
                <w:rFonts w:asciiTheme="minorHAnsi" w:hAnsiTheme="minorHAnsi"/>
              </w:rPr>
              <w:t>Cenário de Estresse</w:t>
            </w:r>
          </w:p>
        </w:tc>
      </w:tr>
      <w:tr w:rsidR="0026114A" w:rsidRPr="005432E1" w14:paraId="420D1706" w14:textId="77777777" w:rsidTr="009945D8">
        <w:trPr>
          <w:trHeight w:val="244"/>
          <w:jc w:val="center"/>
        </w:trPr>
        <w:tc>
          <w:tcPr>
            <w:tcW w:w="5240" w:type="dxa"/>
            <w:shd w:val="clear" w:color="auto" w:fill="auto"/>
            <w:vAlign w:val="center"/>
          </w:tcPr>
          <w:p w14:paraId="73B2CB8A" w14:textId="5DF6C19E" w:rsidR="00D916E9" w:rsidRPr="005432E1" w:rsidRDefault="00D916E9" w:rsidP="006F4AC5">
            <w:pPr>
              <w:jc w:val="both"/>
              <w:rPr>
                <w:rFonts w:asciiTheme="minorHAnsi" w:hAnsiTheme="minorHAnsi"/>
              </w:rPr>
            </w:pPr>
            <w:r w:rsidRPr="005432E1">
              <w:rPr>
                <w:rFonts w:asciiTheme="minorHAnsi" w:hAnsiTheme="minorHAnsi"/>
              </w:rPr>
              <w:t>Receita Total</w:t>
            </w:r>
          </w:p>
        </w:tc>
        <w:tc>
          <w:tcPr>
            <w:tcW w:w="2268" w:type="dxa"/>
            <w:shd w:val="clear" w:color="auto" w:fill="auto"/>
            <w:vAlign w:val="center"/>
          </w:tcPr>
          <w:p w14:paraId="2D3775BB" w14:textId="49BBBAA7" w:rsidR="00D916E9" w:rsidRPr="005432E1" w:rsidRDefault="00B00A1A" w:rsidP="006F4AC5">
            <w:pPr>
              <w:jc w:val="right"/>
              <w:rPr>
                <w:rFonts w:asciiTheme="minorHAnsi" w:hAnsiTheme="minorHAnsi"/>
              </w:rPr>
            </w:pPr>
            <w:r w:rsidRPr="005432E1">
              <w:rPr>
                <w:rFonts w:asciiTheme="minorHAnsi" w:hAnsiTheme="minorHAnsi"/>
              </w:rPr>
              <w:t>1.543.229</w:t>
            </w:r>
          </w:p>
        </w:tc>
        <w:tc>
          <w:tcPr>
            <w:tcW w:w="2126" w:type="dxa"/>
            <w:shd w:val="clear" w:color="auto" w:fill="auto"/>
            <w:vAlign w:val="center"/>
          </w:tcPr>
          <w:p w14:paraId="43AC3F81" w14:textId="5B3AB207" w:rsidR="00D916E9" w:rsidRPr="005432E1" w:rsidRDefault="00D916E9" w:rsidP="006F4AC5">
            <w:pPr>
              <w:jc w:val="right"/>
              <w:rPr>
                <w:rFonts w:asciiTheme="minorHAnsi" w:hAnsiTheme="minorHAnsi"/>
              </w:rPr>
            </w:pPr>
            <w:r w:rsidRPr="005432E1">
              <w:rPr>
                <w:rFonts w:asciiTheme="minorHAnsi" w:hAnsiTheme="minorHAnsi"/>
              </w:rPr>
              <w:t xml:space="preserve">        </w:t>
            </w:r>
            <w:r w:rsidR="00FB6474" w:rsidRPr="005432E1">
              <w:rPr>
                <w:rFonts w:asciiTheme="minorHAnsi" w:hAnsiTheme="minorHAnsi"/>
              </w:rPr>
              <w:t xml:space="preserve"> 1.516.248 </w:t>
            </w:r>
            <w:r w:rsidRPr="005432E1">
              <w:rPr>
                <w:rFonts w:asciiTheme="minorHAnsi" w:hAnsiTheme="minorHAnsi"/>
              </w:rPr>
              <w:t xml:space="preserve"> </w:t>
            </w:r>
          </w:p>
        </w:tc>
      </w:tr>
      <w:tr w:rsidR="0026114A" w:rsidRPr="005432E1" w14:paraId="163AE9DA" w14:textId="77777777" w:rsidTr="009945D8">
        <w:trPr>
          <w:trHeight w:val="236"/>
          <w:jc w:val="center"/>
        </w:trPr>
        <w:tc>
          <w:tcPr>
            <w:tcW w:w="5240" w:type="dxa"/>
            <w:shd w:val="clear" w:color="auto" w:fill="auto"/>
            <w:vAlign w:val="center"/>
          </w:tcPr>
          <w:p w14:paraId="0B390EE2" w14:textId="397E8966" w:rsidR="00D916E9" w:rsidRPr="005432E1" w:rsidRDefault="00D916E9" w:rsidP="006F4AC5">
            <w:pPr>
              <w:jc w:val="both"/>
              <w:rPr>
                <w:rFonts w:asciiTheme="minorHAnsi" w:hAnsiTheme="minorHAnsi"/>
              </w:rPr>
            </w:pPr>
            <w:r w:rsidRPr="005432E1">
              <w:rPr>
                <w:rFonts w:asciiTheme="minorHAnsi" w:hAnsiTheme="minorHAnsi"/>
              </w:rPr>
              <w:t>Transferências</w:t>
            </w:r>
          </w:p>
        </w:tc>
        <w:tc>
          <w:tcPr>
            <w:tcW w:w="2268" w:type="dxa"/>
            <w:shd w:val="clear" w:color="auto" w:fill="auto"/>
            <w:vAlign w:val="center"/>
          </w:tcPr>
          <w:p w14:paraId="26FCB571" w14:textId="0534D464" w:rsidR="00D916E9" w:rsidRPr="005432E1" w:rsidRDefault="00B00A1A" w:rsidP="006F4AC5">
            <w:pPr>
              <w:jc w:val="right"/>
              <w:rPr>
                <w:rFonts w:asciiTheme="minorHAnsi" w:hAnsiTheme="minorHAnsi"/>
              </w:rPr>
            </w:pPr>
            <w:r w:rsidRPr="005432E1">
              <w:rPr>
                <w:rFonts w:asciiTheme="minorHAnsi" w:hAnsiTheme="minorHAnsi"/>
              </w:rPr>
              <w:t>266.304</w:t>
            </w:r>
          </w:p>
        </w:tc>
        <w:tc>
          <w:tcPr>
            <w:tcW w:w="2126" w:type="dxa"/>
            <w:shd w:val="clear" w:color="auto" w:fill="auto"/>
            <w:vAlign w:val="center"/>
          </w:tcPr>
          <w:p w14:paraId="47C97283" w14:textId="107CB318" w:rsidR="00D916E9" w:rsidRPr="005432E1" w:rsidRDefault="00D916E9" w:rsidP="00FB6474">
            <w:pPr>
              <w:jc w:val="right"/>
              <w:rPr>
                <w:rFonts w:asciiTheme="minorHAnsi" w:hAnsiTheme="minorHAnsi"/>
              </w:rPr>
            </w:pPr>
            <w:r w:rsidRPr="005432E1">
              <w:rPr>
                <w:rFonts w:asciiTheme="minorHAnsi" w:hAnsiTheme="minorHAnsi"/>
              </w:rPr>
              <w:t xml:space="preserve">             </w:t>
            </w:r>
            <w:r w:rsidR="00FB6474" w:rsidRPr="005432E1">
              <w:rPr>
                <w:rFonts w:asciiTheme="minorHAnsi" w:hAnsiTheme="minorHAnsi"/>
              </w:rPr>
              <w:t xml:space="preserve"> 265.980 </w:t>
            </w:r>
          </w:p>
        </w:tc>
      </w:tr>
      <w:tr w:rsidR="0026114A" w:rsidRPr="005432E1" w14:paraId="348A8247" w14:textId="77777777" w:rsidTr="009945D8">
        <w:trPr>
          <w:trHeight w:val="236"/>
          <w:jc w:val="center"/>
        </w:trPr>
        <w:tc>
          <w:tcPr>
            <w:tcW w:w="5240" w:type="dxa"/>
            <w:shd w:val="clear" w:color="auto" w:fill="auto"/>
            <w:vAlign w:val="center"/>
          </w:tcPr>
          <w:p w14:paraId="6D2A1700" w14:textId="416D2135" w:rsidR="00D916E9" w:rsidRPr="005432E1" w:rsidRDefault="00D916E9" w:rsidP="006F4AC5">
            <w:pPr>
              <w:jc w:val="both"/>
              <w:rPr>
                <w:rFonts w:asciiTheme="minorHAnsi" w:hAnsiTheme="minorHAnsi"/>
              </w:rPr>
            </w:pPr>
            <w:r w:rsidRPr="005432E1">
              <w:rPr>
                <w:rFonts w:asciiTheme="minorHAnsi" w:hAnsiTheme="minorHAnsi"/>
              </w:rPr>
              <w:t>Receita Líquida</w:t>
            </w:r>
          </w:p>
        </w:tc>
        <w:tc>
          <w:tcPr>
            <w:tcW w:w="2268" w:type="dxa"/>
            <w:shd w:val="clear" w:color="auto" w:fill="auto"/>
            <w:vAlign w:val="center"/>
          </w:tcPr>
          <w:p w14:paraId="02C14DCB" w14:textId="4292B686" w:rsidR="00D916E9" w:rsidRPr="005432E1" w:rsidRDefault="00D916E9" w:rsidP="00CB0C01">
            <w:pPr>
              <w:jc w:val="right"/>
              <w:rPr>
                <w:rFonts w:asciiTheme="minorHAnsi" w:hAnsiTheme="minorHAnsi"/>
              </w:rPr>
            </w:pPr>
            <w:r w:rsidRPr="005432E1">
              <w:rPr>
                <w:rFonts w:asciiTheme="minorHAnsi" w:hAnsiTheme="minorHAnsi"/>
              </w:rPr>
              <w:t>1.2</w:t>
            </w:r>
            <w:r w:rsidR="00CB0C01" w:rsidRPr="005432E1">
              <w:rPr>
                <w:rFonts w:asciiTheme="minorHAnsi" w:hAnsiTheme="minorHAnsi"/>
              </w:rPr>
              <w:t>76</w:t>
            </w:r>
            <w:r w:rsidRPr="005432E1">
              <w:rPr>
                <w:rFonts w:asciiTheme="minorHAnsi" w:hAnsiTheme="minorHAnsi"/>
              </w:rPr>
              <w:t>.</w:t>
            </w:r>
            <w:r w:rsidR="00CB0C01" w:rsidRPr="005432E1">
              <w:rPr>
                <w:rFonts w:asciiTheme="minorHAnsi" w:hAnsiTheme="minorHAnsi"/>
              </w:rPr>
              <w:t>924</w:t>
            </w:r>
          </w:p>
        </w:tc>
        <w:tc>
          <w:tcPr>
            <w:tcW w:w="2126" w:type="dxa"/>
            <w:shd w:val="clear" w:color="auto" w:fill="auto"/>
            <w:vAlign w:val="center"/>
          </w:tcPr>
          <w:p w14:paraId="4CD222B6" w14:textId="4FD1C9FE" w:rsidR="00D916E9" w:rsidRPr="005432E1" w:rsidRDefault="00D916E9" w:rsidP="00FB6474">
            <w:pPr>
              <w:jc w:val="right"/>
              <w:rPr>
                <w:rFonts w:asciiTheme="minorHAnsi" w:hAnsiTheme="minorHAnsi"/>
              </w:rPr>
            </w:pPr>
            <w:r w:rsidRPr="005432E1">
              <w:rPr>
                <w:rFonts w:asciiTheme="minorHAnsi" w:hAnsiTheme="minorHAnsi"/>
              </w:rPr>
              <w:t xml:space="preserve">          </w:t>
            </w:r>
            <w:r w:rsidR="00FB6474" w:rsidRPr="005432E1">
              <w:rPr>
                <w:rFonts w:asciiTheme="minorHAnsi" w:hAnsiTheme="minorHAnsi"/>
              </w:rPr>
              <w:t xml:space="preserve"> 1.250.268 </w:t>
            </w:r>
          </w:p>
        </w:tc>
      </w:tr>
      <w:tr w:rsidR="0026114A" w:rsidRPr="005432E1" w14:paraId="41D50313" w14:textId="77777777" w:rsidTr="009945D8">
        <w:trPr>
          <w:trHeight w:val="236"/>
          <w:jc w:val="center"/>
        </w:trPr>
        <w:tc>
          <w:tcPr>
            <w:tcW w:w="5240" w:type="dxa"/>
            <w:tcBorders>
              <w:bottom w:val="double" w:sz="4" w:space="0" w:color="auto"/>
            </w:tcBorders>
            <w:shd w:val="clear" w:color="auto" w:fill="auto"/>
            <w:vAlign w:val="center"/>
          </w:tcPr>
          <w:p w14:paraId="40B4A653" w14:textId="0ACC047E" w:rsidR="00D916E9" w:rsidRPr="005432E1" w:rsidRDefault="00D916E9" w:rsidP="006F4AC5">
            <w:pPr>
              <w:jc w:val="both"/>
              <w:rPr>
                <w:rFonts w:asciiTheme="minorHAnsi" w:hAnsiTheme="minorHAnsi"/>
              </w:rPr>
            </w:pPr>
            <w:r w:rsidRPr="005432E1">
              <w:rPr>
                <w:rFonts w:asciiTheme="minorHAnsi" w:hAnsiTheme="minorHAnsi"/>
              </w:rPr>
              <w:t>Despesa primária</w:t>
            </w:r>
          </w:p>
        </w:tc>
        <w:tc>
          <w:tcPr>
            <w:tcW w:w="2268" w:type="dxa"/>
            <w:tcBorders>
              <w:bottom w:val="double" w:sz="4" w:space="0" w:color="auto"/>
            </w:tcBorders>
            <w:shd w:val="clear" w:color="auto" w:fill="auto"/>
            <w:vAlign w:val="center"/>
          </w:tcPr>
          <w:p w14:paraId="6D5D9165" w14:textId="7E7E7A64" w:rsidR="00D916E9" w:rsidRPr="005432E1" w:rsidRDefault="00D916E9" w:rsidP="00CB0C01">
            <w:pPr>
              <w:jc w:val="right"/>
              <w:rPr>
                <w:rFonts w:asciiTheme="minorHAnsi" w:hAnsiTheme="minorHAnsi"/>
              </w:rPr>
            </w:pPr>
            <w:r w:rsidRPr="005432E1">
              <w:rPr>
                <w:rFonts w:asciiTheme="minorHAnsi" w:hAnsiTheme="minorHAnsi"/>
              </w:rPr>
              <w:t>1.</w:t>
            </w:r>
            <w:r w:rsidR="00CB0C01" w:rsidRPr="005432E1">
              <w:rPr>
                <w:rFonts w:asciiTheme="minorHAnsi" w:hAnsiTheme="minorHAnsi"/>
              </w:rPr>
              <w:t>415.924</w:t>
            </w:r>
          </w:p>
        </w:tc>
        <w:tc>
          <w:tcPr>
            <w:tcW w:w="2126" w:type="dxa"/>
            <w:tcBorders>
              <w:bottom w:val="double" w:sz="4" w:space="0" w:color="auto"/>
            </w:tcBorders>
            <w:shd w:val="clear" w:color="auto" w:fill="auto"/>
            <w:vAlign w:val="center"/>
          </w:tcPr>
          <w:p w14:paraId="399FC854" w14:textId="34C90E8F" w:rsidR="00D916E9" w:rsidRPr="005432E1" w:rsidRDefault="00FB6474" w:rsidP="00FB6474">
            <w:pPr>
              <w:jc w:val="right"/>
              <w:rPr>
                <w:rFonts w:asciiTheme="minorHAnsi" w:hAnsiTheme="minorHAnsi"/>
              </w:rPr>
            </w:pPr>
            <w:r w:rsidRPr="005432E1">
              <w:rPr>
                <w:rFonts w:asciiTheme="minorHAnsi" w:hAnsiTheme="minorHAnsi"/>
              </w:rPr>
              <w:t xml:space="preserve">1.411.146 </w:t>
            </w:r>
            <w:r w:rsidR="00D916E9" w:rsidRPr="005432E1">
              <w:rPr>
                <w:rFonts w:asciiTheme="minorHAnsi" w:hAnsiTheme="minorHAnsi"/>
              </w:rPr>
              <w:t xml:space="preserve">          </w:t>
            </w:r>
          </w:p>
        </w:tc>
      </w:tr>
      <w:tr w:rsidR="0026114A" w:rsidRPr="005432E1" w14:paraId="028AE133" w14:textId="77777777" w:rsidTr="009945D8">
        <w:trPr>
          <w:trHeight w:val="236"/>
          <w:jc w:val="center"/>
        </w:trPr>
        <w:tc>
          <w:tcPr>
            <w:tcW w:w="5240" w:type="dxa"/>
            <w:tcBorders>
              <w:top w:val="double" w:sz="4" w:space="0" w:color="auto"/>
            </w:tcBorders>
            <w:shd w:val="clear" w:color="auto" w:fill="auto"/>
            <w:vAlign w:val="center"/>
          </w:tcPr>
          <w:p w14:paraId="23E3D176" w14:textId="77777777" w:rsidR="00D916E9" w:rsidRPr="005432E1" w:rsidRDefault="00D916E9" w:rsidP="006F4AC5">
            <w:pPr>
              <w:jc w:val="both"/>
              <w:rPr>
                <w:rFonts w:asciiTheme="minorHAnsi" w:hAnsiTheme="minorHAnsi"/>
              </w:rPr>
            </w:pPr>
            <w:r w:rsidRPr="005432E1">
              <w:rPr>
                <w:rFonts w:asciiTheme="minorHAnsi" w:hAnsiTheme="minorHAnsi"/>
              </w:rPr>
              <w:t>Resultado Primário Governo Central</w:t>
            </w:r>
          </w:p>
        </w:tc>
        <w:tc>
          <w:tcPr>
            <w:tcW w:w="2268" w:type="dxa"/>
            <w:tcBorders>
              <w:top w:val="double" w:sz="4" w:space="0" w:color="auto"/>
            </w:tcBorders>
            <w:shd w:val="clear" w:color="auto" w:fill="auto"/>
            <w:vAlign w:val="center"/>
          </w:tcPr>
          <w:p w14:paraId="75E7625F" w14:textId="532A881E" w:rsidR="00D916E9" w:rsidRPr="005432E1" w:rsidRDefault="00CB0C01" w:rsidP="006F4AC5">
            <w:pPr>
              <w:jc w:val="right"/>
              <w:rPr>
                <w:rFonts w:asciiTheme="minorHAnsi" w:hAnsiTheme="minorHAnsi"/>
              </w:rPr>
            </w:pPr>
            <w:r w:rsidRPr="005432E1">
              <w:rPr>
                <w:rFonts w:asciiTheme="minorHAnsi" w:hAnsiTheme="minorHAnsi"/>
              </w:rPr>
              <w:t>-13</w:t>
            </w:r>
            <w:r w:rsidR="00D916E9" w:rsidRPr="005432E1">
              <w:rPr>
                <w:rFonts w:asciiTheme="minorHAnsi" w:hAnsiTheme="minorHAnsi"/>
              </w:rPr>
              <w:t>9.000</w:t>
            </w:r>
          </w:p>
        </w:tc>
        <w:tc>
          <w:tcPr>
            <w:tcW w:w="2126" w:type="dxa"/>
            <w:tcBorders>
              <w:top w:val="double" w:sz="4" w:space="0" w:color="auto"/>
            </w:tcBorders>
            <w:shd w:val="clear" w:color="auto" w:fill="auto"/>
            <w:vAlign w:val="center"/>
          </w:tcPr>
          <w:p w14:paraId="48B5D3CB" w14:textId="1F3E5ED8" w:rsidR="00D916E9" w:rsidRPr="005432E1" w:rsidRDefault="00FB6474" w:rsidP="006F4AC5">
            <w:pPr>
              <w:jc w:val="right"/>
              <w:rPr>
                <w:rFonts w:asciiTheme="minorHAnsi" w:hAnsiTheme="minorHAnsi"/>
              </w:rPr>
            </w:pPr>
            <w:r w:rsidRPr="005432E1">
              <w:rPr>
                <w:rFonts w:asciiTheme="minorHAnsi" w:hAnsiTheme="minorHAnsi"/>
              </w:rPr>
              <w:t>-160.878</w:t>
            </w:r>
          </w:p>
        </w:tc>
      </w:tr>
      <w:tr w:rsidR="0026114A" w:rsidRPr="005432E1" w14:paraId="1AA2675F" w14:textId="77777777" w:rsidTr="009945D8">
        <w:trPr>
          <w:trHeight w:val="244"/>
          <w:jc w:val="center"/>
        </w:trPr>
        <w:tc>
          <w:tcPr>
            <w:tcW w:w="5240" w:type="dxa"/>
            <w:shd w:val="clear" w:color="auto" w:fill="auto"/>
            <w:vAlign w:val="center"/>
          </w:tcPr>
          <w:p w14:paraId="24EE1BD3" w14:textId="0B60CDDD" w:rsidR="00D916E9" w:rsidRPr="005432E1" w:rsidRDefault="00D916E9" w:rsidP="006F4AC5">
            <w:pPr>
              <w:jc w:val="both"/>
              <w:rPr>
                <w:rFonts w:asciiTheme="minorHAnsi" w:hAnsiTheme="minorHAnsi"/>
              </w:rPr>
            </w:pPr>
            <w:r w:rsidRPr="005432E1">
              <w:rPr>
                <w:rFonts w:asciiTheme="minorHAnsi" w:hAnsiTheme="minorHAnsi"/>
              </w:rPr>
              <w:t xml:space="preserve">   % do PIB</w:t>
            </w:r>
          </w:p>
        </w:tc>
        <w:tc>
          <w:tcPr>
            <w:tcW w:w="2268" w:type="dxa"/>
            <w:shd w:val="clear" w:color="auto" w:fill="auto"/>
            <w:vAlign w:val="center"/>
          </w:tcPr>
          <w:p w14:paraId="5DAE2D44" w14:textId="77777777" w:rsidR="00D916E9" w:rsidRPr="005432E1" w:rsidRDefault="00D916E9" w:rsidP="006F4AC5">
            <w:pPr>
              <w:jc w:val="right"/>
              <w:rPr>
                <w:rFonts w:asciiTheme="minorHAnsi" w:hAnsiTheme="minorHAnsi"/>
              </w:rPr>
            </w:pPr>
            <w:r w:rsidRPr="005432E1">
              <w:rPr>
                <w:rFonts w:asciiTheme="minorHAnsi" w:hAnsiTheme="minorHAnsi"/>
              </w:rPr>
              <w:t>-1,8</w:t>
            </w:r>
          </w:p>
        </w:tc>
        <w:tc>
          <w:tcPr>
            <w:tcW w:w="2126" w:type="dxa"/>
            <w:shd w:val="clear" w:color="auto" w:fill="auto"/>
            <w:vAlign w:val="center"/>
          </w:tcPr>
          <w:p w14:paraId="7E0B82B5" w14:textId="645983B5" w:rsidR="00D916E9" w:rsidRPr="005432E1" w:rsidRDefault="00D916E9" w:rsidP="00FB6474">
            <w:pPr>
              <w:jc w:val="right"/>
              <w:rPr>
                <w:rFonts w:asciiTheme="minorHAnsi" w:hAnsiTheme="minorHAnsi"/>
              </w:rPr>
            </w:pPr>
            <w:r w:rsidRPr="005432E1">
              <w:rPr>
                <w:rFonts w:asciiTheme="minorHAnsi" w:hAnsiTheme="minorHAnsi"/>
              </w:rPr>
              <w:t>-2,</w:t>
            </w:r>
            <w:r w:rsidR="00FB6474" w:rsidRPr="005432E1">
              <w:rPr>
                <w:rFonts w:asciiTheme="minorHAnsi" w:hAnsiTheme="minorHAnsi"/>
              </w:rPr>
              <w:t>2</w:t>
            </w:r>
          </w:p>
        </w:tc>
      </w:tr>
      <w:tr w:rsidR="0026114A" w:rsidRPr="005432E1" w14:paraId="0B408A2D" w14:textId="77777777" w:rsidTr="009945D8">
        <w:trPr>
          <w:trHeight w:val="244"/>
          <w:jc w:val="center"/>
        </w:trPr>
        <w:tc>
          <w:tcPr>
            <w:tcW w:w="5240" w:type="dxa"/>
            <w:shd w:val="clear" w:color="auto" w:fill="auto"/>
            <w:vAlign w:val="center"/>
          </w:tcPr>
          <w:p w14:paraId="636466AD" w14:textId="4562340A" w:rsidR="00D916E9" w:rsidRPr="005432E1" w:rsidRDefault="00D916E9" w:rsidP="006F4AC5">
            <w:pPr>
              <w:jc w:val="both"/>
              <w:rPr>
                <w:rFonts w:asciiTheme="minorHAnsi" w:hAnsiTheme="minorHAnsi"/>
              </w:rPr>
            </w:pPr>
            <w:r w:rsidRPr="005432E1">
              <w:rPr>
                <w:rFonts w:asciiTheme="minorHAnsi" w:hAnsiTheme="minorHAnsi"/>
              </w:rPr>
              <w:t>Resultado Primário Estados e Municípios</w:t>
            </w:r>
          </w:p>
        </w:tc>
        <w:tc>
          <w:tcPr>
            <w:tcW w:w="2268" w:type="dxa"/>
            <w:shd w:val="clear" w:color="auto" w:fill="auto"/>
            <w:vAlign w:val="center"/>
          </w:tcPr>
          <w:p w14:paraId="1DC3D969" w14:textId="162D104E" w:rsidR="00D916E9" w:rsidRPr="005432E1" w:rsidRDefault="00CB0C01" w:rsidP="00CB0C01">
            <w:pPr>
              <w:jc w:val="right"/>
              <w:rPr>
                <w:rFonts w:asciiTheme="minorHAnsi" w:hAnsiTheme="minorHAnsi"/>
              </w:rPr>
            </w:pPr>
            <w:r w:rsidRPr="005432E1">
              <w:rPr>
                <w:rFonts w:asciiTheme="minorHAnsi" w:hAnsiTheme="minorHAnsi"/>
              </w:rPr>
              <w:t>10.500</w:t>
            </w:r>
          </w:p>
        </w:tc>
        <w:tc>
          <w:tcPr>
            <w:tcW w:w="2126" w:type="dxa"/>
            <w:shd w:val="clear" w:color="auto" w:fill="auto"/>
            <w:vAlign w:val="center"/>
          </w:tcPr>
          <w:p w14:paraId="7D784D75" w14:textId="7361464F" w:rsidR="00D916E9" w:rsidRPr="005432E1" w:rsidRDefault="00D916E9" w:rsidP="00FB6474">
            <w:pPr>
              <w:jc w:val="right"/>
              <w:rPr>
                <w:rFonts w:asciiTheme="minorHAnsi" w:hAnsiTheme="minorHAnsi"/>
              </w:rPr>
            </w:pPr>
            <w:r w:rsidRPr="005432E1">
              <w:rPr>
                <w:rFonts w:asciiTheme="minorHAnsi" w:hAnsiTheme="minorHAnsi"/>
              </w:rPr>
              <w:t xml:space="preserve">                  1</w:t>
            </w:r>
            <w:r w:rsidR="00FB6474" w:rsidRPr="005432E1">
              <w:rPr>
                <w:rFonts w:asciiTheme="minorHAnsi" w:hAnsiTheme="minorHAnsi"/>
              </w:rPr>
              <w:t>0</w:t>
            </w:r>
            <w:r w:rsidRPr="005432E1">
              <w:rPr>
                <w:rFonts w:asciiTheme="minorHAnsi" w:hAnsiTheme="minorHAnsi"/>
              </w:rPr>
              <w:t>.</w:t>
            </w:r>
            <w:r w:rsidR="00FB6474" w:rsidRPr="005432E1">
              <w:rPr>
                <w:rFonts w:asciiTheme="minorHAnsi" w:hAnsiTheme="minorHAnsi"/>
              </w:rPr>
              <w:t>5</w:t>
            </w:r>
            <w:r w:rsidRPr="005432E1">
              <w:rPr>
                <w:rFonts w:asciiTheme="minorHAnsi" w:hAnsiTheme="minorHAnsi"/>
              </w:rPr>
              <w:t xml:space="preserve">00 </w:t>
            </w:r>
          </w:p>
        </w:tc>
      </w:tr>
      <w:tr w:rsidR="0026114A" w:rsidRPr="005432E1" w14:paraId="3A4D172A" w14:textId="77777777" w:rsidTr="009945D8">
        <w:trPr>
          <w:trHeight w:val="236"/>
          <w:jc w:val="center"/>
        </w:trPr>
        <w:tc>
          <w:tcPr>
            <w:tcW w:w="5240" w:type="dxa"/>
            <w:shd w:val="clear" w:color="auto" w:fill="auto"/>
            <w:vAlign w:val="center"/>
          </w:tcPr>
          <w:p w14:paraId="46019FD0" w14:textId="1A79A67B" w:rsidR="00D916E9" w:rsidRPr="005432E1" w:rsidRDefault="00D916E9" w:rsidP="006F4AC5">
            <w:pPr>
              <w:jc w:val="both"/>
              <w:rPr>
                <w:rFonts w:asciiTheme="minorHAnsi" w:hAnsiTheme="minorHAnsi"/>
              </w:rPr>
            </w:pPr>
            <w:r w:rsidRPr="005432E1">
              <w:rPr>
                <w:rFonts w:asciiTheme="minorHAnsi" w:hAnsiTheme="minorHAnsi"/>
              </w:rPr>
              <w:t xml:space="preserve">   % do PIB</w:t>
            </w:r>
          </w:p>
        </w:tc>
        <w:tc>
          <w:tcPr>
            <w:tcW w:w="2268" w:type="dxa"/>
            <w:shd w:val="clear" w:color="auto" w:fill="auto"/>
            <w:vAlign w:val="center"/>
          </w:tcPr>
          <w:p w14:paraId="475CC2A2" w14:textId="2A7777AC" w:rsidR="00D916E9" w:rsidRPr="005432E1" w:rsidRDefault="00D916E9" w:rsidP="00CB0C01">
            <w:pPr>
              <w:jc w:val="right"/>
              <w:rPr>
                <w:rFonts w:asciiTheme="minorHAnsi" w:hAnsiTheme="minorHAnsi"/>
              </w:rPr>
            </w:pPr>
            <w:r w:rsidRPr="005432E1">
              <w:rPr>
                <w:rFonts w:asciiTheme="minorHAnsi" w:hAnsiTheme="minorHAnsi"/>
              </w:rPr>
              <w:t>0,</w:t>
            </w:r>
            <w:r w:rsidR="00CB0C01" w:rsidRPr="005432E1">
              <w:rPr>
                <w:rFonts w:asciiTheme="minorHAnsi" w:hAnsiTheme="minorHAnsi"/>
              </w:rPr>
              <w:t>1</w:t>
            </w:r>
          </w:p>
        </w:tc>
        <w:tc>
          <w:tcPr>
            <w:tcW w:w="2126" w:type="dxa"/>
            <w:shd w:val="clear" w:color="auto" w:fill="auto"/>
            <w:vAlign w:val="center"/>
          </w:tcPr>
          <w:p w14:paraId="4CA3930C" w14:textId="40C8948D" w:rsidR="00D916E9" w:rsidRPr="005432E1" w:rsidRDefault="00D916E9" w:rsidP="00FB6474">
            <w:pPr>
              <w:jc w:val="right"/>
              <w:rPr>
                <w:rFonts w:asciiTheme="minorHAnsi" w:hAnsiTheme="minorHAnsi"/>
              </w:rPr>
            </w:pPr>
            <w:r w:rsidRPr="005432E1">
              <w:rPr>
                <w:rFonts w:asciiTheme="minorHAnsi" w:hAnsiTheme="minorHAnsi"/>
              </w:rPr>
              <w:t>0,</w:t>
            </w:r>
            <w:r w:rsidR="00FB6474" w:rsidRPr="005432E1">
              <w:rPr>
                <w:rFonts w:asciiTheme="minorHAnsi" w:hAnsiTheme="minorHAnsi"/>
              </w:rPr>
              <w:t>1</w:t>
            </w:r>
          </w:p>
        </w:tc>
      </w:tr>
      <w:tr w:rsidR="0026114A" w:rsidRPr="005432E1" w14:paraId="32FB7E69" w14:textId="77777777" w:rsidTr="009945D8">
        <w:trPr>
          <w:trHeight w:val="236"/>
          <w:jc w:val="center"/>
        </w:trPr>
        <w:tc>
          <w:tcPr>
            <w:tcW w:w="5240" w:type="dxa"/>
            <w:shd w:val="clear" w:color="auto" w:fill="auto"/>
            <w:vAlign w:val="center"/>
          </w:tcPr>
          <w:p w14:paraId="3A7E7E00" w14:textId="77777777" w:rsidR="00D916E9" w:rsidRPr="005432E1" w:rsidRDefault="00D916E9" w:rsidP="006F4AC5">
            <w:pPr>
              <w:jc w:val="both"/>
              <w:rPr>
                <w:rFonts w:asciiTheme="minorHAnsi" w:hAnsiTheme="minorHAnsi"/>
              </w:rPr>
            </w:pPr>
            <w:r w:rsidRPr="005432E1">
              <w:rPr>
                <w:rFonts w:asciiTheme="minorHAnsi" w:hAnsiTheme="minorHAnsi"/>
              </w:rPr>
              <w:t>Resultado Primário Estatais Federais</w:t>
            </w:r>
          </w:p>
        </w:tc>
        <w:tc>
          <w:tcPr>
            <w:tcW w:w="2268" w:type="dxa"/>
            <w:shd w:val="clear" w:color="auto" w:fill="auto"/>
            <w:vAlign w:val="center"/>
          </w:tcPr>
          <w:p w14:paraId="21B49461" w14:textId="2C4452CB" w:rsidR="00D916E9" w:rsidRPr="005432E1" w:rsidRDefault="00D916E9" w:rsidP="00CB0C01">
            <w:pPr>
              <w:jc w:val="right"/>
              <w:rPr>
                <w:rFonts w:asciiTheme="minorHAnsi" w:hAnsiTheme="minorHAnsi"/>
              </w:rPr>
            </w:pPr>
            <w:r w:rsidRPr="005432E1">
              <w:rPr>
                <w:rFonts w:asciiTheme="minorHAnsi" w:hAnsiTheme="minorHAnsi"/>
              </w:rPr>
              <w:t>-3.</w:t>
            </w:r>
            <w:r w:rsidR="00CB0C01" w:rsidRPr="005432E1">
              <w:rPr>
                <w:rFonts w:asciiTheme="minorHAnsi" w:hAnsiTheme="minorHAnsi"/>
              </w:rPr>
              <w:t>458</w:t>
            </w:r>
          </w:p>
        </w:tc>
        <w:tc>
          <w:tcPr>
            <w:tcW w:w="2126" w:type="dxa"/>
            <w:shd w:val="clear" w:color="auto" w:fill="auto"/>
            <w:vAlign w:val="center"/>
          </w:tcPr>
          <w:p w14:paraId="27AD0091" w14:textId="377CBFCC" w:rsidR="00D916E9" w:rsidRPr="005432E1" w:rsidRDefault="007A4E33" w:rsidP="00FB6474">
            <w:pPr>
              <w:jc w:val="right"/>
              <w:rPr>
                <w:rFonts w:asciiTheme="minorHAnsi" w:hAnsiTheme="minorHAnsi"/>
              </w:rPr>
            </w:pPr>
            <w:r w:rsidRPr="005432E1">
              <w:rPr>
                <w:rFonts w:asciiTheme="minorHAnsi" w:hAnsiTheme="minorHAnsi"/>
              </w:rPr>
              <w:t>-</w:t>
            </w:r>
            <w:r w:rsidR="00D916E9" w:rsidRPr="005432E1">
              <w:rPr>
                <w:rFonts w:asciiTheme="minorHAnsi" w:hAnsiTheme="minorHAnsi"/>
              </w:rPr>
              <w:t>3.</w:t>
            </w:r>
            <w:r w:rsidR="00FB6474" w:rsidRPr="005432E1">
              <w:rPr>
                <w:rFonts w:asciiTheme="minorHAnsi" w:hAnsiTheme="minorHAnsi"/>
              </w:rPr>
              <w:t>458</w:t>
            </w:r>
            <w:r w:rsidR="00D916E9" w:rsidRPr="005432E1">
              <w:rPr>
                <w:rFonts w:asciiTheme="minorHAnsi" w:hAnsiTheme="minorHAnsi"/>
              </w:rPr>
              <w:t xml:space="preserve"> </w:t>
            </w:r>
          </w:p>
        </w:tc>
      </w:tr>
      <w:tr w:rsidR="0026114A" w:rsidRPr="005432E1" w14:paraId="07A73C5B" w14:textId="77777777" w:rsidTr="009945D8">
        <w:trPr>
          <w:trHeight w:val="236"/>
          <w:jc w:val="center"/>
        </w:trPr>
        <w:tc>
          <w:tcPr>
            <w:tcW w:w="5240" w:type="dxa"/>
            <w:shd w:val="clear" w:color="auto" w:fill="auto"/>
            <w:vAlign w:val="center"/>
          </w:tcPr>
          <w:p w14:paraId="752D63C6" w14:textId="77777777" w:rsidR="00D916E9" w:rsidRPr="005432E1" w:rsidRDefault="00D916E9" w:rsidP="006F4AC5">
            <w:pPr>
              <w:jc w:val="both"/>
              <w:rPr>
                <w:rFonts w:asciiTheme="minorHAnsi" w:hAnsiTheme="minorHAnsi"/>
              </w:rPr>
            </w:pPr>
            <w:r w:rsidRPr="005432E1">
              <w:rPr>
                <w:rFonts w:asciiTheme="minorHAnsi" w:hAnsiTheme="minorHAnsi"/>
              </w:rPr>
              <w:t xml:space="preserve">   % do PIB</w:t>
            </w:r>
          </w:p>
        </w:tc>
        <w:tc>
          <w:tcPr>
            <w:tcW w:w="2268" w:type="dxa"/>
            <w:shd w:val="clear" w:color="auto" w:fill="auto"/>
            <w:vAlign w:val="center"/>
          </w:tcPr>
          <w:p w14:paraId="695996C4" w14:textId="77777777" w:rsidR="00D916E9" w:rsidRPr="005432E1" w:rsidRDefault="00D916E9" w:rsidP="006F4AC5">
            <w:pPr>
              <w:jc w:val="right"/>
              <w:rPr>
                <w:rFonts w:asciiTheme="minorHAnsi" w:hAnsiTheme="minorHAnsi"/>
              </w:rPr>
            </w:pPr>
            <w:r w:rsidRPr="005432E1">
              <w:rPr>
                <w:rFonts w:asciiTheme="minorHAnsi" w:hAnsiTheme="minorHAnsi"/>
              </w:rPr>
              <w:t>0,0</w:t>
            </w:r>
          </w:p>
        </w:tc>
        <w:tc>
          <w:tcPr>
            <w:tcW w:w="2126" w:type="dxa"/>
            <w:shd w:val="clear" w:color="auto" w:fill="auto"/>
            <w:vAlign w:val="center"/>
          </w:tcPr>
          <w:p w14:paraId="2CF9D683" w14:textId="77777777" w:rsidR="00D916E9" w:rsidRPr="005432E1" w:rsidRDefault="007A4E33" w:rsidP="006F4AC5">
            <w:pPr>
              <w:jc w:val="right"/>
              <w:rPr>
                <w:rFonts w:asciiTheme="minorHAnsi" w:hAnsiTheme="minorHAnsi"/>
              </w:rPr>
            </w:pPr>
            <w:r w:rsidRPr="005432E1">
              <w:rPr>
                <w:rFonts w:asciiTheme="minorHAnsi" w:hAnsiTheme="minorHAnsi"/>
              </w:rPr>
              <w:t>0,0</w:t>
            </w:r>
          </w:p>
        </w:tc>
      </w:tr>
      <w:tr w:rsidR="0026114A" w:rsidRPr="005432E1" w14:paraId="5F3642E4" w14:textId="77777777" w:rsidTr="009945D8">
        <w:trPr>
          <w:trHeight w:val="236"/>
          <w:jc w:val="center"/>
        </w:trPr>
        <w:tc>
          <w:tcPr>
            <w:tcW w:w="5240" w:type="dxa"/>
            <w:shd w:val="clear" w:color="auto" w:fill="auto"/>
            <w:vAlign w:val="center"/>
          </w:tcPr>
          <w:p w14:paraId="35C31D97" w14:textId="218D35F8" w:rsidR="00D916E9" w:rsidRPr="005432E1" w:rsidRDefault="00D916E9" w:rsidP="006F4AC5">
            <w:pPr>
              <w:jc w:val="both"/>
              <w:rPr>
                <w:rFonts w:asciiTheme="minorHAnsi" w:hAnsiTheme="minorHAnsi"/>
              </w:rPr>
            </w:pPr>
            <w:r w:rsidRPr="005432E1">
              <w:rPr>
                <w:rFonts w:asciiTheme="minorHAnsi" w:hAnsiTheme="minorHAnsi"/>
              </w:rPr>
              <w:t>Resultado Primário Setor Público</w:t>
            </w:r>
          </w:p>
        </w:tc>
        <w:tc>
          <w:tcPr>
            <w:tcW w:w="2268" w:type="dxa"/>
            <w:shd w:val="clear" w:color="auto" w:fill="auto"/>
            <w:vAlign w:val="center"/>
          </w:tcPr>
          <w:p w14:paraId="1952FBFB" w14:textId="766C73DA" w:rsidR="00D916E9" w:rsidRPr="005432E1" w:rsidRDefault="00D916E9" w:rsidP="00CB0C01">
            <w:pPr>
              <w:jc w:val="right"/>
              <w:rPr>
                <w:rFonts w:asciiTheme="minorHAnsi" w:hAnsiTheme="minorHAnsi"/>
              </w:rPr>
            </w:pPr>
            <w:r w:rsidRPr="005432E1">
              <w:rPr>
                <w:rFonts w:asciiTheme="minorHAnsi" w:hAnsiTheme="minorHAnsi"/>
              </w:rPr>
              <w:t>-131.</w:t>
            </w:r>
            <w:r w:rsidR="00CB0C01" w:rsidRPr="005432E1">
              <w:rPr>
                <w:rFonts w:asciiTheme="minorHAnsi" w:hAnsiTheme="minorHAnsi"/>
              </w:rPr>
              <w:t>958</w:t>
            </w:r>
          </w:p>
        </w:tc>
        <w:tc>
          <w:tcPr>
            <w:tcW w:w="2126" w:type="dxa"/>
            <w:shd w:val="clear" w:color="auto" w:fill="auto"/>
            <w:vAlign w:val="center"/>
          </w:tcPr>
          <w:p w14:paraId="1F9982A9" w14:textId="4E605ECC" w:rsidR="00D916E9" w:rsidRPr="005432E1" w:rsidRDefault="00A04C05" w:rsidP="006F4AC5">
            <w:pPr>
              <w:jc w:val="right"/>
              <w:rPr>
                <w:rFonts w:asciiTheme="minorHAnsi" w:hAnsiTheme="minorHAnsi"/>
              </w:rPr>
            </w:pPr>
            <w:r w:rsidRPr="005432E1">
              <w:rPr>
                <w:rFonts w:asciiTheme="minorHAnsi" w:hAnsiTheme="minorHAnsi"/>
              </w:rPr>
              <w:t xml:space="preserve">-153.835 </w:t>
            </w:r>
            <w:r w:rsidR="00D916E9" w:rsidRPr="005432E1">
              <w:rPr>
                <w:rFonts w:asciiTheme="minorHAnsi" w:hAnsiTheme="minorHAnsi"/>
              </w:rPr>
              <w:t xml:space="preserve"> </w:t>
            </w:r>
          </w:p>
        </w:tc>
      </w:tr>
      <w:tr w:rsidR="0026114A" w:rsidRPr="005432E1" w14:paraId="560FB4B8" w14:textId="77777777" w:rsidTr="009945D8">
        <w:trPr>
          <w:trHeight w:val="236"/>
          <w:jc w:val="center"/>
        </w:trPr>
        <w:tc>
          <w:tcPr>
            <w:tcW w:w="5240" w:type="dxa"/>
            <w:tcBorders>
              <w:bottom w:val="double" w:sz="4" w:space="0" w:color="auto"/>
            </w:tcBorders>
            <w:shd w:val="clear" w:color="auto" w:fill="auto"/>
            <w:vAlign w:val="center"/>
          </w:tcPr>
          <w:p w14:paraId="3FB11931" w14:textId="6BDE0A42" w:rsidR="00D916E9" w:rsidRPr="005432E1" w:rsidRDefault="00D916E9" w:rsidP="006F4AC5">
            <w:pPr>
              <w:jc w:val="both"/>
              <w:rPr>
                <w:rFonts w:asciiTheme="minorHAnsi" w:hAnsiTheme="minorHAnsi"/>
              </w:rPr>
            </w:pPr>
            <w:r w:rsidRPr="005432E1">
              <w:rPr>
                <w:rFonts w:asciiTheme="minorHAnsi" w:hAnsiTheme="minorHAnsi"/>
              </w:rPr>
              <w:t xml:space="preserve">   % do PIB</w:t>
            </w:r>
          </w:p>
        </w:tc>
        <w:tc>
          <w:tcPr>
            <w:tcW w:w="2268" w:type="dxa"/>
            <w:tcBorders>
              <w:bottom w:val="double" w:sz="4" w:space="0" w:color="auto"/>
            </w:tcBorders>
            <w:shd w:val="clear" w:color="auto" w:fill="auto"/>
            <w:vAlign w:val="center"/>
          </w:tcPr>
          <w:p w14:paraId="08204A04" w14:textId="183CE62C" w:rsidR="00D916E9" w:rsidRPr="005432E1" w:rsidRDefault="00CB0C01" w:rsidP="006F4AC5">
            <w:pPr>
              <w:jc w:val="right"/>
              <w:rPr>
                <w:rFonts w:asciiTheme="minorHAnsi" w:hAnsiTheme="minorHAnsi"/>
              </w:rPr>
            </w:pPr>
            <w:r w:rsidRPr="005432E1">
              <w:rPr>
                <w:rFonts w:asciiTheme="minorHAnsi" w:hAnsiTheme="minorHAnsi"/>
              </w:rPr>
              <w:t>-1,7</w:t>
            </w:r>
          </w:p>
        </w:tc>
        <w:tc>
          <w:tcPr>
            <w:tcW w:w="2126" w:type="dxa"/>
            <w:tcBorders>
              <w:bottom w:val="double" w:sz="4" w:space="0" w:color="auto"/>
            </w:tcBorders>
            <w:shd w:val="clear" w:color="auto" w:fill="auto"/>
            <w:vAlign w:val="center"/>
          </w:tcPr>
          <w:p w14:paraId="59C42D6E" w14:textId="09923A9F" w:rsidR="00D916E9" w:rsidRPr="005432E1" w:rsidRDefault="007A4E33" w:rsidP="00A04C05">
            <w:pPr>
              <w:jc w:val="right"/>
              <w:rPr>
                <w:rFonts w:asciiTheme="minorHAnsi" w:hAnsiTheme="minorHAnsi"/>
              </w:rPr>
            </w:pPr>
            <w:r w:rsidRPr="005432E1">
              <w:rPr>
                <w:rFonts w:asciiTheme="minorHAnsi" w:hAnsiTheme="minorHAnsi"/>
              </w:rPr>
              <w:t>-2,</w:t>
            </w:r>
            <w:r w:rsidR="00A04C05" w:rsidRPr="005432E1">
              <w:rPr>
                <w:rFonts w:asciiTheme="minorHAnsi" w:hAnsiTheme="minorHAnsi"/>
              </w:rPr>
              <w:t>1</w:t>
            </w:r>
          </w:p>
        </w:tc>
      </w:tr>
      <w:tr w:rsidR="00FA7861" w:rsidRPr="005432E1" w14:paraId="3638F54A" w14:textId="77777777" w:rsidTr="009945D8">
        <w:trPr>
          <w:trHeight w:val="236"/>
          <w:jc w:val="center"/>
        </w:trPr>
        <w:tc>
          <w:tcPr>
            <w:tcW w:w="5240" w:type="dxa"/>
            <w:tcBorders>
              <w:top w:val="double" w:sz="4" w:space="0" w:color="auto"/>
            </w:tcBorders>
            <w:shd w:val="clear" w:color="auto" w:fill="auto"/>
            <w:vAlign w:val="center"/>
          </w:tcPr>
          <w:p w14:paraId="3394D5EE" w14:textId="3B40C4DC" w:rsidR="00D916E9" w:rsidRPr="005432E1" w:rsidRDefault="00D916E9" w:rsidP="0073511D">
            <w:pPr>
              <w:jc w:val="both"/>
              <w:rPr>
                <w:rFonts w:asciiTheme="minorHAnsi" w:hAnsiTheme="minorHAnsi"/>
              </w:rPr>
            </w:pPr>
            <w:r w:rsidRPr="005432E1">
              <w:rPr>
                <w:rFonts w:asciiTheme="minorHAnsi" w:hAnsiTheme="minorHAnsi"/>
              </w:rPr>
              <w:t>Dívida Líquida do Setor Público – DLSP (% do PIB)</w:t>
            </w:r>
          </w:p>
        </w:tc>
        <w:tc>
          <w:tcPr>
            <w:tcW w:w="2268" w:type="dxa"/>
            <w:tcBorders>
              <w:top w:val="double" w:sz="4" w:space="0" w:color="auto"/>
            </w:tcBorders>
            <w:shd w:val="clear" w:color="auto" w:fill="auto"/>
            <w:vAlign w:val="center"/>
          </w:tcPr>
          <w:p w14:paraId="6FDFD231" w14:textId="18A52721" w:rsidR="00D916E9" w:rsidRPr="005432E1" w:rsidRDefault="00A53CAB" w:rsidP="006F4AC5">
            <w:pPr>
              <w:jc w:val="right"/>
              <w:rPr>
                <w:rFonts w:asciiTheme="minorHAnsi" w:hAnsiTheme="minorHAnsi"/>
              </w:rPr>
            </w:pPr>
            <w:r w:rsidRPr="005432E1">
              <w:rPr>
                <w:rFonts w:asciiTheme="minorHAnsi" w:hAnsiTheme="minorHAnsi"/>
              </w:rPr>
              <w:t>58,9</w:t>
            </w:r>
          </w:p>
        </w:tc>
        <w:tc>
          <w:tcPr>
            <w:tcW w:w="2126" w:type="dxa"/>
            <w:tcBorders>
              <w:top w:val="double" w:sz="4" w:space="0" w:color="auto"/>
            </w:tcBorders>
            <w:shd w:val="clear" w:color="auto" w:fill="auto"/>
            <w:vAlign w:val="center"/>
          </w:tcPr>
          <w:p w14:paraId="788F8D9F" w14:textId="6D75782C" w:rsidR="00D916E9" w:rsidRPr="005432E1" w:rsidRDefault="00A53CAB" w:rsidP="006F4AC5">
            <w:pPr>
              <w:jc w:val="right"/>
              <w:rPr>
                <w:rFonts w:asciiTheme="minorHAnsi" w:hAnsiTheme="minorHAnsi"/>
              </w:rPr>
            </w:pPr>
            <w:r w:rsidRPr="005432E1">
              <w:rPr>
                <w:rFonts w:asciiTheme="minorHAnsi" w:hAnsiTheme="minorHAnsi"/>
              </w:rPr>
              <w:t>60,2</w:t>
            </w:r>
          </w:p>
        </w:tc>
      </w:tr>
      <w:tr w:rsidR="00FA7861" w:rsidRPr="005432E1" w14:paraId="7041BCF3" w14:textId="77777777" w:rsidTr="009945D8">
        <w:trPr>
          <w:trHeight w:val="236"/>
          <w:jc w:val="center"/>
        </w:trPr>
        <w:tc>
          <w:tcPr>
            <w:tcW w:w="5240" w:type="dxa"/>
            <w:shd w:val="clear" w:color="auto" w:fill="auto"/>
            <w:vAlign w:val="center"/>
          </w:tcPr>
          <w:p w14:paraId="4226DA58" w14:textId="7AB5FFAE" w:rsidR="00D916E9" w:rsidRPr="005432E1" w:rsidRDefault="00D916E9" w:rsidP="0073511D">
            <w:pPr>
              <w:jc w:val="both"/>
              <w:rPr>
                <w:rFonts w:asciiTheme="minorHAnsi" w:hAnsiTheme="minorHAnsi"/>
              </w:rPr>
            </w:pPr>
            <w:r w:rsidRPr="005432E1">
              <w:rPr>
                <w:rFonts w:asciiTheme="minorHAnsi" w:hAnsiTheme="minorHAnsi"/>
              </w:rPr>
              <w:t>Dívida Bruta do Governo Geral – DBGG</w:t>
            </w:r>
            <w:r w:rsidR="00B952F8" w:rsidRPr="005432E1">
              <w:rPr>
                <w:rFonts w:asciiTheme="minorHAnsi" w:hAnsiTheme="minorHAnsi"/>
              </w:rPr>
              <w:t xml:space="preserve"> </w:t>
            </w:r>
            <w:r w:rsidRPr="005432E1">
              <w:rPr>
                <w:rFonts w:asciiTheme="minorHAnsi" w:hAnsiTheme="minorHAnsi"/>
              </w:rPr>
              <w:t>(% do PIB)</w:t>
            </w:r>
          </w:p>
        </w:tc>
        <w:tc>
          <w:tcPr>
            <w:tcW w:w="2268" w:type="dxa"/>
            <w:shd w:val="clear" w:color="auto" w:fill="auto"/>
            <w:vAlign w:val="center"/>
          </w:tcPr>
          <w:p w14:paraId="6793403A" w14:textId="12DADD94" w:rsidR="00D916E9" w:rsidRPr="005432E1" w:rsidRDefault="00A53CAB" w:rsidP="006F4AC5">
            <w:pPr>
              <w:jc w:val="right"/>
              <w:rPr>
                <w:rFonts w:asciiTheme="minorHAnsi" w:hAnsiTheme="minorHAnsi"/>
              </w:rPr>
            </w:pPr>
            <w:r w:rsidRPr="005432E1">
              <w:rPr>
                <w:rFonts w:asciiTheme="minorHAnsi" w:hAnsiTheme="minorHAnsi"/>
              </w:rPr>
              <w:t>77,7</w:t>
            </w:r>
          </w:p>
        </w:tc>
        <w:tc>
          <w:tcPr>
            <w:tcW w:w="2126" w:type="dxa"/>
            <w:shd w:val="clear" w:color="auto" w:fill="auto"/>
            <w:vAlign w:val="center"/>
          </w:tcPr>
          <w:p w14:paraId="1713DE3E" w14:textId="092B9A81" w:rsidR="00D916E9" w:rsidRPr="005432E1" w:rsidRDefault="00A53CAB" w:rsidP="006F4AC5">
            <w:pPr>
              <w:jc w:val="right"/>
              <w:rPr>
                <w:rFonts w:asciiTheme="minorHAnsi" w:hAnsiTheme="minorHAnsi"/>
              </w:rPr>
            </w:pPr>
            <w:r w:rsidRPr="005432E1">
              <w:rPr>
                <w:rFonts w:asciiTheme="minorHAnsi" w:hAnsiTheme="minorHAnsi"/>
              </w:rPr>
              <w:t>79,6</w:t>
            </w:r>
          </w:p>
        </w:tc>
      </w:tr>
    </w:tbl>
    <w:p w14:paraId="24FA9A9C" w14:textId="0C643B08" w:rsidR="00920ABB" w:rsidRPr="005432E1" w:rsidRDefault="009945D8" w:rsidP="006F4AC5">
      <w:pPr>
        <w:rPr>
          <w:rFonts w:asciiTheme="minorHAnsi" w:hAnsiTheme="minorHAnsi"/>
          <w:sz w:val="18"/>
          <w:szCs w:val="18"/>
        </w:rPr>
      </w:pPr>
      <w:r w:rsidRPr="005432E1">
        <w:rPr>
          <w:rFonts w:asciiTheme="minorHAnsi" w:hAnsiTheme="minorHAnsi"/>
          <w:sz w:val="18"/>
          <w:szCs w:val="18"/>
        </w:rPr>
        <w:t>F</w:t>
      </w:r>
      <w:r w:rsidR="002A561C" w:rsidRPr="005432E1">
        <w:rPr>
          <w:rFonts w:asciiTheme="minorHAnsi" w:hAnsiTheme="minorHAnsi"/>
          <w:sz w:val="18"/>
          <w:szCs w:val="18"/>
        </w:rPr>
        <w:t>ontes: RFB/MF</w:t>
      </w:r>
      <w:r w:rsidR="00955246" w:rsidRPr="005432E1">
        <w:rPr>
          <w:rFonts w:asciiTheme="minorHAnsi" w:hAnsiTheme="minorHAnsi"/>
          <w:sz w:val="18"/>
          <w:szCs w:val="18"/>
        </w:rPr>
        <w:t xml:space="preserve"> e STN/MF</w:t>
      </w:r>
    </w:p>
    <w:p w14:paraId="3D0A0E8A" w14:textId="74E4FE70" w:rsidR="00920ABB" w:rsidRPr="005432E1" w:rsidRDefault="00920ABB" w:rsidP="006F4AC5">
      <w:pPr>
        <w:ind w:firstLine="284"/>
        <w:rPr>
          <w:rFonts w:asciiTheme="minorHAnsi" w:hAnsiTheme="minorHAnsi"/>
          <w:color w:val="FF0000"/>
          <w:sz w:val="18"/>
          <w:szCs w:val="18"/>
        </w:rPr>
      </w:pPr>
    </w:p>
    <w:p w14:paraId="45DCA2FE" w14:textId="7ADA09B5" w:rsidR="00A16514" w:rsidRPr="005432E1" w:rsidRDefault="00A16514" w:rsidP="006F4AC5">
      <w:pPr>
        <w:ind w:firstLine="708"/>
        <w:jc w:val="both"/>
        <w:rPr>
          <w:rFonts w:asciiTheme="minorHAnsi" w:hAnsiTheme="minorHAnsi"/>
          <w:color w:val="FF0000"/>
        </w:rPr>
      </w:pPr>
      <w:r w:rsidRPr="005432E1">
        <w:rPr>
          <w:rFonts w:asciiTheme="minorHAnsi" w:hAnsiTheme="minorHAnsi"/>
        </w:rPr>
        <w:t>Nos</w:t>
      </w:r>
      <w:r w:rsidR="00EA1FDF" w:rsidRPr="005432E1">
        <w:rPr>
          <w:rFonts w:asciiTheme="minorHAnsi" w:hAnsiTheme="minorHAnsi"/>
        </w:rPr>
        <w:t xml:space="preserve"> gráficos </w:t>
      </w:r>
      <w:r w:rsidR="00C447DF" w:rsidRPr="005432E1">
        <w:rPr>
          <w:rFonts w:asciiTheme="minorHAnsi" w:hAnsiTheme="minorHAnsi"/>
        </w:rPr>
        <w:t>2</w:t>
      </w:r>
      <w:r w:rsidR="00EA1FDF" w:rsidRPr="005432E1">
        <w:rPr>
          <w:rFonts w:asciiTheme="minorHAnsi" w:hAnsiTheme="minorHAnsi"/>
        </w:rPr>
        <w:t xml:space="preserve"> a </w:t>
      </w:r>
      <w:r w:rsidR="00A53CAB" w:rsidRPr="005432E1">
        <w:rPr>
          <w:rFonts w:asciiTheme="minorHAnsi" w:hAnsiTheme="minorHAnsi"/>
        </w:rPr>
        <w:t>6</w:t>
      </w:r>
      <w:r w:rsidR="00EA1FDF" w:rsidRPr="005432E1">
        <w:rPr>
          <w:rFonts w:asciiTheme="minorHAnsi" w:hAnsiTheme="minorHAnsi"/>
        </w:rPr>
        <w:t xml:space="preserve"> </w:t>
      </w:r>
      <w:r w:rsidR="00034F5F" w:rsidRPr="005432E1">
        <w:rPr>
          <w:rFonts w:asciiTheme="minorHAnsi" w:hAnsiTheme="minorHAnsi"/>
        </w:rPr>
        <w:t xml:space="preserve">a seguir, </w:t>
      </w:r>
      <w:r w:rsidRPr="005432E1">
        <w:rPr>
          <w:rFonts w:asciiTheme="minorHAnsi" w:hAnsiTheme="minorHAnsi"/>
        </w:rPr>
        <w:t xml:space="preserve">são </w:t>
      </w:r>
      <w:r w:rsidR="004B383B" w:rsidRPr="005432E1">
        <w:rPr>
          <w:rFonts w:asciiTheme="minorHAnsi" w:hAnsiTheme="minorHAnsi"/>
        </w:rPr>
        <w:t>mostrados os resultados de estresse para os diversos decis que compõem a distribuiç</w:t>
      </w:r>
      <w:r w:rsidR="00435201" w:rsidRPr="005432E1">
        <w:rPr>
          <w:rFonts w:asciiTheme="minorHAnsi" w:hAnsiTheme="minorHAnsi"/>
        </w:rPr>
        <w:t xml:space="preserve">ão de valores aleatórios </w:t>
      </w:r>
      <w:r w:rsidR="00AC580B" w:rsidRPr="005432E1">
        <w:rPr>
          <w:rFonts w:asciiTheme="minorHAnsi" w:hAnsiTheme="minorHAnsi"/>
        </w:rPr>
        <w:t>descritos acima</w:t>
      </w:r>
      <w:r w:rsidR="006163EB" w:rsidRPr="005432E1">
        <w:rPr>
          <w:rFonts w:asciiTheme="minorHAnsi" w:hAnsiTheme="minorHAnsi"/>
        </w:rPr>
        <w:t xml:space="preserve">. Mais especificamente, partiu-se da média definida pela Grade de Parâmetros </w:t>
      </w:r>
      <w:r w:rsidR="000F3136" w:rsidRPr="005432E1">
        <w:rPr>
          <w:rFonts w:asciiTheme="minorHAnsi" w:hAnsiTheme="minorHAnsi"/>
        </w:rPr>
        <w:t xml:space="preserve">e acrescentaram-se 10 decis acima e abaixo dessa média, resultando em um espectro de risco </w:t>
      </w:r>
      <w:r w:rsidR="0035078B" w:rsidRPr="005432E1">
        <w:rPr>
          <w:rFonts w:asciiTheme="minorHAnsi" w:hAnsiTheme="minorHAnsi"/>
        </w:rPr>
        <w:t xml:space="preserve">para as principais variáveis fiscais </w:t>
      </w:r>
      <w:r w:rsidR="000F3136" w:rsidRPr="005432E1">
        <w:rPr>
          <w:rFonts w:asciiTheme="minorHAnsi" w:hAnsiTheme="minorHAnsi"/>
        </w:rPr>
        <w:t xml:space="preserve">que varia entre </w:t>
      </w:r>
      <w:r w:rsidR="002453C8" w:rsidRPr="005432E1">
        <w:rPr>
          <w:rFonts w:asciiTheme="minorHAnsi" w:hAnsiTheme="minorHAnsi"/>
        </w:rPr>
        <w:t>a</w:t>
      </w:r>
      <w:r w:rsidR="000F3136" w:rsidRPr="005432E1">
        <w:rPr>
          <w:rFonts w:asciiTheme="minorHAnsi" w:hAnsiTheme="minorHAnsi"/>
        </w:rPr>
        <w:t xml:space="preserve"> 10ª e </w:t>
      </w:r>
      <w:r w:rsidR="0035078B" w:rsidRPr="005432E1">
        <w:rPr>
          <w:rFonts w:asciiTheme="minorHAnsi" w:hAnsiTheme="minorHAnsi"/>
        </w:rPr>
        <w:t>a</w:t>
      </w:r>
      <w:r w:rsidR="000F3136" w:rsidRPr="005432E1">
        <w:rPr>
          <w:rFonts w:asciiTheme="minorHAnsi" w:hAnsiTheme="minorHAnsi"/>
        </w:rPr>
        <w:t xml:space="preserve"> 90ª partiç</w:t>
      </w:r>
      <w:r w:rsidR="00813C2A" w:rsidRPr="005432E1">
        <w:rPr>
          <w:rFonts w:asciiTheme="minorHAnsi" w:hAnsiTheme="minorHAnsi"/>
        </w:rPr>
        <w:t xml:space="preserve">ão </w:t>
      </w:r>
      <w:r w:rsidR="0035078B" w:rsidRPr="005432E1">
        <w:rPr>
          <w:rFonts w:asciiTheme="minorHAnsi" w:hAnsiTheme="minorHAnsi"/>
        </w:rPr>
        <w:t xml:space="preserve">entre os anos de </w:t>
      </w:r>
      <w:r w:rsidR="00813C2A" w:rsidRPr="005432E1">
        <w:rPr>
          <w:rFonts w:asciiTheme="minorHAnsi" w:hAnsiTheme="minorHAnsi"/>
        </w:rPr>
        <w:t>201</w:t>
      </w:r>
      <w:r w:rsidR="004E378D" w:rsidRPr="005432E1">
        <w:rPr>
          <w:rFonts w:asciiTheme="minorHAnsi" w:hAnsiTheme="minorHAnsi"/>
        </w:rPr>
        <w:t>9</w:t>
      </w:r>
      <w:r w:rsidR="00813C2A" w:rsidRPr="005432E1">
        <w:rPr>
          <w:rFonts w:asciiTheme="minorHAnsi" w:hAnsiTheme="minorHAnsi"/>
        </w:rPr>
        <w:t xml:space="preserve"> </w:t>
      </w:r>
      <w:r w:rsidR="0035078B" w:rsidRPr="005432E1">
        <w:rPr>
          <w:rFonts w:asciiTheme="minorHAnsi" w:hAnsiTheme="minorHAnsi"/>
        </w:rPr>
        <w:t>e</w:t>
      </w:r>
      <w:r w:rsidR="00813C2A" w:rsidRPr="005432E1">
        <w:rPr>
          <w:rFonts w:asciiTheme="minorHAnsi" w:hAnsiTheme="minorHAnsi"/>
        </w:rPr>
        <w:t xml:space="preserve"> 202</w:t>
      </w:r>
      <w:r w:rsidR="004E378D" w:rsidRPr="005432E1">
        <w:rPr>
          <w:rFonts w:asciiTheme="minorHAnsi" w:hAnsiTheme="minorHAnsi"/>
        </w:rPr>
        <w:t>1</w:t>
      </w:r>
      <w:r w:rsidR="00813C2A" w:rsidRPr="005432E1">
        <w:rPr>
          <w:rFonts w:asciiTheme="minorHAnsi" w:hAnsiTheme="minorHAnsi"/>
        </w:rPr>
        <w:t>:</w:t>
      </w:r>
    </w:p>
    <w:p w14:paraId="3C65C277" w14:textId="77777777" w:rsidR="00A20CAF" w:rsidRPr="005432E1" w:rsidRDefault="00A20CAF" w:rsidP="006F4AC5">
      <w:pPr>
        <w:ind w:firstLine="708"/>
        <w:jc w:val="both"/>
        <w:rPr>
          <w:rFonts w:asciiTheme="minorHAnsi" w:hAnsiTheme="minorHAnsi"/>
        </w:rPr>
      </w:pPr>
    </w:p>
    <w:p w14:paraId="4C1AD70C" w14:textId="7D64139D" w:rsidR="00B346E0" w:rsidRPr="005432E1" w:rsidRDefault="00B346E0" w:rsidP="006F4AC5">
      <w:pPr>
        <w:ind w:firstLine="708"/>
        <w:jc w:val="both"/>
        <w:rPr>
          <w:rFonts w:asciiTheme="minorHAnsi" w:hAnsiTheme="minorHAnsi"/>
        </w:rPr>
      </w:pPr>
    </w:p>
    <w:p w14:paraId="3CB8D3B5" w14:textId="495088AE" w:rsidR="002F3CDD" w:rsidRPr="005432E1" w:rsidRDefault="00077EFF" w:rsidP="006F4AC5">
      <w:pPr>
        <w:ind w:firstLine="708"/>
        <w:jc w:val="both"/>
        <w:rPr>
          <w:rFonts w:asciiTheme="minorHAnsi" w:hAnsiTheme="minorHAnsi"/>
          <w:b/>
          <w:color w:val="FF0000"/>
        </w:rPr>
      </w:pPr>
      <w:r w:rsidRPr="005432E1">
        <w:rPr>
          <w:rFonts w:asciiTheme="minorHAnsi" w:hAnsiTheme="minorHAnsi"/>
          <w:b/>
        </w:rPr>
        <w:t xml:space="preserve">Gráfico </w:t>
      </w:r>
      <w:r w:rsidR="00C447DF" w:rsidRPr="005432E1">
        <w:rPr>
          <w:rFonts w:asciiTheme="minorHAnsi" w:hAnsiTheme="minorHAnsi"/>
          <w:b/>
        </w:rPr>
        <w:t>2</w:t>
      </w:r>
      <w:r w:rsidRPr="005432E1">
        <w:rPr>
          <w:rFonts w:asciiTheme="minorHAnsi" w:hAnsiTheme="minorHAnsi"/>
          <w:b/>
        </w:rPr>
        <w:t xml:space="preserve"> </w:t>
      </w:r>
      <w:r w:rsidR="004163C4" w:rsidRPr="005432E1">
        <w:rPr>
          <w:rFonts w:asciiTheme="minorHAnsi" w:hAnsiTheme="minorHAnsi"/>
          <w:b/>
        </w:rPr>
        <w:t>–</w:t>
      </w:r>
      <w:r w:rsidRPr="005432E1">
        <w:rPr>
          <w:rFonts w:asciiTheme="minorHAnsi" w:hAnsiTheme="minorHAnsi"/>
          <w:b/>
        </w:rPr>
        <w:t xml:space="preserve"> </w:t>
      </w:r>
      <w:r w:rsidR="004163C4" w:rsidRPr="005432E1">
        <w:rPr>
          <w:rFonts w:asciiTheme="minorHAnsi" w:hAnsiTheme="minorHAnsi"/>
          <w:b/>
        </w:rPr>
        <w:t>Espectro de risco da Receita Líquida</w:t>
      </w:r>
    </w:p>
    <w:p w14:paraId="627B3476" w14:textId="77777777" w:rsidR="004E378D" w:rsidRPr="005432E1" w:rsidRDefault="004E378D" w:rsidP="006F4AC5">
      <w:pPr>
        <w:ind w:firstLine="708"/>
        <w:jc w:val="both"/>
        <w:rPr>
          <w:rFonts w:asciiTheme="minorHAnsi" w:hAnsiTheme="minorHAnsi"/>
          <w:b/>
          <w:color w:val="FF0000"/>
        </w:rPr>
      </w:pPr>
    </w:p>
    <w:p w14:paraId="6DD4ACEE" w14:textId="05CF0495" w:rsidR="004E378D" w:rsidRPr="005432E1" w:rsidRDefault="00925CF2" w:rsidP="006F4AC5">
      <w:pPr>
        <w:ind w:firstLine="708"/>
        <w:jc w:val="both"/>
        <w:rPr>
          <w:rFonts w:asciiTheme="minorHAnsi" w:hAnsiTheme="minorHAnsi"/>
          <w:b/>
          <w:color w:val="FF0000"/>
        </w:rPr>
      </w:pPr>
      <w:r w:rsidRPr="005432E1">
        <w:rPr>
          <w:rFonts w:asciiTheme="minorHAnsi" w:hAnsiTheme="minorHAnsi"/>
          <w:noProof/>
        </w:rPr>
        <w:drawing>
          <wp:inline distT="0" distB="0" distL="0" distR="0" wp14:anchorId="71EF704A" wp14:editId="09B3AE83">
            <wp:extent cx="4572000" cy="27432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9E9342" w14:textId="77777777" w:rsidR="00C37777" w:rsidRPr="005432E1" w:rsidRDefault="00C37777" w:rsidP="006F4AC5">
      <w:pPr>
        <w:ind w:firstLine="708"/>
        <w:jc w:val="both"/>
        <w:rPr>
          <w:rFonts w:asciiTheme="minorHAnsi" w:hAnsiTheme="minorHAnsi"/>
          <w:b/>
          <w:color w:val="FF0000"/>
        </w:rPr>
      </w:pPr>
    </w:p>
    <w:p w14:paraId="2C633BAE" w14:textId="761DEE69" w:rsidR="005432E1" w:rsidRDefault="00EF671D" w:rsidP="006F4AC5">
      <w:pPr>
        <w:ind w:firstLine="708"/>
        <w:jc w:val="both"/>
        <w:rPr>
          <w:rFonts w:asciiTheme="minorHAnsi" w:hAnsiTheme="minorHAnsi"/>
          <w:sz w:val="18"/>
          <w:szCs w:val="18"/>
        </w:rPr>
      </w:pPr>
      <w:r w:rsidRPr="005432E1">
        <w:rPr>
          <w:rFonts w:asciiTheme="minorHAnsi" w:hAnsiTheme="minorHAnsi"/>
          <w:sz w:val="18"/>
          <w:szCs w:val="18"/>
        </w:rPr>
        <w:t>Fonte: STN/MF.</w:t>
      </w:r>
    </w:p>
    <w:p w14:paraId="75501C17" w14:textId="77777777" w:rsidR="005432E1" w:rsidRDefault="005432E1">
      <w:pPr>
        <w:rPr>
          <w:rFonts w:asciiTheme="minorHAnsi" w:hAnsiTheme="minorHAnsi"/>
          <w:sz w:val="18"/>
          <w:szCs w:val="18"/>
        </w:rPr>
      </w:pPr>
      <w:r>
        <w:rPr>
          <w:rFonts w:asciiTheme="minorHAnsi" w:hAnsiTheme="minorHAnsi"/>
          <w:sz w:val="18"/>
          <w:szCs w:val="18"/>
        </w:rPr>
        <w:br w:type="page"/>
      </w:r>
    </w:p>
    <w:p w14:paraId="5181A82F" w14:textId="77777777" w:rsidR="00DC620B" w:rsidRPr="005432E1" w:rsidRDefault="00DC620B" w:rsidP="006F4AC5">
      <w:pPr>
        <w:ind w:firstLine="708"/>
        <w:jc w:val="both"/>
        <w:rPr>
          <w:rFonts w:asciiTheme="minorHAnsi" w:hAnsiTheme="minorHAnsi"/>
          <w:sz w:val="18"/>
          <w:szCs w:val="18"/>
        </w:rPr>
      </w:pPr>
    </w:p>
    <w:p w14:paraId="69A2266A" w14:textId="77777777" w:rsidR="00C37777" w:rsidRPr="005432E1" w:rsidRDefault="00015C10" w:rsidP="006F4AC5">
      <w:pPr>
        <w:ind w:firstLine="708"/>
        <w:jc w:val="both"/>
        <w:rPr>
          <w:rFonts w:asciiTheme="minorHAnsi" w:hAnsiTheme="minorHAnsi"/>
          <w:b/>
        </w:rPr>
      </w:pPr>
      <w:r w:rsidRPr="005432E1">
        <w:rPr>
          <w:rFonts w:asciiTheme="minorHAnsi" w:hAnsiTheme="minorHAnsi"/>
          <w:b/>
        </w:rPr>
        <w:t xml:space="preserve">Gráfico </w:t>
      </w:r>
      <w:r w:rsidR="00C447DF" w:rsidRPr="005432E1">
        <w:rPr>
          <w:rFonts w:asciiTheme="minorHAnsi" w:hAnsiTheme="minorHAnsi"/>
          <w:b/>
        </w:rPr>
        <w:t>3</w:t>
      </w:r>
      <w:r w:rsidRPr="005432E1">
        <w:rPr>
          <w:rFonts w:asciiTheme="minorHAnsi" w:hAnsiTheme="minorHAnsi"/>
          <w:b/>
        </w:rPr>
        <w:t xml:space="preserve"> – Espectro de risco da Despesa</w:t>
      </w:r>
    </w:p>
    <w:p w14:paraId="1290E5D4" w14:textId="00D2C3F6" w:rsidR="009B28C9" w:rsidRPr="005432E1" w:rsidRDefault="00925CF2" w:rsidP="006F4AC5">
      <w:pPr>
        <w:ind w:firstLine="708"/>
        <w:jc w:val="both"/>
        <w:rPr>
          <w:rFonts w:asciiTheme="minorHAnsi" w:hAnsiTheme="minorHAnsi"/>
          <w:b/>
          <w:color w:val="FF0000"/>
        </w:rPr>
      </w:pPr>
      <w:r w:rsidRPr="005432E1">
        <w:rPr>
          <w:rFonts w:asciiTheme="minorHAnsi" w:hAnsiTheme="minorHAnsi"/>
          <w:noProof/>
        </w:rPr>
        <w:drawing>
          <wp:inline distT="0" distB="0" distL="0" distR="0" wp14:anchorId="30B46C6A" wp14:editId="14AFF341">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C9B0B7" w14:textId="42E23701" w:rsidR="00015C10" w:rsidRPr="005432E1" w:rsidRDefault="00015C10" w:rsidP="006F4AC5">
      <w:pPr>
        <w:ind w:firstLine="708"/>
        <w:jc w:val="both"/>
        <w:rPr>
          <w:rFonts w:asciiTheme="minorHAnsi" w:hAnsiTheme="minorHAnsi"/>
          <w:color w:val="FF0000"/>
        </w:rPr>
      </w:pPr>
    </w:p>
    <w:p w14:paraId="7D8D1F50" w14:textId="77777777" w:rsidR="00015C10" w:rsidRPr="005432E1" w:rsidRDefault="00015C10" w:rsidP="006F4AC5">
      <w:pPr>
        <w:ind w:firstLine="708"/>
        <w:jc w:val="both"/>
        <w:rPr>
          <w:rFonts w:asciiTheme="minorHAnsi" w:hAnsiTheme="minorHAnsi"/>
          <w:sz w:val="18"/>
          <w:szCs w:val="18"/>
        </w:rPr>
      </w:pPr>
      <w:r w:rsidRPr="005432E1">
        <w:rPr>
          <w:rFonts w:asciiTheme="minorHAnsi" w:hAnsiTheme="minorHAnsi"/>
          <w:sz w:val="18"/>
          <w:szCs w:val="18"/>
        </w:rPr>
        <w:t>Fonte: STN/MF.</w:t>
      </w:r>
    </w:p>
    <w:p w14:paraId="29F7412A" w14:textId="77777777" w:rsidR="00A92408" w:rsidRPr="005432E1" w:rsidRDefault="00A92408">
      <w:pPr>
        <w:rPr>
          <w:rFonts w:asciiTheme="minorHAnsi" w:hAnsiTheme="minorHAnsi"/>
          <w:b/>
          <w:color w:val="FF0000"/>
        </w:rPr>
      </w:pPr>
    </w:p>
    <w:p w14:paraId="7B650431" w14:textId="77777777" w:rsidR="009B28C9" w:rsidRPr="005432E1" w:rsidRDefault="009B28C9" w:rsidP="006F4AC5">
      <w:pPr>
        <w:ind w:firstLine="708"/>
        <w:jc w:val="both"/>
        <w:rPr>
          <w:rFonts w:asciiTheme="minorHAnsi" w:hAnsiTheme="minorHAnsi"/>
          <w:b/>
          <w:color w:val="FF0000"/>
        </w:rPr>
      </w:pPr>
    </w:p>
    <w:p w14:paraId="0D8BC0E7" w14:textId="413C69EC" w:rsidR="002C2198" w:rsidRPr="005432E1" w:rsidRDefault="00015C10" w:rsidP="006F4AC5">
      <w:pPr>
        <w:ind w:firstLine="708"/>
        <w:jc w:val="both"/>
        <w:rPr>
          <w:rFonts w:asciiTheme="minorHAnsi" w:hAnsiTheme="minorHAnsi"/>
          <w:b/>
        </w:rPr>
      </w:pPr>
      <w:r w:rsidRPr="005432E1">
        <w:rPr>
          <w:rFonts w:asciiTheme="minorHAnsi" w:hAnsiTheme="minorHAnsi"/>
          <w:b/>
        </w:rPr>
        <w:t xml:space="preserve">Gráfico </w:t>
      </w:r>
      <w:r w:rsidR="00C447DF" w:rsidRPr="005432E1">
        <w:rPr>
          <w:rFonts w:asciiTheme="minorHAnsi" w:hAnsiTheme="minorHAnsi"/>
          <w:b/>
        </w:rPr>
        <w:t>4</w:t>
      </w:r>
      <w:r w:rsidRPr="005432E1">
        <w:rPr>
          <w:rFonts w:asciiTheme="minorHAnsi" w:hAnsiTheme="minorHAnsi"/>
          <w:b/>
        </w:rPr>
        <w:t xml:space="preserve"> – Espectro de risco do Superávit Primário</w:t>
      </w:r>
      <w:r w:rsidR="009B28C9" w:rsidRPr="005432E1">
        <w:rPr>
          <w:rFonts w:asciiTheme="minorHAnsi" w:hAnsiTheme="minorHAnsi"/>
          <w:b/>
        </w:rPr>
        <w:t xml:space="preserve"> do Governo Central</w:t>
      </w:r>
    </w:p>
    <w:p w14:paraId="6D5EBC0A" w14:textId="77777777" w:rsidR="009B28C9" w:rsidRPr="005432E1" w:rsidRDefault="009B28C9" w:rsidP="006F4AC5">
      <w:pPr>
        <w:ind w:firstLine="708"/>
        <w:jc w:val="both"/>
        <w:rPr>
          <w:rFonts w:asciiTheme="minorHAnsi" w:hAnsiTheme="minorHAnsi"/>
          <w:b/>
        </w:rPr>
      </w:pPr>
    </w:p>
    <w:p w14:paraId="6660CFBB" w14:textId="13527AFC" w:rsidR="009B28C9" w:rsidRPr="005432E1" w:rsidRDefault="00925CF2" w:rsidP="006F4AC5">
      <w:pPr>
        <w:ind w:firstLine="708"/>
        <w:jc w:val="both"/>
        <w:rPr>
          <w:rFonts w:asciiTheme="minorHAnsi" w:hAnsiTheme="minorHAnsi"/>
          <w:b/>
        </w:rPr>
      </w:pPr>
      <w:r w:rsidRPr="005432E1">
        <w:rPr>
          <w:rFonts w:asciiTheme="minorHAnsi" w:hAnsiTheme="minorHAnsi"/>
          <w:noProof/>
        </w:rPr>
        <w:drawing>
          <wp:inline distT="0" distB="0" distL="0" distR="0" wp14:anchorId="5E44D1DD" wp14:editId="1133ED98">
            <wp:extent cx="4572000" cy="27432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1CC941" w14:textId="01EBE24A" w:rsidR="00015C10" w:rsidRPr="005432E1" w:rsidRDefault="00015C10" w:rsidP="006F4AC5">
      <w:pPr>
        <w:ind w:firstLine="708"/>
        <w:jc w:val="both"/>
        <w:rPr>
          <w:rFonts w:asciiTheme="minorHAnsi" w:hAnsiTheme="minorHAnsi"/>
        </w:rPr>
      </w:pPr>
    </w:p>
    <w:p w14:paraId="3B618AD8" w14:textId="77777777" w:rsidR="00015C10" w:rsidRPr="005432E1" w:rsidRDefault="00015C10" w:rsidP="006F4AC5">
      <w:pPr>
        <w:ind w:firstLine="708"/>
        <w:jc w:val="both"/>
        <w:rPr>
          <w:rFonts w:asciiTheme="minorHAnsi" w:hAnsiTheme="minorHAnsi"/>
          <w:sz w:val="18"/>
          <w:szCs w:val="18"/>
        </w:rPr>
      </w:pPr>
      <w:r w:rsidRPr="005432E1">
        <w:rPr>
          <w:rFonts w:asciiTheme="minorHAnsi" w:hAnsiTheme="minorHAnsi"/>
          <w:sz w:val="18"/>
          <w:szCs w:val="18"/>
        </w:rPr>
        <w:t>Fonte: STN/MF.</w:t>
      </w:r>
    </w:p>
    <w:p w14:paraId="28185E35" w14:textId="1D529891" w:rsidR="005432E1" w:rsidRDefault="005432E1">
      <w:pPr>
        <w:rPr>
          <w:rFonts w:asciiTheme="minorHAnsi" w:hAnsiTheme="minorHAnsi"/>
          <w:color w:val="FF0000"/>
        </w:rPr>
      </w:pPr>
      <w:r>
        <w:rPr>
          <w:rFonts w:asciiTheme="minorHAnsi" w:hAnsiTheme="minorHAnsi"/>
          <w:color w:val="FF0000"/>
        </w:rPr>
        <w:br w:type="page"/>
      </w:r>
    </w:p>
    <w:p w14:paraId="04B3B00C" w14:textId="77777777" w:rsidR="002C2198" w:rsidRPr="005432E1" w:rsidRDefault="002C2198" w:rsidP="006F4AC5">
      <w:pPr>
        <w:ind w:firstLine="708"/>
        <w:jc w:val="both"/>
        <w:rPr>
          <w:rFonts w:asciiTheme="minorHAnsi" w:hAnsiTheme="minorHAnsi"/>
          <w:color w:val="FF0000"/>
        </w:rPr>
      </w:pPr>
    </w:p>
    <w:p w14:paraId="287AA4FA" w14:textId="41968A27" w:rsidR="004F3564" w:rsidRPr="005432E1" w:rsidRDefault="004F3564" w:rsidP="004F3564">
      <w:pPr>
        <w:ind w:firstLine="708"/>
        <w:jc w:val="both"/>
        <w:rPr>
          <w:rFonts w:asciiTheme="minorHAnsi" w:hAnsiTheme="minorHAnsi"/>
          <w:b/>
        </w:rPr>
      </w:pPr>
      <w:r w:rsidRPr="005432E1">
        <w:rPr>
          <w:rFonts w:asciiTheme="minorHAnsi" w:hAnsiTheme="minorHAnsi"/>
          <w:b/>
        </w:rPr>
        <w:t>Gráfico 5 – Espectro de risco da DLSP</w:t>
      </w:r>
    </w:p>
    <w:p w14:paraId="2E48956A" w14:textId="77777777" w:rsidR="004F3564" w:rsidRPr="005432E1" w:rsidRDefault="004F3564" w:rsidP="00BD6EC4">
      <w:pPr>
        <w:ind w:firstLine="708"/>
        <w:jc w:val="both"/>
        <w:rPr>
          <w:rFonts w:asciiTheme="minorHAnsi" w:hAnsiTheme="minorHAnsi"/>
          <w:b/>
          <w:color w:val="FF0000"/>
        </w:rPr>
      </w:pPr>
    </w:p>
    <w:p w14:paraId="4E14DACA" w14:textId="08E57707" w:rsidR="004F3564" w:rsidRPr="005432E1" w:rsidRDefault="00925CF2" w:rsidP="00BD6EC4">
      <w:pPr>
        <w:ind w:firstLine="708"/>
        <w:jc w:val="both"/>
        <w:rPr>
          <w:rFonts w:asciiTheme="minorHAnsi" w:hAnsiTheme="minorHAnsi"/>
          <w:b/>
          <w:color w:val="FF0000"/>
        </w:rPr>
      </w:pPr>
      <w:r w:rsidRPr="005432E1">
        <w:rPr>
          <w:rFonts w:asciiTheme="minorHAnsi" w:hAnsiTheme="minorHAnsi"/>
          <w:noProof/>
        </w:rPr>
        <w:drawing>
          <wp:inline distT="0" distB="0" distL="0" distR="0" wp14:anchorId="6613EEA7" wp14:editId="25B775D4">
            <wp:extent cx="4572000" cy="27432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1608AE" w14:textId="77777777" w:rsidR="004F3564" w:rsidRPr="005432E1" w:rsidRDefault="004F3564" w:rsidP="00BD6EC4">
      <w:pPr>
        <w:ind w:firstLine="708"/>
        <w:jc w:val="both"/>
        <w:rPr>
          <w:rFonts w:asciiTheme="minorHAnsi" w:hAnsiTheme="minorHAnsi"/>
          <w:b/>
          <w:color w:val="FF0000"/>
        </w:rPr>
      </w:pPr>
    </w:p>
    <w:p w14:paraId="7C84B09D" w14:textId="77777777" w:rsidR="004F3564" w:rsidRPr="005432E1" w:rsidRDefault="004F3564" w:rsidP="00BD6EC4">
      <w:pPr>
        <w:ind w:firstLine="708"/>
        <w:jc w:val="both"/>
        <w:rPr>
          <w:rFonts w:asciiTheme="minorHAnsi" w:hAnsiTheme="minorHAnsi"/>
          <w:b/>
          <w:color w:val="FF0000"/>
        </w:rPr>
      </w:pPr>
    </w:p>
    <w:p w14:paraId="28CE990B" w14:textId="77777777" w:rsidR="00CD3057" w:rsidRPr="005432E1" w:rsidRDefault="00CD3057" w:rsidP="004F3564">
      <w:pPr>
        <w:ind w:firstLine="708"/>
        <w:jc w:val="both"/>
        <w:rPr>
          <w:rFonts w:asciiTheme="minorHAnsi" w:hAnsiTheme="minorHAnsi"/>
          <w:b/>
        </w:rPr>
      </w:pPr>
    </w:p>
    <w:p w14:paraId="2128160A" w14:textId="09B98905" w:rsidR="004F3564" w:rsidRPr="005432E1" w:rsidRDefault="004F3564" w:rsidP="004F3564">
      <w:pPr>
        <w:ind w:firstLine="708"/>
        <w:jc w:val="both"/>
        <w:rPr>
          <w:rFonts w:asciiTheme="minorHAnsi" w:hAnsiTheme="minorHAnsi"/>
          <w:b/>
        </w:rPr>
      </w:pPr>
      <w:r w:rsidRPr="005432E1">
        <w:rPr>
          <w:rFonts w:asciiTheme="minorHAnsi" w:hAnsiTheme="minorHAnsi"/>
          <w:b/>
        </w:rPr>
        <w:t>Gráfico 6 – Espectro de risco da DBGG</w:t>
      </w:r>
    </w:p>
    <w:p w14:paraId="09786A34" w14:textId="77777777" w:rsidR="004F3564" w:rsidRPr="005432E1" w:rsidRDefault="004F3564" w:rsidP="00BD6EC4">
      <w:pPr>
        <w:ind w:firstLine="708"/>
        <w:jc w:val="both"/>
        <w:rPr>
          <w:rFonts w:asciiTheme="minorHAnsi" w:hAnsiTheme="minorHAnsi"/>
          <w:b/>
        </w:rPr>
      </w:pPr>
    </w:p>
    <w:p w14:paraId="37177214" w14:textId="77777777" w:rsidR="00F861B5" w:rsidRPr="005432E1" w:rsidRDefault="00F861B5" w:rsidP="00BD6EC4">
      <w:pPr>
        <w:ind w:firstLine="708"/>
        <w:jc w:val="both"/>
        <w:rPr>
          <w:rFonts w:asciiTheme="minorHAnsi" w:hAnsiTheme="minorHAnsi"/>
          <w:b/>
          <w:color w:val="FF0000"/>
        </w:rPr>
      </w:pPr>
    </w:p>
    <w:p w14:paraId="19803E63" w14:textId="0B0D9095" w:rsidR="00F861B5" w:rsidRPr="005432E1" w:rsidRDefault="00925CF2" w:rsidP="00BD6EC4">
      <w:pPr>
        <w:ind w:firstLine="708"/>
        <w:jc w:val="both"/>
        <w:rPr>
          <w:rFonts w:asciiTheme="minorHAnsi" w:hAnsiTheme="minorHAnsi"/>
          <w:b/>
          <w:color w:val="FF0000"/>
        </w:rPr>
      </w:pPr>
      <w:r w:rsidRPr="005432E1">
        <w:rPr>
          <w:rFonts w:asciiTheme="minorHAnsi" w:hAnsiTheme="minorHAnsi"/>
          <w:noProof/>
        </w:rPr>
        <w:drawing>
          <wp:inline distT="0" distB="0" distL="0" distR="0" wp14:anchorId="22705150" wp14:editId="49EC31D8">
            <wp:extent cx="45720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47EC58" w14:textId="77777777" w:rsidR="001E58AA" w:rsidRPr="005432E1" w:rsidRDefault="001E58AA" w:rsidP="00BD6EC4">
      <w:pPr>
        <w:ind w:firstLine="708"/>
        <w:jc w:val="both"/>
        <w:rPr>
          <w:rFonts w:asciiTheme="minorHAnsi" w:hAnsiTheme="minorHAnsi"/>
          <w:b/>
          <w:color w:val="FF0000"/>
        </w:rPr>
      </w:pPr>
    </w:p>
    <w:p w14:paraId="71319125" w14:textId="62DFFB60" w:rsidR="00015C10" w:rsidRPr="005432E1" w:rsidRDefault="00015C10" w:rsidP="006F4AC5">
      <w:pPr>
        <w:ind w:firstLine="708"/>
        <w:jc w:val="both"/>
        <w:rPr>
          <w:rFonts w:asciiTheme="minorHAnsi" w:hAnsiTheme="minorHAnsi"/>
          <w:sz w:val="18"/>
          <w:szCs w:val="18"/>
        </w:rPr>
      </w:pPr>
      <w:r w:rsidRPr="005432E1">
        <w:rPr>
          <w:rFonts w:asciiTheme="minorHAnsi" w:hAnsiTheme="minorHAnsi"/>
          <w:sz w:val="18"/>
          <w:szCs w:val="18"/>
        </w:rPr>
        <w:t>Fonte: STN/MF.</w:t>
      </w:r>
    </w:p>
    <w:p w14:paraId="159A3ECA" w14:textId="77777777" w:rsidR="00A17405" w:rsidRPr="005432E1" w:rsidRDefault="00A17405" w:rsidP="00A17405">
      <w:pPr>
        <w:spacing w:before="100" w:beforeAutospacing="1" w:after="100" w:afterAutospacing="1"/>
        <w:jc w:val="both"/>
        <w:rPr>
          <w:rFonts w:asciiTheme="minorHAnsi" w:hAnsiTheme="minorHAnsi"/>
        </w:rPr>
      </w:pPr>
      <w:r w:rsidRPr="005432E1">
        <w:rPr>
          <w:rFonts w:asciiTheme="minorHAnsi" w:hAnsiTheme="minorHAnsi"/>
        </w:rPr>
        <w:tab/>
        <w:t>As simulações da DLSP mostram que a mediana da distribuição apresenta trajetória crescente ao longo do horizonte de tempo considerado. A mediana indica que a probabilidade de que a DLSP esteja abaixo deste nível em 2021 é de 50%. A distribuição também indica que é improvável a reversão da trajetória de crescimento da DLSP até 2021.</w:t>
      </w:r>
    </w:p>
    <w:p w14:paraId="59679915" w14:textId="36054E32" w:rsidR="00A17405" w:rsidRPr="005432E1" w:rsidRDefault="00A17405" w:rsidP="00A17405">
      <w:pPr>
        <w:spacing w:before="100" w:beforeAutospacing="1" w:after="100" w:afterAutospacing="1"/>
        <w:jc w:val="both"/>
        <w:rPr>
          <w:rFonts w:asciiTheme="minorHAnsi" w:hAnsiTheme="minorHAnsi"/>
        </w:rPr>
      </w:pPr>
      <w:r w:rsidRPr="005432E1">
        <w:rPr>
          <w:rFonts w:asciiTheme="minorHAnsi" w:hAnsiTheme="minorHAnsi"/>
        </w:rPr>
        <w:tab/>
        <w:t>De maneira análoga, as simulações da DBGG mostram que a mediana apresenta valor crescente. Além disso, a distribuição também indica que há baixa probabilidade de reversão da trajetória de crescimento da DBGG até 2021.</w:t>
      </w:r>
    </w:p>
    <w:p w14:paraId="7668A254" w14:textId="7C7566C4" w:rsidR="002D2FBD" w:rsidRPr="005432E1" w:rsidRDefault="002D2FBD">
      <w:pPr>
        <w:rPr>
          <w:rFonts w:asciiTheme="minorHAnsi" w:hAnsiTheme="minorHAnsi"/>
          <w:b/>
        </w:rPr>
      </w:pPr>
    </w:p>
    <w:p w14:paraId="27285958" w14:textId="77777777" w:rsidR="004855DC" w:rsidRPr="005432E1" w:rsidRDefault="00EC4537" w:rsidP="006F4AC5">
      <w:pPr>
        <w:pStyle w:val="Ttulo1"/>
        <w:numPr>
          <w:ilvl w:val="0"/>
          <w:numId w:val="0"/>
        </w:numPr>
        <w:rPr>
          <w:rFonts w:asciiTheme="minorHAnsi" w:hAnsiTheme="minorHAnsi"/>
          <w:sz w:val="24"/>
          <w:szCs w:val="24"/>
        </w:rPr>
      </w:pPr>
      <w:bookmarkStart w:id="84" w:name="_Toc447189115"/>
      <w:bookmarkStart w:id="85" w:name="_Toc414973410"/>
      <w:bookmarkStart w:id="86" w:name="_Toc414973411"/>
      <w:bookmarkStart w:id="87" w:name="_Toc510534769"/>
      <w:bookmarkStart w:id="88" w:name="_Toc510535447"/>
      <w:bookmarkStart w:id="89" w:name="_Toc511230018"/>
      <w:bookmarkEnd w:id="84"/>
      <w:bookmarkEnd w:id="85"/>
      <w:bookmarkEnd w:id="86"/>
      <w:r w:rsidRPr="005432E1">
        <w:rPr>
          <w:rFonts w:asciiTheme="minorHAnsi" w:hAnsiTheme="minorHAnsi"/>
          <w:bCs w:val="0"/>
          <w:sz w:val="24"/>
          <w:szCs w:val="24"/>
        </w:rPr>
        <w:t>3.</w:t>
      </w:r>
      <w:r w:rsidRPr="005432E1">
        <w:rPr>
          <w:rFonts w:asciiTheme="minorHAnsi" w:hAnsiTheme="minorHAnsi"/>
          <w:bCs w:val="0"/>
          <w:sz w:val="24"/>
          <w:szCs w:val="24"/>
        </w:rPr>
        <w:tab/>
      </w:r>
      <w:r w:rsidR="00A92408" w:rsidRPr="005432E1">
        <w:rPr>
          <w:rFonts w:asciiTheme="minorHAnsi" w:hAnsiTheme="minorHAnsi"/>
          <w:sz w:val="24"/>
          <w:szCs w:val="24"/>
        </w:rPr>
        <w:t>Riscos não incorporados na Análise Macroeconômica</w:t>
      </w:r>
      <w:bookmarkEnd w:id="87"/>
      <w:bookmarkEnd w:id="88"/>
      <w:bookmarkEnd w:id="89"/>
      <w:r w:rsidR="00A92408" w:rsidRPr="005432E1">
        <w:rPr>
          <w:rFonts w:asciiTheme="minorHAnsi" w:hAnsiTheme="minorHAnsi"/>
          <w:sz w:val="24"/>
          <w:szCs w:val="24"/>
        </w:rPr>
        <w:t xml:space="preserve"> </w:t>
      </w:r>
    </w:p>
    <w:p w14:paraId="51F83CF0" w14:textId="77777777" w:rsidR="002B0F44" w:rsidRPr="005432E1" w:rsidRDefault="002B0F44" w:rsidP="006F4AC5">
      <w:pPr>
        <w:jc w:val="both"/>
        <w:rPr>
          <w:rFonts w:asciiTheme="minorHAnsi" w:hAnsiTheme="minorHAnsi"/>
        </w:rPr>
      </w:pPr>
    </w:p>
    <w:p w14:paraId="3B46B754" w14:textId="77777777" w:rsidR="002B0F44" w:rsidRPr="005432E1" w:rsidRDefault="000C38B1" w:rsidP="006F4AC5">
      <w:pPr>
        <w:spacing w:after="240"/>
        <w:ind w:firstLine="709"/>
        <w:jc w:val="both"/>
        <w:rPr>
          <w:rFonts w:asciiTheme="minorHAnsi" w:hAnsiTheme="minorHAnsi"/>
        </w:rPr>
      </w:pPr>
      <w:r w:rsidRPr="005432E1">
        <w:rPr>
          <w:rFonts w:asciiTheme="minorHAnsi" w:hAnsiTheme="minorHAnsi"/>
        </w:rPr>
        <w:t>Nesta seção são avaliadas as fontes mais relevantes de perturbação do planejamento orçamentário-fiscal do Governo e que não foram objeto do crivo da seção anterior</w:t>
      </w:r>
      <w:r w:rsidR="00BC267C" w:rsidRPr="005432E1">
        <w:rPr>
          <w:rFonts w:asciiTheme="minorHAnsi" w:hAnsiTheme="minorHAnsi"/>
        </w:rPr>
        <w:t xml:space="preserve">. </w:t>
      </w:r>
      <w:r w:rsidRPr="005432E1">
        <w:rPr>
          <w:rFonts w:asciiTheme="minorHAnsi" w:hAnsiTheme="minorHAnsi"/>
        </w:rPr>
        <w:t xml:space="preserve">Quando não imbuídos de elevado grau de previsibilidade que justifique sua incorporação no cenário base, esses elementos constituem </w:t>
      </w:r>
      <w:r w:rsidR="00013715" w:rsidRPr="005432E1">
        <w:rPr>
          <w:rFonts w:asciiTheme="minorHAnsi" w:hAnsiTheme="minorHAnsi"/>
        </w:rPr>
        <w:t xml:space="preserve">fontes de risco tanto positivo quanto negativo, do ponto de vista do resultado fiscal. Adicionalmente, </w:t>
      </w:r>
      <w:r w:rsidRPr="005432E1">
        <w:rPr>
          <w:rFonts w:asciiTheme="minorHAnsi" w:hAnsiTheme="minorHAnsi"/>
        </w:rPr>
        <w:t>os riscos expostos nesta seção podem impactar não apenas o cumprimento da meta de resultado primário estabelecido no corpo LDO, mas também a projeção de resultado nominal e de dívida.</w:t>
      </w:r>
    </w:p>
    <w:p w14:paraId="22F3D9D3" w14:textId="77777777" w:rsidR="00A82FE4" w:rsidRPr="005432E1" w:rsidRDefault="00A82FE4" w:rsidP="006F4AC5">
      <w:pPr>
        <w:ind w:firstLine="708"/>
        <w:jc w:val="both"/>
        <w:rPr>
          <w:rFonts w:asciiTheme="minorHAnsi" w:hAnsiTheme="minorHAnsi"/>
        </w:rPr>
      </w:pPr>
    </w:p>
    <w:p w14:paraId="7FF831FD" w14:textId="77777777" w:rsidR="002367DB" w:rsidRPr="005432E1" w:rsidRDefault="00A92408" w:rsidP="004C4B03">
      <w:pPr>
        <w:pStyle w:val="Ttulo3"/>
        <w:numPr>
          <w:ilvl w:val="0"/>
          <w:numId w:val="0"/>
        </w:numPr>
        <w:rPr>
          <w:rFonts w:asciiTheme="minorHAnsi" w:hAnsiTheme="minorHAnsi"/>
          <w:b/>
        </w:rPr>
      </w:pPr>
      <w:bookmarkStart w:id="90" w:name="_Toc447189119"/>
      <w:bookmarkStart w:id="91" w:name="_Toc447613122"/>
      <w:bookmarkStart w:id="92" w:name="_Toc511230019"/>
      <w:r w:rsidRPr="005432E1">
        <w:rPr>
          <w:rFonts w:asciiTheme="minorHAnsi" w:hAnsiTheme="minorHAnsi"/>
          <w:b/>
        </w:rPr>
        <w:t>3.1</w:t>
      </w:r>
      <w:r w:rsidRPr="005432E1">
        <w:rPr>
          <w:rFonts w:asciiTheme="minorHAnsi" w:hAnsiTheme="minorHAnsi"/>
          <w:b/>
        </w:rPr>
        <w:tab/>
        <w:t>Passivos Contingentes</w:t>
      </w:r>
      <w:bookmarkEnd w:id="90"/>
      <w:bookmarkEnd w:id="91"/>
      <w:bookmarkEnd w:id="92"/>
    </w:p>
    <w:p w14:paraId="6FA2BBE8" w14:textId="77777777" w:rsidR="002D2FBD" w:rsidRPr="005432E1" w:rsidRDefault="002D2FBD" w:rsidP="002D2FBD">
      <w:pPr>
        <w:rPr>
          <w:rFonts w:asciiTheme="minorHAnsi" w:hAnsiTheme="minorHAnsi"/>
          <w:b/>
        </w:rPr>
      </w:pPr>
    </w:p>
    <w:p w14:paraId="510F9D01"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 xml:space="preserve">As contingências passivas referem-se a possíveis novas obrigações cuja confirmação depende da ocorrência ou não de um ou mais eventos futuros, ou que a probabilidade de ocorrência e magnitude dependem de condições exógenas imprevisíveis. São também consideradas contingentes as obrigações que surgem de eventos passados, mas que ainda não são reconhecidas por ser improvável a necessidade de liquidação ou porque o valor ainda não pode ser mensurado com suficiente segurança. </w:t>
      </w:r>
    </w:p>
    <w:p w14:paraId="5F071497" w14:textId="77777777" w:rsidR="00D87482" w:rsidRPr="005432E1" w:rsidRDefault="002B0F44" w:rsidP="006F4AC5">
      <w:pPr>
        <w:spacing w:after="240"/>
        <w:ind w:firstLine="709"/>
        <w:jc w:val="both"/>
        <w:rPr>
          <w:rFonts w:asciiTheme="minorHAnsi" w:hAnsiTheme="minorHAnsi"/>
        </w:rPr>
      </w:pPr>
      <w:r w:rsidRPr="005432E1">
        <w:rPr>
          <w:rFonts w:asciiTheme="minorHAnsi" w:hAnsiTheme="minorHAnsi"/>
        </w:rPr>
        <w:t>Há passivos contingentes que não são mensu</w:t>
      </w:r>
      <w:r w:rsidR="008115CB" w:rsidRPr="005432E1">
        <w:rPr>
          <w:rFonts w:asciiTheme="minorHAnsi" w:hAnsiTheme="minorHAnsi"/>
        </w:rPr>
        <w:t>ráveis com suficiente segurança</w:t>
      </w:r>
      <w:r w:rsidRPr="005432E1">
        <w:rPr>
          <w:rFonts w:asciiTheme="minorHAnsi" w:hAnsiTheme="minorHAnsi"/>
        </w:rPr>
        <w:t xml:space="preserve"> em razão de ainda não terem sido apurados, auditados ou periciados, por restarem dúvidas sobre sua exigibilidade total ou parcial, ou por envolverem análises e decisões que não se pode prever, como é o caso das demandas judiciais. Nestes casos, são incluídas no presente Anexo as demais informações disponíveis sobre o risco, como tema em discussão, objeto da ação, natureza da ação ou passivo e instância judicial, conforme recomenda a norma internacional de contabilidade.</w:t>
      </w:r>
      <w:r w:rsidR="00993569" w:rsidRPr="005432E1">
        <w:rPr>
          <w:rFonts w:asciiTheme="minorHAnsi" w:hAnsiTheme="minorHAnsi"/>
        </w:rPr>
        <w:t xml:space="preserve"> </w:t>
      </w:r>
      <w:r w:rsidRPr="005432E1">
        <w:rPr>
          <w:rFonts w:asciiTheme="minorHAnsi" w:hAnsiTheme="minorHAnsi"/>
        </w:rPr>
        <w:t xml:space="preserve">Ainda em relação às demandas judiciais, </w:t>
      </w:r>
      <w:r w:rsidR="003E776E" w:rsidRPr="005432E1">
        <w:rPr>
          <w:rFonts w:asciiTheme="minorHAnsi" w:hAnsiTheme="minorHAnsi"/>
        </w:rPr>
        <w:t>a</w:t>
      </w:r>
      <w:r w:rsidR="00D87482" w:rsidRPr="005432E1">
        <w:rPr>
          <w:rFonts w:asciiTheme="minorHAnsi" w:hAnsiTheme="minorHAnsi"/>
        </w:rPr>
        <w:t>té o ano de 2014, a avaliação dos passivos contingentes da União tomava por base parâmetros internos das Procuradorias.</w:t>
      </w:r>
      <w:r w:rsidR="003E776E" w:rsidRPr="005432E1">
        <w:rPr>
          <w:rFonts w:asciiTheme="minorHAnsi" w:hAnsiTheme="minorHAnsi"/>
        </w:rPr>
        <w:t xml:space="preserve"> </w:t>
      </w:r>
      <w:r w:rsidR="00A45FB0" w:rsidRPr="005432E1">
        <w:rPr>
          <w:rFonts w:asciiTheme="minorHAnsi" w:hAnsiTheme="minorHAnsi"/>
        </w:rPr>
        <w:t>A partir de 201</w:t>
      </w:r>
      <w:r w:rsidR="005323B7" w:rsidRPr="005432E1">
        <w:rPr>
          <w:rFonts w:asciiTheme="minorHAnsi" w:hAnsiTheme="minorHAnsi"/>
        </w:rPr>
        <w:t>5</w:t>
      </w:r>
      <w:r w:rsidR="00D87482" w:rsidRPr="005432E1">
        <w:rPr>
          <w:rFonts w:asciiTheme="minorHAnsi" w:hAnsiTheme="minorHAnsi"/>
        </w:rPr>
        <w:t xml:space="preserve">, </w:t>
      </w:r>
      <w:r w:rsidR="00A45FB0" w:rsidRPr="005432E1">
        <w:rPr>
          <w:rFonts w:asciiTheme="minorHAnsi" w:hAnsiTheme="minorHAnsi"/>
        </w:rPr>
        <w:t>foram</w:t>
      </w:r>
      <w:r w:rsidR="00D87482" w:rsidRPr="005432E1">
        <w:rPr>
          <w:rFonts w:asciiTheme="minorHAnsi" w:hAnsiTheme="minorHAnsi"/>
        </w:rPr>
        <w:t xml:space="preserve"> considerados os parâmetros definidos na Portaria AGU Nº 40, de 10 de fevereiro de 2015, que estabeleceu critérios e procedimentos a serem adotados pela Advocacia-Geral da União na prestação de informações sobre ações judiciais ajuizadas contra a União, suas autarquias ou fundações públicas, que possam representar riscos fiscais.</w:t>
      </w:r>
    </w:p>
    <w:p w14:paraId="2DADCDE8" w14:textId="77777777" w:rsidR="00D87482" w:rsidRPr="005432E1" w:rsidRDefault="00D87482" w:rsidP="006F4AC5">
      <w:pPr>
        <w:spacing w:after="240"/>
        <w:ind w:firstLine="709"/>
        <w:jc w:val="both"/>
        <w:rPr>
          <w:rFonts w:asciiTheme="minorHAnsi" w:hAnsiTheme="minorHAnsi"/>
        </w:rPr>
      </w:pPr>
      <w:r w:rsidRPr="005432E1">
        <w:rPr>
          <w:rFonts w:asciiTheme="minorHAnsi" w:hAnsiTheme="minorHAnsi"/>
        </w:rPr>
        <w:t>O mencionado normativo prevê que sejam informadas as ações ou grupos de ações semelhantes com impacto financeiro estimado em, no mínimo, R$ 1 bilhão. Além disso, define critérios para classificação dos processos quanto à probabilidade de perda (risco provável, possível ou remoto), levando em consideração especialmente a fase processual das ações.</w:t>
      </w:r>
    </w:p>
    <w:p w14:paraId="7FC10A14" w14:textId="77777777" w:rsidR="003D4A73" w:rsidRPr="005432E1" w:rsidRDefault="008115CB" w:rsidP="006F4AC5">
      <w:pPr>
        <w:spacing w:after="240"/>
        <w:ind w:firstLine="709"/>
        <w:jc w:val="both"/>
        <w:rPr>
          <w:rFonts w:asciiTheme="minorHAnsi" w:hAnsiTheme="minorHAnsi"/>
        </w:rPr>
      </w:pPr>
      <w:r w:rsidRPr="005432E1">
        <w:rPr>
          <w:rFonts w:asciiTheme="minorHAnsi" w:hAnsiTheme="minorHAnsi"/>
        </w:rPr>
        <w:t>Este anexo compreende</w:t>
      </w:r>
      <w:r w:rsidR="003D4A73" w:rsidRPr="005432E1">
        <w:rPr>
          <w:rFonts w:asciiTheme="minorHAnsi" w:hAnsiTheme="minorHAnsi"/>
        </w:rPr>
        <w:t xml:space="preserve"> processos com probabilidade de perda considerada</w:t>
      </w:r>
      <w:r w:rsidR="003D4A73" w:rsidRPr="005432E1">
        <w:rPr>
          <w:rFonts w:asciiTheme="minorHAnsi" w:hAnsiTheme="minorHAnsi"/>
          <w:b/>
        </w:rPr>
        <w:t xml:space="preserve"> possível</w:t>
      </w:r>
      <w:r w:rsidR="003D4A73" w:rsidRPr="005432E1">
        <w:rPr>
          <w:rFonts w:asciiTheme="minorHAnsi" w:hAnsiTheme="minorHAnsi"/>
        </w:rPr>
        <w:t>, tendo em vista que</w:t>
      </w:r>
      <w:r w:rsidR="001F2630" w:rsidRPr="005432E1">
        <w:rPr>
          <w:rFonts w:asciiTheme="minorHAnsi" w:hAnsiTheme="minorHAnsi"/>
        </w:rPr>
        <w:t xml:space="preserve">, de acordo </w:t>
      </w:r>
      <w:r w:rsidR="005F7A85" w:rsidRPr="005432E1">
        <w:rPr>
          <w:rFonts w:asciiTheme="minorHAnsi" w:hAnsiTheme="minorHAnsi"/>
        </w:rPr>
        <w:t>c</w:t>
      </w:r>
      <w:r w:rsidR="001F2630" w:rsidRPr="005432E1">
        <w:rPr>
          <w:rFonts w:asciiTheme="minorHAnsi" w:hAnsiTheme="minorHAnsi"/>
        </w:rPr>
        <w:t>o</w:t>
      </w:r>
      <w:r w:rsidR="005F7A85" w:rsidRPr="005432E1">
        <w:rPr>
          <w:rFonts w:asciiTheme="minorHAnsi" w:hAnsiTheme="minorHAnsi"/>
        </w:rPr>
        <w:t>m o Tribunal de Contas da União (</w:t>
      </w:r>
      <w:r w:rsidR="001F2630" w:rsidRPr="005432E1">
        <w:rPr>
          <w:rFonts w:asciiTheme="minorHAnsi" w:hAnsiTheme="minorHAnsi"/>
        </w:rPr>
        <w:t>ofício nº 171/2014-TCU/SEMAG</w:t>
      </w:r>
      <w:r w:rsidR="005F7A85" w:rsidRPr="005432E1">
        <w:rPr>
          <w:rFonts w:asciiTheme="minorHAnsi" w:hAnsiTheme="minorHAnsi"/>
        </w:rPr>
        <w:t>)</w:t>
      </w:r>
      <w:r w:rsidR="001F2630" w:rsidRPr="005432E1">
        <w:rPr>
          <w:rFonts w:asciiTheme="minorHAnsi" w:hAnsiTheme="minorHAnsi"/>
        </w:rPr>
        <w:t>,</w:t>
      </w:r>
      <w:r w:rsidR="003D4A73" w:rsidRPr="005432E1">
        <w:rPr>
          <w:rFonts w:asciiTheme="minorHAnsi" w:hAnsiTheme="minorHAnsi"/>
        </w:rPr>
        <w:t xml:space="preserve"> processos com risco considerado como provável deverão ser provisionados pela STN</w:t>
      </w:r>
      <w:r w:rsidR="001F2630" w:rsidRPr="005432E1">
        <w:rPr>
          <w:rFonts w:asciiTheme="minorHAnsi" w:hAnsiTheme="minorHAnsi"/>
        </w:rPr>
        <w:t xml:space="preserve">.  </w:t>
      </w:r>
      <w:r w:rsidR="00304FFF" w:rsidRPr="005432E1">
        <w:rPr>
          <w:rFonts w:asciiTheme="minorHAnsi" w:hAnsiTheme="minorHAnsi"/>
        </w:rPr>
        <w:t xml:space="preserve"> </w:t>
      </w:r>
    </w:p>
    <w:p w14:paraId="2BACA870" w14:textId="77777777" w:rsidR="003D4A73" w:rsidRPr="005432E1" w:rsidRDefault="00D87482" w:rsidP="006F4AC5">
      <w:pPr>
        <w:spacing w:after="240"/>
        <w:ind w:firstLine="709"/>
        <w:jc w:val="both"/>
        <w:rPr>
          <w:rFonts w:asciiTheme="minorHAnsi" w:hAnsiTheme="minorHAnsi"/>
        </w:rPr>
      </w:pPr>
      <w:r w:rsidRPr="005432E1">
        <w:rPr>
          <w:rFonts w:asciiTheme="minorHAnsi" w:hAnsiTheme="minorHAnsi"/>
        </w:rPr>
        <w:t>Com a edição da Portaria AGU nº 40/2015</w:t>
      </w:r>
      <w:r w:rsidR="001450F3" w:rsidRPr="005432E1">
        <w:rPr>
          <w:rFonts w:asciiTheme="minorHAnsi" w:hAnsiTheme="minorHAnsi"/>
        </w:rPr>
        <w:t>,</w:t>
      </w:r>
      <w:r w:rsidR="00A45FB0" w:rsidRPr="005432E1">
        <w:rPr>
          <w:rFonts w:asciiTheme="minorHAnsi" w:hAnsiTheme="minorHAnsi"/>
        </w:rPr>
        <w:t xml:space="preserve"> </w:t>
      </w:r>
      <w:r w:rsidRPr="005432E1">
        <w:rPr>
          <w:rFonts w:asciiTheme="minorHAnsi" w:hAnsiTheme="minorHAnsi"/>
        </w:rPr>
        <w:t>alcanç</w:t>
      </w:r>
      <w:r w:rsidR="00A45FB0" w:rsidRPr="005432E1">
        <w:rPr>
          <w:rFonts w:asciiTheme="minorHAnsi" w:hAnsiTheme="minorHAnsi"/>
        </w:rPr>
        <w:t>ou-se</w:t>
      </w:r>
      <w:r w:rsidRPr="005432E1">
        <w:rPr>
          <w:rFonts w:asciiTheme="minorHAnsi" w:hAnsiTheme="minorHAnsi"/>
        </w:rPr>
        <w:t xml:space="preserve"> maior harmonia nas informações prestadas pelos órgãos de direção superior da Advocacia-Geral da União, esclarecendo-se que a Procuradoria-Geral do Banco Central continuará a utilizar critérios próprios.</w:t>
      </w:r>
    </w:p>
    <w:p w14:paraId="19C69E3E"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Por fim, ressalte-se que as ações judiciais passam por diversas instâncias e tem longa duração e, portanto, constam do Anexo de Riscos Fiscais de vários exercícios. Por esta razão podem ser reclassificadas de acordo com o andamento do processo judicial, sempre e quando fatos novos apontarem alteração das chances de ganho ou perda pela União.</w:t>
      </w:r>
      <w:r w:rsidR="00C6792E" w:rsidRPr="005432E1">
        <w:rPr>
          <w:rFonts w:asciiTheme="minorHAnsi" w:hAnsiTheme="minorHAnsi"/>
        </w:rPr>
        <w:t xml:space="preserve"> </w:t>
      </w:r>
      <w:r w:rsidRPr="005432E1">
        <w:rPr>
          <w:rFonts w:asciiTheme="minorHAnsi" w:hAnsiTheme="minorHAnsi"/>
        </w:rPr>
        <w:t xml:space="preserve">     </w:t>
      </w:r>
    </w:p>
    <w:p w14:paraId="73B163EC"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Os riscos decorrentes de passivos contingentes podem ser classificados conforme a natureza dos fatores que lhes dão origem</w:t>
      </w:r>
      <w:r w:rsidR="008115CB" w:rsidRPr="005432E1">
        <w:rPr>
          <w:rFonts w:asciiTheme="minorHAnsi" w:hAnsiTheme="minorHAnsi"/>
        </w:rPr>
        <w:t>,</w:t>
      </w:r>
      <w:r w:rsidRPr="005432E1">
        <w:rPr>
          <w:rFonts w:asciiTheme="minorHAnsi" w:hAnsiTheme="minorHAnsi"/>
        </w:rPr>
        <w:t xml:space="preserve"> bem como órgãos responsáveis pela sua gestão, conforme se segue:</w:t>
      </w:r>
    </w:p>
    <w:p w14:paraId="775345CC"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Demandas</w:t>
      </w:r>
      <w:r w:rsidR="002B0F44" w:rsidRPr="005432E1">
        <w:rPr>
          <w:rFonts w:asciiTheme="minorHAnsi" w:hAnsiTheme="minorHAnsi"/>
        </w:rPr>
        <w:t xml:space="preserve"> judiciais contra a admin</w:t>
      </w:r>
      <w:r w:rsidR="007C168A" w:rsidRPr="005432E1">
        <w:rPr>
          <w:rFonts w:asciiTheme="minorHAnsi" w:hAnsiTheme="minorHAnsi"/>
        </w:rPr>
        <w:t>istração direta da união – PGU.</w:t>
      </w:r>
    </w:p>
    <w:p w14:paraId="50A9A70F"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Demandas</w:t>
      </w:r>
      <w:r w:rsidR="002B0F44" w:rsidRPr="005432E1">
        <w:rPr>
          <w:rFonts w:asciiTheme="minorHAnsi" w:hAnsiTheme="minorHAnsi"/>
        </w:rPr>
        <w:t xml:space="preserve"> judiciais de n</w:t>
      </w:r>
      <w:r w:rsidR="007C168A" w:rsidRPr="005432E1">
        <w:rPr>
          <w:rFonts w:asciiTheme="minorHAnsi" w:hAnsiTheme="minorHAnsi"/>
        </w:rPr>
        <w:t>atureza tributária – PGFN.</w:t>
      </w:r>
    </w:p>
    <w:p w14:paraId="177ABF59"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Demandas</w:t>
      </w:r>
      <w:r w:rsidR="002B0F44" w:rsidRPr="005432E1">
        <w:rPr>
          <w:rFonts w:asciiTheme="minorHAnsi" w:hAnsiTheme="minorHAnsi"/>
        </w:rPr>
        <w:t xml:space="preserve"> judiciais contra as a</w:t>
      </w:r>
      <w:r w:rsidR="007C168A" w:rsidRPr="005432E1">
        <w:rPr>
          <w:rFonts w:asciiTheme="minorHAnsi" w:hAnsiTheme="minorHAnsi"/>
        </w:rPr>
        <w:t>utarquias e fundações – PGF.</w:t>
      </w:r>
    </w:p>
    <w:p w14:paraId="5B0B6517"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Demandas</w:t>
      </w:r>
      <w:r w:rsidR="002B0F44" w:rsidRPr="005432E1">
        <w:rPr>
          <w:rFonts w:asciiTheme="minorHAnsi" w:hAnsiTheme="minorHAnsi"/>
        </w:rPr>
        <w:t xml:space="preserve"> judiciais das empresas estatais.</w:t>
      </w:r>
    </w:p>
    <w:p w14:paraId="5F320031"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Demandas</w:t>
      </w:r>
      <w:r w:rsidR="003A39B8" w:rsidRPr="005432E1">
        <w:rPr>
          <w:rFonts w:asciiTheme="minorHAnsi" w:hAnsiTheme="minorHAnsi"/>
        </w:rPr>
        <w:t xml:space="preserve"> judiciais contra o B</w:t>
      </w:r>
      <w:r w:rsidR="002B0F44" w:rsidRPr="005432E1">
        <w:rPr>
          <w:rFonts w:asciiTheme="minorHAnsi" w:hAnsiTheme="minorHAnsi"/>
        </w:rPr>
        <w:t xml:space="preserve">anco </w:t>
      </w:r>
      <w:r w:rsidR="003A39B8" w:rsidRPr="005432E1">
        <w:rPr>
          <w:rFonts w:asciiTheme="minorHAnsi" w:hAnsiTheme="minorHAnsi"/>
        </w:rPr>
        <w:t>C</w:t>
      </w:r>
      <w:r w:rsidR="002B0F44" w:rsidRPr="005432E1">
        <w:rPr>
          <w:rFonts w:asciiTheme="minorHAnsi" w:hAnsiTheme="minorHAnsi"/>
        </w:rPr>
        <w:t>entral</w:t>
      </w:r>
      <w:r w:rsidR="006C7D8D" w:rsidRPr="005432E1">
        <w:rPr>
          <w:rFonts w:asciiTheme="minorHAnsi" w:hAnsiTheme="minorHAnsi"/>
        </w:rPr>
        <w:t xml:space="preserve"> </w:t>
      </w:r>
      <w:r w:rsidR="00791538" w:rsidRPr="005432E1">
        <w:rPr>
          <w:rFonts w:asciiTheme="minorHAnsi" w:hAnsiTheme="minorHAnsi"/>
        </w:rPr>
        <w:t xml:space="preserve">– </w:t>
      </w:r>
      <w:r w:rsidR="006C7D8D" w:rsidRPr="005432E1">
        <w:rPr>
          <w:rFonts w:asciiTheme="minorHAnsi" w:hAnsiTheme="minorHAnsi"/>
        </w:rPr>
        <w:t>PGBC</w:t>
      </w:r>
      <w:r w:rsidR="002B0F44" w:rsidRPr="005432E1">
        <w:rPr>
          <w:rFonts w:asciiTheme="minorHAnsi" w:hAnsiTheme="minorHAnsi"/>
        </w:rPr>
        <w:t>.</w:t>
      </w:r>
    </w:p>
    <w:p w14:paraId="1C3E33AA" w14:textId="77777777" w:rsidR="00037FBE"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bCs/>
        </w:rPr>
        <w:t>Dívidas</w:t>
      </w:r>
      <w:r w:rsidR="002B0F44" w:rsidRPr="005432E1">
        <w:rPr>
          <w:rFonts w:asciiTheme="minorHAnsi" w:hAnsiTheme="minorHAnsi"/>
          <w:bCs/>
        </w:rPr>
        <w:t xml:space="preserve"> da união em p</w:t>
      </w:r>
      <w:r w:rsidR="003A39B8" w:rsidRPr="005432E1">
        <w:rPr>
          <w:rFonts w:asciiTheme="minorHAnsi" w:hAnsiTheme="minorHAnsi"/>
          <w:bCs/>
        </w:rPr>
        <w:t>rocesso de reconhecimento pelo T</w:t>
      </w:r>
      <w:r w:rsidR="002B0F44" w:rsidRPr="005432E1">
        <w:rPr>
          <w:rFonts w:asciiTheme="minorHAnsi" w:hAnsiTheme="minorHAnsi"/>
          <w:bCs/>
        </w:rPr>
        <w:t xml:space="preserve">esouro </w:t>
      </w:r>
      <w:r w:rsidR="003A39B8" w:rsidRPr="005432E1">
        <w:rPr>
          <w:rFonts w:asciiTheme="minorHAnsi" w:hAnsiTheme="minorHAnsi"/>
          <w:bCs/>
        </w:rPr>
        <w:t>N</w:t>
      </w:r>
      <w:r w:rsidR="002B0F44" w:rsidRPr="005432E1">
        <w:rPr>
          <w:rFonts w:asciiTheme="minorHAnsi" w:hAnsiTheme="minorHAnsi"/>
          <w:bCs/>
        </w:rPr>
        <w:t xml:space="preserve">acional. </w:t>
      </w:r>
    </w:p>
    <w:p w14:paraId="1950CEC3"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Operações</w:t>
      </w:r>
      <w:r w:rsidR="002B0F44" w:rsidRPr="005432E1">
        <w:rPr>
          <w:rFonts w:asciiTheme="minorHAnsi" w:hAnsiTheme="minorHAnsi"/>
        </w:rPr>
        <w:t xml:space="preserve"> de aval e garantias prestadas pela união e outros riscos, sob responsab</w:t>
      </w:r>
      <w:r w:rsidR="007C168A" w:rsidRPr="005432E1">
        <w:rPr>
          <w:rFonts w:asciiTheme="minorHAnsi" w:hAnsiTheme="minorHAnsi"/>
        </w:rPr>
        <w:t xml:space="preserve">ilidade do </w:t>
      </w:r>
      <w:r w:rsidR="003A39B8" w:rsidRPr="005432E1">
        <w:rPr>
          <w:rFonts w:asciiTheme="minorHAnsi" w:hAnsiTheme="minorHAnsi"/>
        </w:rPr>
        <w:t>T</w:t>
      </w:r>
      <w:r w:rsidR="002B0F44" w:rsidRPr="005432E1">
        <w:rPr>
          <w:rFonts w:asciiTheme="minorHAnsi" w:hAnsiTheme="minorHAnsi"/>
        </w:rPr>
        <w:t xml:space="preserve">esouro </w:t>
      </w:r>
      <w:r w:rsidR="003A39B8" w:rsidRPr="005432E1">
        <w:rPr>
          <w:rFonts w:asciiTheme="minorHAnsi" w:hAnsiTheme="minorHAnsi"/>
        </w:rPr>
        <w:t>N</w:t>
      </w:r>
      <w:r w:rsidR="002B0F44" w:rsidRPr="005432E1">
        <w:rPr>
          <w:rFonts w:asciiTheme="minorHAnsi" w:hAnsiTheme="minorHAnsi"/>
        </w:rPr>
        <w:t>acional.</w:t>
      </w:r>
    </w:p>
    <w:p w14:paraId="4C18C5B0" w14:textId="77777777" w:rsidR="002B0F44" w:rsidRPr="005432E1" w:rsidRDefault="008115CB" w:rsidP="006F4AC5">
      <w:pPr>
        <w:numPr>
          <w:ilvl w:val="0"/>
          <w:numId w:val="1"/>
        </w:numPr>
        <w:tabs>
          <w:tab w:val="clear" w:pos="720"/>
        </w:tabs>
        <w:ind w:left="1134"/>
        <w:rPr>
          <w:rFonts w:asciiTheme="minorHAnsi" w:hAnsiTheme="minorHAnsi"/>
        </w:rPr>
      </w:pPr>
      <w:r w:rsidRPr="005432E1">
        <w:rPr>
          <w:rFonts w:asciiTheme="minorHAnsi" w:hAnsiTheme="minorHAnsi"/>
        </w:rPr>
        <w:t>Outros</w:t>
      </w:r>
      <w:r w:rsidR="003A39B8" w:rsidRPr="005432E1">
        <w:rPr>
          <w:rFonts w:asciiTheme="minorHAnsi" w:hAnsiTheme="minorHAnsi"/>
        </w:rPr>
        <w:t xml:space="preserve"> passivos da U</w:t>
      </w:r>
      <w:r w:rsidR="002B0F44" w:rsidRPr="005432E1">
        <w:rPr>
          <w:rFonts w:asciiTheme="minorHAnsi" w:hAnsiTheme="minorHAnsi"/>
        </w:rPr>
        <w:t>nião.</w:t>
      </w:r>
    </w:p>
    <w:p w14:paraId="6D64C947" w14:textId="77777777" w:rsidR="002B0F44" w:rsidRPr="005432E1" w:rsidRDefault="002B0F44" w:rsidP="006F4AC5">
      <w:pPr>
        <w:rPr>
          <w:rFonts w:asciiTheme="minorHAnsi" w:hAnsiTheme="minorHAnsi"/>
          <w:b/>
        </w:rPr>
      </w:pPr>
    </w:p>
    <w:p w14:paraId="4E8A888D" w14:textId="77777777" w:rsidR="002B0F44" w:rsidRPr="005432E1" w:rsidRDefault="00876D2E" w:rsidP="004C4B03">
      <w:pPr>
        <w:pStyle w:val="Ttulo3"/>
        <w:numPr>
          <w:ilvl w:val="0"/>
          <w:numId w:val="0"/>
        </w:numPr>
        <w:rPr>
          <w:rFonts w:asciiTheme="minorHAnsi" w:hAnsiTheme="minorHAnsi"/>
          <w:b/>
        </w:rPr>
      </w:pPr>
      <w:bookmarkStart w:id="93" w:name="_Toc384127186"/>
      <w:bookmarkStart w:id="94" w:name="_Toc414973417"/>
      <w:bookmarkStart w:id="95" w:name="_Toc447189120"/>
      <w:bookmarkStart w:id="96" w:name="_Toc447613123"/>
      <w:bookmarkStart w:id="97" w:name="_Toc511230020"/>
      <w:r w:rsidRPr="005432E1">
        <w:rPr>
          <w:rFonts w:asciiTheme="minorHAnsi" w:hAnsiTheme="minorHAnsi"/>
          <w:b/>
        </w:rPr>
        <w:t>3.1</w:t>
      </w:r>
      <w:r w:rsidR="003F6DAB" w:rsidRPr="005432E1">
        <w:rPr>
          <w:rFonts w:asciiTheme="minorHAnsi" w:hAnsiTheme="minorHAnsi"/>
          <w:b/>
        </w:rPr>
        <w:t>.1</w:t>
      </w:r>
      <w:r w:rsidRPr="005432E1">
        <w:rPr>
          <w:rFonts w:asciiTheme="minorHAnsi" w:hAnsiTheme="minorHAnsi"/>
          <w:b/>
        </w:rPr>
        <w:tab/>
      </w:r>
      <w:r w:rsidR="00A92408" w:rsidRPr="005432E1">
        <w:rPr>
          <w:rFonts w:asciiTheme="minorHAnsi" w:hAnsiTheme="minorHAnsi"/>
          <w:b/>
        </w:rPr>
        <w:t>Demandas Judiciais contra a Administração Direta da União - Procuradoria Geral d</w:t>
      </w:r>
      <w:r w:rsidR="006C4C8F" w:rsidRPr="005432E1">
        <w:rPr>
          <w:rFonts w:asciiTheme="minorHAnsi" w:hAnsiTheme="minorHAnsi"/>
          <w:b/>
        </w:rPr>
        <w:t>a União – P</w:t>
      </w:r>
      <w:bookmarkEnd w:id="93"/>
      <w:bookmarkEnd w:id="94"/>
      <w:bookmarkEnd w:id="95"/>
      <w:bookmarkEnd w:id="96"/>
      <w:r w:rsidR="00A92408" w:rsidRPr="005432E1">
        <w:rPr>
          <w:rFonts w:asciiTheme="minorHAnsi" w:hAnsiTheme="minorHAnsi"/>
          <w:b/>
        </w:rPr>
        <w:t>GU</w:t>
      </w:r>
      <w:bookmarkEnd w:id="97"/>
    </w:p>
    <w:p w14:paraId="33A56875" w14:textId="77777777" w:rsidR="002B0F44" w:rsidRPr="005432E1" w:rsidRDefault="002B0F44" w:rsidP="006F4AC5">
      <w:pPr>
        <w:rPr>
          <w:rStyle w:val="Forte"/>
          <w:rFonts w:asciiTheme="minorHAnsi" w:hAnsiTheme="minorHAnsi"/>
          <w:b/>
          <w:bCs w:val="0"/>
          <w:smallCaps w:val="0"/>
        </w:rPr>
      </w:pPr>
    </w:p>
    <w:p w14:paraId="6BA5252C" w14:textId="77777777" w:rsidR="00A45FB0" w:rsidRPr="005432E1" w:rsidRDefault="002B0F44" w:rsidP="00A45FB0">
      <w:pPr>
        <w:spacing w:after="120"/>
        <w:ind w:firstLine="709"/>
        <w:jc w:val="both"/>
        <w:rPr>
          <w:rFonts w:asciiTheme="minorHAnsi" w:hAnsiTheme="minorHAnsi"/>
        </w:rPr>
      </w:pPr>
      <w:r w:rsidRPr="005432E1">
        <w:rPr>
          <w:rFonts w:asciiTheme="minorHAnsi" w:hAnsiTheme="minorHAnsi"/>
        </w:rPr>
        <w:t xml:space="preserve">Compete à </w:t>
      </w:r>
      <w:r w:rsidR="00B565DD" w:rsidRPr="005432E1">
        <w:rPr>
          <w:rFonts w:asciiTheme="minorHAnsi" w:hAnsiTheme="minorHAnsi"/>
        </w:rPr>
        <w:t>Advocacia-Geral da União -</w:t>
      </w:r>
      <w:r w:rsidR="007C168A" w:rsidRPr="005432E1">
        <w:rPr>
          <w:rFonts w:asciiTheme="minorHAnsi" w:hAnsiTheme="minorHAnsi"/>
        </w:rPr>
        <w:t xml:space="preserve"> </w:t>
      </w:r>
      <w:r w:rsidRPr="005432E1">
        <w:rPr>
          <w:rFonts w:asciiTheme="minorHAnsi" w:hAnsiTheme="minorHAnsi"/>
        </w:rPr>
        <w:t xml:space="preserve">AGU, por intermédio da </w:t>
      </w:r>
      <w:r w:rsidR="003A39B8" w:rsidRPr="005432E1">
        <w:rPr>
          <w:rFonts w:asciiTheme="minorHAnsi" w:hAnsiTheme="minorHAnsi"/>
        </w:rPr>
        <w:t>PGU</w:t>
      </w:r>
      <w:r w:rsidR="003D4A73" w:rsidRPr="005432E1">
        <w:rPr>
          <w:rFonts w:asciiTheme="minorHAnsi" w:hAnsiTheme="minorHAnsi"/>
        </w:rPr>
        <w:t>,</w:t>
      </w:r>
      <w:r w:rsidRPr="005432E1">
        <w:rPr>
          <w:rFonts w:asciiTheme="minorHAnsi" w:hAnsiTheme="minorHAnsi"/>
        </w:rPr>
        <w:t xml:space="preserve"> a representação judicial e </w:t>
      </w:r>
      <w:r w:rsidR="007C168A" w:rsidRPr="005432E1">
        <w:rPr>
          <w:rFonts w:asciiTheme="minorHAnsi" w:hAnsiTheme="minorHAnsi"/>
        </w:rPr>
        <w:t>extrajudicial</w:t>
      </w:r>
      <w:r w:rsidRPr="005432E1">
        <w:rPr>
          <w:rFonts w:asciiTheme="minorHAnsi" w:hAnsiTheme="minorHAnsi"/>
        </w:rPr>
        <w:t xml:space="preserve"> da Administração Direta da União.</w:t>
      </w:r>
    </w:p>
    <w:p w14:paraId="398FEC91" w14:textId="77777777" w:rsidR="002B0F44" w:rsidRPr="005432E1" w:rsidRDefault="00646C59" w:rsidP="00A45FB0">
      <w:pPr>
        <w:spacing w:after="120"/>
        <w:ind w:firstLine="709"/>
        <w:jc w:val="both"/>
        <w:rPr>
          <w:rFonts w:asciiTheme="minorHAnsi" w:hAnsiTheme="minorHAnsi"/>
        </w:rPr>
      </w:pPr>
      <w:r w:rsidRPr="005432E1">
        <w:rPr>
          <w:rFonts w:asciiTheme="minorHAnsi" w:hAnsiTheme="minorHAnsi"/>
        </w:rPr>
        <w:t>Importante destacar que p</w:t>
      </w:r>
      <w:r w:rsidR="002B0F44" w:rsidRPr="005432E1">
        <w:rPr>
          <w:rFonts w:asciiTheme="minorHAnsi" w:hAnsiTheme="minorHAnsi"/>
        </w:rPr>
        <w:t xml:space="preserve">arte considerável das ações em trâmite perante os Tribunais está pendente de julgamento final, não tendo ocorrido ainda o trânsito em julgado de possíveis condenações. </w:t>
      </w:r>
      <w:r w:rsidRPr="005432E1">
        <w:rPr>
          <w:rFonts w:asciiTheme="minorHAnsi" w:hAnsiTheme="minorHAnsi"/>
        </w:rPr>
        <w:t>Além disso, deve-se considerar</w:t>
      </w:r>
      <w:r w:rsidR="002B0F44" w:rsidRPr="005432E1">
        <w:rPr>
          <w:rFonts w:asciiTheme="minorHAnsi" w:hAnsiTheme="minorHAnsi"/>
        </w:rPr>
        <w:t xml:space="preserve"> </w:t>
      </w:r>
      <w:r w:rsidRPr="005432E1">
        <w:rPr>
          <w:rFonts w:asciiTheme="minorHAnsi" w:hAnsiTheme="minorHAnsi"/>
        </w:rPr>
        <w:t xml:space="preserve">que </w:t>
      </w:r>
      <w:r w:rsidR="002B0F44" w:rsidRPr="005432E1">
        <w:rPr>
          <w:rFonts w:asciiTheme="minorHAnsi" w:hAnsiTheme="minorHAnsi"/>
        </w:rPr>
        <w:t>as decisões desfavoráveis à União sempre contam com a possibilidade de reversão em instâncias superiores em decorrência de mudanças dos entendimentos jurisprudenciais ao longo do tempo.  Nesse sentido, a AGU realiza intenso trabalho para tentar reverter todas as decisões judiciais que lhe são desfavoráveis.</w:t>
      </w:r>
    </w:p>
    <w:p w14:paraId="61733996" w14:textId="77777777" w:rsidR="002B0F44" w:rsidRPr="005432E1" w:rsidRDefault="002B0F44" w:rsidP="006F4AC5">
      <w:pPr>
        <w:spacing w:after="120"/>
        <w:ind w:firstLine="709"/>
        <w:jc w:val="both"/>
        <w:rPr>
          <w:rFonts w:asciiTheme="minorHAnsi" w:hAnsiTheme="minorHAnsi"/>
        </w:rPr>
      </w:pPr>
      <w:r w:rsidRPr="005432E1">
        <w:rPr>
          <w:rFonts w:asciiTheme="minorHAnsi" w:hAnsiTheme="minorHAnsi"/>
        </w:rPr>
        <w:t>Em que pese ser possível traçar um panorama em instâncias atuais dos processos, não há precisão em qualquer estimativa temporal a respeito do término e do pagamento das ações judiciais, haja vista que o tempo de tramitação de cada processo é variável, podendo durar vários anos ou ser resolvido em curto prazo.</w:t>
      </w:r>
    </w:p>
    <w:p w14:paraId="1C751134" w14:textId="77777777" w:rsidR="002B0F44" w:rsidRPr="005432E1" w:rsidRDefault="002B0F44" w:rsidP="006F4AC5">
      <w:pPr>
        <w:spacing w:after="120"/>
        <w:ind w:firstLine="709"/>
        <w:jc w:val="both"/>
        <w:rPr>
          <w:rFonts w:asciiTheme="minorHAnsi" w:hAnsiTheme="minorHAnsi"/>
        </w:rPr>
      </w:pPr>
      <w:r w:rsidRPr="005432E1">
        <w:rPr>
          <w:rFonts w:asciiTheme="minorHAnsi" w:hAnsiTheme="minorHAnsi"/>
        </w:rPr>
        <w:t>Ressalta-se, ainda, que, na fase de execução dos processos judiciais, é normal que a União venha a impugnar, mediante verificação técnica e jurídica, os valores dela cobrados. Nestas impugnações são questionados: a falta de atendimento pelos exequentes e dos preceitos legais que determinam a necessidade de prévia liquidação antes da execução; os parâmetros de cálculos utilizados; os índices de expurgos a serem aplicados; a incidência ou não de juros, seus patamares e diversos outros aspectos que podem ocasionar considerável variação nos valores finais a serem pagos.</w:t>
      </w:r>
    </w:p>
    <w:p w14:paraId="5221A5F9" w14:textId="77777777" w:rsidR="00B90A02" w:rsidRPr="005432E1" w:rsidRDefault="002B0F44" w:rsidP="006F4AC5">
      <w:pPr>
        <w:pStyle w:val="Corpodetexto"/>
        <w:spacing w:after="120"/>
        <w:ind w:firstLine="709"/>
        <w:rPr>
          <w:rFonts w:asciiTheme="minorHAnsi" w:hAnsiTheme="minorHAnsi"/>
          <w:bCs w:val="0"/>
          <w:szCs w:val="24"/>
        </w:rPr>
      </w:pPr>
      <w:r w:rsidRPr="005432E1">
        <w:rPr>
          <w:rFonts w:asciiTheme="minorHAnsi" w:hAnsiTheme="minorHAnsi"/>
          <w:bCs w:val="0"/>
          <w:szCs w:val="24"/>
        </w:rPr>
        <w:t xml:space="preserve">Cumpre esclarecer que, em se tratando de demandas judiciais, nem sempre é possível estimar com clareza o montante real envolvido, uma vez que é normal que as partes que litigam contra a Fazenda Pública subestimem os valores informados nas causas, visando reduzir as despesas processuais ou mesmo os superestimem, nos casos de isenção de despesas processuais, acarretando um alto índice de imprecisão de valores. Nas ações listadas, as fontes para informação a respeito dos montantes são: os valores pedidos pelas partes, </w:t>
      </w:r>
      <w:r w:rsidR="00DC20F3" w:rsidRPr="005432E1">
        <w:rPr>
          <w:rFonts w:asciiTheme="minorHAnsi" w:hAnsiTheme="minorHAnsi"/>
          <w:bCs w:val="0"/>
          <w:szCs w:val="24"/>
        </w:rPr>
        <w:t>as</w:t>
      </w:r>
      <w:r w:rsidRPr="005432E1">
        <w:rPr>
          <w:rFonts w:asciiTheme="minorHAnsi" w:hAnsiTheme="minorHAnsi"/>
          <w:bCs w:val="0"/>
          <w:szCs w:val="24"/>
        </w:rPr>
        <w:t xml:space="preserve"> estimativas dos órgãos públicos federais envolvidos nas causas ou grupos de causas semelhantes e as estimativas da área técnica responsável pelos cálculos na </w:t>
      </w:r>
      <w:r w:rsidR="004077C7" w:rsidRPr="005432E1">
        <w:rPr>
          <w:rFonts w:asciiTheme="minorHAnsi" w:hAnsiTheme="minorHAnsi"/>
          <w:bCs w:val="0"/>
          <w:szCs w:val="24"/>
        </w:rPr>
        <w:t>AGU</w:t>
      </w:r>
      <w:r w:rsidRPr="005432E1">
        <w:rPr>
          <w:rFonts w:asciiTheme="minorHAnsi" w:hAnsiTheme="minorHAnsi"/>
          <w:bCs w:val="0"/>
          <w:szCs w:val="24"/>
        </w:rPr>
        <w:t>.</w:t>
      </w:r>
    </w:p>
    <w:p w14:paraId="6FE91021" w14:textId="77777777" w:rsidR="002B0F44" w:rsidRPr="005432E1" w:rsidRDefault="00622971" w:rsidP="006F4AC5">
      <w:pPr>
        <w:pStyle w:val="Corpodetexto"/>
        <w:spacing w:after="120"/>
        <w:ind w:firstLine="709"/>
        <w:rPr>
          <w:rFonts w:asciiTheme="minorHAnsi" w:hAnsiTheme="minorHAnsi"/>
          <w:bCs w:val="0"/>
          <w:szCs w:val="24"/>
        </w:rPr>
      </w:pPr>
      <w:r w:rsidRPr="005432E1">
        <w:rPr>
          <w:rFonts w:asciiTheme="minorHAnsi" w:hAnsiTheme="minorHAnsi"/>
          <w:bCs w:val="0"/>
          <w:szCs w:val="24"/>
        </w:rPr>
        <w:t xml:space="preserve">É importante </w:t>
      </w:r>
      <w:r w:rsidR="002B0F44" w:rsidRPr="005432E1">
        <w:rPr>
          <w:rFonts w:asciiTheme="minorHAnsi" w:hAnsiTheme="minorHAnsi"/>
          <w:bCs w:val="0"/>
          <w:szCs w:val="24"/>
        </w:rPr>
        <w:t>destacar que a</w:t>
      </w:r>
      <w:r w:rsidR="001D76C3" w:rsidRPr="005432E1">
        <w:rPr>
          <w:rFonts w:asciiTheme="minorHAnsi" w:hAnsiTheme="minorHAnsi"/>
          <w:bCs w:val="0"/>
          <w:szCs w:val="24"/>
        </w:rPr>
        <w:t>s informações apresentadas no Relatório de Riscos Fiscais elaborado</w:t>
      </w:r>
      <w:r w:rsidR="002B0F44" w:rsidRPr="005432E1">
        <w:rPr>
          <w:rFonts w:asciiTheme="minorHAnsi" w:hAnsiTheme="minorHAnsi"/>
          <w:bCs w:val="0"/>
          <w:szCs w:val="24"/>
        </w:rPr>
        <w:t xml:space="preserve"> </w:t>
      </w:r>
      <w:r w:rsidR="00DC6828" w:rsidRPr="005432E1">
        <w:rPr>
          <w:rFonts w:asciiTheme="minorHAnsi" w:hAnsiTheme="minorHAnsi"/>
          <w:bCs w:val="0"/>
          <w:szCs w:val="24"/>
        </w:rPr>
        <w:t>pela PGU</w:t>
      </w:r>
      <w:r w:rsidR="002B0F44" w:rsidRPr="005432E1">
        <w:rPr>
          <w:rFonts w:asciiTheme="minorHAnsi" w:hAnsiTheme="minorHAnsi"/>
          <w:bCs w:val="0"/>
          <w:szCs w:val="24"/>
        </w:rPr>
        <w:t xml:space="preserve"> não implica</w:t>
      </w:r>
      <w:r w:rsidR="001D76C3" w:rsidRPr="005432E1">
        <w:rPr>
          <w:rFonts w:asciiTheme="minorHAnsi" w:hAnsiTheme="minorHAnsi"/>
          <w:bCs w:val="0"/>
          <w:szCs w:val="24"/>
        </w:rPr>
        <w:t>m</w:t>
      </w:r>
      <w:r w:rsidR="002B0F44" w:rsidRPr="005432E1">
        <w:rPr>
          <w:rFonts w:asciiTheme="minorHAnsi" w:hAnsiTheme="minorHAnsi"/>
          <w:bCs w:val="0"/>
          <w:szCs w:val="24"/>
        </w:rPr>
        <w:t xml:space="preserve"> qualquer reconhecimento pela União quanto à efetiva sucumbência ou mesmo acerca das teses em debate, mas apenas eventual risco que tais demandas possam, em face de seu elevado valor, oferecer ao orçamento federal, caso a União não saia vencedora.</w:t>
      </w:r>
    </w:p>
    <w:p w14:paraId="5B1CB78D" w14:textId="77777777" w:rsidR="002351B9" w:rsidRPr="005432E1" w:rsidRDefault="006163A5" w:rsidP="006D7985">
      <w:pPr>
        <w:pStyle w:val="Corpodetexto"/>
        <w:spacing w:after="120"/>
        <w:ind w:firstLine="709"/>
        <w:rPr>
          <w:rFonts w:asciiTheme="minorHAnsi" w:hAnsiTheme="minorHAnsi"/>
        </w:rPr>
      </w:pPr>
      <w:r w:rsidRPr="005432E1">
        <w:rPr>
          <w:rFonts w:asciiTheme="minorHAnsi" w:hAnsiTheme="minorHAnsi"/>
          <w:bCs w:val="0"/>
          <w:szCs w:val="24"/>
        </w:rPr>
        <w:t>Da listagem encaminhada</w:t>
      </w:r>
      <w:r w:rsidR="001D76C3" w:rsidRPr="005432E1">
        <w:rPr>
          <w:rFonts w:asciiTheme="minorHAnsi" w:hAnsiTheme="minorHAnsi"/>
          <w:bCs w:val="0"/>
          <w:szCs w:val="24"/>
        </w:rPr>
        <w:t xml:space="preserve"> </w:t>
      </w:r>
      <w:r w:rsidRPr="005432E1">
        <w:rPr>
          <w:rFonts w:asciiTheme="minorHAnsi" w:hAnsiTheme="minorHAnsi"/>
          <w:bCs w:val="0"/>
          <w:szCs w:val="24"/>
        </w:rPr>
        <w:t>em fevereiro de 2018, somente um processo judicial pode ser considerado com</w:t>
      </w:r>
      <w:r w:rsidR="001D76C3" w:rsidRPr="005432E1">
        <w:rPr>
          <w:rFonts w:asciiTheme="minorHAnsi" w:hAnsiTheme="minorHAnsi"/>
          <w:bCs w:val="0"/>
          <w:szCs w:val="24"/>
        </w:rPr>
        <w:t>o de</w:t>
      </w:r>
      <w:r w:rsidRPr="005432E1">
        <w:rPr>
          <w:rFonts w:asciiTheme="minorHAnsi" w:hAnsiTheme="minorHAnsi"/>
          <w:bCs w:val="0"/>
          <w:szCs w:val="24"/>
        </w:rPr>
        <w:t xml:space="preserve"> risco possível. </w:t>
      </w:r>
      <w:r w:rsidR="006D7985" w:rsidRPr="005432E1">
        <w:rPr>
          <w:rFonts w:asciiTheme="minorHAnsi" w:hAnsiTheme="minorHAnsi"/>
          <w:bCs w:val="0"/>
          <w:szCs w:val="24"/>
        </w:rPr>
        <w:t>Ess</w:t>
      </w:r>
      <w:r w:rsidR="00B35FE0" w:rsidRPr="005432E1">
        <w:rPr>
          <w:rFonts w:asciiTheme="minorHAnsi" w:hAnsiTheme="minorHAnsi"/>
          <w:bCs w:val="0"/>
          <w:szCs w:val="24"/>
        </w:rPr>
        <w:t xml:space="preserve">e processo foi reincluído </w:t>
      </w:r>
      <w:r w:rsidR="006D7985" w:rsidRPr="005432E1">
        <w:rPr>
          <w:rFonts w:asciiTheme="minorHAnsi" w:hAnsiTheme="minorHAnsi"/>
          <w:bCs w:val="0"/>
          <w:szCs w:val="24"/>
        </w:rPr>
        <w:t xml:space="preserve">devido às circunstancias judiciais, após ter sido excluído em 2017. </w:t>
      </w:r>
      <w:r w:rsidR="002351B9" w:rsidRPr="005432E1">
        <w:rPr>
          <w:rFonts w:asciiTheme="minorHAnsi" w:hAnsiTheme="minorHAnsi"/>
        </w:rPr>
        <w:t>Para os efeitos da análise do risco fiscal dos passivos contingentes, foram considerados os parâmetros fixados na portaria AGU nº 40, de 10 de fevereiro de 2015, sendo considerado como risco possível o seguinte tema:</w:t>
      </w:r>
    </w:p>
    <w:p w14:paraId="77BA75E9" w14:textId="77777777" w:rsidR="002351B9" w:rsidRPr="005432E1" w:rsidRDefault="002351B9" w:rsidP="002351B9">
      <w:pPr>
        <w:autoSpaceDE w:val="0"/>
        <w:autoSpaceDN w:val="0"/>
        <w:adjustRightInd w:val="0"/>
        <w:jc w:val="both"/>
        <w:rPr>
          <w:rFonts w:asciiTheme="minorHAnsi" w:hAnsiTheme="minorHAnsi"/>
          <w:b/>
          <w:bCs/>
        </w:rPr>
      </w:pPr>
      <w:r w:rsidRPr="005432E1">
        <w:rPr>
          <w:rFonts w:asciiTheme="minorHAnsi" w:hAnsiTheme="minorHAnsi"/>
          <w:b/>
          <w:bCs/>
        </w:rPr>
        <w:t>Tema: Quintos.</w:t>
      </w:r>
    </w:p>
    <w:p w14:paraId="474A55BE" w14:textId="77777777" w:rsidR="002351B9" w:rsidRPr="005432E1" w:rsidRDefault="002351B9" w:rsidP="002351B9">
      <w:pPr>
        <w:autoSpaceDE w:val="0"/>
        <w:autoSpaceDN w:val="0"/>
        <w:adjustRightInd w:val="0"/>
        <w:jc w:val="both"/>
        <w:rPr>
          <w:rFonts w:asciiTheme="minorHAnsi" w:hAnsiTheme="minorHAnsi"/>
          <w:b/>
          <w:bCs/>
        </w:rPr>
      </w:pPr>
      <w:r w:rsidRPr="005432E1">
        <w:rPr>
          <w:rFonts w:asciiTheme="minorHAnsi" w:hAnsiTheme="minorHAnsi"/>
          <w:b/>
          <w:bCs/>
        </w:rPr>
        <w:t>Parte: MPDG (Ministério do Planejamento, Desenvolvimento e Gestão).</w:t>
      </w:r>
    </w:p>
    <w:p w14:paraId="09C83BA9" w14:textId="77777777" w:rsidR="002351B9" w:rsidRPr="005432E1" w:rsidRDefault="00183D9E" w:rsidP="002351B9">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61A56981" w14:textId="77777777" w:rsidR="002351B9" w:rsidRPr="005432E1" w:rsidRDefault="002351B9" w:rsidP="002351B9">
      <w:pPr>
        <w:autoSpaceDE w:val="0"/>
        <w:autoSpaceDN w:val="0"/>
        <w:adjustRightInd w:val="0"/>
        <w:jc w:val="both"/>
        <w:rPr>
          <w:rFonts w:asciiTheme="minorHAnsi" w:hAnsiTheme="minorHAnsi"/>
          <w:b/>
          <w:bCs/>
        </w:rPr>
      </w:pPr>
      <w:r w:rsidRPr="005432E1">
        <w:rPr>
          <w:rFonts w:asciiTheme="minorHAnsi" w:hAnsiTheme="minorHAnsi"/>
          <w:b/>
          <w:bCs/>
        </w:rPr>
        <w:t xml:space="preserve">Objeto: </w:t>
      </w:r>
      <w:r w:rsidR="00D36E4C" w:rsidRPr="005432E1">
        <w:rPr>
          <w:rFonts w:asciiTheme="minorHAnsi" w:hAnsiTheme="minorHAnsi"/>
          <w:bCs/>
        </w:rPr>
        <w:t>Quintos: Apesar de julgamento favorável à União pelo STF em sede de Repercussão Geral, os Tribunais estão se recusando a suspender o pagamento administrativo até o trânsito em julgado da decisão, uma vez que há Embargos de Declaração pendente de julgamento.</w:t>
      </w:r>
    </w:p>
    <w:p w14:paraId="21CD7306" w14:textId="77777777" w:rsidR="002351B9" w:rsidRPr="005432E1" w:rsidRDefault="002351B9" w:rsidP="002351B9">
      <w:pPr>
        <w:autoSpaceDE w:val="0"/>
        <w:autoSpaceDN w:val="0"/>
        <w:adjustRightInd w:val="0"/>
        <w:jc w:val="both"/>
        <w:rPr>
          <w:rFonts w:asciiTheme="minorHAnsi" w:hAnsiTheme="minorHAnsi"/>
          <w:b/>
          <w:bCs/>
        </w:rPr>
      </w:pPr>
      <w:r w:rsidRPr="005432E1">
        <w:rPr>
          <w:rFonts w:asciiTheme="minorHAnsi" w:hAnsiTheme="minorHAnsi"/>
          <w:b/>
          <w:bCs/>
        </w:rPr>
        <w:t xml:space="preserve">Instância atual: </w:t>
      </w:r>
      <w:r w:rsidR="00D36E4C" w:rsidRPr="005432E1">
        <w:rPr>
          <w:rFonts w:asciiTheme="minorHAnsi" w:hAnsiTheme="minorHAnsi"/>
          <w:bCs/>
        </w:rPr>
        <w:t>STF.</w:t>
      </w:r>
    </w:p>
    <w:p w14:paraId="61C27C01" w14:textId="77777777" w:rsidR="00D36E4C" w:rsidRPr="005432E1" w:rsidRDefault="002351B9" w:rsidP="002351B9">
      <w:pPr>
        <w:autoSpaceDE w:val="0"/>
        <w:autoSpaceDN w:val="0"/>
        <w:adjustRightInd w:val="0"/>
        <w:jc w:val="both"/>
        <w:rPr>
          <w:rFonts w:asciiTheme="minorHAnsi" w:hAnsiTheme="minorHAnsi"/>
          <w:bCs/>
        </w:rPr>
      </w:pPr>
      <w:r w:rsidRPr="005432E1">
        <w:rPr>
          <w:rFonts w:asciiTheme="minorHAnsi" w:hAnsiTheme="minorHAnsi"/>
          <w:b/>
          <w:bCs/>
        </w:rPr>
        <w:t>Estimativa de impacto: </w:t>
      </w:r>
      <w:r w:rsidRPr="005432E1">
        <w:rPr>
          <w:rFonts w:asciiTheme="minorHAnsi" w:hAnsiTheme="minorHAnsi"/>
          <w:bCs/>
        </w:rPr>
        <w:t xml:space="preserve">R$ </w:t>
      </w:r>
      <w:r w:rsidR="00D36E4C" w:rsidRPr="005432E1">
        <w:rPr>
          <w:rFonts w:asciiTheme="minorHAnsi" w:hAnsiTheme="minorHAnsi"/>
          <w:bCs/>
        </w:rPr>
        <w:t>1,097</w:t>
      </w:r>
      <w:r w:rsidRPr="005432E1">
        <w:rPr>
          <w:rFonts w:asciiTheme="minorHAnsi" w:hAnsiTheme="minorHAnsi"/>
          <w:bCs/>
        </w:rPr>
        <w:t xml:space="preserve"> bilh</w:t>
      </w:r>
      <w:r w:rsidR="00D36E4C" w:rsidRPr="005432E1">
        <w:rPr>
          <w:rFonts w:asciiTheme="minorHAnsi" w:hAnsiTheme="minorHAnsi"/>
          <w:bCs/>
        </w:rPr>
        <w:t>ão</w:t>
      </w:r>
      <w:r w:rsidRPr="005432E1">
        <w:rPr>
          <w:rFonts w:asciiTheme="minorHAnsi" w:hAnsiTheme="minorHAnsi"/>
          <w:bCs/>
        </w:rPr>
        <w:t>.</w:t>
      </w:r>
    </w:p>
    <w:p w14:paraId="7D1C0F7F" w14:textId="77777777" w:rsidR="002351B9" w:rsidRPr="005432E1" w:rsidRDefault="002351B9" w:rsidP="002351B9">
      <w:pPr>
        <w:autoSpaceDE w:val="0"/>
        <w:autoSpaceDN w:val="0"/>
        <w:adjustRightInd w:val="0"/>
        <w:jc w:val="both"/>
        <w:rPr>
          <w:rFonts w:asciiTheme="minorHAnsi" w:hAnsiTheme="minorHAnsi"/>
          <w:b/>
          <w:bCs/>
        </w:rPr>
      </w:pPr>
      <w:r w:rsidRPr="005432E1">
        <w:rPr>
          <w:rFonts w:asciiTheme="minorHAnsi" w:hAnsiTheme="minorHAnsi"/>
          <w:b/>
          <w:bCs/>
        </w:rPr>
        <w:t xml:space="preserve">Probabilidade de perda: </w:t>
      </w:r>
      <w:r w:rsidRPr="005432E1">
        <w:rPr>
          <w:rFonts w:asciiTheme="minorHAnsi" w:hAnsiTheme="minorHAnsi"/>
          <w:bCs/>
        </w:rPr>
        <w:t>Possível, nos termos do art. 3º, II, da Portaria AGU nº 40/2015. </w:t>
      </w:r>
    </w:p>
    <w:p w14:paraId="388B72DF" w14:textId="77777777" w:rsidR="00A82FE4" w:rsidRPr="005432E1" w:rsidRDefault="00A82FE4" w:rsidP="006F4AC5">
      <w:pPr>
        <w:jc w:val="both"/>
        <w:rPr>
          <w:rFonts w:asciiTheme="minorHAnsi" w:hAnsiTheme="minorHAnsi"/>
          <w:b/>
        </w:rPr>
      </w:pPr>
    </w:p>
    <w:p w14:paraId="58C2B90A" w14:textId="77777777" w:rsidR="00BA5FED" w:rsidRPr="005432E1" w:rsidRDefault="00BA5FED" w:rsidP="00A31D3C">
      <w:pPr>
        <w:pStyle w:val="Corpodetexto"/>
        <w:spacing w:after="120"/>
        <w:ind w:firstLine="709"/>
        <w:rPr>
          <w:rFonts w:asciiTheme="minorHAnsi" w:hAnsiTheme="minorHAnsi"/>
        </w:rPr>
      </w:pPr>
      <w:r w:rsidRPr="005432E1">
        <w:rPr>
          <w:rFonts w:asciiTheme="minorHAnsi" w:hAnsiTheme="minorHAnsi"/>
          <w:bCs w:val="0"/>
          <w:szCs w:val="24"/>
        </w:rPr>
        <w:t xml:space="preserve">Por derradeiro, </w:t>
      </w:r>
      <w:r w:rsidR="00A31D3C" w:rsidRPr="005432E1">
        <w:rPr>
          <w:rFonts w:asciiTheme="minorHAnsi" w:hAnsiTheme="minorHAnsi"/>
          <w:bCs w:val="0"/>
          <w:szCs w:val="24"/>
        </w:rPr>
        <w:t>a</w:t>
      </w:r>
      <w:r w:rsidR="00A31D3C" w:rsidRPr="005432E1">
        <w:rPr>
          <w:rFonts w:asciiTheme="minorHAnsi" w:hAnsiTheme="minorHAnsi"/>
        </w:rPr>
        <w:t xml:space="preserve"> ação</w:t>
      </w:r>
      <w:r w:rsidRPr="005432E1">
        <w:rPr>
          <w:rFonts w:asciiTheme="minorHAnsi" w:hAnsiTheme="minorHAnsi"/>
        </w:rPr>
        <w:t xml:space="preserve"> judicia</w:t>
      </w:r>
      <w:r w:rsidR="00A31D3C" w:rsidRPr="005432E1">
        <w:rPr>
          <w:rFonts w:asciiTheme="minorHAnsi" w:hAnsiTheme="minorHAnsi"/>
        </w:rPr>
        <w:t>l</w:t>
      </w:r>
      <w:r w:rsidRPr="005432E1">
        <w:rPr>
          <w:rFonts w:asciiTheme="minorHAnsi" w:hAnsiTheme="minorHAnsi"/>
        </w:rPr>
        <w:t xml:space="preserve"> em que o risco de perda foi considerado menor que pr</w:t>
      </w:r>
      <w:r w:rsidR="00A31D3C" w:rsidRPr="005432E1">
        <w:rPr>
          <w:rFonts w:asciiTheme="minorHAnsi" w:hAnsiTheme="minorHAnsi"/>
        </w:rPr>
        <w:t>ovável e maior que remoto foi classificada</w:t>
      </w:r>
      <w:r w:rsidRPr="005432E1">
        <w:rPr>
          <w:rFonts w:asciiTheme="minorHAnsi" w:hAnsiTheme="minorHAnsi"/>
        </w:rPr>
        <w:t xml:space="preserve"> como passivos</w:t>
      </w:r>
      <w:r w:rsidR="00A31D3C" w:rsidRPr="005432E1">
        <w:rPr>
          <w:rFonts w:asciiTheme="minorHAnsi" w:hAnsiTheme="minorHAnsi"/>
        </w:rPr>
        <w:t xml:space="preserve"> contingentes e, assim, não foi</w:t>
      </w:r>
      <w:r w:rsidRPr="005432E1">
        <w:rPr>
          <w:rFonts w:asciiTheme="minorHAnsi" w:hAnsiTheme="minorHAnsi"/>
        </w:rPr>
        <w:t xml:space="preserve"> provisionada</w:t>
      </w:r>
      <w:r w:rsidR="00A31D3C" w:rsidRPr="005432E1">
        <w:rPr>
          <w:rFonts w:asciiTheme="minorHAnsi" w:hAnsiTheme="minorHAnsi"/>
        </w:rPr>
        <w:t xml:space="preserve"> pela STN</w:t>
      </w:r>
      <w:r w:rsidRPr="005432E1">
        <w:rPr>
          <w:rFonts w:asciiTheme="minorHAnsi" w:hAnsiTheme="minorHAnsi"/>
        </w:rPr>
        <w:t>, totaliz</w:t>
      </w:r>
      <w:r w:rsidR="00A31D3C" w:rsidRPr="005432E1">
        <w:rPr>
          <w:rFonts w:asciiTheme="minorHAnsi" w:hAnsiTheme="minorHAnsi"/>
        </w:rPr>
        <w:t>ou</w:t>
      </w:r>
      <w:r w:rsidRPr="005432E1">
        <w:rPr>
          <w:rFonts w:asciiTheme="minorHAnsi" w:hAnsiTheme="minorHAnsi"/>
        </w:rPr>
        <w:t xml:space="preserve"> </w:t>
      </w:r>
      <w:r w:rsidRPr="005432E1">
        <w:rPr>
          <w:rFonts w:asciiTheme="minorHAnsi" w:hAnsiTheme="minorHAnsi"/>
          <w:b/>
        </w:rPr>
        <w:t>R$ 1,097 bilhão</w:t>
      </w:r>
      <w:r w:rsidRPr="005432E1">
        <w:rPr>
          <w:rFonts w:asciiTheme="minorHAnsi" w:hAnsiTheme="minorHAnsi"/>
        </w:rPr>
        <w:t xml:space="preserve">. </w:t>
      </w:r>
      <w:r w:rsidR="00A31D3C" w:rsidRPr="005432E1">
        <w:rPr>
          <w:rFonts w:asciiTheme="minorHAnsi" w:hAnsiTheme="minorHAnsi"/>
        </w:rPr>
        <w:t>Houve, portanto, redução do valor em comparação com o ano anterior, quando os riscos possíveis contabilizaram R$</w:t>
      </w:r>
      <w:r w:rsidR="006D7985" w:rsidRPr="005432E1">
        <w:rPr>
          <w:rFonts w:asciiTheme="minorHAnsi" w:hAnsiTheme="minorHAnsi"/>
        </w:rPr>
        <w:t xml:space="preserve"> </w:t>
      </w:r>
      <w:r w:rsidR="00A31D3C" w:rsidRPr="005432E1">
        <w:rPr>
          <w:rFonts w:asciiTheme="minorHAnsi" w:hAnsiTheme="minorHAnsi"/>
        </w:rPr>
        <w:t>4 bilhões.</w:t>
      </w:r>
      <w:r w:rsidRPr="005432E1">
        <w:rPr>
          <w:rFonts w:asciiTheme="minorHAnsi" w:hAnsiTheme="minorHAnsi"/>
        </w:rPr>
        <w:t xml:space="preserve">    </w:t>
      </w:r>
    </w:p>
    <w:p w14:paraId="4141A147" w14:textId="77777777" w:rsidR="00BA5FED" w:rsidRPr="005432E1" w:rsidRDefault="00BA5FED" w:rsidP="006F4AC5">
      <w:pPr>
        <w:jc w:val="both"/>
        <w:rPr>
          <w:rFonts w:asciiTheme="minorHAnsi" w:hAnsiTheme="minorHAnsi"/>
          <w:b/>
        </w:rPr>
      </w:pPr>
    </w:p>
    <w:p w14:paraId="0DD5092C" w14:textId="77777777" w:rsidR="002B0F44" w:rsidRPr="005432E1" w:rsidRDefault="00A92408" w:rsidP="004C4B03">
      <w:pPr>
        <w:pStyle w:val="Ttulo3"/>
        <w:numPr>
          <w:ilvl w:val="0"/>
          <w:numId w:val="0"/>
        </w:numPr>
        <w:rPr>
          <w:rFonts w:asciiTheme="minorHAnsi" w:hAnsiTheme="minorHAnsi"/>
          <w:b/>
        </w:rPr>
      </w:pPr>
      <w:bookmarkStart w:id="98" w:name="_Toc384127187"/>
      <w:bookmarkStart w:id="99" w:name="_Toc414973418"/>
      <w:bookmarkStart w:id="100" w:name="_Toc447189121"/>
      <w:bookmarkStart w:id="101" w:name="_Toc447613124"/>
      <w:bookmarkStart w:id="102" w:name="_Toc511230021"/>
      <w:r w:rsidRPr="005432E1">
        <w:rPr>
          <w:rFonts w:asciiTheme="minorHAnsi" w:hAnsiTheme="minorHAnsi"/>
          <w:b/>
        </w:rPr>
        <w:t>3.1.2</w:t>
      </w:r>
      <w:r w:rsidRPr="005432E1">
        <w:rPr>
          <w:rFonts w:asciiTheme="minorHAnsi" w:hAnsiTheme="minorHAnsi"/>
          <w:b/>
        </w:rPr>
        <w:tab/>
        <w:t>Demandas Judiciais contra a União de Natureza Tributária, inclusive Previdenciária - PGFN</w:t>
      </w:r>
      <w:bookmarkEnd w:id="98"/>
      <w:bookmarkEnd w:id="99"/>
      <w:bookmarkEnd w:id="100"/>
      <w:bookmarkEnd w:id="101"/>
      <w:bookmarkEnd w:id="102"/>
    </w:p>
    <w:p w14:paraId="40CD916F" w14:textId="77777777" w:rsidR="002B0F44" w:rsidRPr="005432E1" w:rsidRDefault="002B0F44" w:rsidP="006F4AC5">
      <w:pPr>
        <w:keepNext/>
        <w:ind w:left="1287" w:hanging="720"/>
        <w:jc w:val="both"/>
        <w:outlineLvl w:val="2"/>
        <w:rPr>
          <w:rFonts w:asciiTheme="minorHAnsi" w:hAnsiTheme="minorHAnsi"/>
        </w:rPr>
      </w:pPr>
    </w:p>
    <w:p w14:paraId="29512EDC"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Compete à PGFN representar a União nas ações judiciais relativas à tributação federal</w:t>
      </w:r>
      <w:r w:rsidR="0056162F" w:rsidRPr="005432E1">
        <w:rPr>
          <w:rFonts w:asciiTheme="minorHAnsi" w:hAnsiTheme="minorHAnsi"/>
        </w:rPr>
        <w:t xml:space="preserve">, inclusive </w:t>
      </w:r>
      <w:r w:rsidR="00363A37" w:rsidRPr="005432E1">
        <w:rPr>
          <w:rFonts w:asciiTheme="minorHAnsi" w:hAnsiTheme="minorHAnsi"/>
        </w:rPr>
        <w:t>a</w:t>
      </w:r>
      <w:r w:rsidR="007251FB" w:rsidRPr="005432E1">
        <w:rPr>
          <w:rFonts w:asciiTheme="minorHAnsi" w:hAnsiTheme="minorHAnsi"/>
        </w:rPr>
        <w:t>quela</w:t>
      </w:r>
      <w:r w:rsidR="00876D2E" w:rsidRPr="005432E1">
        <w:rPr>
          <w:rFonts w:asciiTheme="minorHAnsi" w:hAnsiTheme="minorHAnsi"/>
        </w:rPr>
        <w:t xml:space="preserve">s </w:t>
      </w:r>
      <w:r w:rsidRPr="005432E1">
        <w:rPr>
          <w:rFonts w:asciiTheme="minorHAnsi" w:hAnsiTheme="minorHAnsi"/>
        </w:rPr>
        <w:t>referentes às contribuições previdenciárias ao Regime Geral de Previdência Social – RGPS. No âmbito do STJ</w:t>
      </w:r>
      <w:r w:rsidR="00731681" w:rsidRPr="005432E1">
        <w:rPr>
          <w:rFonts w:asciiTheme="minorHAnsi" w:hAnsiTheme="minorHAnsi"/>
        </w:rPr>
        <w:t>,</w:t>
      </w:r>
      <w:r w:rsidRPr="005432E1">
        <w:rPr>
          <w:rFonts w:asciiTheme="minorHAnsi" w:hAnsiTheme="minorHAnsi"/>
        </w:rPr>
        <w:t xml:space="preserve"> a PGFN atua nas ações judiciais de natureza tributária em que a União é parte</w:t>
      </w:r>
      <w:r w:rsidR="008115CB" w:rsidRPr="005432E1">
        <w:rPr>
          <w:rFonts w:asciiTheme="minorHAnsi" w:hAnsiTheme="minorHAnsi"/>
        </w:rPr>
        <w:t>,</w:t>
      </w:r>
      <w:r w:rsidRPr="005432E1">
        <w:rPr>
          <w:rFonts w:asciiTheme="minorHAnsi" w:hAnsiTheme="minorHAnsi"/>
        </w:rPr>
        <w:t xml:space="preserve"> bem como nas ações de seu interesse. Já no âmbito do Supremo Tribunal Federal – STF</w:t>
      </w:r>
      <w:r w:rsidR="005E3357" w:rsidRPr="005432E1">
        <w:rPr>
          <w:rFonts w:asciiTheme="minorHAnsi" w:hAnsiTheme="minorHAnsi"/>
        </w:rPr>
        <w:t>,</w:t>
      </w:r>
      <w:r w:rsidRPr="005432E1">
        <w:rPr>
          <w:rFonts w:asciiTheme="minorHAnsi" w:hAnsiTheme="minorHAnsi"/>
        </w:rPr>
        <w:t xml:space="preserve"> a PGFN atua nos recursos extraordinários e agravos que tratam de matéria tributária e acompanha as ações originárias representadas judicialmente pelo Advogado Geral da União. Cumpre esclarecer que</w:t>
      </w:r>
      <w:r w:rsidR="00731681" w:rsidRPr="005432E1">
        <w:rPr>
          <w:rFonts w:asciiTheme="minorHAnsi" w:hAnsiTheme="minorHAnsi"/>
        </w:rPr>
        <w:t>,</w:t>
      </w:r>
      <w:r w:rsidRPr="005432E1">
        <w:rPr>
          <w:rFonts w:asciiTheme="minorHAnsi" w:hAnsiTheme="minorHAnsi"/>
        </w:rPr>
        <w:t xml:space="preserve"> no STF, com o instituto de repercussão geral, são eleitos recursos extraordinários relativos a temas tributários, cujo julgamento poderá</w:t>
      </w:r>
      <w:r w:rsidR="007C168A" w:rsidRPr="005432E1">
        <w:rPr>
          <w:rFonts w:asciiTheme="minorHAnsi" w:hAnsiTheme="minorHAnsi"/>
        </w:rPr>
        <w:t xml:space="preserve"> afetar a arrecadação da União.</w:t>
      </w:r>
    </w:p>
    <w:p w14:paraId="2A7F781A" w14:textId="77777777" w:rsidR="002B0F44" w:rsidRPr="005432E1" w:rsidRDefault="002B0F44" w:rsidP="006F4AC5">
      <w:pPr>
        <w:spacing w:after="240"/>
        <w:ind w:firstLine="709"/>
        <w:jc w:val="both"/>
        <w:rPr>
          <w:rFonts w:asciiTheme="minorHAnsi" w:hAnsiTheme="minorHAnsi"/>
        </w:rPr>
      </w:pPr>
      <w:r w:rsidRPr="005432E1">
        <w:rPr>
          <w:rFonts w:asciiTheme="minorHAnsi" w:hAnsiTheme="minorHAnsi"/>
        </w:rPr>
        <w:t>Ressalte-se que as discussões no STJ se referem aos questionamentos sob o enfoque da legislação infraconstitucional, enquanto no Supremo Tribunal Federal versam sobre questões constitucionais. Por esta razão, algumas ações podem estar sendo discutidas simultaneamente nas dua</w:t>
      </w:r>
      <w:r w:rsidR="007C168A" w:rsidRPr="005432E1">
        <w:rPr>
          <w:rFonts w:asciiTheme="minorHAnsi" w:hAnsiTheme="minorHAnsi"/>
        </w:rPr>
        <w:t>s casas sob enfoques distintos.</w:t>
      </w:r>
    </w:p>
    <w:p w14:paraId="772F508A" w14:textId="77777777" w:rsidR="007811AF" w:rsidRPr="005432E1" w:rsidRDefault="00A24FFC" w:rsidP="00806800">
      <w:pPr>
        <w:spacing w:after="240"/>
        <w:ind w:firstLine="709"/>
        <w:jc w:val="both"/>
        <w:rPr>
          <w:rFonts w:asciiTheme="minorHAnsi" w:hAnsiTheme="minorHAnsi"/>
        </w:rPr>
      </w:pPr>
      <w:r w:rsidRPr="005432E1">
        <w:rPr>
          <w:rFonts w:asciiTheme="minorHAnsi" w:hAnsiTheme="minorHAnsi"/>
        </w:rPr>
        <w:t xml:space="preserve">Por fim, é importante </w:t>
      </w:r>
      <w:r w:rsidR="00A2231E" w:rsidRPr="005432E1">
        <w:rPr>
          <w:rFonts w:asciiTheme="minorHAnsi" w:hAnsiTheme="minorHAnsi"/>
        </w:rPr>
        <w:t>ressaltar</w:t>
      </w:r>
      <w:r w:rsidRPr="005432E1">
        <w:rPr>
          <w:rFonts w:asciiTheme="minorHAnsi" w:hAnsiTheme="minorHAnsi"/>
        </w:rPr>
        <w:t xml:space="preserve"> q</w:t>
      </w:r>
      <w:r w:rsidR="008115CB" w:rsidRPr="005432E1">
        <w:rPr>
          <w:rFonts w:asciiTheme="minorHAnsi" w:hAnsiTheme="minorHAnsi"/>
        </w:rPr>
        <w:t>ue</w:t>
      </w:r>
      <w:r w:rsidRPr="005432E1">
        <w:rPr>
          <w:rFonts w:asciiTheme="minorHAnsi" w:hAnsiTheme="minorHAnsi"/>
        </w:rPr>
        <w:t xml:space="preserve"> </w:t>
      </w:r>
      <w:r w:rsidR="00A2231E" w:rsidRPr="005432E1">
        <w:rPr>
          <w:rFonts w:asciiTheme="minorHAnsi" w:hAnsiTheme="minorHAnsi"/>
        </w:rPr>
        <w:t xml:space="preserve">a PGFN </w:t>
      </w:r>
      <w:r w:rsidR="008C2B1F" w:rsidRPr="005432E1">
        <w:rPr>
          <w:rFonts w:asciiTheme="minorHAnsi" w:hAnsiTheme="minorHAnsi"/>
        </w:rPr>
        <w:t>informa</w:t>
      </w:r>
      <w:r w:rsidR="00A2231E" w:rsidRPr="005432E1">
        <w:rPr>
          <w:rFonts w:asciiTheme="minorHAnsi" w:hAnsiTheme="minorHAnsi"/>
        </w:rPr>
        <w:t xml:space="preserve"> seus riscos com base na Portaria</w:t>
      </w:r>
      <w:r w:rsidR="000D72FA" w:rsidRPr="005432E1">
        <w:rPr>
          <w:rFonts w:asciiTheme="minorHAnsi" w:hAnsiTheme="minorHAnsi"/>
        </w:rPr>
        <w:t xml:space="preserve"> AGU</w:t>
      </w:r>
      <w:r w:rsidR="00A2231E" w:rsidRPr="005432E1">
        <w:rPr>
          <w:rFonts w:asciiTheme="minorHAnsi" w:hAnsiTheme="minorHAnsi"/>
        </w:rPr>
        <w:t xml:space="preserve"> n° 40/2015. </w:t>
      </w:r>
      <w:r w:rsidR="000D72FA" w:rsidRPr="005432E1">
        <w:rPr>
          <w:rFonts w:asciiTheme="minorHAnsi" w:hAnsiTheme="minorHAnsi"/>
        </w:rPr>
        <w:t>A estimativa de cálculo é fornecida pela Receita Federal do Brasil e leva em consideração</w:t>
      </w:r>
      <w:r w:rsidR="009A22D5" w:rsidRPr="005432E1">
        <w:rPr>
          <w:rFonts w:asciiTheme="minorHAnsi" w:hAnsiTheme="minorHAnsi"/>
        </w:rPr>
        <w:t>, na maioria dos casos,</w:t>
      </w:r>
      <w:r w:rsidR="000D72FA" w:rsidRPr="005432E1">
        <w:rPr>
          <w:rFonts w:asciiTheme="minorHAnsi" w:hAnsiTheme="minorHAnsi"/>
        </w:rPr>
        <w:t xml:space="preserve"> a perda </w:t>
      </w:r>
      <w:r w:rsidR="009A22D5" w:rsidRPr="005432E1">
        <w:rPr>
          <w:rFonts w:asciiTheme="minorHAnsi" w:hAnsiTheme="minorHAnsi"/>
        </w:rPr>
        <w:t xml:space="preserve">total </w:t>
      </w:r>
      <w:r w:rsidR="000D72FA" w:rsidRPr="005432E1">
        <w:rPr>
          <w:rFonts w:asciiTheme="minorHAnsi" w:hAnsiTheme="minorHAnsi"/>
        </w:rPr>
        <w:t>de arrecadação anual e uma estimativa de impacto de devolução</w:t>
      </w:r>
      <w:r w:rsidR="009A22D5" w:rsidRPr="005432E1">
        <w:rPr>
          <w:rFonts w:asciiTheme="minorHAnsi" w:hAnsiTheme="minorHAnsi"/>
        </w:rPr>
        <w:t xml:space="preserve">, considerados os últimos cinco anos </w:t>
      </w:r>
      <w:r w:rsidR="00797CF5" w:rsidRPr="005432E1">
        <w:rPr>
          <w:rFonts w:asciiTheme="minorHAnsi" w:hAnsiTheme="minorHAnsi"/>
        </w:rPr>
        <w:t>e a totalidade dos contribuintes, de modo que representa o máximo de impacto ao erário, que pode não se concretizar em sua totalidade.</w:t>
      </w:r>
    </w:p>
    <w:p w14:paraId="6D31A8D4" w14:textId="77777777" w:rsidR="0007716F" w:rsidRPr="005432E1" w:rsidRDefault="0007716F" w:rsidP="0007716F">
      <w:pPr>
        <w:jc w:val="both"/>
        <w:rPr>
          <w:rFonts w:asciiTheme="minorHAnsi" w:hAnsiTheme="minorHAnsi"/>
          <w:b/>
          <w:bCs/>
        </w:rPr>
      </w:pPr>
      <w:r w:rsidRPr="005432E1">
        <w:rPr>
          <w:rFonts w:asciiTheme="minorHAnsi" w:hAnsiTheme="minorHAnsi"/>
          <w:b/>
          <w:bCs/>
        </w:rPr>
        <w:t>Ações de Repercussão Geral Reconhecida no STF – PGFN</w:t>
      </w:r>
    </w:p>
    <w:p w14:paraId="2526C008" w14:textId="77777777" w:rsidR="0007716F" w:rsidRPr="005432E1" w:rsidRDefault="0007716F" w:rsidP="0007716F">
      <w:pPr>
        <w:jc w:val="both"/>
        <w:rPr>
          <w:rFonts w:asciiTheme="minorHAnsi" w:hAnsiTheme="minorHAnsi"/>
        </w:rPr>
      </w:pPr>
    </w:p>
    <w:p w14:paraId="5AA1C5DA" w14:textId="77777777" w:rsidR="0007716F" w:rsidRPr="005432E1" w:rsidRDefault="0007716F" w:rsidP="0007716F">
      <w:pPr>
        <w:spacing w:after="240"/>
        <w:ind w:firstLine="709"/>
        <w:jc w:val="both"/>
        <w:rPr>
          <w:rFonts w:asciiTheme="minorHAnsi" w:hAnsiTheme="minorHAnsi"/>
        </w:rPr>
      </w:pPr>
      <w:r w:rsidRPr="005432E1">
        <w:rPr>
          <w:rFonts w:asciiTheme="minorHAnsi" w:hAnsiTheme="minorHAnsi"/>
        </w:rPr>
        <w:t>O instituto da repercussão geral passou a ser adotado pelo STF a partir de 2007, com suporte na Emenda Constitucional nº 45/2004.  Uma vez que um tema em discussão da Suprema Corte por meio de recurso extraordinário é reconhecido como de repercussão geral, sua decisão final aplica-se a todas as ações judiciais em que essa mesma questão esteja sendo versada.</w:t>
      </w:r>
    </w:p>
    <w:p w14:paraId="0B3018F6" w14:textId="77777777" w:rsidR="0007716F" w:rsidRPr="005432E1" w:rsidRDefault="0007716F" w:rsidP="0007716F">
      <w:pPr>
        <w:spacing w:after="240"/>
        <w:ind w:firstLine="709"/>
        <w:jc w:val="both"/>
        <w:rPr>
          <w:rFonts w:asciiTheme="minorHAnsi" w:hAnsiTheme="minorHAnsi"/>
        </w:rPr>
      </w:pPr>
      <w:r w:rsidRPr="005432E1">
        <w:rPr>
          <w:rFonts w:asciiTheme="minorHAnsi" w:hAnsiTheme="minorHAnsi"/>
        </w:rPr>
        <w:t>Tramitam atualmente perante o Supremo Tribunal Federal cerca de 1</w:t>
      </w:r>
      <w:r w:rsidR="008A2BB2" w:rsidRPr="005432E1">
        <w:rPr>
          <w:rFonts w:asciiTheme="minorHAnsi" w:hAnsiTheme="minorHAnsi"/>
        </w:rPr>
        <w:t>56</w:t>
      </w:r>
      <w:r w:rsidRPr="005432E1">
        <w:rPr>
          <w:rFonts w:asciiTheme="minorHAnsi" w:hAnsiTheme="minorHAnsi"/>
        </w:rPr>
        <w:t xml:space="preserve"> temas tributários com repercussão geral reconhecida</w:t>
      </w:r>
      <w:r w:rsidR="008A2BB2" w:rsidRPr="005432E1">
        <w:rPr>
          <w:rFonts w:asciiTheme="minorHAnsi" w:hAnsiTheme="minorHAnsi"/>
        </w:rPr>
        <w:t xml:space="preserve"> e que podem ter algum risco fiscal ao orçamento da União</w:t>
      </w:r>
      <w:r w:rsidRPr="005432E1">
        <w:rPr>
          <w:rFonts w:asciiTheme="minorHAnsi" w:hAnsiTheme="minorHAnsi"/>
        </w:rPr>
        <w:t>. A classificação dos riscos, de acordo com a Portaria AGU nº 40, de 2015, leva ao resultado de que a probabilidade de perda da maioria absoluta é remota. Com isso, de acordo com os termos da referida portaria, pode ser considerado como risco possível os seguintes temas:</w:t>
      </w:r>
    </w:p>
    <w:p w14:paraId="094BA0AE" w14:textId="77777777" w:rsidR="00BD6EC4" w:rsidRPr="005432E1" w:rsidRDefault="00BD6EC4" w:rsidP="007F731F">
      <w:pPr>
        <w:autoSpaceDE w:val="0"/>
        <w:autoSpaceDN w:val="0"/>
        <w:adjustRightInd w:val="0"/>
        <w:jc w:val="both"/>
        <w:rPr>
          <w:rFonts w:asciiTheme="minorHAnsi" w:hAnsiTheme="minorHAnsi"/>
          <w:b/>
          <w:bCs/>
        </w:rPr>
      </w:pPr>
    </w:p>
    <w:p w14:paraId="355FE9AF" w14:textId="77777777" w:rsidR="00A253E4" w:rsidRPr="005432E1" w:rsidRDefault="00A253E4" w:rsidP="007F731F">
      <w:pPr>
        <w:autoSpaceDE w:val="0"/>
        <w:autoSpaceDN w:val="0"/>
        <w:adjustRightInd w:val="0"/>
        <w:jc w:val="both"/>
        <w:rPr>
          <w:rFonts w:asciiTheme="minorHAnsi" w:hAnsiTheme="minorHAnsi"/>
          <w:b/>
          <w:bCs/>
        </w:rPr>
      </w:pPr>
      <w:r w:rsidRPr="005432E1">
        <w:rPr>
          <w:rFonts w:asciiTheme="minorHAnsi" w:hAnsiTheme="minorHAnsi"/>
          <w:b/>
          <w:bCs/>
        </w:rPr>
        <w:t>0</w:t>
      </w:r>
      <w:r w:rsidR="00766332" w:rsidRPr="005432E1">
        <w:rPr>
          <w:rFonts w:asciiTheme="minorHAnsi" w:hAnsiTheme="minorHAnsi"/>
          <w:b/>
          <w:bCs/>
        </w:rPr>
        <w:t>1</w:t>
      </w:r>
      <w:r w:rsidRPr="005432E1">
        <w:rPr>
          <w:rFonts w:asciiTheme="minorHAnsi" w:hAnsiTheme="minorHAnsi"/>
          <w:b/>
          <w:bCs/>
        </w:rPr>
        <w:t>: PIS e COFINS. Base de cálculo, inclusão do ICMS.</w:t>
      </w:r>
    </w:p>
    <w:p w14:paraId="3B94BA70" w14:textId="77777777" w:rsidR="00A253E4" w:rsidRPr="005432E1" w:rsidRDefault="00A253E4" w:rsidP="007F731F">
      <w:pPr>
        <w:autoSpaceDE w:val="0"/>
        <w:autoSpaceDN w:val="0"/>
        <w:adjustRightInd w:val="0"/>
        <w:jc w:val="both"/>
        <w:rPr>
          <w:rFonts w:asciiTheme="minorHAnsi" w:hAnsiTheme="minorHAnsi"/>
          <w:b/>
          <w:bCs/>
        </w:rPr>
      </w:pPr>
      <w:r w:rsidRPr="005432E1">
        <w:rPr>
          <w:rFonts w:asciiTheme="minorHAnsi" w:hAnsiTheme="minorHAnsi"/>
          <w:b/>
          <w:bCs/>
        </w:rPr>
        <w:t>Ré: União</w:t>
      </w:r>
    </w:p>
    <w:p w14:paraId="53C128B0" w14:textId="77777777" w:rsidR="00A253E4" w:rsidRPr="005432E1" w:rsidRDefault="00A253E4" w:rsidP="007F731F">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3442C526" w14:textId="77777777" w:rsidR="00E34934" w:rsidRPr="005432E1" w:rsidRDefault="006150C0" w:rsidP="007F731F">
      <w:pPr>
        <w:autoSpaceDE w:val="0"/>
        <w:autoSpaceDN w:val="0"/>
        <w:adjustRightInd w:val="0"/>
        <w:jc w:val="both"/>
        <w:rPr>
          <w:rFonts w:asciiTheme="minorHAnsi" w:hAnsiTheme="minorHAnsi"/>
          <w:bCs/>
        </w:rPr>
      </w:pPr>
      <w:r w:rsidRPr="005432E1">
        <w:rPr>
          <w:rFonts w:asciiTheme="minorHAnsi" w:hAnsiTheme="minorHAnsi"/>
          <w:b/>
          <w:bCs/>
        </w:rPr>
        <w:t xml:space="preserve">Risco: Possível - </w:t>
      </w:r>
      <w:r w:rsidRPr="005432E1">
        <w:rPr>
          <w:rFonts w:asciiTheme="minorHAnsi" w:hAnsiTheme="minorHAnsi"/>
          <w:bCs/>
        </w:rPr>
        <w:t>artigo 3º, II, “e” e § 2º. Justificativa: julgado pelo Plenário do STF em repercussão geral desfavorável à Fazenda Pública. Houve oposição de embargos de declaração pela PGFN postulando a modulação dos efeitos da decisão.</w:t>
      </w:r>
    </w:p>
    <w:p w14:paraId="00921B26" w14:textId="77777777" w:rsidR="00806800" w:rsidRPr="005432E1" w:rsidRDefault="006150C0" w:rsidP="007F731F">
      <w:pPr>
        <w:autoSpaceDE w:val="0"/>
        <w:autoSpaceDN w:val="0"/>
        <w:adjustRightInd w:val="0"/>
        <w:jc w:val="both"/>
        <w:rPr>
          <w:rFonts w:asciiTheme="minorHAnsi" w:hAnsiTheme="minorHAnsi"/>
          <w:bCs/>
        </w:rPr>
      </w:pPr>
      <w:r w:rsidRPr="005432E1">
        <w:rPr>
          <w:rFonts w:asciiTheme="minorHAnsi" w:hAnsiTheme="minorHAnsi"/>
          <w:b/>
          <w:bCs/>
        </w:rPr>
        <w:t>Objeto:</w:t>
      </w:r>
      <w:r w:rsidRPr="005432E1">
        <w:rPr>
          <w:rFonts w:asciiTheme="minorHAnsi" w:hAnsiTheme="minorHAnsi"/>
          <w:bCs/>
        </w:rPr>
        <w:t xml:space="preserve"> questiona-se a inclusão da parcela relativa ao ICMS na base de cálculo da contribuição para o PIS e da COFINS (sistemática da tributação por dentro).</w:t>
      </w:r>
    </w:p>
    <w:p w14:paraId="00283A34" w14:textId="77777777" w:rsidR="00A253E4" w:rsidRPr="005432E1" w:rsidRDefault="00A253E4" w:rsidP="007F731F">
      <w:pPr>
        <w:autoSpaceDE w:val="0"/>
        <w:autoSpaceDN w:val="0"/>
        <w:adjustRightInd w:val="0"/>
        <w:jc w:val="both"/>
        <w:rPr>
          <w:rFonts w:asciiTheme="minorHAnsi" w:hAnsiTheme="minorHAnsi"/>
          <w:bCs/>
        </w:rPr>
      </w:pPr>
      <w:r w:rsidRPr="005432E1">
        <w:rPr>
          <w:rFonts w:asciiTheme="minorHAnsi" w:hAnsiTheme="minorHAnsi"/>
          <w:b/>
          <w:bCs/>
        </w:rPr>
        <w:t>Instância:</w:t>
      </w:r>
      <w:r w:rsidRPr="005432E1">
        <w:rPr>
          <w:rFonts w:asciiTheme="minorHAnsi" w:hAnsiTheme="minorHAnsi"/>
          <w:bCs/>
        </w:rPr>
        <w:t xml:space="preserve"> STF</w:t>
      </w:r>
    </w:p>
    <w:p w14:paraId="224D959D" w14:textId="77777777" w:rsidR="00A253E4" w:rsidRPr="005432E1" w:rsidRDefault="00A253E4" w:rsidP="007F731F">
      <w:pPr>
        <w:autoSpaceDE w:val="0"/>
        <w:autoSpaceDN w:val="0"/>
        <w:adjustRightInd w:val="0"/>
        <w:jc w:val="both"/>
        <w:rPr>
          <w:rFonts w:asciiTheme="minorHAnsi" w:hAnsiTheme="minorHAnsi"/>
          <w:bCs/>
        </w:rPr>
      </w:pPr>
      <w:r w:rsidRPr="005432E1">
        <w:rPr>
          <w:rFonts w:asciiTheme="minorHAnsi" w:hAnsiTheme="minorHAnsi"/>
          <w:b/>
          <w:bCs/>
        </w:rPr>
        <w:t>Estimativa de Impacto:</w:t>
      </w:r>
      <w:r w:rsidRPr="005432E1">
        <w:rPr>
          <w:rFonts w:asciiTheme="minorHAnsi" w:hAnsiTheme="minorHAnsi"/>
          <w:bCs/>
        </w:rPr>
        <w:t xml:space="preserve"> conforme dados da Receita Federal do Brasil, impacto estimado de R$89,44 bilhões, no período de 2003 a 2008. Este valor foi atualizado pela Nota Cetad/Coest nº 146, de 7 de outubro de 2014, utilizando a SELIC como indexador e chegou-se ao seguinte valor: 2003 a 2008: R$ 133,6bilhões, totalizando um valor de devolução aos contribuintes em caso de derrota da União de R$ 250,3 bilhões e uma perda de arrecadação projetada para 2015 de R$ 27,12 bilhões. Para o ano de 2016 foi fornecido um novo cálculo pela Receita Federal do Brasil, em 02.06.2016, no valor de R$ 19,7 bilhões e para o período de 2012 a 2016 um valor de R$ 101,7 bilhões.</w:t>
      </w:r>
    </w:p>
    <w:p w14:paraId="15717A45" w14:textId="77777777" w:rsidR="00E34934" w:rsidRPr="005432E1" w:rsidRDefault="00E34934" w:rsidP="007F731F">
      <w:pPr>
        <w:autoSpaceDE w:val="0"/>
        <w:autoSpaceDN w:val="0"/>
        <w:adjustRightInd w:val="0"/>
        <w:jc w:val="both"/>
        <w:rPr>
          <w:rFonts w:asciiTheme="minorHAnsi" w:hAnsiTheme="minorHAnsi"/>
          <w:bCs/>
        </w:rPr>
      </w:pPr>
    </w:p>
    <w:p w14:paraId="3D6C690E" w14:textId="77777777" w:rsidR="00E34934" w:rsidRPr="005432E1" w:rsidRDefault="00E34934" w:rsidP="007F731F">
      <w:pPr>
        <w:autoSpaceDE w:val="0"/>
        <w:autoSpaceDN w:val="0"/>
        <w:adjustRightInd w:val="0"/>
        <w:jc w:val="both"/>
        <w:rPr>
          <w:rFonts w:asciiTheme="minorHAnsi" w:hAnsiTheme="minorHAnsi"/>
          <w:b/>
          <w:bCs/>
          <w:sz w:val="26"/>
          <w:szCs w:val="26"/>
        </w:rPr>
      </w:pPr>
      <w:r w:rsidRPr="005432E1">
        <w:rPr>
          <w:rFonts w:asciiTheme="minorHAnsi" w:hAnsiTheme="minorHAnsi"/>
          <w:b/>
          <w:bCs/>
          <w:sz w:val="26"/>
          <w:szCs w:val="26"/>
        </w:rPr>
        <w:t>Tema 0</w:t>
      </w:r>
      <w:r w:rsidR="00766332" w:rsidRPr="005432E1">
        <w:rPr>
          <w:rFonts w:asciiTheme="minorHAnsi" w:hAnsiTheme="minorHAnsi"/>
          <w:b/>
          <w:bCs/>
          <w:sz w:val="26"/>
          <w:szCs w:val="26"/>
        </w:rPr>
        <w:t>2</w:t>
      </w:r>
      <w:r w:rsidRPr="005432E1">
        <w:rPr>
          <w:rFonts w:asciiTheme="minorHAnsi" w:hAnsiTheme="minorHAnsi"/>
          <w:b/>
          <w:bCs/>
          <w:sz w:val="26"/>
          <w:szCs w:val="26"/>
        </w:rPr>
        <w:t>: PIS/COFINS das instituições financeiras</w:t>
      </w:r>
    </w:p>
    <w:p w14:paraId="03071C93" w14:textId="77777777" w:rsidR="00E34934" w:rsidRPr="005432E1" w:rsidRDefault="00E34934" w:rsidP="00E34934">
      <w:pPr>
        <w:autoSpaceDE w:val="0"/>
        <w:autoSpaceDN w:val="0"/>
        <w:adjustRightInd w:val="0"/>
        <w:jc w:val="both"/>
        <w:rPr>
          <w:rFonts w:asciiTheme="minorHAnsi" w:hAnsiTheme="minorHAnsi"/>
          <w:bCs/>
        </w:rPr>
      </w:pPr>
      <w:r w:rsidRPr="005432E1">
        <w:rPr>
          <w:rFonts w:asciiTheme="minorHAnsi" w:hAnsiTheme="minorHAnsi"/>
          <w:b/>
          <w:bCs/>
        </w:rPr>
        <w:t>Autor:</w:t>
      </w:r>
      <w:r w:rsidRPr="005432E1">
        <w:rPr>
          <w:rFonts w:asciiTheme="minorHAnsi" w:hAnsiTheme="minorHAnsi"/>
          <w:bCs/>
        </w:rPr>
        <w:t xml:space="preserve"> União</w:t>
      </w:r>
    </w:p>
    <w:p w14:paraId="42DFE8C0" w14:textId="77777777" w:rsidR="00E34934" w:rsidRPr="005432E1" w:rsidRDefault="00E34934" w:rsidP="00E34934">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22F0F42E" w14:textId="77777777" w:rsidR="00E34934" w:rsidRPr="005432E1" w:rsidRDefault="00E34934" w:rsidP="00E34934">
      <w:pPr>
        <w:autoSpaceDE w:val="0"/>
        <w:autoSpaceDN w:val="0"/>
        <w:adjustRightInd w:val="0"/>
        <w:jc w:val="both"/>
        <w:rPr>
          <w:rFonts w:asciiTheme="minorHAnsi" w:hAnsiTheme="minorHAnsi"/>
          <w:bCs/>
        </w:rPr>
      </w:pPr>
      <w:r w:rsidRPr="005432E1">
        <w:rPr>
          <w:rFonts w:asciiTheme="minorHAnsi" w:hAnsiTheme="minorHAnsi"/>
          <w:b/>
          <w:bCs/>
        </w:rPr>
        <w:t>Risco:</w:t>
      </w:r>
      <w:r w:rsidRPr="005432E1">
        <w:rPr>
          <w:rFonts w:asciiTheme="minorHAnsi" w:hAnsiTheme="minorHAnsi"/>
          <w:bCs/>
        </w:rPr>
        <w:t xml:space="preserve"> Possível – art. 3º, II, e</w:t>
      </w:r>
    </w:p>
    <w:p w14:paraId="10D45ECF" w14:textId="77777777" w:rsidR="00E34934" w:rsidRPr="005432E1" w:rsidRDefault="00E34934" w:rsidP="00E34934">
      <w:pPr>
        <w:autoSpaceDE w:val="0"/>
        <w:autoSpaceDN w:val="0"/>
        <w:adjustRightInd w:val="0"/>
        <w:jc w:val="both"/>
        <w:rPr>
          <w:rFonts w:asciiTheme="minorHAnsi" w:hAnsiTheme="minorHAnsi"/>
          <w:bCs/>
        </w:rPr>
      </w:pPr>
      <w:r w:rsidRPr="005432E1">
        <w:rPr>
          <w:rFonts w:asciiTheme="minorHAnsi" w:hAnsiTheme="minorHAnsi"/>
          <w:b/>
          <w:bCs/>
        </w:rPr>
        <w:t>Objeto:</w:t>
      </w:r>
      <w:r w:rsidRPr="005432E1">
        <w:rPr>
          <w:rFonts w:asciiTheme="minorHAnsi" w:hAnsiTheme="minorHAnsi"/>
          <w:bCs/>
        </w:rPr>
        <w:t xml:space="preserve"> Discussão a respeito da possibilidade de incidência de PIS/COFINS sobre as receitas de instituições financeiras que decorrem de seu objeto social e incluiriam, portanto, as receitas de natureza financeiras, com fulcro na Lei 9.718/98.</w:t>
      </w:r>
    </w:p>
    <w:p w14:paraId="3E45D35C" w14:textId="77777777" w:rsidR="00E34934" w:rsidRPr="005432E1" w:rsidRDefault="00E34934" w:rsidP="00E34934">
      <w:pPr>
        <w:autoSpaceDE w:val="0"/>
        <w:autoSpaceDN w:val="0"/>
        <w:adjustRightInd w:val="0"/>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STF</w:t>
      </w:r>
    </w:p>
    <w:p w14:paraId="17CA580D" w14:textId="77777777" w:rsidR="00E34934" w:rsidRPr="005432E1" w:rsidRDefault="00E34934" w:rsidP="00E34934">
      <w:pPr>
        <w:autoSpaceDE w:val="0"/>
        <w:autoSpaceDN w:val="0"/>
        <w:adjustRightInd w:val="0"/>
        <w:jc w:val="both"/>
        <w:rPr>
          <w:rFonts w:asciiTheme="minorHAnsi" w:hAnsiTheme="minorHAnsi"/>
          <w:bCs/>
        </w:rPr>
      </w:pPr>
      <w:r w:rsidRPr="005432E1">
        <w:rPr>
          <w:rFonts w:asciiTheme="minorHAnsi" w:hAnsiTheme="minorHAnsi"/>
          <w:b/>
          <w:bCs/>
        </w:rPr>
        <w:t>Estimativa de Impacto:</w:t>
      </w:r>
      <w:r w:rsidRPr="005432E1">
        <w:rPr>
          <w:rFonts w:asciiTheme="minorHAnsi" w:hAnsiTheme="minorHAnsi"/>
          <w:bCs/>
        </w:rPr>
        <w:t xml:space="preserve"> Cálculo para 1 ano (2016): R$ 26,9 bilhões; cálculo para 05 anos: R$ 135,69 bilhões (2012 a 2016). Cálculos elaborados pelo CETAD/RFB e encaminhados via e-mail em 27.05.2016.</w:t>
      </w:r>
    </w:p>
    <w:p w14:paraId="48A0A637" w14:textId="77777777" w:rsidR="006150C0" w:rsidRPr="005432E1" w:rsidRDefault="006150C0" w:rsidP="006F4AC5">
      <w:pPr>
        <w:jc w:val="both"/>
        <w:rPr>
          <w:rFonts w:asciiTheme="minorHAnsi" w:hAnsiTheme="minorHAnsi"/>
          <w:b/>
          <w:bCs/>
        </w:rPr>
      </w:pPr>
    </w:p>
    <w:p w14:paraId="56156E5C" w14:textId="77777777" w:rsidR="006150C0" w:rsidRPr="005432E1" w:rsidRDefault="00766332" w:rsidP="006F4AC5">
      <w:pPr>
        <w:jc w:val="both"/>
        <w:rPr>
          <w:rFonts w:asciiTheme="minorHAnsi" w:hAnsiTheme="minorHAnsi"/>
          <w:b/>
          <w:bCs/>
          <w:sz w:val="26"/>
          <w:szCs w:val="26"/>
        </w:rPr>
      </w:pPr>
      <w:r w:rsidRPr="005432E1">
        <w:rPr>
          <w:rFonts w:asciiTheme="minorHAnsi" w:hAnsiTheme="minorHAnsi"/>
          <w:b/>
          <w:bCs/>
          <w:sz w:val="26"/>
          <w:szCs w:val="26"/>
        </w:rPr>
        <w:t>Tema 03</w:t>
      </w:r>
      <w:r w:rsidR="00E34934" w:rsidRPr="005432E1">
        <w:rPr>
          <w:rFonts w:asciiTheme="minorHAnsi" w:hAnsiTheme="minorHAnsi"/>
          <w:b/>
          <w:bCs/>
          <w:sz w:val="26"/>
          <w:szCs w:val="26"/>
        </w:rPr>
        <w:t>: IPI na revenda de produto importado</w:t>
      </w:r>
    </w:p>
    <w:p w14:paraId="0F37AC39" w14:textId="77777777" w:rsidR="00E34934" w:rsidRPr="005432E1" w:rsidRDefault="00E34934" w:rsidP="00E34934">
      <w:pPr>
        <w:jc w:val="both"/>
        <w:rPr>
          <w:rFonts w:asciiTheme="minorHAnsi" w:hAnsiTheme="minorHAnsi"/>
          <w:bCs/>
        </w:rPr>
      </w:pPr>
      <w:r w:rsidRPr="005432E1">
        <w:rPr>
          <w:rFonts w:asciiTheme="minorHAnsi" w:hAnsiTheme="minorHAnsi"/>
          <w:b/>
          <w:bCs/>
        </w:rPr>
        <w:t xml:space="preserve">Réu: </w:t>
      </w:r>
      <w:r w:rsidRPr="005432E1">
        <w:rPr>
          <w:rFonts w:asciiTheme="minorHAnsi" w:hAnsiTheme="minorHAnsi"/>
          <w:bCs/>
        </w:rPr>
        <w:t>União</w:t>
      </w:r>
    </w:p>
    <w:p w14:paraId="65D6B04A" w14:textId="77777777" w:rsidR="00E34934" w:rsidRPr="005432E1" w:rsidRDefault="00E34934" w:rsidP="00E34934">
      <w:pPr>
        <w:jc w:val="both"/>
        <w:rPr>
          <w:rFonts w:asciiTheme="minorHAnsi" w:hAnsiTheme="minorHAnsi"/>
          <w:b/>
          <w:bCs/>
        </w:rPr>
      </w:pPr>
      <w:r w:rsidRPr="005432E1">
        <w:rPr>
          <w:rFonts w:asciiTheme="minorHAnsi" w:hAnsiTheme="minorHAnsi"/>
          <w:b/>
          <w:bCs/>
        </w:rPr>
        <w:t>Passivo Contingente</w:t>
      </w:r>
    </w:p>
    <w:p w14:paraId="7835FFD0" w14:textId="77777777" w:rsidR="00E34934" w:rsidRPr="005432E1" w:rsidRDefault="00E34934" w:rsidP="00E34934">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 3º, II c/c §2º.</w:t>
      </w:r>
    </w:p>
    <w:p w14:paraId="4AA3D535" w14:textId="77777777" w:rsidR="00E34934" w:rsidRPr="005432E1" w:rsidRDefault="00E34934" w:rsidP="00E34934">
      <w:pPr>
        <w:jc w:val="both"/>
        <w:rPr>
          <w:rFonts w:asciiTheme="minorHAnsi" w:hAnsiTheme="minorHAnsi"/>
          <w:b/>
          <w:bCs/>
        </w:rPr>
      </w:pPr>
      <w:r w:rsidRPr="005432E1">
        <w:rPr>
          <w:rFonts w:asciiTheme="minorHAnsi" w:hAnsiTheme="minorHAnsi"/>
          <w:b/>
          <w:bCs/>
        </w:rPr>
        <w:t>Objeto</w:t>
      </w:r>
      <w:r w:rsidRPr="005432E1">
        <w:rPr>
          <w:rFonts w:asciiTheme="minorHAnsi" w:hAnsiTheme="minorHAnsi"/>
          <w:bCs/>
        </w:rPr>
        <w:t>: Discussão a respeito da possibilidade de incidência de IPI sobre a revenda do produto importado no mercado interno pelo estabelecimento importador.</w:t>
      </w:r>
    </w:p>
    <w:p w14:paraId="0A373BD5" w14:textId="77777777" w:rsidR="00E34934" w:rsidRPr="005432E1" w:rsidRDefault="00E34934" w:rsidP="00E34934">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STF</w:t>
      </w:r>
    </w:p>
    <w:p w14:paraId="03FF0B3C" w14:textId="77777777" w:rsidR="00E34934" w:rsidRPr="005432E1" w:rsidRDefault="00E34934" w:rsidP="00E34934">
      <w:pPr>
        <w:jc w:val="both"/>
        <w:rPr>
          <w:rFonts w:asciiTheme="minorHAnsi" w:hAnsiTheme="minorHAnsi"/>
          <w:b/>
          <w:bCs/>
        </w:rPr>
      </w:pPr>
      <w:r w:rsidRPr="005432E1">
        <w:rPr>
          <w:rFonts w:asciiTheme="minorHAnsi" w:hAnsiTheme="minorHAnsi"/>
          <w:b/>
          <w:bCs/>
        </w:rPr>
        <w:t>Estimativa de Impacto</w:t>
      </w:r>
      <w:r w:rsidRPr="005432E1">
        <w:rPr>
          <w:rFonts w:asciiTheme="minorHAnsi" w:hAnsiTheme="minorHAnsi"/>
          <w:bCs/>
        </w:rPr>
        <w:t>: Cálculo para 1 ano (2016): R$ 13 bilhões; cálculo para 05 anos: R$ 67 bilhões. Cálculos elaborados pela RFB na Nota CETAD/COEST N.º 189 de 02/12/2016.</w:t>
      </w:r>
    </w:p>
    <w:p w14:paraId="6A5EC0C1" w14:textId="77777777" w:rsidR="00E34934" w:rsidRPr="005432E1" w:rsidRDefault="00E34934" w:rsidP="006F4AC5">
      <w:pPr>
        <w:jc w:val="both"/>
        <w:rPr>
          <w:rFonts w:asciiTheme="minorHAnsi" w:hAnsiTheme="minorHAnsi"/>
          <w:b/>
          <w:bCs/>
        </w:rPr>
      </w:pPr>
    </w:p>
    <w:p w14:paraId="5015A2A6" w14:textId="77777777" w:rsidR="006E7141" w:rsidRPr="005432E1" w:rsidRDefault="00766332" w:rsidP="006E7141">
      <w:pPr>
        <w:jc w:val="both"/>
        <w:rPr>
          <w:rFonts w:asciiTheme="minorHAnsi" w:hAnsiTheme="minorHAnsi"/>
          <w:b/>
          <w:bCs/>
        </w:rPr>
      </w:pPr>
      <w:r w:rsidRPr="005432E1">
        <w:rPr>
          <w:rFonts w:asciiTheme="minorHAnsi" w:hAnsiTheme="minorHAnsi"/>
          <w:b/>
          <w:bCs/>
        </w:rPr>
        <w:t>Tema 04</w:t>
      </w:r>
      <w:r w:rsidR="006E7141" w:rsidRPr="005432E1">
        <w:rPr>
          <w:rFonts w:asciiTheme="minorHAnsi" w:hAnsiTheme="minorHAnsi"/>
          <w:b/>
          <w:bCs/>
        </w:rPr>
        <w:t>: Inclusão do IPI na base de cálculo do PIS/COFINS no regime de substituição tributária</w:t>
      </w:r>
    </w:p>
    <w:p w14:paraId="690DA1C7" w14:textId="77777777" w:rsidR="006E7141" w:rsidRPr="005432E1" w:rsidRDefault="006E7141" w:rsidP="006E7141">
      <w:pPr>
        <w:jc w:val="both"/>
        <w:rPr>
          <w:rFonts w:asciiTheme="minorHAnsi" w:hAnsiTheme="minorHAnsi"/>
          <w:bCs/>
        </w:rPr>
      </w:pPr>
      <w:r w:rsidRPr="005432E1">
        <w:rPr>
          <w:rFonts w:asciiTheme="minorHAnsi" w:hAnsiTheme="minorHAnsi"/>
          <w:b/>
          <w:bCs/>
        </w:rPr>
        <w:t xml:space="preserve">Réu: </w:t>
      </w:r>
      <w:r w:rsidRPr="005432E1">
        <w:rPr>
          <w:rFonts w:asciiTheme="minorHAnsi" w:hAnsiTheme="minorHAnsi"/>
          <w:bCs/>
        </w:rPr>
        <w:t>União</w:t>
      </w:r>
    </w:p>
    <w:p w14:paraId="4B044993" w14:textId="77777777" w:rsidR="006E7141" w:rsidRPr="005432E1" w:rsidRDefault="006E7141" w:rsidP="006E7141">
      <w:pPr>
        <w:jc w:val="both"/>
        <w:rPr>
          <w:rFonts w:asciiTheme="minorHAnsi" w:hAnsiTheme="minorHAnsi"/>
          <w:b/>
          <w:bCs/>
        </w:rPr>
      </w:pPr>
      <w:r w:rsidRPr="005432E1">
        <w:rPr>
          <w:rFonts w:asciiTheme="minorHAnsi" w:hAnsiTheme="minorHAnsi"/>
          <w:b/>
          <w:bCs/>
        </w:rPr>
        <w:t>Passivo Contingente</w:t>
      </w:r>
    </w:p>
    <w:p w14:paraId="7E877706" w14:textId="77777777" w:rsidR="006E7141" w:rsidRPr="005432E1" w:rsidRDefault="006E7141" w:rsidP="006E7141">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 3º, II c/c §2º.</w:t>
      </w:r>
    </w:p>
    <w:p w14:paraId="2DEE0D3A" w14:textId="77777777" w:rsidR="006E7141" w:rsidRPr="005432E1" w:rsidRDefault="006E7141" w:rsidP="006E7141">
      <w:pPr>
        <w:jc w:val="both"/>
        <w:rPr>
          <w:rFonts w:asciiTheme="minorHAnsi" w:hAnsiTheme="minorHAnsi"/>
          <w:bCs/>
        </w:rPr>
      </w:pPr>
      <w:r w:rsidRPr="005432E1">
        <w:rPr>
          <w:rFonts w:asciiTheme="minorHAnsi" w:hAnsiTheme="minorHAnsi"/>
          <w:b/>
          <w:bCs/>
        </w:rPr>
        <w:t xml:space="preserve">Objeto: </w:t>
      </w:r>
      <w:r w:rsidRPr="005432E1">
        <w:rPr>
          <w:rFonts w:asciiTheme="minorHAnsi" w:hAnsiTheme="minorHAnsi"/>
          <w:bCs/>
        </w:rPr>
        <w:t>Discussão a respeito da inclusão do Imposto sobre Produtos Industrializados (IPI) na base de cálculo das contribuições PIS e Cofins exigidas e recolhidas pelas montadoras de veículos em regime de substituição tributária.</w:t>
      </w:r>
    </w:p>
    <w:p w14:paraId="207E4137" w14:textId="77777777" w:rsidR="006E7141" w:rsidRPr="005432E1" w:rsidRDefault="006E7141" w:rsidP="006E7141">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STF</w:t>
      </w:r>
    </w:p>
    <w:p w14:paraId="269897F9" w14:textId="77777777" w:rsidR="006E7141" w:rsidRPr="005432E1" w:rsidRDefault="006E7141" w:rsidP="006E7141">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Cálculo para 5 anos (2016): R$ 8 bilhões. Cálculos elaborados pela RFB na Nota CETAD/COEST N.º 164 de 17/10/2016.</w:t>
      </w:r>
    </w:p>
    <w:p w14:paraId="470AFFC0" w14:textId="77777777" w:rsidR="004247CF" w:rsidRPr="005432E1" w:rsidRDefault="004247CF" w:rsidP="006E7141">
      <w:pPr>
        <w:jc w:val="both"/>
        <w:rPr>
          <w:rFonts w:asciiTheme="minorHAnsi" w:hAnsiTheme="minorHAnsi"/>
          <w:bCs/>
        </w:rPr>
      </w:pPr>
    </w:p>
    <w:p w14:paraId="0C024FDB" w14:textId="77777777" w:rsidR="00BD6EC4" w:rsidRPr="005432E1" w:rsidRDefault="00BD6EC4" w:rsidP="004247CF">
      <w:pPr>
        <w:jc w:val="both"/>
        <w:rPr>
          <w:rFonts w:asciiTheme="minorHAnsi" w:hAnsiTheme="minorHAnsi"/>
          <w:b/>
          <w:bCs/>
        </w:rPr>
      </w:pPr>
    </w:p>
    <w:p w14:paraId="4FBE35A3" w14:textId="77777777" w:rsidR="004247CF" w:rsidRPr="005432E1" w:rsidRDefault="004247CF" w:rsidP="004247CF">
      <w:pPr>
        <w:jc w:val="both"/>
        <w:rPr>
          <w:rFonts w:asciiTheme="minorHAnsi" w:hAnsiTheme="minorHAnsi"/>
          <w:b/>
          <w:bCs/>
        </w:rPr>
      </w:pPr>
      <w:r w:rsidRPr="005432E1">
        <w:rPr>
          <w:rFonts w:asciiTheme="minorHAnsi" w:hAnsiTheme="minorHAnsi"/>
          <w:b/>
          <w:bCs/>
        </w:rPr>
        <w:t>Tema 0</w:t>
      </w:r>
      <w:r w:rsidR="00766332" w:rsidRPr="005432E1">
        <w:rPr>
          <w:rFonts w:asciiTheme="minorHAnsi" w:hAnsiTheme="minorHAnsi"/>
          <w:b/>
          <w:bCs/>
        </w:rPr>
        <w:t>5</w:t>
      </w:r>
      <w:r w:rsidRPr="005432E1">
        <w:rPr>
          <w:rFonts w:asciiTheme="minorHAnsi" w:hAnsiTheme="minorHAnsi"/>
          <w:b/>
          <w:bCs/>
        </w:rPr>
        <w:t>: CIDE sobre remessas ao exterior</w:t>
      </w:r>
    </w:p>
    <w:p w14:paraId="4F1C8714" w14:textId="77777777" w:rsidR="004247CF" w:rsidRPr="005432E1" w:rsidRDefault="004247CF" w:rsidP="004247CF">
      <w:pPr>
        <w:jc w:val="both"/>
        <w:rPr>
          <w:rFonts w:asciiTheme="minorHAnsi" w:hAnsiTheme="minorHAnsi"/>
          <w:bCs/>
        </w:rPr>
      </w:pPr>
      <w:r w:rsidRPr="005432E1">
        <w:rPr>
          <w:rFonts w:asciiTheme="minorHAnsi" w:hAnsiTheme="minorHAnsi"/>
          <w:b/>
          <w:bCs/>
        </w:rPr>
        <w:t>Réu:</w:t>
      </w:r>
      <w:r w:rsidRPr="005432E1">
        <w:rPr>
          <w:rFonts w:asciiTheme="minorHAnsi" w:hAnsiTheme="minorHAnsi"/>
          <w:bCs/>
        </w:rPr>
        <w:t xml:space="preserve"> União</w:t>
      </w:r>
    </w:p>
    <w:p w14:paraId="1476F471" w14:textId="77777777" w:rsidR="004247CF" w:rsidRPr="005432E1" w:rsidRDefault="004247CF" w:rsidP="004247CF">
      <w:pPr>
        <w:jc w:val="both"/>
        <w:rPr>
          <w:rFonts w:asciiTheme="minorHAnsi" w:hAnsiTheme="minorHAnsi"/>
          <w:b/>
          <w:bCs/>
        </w:rPr>
      </w:pPr>
      <w:r w:rsidRPr="005432E1">
        <w:rPr>
          <w:rFonts w:asciiTheme="minorHAnsi" w:hAnsiTheme="minorHAnsi"/>
          <w:b/>
          <w:bCs/>
        </w:rPr>
        <w:t>Passivo Contingente</w:t>
      </w:r>
    </w:p>
    <w:p w14:paraId="328C554A" w14:textId="77777777" w:rsidR="004247CF" w:rsidRPr="005432E1" w:rsidRDefault="004247CF" w:rsidP="004247CF">
      <w:pPr>
        <w:jc w:val="both"/>
        <w:rPr>
          <w:rFonts w:asciiTheme="minorHAnsi" w:hAnsiTheme="minorHAnsi"/>
          <w:bCs/>
        </w:rPr>
      </w:pPr>
      <w:r w:rsidRPr="005432E1">
        <w:rPr>
          <w:rFonts w:asciiTheme="minorHAnsi" w:hAnsiTheme="minorHAnsi"/>
          <w:b/>
          <w:bCs/>
        </w:rPr>
        <w:t>Risco:</w:t>
      </w:r>
      <w:r w:rsidRPr="005432E1">
        <w:rPr>
          <w:rFonts w:asciiTheme="minorHAnsi" w:hAnsiTheme="minorHAnsi"/>
          <w:bCs/>
        </w:rPr>
        <w:t xml:space="preserve"> Possível – art. 3º, II c/c §2º.</w:t>
      </w:r>
    </w:p>
    <w:p w14:paraId="4CB0C13D" w14:textId="77777777" w:rsidR="004247CF" w:rsidRPr="005432E1" w:rsidRDefault="004247CF" w:rsidP="004247CF">
      <w:pPr>
        <w:jc w:val="both"/>
        <w:rPr>
          <w:rFonts w:asciiTheme="minorHAnsi" w:hAnsiTheme="minorHAnsi"/>
          <w:bCs/>
        </w:rPr>
      </w:pPr>
      <w:r w:rsidRPr="005432E1">
        <w:rPr>
          <w:rFonts w:asciiTheme="minorHAnsi" w:hAnsiTheme="minorHAnsi"/>
          <w:b/>
          <w:bCs/>
        </w:rPr>
        <w:t>Objeto:</w:t>
      </w:r>
      <w:r w:rsidRPr="005432E1">
        <w:rPr>
          <w:rFonts w:asciiTheme="minorHAnsi" w:hAnsiTheme="minorHAnsi"/>
          <w:bCs/>
        </w:rPr>
        <w:t xml:space="preserve"> Discussão a respeito da incidência da contribuição de intervenção no domínio econômico criada pela Lei nº 10.168, de 29/12/2000, destinada a financiar o Programa de Estímulo à Interação Universidade-Empresa para o Apoio à Inovação.</w:t>
      </w:r>
    </w:p>
    <w:p w14:paraId="33F21455" w14:textId="77777777" w:rsidR="004247CF" w:rsidRPr="005432E1" w:rsidRDefault="004247CF" w:rsidP="004247CF">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xml:space="preserve"> STF</w:t>
      </w:r>
    </w:p>
    <w:p w14:paraId="6902CC2E" w14:textId="77777777" w:rsidR="004247CF" w:rsidRPr="005432E1" w:rsidRDefault="004247CF" w:rsidP="004247CF">
      <w:pPr>
        <w:jc w:val="both"/>
        <w:rPr>
          <w:rFonts w:asciiTheme="minorHAnsi" w:hAnsiTheme="minorHAnsi"/>
          <w:bCs/>
        </w:rPr>
      </w:pPr>
      <w:r w:rsidRPr="005432E1">
        <w:rPr>
          <w:rFonts w:asciiTheme="minorHAnsi" w:hAnsiTheme="minorHAnsi"/>
          <w:b/>
          <w:bCs/>
        </w:rPr>
        <w:t>Estimativa de Impacto</w:t>
      </w:r>
      <w:r w:rsidRPr="005432E1">
        <w:rPr>
          <w:rFonts w:asciiTheme="minorHAnsi" w:hAnsiTheme="minorHAnsi"/>
          <w:bCs/>
        </w:rPr>
        <w:t>: Cálculo para 2016: R$ 3,3 bilhões e para 5 anos: R$ 14,6 bilhões. Cálculos elaborados pela RFB na Nota CETAD/COEST N.º 189 de 02/12/2016.</w:t>
      </w:r>
    </w:p>
    <w:p w14:paraId="2B5FEF9B" w14:textId="77777777" w:rsidR="006E7141" w:rsidRPr="005432E1" w:rsidRDefault="006E7141" w:rsidP="006F4AC5">
      <w:pPr>
        <w:jc w:val="both"/>
        <w:rPr>
          <w:rFonts w:asciiTheme="minorHAnsi" w:hAnsiTheme="minorHAnsi"/>
          <w:b/>
          <w:bCs/>
        </w:rPr>
      </w:pPr>
    </w:p>
    <w:p w14:paraId="1A77E08E" w14:textId="77777777" w:rsidR="00E76A56" w:rsidRPr="005432E1" w:rsidRDefault="00766332" w:rsidP="00E76A56">
      <w:pPr>
        <w:jc w:val="both"/>
        <w:rPr>
          <w:rFonts w:asciiTheme="minorHAnsi" w:hAnsiTheme="minorHAnsi"/>
          <w:b/>
          <w:bCs/>
        </w:rPr>
      </w:pPr>
      <w:r w:rsidRPr="005432E1">
        <w:rPr>
          <w:rFonts w:asciiTheme="minorHAnsi" w:hAnsiTheme="minorHAnsi"/>
          <w:b/>
          <w:bCs/>
        </w:rPr>
        <w:t>Tema 06</w:t>
      </w:r>
      <w:r w:rsidR="00E76A56" w:rsidRPr="005432E1">
        <w:rPr>
          <w:rFonts w:asciiTheme="minorHAnsi" w:hAnsiTheme="minorHAnsi"/>
          <w:b/>
          <w:bCs/>
        </w:rPr>
        <w:t>: PIS e COFINS. Base de cálculo, inclusão do ISS</w:t>
      </w:r>
    </w:p>
    <w:p w14:paraId="03EE79DC" w14:textId="77777777" w:rsidR="00E76A56" w:rsidRPr="005432E1" w:rsidRDefault="00E76A56" w:rsidP="00E76A56">
      <w:pPr>
        <w:jc w:val="both"/>
        <w:rPr>
          <w:rFonts w:asciiTheme="minorHAnsi" w:hAnsiTheme="minorHAnsi"/>
          <w:bCs/>
        </w:rPr>
      </w:pPr>
      <w:r w:rsidRPr="005432E1">
        <w:rPr>
          <w:rFonts w:asciiTheme="minorHAnsi" w:hAnsiTheme="minorHAnsi"/>
          <w:b/>
          <w:bCs/>
        </w:rPr>
        <w:t xml:space="preserve">Ré: </w:t>
      </w:r>
      <w:r w:rsidRPr="005432E1">
        <w:rPr>
          <w:rFonts w:asciiTheme="minorHAnsi" w:hAnsiTheme="minorHAnsi"/>
          <w:bCs/>
        </w:rPr>
        <w:t>União</w:t>
      </w:r>
    </w:p>
    <w:p w14:paraId="6EC5B154" w14:textId="77777777" w:rsidR="00E76A56" w:rsidRPr="005432E1" w:rsidRDefault="00E76A56" w:rsidP="00E76A56">
      <w:pPr>
        <w:jc w:val="both"/>
        <w:rPr>
          <w:rFonts w:asciiTheme="minorHAnsi" w:hAnsiTheme="minorHAnsi"/>
          <w:b/>
          <w:bCs/>
        </w:rPr>
      </w:pPr>
      <w:r w:rsidRPr="005432E1">
        <w:rPr>
          <w:rFonts w:asciiTheme="minorHAnsi" w:hAnsiTheme="minorHAnsi"/>
          <w:b/>
          <w:bCs/>
        </w:rPr>
        <w:t>Passivo Contingente</w:t>
      </w:r>
    </w:p>
    <w:p w14:paraId="3130DD80" w14:textId="77777777" w:rsidR="00E76A56" w:rsidRPr="005432E1" w:rsidRDefault="00E76A56" w:rsidP="00E76A56">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e § 2º. Justificativa: Há precedente recente do Plenário contrário à União quanto à inclusão do ICMS (que pode impactar no julgamento da presente tese) e relevância do caso para os cofres públicos. Por orientação da Secretaria do Tesouro Nacional enquadramos esse caso no §2º do Art. 3º da Portaria AGU n.º 40/2015, em razão dos valores envolvidos.</w:t>
      </w:r>
    </w:p>
    <w:p w14:paraId="3AAE4640" w14:textId="77777777" w:rsidR="00E76A56" w:rsidRPr="005432E1" w:rsidRDefault="00E76A56" w:rsidP="00E76A56">
      <w:pPr>
        <w:jc w:val="both"/>
        <w:rPr>
          <w:rFonts w:asciiTheme="minorHAnsi" w:hAnsiTheme="minorHAnsi"/>
          <w:bCs/>
        </w:rPr>
      </w:pPr>
      <w:r w:rsidRPr="005432E1">
        <w:rPr>
          <w:rFonts w:asciiTheme="minorHAnsi" w:hAnsiTheme="minorHAnsi"/>
          <w:b/>
          <w:bCs/>
        </w:rPr>
        <w:t xml:space="preserve">Objeto: </w:t>
      </w:r>
      <w:r w:rsidRPr="005432E1">
        <w:rPr>
          <w:rFonts w:asciiTheme="minorHAnsi" w:hAnsiTheme="minorHAnsi"/>
          <w:bCs/>
        </w:rPr>
        <w:t>questiona-se a inclusão da parcela relativa ao ISS na base de cálculo da contribuição para o PIS e da COFINS (sistemática da tributação por dentro).</w:t>
      </w:r>
    </w:p>
    <w:p w14:paraId="4AC9DB6B" w14:textId="77777777" w:rsidR="00E76A56" w:rsidRPr="005432E1" w:rsidRDefault="00E76A56" w:rsidP="00E76A56">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STF</w:t>
      </w:r>
    </w:p>
    <w:p w14:paraId="3CF36D5D" w14:textId="77777777" w:rsidR="006E7141" w:rsidRPr="005432E1" w:rsidRDefault="00E76A56" w:rsidP="00E76A56">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enviados por e-mail em 13/06/2016, impacto estimado de R$ 3,9 bilhões, para 2014 e R$ 4,2 bilhões para 2015.</w:t>
      </w:r>
    </w:p>
    <w:p w14:paraId="61B76C4A" w14:textId="77777777" w:rsidR="00E76A56" w:rsidRPr="005432E1" w:rsidRDefault="00E76A56" w:rsidP="00E76A56">
      <w:pPr>
        <w:jc w:val="both"/>
        <w:rPr>
          <w:rFonts w:asciiTheme="minorHAnsi" w:hAnsiTheme="minorHAnsi"/>
          <w:b/>
          <w:bCs/>
        </w:rPr>
      </w:pPr>
    </w:p>
    <w:p w14:paraId="54C2351D" w14:textId="77777777" w:rsidR="008351DA" w:rsidRPr="005432E1" w:rsidRDefault="00766332" w:rsidP="008351DA">
      <w:pPr>
        <w:jc w:val="both"/>
        <w:rPr>
          <w:rFonts w:asciiTheme="minorHAnsi" w:hAnsiTheme="minorHAnsi"/>
          <w:b/>
          <w:bCs/>
        </w:rPr>
      </w:pPr>
      <w:r w:rsidRPr="005432E1">
        <w:rPr>
          <w:rFonts w:asciiTheme="minorHAnsi" w:hAnsiTheme="minorHAnsi"/>
          <w:b/>
          <w:bCs/>
        </w:rPr>
        <w:t>Tema 07</w:t>
      </w:r>
      <w:r w:rsidR="008351DA" w:rsidRPr="005432E1">
        <w:rPr>
          <w:rFonts w:asciiTheme="minorHAnsi" w:hAnsiTheme="minorHAnsi"/>
          <w:b/>
          <w:bCs/>
        </w:rPr>
        <w:t>: PIS/COFINS. Regime não-cumulativo. Prestadoras de serviços e demais empresas.</w:t>
      </w:r>
    </w:p>
    <w:p w14:paraId="397C7865" w14:textId="77777777" w:rsidR="008351DA" w:rsidRPr="005432E1" w:rsidRDefault="008351DA" w:rsidP="008351DA">
      <w:pPr>
        <w:jc w:val="both"/>
        <w:rPr>
          <w:rFonts w:asciiTheme="minorHAnsi" w:hAnsiTheme="minorHAnsi"/>
          <w:b/>
          <w:bCs/>
        </w:rPr>
      </w:pPr>
      <w:r w:rsidRPr="005432E1">
        <w:rPr>
          <w:rFonts w:asciiTheme="minorHAnsi" w:hAnsiTheme="minorHAnsi"/>
          <w:b/>
          <w:bCs/>
        </w:rPr>
        <w:t>Ré</w:t>
      </w:r>
      <w:r w:rsidRPr="005432E1">
        <w:rPr>
          <w:rFonts w:asciiTheme="minorHAnsi" w:hAnsiTheme="minorHAnsi"/>
          <w:bCs/>
        </w:rPr>
        <w:t>: União</w:t>
      </w:r>
    </w:p>
    <w:p w14:paraId="772392E1" w14:textId="77777777" w:rsidR="008351DA" w:rsidRPr="005432E1" w:rsidRDefault="008351DA" w:rsidP="008351DA">
      <w:pPr>
        <w:jc w:val="both"/>
        <w:rPr>
          <w:rFonts w:asciiTheme="minorHAnsi" w:hAnsiTheme="minorHAnsi"/>
          <w:b/>
          <w:bCs/>
        </w:rPr>
      </w:pPr>
      <w:r w:rsidRPr="005432E1">
        <w:rPr>
          <w:rFonts w:asciiTheme="minorHAnsi" w:hAnsiTheme="minorHAnsi"/>
          <w:b/>
          <w:bCs/>
        </w:rPr>
        <w:t>Passivo Contingente</w:t>
      </w:r>
    </w:p>
    <w:p w14:paraId="2AC6B9ED" w14:textId="77777777" w:rsidR="008351DA" w:rsidRPr="005432E1" w:rsidRDefault="008351DA" w:rsidP="008351DA">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e § 2º. Justificativa: Por orientação da Secretaria do Tesouro Nacional enquadramos esse caso no §2º do Art. 3º da Portaria AGU n.º 40/2015, em razão dos valores envolvidos. Julgamento já iniciado com votação parcial favorável à União (7x0).</w:t>
      </w:r>
    </w:p>
    <w:p w14:paraId="24D77A10" w14:textId="77777777" w:rsidR="008351DA" w:rsidRPr="005432E1" w:rsidRDefault="008351DA" w:rsidP="008351DA">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questiona-se a constitucionalidade das Medidas Provisórias nº 66/02 e 135/2003, as quais inauguraram a sistemática da não cumulatividade das contribuições para o PIS e a COFINS, com a consequente majoração da alíquota associada à possibilidade de aproveitamento de créditos compensáveis para a apuração do valor efetivamente devido.</w:t>
      </w:r>
    </w:p>
    <w:p w14:paraId="79727DCB" w14:textId="77777777" w:rsidR="008351DA" w:rsidRPr="005432E1" w:rsidRDefault="008351DA" w:rsidP="008351DA">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3850C79D" w14:textId="77777777" w:rsidR="00E76A56" w:rsidRPr="005432E1" w:rsidRDefault="008351DA" w:rsidP="008351DA">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para as prestadoras de serviço em 2014 o valor é de R$ 21,7 bilhões e para 05 anos é de R$ 56 bilhões. Para as demais empresas, em 2014 é de R$ 38,4 bilhões e para 05 anos é de R$ 90,2 bilhões.</w:t>
      </w:r>
    </w:p>
    <w:p w14:paraId="0E06970C" w14:textId="77777777" w:rsidR="00D256A6" w:rsidRPr="005432E1" w:rsidRDefault="00D256A6" w:rsidP="006F4AC5">
      <w:pPr>
        <w:jc w:val="both"/>
        <w:rPr>
          <w:rFonts w:asciiTheme="minorHAnsi" w:hAnsiTheme="minorHAnsi"/>
          <w:b/>
          <w:bCs/>
        </w:rPr>
      </w:pPr>
    </w:p>
    <w:p w14:paraId="2DDD6600" w14:textId="77777777" w:rsidR="00D256A6" w:rsidRPr="005432E1" w:rsidRDefault="00D256A6" w:rsidP="00D256A6">
      <w:pPr>
        <w:jc w:val="both"/>
        <w:rPr>
          <w:rFonts w:asciiTheme="minorHAnsi" w:hAnsiTheme="minorHAnsi"/>
          <w:b/>
          <w:bCs/>
        </w:rPr>
      </w:pPr>
      <w:r w:rsidRPr="005432E1">
        <w:rPr>
          <w:rFonts w:asciiTheme="minorHAnsi" w:hAnsiTheme="minorHAnsi"/>
          <w:b/>
          <w:bCs/>
        </w:rPr>
        <w:t xml:space="preserve">Tema </w:t>
      </w:r>
      <w:r w:rsidR="00766332" w:rsidRPr="005432E1">
        <w:rPr>
          <w:rFonts w:asciiTheme="minorHAnsi" w:hAnsiTheme="minorHAnsi"/>
          <w:b/>
          <w:bCs/>
        </w:rPr>
        <w:t>08</w:t>
      </w:r>
      <w:r w:rsidRPr="005432E1">
        <w:rPr>
          <w:rFonts w:asciiTheme="minorHAnsi" w:hAnsiTheme="minorHAnsi"/>
          <w:b/>
          <w:bCs/>
        </w:rPr>
        <w:t>: Multa por indeferimento administrativo de pedidos de ressarcimento, compensação e restituição</w:t>
      </w:r>
    </w:p>
    <w:p w14:paraId="219EE226" w14:textId="77777777" w:rsidR="00D256A6" w:rsidRPr="005432E1" w:rsidRDefault="00D256A6" w:rsidP="00D256A6">
      <w:pPr>
        <w:jc w:val="both"/>
        <w:rPr>
          <w:rFonts w:asciiTheme="minorHAnsi" w:hAnsiTheme="minorHAnsi"/>
          <w:b/>
          <w:bCs/>
        </w:rPr>
      </w:pPr>
      <w:r w:rsidRPr="005432E1">
        <w:rPr>
          <w:rFonts w:asciiTheme="minorHAnsi" w:hAnsiTheme="minorHAnsi"/>
          <w:b/>
          <w:bCs/>
        </w:rPr>
        <w:t xml:space="preserve">Autor: </w:t>
      </w:r>
      <w:r w:rsidRPr="005432E1">
        <w:rPr>
          <w:rFonts w:asciiTheme="minorHAnsi" w:hAnsiTheme="minorHAnsi"/>
          <w:bCs/>
        </w:rPr>
        <w:t>União</w:t>
      </w:r>
    </w:p>
    <w:p w14:paraId="67567E9B" w14:textId="77777777" w:rsidR="00D256A6" w:rsidRPr="005432E1" w:rsidRDefault="00D256A6" w:rsidP="00D256A6">
      <w:pPr>
        <w:jc w:val="both"/>
        <w:rPr>
          <w:rFonts w:asciiTheme="minorHAnsi" w:hAnsiTheme="minorHAnsi"/>
          <w:b/>
          <w:bCs/>
        </w:rPr>
      </w:pPr>
      <w:r w:rsidRPr="005432E1">
        <w:rPr>
          <w:rFonts w:asciiTheme="minorHAnsi" w:hAnsiTheme="minorHAnsi"/>
          <w:b/>
          <w:bCs/>
        </w:rPr>
        <w:t>Passivo Contingente</w:t>
      </w:r>
    </w:p>
    <w:p w14:paraId="7C43DFFD" w14:textId="77777777" w:rsidR="00D256A6" w:rsidRPr="005432E1" w:rsidRDefault="00D256A6" w:rsidP="00D256A6">
      <w:pPr>
        <w:jc w:val="both"/>
        <w:rPr>
          <w:rFonts w:asciiTheme="minorHAnsi" w:hAnsiTheme="minorHAnsi"/>
          <w:b/>
          <w:bCs/>
        </w:rPr>
      </w:pPr>
      <w:r w:rsidRPr="005432E1">
        <w:rPr>
          <w:rFonts w:asciiTheme="minorHAnsi" w:hAnsiTheme="minorHAnsi"/>
          <w:b/>
          <w:bCs/>
        </w:rPr>
        <w:t>Risco:</w:t>
      </w:r>
      <w:r w:rsidRPr="005432E1">
        <w:rPr>
          <w:rFonts w:asciiTheme="minorHAnsi" w:hAnsiTheme="minorHAnsi"/>
          <w:bCs/>
        </w:rPr>
        <w:t xml:space="preserve"> Possível - artigo 3º, II, “e”.</w:t>
      </w:r>
    </w:p>
    <w:p w14:paraId="52F4EB63" w14:textId="77777777" w:rsidR="00D256A6" w:rsidRPr="005432E1" w:rsidRDefault="00D256A6" w:rsidP="00D256A6">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aplicação das multas de 50% (cinquenta por cento) dos §§ 15 e 17 do art. 74 da Lei nº 9.430, de 27 de dezembro de 1996, na redação que lhes foi conferida pelo art. 62 da Lei nº 12.249, de 11 de junho de 2010, em caso de indeferimento de pedidos de ressarcimento de compensação já efetuados (ou que venham a ser efetuados), ressalvando-se a possibilidade da incidência de multa em caso de má-fé do contribuinte.</w:t>
      </w:r>
    </w:p>
    <w:p w14:paraId="18F7262F" w14:textId="77777777" w:rsidR="00D256A6" w:rsidRPr="005432E1" w:rsidRDefault="00D256A6" w:rsidP="00D256A6">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5C809E28" w14:textId="77777777" w:rsidR="00750FC7" w:rsidRPr="005432E1" w:rsidRDefault="00750FC7" w:rsidP="00750FC7">
      <w:pPr>
        <w:jc w:val="both"/>
        <w:rPr>
          <w:rFonts w:asciiTheme="minorHAnsi" w:hAnsiTheme="minorHAnsi"/>
          <w:b/>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com relação às multas lançadas após 2010 o impacto é de R$ 3,7 bilhões.</w:t>
      </w:r>
    </w:p>
    <w:p w14:paraId="375D34E3" w14:textId="77777777" w:rsidR="00687F25" w:rsidRPr="005432E1" w:rsidRDefault="00687F25" w:rsidP="00750FC7">
      <w:pPr>
        <w:jc w:val="both"/>
        <w:rPr>
          <w:rFonts w:asciiTheme="minorHAnsi" w:hAnsiTheme="minorHAnsi"/>
          <w:b/>
          <w:bCs/>
        </w:rPr>
      </w:pPr>
    </w:p>
    <w:p w14:paraId="0DC2C202" w14:textId="77777777" w:rsidR="00750FC7" w:rsidRPr="005432E1" w:rsidRDefault="00766332" w:rsidP="00750FC7">
      <w:pPr>
        <w:jc w:val="both"/>
        <w:rPr>
          <w:rFonts w:asciiTheme="minorHAnsi" w:hAnsiTheme="minorHAnsi"/>
          <w:b/>
          <w:bCs/>
        </w:rPr>
      </w:pPr>
      <w:r w:rsidRPr="005432E1">
        <w:rPr>
          <w:rFonts w:asciiTheme="minorHAnsi" w:hAnsiTheme="minorHAnsi"/>
          <w:b/>
          <w:bCs/>
        </w:rPr>
        <w:t>Tema 09</w:t>
      </w:r>
      <w:r w:rsidR="00750FC7" w:rsidRPr="005432E1">
        <w:rPr>
          <w:rFonts w:asciiTheme="minorHAnsi" w:hAnsiTheme="minorHAnsi"/>
          <w:b/>
          <w:bCs/>
        </w:rPr>
        <w:t>: PIS sobre locação de bens imóveis</w:t>
      </w:r>
    </w:p>
    <w:p w14:paraId="03997C87" w14:textId="77777777" w:rsidR="00750FC7" w:rsidRPr="005432E1" w:rsidRDefault="00750FC7" w:rsidP="00750FC7">
      <w:pPr>
        <w:jc w:val="both"/>
        <w:rPr>
          <w:rFonts w:asciiTheme="minorHAnsi" w:hAnsiTheme="minorHAnsi"/>
          <w:b/>
          <w:bCs/>
        </w:rPr>
      </w:pPr>
      <w:r w:rsidRPr="005432E1">
        <w:rPr>
          <w:rFonts w:asciiTheme="minorHAnsi" w:hAnsiTheme="minorHAnsi"/>
          <w:b/>
          <w:bCs/>
        </w:rPr>
        <w:t xml:space="preserve">Autor: </w:t>
      </w:r>
      <w:r w:rsidRPr="005432E1">
        <w:rPr>
          <w:rFonts w:asciiTheme="minorHAnsi" w:hAnsiTheme="minorHAnsi"/>
          <w:bCs/>
        </w:rPr>
        <w:t>União</w:t>
      </w:r>
    </w:p>
    <w:p w14:paraId="324B0A8E" w14:textId="77777777" w:rsidR="00750FC7" w:rsidRPr="005432E1" w:rsidRDefault="00750FC7" w:rsidP="00750FC7">
      <w:pPr>
        <w:jc w:val="both"/>
        <w:rPr>
          <w:rFonts w:asciiTheme="minorHAnsi" w:hAnsiTheme="minorHAnsi"/>
          <w:b/>
          <w:bCs/>
        </w:rPr>
      </w:pPr>
      <w:r w:rsidRPr="005432E1">
        <w:rPr>
          <w:rFonts w:asciiTheme="minorHAnsi" w:hAnsiTheme="minorHAnsi"/>
          <w:b/>
          <w:bCs/>
        </w:rPr>
        <w:t>Passivo Contingente</w:t>
      </w:r>
    </w:p>
    <w:p w14:paraId="03E0B651" w14:textId="77777777" w:rsidR="00750FC7" w:rsidRPr="005432E1" w:rsidRDefault="00750FC7" w:rsidP="00750FC7">
      <w:pPr>
        <w:jc w:val="both"/>
        <w:rPr>
          <w:rFonts w:asciiTheme="minorHAnsi" w:hAnsiTheme="minorHAnsi"/>
          <w:bCs/>
        </w:rPr>
      </w:pPr>
      <w:r w:rsidRPr="005432E1">
        <w:rPr>
          <w:rFonts w:asciiTheme="minorHAnsi" w:hAnsiTheme="minorHAnsi"/>
          <w:b/>
          <w:bCs/>
        </w:rPr>
        <w:t xml:space="preserve">Risco: </w:t>
      </w:r>
      <w:r w:rsidRPr="005432E1">
        <w:rPr>
          <w:rFonts w:asciiTheme="minorHAnsi" w:hAnsiTheme="minorHAnsi"/>
          <w:bCs/>
        </w:rPr>
        <w:t>Possível - artigo 3º, II, “e”.</w:t>
      </w:r>
    </w:p>
    <w:p w14:paraId="5EBEF4E6" w14:textId="77777777" w:rsidR="00750FC7" w:rsidRPr="005432E1" w:rsidRDefault="00750FC7" w:rsidP="00750FC7">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incidência de PIS sobre as receitas decorrentes da locação de bens imóveis, inclusive no que se refere às empresas que alugam imóveis esporádica ou eventualmente</w:t>
      </w:r>
      <w:r w:rsidRPr="005432E1">
        <w:rPr>
          <w:rFonts w:asciiTheme="minorHAnsi" w:hAnsiTheme="minorHAnsi"/>
          <w:b/>
          <w:bCs/>
        </w:rPr>
        <w:t>.</w:t>
      </w:r>
    </w:p>
    <w:p w14:paraId="5EC61397" w14:textId="77777777" w:rsidR="00750FC7" w:rsidRPr="005432E1" w:rsidRDefault="00750FC7" w:rsidP="00750FC7">
      <w:pPr>
        <w:jc w:val="both"/>
        <w:rPr>
          <w:rFonts w:asciiTheme="minorHAnsi" w:hAnsiTheme="minorHAnsi"/>
          <w:b/>
          <w:bCs/>
        </w:rPr>
      </w:pPr>
      <w:r w:rsidRPr="005432E1">
        <w:rPr>
          <w:rFonts w:asciiTheme="minorHAnsi" w:hAnsiTheme="minorHAnsi"/>
          <w:b/>
          <w:bCs/>
        </w:rPr>
        <w:t>Instância Atual</w:t>
      </w:r>
      <w:r w:rsidRPr="005432E1">
        <w:rPr>
          <w:rFonts w:asciiTheme="minorHAnsi" w:hAnsiTheme="minorHAnsi"/>
          <w:bCs/>
        </w:rPr>
        <w:t>: STF</w:t>
      </w:r>
    </w:p>
    <w:p w14:paraId="6FEA613E" w14:textId="77777777" w:rsidR="00D256A6" w:rsidRPr="005432E1" w:rsidRDefault="00750FC7" w:rsidP="00750FC7">
      <w:pPr>
        <w:jc w:val="both"/>
        <w:rPr>
          <w:rFonts w:asciiTheme="minorHAnsi" w:hAnsiTheme="minorHAnsi"/>
          <w:b/>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para 2014: R$ 798 milhões e entre 2010 e 2014: R$ 3,4 bilhões.</w:t>
      </w:r>
    </w:p>
    <w:p w14:paraId="0DA17C1E" w14:textId="77777777" w:rsidR="00D256A6" w:rsidRPr="005432E1" w:rsidRDefault="00D256A6" w:rsidP="006F4AC5">
      <w:pPr>
        <w:jc w:val="both"/>
        <w:rPr>
          <w:rFonts w:asciiTheme="minorHAnsi" w:hAnsiTheme="minorHAnsi"/>
          <w:b/>
          <w:bCs/>
        </w:rPr>
      </w:pPr>
    </w:p>
    <w:p w14:paraId="0723304B" w14:textId="77777777" w:rsidR="00750FC7" w:rsidRPr="005432E1" w:rsidRDefault="00766332" w:rsidP="00750FC7">
      <w:pPr>
        <w:jc w:val="both"/>
        <w:rPr>
          <w:rFonts w:asciiTheme="minorHAnsi" w:hAnsiTheme="minorHAnsi"/>
          <w:b/>
          <w:bCs/>
        </w:rPr>
      </w:pPr>
      <w:r w:rsidRPr="005432E1">
        <w:rPr>
          <w:rFonts w:asciiTheme="minorHAnsi" w:hAnsiTheme="minorHAnsi"/>
          <w:b/>
          <w:bCs/>
        </w:rPr>
        <w:t>Tema 10</w:t>
      </w:r>
      <w:r w:rsidR="00750FC7" w:rsidRPr="005432E1">
        <w:rPr>
          <w:rFonts w:asciiTheme="minorHAnsi" w:hAnsiTheme="minorHAnsi"/>
          <w:b/>
          <w:bCs/>
        </w:rPr>
        <w:t>: Majoração de alíquota da COFINS para instituições financeiras</w:t>
      </w:r>
    </w:p>
    <w:p w14:paraId="6C0052DC" w14:textId="77777777" w:rsidR="00750FC7" w:rsidRPr="005432E1" w:rsidRDefault="00750FC7" w:rsidP="00750FC7">
      <w:pPr>
        <w:jc w:val="both"/>
        <w:rPr>
          <w:rFonts w:asciiTheme="minorHAnsi" w:hAnsiTheme="minorHAnsi"/>
          <w:bCs/>
        </w:rPr>
      </w:pPr>
      <w:r w:rsidRPr="005432E1">
        <w:rPr>
          <w:rFonts w:asciiTheme="minorHAnsi" w:hAnsiTheme="minorHAnsi"/>
          <w:b/>
          <w:bCs/>
        </w:rPr>
        <w:t xml:space="preserve">Ré: </w:t>
      </w:r>
      <w:r w:rsidRPr="005432E1">
        <w:rPr>
          <w:rFonts w:asciiTheme="minorHAnsi" w:hAnsiTheme="minorHAnsi"/>
          <w:bCs/>
        </w:rPr>
        <w:t>União</w:t>
      </w:r>
    </w:p>
    <w:p w14:paraId="6377A2CD" w14:textId="77777777" w:rsidR="00750FC7" w:rsidRPr="005432E1" w:rsidRDefault="00750FC7" w:rsidP="00750FC7">
      <w:pPr>
        <w:jc w:val="both"/>
        <w:rPr>
          <w:rFonts w:asciiTheme="minorHAnsi" w:hAnsiTheme="minorHAnsi"/>
          <w:b/>
          <w:bCs/>
        </w:rPr>
      </w:pPr>
      <w:r w:rsidRPr="005432E1">
        <w:rPr>
          <w:rFonts w:asciiTheme="minorHAnsi" w:hAnsiTheme="minorHAnsi"/>
          <w:b/>
          <w:bCs/>
        </w:rPr>
        <w:t>Passivo Contingente</w:t>
      </w:r>
    </w:p>
    <w:p w14:paraId="7FAD8D6D" w14:textId="77777777" w:rsidR="00750FC7" w:rsidRPr="005432E1" w:rsidRDefault="00750FC7" w:rsidP="00750FC7">
      <w:pPr>
        <w:jc w:val="both"/>
        <w:rPr>
          <w:rFonts w:asciiTheme="minorHAnsi" w:hAnsiTheme="minorHAnsi"/>
          <w:bCs/>
        </w:rPr>
      </w:pPr>
      <w:r w:rsidRPr="005432E1">
        <w:rPr>
          <w:rFonts w:asciiTheme="minorHAnsi" w:hAnsiTheme="minorHAnsi"/>
          <w:b/>
          <w:bCs/>
        </w:rPr>
        <w:t xml:space="preserve">Risco: </w:t>
      </w:r>
      <w:r w:rsidRPr="005432E1">
        <w:rPr>
          <w:rFonts w:asciiTheme="minorHAnsi" w:hAnsiTheme="minorHAnsi"/>
          <w:bCs/>
        </w:rPr>
        <w:t>Possível - artigo 3º, II, c/c §2º. Justificativa: Por orientação da Secretaria do Tesouro Nacional enquadramos esse caso no §2º do Art. 3º da Portaria AGU n.º 40/2015, em razão dos valores envolvidos. Julgamento já iniciado com vitória parcial para a União.</w:t>
      </w:r>
    </w:p>
    <w:p w14:paraId="40179193" w14:textId="77777777" w:rsidR="00750FC7" w:rsidRPr="005432E1" w:rsidRDefault="00750FC7" w:rsidP="00750FC7">
      <w:pPr>
        <w:jc w:val="both"/>
        <w:rPr>
          <w:rFonts w:asciiTheme="minorHAnsi" w:hAnsiTheme="minorHAnsi"/>
          <w:bCs/>
        </w:rPr>
      </w:pPr>
      <w:r w:rsidRPr="005432E1">
        <w:rPr>
          <w:rFonts w:asciiTheme="minorHAnsi" w:hAnsiTheme="minorHAnsi"/>
          <w:b/>
          <w:bCs/>
        </w:rPr>
        <w:t xml:space="preserve">Objeto: </w:t>
      </w:r>
      <w:r w:rsidRPr="005432E1">
        <w:rPr>
          <w:rFonts w:asciiTheme="minorHAnsi" w:hAnsiTheme="minorHAnsi"/>
          <w:bCs/>
        </w:rPr>
        <w:t>discussão sobre a Majoração de alíquota da COFINS para instituição financeira, prevista no Art. 18 da Lei n.º 10.684/03.</w:t>
      </w:r>
    </w:p>
    <w:p w14:paraId="63387B5C" w14:textId="77777777" w:rsidR="00750FC7" w:rsidRPr="005432E1" w:rsidRDefault="00750FC7" w:rsidP="00750FC7">
      <w:pPr>
        <w:jc w:val="both"/>
        <w:rPr>
          <w:rFonts w:asciiTheme="minorHAnsi" w:hAnsiTheme="minorHAnsi"/>
          <w:b/>
          <w:bCs/>
        </w:rPr>
      </w:pPr>
      <w:r w:rsidRPr="005432E1">
        <w:rPr>
          <w:rFonts w:asciiTheme="minorHAnsi" w:hAnsiTheme="minorHAnsi"/>
          <w:b/>
          <w:bCs/>
        </w:rPr>
        <w:t>Instância Atual</w:t>
      </w:r>
      <w:r w:rsidRPr="005432E1">
        <w:rPr>
          <w:rFonts w:asciiTheme="minorHAnsi" w:hAnsiTheme="minorHAnsi"/>
          <w:bCs/>
        </w:rPr>
        <w:t>: STF</w:t>
      </w:r>
    </w:p>
    <w:p w14:paraId="08E152CA" w14:textId="77777777" w:rsidR="00D256A6" w:rsidRPr="005432E1" w:rsidRDefault="00750FC7" w:rsidP="00750FC7">
      <w:pPr>
        <w:jc w:val="both"/>
        <w:rPr>
          <w:rFonts w:asciiTheme="minorHAnsi" w:hAnsiTheme="minorHAnsi"/>
          <w:b/>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para 2014 o valor é de R$ 4,8 bilhões e para 2010 a 2014 é de R$ 22,4 bilhões.</w:t>
      </w:r>
    </w:p>
    <w:p w14:paraId="4731C51B" w14:textId="77777777" w:rsidR="00D256A6" w:rsidRPr="005432E1" w:rsidRDefault="00D256A6" w:rsidP="006F4AC5">
      <w:pPr>
        <w:jc w:val="both"/>
        <w:rPr>
          <w:rFonts w:asciiTheme="minorHAnsi" w:hAnsiTheme="minorHAnsi"/>
          <w:b/>
          <w:bCs/>
        </w:rPr>
      </w:pPr>
    </w:p>
    <w:p w14:paraId="5B637FB6" w14:textId="77777777" w:rsidR="007C1CAC" w:rsidRPr="005432E1" w:rsidRDefault="00766332" w:rsidP="007C1CAC">
      <w:pPr>
        <w:jc w:val="both"/>
        <w:rPr>
          <w:rFonts w:asciiTheme="minorHAnsi" w:hAnsiTheme="minorHAnsi"/>
          <w:b/>
          <w:bCs/>
        </w:rPr>
      </w:pPr>
      <w:r w:rsidRPr="005432E1">
        <w:rPr>
          <w:rFonts w:asciiTheme="minorHAnsi" w:hAnsiTheme="minorHAnsi"/>
          <w:b/>
          <w:bCs/>
        </w:rPr>
        <w:t>Tema 11</w:t>
      </w:r>
      <w:r w:rsidR="007C1CAC" w:rsidRPr="005432E1">
        <w:rPr>
          <w:rFonts w:asciiTheme="minorHAnsi" w:hAnsiTheme="minorHAnsi"/>
          <w:b/>
          <w:bCs/>
        </w:rPr>
        <w:t>: PIS/COFINS e CSLL sobre atos cooperativos</w:t>
      </w:r>
    </w:p>
    <w:p w14:paraId="13276055" w14:textId="77777777" w:rsidR="007C1CAC" w:rsidRPr="005432E1" w:rsidRDefault="007C1CAC" w:rsidP="007C1CAC">
      <w:pPr>
        <w:jc w:val="both"/>
        <w:rPr>
          <w:rFonts w:asciiTheme="minorHAnsi" w:hAnsiTheme="minorHAnsi"/>
          <w:b/>
          <w:bCs/>
        </w:rPr>
      </w:pPr>
      <w:r w:rsidRPr="005432E1">
        <w:rPr>
          <w:rFonts w:asciiTheme="minorHAnsi" w:hAnsiTheme="minorHAnsi"/>
          <w:b/>
          <w:bCs/>
        </w:rPr>
        <w:t xml:space="preserve">Autor: </w:t>
      </w:r>
      <w:r w:rsidRPr="005432E1">
        <w:rPr>
          <w:rFonts w:asciiTheme="minorHAnsi" w:hAnsiTheme="minorHAnsi"/>
          <w:bCs/>
        </w:rPr>
        <w:t>União</w:t>
      </w:r>
    </w:p>
    <w:p w14:paraId="68A74FFA" w14:textId="77777777" w:rsidR="007C1CAC" w:rsidRPr="005432E1" w:rsidRDefault="007C1CAC" w:rsidP="007C1CAC">
      <w:pPr>
        <w:jc w:val="both"/>
        <w:rPr>
          <w:rFonts w:asciiTheme="minorHAnsi" w:hAnsiTheme="minorHAnsi"/>
          <w:b/>
          <w:bCs/>
        </w:rPr>
      </w:pPr>
      <w:r w:rsidRPr="005432E1">
        <w:rPr>
          <w:rFonts w:asciiTheme="minorHAnsi" w:hAnsiTheme="minorHAnsi"/>
          <w:b/>
          <w:bCs/>
        </w:rPr>
        <w:t>Passivo Contingente</w:t>
      </w:r>
    </w:p>
    <w:p w14:paraId="75B42560" w14:textId="77777777" w:rsidR="007C1CAC" w:rsidRPr="005432E1" w:rsidRDefault="007C1CAC" w:rsidP="007C1CAC">
      <w:pPr>
        <w:jc w:val="both"/>
        <w:rPr>
          <w:rFonts w:asciiTheme="minorHAnsi" w:hAnsiTheme="minorHAnsi"/>
          <w:b/>
          <w:bCs/>
        </w:rPr>
      </w:pPr>
      <w:r w:rsidRPr="005432E1">
        <w:rPr>
          <w:rFonts w:asciiTheme="minorHAnsi" w:hAnsiTheme="minorHAnsi"/>
          <w:b/>
          <w:bCs/>
        </w:rPr>
        <w:t>Risco</w:t>
      </w:r>
      <w:r w:rsidRPr="005432E1">
        <w:rPr>
          <w:rFonts w:asciiTheme="minorHAnsi" w:hAnsiTheme="minorHAnsi"/>
          <w:bCs/>
        </w:rPr>
        <w:t>: Possível - artigo 3º, II, e.</w:t>
      </w:r>
    </w:p>
    <w:p w14:paraId="1B0AC1DF" w14:textId="77777777" w:rsidR="008351DA" w:rsidRPr="005432E1" w:rsidRDefault="007C1CAC" w:rsidP="007C1CAC">
      <w:pPr>
        <w:jc w:val="both"/>
        <w:rPr>
          <w:rFonts w:asciiTheme="minorHAnsi" w:hAnsiTheme="minorHAnsi"/>
          <w:bCs/>
        </w:rPr>
      </w:pPr>
      <w:r w:rsidRPr="005432E1">
        <w:rPr>
          <w:rFonts w:asciiTheme="minorHAnsi" w:hAnsiTheme="minorHAnsi"/>
          <w:b/>
          <w:bCs/>
        </w:rPr>
        <w:t xml:space="preserve">Objeto: </w:t>
      </w:r>
      <w:r w:rsidRPr="005432E1">
        <w:rPr>
          <w:rFonts w:asciiTheme="minorHAnsi" w:hAnsiTheme="minorHAnsi"/>
          <w:bCs/>
        </w:rPr>
        <w:t>discussão sobre a incidência do PIS, COFINS e CSLL sobre os valores resultantes dos atos cooperativos próprios das sociedades cooperativas.</w:t>
      </w:r>
    </w:p>
    <w:p w14:paraId="06BC545E" w14:textId="77777777" w:rsidR="007C1CAC" w:rsidRPr="005432E1" w:rsidRDefault="007C1CAC" w:rsidP="007C1CAC">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01FD5126" w14:textId="77777777" w:rsidR="008351DA" w:rsidRPr="005432E1" w:rsidRDefault="007C1CAC" w:rsidP="007C1CAC">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p/ a CSLL em 2014 o valor é de R$ 220 milhões (2014) e para 5 anos é de R$ 1 bilhão. Para o PIS/COFINS consideradas as cooperativas financeiras em 2014 o valor é de R$ 1,2 bilhões e para 05 anos é de R$ 6,7 bilhões; para todas as cooperativas em 2014 o valor é de R$ 13,5 bilhões e para 05 anos é de R$ 64,9 bilhões.</w:t>
      </w:r>
    </w:p>
    <w:p w14:paraId="6E1EDEB7" w14:textId="77777777" w:rsidR="007C1CAC" w:rsidRPr="005432E1" w:rsidRDefault="007C1CAC" w:rsidP="007C1CAC">
      <w:pPr>
        <w:jc w:val="both"/>
        <w:rPr>
          <w:rFonts w:asciiTheme="minorHAnsi" w:hAnsiTheme="minorHAnsi"/>
          <w:b/>
          <w:bCs/>
        </w:rPr>
      </w:pPr>
    </w:p>
    <w:p w14:paraId="3153105D" w14:textId="77777777" w:rsidR="00A049A2" w:rsidRPr="005432E1" w:rsidRDefault="00766332" w:rsidP="00A049A2">
      <w:pPr>
        <w:jc w:val="both"/>
        <w:rPr>
          <w:rFonts w:asciiTheme="minorHAnsi" w:hAnsiTheme="minorHAnsi"/>
          <w:b/>
          <w:bCs/>
        </w:rPr>
      </w:pPr>
      <w:r w:rsidRPr="005432E1">
        <w:rPr>
          <w:rFonts w:asciiTheme="minorHAnsi" w:hAnsiTheme="minorHAnsi"/>
          <w:b/>
          <w:bCs/>
        </w:rPr>
        <w:t>Tema 12</w:t>
      </w:r>
      <w:r w:rsidR="00A049A2" w:rsidRPr="005432E1">
        <w:rPr>
          <w:rFonts w:asciiTheme="minorHAnsi" w:hAnsiTheme="minorHAnsi"/>
          <w:b/>
          <w:bCs/>
        </w:rPr>
        <w:t>: Contribuição previdenciária sobre o salário maternidade</w:t>
      </w:r>
    </w:p>
    <w:p w14:paraId="5AA79055" w14:textId="77777777" w:rsidR="00A049A2" w:rsidRPr="005432E1" w:rsidRDefault="00A049A2" w:rsidP="00A049A2">
      <w:pPr>
        <w:jc w:val="both"/>
        <w:rPr>
          <w:rFonts w:asciiTheme="minorHAnsi" w:hAnsiTheme="minorHAnsi"/>
          <w:b/>
          <w:bCs/>
        </w:rPr>
      </w:pPr>
      <w:r w:rsidRPr="005432E1">
        <w:rPr>
          <w:rFonts w:asciiTheme="minorHAnsi" w:hAnsiTheme="minorHAnsi"/>
          <w:b/>
          <w:bCs/>
        </w:rPr>
        <w:t>Ré</w:t>
      </w:r>
      <w:r w:rsidRPr="005432E1">
        <w:rPr>
          <w:rFonts w:asciiTheme="minorHAnsi" w:hAnsiTheme="minorHAnsi"/>
          <w:bCs/>
        </w:rPr>
        <w:t>: União</w:t>
      </w:r>
    </w:p>
    <w:p w14:paraId="6958F0D5" w14:textId="77777777" w:rsidR="00A049A2" w:rsidRPr="005432E1" w:rsidRDefault="00A049A2" w:rsidP="00A049A2">
      <w:pPr>
        <w:jc w:val="both"/>
        <w:rPr>
          <w:rFonts w:asciiTheme="minorHAnsi" w:hAnsiTheme="minorHAnsi"/>
          <w:b/>
          <w:bCs/>
        </w:rPr>
      </w:pPr>
      <w:r w:rsidRPr="005432E1">
        <w:rPr>
          <w:rFonts w:asciiTheme="minorHAnsi" w:hAnsiTheme="minorHAnsi"/>
          <w:b/>
          <w:bCs/>
        </w:rPr>
        <w:t>Passivo Contingente</w:t>
      </w:r>
    </w:p>
    <w:p w14:paraId="141C010F"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11616296"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incidência contribuição previdenciária a cargo do empregador sobre os valores pagos a suas empregadas a título de salário-maternidade.</w:t>
      </w:r>
    </w:p>
    <w:p w14:paraId="600FC891" w14:textId="77777777" w:rsidR="00A049A2" w:rsidRPr="005432E1" w:rsidRDefault="00A049A2" w:rsidP="00A049A2">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STF</w:t>
      </w:r>
    </w:p>
    <w:p w14:paraId="588E45BB"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para 2014: R$ 890 milhões e entre 2010 e 2014: R$ 4,1 bilhões.</w:t>
      </w:r>
    </w:p>
    <w:p w14:paraId="6515F5B7" w14:textId="77777777" w:rsidR="00A049A2" w:rsidRPr="005432E1" w:rsidRDefault="00A049A2" w:rsidP="006F4AC5">
      <w:pPr>
        <w:jc w:val="both"/>
        <w:rPr>
          <w:rFonts w:asciiTheme="minorHAnsi" w:hAnsiTheme="minorHAnsi"/>
          <w:b/>
          <w:bCs/>
        </w:rPr>
      </w:pPr>
    </w:p>
    <w:p w14:paraId="16806512" w14:textId="77777777" w:rsidR="00A049A2" w:rsidRPr="005432E1" w:rsidRDefault="00766332" w:rsidP="00A049A2">
      <w:pPr>
        <w:jc w:val="both"/>
        <w:rPr>
          <w:rFonts w:asciiTheme="minorHAnsi" w:hAnsiTheme="minorHAnsi"/>
          <w:b/>
          <w:bCs/>
        </w:rPr>
      </w:pPr>
      <w:r w:rsidRPr="005432E1">
        <w:rPr>
          <w:rFonts w:asciiTheme="minorHAnsi" w:hAnsiTheme="minorHAnsi"/>
          <w:b/>
          <w:bCs/>
        </w:rPr>
        <w:t>Tema 13</w:t>
      </w:r>
      <w:r w:rsidR="00A049A2" w:rsidRPr="005432E1">
        <w:rPr>
          <w:rFonts w:asciiTheme="minorHAnsi" w:hAnsiTheme="minorHAnsi"/>
          <w:b/>
          <w:bCs/>
        </w:rPr>
        <w:t>: Contribuições para o SEBRAE, APEX, ABDI e INCRA.</w:t>
      </w:r>
    </w:p>
    <w:p w14:paraId="56B2131E"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Ré: </w:t>
      </w:r>
      <w:r w:rsidRPr="005432E1">
        <w:rPr>
          <w:rFonts w:asciiTheme="minorHAnsi" w:hAnsiTheme="minorHAnsi"/>
          <w:bCs/>
        </w:rPr>
        <w:t>União</w:t>
      </w:r>
    </w:p>
    <w:p w14:paraId="08944CDB" w14:textId="77777777" w:rsidR="00A049A2" w:rsidRPr="005432E1" w:rsidRDefault="00A049A2" w:rsidP="00A049A2">
      <w:pPr>
        <w:jc w:val="both"/>
        <w:rPr>
          <w:rFonts w:asciiTheme="minorHAnsi" w:hAnsiTheme="minorHAnsi"/>
          <w:b/>
          <w:bCs/>
        </w:rPr>
      </w:pPr>
      <w:r w:rsidRPr="005432E1">
        <w:rPr>
          <w:rFonts w:asciiTheme="minorHAnsi" w:hAnsiTheme="minorHAnsi"/>
          <w:b/>
          <w:bCs/>
        </w:rPr>
        <w:t>Passivo Contingente</w:t>
      </w:r>
    </w:p>
    <w:p w14:paraId="3C5510B3"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266E8423"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constitucionalidade das contribuições de intervenção no domínio econômico (CIDEs) pagas ao SEBRAE, APEX, ABDI e INCRA.</w:t>
      </w:r>
    </w:p>
    <w:p w14:paraId="78CFF5C6"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5D149C92" w14:textId="77777777" w:rsidR="00A049A2" w:rsidRPr="005432E1" w:rsidRDefault="00A049A2" w:rsidP="00A049A2">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entre 2012 e 2016, para SEBRAE, APEX e ABDI: R$ 18,8 bilhões; para o INCRA: R$ 7,4 bilhões.</w:t>
      </w:r>
    </w:p>
    <w:p w14:paraId="7AC77FC0" w14:textId="77777777" w:rsidR="00A049A2" w:rsidRPr="005432E1" w:rsidRDefault="00A049A2" w:rsidP="00A049A2">
      <w:pPr>
        <w:jc w:val="both"/>
        <w:rPr>
          <w:rFonts w:asciiTheme="minorHAnsi" w:hAnsiTheme="minorHAnsi"/>
          <w:b/>
          <w:bCs/>
        </w:rPr>
      </w:pPr>
    </w:p>
    <w:p w14:paraId="6F555679" w14:textId="77777777" w:rsidR="00A32123" w:rsidRPr="005432E1" w:rsidRDefault="00A32123" w:rsidP="00A049A2">
      <w:pPr>
        <w:jc w:val="both"/>
        <w:rPr>
          <w:rFonts w:asciiTheme="minorHAnsi" w:hAnsiTheme="minorHAnsi"/>
          <w:b/>
          <w:bCs/>
        </w:rPr>
      </w:pPr>
    </w:p>
    <w:p w14:paraId="527CEC79" w14:textId="77777777" w:rsidR="00A049A2" w:rsidRPr="005432E1" w:rsidRDefault="00766332" w:rsidP="00A049A2">
      <w:pPr>
        <w:jc w:val="both"/>
        <w:rPr>
          <w:rFonts w:asciiTheme="minorHAnsi" w:hAnsiTheme="minorHAnsi"/>
          <w:b/>
          <w:bCs/>
        </w:rPr>
      </w:pPr>
      <w:r w:rsidRPr="005432E1">
        <w:rPr>
          <w:rFonts w:asciiTheme="minorHAnsi" w:hAnsiTheme="minorHAnsi"/>
          <w:b/>
          <w:bCs/>
        </w:rPr>
        <w:t>Tema 14</w:t>
      </w:r>
      <w:r w:rsidR="00A049A2" w:rsidRPr="005432E1">
        <w:rPr>
          <w:rFonts w:asciiTheme="minorHAnsi" w:hAnsiTheme="minorHAnsi"/>
          <w:b/>
          <w:bCs/>
        </w:rPr>
        <w:t>: Contribuição ao SENAR</w:t>
      </w:r>
    </w:p>
    <w:p w14:paraId="1D88C463" w14:textId="77777777" w:rsidR="00A049A2" w:rsidRPr="005432E1" w:rsidRDefault="00A049A2" w:rsidP="00A049A2">
      <w:pPr>
        <w:jc w:val="both"/>
        <w:rPr>
          <w:rFonts w:asciiTheme="minorHAnsi" w:hAnsiTheme="minorHAnsi"/>
          <w:bCs/>
        </w:rPr>
      </w:pPr>
      <w:r w:rsidRPr="005432E1">
        <w:rPr>
          <w:rFonts w:asciiTheme="minorHAnsi" w:hAnsiTheme="minorHAnsi"/>
          <w:b/>
          <w:bCs/>
        </w:rPr>
        <w:t xml:space="preserve">Ré: </w:t>
      </w:r>
      <w:r w:rsidRPr="005432E1">
        <w:rPr>
          <w:rFonts w:asciiTheme="minorHAnsi" w:hAnsiTheme="minorHAnsi"/>
          <w:bCs/>
        </w:rPr>
        <w:t>União</w:t>
      </w:r>
    </w:p>
    <w:p w14:paraId="22E2C90E" w14:textId="77777777" w:rsidR="00A049A2" w:rsidRPr="005432E1" w:rsidRDefault="00A049A2" w:rsidP="00A049A2">
      <w:pPr>
        <w:jc w:val="both"/>
        <w:rPr>
          <w:rFonts w:asciiTheme="minorHAnsi" w:hAnsiTheme="minorHAnsi"/>
          <w:b/>
          <w:bCs/>
        </w:rPr>
      </w:pPr>
      <w:r w:rsidRPr="005432E1">
        <w:rPr>
          <w:rFonts w:asciiTheme="minorHAnsi" w:hAnsiTheme="minorHAnsi"/>
          <w:b/>
          <w:bCs/>
        </w:rPr>
        <w:t>Passivo Contingente</w:t>
      </w:r>
    </w:p>
    <w:p w14:paraId="7147F5AD"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70A8D4A6"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constitucionalidade da incidência da contribuição destinada ao SENAR sobre a receita bruta proveniente da comercialização da produção rural, nos termos do art. 2º da Lei 8.540/1992, com as alterações posteriores do art. 6º da Lei 9.528/1997 e do art. 3º da Lei 10.256/2001.</w:t>
      </w:r>
    </w:p>
    <w:p w14:paraId="17F2C63D" w14:textId="77777777" w:rsidR="00A049A2" w:rsidRPr="005432E1" w:rsidRDefault="00A049A2" w:rsidP="00A049A2">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57ABD538" w14:textId="77777777" w:rsidR="00A049A2" w:rsidRPr="005432E1" w:rsidRDefault="00A049A2" w:rsidP="00A049A2">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em 2015: R$ 584 milhões e de 2011 a 2015: R$ 2,6 bilhões.</w:t>
      </w:r>
    </w:p>
    <w:p w14:paraId="761FB4FC" w14:textId="77777777" w:rsidR="0007716F" w:rsidRPr="005432E1" w:rsidRDefault="0007716F" w:rsidP="00A049A2">
      <w:pPr>
        <w:jc w:val="both"/>
        <w:rPr>
          <w:rFonts w:asciiTheme="minorHAnsi" w:hAnsiTheme="minorHAnsi"/>
          <w:sz w:val="26"/>
          <w:szCs w:val="26"/>
        </w:rPr>
      </w:pPr>
    </w:p>
    <w:p w14:paraId="396F1A1D" w14:textId="77777777" w:rsidR="00E730F1" w:rsidRPr="005432E1" w:rsidRDefault="00D405F8" w:rsidP="00A049A2">
      <w:pPr>
        <w:jc w:val="both"/>
        <w:rPr>
          <w:rFonts w:asciiTheme="minorHAnsi" w:hAnsiTheme="minorHAnsi"/>
          <w:b/>
          <w:bCs/>
        </w:rPr>
      </w:pPr>
      <w:r w:rsidRPr="005432E1">
        <w:rPr>
          <w:rFonts w:asciiTheme="minorHAnsi" w:hAnsiTheme="minorHAnsi"/>
          <w:sz w:val="26"/>
          <w:szCs w:val="26"/>
        </w:rPr>
        <w:tab/>
        <w:t>Acrescentou-se</w:t>
      </w:r>
      <w:r w:rsidR="00E730F1" w:rsidRPr="005432E1">
        <w:rPr>
          <w:rFonts w:asciiTheme="minorHAnsi" w:hAnsiTheme="minorHAnsi"/>
          <w:sz w:val="26"/>
          <w:szCs w:val="26"/>
        </w:rPr>
        <w:t>, em relação às Notas anteriores, os seguintes feitos identificados</w:t>
      </w:r>
      <w:r w:rsidR="00E730F1" w:rsidRPr="005432E1">
        <w:rPr>
          <w:rFonts w:asciiTheme="minorHAnsi" w:hAnsiTheme="minorHAnsi"/>
          <w:sz w:val="26"/>
          <w:szCs w:val="26"/>
        </w:rPr>
        <w:br/>
        <w:t>posteriormente:</w:t>
      </w:r>
    </w:p>
    <w:p w14:paraId="76499A08" w14:textId="77777777" w:rsidR="00A049A2" w:rsidRPr="005432E1" w:rsidRDefault="00A049A2" w:rsidP="00A049A2">
      <w:pPr>
        <w:jc w:val="both"/>
        <w:rPr>
          <w:rFonts w:asciiTheme="minorHAnsi" w:hAnsiTheme="minorHAnsi"/>
          <w:b/>
          <w:bCs/>
        </w:rPr>
      </w:pPr>
    </w:p>
    <w:p w14:paraId="00A71A66" w14:textId="77777777" w:rsidR="00E730F1" w:rsidRPr="005432E1" w:rsidRDefault="00766332" w:rsidP="00E730F1">
      <w:pPr>
        <w:jc w:val="both"/>
        <w:rPr>
          <w:rFonts w:asciiTheme="minorHAnsi" w:hAnsiTheme="minorHAnsi"/>
          <w:b/>
          <w:bCs/>
        </w:rPr>
      </w:pPr>
      <w:r w:rsidRPr="005432E1">
        <w:rPr>
          <w:rFonts w:asciiTheme="minorHAnsi" w:hAnsiTheme="minorHAnsi"/>
          <w:b/>
          <w:bCs/>
        </w:rPr>
        <w:t>Tema 15</w:t>
      </w:r>
      <w:r w:rsidR="00E730F1" w:rsidRPr="005432E1">
        <w:rPr>
          <w:rFonts w:asciiTheme="minorHAnsi" w:hAnsiTheme="minorHAnsi"/>
          <w:b/>
          <w:bCs/>
        </w:rPr>
        <w:t>: Contribuição da Agroindústria</w:t>
      </w:r>
    </w:p>
    <w:p w14:paraId="25AC6757"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Ré: </w:t>
      </w:r>
      <w:r w:rsidRPr="005432E1">
        <w:rPr>
          <w:rFonts w:asciiTheme="minorHAnsi" w:hAnsiTheme="minorHAnsi"/>
          <w:bCs/>
        </w:rPr>
        <w:t>União</w:t>
      </w:r>
    </w:p>
    <w:p w14:paraId="6205357E" w14:textId="77777777" w:rsidR="00E730F1" w:rsidRPr="005432E1" w:rsidRDefault="00E730F1" w:rsidP="00E730F1">
      <w:pPr>
        <w:jc w:val="both"/>
        <w:rPr>
          <w:rFonts w:asciiTheme="minorHAnsi" w:hAnsiTheme="minorHAnsi"/>
          <w:b/>
          <w:bCs/>
        </w:rPr>
      </w:pPr>
      <w:r w:rsidRPr="005432E1">
        <w:rPr>
          <w:rFonts w:asciiTheme="minorHAnsi" w:hAnsiTheme="minorHAnsi"/>
          <w:b/>
          <w:bCs/>
        </w:rPr>
        <w:t>Passivo Contingente</w:t>
      </w:r>
    </w:p>
    <w:p w14:paraId="7CE213A6"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0818CCFB"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constitucionalidade da contribuição para a seguridade social a cargo das agroindústrias sobre a receita bruta prevista na Lei n.º 10.256/2001.</w:t>
      </w:r>
    </w:p>
    <w:p w14:paraId="3A7C6E75" w14:textId="77777777" w:rsidR="00E730F1" w:rsidRPr="005432E1" w:rsidRDefault="00E730F1" w:rsidP="00E730F1">
      <w:pPr>
        <w:jc w:val="both"/>
        <w:rPr>
          <w:rFonts w:asciiTheme="minorHAnsi" w:hAnsiTheme="minorHAnsi"/>
          <w:bCs/>
        </w:rPr>
      </w:pPr>
      <w:r w:rsidRPr="005432E1">
        <w:rPr>
          <w:rFonts w:asciiTheme="minorHAnsi" w:hAnsiTheme="minorHAnsi"/>
          <w:b/>
          <w:bCs/>
        </w:rPr>
        <w:t xml:space="preserve">Instância Atual: </w:t>
      </w:r>
      <w:r w:rsidRPr="005432E1">
        <w:rPr>
          <w:rFonts w:asciiTheme="minorHAnsi" w:hAnsiTheme="minorHAnsi"/>
          <w:bCs/>
        </w:rPr>
        <w:t>STF</w:t>
      </w:r>
    </w:p>
    <w:p w14:paraId="52A65DF6" w14:textId="77777777" w:rsidR="00E730F1" w:rsidRPr="005432E1" w:rsidRDefault="00E730F1" w:rsidP="00E730F1">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em 2017: R$ 19,8 bilhões (p/ 5 anos)</w:t>
      </w:r>
    </w:p>
    <w:p w14:paraId="536F8FF1" w14:textId="77777777" w:rsidR="00E730F1" w:rsidRPr="005432E1" w:rsidRDefault="00E730F1" w:rsidP="00A049A2">
      <w:pPr>
        <w:jc w:val="both"/>
        <w:rPr>
          <w:rFonts w:asciiTheme="minorHAnsi" w:hAnsiTheme="minorHAnsi"/>
          <w:b/>
          <w:bCs/>
        </w:rPr>
      </w:pPr>
    </w:p>
    <w:p w14:paraId="79F1E7C4"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Tema </w:t>
      </w:r>
      <w:r w:rsidR="00766332" w:rsidRPr="005432E1">
        <w:rPr>
          <w:rFonts w:asciiTheme="minorHAnsi" w:hAnsiTheme="minorHAnsi"/>
          <w:b/>
          <w:bCs/>
        </w:rPr>
        <w:t>16</w:t>
      </w:r>
      <w:r w:rsidRPr="005432E1">
        <w:rPr>
          <w:rFonts w:asciiTheme="minorHAnsi" w:hAnsiTheme="minorHAnsi"/>
          <w:b/>
          <w:bCs/>
        </w:rPr>
        <w:t>: Contribuição Previdenciária dos Segurados Especiais</w:t>
      </w:r>
    </w:p>
    <w:p w14:paraId="50553487"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Ré: </w:t>
      </w:r>
      <w:r w:rsidRPr="005432E1">
        <w:rPr>
          <w:rFonts w:asciiTheme="minorHAnsi" w:hAnsiTheme="minorHAnsi"/>
          <w:bCs/>
        </w:rPr>
        <w:t>União</w:t>
      </w:r>
    </w:p>
    <w:p w14:paraId="6FCCEF4A" w14:textId="77777777" w:rsidR="00E730F1" w:rsidRPr="005432E1" w:rsidRDefault="00E730F1" w:rsidP="00E730F1">
      <w:pPr>
        <w:jc w:val="both"/>
        <w:rPr>
          <w:rFonts w:asciiTheme="minorHAnsi" w:hAnsiTheme="minorHAnsi"/>
          <w:b/>
          <w:bCs/>
        </w:rPr>
      </w:pPr>
      <w:r w:rsidRPr="005432E1">
        <w:rPr>
          <w:rFonts w:asciiTheme="minorHAnsi" w:hAnsiTheme="minorHAnsi"/>
          <w:b/>
          <w:bCs/>
        </w:rPr>
        <w:t>Passivo Contingente</w:t>
      </w:r>
    </w:p>
    <w:p w14:paraId="2404D854"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68EBDE76"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discussão sobre a validade da contribuição a ser recolhida pelo produtor rural pessoa física que desempenha suas atividades em regime de economia familiar, sem empregados permanentes, sobre a receita bruta proveniente da comercialização de sua produção</w:t>
      </w:r>
    </w:p>
    <w:p w14:paraId="3BC24DCD" w14:textId="77777777" w:rsidR="00E730F1" w:rsidRPr="005432E1" w:rsidRDefault="00E730F1" w:rsidP="00E730F1">
      <w:pPr>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Estimativa de Impacto: conforme dados da Receita Federal do Brasil, R$</w:t>
      </w:r>
    </w:p>
    <w:p w14:paraId="282F91C2" w14:textId="77777777" w:rsidR="00E730F1" w:rsidRPr="005432E1" w:rsidRDefault="00E730F1" w:rsidP="00E730F1">
      <w:pPr>
        <w:jc w:val="both"/>
        <w:rPr>
          <w:rFonts w:asciiTheme="minorHAnsi" w:hAnsiTheme="minorHAnsi"/>
          <w:bCs/>
        </w:rPr>
      </w:pPr>
      <w:r w:rsidRPr="005432E1">
        <w:rPr>
          <w:rFonts w:asciiTheme="minorHAnsi" w:hAnsiTheme="minorHAnsi"/>
          <w:bCs/>
        </w:rPr>
        <w:t>12,98 bilhões nos últimos 5 anos (NOTA CETAD 154/2017).</w:t>
      </w:r>
    </w:p>
    <w:p w14:paraId="43F7829D" w14:textId="77777777" w:rsidR="00E730F1" w:rsidRPr="005432E1" w:rsidRDefault="00E730F1" w:rsidP="00A049A2">
      <w:pPr>
        <w:jc w:val="both"/>
        <w:rPr>
          <w:rFonts w:asciiTheme="minorHAnsi" w:hAnsiTheme="minorHAnsi"/>
          <w:b/>
          <w:bCs/>
        </w:rPr>
      </w:pPr>
    </w:p>
    <w:p w14:paraId="095A9149" w14:textId="77777777" w:rsidR="00E730F1" w:rsidRPr="005432E1" w:rsidRDefault="00E730F1" w:rsidP="00E730F1">
      <w:pPr>
        <w:jc w:val="both"/>
        <w:rPr>
          <w:rFonts w:asciiTheme="minorHAnsi" w:hAnsiTheme="minorHAnsi"/>
          <w:b/>
          <w:bCs/>
        </w:rPr>
      </w:pPr>
    </w:p>
    <w:p w14:paraId="72846599" w14:textId="77777777" w:rsidR="00E730F1" w:rsidRPr="005432E1" w:rsidRDefault="00E730F1" w:rsidP="00E730F1">
      <w:pPr>
        <w:jc w:val="both"/>
        <w:rPr>
          <w:rFonts w:asciiTheme="minorHAnsi" w:hAnsiTheme="minorHAnsi"/>
          <w:b/>
          <w:bCs/>
        </w:rPr>
      </w:pPr>
      <w:r w:rsidRPr="005432E1">
        <w:rPr>
          <w:rFonts w:asciiTheme="minorHAnsi" w:hAnsiTheme="minorHAnsi"/>
          <w:b/>
          <w:bCs/>
        </w:rPr>
        <w:t>Tema 1</w:t>
      </w:r>
      <w:r w:rsidR="00766332" w:rsidRPr="005432E1">
        <w:rPr>
          <w:rFonts w:asciiTheme="minorHAnsi" w:hAnsiTheme="minorHAnsi"/>
          <w:b/>
          <w:bCs/>
        </w:rPr>
        <w:t>7</w:t>
      </w:r>
      <w:r w:rsidRPr="005432E1">
        <w:rPr>
          <w:rFonts w:asciiTheme="minorHAnsi" w:hAnsiTheme="minorHAnsi"/>
          <w:b/>
          <w:bCs/>
        </w:rPr>
        <w:t>: Aumento da alíquota do PIS/COFINS por Decreto</w:t>
      </w:r>
    </w:p>
    <w:p w14:paraId="5C3A94BE"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Ré: </w:t>
      </w:r>
      <w:r w:rsidRPr="005432E1">
        <w:rPr>
          <w:rFonts w:asciiTheme="minorHAnsi" w:hAnsiTheme="minorHAnsi"/>
          <w:bCs/>
        </w:rPr>
        <w:t>União</w:t>
      </w:r>
    </w:p>
    <w:p w14:paraId="4E692818" w14:textId="77777777" w:rsidR="00E730F1" w:rsidRPr="005432E1" w:rsidRDefault="00E730F1" w:rsidP="00E730F1">
      <w:pPr>
        <w:jc w:val="both"/>
        <w:rPr>
          <w:rFonts w:asciiTheme="minorHAnsi" w:hAnsiTheme="minorHAnsi"/>
          <w:b/>
          <w:bCs/>
        </w:rPr>
      </w:pPr>
      <w:r w:rsidRPr="005432E1">
        <w:rPr>
          <w:rFonts w:asciiTheme="minorHAnsi" w:hAnsiTheme="minorHAnsi"/>
          <w:b/>
          <w:bCs/>
        </w:rPr>
        <w:t>Passivo Contingente</w:t>
      </w:r>
    </w:p>
    <w:p w14:paraId="33341037"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6F5ECC3E" w14:textId="77777777" w:rsidR="00E730F1" w:rsidRPr="005432E1" w:rsidRDefault="00E730F1" w:rsidP="00E730F1">
      <w:pPr>
        <w:jc w:val="both"/>
        <w:rPr>
          <w:rFonts w:asciiTheme="minorHAnsi" w:hAnsiTheme="minorHAnsi"/>
          <w:bCs/>
        </w:rPr>
      </w:pPr>
      <w:r w:rsidRPr="005432E1">
        <w:rPr>
          <w:rFonts w:asciiTheme="minorHAnsi" w:hAnsiTheme="minorHAnsi"/>
          <w:b/>
          <w:bCs/>
        </w:rPr>
        <w:t xml:space="preserve">Objeto: </w:t>
      </w:r>
      <w:r w:rsidRPr="005432E1">
        <w:rPr>
          <w:rFonts w:asciiTheme="minorHAnsi" w:hAnsiTheme="minorHAnsi"/>
          <w:bCs/>
        </w:rPr>
        <w:t>discussão sobre a possibilidade de as alíquotas da contribuição ao PIS e da COFINS serem reduzidas e restabelecidas por regulamento infralegal, nos termos do art. 27, § 2º, da Lei nº. 10.865/2004</w:t>
      </w:r>
    </w:p>
    <w:p w14:paraId="22CE648E"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STF</w:t>
      </w:r>
    </w:p>
    <w:p w14:paraId="62F46324" w14:textId="77777777" w:rsidR="00E730F1" w:rsidRPr="005432E1" w:rsidRDefault="00E730F1" w:rsidP="00E730F1">
      <w:pPr>
        <w:jc w:val="both"/>
        <w:rPr>
          <w:rFonts w:asciiTheme="minorHAnsi" w:hAnsiTheme="minorHAnsi"/>
          <w:bCs/>
        </w:rPr>
      </w:pPr>
      <w:r w:rsidRPr="005432E1">
        <w:rPr>
          <w:rFonts w:asciiTheme="minorHAnsi" w:hAnsiTheme="minorHAnsi"/>
          <w:b/>
          <w:bCs/>
        </w:rPr>
        <w:t>Estimativa de Impacto</w:t>
      </w:r>
      <w:r w:rsidRPr="005432E1">
        <w:rPr>
          <w:rFonts w:asciiTheme="minorHAnsi" w:hAnsiTheme="minorHAnsi"/>
          <w:bCs/>
        </w:rPr>
        <w:t>: conforme dados da Receita Federal do Brasil, R$ 8 bilhões ao ano e R$ 671 milhões por mês.</w:t>
      </w:r>
    </w:p>
    <w:p w14:paraId="548C47D3" w14:textId="77777777" w:rsidR="00E730F1" w:rsidRPr="005432E1" w:rsidRDefault="00E730F1" w:rsidP="00A049A2">
      <w:pPr>
        <w:jc w:val="both"/>
        <w:rPr>
          <w:rFonts w:asciiTheme="minorHAnsi" w:hAnsiTheme="minorHAnsi"/>
        </w:rPr>
      </w:pPr>
    </w:p>
    <w:p w14:paraId="24AC4B23" w14:textId="77777777" w:rsidR="00E730F1" w:rsidRPr="005432E1" w:rsidRDefault="00D405F8" w:rsidP="00A049A2">
      <w:pPr>
        <w:jc w:val="both"/>
        <w:rPr>
          <w:rFonts w:asciiTheme="minorHAnsi" w:hAnsiTheme="minorHAnsi"/>
          <w:b/>
          <w:bCs/>
        </w:rPr>
      </w:pPr>
      <w:r w:rsidRPr="005432E1">
        <w:rPr>
          <w:rFonts w:asciiTheme="minorHAnsi" w:hAnsiTheme="minorHAnsi"/>
        </w:rPr>
        <w:tab/>
        <w:t>Foi e</w:t>
      </w:r>
      <w:r w:rsidR="00E730F1" w:rsidRPr="005432E1">
        <w:rPr>
          <w:rFonts w:asciiTheme="minorHAnsi" w:hAnsiTheme="minorHAnsi"/>
        </w:rPr>
        <w:t>xclu</w:t>
      </w:r>
      <w:r w:rsidRPr="005432E1">
        <w:rPr>
          <w:rFonts w:asciiTheme="minorHAnsi" w:hAnsiTheme="minorHAnsi"/>
        </w:rPr>
        <w:t>ído</w:t>
      </w:r>
      <w:r w:rsidR="00E730F1" w:rsidRPr="005432E1">
        <w:rPr>
          <w:rFonts w:asciiTheme="minorHAnsi" w:hAnsiTheme="minorHAnsi"/>
        </w:rPr>
        <w:t>, em relação às Notas anteriores, o seguinte feito, por conter impacto inferior a R$ 1 bilhão:</w:t>
      </w:r>
    </w:p>
    <w:p w14:paraId="00CB3D42" w14:textId="77777777" w:rsidR="00E730F1" w:rsidRPr="005432E1" w:rsidRDefault="00E730F1" w:rsidP="00A049A2">
      <w:pPr>
        <w:jc w:val="both"/>
        <w:rPr>
          <w:rFonts w:asciiTheme="minorHAnsi" w:hAnsiTheme="minorHAnsi"/>
          <w:b/>
          <w:bCs/>
        </w:rPr>
      </w:pPr>
    </w:p>
    <w:p w14:paraId="0FF9C1A8" w14:textId="77777777" w:rsidR="00E730F1" w:rsidRPr="005432E1" w:rsidRDefault="00E730F1" w:rsidP="00E730F1">
      <w:pPr>
        <w:jc w:val="both"/>
        <w:rPr>
          <w:rFonts w:asciiTheme="minorHAnsi" w:hAnsiTheme="minorHAnsi"/>
          <w:b/>
          <w:bCs/>
        </w:rPr>
      </w:pPr>
      <w:r w:rsidRPr="005432E1">
        <w:rPr>
          <w:rFonts w:asciiTheme="minorHAnsi" w:hAnsiTheme="minorHAnsi"/>
          <w:b/>
          <w:bCs/>
        </w:rPr>
        <w:t>Tema: SIMPLES. Compatibilização do regime com imunidades</w:t>
      </w:r>
    </w:p>
    <w:p w14:paraId="7B86F1BE" w14:textId="77777777" w:rsidR="00E730F1" w:rsidRPr="005432E1" w:rsidRDefault="00E730F1" w:rsidP="00E730F1">
      <w:pPr>
        <w:jc w:val="both"/>
        <w:rPr>
          <w:rFonts w:asciiTheme="minorHAnsi" w:hAnsiTheme="minorHAnsi"/>
          <w:bCs/>
        </w:rPr>
      </w:pPr>
      <w:r w:rsidRPr="005432E1">
        <w:rPr>
          <w:rFonts w:asciiTheme="minorHAnsi" w:hAnsiTheme="minorHAnsi"/>
          <w:b/>
          <w:bCs/>
        </w:rPr>
        <w:t xml:space="preserve">Ré: </w:t>
      </w:r>
      <w:r w:rsidRPr="005432E1">
        <w:rPr>
          <w:rFonts w:asciiTheme="minorHAnsi" w:hAnsiTheme="minorHAnsi"/>
          <w:bCs/>
        </w:rPr>
        <w:t>União</w:t>
      </w:r>
    </w:p>
    <w:p w14:paraId="02F4F5B5" w14:textId="77777777" w:rsidR="00E730F1" w:rsidRPr="005432E1" w:rsidRDefault="00E730F1" w:rsidP="00E730F1">
      <w:pPr>
        <w:jc w:val="both"/>
        <w:rPr>
          <w:rFonts w:asciiTheme="minorHAnsi" w:hAnsiTheme="minorHAnsi"/>
          <w:b/>
          <w:bCs/>
        </w:rPr>
      </w:pPr>
      <w:r w:rsidRPr="005432E1">
        <w:rPr>
          <w:rFonts w:asciiTheme="minorHAnsi" w:hAnsiTheme="minorHAnsi"/>
          <w:b/>
          <w:bCs/>
        </w:rPr>
        <w:t>Passivo Contingente</w:t>
      </w:r>
    </w:p>
    <w:p w14:paraId="0A82DD60"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Risco: </w:t>
      </w:r>
      <w:r w:rsidRPr="005432E1">
        <w:rPr>
          <w:rFonts w:asciiTheme="minorHAnsi" w:hAnsiTheme="minorHAnsi"/>
          <w:bCs/>
        </w:rPr>
        <w:t>Possível - artigo 3º, II, c/c § 2º</w:t>
      </w:r>
    </w:p>
    <w:p w14:paraId="59735D54" w14:textId="77777777" w:rsidR="00E730F1" w:rsidRPr="005432E1" w:rsidRDefault="00E730F1" w:rsidP="00E730F1">
      <w:pPr>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Possibilidade de se reconhecer a contribuinte optante pelo SIMPLES as imunidades previstas no art. 149, §2°, I e § 3º, III da CF.</w:t>
      </w:r>
    </w:p>
    <w:p w14:paraId="39D04BDA" w14:textId="77777777" w:rsidR="00E730F1" w:rsidRPr="005432E1" w:rsidRDefault="00E730F1" w:rsidP="00E730F1">
      <w:pPr>
        <w:jc w:val="both"/>
        <w:rPr>
          <w:rFonts w:asciiTheme="minorHAnsi" w:hAnsiTheme="minorHAnsi"/>
          <w:b/>
          <w:bCs/>
        </w:rPr>
      </w:pPr>
      <w:r w:rsidRPr="005432E1">
        <w:rPr>
          <w:rFonts w:asciiTheme="minorHAnsi" w:hAnsiTheme="minorHAnsi"/>
          <w:b/>
          <w:bCs/>
        </w:rPr>
        <w:t>Instância Atual</w:t>
      </w:r>
      <w:r w:rsidRPr="005432E1">
        <w:rPr>
          <w:rFonts w:asciiTheme="minorHAnsi" w:hAnsiTheme="minorHAnsi"/>
          <w:bCs/>
        </w:rPr>
        <w:t>: STF</w:t>
      </w:r>
    </w:p>
    <w:p w14:paraId="06FACDC7" w14:textId="77777777" w:rsidR="00E730F1" w:rsidRPr="005432E1" w:rsidRDefault="00E730F1" w:rsidP="00E730F1">
      <w:pPr>
        <w:jc w:val="both"/>
        <w:rPr>
          <w:rFonts w:asciiTheme="minorHAnsi" w:hAnsiTheme="minorHAnsi"/>
          <w:bCs/>
        </w:rPr>
      </w:pPr>
      <w:r w:rsidRPr="005432E1">
        <w:rPr>
          <w:rFonts w:asciiTheme="minorHAnsi" w:hAnsiTheme="minorHAnsi"/>
          <w:b/>
          <w:bCs/>
        </w:rPr>
        <w:t xml:space="preserve">Estimativa de Impacto: </w:t>
      </w:r>
      <w:r w:rsidRPr="005432E1">
        <w:rPr>
          <w:rFonts w:asciiTheme="minorHAnsi" w:hAnsiTheme="minorHAnsi"/>
          <w:bCs/>
        </w:rPr>
        <w:t>conforme dados da Receita Federal do Brasil, a renúncia estimada para 2018 é de R$ 20,90 milhões; para 2017 é de R$ 17,42 milhões; para 2016 é de R$ 14,52 milhões; para 2015 é de R$ 12,10 milhões; para 2014 é de R$ 10,08 milhões; para 2013 é de R$ 8,32 milhões; para 2012 é de R$ 6,64 milhões.</w:t>
      </w:r>
    </w:p>
    <w:p w14:paraId="5EB50E21" w14:textId="77777777" w:rsidR="00E730F1" w:rsidRPr="005432E1" w:rsidRDefault="00E730F1" w:rsidP="00E730F1">
      <w:pPr>
        <w:jc w:val="both"/>
        <w:rPr>
          <w:rFonts w:asciiTheme="minorHAnsi" w:hAnsiTheme="minorHAnsi"/>
          <w:b/>
          <w:bCs/>
        </w:rPr>
      </w:pPr>
    </w:p>
    <w:p w14:paraId="62EBE2BA" w14:textId="77777777" w:rsidR="00A24FFC" w:rsidRPr="005432E1" w:rsidRDefault="00A24FFC" w:rsidP="006F4AC5">
      <w:pPr>
        <w:jc w:val="both"/>
        <w:rPr>
          <w:rFonts w:asciiTheme="minorHAnsi" w:hAnsiTheme="minorHAnsi"/>
          <w:b/>
          <w:bCs/>
        </w:rPr>
      </w:pPr>
      <w:r w:rsidRPr="005432E1">
        <w:rPr>
          <w:rFonts w:asciiTheme="minorHAnsi" w:hAnsiTheme="minorHAnsi"/>
          <w:b/>
          <w:bCs/>
        </w:rPr>
        <w:t>Ações contra a União no âmbito do STJ</w:t>
      </w:r>
    </w:p>
    <w:p w14:paraId="0E65D224" w14:textId="77777777" w:rsidR="00A24FFC" w:rsidRPr="005432E1" w:rsidRDefault="00A24FFC" w:rsidP="006F4AC5">
      <w:pPr>
        <w:jc w:val="both"/>
        <w:rPr>
          <w:rFonts w:asciiTheme="minorHAnsi" w:hAnsiTheme="minorHAnsi"/>
          <w:bCs/>
        </w:rPr>
      </w:pPr>
    </w:p>
    <w:p w14:paraId="733B5703"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 xml:space="preserve">Tema </w:t>
      </w:r>
      <w:r w:rsidR="00766332" w:rsidRPr="005432E1">
        <w:rPr>
          <w:rFonts w:asciiTheme="minorHAnsi" w:hAnsiTheme="minorHAnsi"/>
          <w:b/>
          <w:bCs/>
        </w:rPr>
        <w:t>0</w:t>
      </w:r>
      <w:r w:rsidRPr="005432E1">
        <w:rPr>
          <w:rFonts w:asciiTheme="minorHAnsi" w:hAnsiTheme="minorHAnsi"/>
          <w:b/>
          <w:bCs/>
        </w:rPr>
        <w:t>1: CSSL e IRPJ sobre ganhos de entidades fechadas de previdência complementar.</w:t>
      </w:r>
    </w:p>
    <w:p w14:paraId="4686072D"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Réu: União.</w:t>
      </w:r>
    </w:p>
    <w:p w14:paraId="1ECE1135"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6276D925"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Risco: Possível, Art. 3</w:t>
      </w:r>
      <w:r w:rsidR="00EE6378" w:rsidRPr="005432E1">
        <w:rPr>
          <w:rFonts w:asciiTheme="minorHAnsi" w:hAnsiTheme="minorHAnsi"/>
          <w:b/>
          <w:bCs/>
        </w:rPr>
        <w:t>º</w:t>
      </w:r>
      <w:r w:rsidRPr="005432E1">
        <w:rPr>
          <w:rFonts w:asciiTheme="minorHAnsi" w:hAnsiTheme="minorHAnsi"/>
          <w:b/>
          <w:bCs/>
        </w:rPr>
        <w:t>, II, "d", cumulado com o Art. 3</w:t>
      </w:r>
      <w:r w:rsidR="00EE6378" w:rsidRPr="005432E1">
        <w:rPr>
          <w:rFonts w:asciiTheme="minorHAnsi" w:hAnsiTheme="minorHAnsi"/>
          <w:b/>
          <w:bCs/>
        </w:rPr>
        <w:t>º</w:t>
      </w:r>
      <w:r w:rsidRPr="005432E1">
        <w:rPr>
          <w:rFonts w:asciiTheme="minorHAnsi" w:hAnsiTheme="minorHAnsi"/>
          <w:b/>
          <w:bCs/>
        </w:rPr>
        <w:t>, §2</w:t>
      </w:r>
      <w:r w:rsidR="00EE6378" w:rsidRPr="005432E1">
        <w:rPr>
          <w:rFonts w:asciiTheme="minorHAnsi" w:hAnsiTheme="minorHAnsi"/>
          <w:b/>
          <w:bCs/>
        </w:rPr>
        <w:t>º</w:t>
      </w:r>
    </w:p>
    <w:p w14:paraId="047557CE"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Objeto: </w:t>
      </w:r>
      <w:r w:rsidRPr="005432E1">
        <w:rPr>
          <w:rFonts w:asciiTheme="minorHAnsi" w:hAnsiTheme="minorHAnsi"/>
        </w:rPr>
        <w:t>Julgar-se-á a legitimidade da incidência da Contribuição Social sobre o Lucro Líquido (CSLL) e do Imposto de Renda da Pessoa Jurídica (IRPJ) sobre os ganhos das entidades fechadas de previdência complementar - equiparadas por lei a instituições financeiras - a partir de mandado de segurança coletivo impetrado por associação que representa diversas dessas entidades. As contribuintes entendem não existir fato gerador quanto à CSLL e ao IRPJ, por supostamente serem</w:t>
      </w:r>
      <w:r w:rsidR="006150C0" w:rsidRPr="005432E1">
        <w:rPr>
          <w:rFonts w:asciiTheme="minorHAnsi" w:hAnsiTheme="minorHAnsi"/>
        </w:rPr>
        <w:t xml:space="preserve"> </w:t>
      </w:r>
      <w:r w:rsidRPr="005432E1">
        <w:rPr>
          <w:rFonts w:asciiTheme="minorHAnsi" w:hAnsiTheme="minorHAnsi"/>
        </w:rPr>
        <w:t>proibidas de auferir lucros. O julgamento ainda não foi iniciado.</w:t>
      </w:r>
    </w:p>
    <w:p w14:paraId="24B63AE0"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Instância atual: </w:t>
      </w:r>
      <w:r w:rsidRPr="005432E1">
        <w:rPr>
          <w:rFonts w:asciiTheme="minorHAnsi" w:hAnsiTheme="minorHAnsi"/>
        </w:rPr>
        <w:t>STJ</w:t>
      </w:r>
    </w:p>
    <w:p w14:paraId="7DFD7053"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Estimativa de impacto: </w:t>
      </w:r>
      <w:r w:rsidRPr="005432E1">
        <w:rPr>
          <w:rFonts w:asciiTheme="minorHAnsi" w:hAnsiTheme="minorHAnsi"/>
        </w:rPr>
        <w:t>R$ 19,98 bilhões (Período de 5 anos - 2010 a 2014) e R$ 3,96 bilhões (2014) segundo dados fornecidos pela RFB.</w:t>
      </w:r>
    </w:p>
    <w:p w14:paraId="7ECB0EE5" w14:textId="77777777" w:rsidR="00133878" w:rsidRPr="005432E1" w:rsidRDefault="00133878" w:rsidP="006F4AC5">
      <w:pPr>
        <w:autoSpaceDE w:val="0"/>
        <w:autoSpaceDN w:val="0"/>
        <w:adjustRightInd w:val="0"/>
        <w:jc w:val="both"/>
        <w:rPr>
          <w:rFonts w:asciiTheme="minorHAnsi" w:hAnsiTheme="minorHAnsi"/>
          <w:b/>
          <w:bCs/>
        </w:rPr>
      </w:pPr>
    </w:p>
    <w:p w14:paraId="4F075303"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 xml:space="preserve">Tema </w:t>
      </w:r>
      <w:r w:rsidR="00766332" w:rsidRPr="005432E1">
        <w:rPr>
          <w:rFonts w:asciiTheme="minorHAnsi" w:hAnsiTheme="minorHAnsi"/>
          <w:b/>
          <w:bCs/>
        </w:rPr>
        <w:t>0</w:t>
      </w:r>
      <w:r w:rsidRPr="005432E1">
        <w:rPr>
          <w:rFonts w:asciiTheme="minorHAnsi" w:hAnsiTheme="minorHAnsi"/>
          <w:b/>
          <w:bCs/>
        </w:rPr>
        <w:t>2: Aproveitamento de crédito de PIS e COFINS</w:t>
      </w:r>
    </w:p>
    <w:p w14:paraId="6708829D"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Réu: União</w:t>
      </w:r>
    </w:p>
    <w:p w14:paraId="4C87A9C9"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0B895B51" w14:textId="77777777" w:rsidR="00E33035"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Risco: Possível, </w:t>
      </w:r>
      <w:r w:rsidRPr="005432E1">
        <w:rPr>
          <w:rFonts w:asciiTheme="minorHAnsi" w:hAnsiTheme="minorHAnsi"/>
        </w:rPr>
        <w:t>Art. 30, II, "d", cumulado com o Art. 30, §20</w:t>
      </w:r>
      <w:r w:rsidR="00E33035" w:rsidRPr="005432E1">
        <w:rPr>
          <w:rFonts w:asciiTheme="minorHAnsi" w:hAnsiTheme="minorHAnsi"/>
        </w:rPr>
        <w:t xml:space="preserve"> </w:t>
      </w:r>
    </w:p>
    <w:p w14:paraId="2F80D6FE"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Objeto: </w:t>
      </w:r>
      <w:r w:rsidRPr="005432E1">
        <w:rPr>
          <w:rFonts w:asciiTheme="minorHAnsi" w:hAnsiTheme="minorHAnsi"/>
        </w:rPr>
        <w:t>Julgar-se-á acerca do aproveitamento de créditos de PIS e</w:t>
      </w:r>
      <w:r w:rsidR="00E33035" w:rsidRPr="005432E1">
        <w:rPr>
          <w:rFonts w:asciiTheme="minorHAnsi" w:hAnsiTheme="minorHAnsi"/>
        </w:rPr>
        <w:t xml:space="preserve"> </w:t>
      </w:r>
      <w:r w:rsidRPr="005432E1">
        <w:rPr>
          <w:rFonts w:asciiTheme="minorHAnsi" w:hAnsiTheme="minorHAnsi"/>
        </w:rPr>
        <w:t>COFINS apurados no regime não cumulativo (decorrente da venda</w:t>
      </w:r>
      <w:r w:rsidR="00E33035" w:rsidRPr="005432E1">
        <w:rPr>
          <w:rFonts w:asciiTheme="minorHAnsi" w:hAnsiTheme="minorHAnsi"/>
        </w:rPr>
        <w:t xml:space="preserve"> </w:t>
      </w:r>
      <w:r w:rsidRPr="005432E1">
        <w:rPr>
          <w:rFonts w:asciiTheme="minorHAnsi" w:hAnsiTheme="minorHAnsi"/>
        </w:rPr>
        <w:t>facilitada' de aparelhos celulares) aos débitos existentes no regime</w:t>
      </w:r>
      <w:r w:rsidR="00E33035" w:rsidRPr="005432E1">
        <w:rPr>
          <w:rFonts w:asciiTheme="minorHAnsi" w:hAnsiTheme="minorHAnsi"/>
        </w:rPr>
        <w:t xml:space="preserve"> </w:t>
      </w:r>
      <w:r w:rsidRPr="005432E1">
        <w:rPr>
          <w:rFonts w:asciiTheme="minorHAnsi" w:hAnsiTheme="minorHAnsi"/>
        </w:rPr>
        <w:t>cumulativo de apuração daqueles tributos (decorrente da prestação de</w:t>
      </w:r>
      <w:r w:rsidR="00E33035" w:rsidRPr="005432E1">
        <w:rPr>
          <w:rFonts w:asciiTheme="minorHAnsi" w:hAnsiTheme="minorHAnsi"/>
        </w:rPr>
        <w:t xml:space="preserve"> </w:t>
      </w:r>
      <w:r w:rsidRPr="005432E1">
        <w:rPr>
          <w:rFonts w:asciiTheme="minorHAnsi" w:hAnsiTheme="minorHAnsi"/>
        </w:rPr>
        <w:t>serviços de</w:t>
      </w:r>
      <w:r w:rsidR="00E33035" w:rsidRPr="005432E1">
        <w:rPr>
          <w:rFonts w:asciiTheme="minorHAnsi" w:hAnsiTheme="minorHAnsi"/>
        </w:rPr>
        <w:t xml:space="preserve"> </w:t>
      </w:r>
      <w:r w:rsidRPr="005432E1">
        <w:rPr>
          <w:rFonts w:asciiTheme="minorHAnsi" w:hAnsiTheme="minorHAnsi"/>
        </w:rPr>
        <w:t>telecomunicação). O julgamento ainda não foi iniciado.</w:t>
      </w:r>
    </w:p>
    <w:p w14:paraId="7CC49A53" w14:textId="77777777" w:rsidR="00FE4FE1" w:rsidRPr="005432E1" w:rsidRDefault="00133878" w:rsidP="006F4AC5">
      <w:pPr>
        <w:jc w:val="both"/>
        <w:rPr>
          <w:rFonts w:asciiTheme="minorHAnsi" w:hAnsiTheme="minorHAnsi"/>
        </w:rPr>
      </w:pPr>
      <w:r w:rsidRPr="005432E1">
        <w:rPr>
          <w:rFonts w:asciiTheme="minorHAnsi" w:hAnsiTheme="minorHAnsi"/>
          <w:b/>
          <w:bCs/>
        </w:rPr>
        <w:t xml:space="preserve">Instância atual: </w:t>
      </w:r>
      <w:r w:rsidRPr="005432E1">
        <w:rPr>
          <w:rFonts w:asciiTheme="minorHAnsi" w:hAnsiTheme="minorHAnsi"/>
        </w:rPr>
        <w:t>STJ.</w:t>
      </w:r>
    </w:p>
    <w:p w14:paraId="1D614A01"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Estimativa de impacto: </w:t>
      </w:r>
      <w:r w:rsidRPr="005432E1">
        <w:rPr>
          <w:rFonts w:asciiTheme="minorHAnsi" w:hAnsiTheme="minorHAnsi"/>
        </w:rPr>
        <w:t>R$ 1,05 bilhão para 2014 e R$ 6,66 bilhões</w:t>
      </w:r>
      <w:r w:rsidR="00BD70FB" w:rsidRPr="005432E1">
        <w:rPr>
          <w:rFonts w:asciiTheme="minorHAnsi" w:hAnsiTheme="minorHAnsi"/>
        </w:rPr>
        <w:t xml:space="preserve"> </w:t>
      </w:r>
      <w:r w:rsidRPr="005432E1">
        <w:rPr>
          <w:rFonts w:asciiTheme="minorHAnsi" w:hAnsiTheme="minorHAnsi"/>
        </w:rPr>
        <w:t>para os últimos 5 anos (2010 a 2014), segundo dados fornecidos pela</w:t>
      </w:r>
      <w:r w:rsidR="00E33035" w:rsidRPr="005432E1">
        <w:rPr>
          <w:rFonts w:asciiTheme="minorHAnsi" w:hAnsiTheme="minorHAnsi"/>
        </w:rPr>
        <w:t xml:space="preserve"> </w:t>
      </w:r>
      <w:r w:rsidRPr="005432E1">
        <w:rPr>
          <w:rFonts w:asciiTheme="minorHAnsi" w:hAnsiTheme="minorHAnsi"/>
        </w:rPr>
        <w:t>RFB</w:t>
      </w:r>
      <w:r w:rsidR="00BD70FB" w:rsidRPr="005432E1">
        <w:rPr>
          <w:rFonts w:asciiTheme="minorHAnsi" w:hAnsiTheme="minorHAnsi"/>
        </w:rPr>
        <w:t>.</w:t>
      </w:r>
    </w:p>
    <w:p w14:paraId="3860D8E9" w14:textId="77777777" w:rsidR="00133878" w:rsidRPr="005432E1" w:rsidRDefault="00133878" w:rsidP="006F4AC5">
      <w:pPr>
        <w:jc w:val="both"/>
        <w:rPr>
          <w:rFonts w:asciiTheme="minorHAnsi" w:hAnsiTheme="minorHAnsi"/>
          <w:bCs/>
        </w:rPr>
      </w:pPr>
    </w:p>
    <w:p w14:paraId="766E4699"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 xml:space="preserve">Tema </w:t>
      </w:r>
      <w:r w:rsidR="00766332" w:rsidRPr="005432E1">
        <w:rPr>
          <w:rFonts w:asciiTheme="minorHAnsi" w:hAnsiTheme="minorHAnsi"/>
          <w:b/>
          <w:bCs/>
        </w:rPr>
        <w:t>0</w:t>
      </w:r>
      <w:r w:rsidRPr="005432E1">
        <w:rPr>
          <w:rFonts w:asciiTheme="minorHAnsi" w:hAnsiTheme="minorHAnsi"/>
          <w:b/>
          <w:bCs/>
        </w:rPr>
        <w:t>3: Creditamento de insumos na base de cálculo do PIS e da</w:t>
      </w:r>
      <w:r w:rsidR="00E33035" w:rsidRPr="005432E1">
        <w:rPr>
          <w:rFonts w:asciiTheme="minorHAnsi" w:hAnsiTheme="minorHAnsi"/>
          <w:b/>
          <w:bCs/>
        </w:rPr>
        <w:t xml:space="preserve"> </w:t>
      </w:r>
      <w:r w:rsidRPr="005432E1">
        <w:rPr>
          <w:rFonts w:asciiTheme="minorHAnsi" w:hAnsiTheme="minorHAnsi"/>
          <w:b/>
          <w:bCs/>
        </w:rPr>
        <w:t>COFINS.</w:t>
      </w:r>
    </w:p>
    <w:p w14:paraId="7F974142"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Réu: União</w:t>
      </w:r>
    </w:p>
    <w:p w14:paraId="68AF6D8C"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2D0A7558"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Risco: Possível, Art. 30, II, "d", cumulado com o Art. 30, §2</w:t>
      </w:r>
    </w:p>
    <w:p w14:paraId="05447083"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Objeto: </w:t>
      </w:r>
      <w:r w:rsidRPr="005432E1">
        <w:rPr>
          <w:rFonts w:asciiTheme="minorHAnsi" w:hAnsiTheme="minorHAnsi"/>
        </w:rPr>
        <w:t>Julgar-se-á sobre qual o conceito de insumos para fins de</w:t>
      </w:r>
      <w:r w:rsidR="00E33035" w:rsidRPr="005432E1">
        <w:rPr>
          <w:rFonts w:asciiTheme="minorHAnsi" w:hAnsiTheme="minorHAnsi"/>
        </w:rPr>
        <w:t xml:space="preserve"> </w:t>
      </w:r>
      <w:r w:rsidRPr="005432E1">
        <w:rPr>
          <w:rFonts w:asciiTheme="minorHAnsi" w:hAnsiTheme="minorHAnsi"/>
        </w:rPr>
        <w:t>abatimento de crédito do valor a ser pago de PIS/COFINS no regime não</w:t>
      </w:r>
      <w:r w:rsidR="00E33035" w:rsidRPr="005432E1">
        <w:rPr>
          <w:rFonts w:asciiTheme="minorHAnsi" w:hAnsiTheme="minorHAnsi"/>
        </w:rPr>
        <w:t xml:space="preserve"> </w:t>
      </w:r>
      <w:r w:rsidRPr="005432E1">
        <w:rPr>
          <w:rFonts w:asciiTheme="minorHAnsi" w:hAnsiTheme="minorHAnsi"/>
        </w:rPr>
        <w:t>cumulativo. O julgamento ainda não foi iniciado.</w:t>
      </w:r>
    </w:p>
    <w:p w14:paraId="2D9D0644"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Instância atual: </w:t>
      </w:r>
      <w:r w:rsidRPr="005432E1">
        <w:rPr>
          <w:rFonts w:asciiTheme="minorHAnsi" w:hAnsiTheme="minorHAnsi"/>
        </w:rPr>
        <w:t>STJ.</w:t>
      </w:r>
    </w:p>
    <w:p w14:paraId="7C062CC6"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Estimativa de impacto: </w:t>
      </w:r>
      <w:r w:rsidRPr="005432E1">
        <w:rPr>
          <w:rFonts w:asciiTheme="minorHAnsi" w:hAnsiTheme="minorHAnsi"/>
        </w:rPr>
        <w:t>R$ 50 bilhões somente em 2015 (Memorando</w:t>
      </w:r>
      <w:r w:rsidR="00E33035" w:rsidRPr="005432E1">
        <w:rPr>
          <w:rFonts w:asciiTheme="minorHAnsi" w:hAnsiTheme="minorHAnsi"/>
        </w:rPr>
        <w:t xml:space="preserve"> </w:t>
      </w:r>
      <w:r w:rsidRPr="005432E1">
        <w:rPr>
          <w:rFonts w:asciiTheme="minorHAnsi" w:hAnsiTheme="minorHAnsi"/>
        </w:rPr>
        <w:t>35/2015 da RFB/Gabinete).</w:t>
      </w:r>
    </w:p>
    <w:p w14:paraId="13F0B27A" w14:textId="77777777" w:rsidR="00133878" w:rsidRPr="005432E1" w:rsidRDefault="00133878" w:rsidP="006F4AC5">
      <w:pPr>
        <w:jc w:val="both"/>
        <w:rPr>
          <w:rFonts w:asciiTheme="minorHAnsi" w:hAnsiTheme="minorHAnsi"/>
        </w:rPr>
      </w:pPr>
    </w:p>
    <w:p w14:paraId="13FBA041" w14:textId="77777777" w:rsidR="00133878" w:rsidRPr="005432E1" w:rsidRDefault="00EE6378" w:rsidP="006F4AC5">
      <w:pPr>
        <w:autoSpaceDE w:val="0"/>
        <w:autoSpaceDN w:val="0"/>
        <w:adjustRightInd w:val="0"/>
        <w:jc w:val="both"/>
        <w:rPr>
          <w:rFonts w:asciiTheme="minorHAnsi" w:hAnsiTheme="minorHAnsi"/>
          <w:b/>
          <w:bCs/>
        </w:rPr>
      </w:pPr>
      <w:r w:rsidRPr="005432E1">
        <w:rPr>
          <w:rFonts w:asciiTheme="minorHAnsi" w:hAnsiTheme="minorHAnsi"/>
          <w:b/>
          <w:bCs/>
        </w:rPr>
        <w:t>Tema</w:t>
      </w:r>
      <w:r w:rsidR="00766332" w:rsidRPr="005432E1">
        <w:rPr>
          <w:rFonts w:asciiTheme="minorHAnsi" w:hAnsiTheme="minorHAnsi"/>
          <w:b/>
          <w:bCs/>
        </w:rPr>
        <w:t xml:space="preserve"> 0</w:t>
      </w:r>
      <w:r w:rsidRPr="005432E1">
        <w:rPr>
          <w:rFonts w:asciiTheme="minorHAnsi" w:hAnsiTheme="minorHAnsi"/>
          <w:b/>
          <w:bCs/>
        </w:rPr>
        <w:t>4</w:t>
      </w:r>
      <w:r w:rsidR="00133878" w:rsidRPr="005432E1">
        <w:rPr>
          <w:rFonts w:asciiTheme="minorHAnsi" w:hAnsiTheme="minorHAnsi"/>
          <w:b/>
          <w:bCs/>
        </w:rPr>
        <w:t>: Ação regressiva contra a União. Juros e correção</w:t>
      </w:r>
      <w:r w:rsidR="00092FDD" w:rsidRPr="005432E1">
        <w:rPr>
          <w:rFonts w:asciiTheme="minorHAnsi" w:hAnsiTheme="minorHAnsi"/>
          <w:b/>
          <w:bCs/>
        </w:rPr>
        <w:t xml:space="preserve"> </w:t>
      </w:r>
      <w:r w:rsidR="00133878" w:rsidRPr="005432E1">
        <w:rPr>
          <w:rFonts w:asciiTheme="minorHAnsi" w:hAnsiTheme="minorHAnsi"/>
          <w:b/>
          <w:bCs/>
        </w:rPr>
        <w:t>monetária. Empréstimos compulsórios.</w:t>
      </w:r>
    </w:p>
    <w:p w14:paraId="373F9E5A"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Réu: União</w:t>
      </w:r>
    </w:p>
    <w:p w14:paraId="1EAABA24"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16B3A995" w14:textId="77777777" w:rsidR="00133878" w:rsidRPr="005432E1" w:rsidRDefault="00133878" w:rsidP="006F4AC5">
      <w:pPr>
        <w:autoSpaceDE w:val="0"/>
        <w:autoSpaceDN w:val="0"/>
        <w:adjustRightInd w:val="0"/>
        <w:jc w:val="both"/>
        <w:rPr>
          <w:rFonts w:asciiTheme="minorHAnsi" w:hAnsiTheme="minorHAnsi"/>
          <w:b/>
          <w:bCs/>
        </w:rPr>
      </w:pPr>
      <w:r w:rsidRPr="005432E1">
        <w:rPr>
          <w:rFonts w:asciiTheme="minorHAnsi" w:hAnsiTheme="minorHAnsi"/>
          <w:b/>
          <w:bCs/>
        </w:rPr>
        <w:t>Risco: Possível, Art. 30, II, "d", c/c com o Art. 30, §2</w:t>
      </w:r>
    </w:p>
    <w:p w14:paraId="057D7CF1"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Objeto: </w:t>
      </w:r>
      <w:r w:rsidRPr="005432E1">
        <w:rPr>
          <w:rFonts w:asciiTheme="minorHAnsi" w:hAnsiTheme="minorHAnsi"/>
        </w:rPr>
        <w:t>Julgar-se-á a possibilidade de execução regressiva da</w:t>
      </w:r>
      <w:r w:rsidR="00E33035" w:rsidRPr="005432E1">
        <w:rPr>
          <w:rFonts w:asciiTheme="minorHAnsi" w:hAnsiTheme="minorHAnsi"/>
        </w:rPr>
        <w:t xml:space="preserve"> </w:t>
      </w:r>
      <w:r w:rsidRPr="005432E1">
        <w:rPr>
          <w:rFonts w:asciiTheme="minorHAnsi" w:hAnsiTheme="minorHAnsi"/>
        </w:rPr>
        <w:t>ELETROBRAS contra a União, em</w:t>
      </w:r>
      <w:r w:rsidR="00E33035" w:rsidRPr="005432E1">
        <w:rPr>
          <w:rFonts w:asciiTheme="minorHAnsi" w:hAnsiTheme="minorHAnsi"/>
        </w:rPr>
        <w:t xml:space="preserve"> </w:t>
      </w:r>
      <w:r w:rsidRPr="005432E1">
        <w:rPr>
          <w:rFonts w:asciiTheme="minorHAnsi" w:hAnsiTheme="minorHAnsi"/>
        </w:rPr>
        <w:t>razão de condenações à devolução</w:t>
      </w:r>
      <w:r w:rsidR="00E33035" w:rsidRPr="005432E1">
        <w:rPr>
          <w:rFonts w:asciiTheme="minorHAnsi" w:hAnsiTheme="minorHAnsi"/>
        </w:rPr>
        <w:t xml:space="preserve"> </w:t>
      </w:r>
      <w:r w:rsidRPr="005432E1">
        <w:rPr>
          <w:rFonts w:asciiTheme="minorHAnsi" w:hAnsiTheme="minorHAnsi"/>
        </w:rPr>
        <w:t>das diferenças de juros e correção monetária do empréstimo</w:t>
      </w:r>
      <w:r w:rsidR="00092FDD" w:rsidRPr="005432E1">
        <w:rPr>
          <w:rFonts w:asciiTheme="minorHAnsi" w:hAnsiTheme="minorHAnsi"/>
        </w:rPr>
        <w:t xml:space="preserve"> </w:t>
      </w:r>
      <w:r w:rsidRPr="005432E1">
        <w:rPr>
          <w:rFonts w:asciiTheme="minorHAnsi" w:hAnsiTheme="minorHAnsi"/>
        </w:rPr>
        <w:t>compulsório sobre o consumo de energia elétrica. O julgamento ainda</w:t>
      </w:r>
      <w:r w:rsidR="00E33035" w:rsidRPr="005432E1">
        <w:rPr>
          <w:rFonts w:asciiTheme="minorHAnsi" w:hAnsiTheme="minorHAnsi"/>
        </w:rPr>
        <w:t xml:space="preserve"> </w:t>
      </w:r>
      <w:r w:rsidRPr="005432E1">
        <w:rPr>
          <w:rFonts w:asciiTheme="minorHAnsi" w:hAnsiTheme="minorHAnsi"/>
        </w:rPr>
        <w:t>não foi iniciado.</w:t>
      </w:r>
    </w:p>
    <w:p w14:paraId="3A2EEBCA" w14:textId="77777777" w:rsidR="00133878"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Instância atual: </w:t>
      </w:r>
      <w:r w:rsidRPr="005432E1">
        <w:rPr>
          <w:rFonts w:asciiTheme="minorHAnsi" w:hAnsiTheme="minorHAnsi"/>
        </w:rPr>
        <w:t>STJ.</w:t>
      </w:r>
    </w:p>
    <w:p w14:paraId="35186DBD" w14:textId="77777777" w:rsidR="00FE4FE1" w:rsidRPr="005432E1" w:rsidRDefault="00133878" w:rsidP="006F4AC5">
      <w:pPr>
        <w:autoSpaceDE w:val="0"/>
        <w:autoSpaceDN w:val="0"/>
        <w:adjustRightInd w:val="0"/>
        <w:jc w:val="both"/>
        <w:rPr>
          <w:rFonts w:asciiTheme="minorHAnsi" w:hAnsiTheme="minorHAnsi"/>
        </w:rPr>
      </w:pPr>
      <w:r w:rsidRPr="005432E1">
        <w:rPr>
          <w:rFonts w:asciiTheme="minorHAnsi" w:hAnsiTheme="minorHAnsi"/>
          <w:b/>
          <w:bCs/>
        </w:rPr>
        <w:t xml:space="preserve">Estimativa de impacto: </w:t>
      </w:r>
      <w:r w:rsidRPr="005432E1">
        <w:rPr>
          <w:rFonts w:asciiTheme="minorHAnsi" w:hAnsiTheme="minorHAnsi"/>
        </w:rPr>
        <w:t>Segundo dados fornecidos pela Eletrobrás o</w:t>
      </w:r>
      <w:r w:rsidR="00E33035" w:rsidRPr="005432E1">
        <w:rPr>
          <w:rFonts w:asciiTheme="minorHAnsi" w:hAnsiTheme="minorHAnsi"/>
        </w:rPr>
        <w:t xml:space="preserve"> </w:t>
      </w:r>
      <w:r w:rsidRPr="005432E1">
        <w:rPr>
          <w:rFonts w:asciiTheme="minorHAnsi" w:hAnsiTheme="minorHAnsi"/>
        </w:rPr>
        <w:t>valor total da demanda é de R$ 13,04 bilhões (setembro/2016),</w:t>
      </w:r>
      <w:r w:rsidR="00E33035" w:rsidRPr="005432E1">
        <w:rPr>
          <w:rFonts w:asciiTheme="minorHAnsi" w:hAnsiTheme="minorHAnsi"/>
        </w:rPr>
        <w:t xml:space="preserve"> </w:t>
      </w:r>
      <w:r w:rsidRPr="005432E1">
        <w:rPr>
          <w:rFonts w:asciiTheme="minorHAnsi" w:hAnsiTheme="minorHAnsi"/>
        </w:rPr>
        <w:t>considerando que em razão da solidariedade a União arcaria com 50%</w:t>
      </w:r>
      <w:r w:rsidR="00E33035" w:rsidRPr="005432E1">
        <w:rPr>
          <w:rFonts w:asciiTheme="minorHAnsi" w:hAnsiTheme="minorHAnsi"/>
        </w:rPr>
        <w:t xml:space="preserve"> </w:t>
      </w:r>
      <w:r w:rsidRPr="005432E1">
        <w:rPr>
          <w:rFonts w:asciiTheme="minorHAnsi" w:hAnsiTheme="minorHAnsi"/>
        </w:rPr>
        <w:t>deste valor, o impacto deste caso para o erário é de R$ 6,52 bilhões.</w:t>
      </w:r>
    </w:p>
    <w:p w14:paraId="0536BED6" w14:textId="77777777" w:rsidR="00092FDD" w:rsidRPr="005432E1" w:rsidRDefault="00092FDD" w:rsidP="006F4AC5">
      <w:pPr>
        <w:autoSpaceDE w:val="0"/>
        <w:autoSpaceDN w:val="0"/>
        <w:adjustRightInd w:val="0"/>
        <w:jc w:val="both"/>
        <w:rPr>
          <w:rFonts w:asciiTheme="minorHAnsi" w:hAnsiTheme="minorHAnsi"/>
        </w:rPr>
      </w:pPr>
    </w:p>
    <w:p w14:paraId="2043BCAF" w14:textId="77777777" w:rsidR="00092FDD" w:rsidRPr="005432E1" w:rsidRDefault="00092FDD" w:rsidP="00092FDD">
      <w:pPr>
        <w:autoSpaceDE w:val="0"/>
        <w:autoSpaceDN w:val="0"/>
        <w:adjustRightInd w:val="0"/>
        <w:jc w:val="both"/>
        <w:rPr>
          <w:rFonts w:asciiTheme="minorHAnsi" w:hAnsiTheme="minorHAnsi"/>
          <w:b/>
          <w:bCs/>
        </w:rPr>
      </w:pPr>
      <w:r w:rsidRPr="005432E1">
        <w:rPr>
          <w:rFonts w:asciiTheme="minorHAnsi" w:hAnsiTheme="minorHAnsi"/>
          <w:b/>
          <w:bCs/>
        </w:rPr>
        <w:t>Tema 0</w:t>
      </w:r>
      <w:r w:rsidR="00766332" w:rsidRPr="005432E1">
        <w:rPr>
          <w:rFonts w:asciiTheme="minorHAnsi" w:hAnsiTheme="minorHAnsi"/>
          <w:b/>
          <w:bCs/>
        </w:rPr>
        <w:t>5</w:t>
      </w:r>
      <w:r w:rsidRPr="005432E1">
        <w:rPr>
          <w:rFonts w:asciiTheme="minorHAnsi" w:hAnsiTheme="minorHAnsi"/>
          <w:b/>
          <w:bCs/>
        </w:rPr>
        <w:t>: Valor aduaneiro e inclusão dos gastos relativos à descarga de mercadorias no território nacional.</w:t>
      </w:r>
    </w:p>
    <w:p w14:paraId="61AA4E1A" w14:textId="77777777" w:rsidR="00092FDD" w:rsidRPr="005432E1" w:rsidRDefault="00092FDD" w:rsidP="00092FDD">
      <w:pPr>
        <w:autoSpaceDE w:val="0"/>
        <w:autoSpaceDN w:val="0"/>
        <w:adjustRightInd w:val="0"/>
        <w:jc w:val="both"/>
        <w:rPr>
          <w:rFonts w:asciiTheme="minorHAnsi" w:hAnsiTheme="minorHAnsi"/>
          <w:bCs/>
        </w:rPr>
      </w:pPr>
      <w:r w:rsidRPr="005432E1">
        <w:rPr>
          <w:rFonts w:asciiTheme="minorHAnsi" w:hAnsiTheme="minorHAnsi"/>
          <w:b/>
          <w:bCs/>
        </w:rPr>
        <w:t>Autora e Réu:</w:t>
      </w:r>
      <w:r w:rsidRPr="005432E1">
        <w:rPr>
          <w:rFonts w:asciiTheme="minorHAnsi" w:hAnsiTheme="minorHAnsi"/>
          <w:bCs/>
        </w:rPr>
        <w:t xml:space="preserve"> União</w:t>
      </w:r>
    </w:p>
    <w:p w14:paraId="5D83350D" w14:textId="77777777" w:rsidR="00092FDD" w:rsidRPr="005432E1" w:rsidRDefault="00092FDD" w:rsidP="00092FDD">
      <w:pPr>
        <w:autoSpaceDE w:val="0"/>
        <w:autoSpaceDN w:val="0"/>
        <w:adjustRightInd w:val="0"/>
        <w:jc w:val="both"/>
        <w:rPr>
          <w:rFonts w:asciiTheme="minorHAnsi" w:hAnsiTheme="minorHAnsi"/>
          <w:b/>
          <w:bCs/>
        </w:rPr>
      </w:pPr>
      <w:r w:rsidRPr="005432E1">
        <w:rPr>
          <w:rFonts w:asciiTheme="minorHAnsi" w:hAnsiTheme="minorHAnsi"/>
          <w:b/>
          <w:bCs/>
        </w:rPr>
        <w:t>Passivo contingente</w:t>
      </w:r>
    </w:p>
    <w:p w14:paraId="0D972C5C" w14:textId="77777777" w:rsidR="00092FDD" w:rsidRPr="005432E1" w:rsidRDefault="00092FDD" w:rsidP="00092FDD">
      <w:pPr>
        <w:autoSpaceDE w:val="0"/>
        <w:autoSpaceDN w:val="0"/>
        <w:adjustRightInd w:val="0"/>
        <w:jc w:val="both"/>
        <w:rPr>
          <w:rFonts w:asciiTheme="minorHAnsi" w:hAnsiTheme="minorHAnsi"/>
          <w:bCs/>
        </w:rPr>
      </w:pPr>
      <w:r w:rsidRPr="005432E1">
        <w:rPr>
          <w:rFonts w:asciiTheme="minorHAnsi" w:hAnsiTheme="minorHAnsi"/>
          <w:b/>
          <w:bCs/>
        </w:rPr>
        <w:t>Risco:</w:t>
      </w:r>
      <w:r w:rsidRPr="005432E1">
        <w:rPr>
          <w:rFonts w:asciiTheme="minorHAnsi" w:hAnsiTheme="minorHAnsi"/>
          <w:bCs/>
        </w:rPr>
        <w:t xml:space="preserve"> Possível, Art. 3º, II, “d”, c/c com o Art. 3º, §2</w:t>
      </w:r>
    </w:p>
    <w:p w14:paraId="7B8D89D4" w14:textId="77777777" w:rsidR="00092FDD" w:rsidRPr="005432E1" w:rsidRDefault="00092FDD" w:rsidP="00092FDD">
      <w:pPr>
        <w:autoSpaceDE w:val="0"/>
        <w:autoSpaceDN w:val="0"/>
        <w:adjustRightInd w:val="0"/>
        <w:jc w:val="both"/>
        <w:rPr>
          <w:rFonts w:asciiTheme="minorHAnsi" w:hAnsiTheme="minorHAnsi"/>
          <w:bCs/>
        </w:rPr>
      </w:pPr>
      <w:r w:rsidRPr="005432E1">
        <w:rPr>
          <w:rFonts w:asciiTheme="minorHAnsi" w:hAnsiTheme="minorHAnsi"/>
          <w:b/>
          <w:bCs/>
        </w:rPr>
        <w:t>Objeto:</w:t>
      </w:r>
      <w:r w:rsidRPr="005432E1">
        <w:rPr>
          <w:rFonts w:asciiTheme="minorHAnsi" w:hAnsiTheme="minorHAnsi"/>
          <w:bCs/>
        </w:rPr>
        <w:t xml:space="preserve"> Julgar-se-á a possibilidade de inclusão das despesas de capatazia no valor aduaneiro. Reflexos em todos os tributos que tenham por base de cálculo o valor aduaneiro. O julgamento foi iniciado, porém não finalizado.</w:t>
      </w:r>
    </w:p>
    <w:p w14:paraId="7FED83FF" w14:textId="77777777" w:rsidR="00092FDD" w:rsidRPr="005432E1" w:rsidRDefault="00092FDD" w:rsidP="00092FDD">
      <w:pPr>
        <w:autoSpaceDE w:val="0"/>
        <w:autoSpaceDN w:val="0"/>
        <w:adjustRightInd w:val="0"/>
        <w:jc w:val="both"/>
        <w:rPr>
          <w:rFonts w:asciiTheme="minorHAnsi" w:hAnsiTheme="minorHAnsi"/>
          <w:bCs/>
        </w:rPr>
      </w:pPr>
      <w:r w:rsidRPr="005432E1">
        <w:rPr>
          <w:rFonts w:asciiTheme="minorHAnsi" w:hAnsiTheme="minorHAnsi"/>
          <w:b/>
          <w:bCs/>
        </w:rPr>
        <w:t>Instância atual:</w:t>
      </w:r>
      <w:r w:rsidRPr="005432E1">
        <w:rPr>
          <w:rFonts w:asciiTheme="minorHAnsi" w:hAnsiTheme="minorHAnsi"/>
          <w:bCs/>
        </w:rPr>
        <w:t xml:space="preserve"> STJ.</w:t>
      </w:r>
    </w:p>
    <w:p w14:paraId="55EDC2C0" w14:textId="77777777" w:rsidR="00092FDD" w:rsidRPr="005432E1" w:rsidRDefault="00092FDD" w:rsidP="00092FDD">
      <w:pPr>
        <w:autoSpaceDE w:val="0"/>
        <w:autoSpaceDN w:val="0"/>
        <w:adjustRightInd w:val="0"/>
        <w:jc w:val="both"/>
        <w:rPr>
          <w:rFonts w:asciiTheme="minorHAnsi" w:hAnsiTheme="minorHAnsi"/>
          <w:bCs/>
        </w:rPr>
      </w:pPr>
      <w:r w:rsidRPr="005432E1">
        <w:rPr>
          <w:rFonts w:asciiTheme="minorHAnsi" w:hAnsiTheme="minorHAnsi"/>
          <w:b/>
          <w:bCs/>
        </w:rPr>
        <w:t>Estimativa de impacto:</w:t>
      </w:r>
      <w:r w:rsidRPr="005432E1">
        <w:rPr>
          <w:rFonts w:asciiTheme="minorHAnsi" w:hAnsiTheme="minorHAnsi"/>
          <w:bCs/>
        </w:rPr>
        <w:t xml:space="preserve"> R$ 2 bilhões de reais apenas para o ano de 2016.R$ 12 bilhões (considerando um período de 5 anos). (Nota CETAD/COEST nº 14/2015).</w:t>
      </w:r>
    </w:p>
    <w:p w14:paraId="1D5515FF" w14:textId="77777777" w:rsidR="008349F1" w:rsidRPr="005432E1" w:rsidRDefault="008349F1" w:rsidP="00D405F8">
      <w:pPr>
        <w:autoSpaceDE w:val="0"/>
        <w:autoSpaceDN w:val="0"/>
        <w:adjustRightInd w:val="0"/>
        <w:jc w:val="both"/>
        <w:rPr>
          <w:rFonts w:asciiTheme="minorHAnsi" w:hAnsiTheme="minorHAnsi"/>
        </w:rPr>
      </w:pPr>
    </w:p>
    <w:p w14:paraId="64398DBC" w14:textId="77777777" w:rsidR="0033264E" w:rsidRPr="005432E1" w:rsidRDefault="00D405F8" w:rsidP="00D405F8">
      <w:pPr>
        <w:autoSpaceDE w:val="0"/>
        <w:autoSpaceDN w:val="0"/>
        <w:adjustRightInd w:val="0"/>
        <w:jc w:val="both"/>
        <w:rPr>
          <w:rFonts w:asciiTheme="minorHAnsi" w:hAnsiTheme="minorHAnsi"/>
          <w:sz w:val="26"/>
          <w:szCs w:val="26"/>
        </w:rPr>
      </w:pPr>
      <w:r w:rsidRPr="005432E1">
        <w:rPr>
          <w:rFonts w:asciiTheme="minorHAnsi" w:hAnsiTheme="minorHAnsi"/>
          <w:sz w:val="26"/>
          <w:szCs w:val="26"/>
        </w:rPr>
        <w:tab/>
        <w:t>Acrescentou-se</w:t>
      </w:r>
      <w:r w:rsidR="006375C5" w:rsidRPr="005432E1">
        <w:rPr>
          <w:rFonts w:asciiTheme="minorHAnsi" w:hAnsiTheme="minorHAnsi"/>
          <w:sz w:val="26"/>
          <w:szCs w:val="26"/>
        </w:rPr>
        <w:t xml:space="preserve">, em relação às Notas anteriores, o seguinte feito identificado </w:t>
      </w:r>
      <w:r w:rsidRPr="005432E1">
        <w:rPr>
          <w:rFonts w:asciiTheme="minorHAnsi" w:hAnsiTheme="minorHAnsi"/>
          <w:sz w:val="26"/>
          <w:szCs w:val="26"/>
        </w:rPr>
        <w:t>p</w:t>
      </w:r>
      <w:r w:rsidR="006375C5" w:rsidRPr="005432E1">
        <w:rPr>
          <w:rFonts w:asciiTheme="minorHAnsi" w:hAnsiTheme="minorHAnsi"/>
          <w:sz w:val="26"/>
          <w:szCs w:val="26"/>
        </w:rPr>
        <w:t>osteriormente:</w:t>
      </w:r>
    </w:p>
    <w:p w14:paraId="0EFF44AF" w14:textId="77777777" w:rsidR="00D405F8" w:rsidRPr="005432E1" w:rsidRDefault="00D405F8" w:rsidP="00D405F8">
      <w:pPr>
        <w:autoSpaceDE w:val="0"/>
        <w:autoSpaceDN w:val="0"/>
        <w:adjustRightInd w:val="0"/>
        <w:jc w:val="both"/>
        <w:rPr>
          <w:rFonts w:asciiTheme="minorHAnsi" w:hAnsiTheme="minorHAnsi"/>
          <w:sz w:val="26"/>
          <w:szCs w:val="26"/>
        </w:rPr>
      </w:pPr>
    </w:p>
    <w:p w14:paraId="71FAA9D0" w14:textId="77777777" w:rsidR="006375C5" w:rsidRPr="005432E1" w:rsidRDefault="006375C5" w:rsidP="00F4001D">
      <w:pPr>
        <w:autoSpaceDE w:val="0"/>
        <w:autoSpaceDN w:val="0"/>
        <w:adjustRightInd w:val="0"/>
        <w:jc w:val="both"/>
        <w:rPr>
          <w:rFonts w:asciiTheme="minorHAnsi" w:hAnsiTheme="minorHAnsi"/>
          <w:b/>
        </w:rPr>
      </w:pPr>
      <w:r w:rsidRPr="005432E1">
        <w:rPr>
          <w:rFonts w:asciiTheme="minorHAnsi" w:hAnsiTheme="minorHAnsi"/>
          <w:b/>
        </w:rPr>
        <w:t>Tema 0</w:t>
      </w:r>
      <w:r w:rsidR="00766332" w:rsidRPr="005432E1">
        <w:rPr>
          <w:rFonts w:asciiTheme="minorHAnsi" w:hAnsiTheme="minorHAnsi"/>
          <w:b/>
        </w:rPr>
        <w:t>6</w:t>
      </w:r>
      <w:r w:rsidRPr="005432E1">
        <w:rPr>
          <w:rFonts w:asciiTheme="minorHAnsi" w:hAnsiTheme="minorHAnsi"/>
          <w:b/>
        </w:rPr>
        <w:t>: Legalidade da Portaria nº 257/2011 do Ministro da Fazenda - majoração da alíquota do Siscomex</w:t>
      </w:r>
    </w:p>
    <w:p w14:paraId="38519244" w14:textId="77777777" w:rsidR="006375C5" w:rsidRPr="005432E1" w:rsidRDefault="006375C5" w:rsidP="00F4001D">
      <w:pPr>
        <w:autoSpaceDE w:val="0"/>
        <w:autoSpaceDN w:val="0"/>
        <w:adjustRightInd w:val="0"/>
        <w:jc w:val="both"/>
        <w:rPr>
          <w:rFonts w:asciiTheme="minorHAnsi" w:hAnsiTheme="minorHAnsi"/>
        </w:rPr>
      </w:pPr>
      <w:r w:rsidRPr="005432E1">
        <w:rPr>
          <w:rFonts w:asciiTheme="minorHAnsi" w:hAnsiTheme="minorHAnsi"/>
          <w:b/>
        </w:rPr>
        <w:t>Autora e Réu:</w:t>
      </w:r>
      <w:r w:rsidRPr="005432E1">
        <w:rPr>
          <w:rFonts w:asciiTheme="minorHAnsi" w:hAnsiTheme="minorHAnsi"/>
        </w:rPr>
        <w:t xml:space="preserve"> União</w:t>
      </w:r>
    </w:p>
    <w:p w14:paraId="2C64FE5D" w14:textId="77777777" w:rsidR="006375C5" w:rsidRPr="005432E1" w:rsidRDefault="006375C5" w:rsidP="00F4001D">
      <w:pPr>
        <w:autoSpaceDE w:val="0"/>
        <w:autoSpaceDN w:val="0"/>
        <w:adjustRightInd w:val="0"/>
        <w:jc w:val="both"/>
        <w:rPr>
          <w:rFonts w:asciiTheme="minorHAnsi" w:hAnsiTheme="minorHAnsi"/>
          <w:b/>
        </w:rPr>
      </w:pPr>
      <w:r w:rsidRPr="005432E1">
        <w:rPr>
          <w:rFonts w:asciiTheme="minorHAnsi" w:hAnsiTheme="minorHAnsi"/>
          <w:b/>
        </w:rPr>
        <w:t>Passivo contingente</w:t>
      </w:r>
    </w:p>
    <w:p w14:paraId="397F1073" w14:textId="77777777" w:rsidR="006375C5" w:rsidRPr="005432E1" w:rsidRDefault="006375C5" w:rsidP="00F4001D">
      <w:pPr>
        <w:autoSpaceDE w:val="0"/>
        <w:autoSpaceDN w:val="0"/>
        <w:adjustRightInd w:val="0"/>
        <w:jc w:val="both"/>
        <w:rPr>
          <w:rFonts w:asciiTheme="minorHAnsi" w:hAnsiTheme="minorHAnsi"/>
        </w:rPr>
      </w:pPr>
      <w:r w:rsidRPr="005432E1">
        <w:rPr>
          <w:rFonts w:asciiTheme="minorHAnsi" w:hAnsiTheme="minorHAnsi"/>
          <w:b/>
        </w:rPr>
        <w:t>Risco:</w:t>
      </w:r>
      <w:r w:rsidRPr="005432E1">
        <w:rPr>
          <w:rFonts w:asciiTheme="minorHAnsi" w:hAnsiTheme="minorHAnsi"/>
        </w:rPr>
        <w:t xml:space="preserve"> Possível, Art. 3º, II, “d”, c/c com o Art. 3º, §2</w:t>
      </w:r>
    </w:p>
    <w:p w14:paraId="5AA6DD5F" w14:textId="77777777" w:rsidR="006375C5" w:rsidRPr="005432E1" w:rsidRDefault="006375C5" w:rsidP="00F4001D">
      <w:pPr>
        <w:autoSpaceDE w:val="0"/>
        <w:autoSpaceDN w:val="0"/>
        <w:adjustRightInd w:val="0"/>
        <w:jc w:val="both"/>
        <w:rPr>
          <w:rFonts w:asciiTheme="minorHAnsi" w:hAnsiTheme="minorHAnsi"/>
        </w:rPr>
      </w:pPr>
      <w:r w:rsidRPr="005432E1">
        <w:rPr>
          <w:rFonts w:asciiTheme="minorHAnsi" w:hAnsiTheme="minorHAnsi"/>
          <w:b/>
        </w:rPr>
        <w:t>Objeto:</w:t>
      </w:r>
      <w:r w:rsidRPr="005432E1">
        <w:rPr>
          <w:rFonts w:asciiTheme="minorHAnsi" w:hAnsiTheme="minorHAnsi"/>
        </w:rPr>
        <w:t xml:space="preserve"> Julgar-se-á a ilegalidade da portaria nº 257/2011 do Ministro da Fazenda, que com base no prescrito pela Lei 9.716/98 (art. 3º), majorou a alíquota do Siscomex de 29,05 reais para aproximadamente 185 reais.</w:t>
      </w:r>
    </w:p>
    <w:p w14:paraId="4E877E4C" w14:textId="77777777" w:rsidR="006375C5" w:rsidRPr="005432E1" w:rsidRDefault="006375C5" w:rsidP="00F4001D">
      <w:pPr>
        <w:autoSpaceDE w:val="0"/>
        <w:autoSpaceDN w:val="0"/>
        <w:adjustRightInd w:val="0"/>
        <w:jc w:val="both"/>
        <w:rPr>
          <w:rFonts w:asciiTheme="minorHAnsi" w:hAnsiTheme="minorHAnsi"/>
        </w:rPr>
      </w:pPr>
      <w:r w:rsidRPr="005432E1">
        <w:rPr>
          <w:rFonts w:asciiTheme="minorHAnsi" w:hAnsiTheme="minorHAnsi"/>
          <w:b/>
        </w:rPr>
        <w:t>Instância atual:</w:t>
      </w:r>
      <w:r w:rsidRPr="005432E1">
        <w:rPr>
          <w:rFonts w:asciiTheme="minorHAnsi" w:hAnsiTheme="minorHAnsi"/>
        </w:rPr>
        <w:t xml:space="preserve"> STJ.</w:t>
      </w:r>
    </w:p>
    <w:p w14:paraId="3F04FBF5" w14:textId="77777777" w:rsidR="006375C5" w:rsidRPr="005432E1" w:rsidRDefault="006375C5" w:rsidP="00F4001D">
      <w:pPr>
        <w:autoSpaceDE w:val="0"/>
        <w:autoSpaceDN w:val="0"/>
        <w:adjustRightInd w:val="0"/>
        <w:jc w:val="both"/>
        <w:rPr>
          <w:rFonts w:asciiTheme="minorHAnsi" w:hAnsiTheme="minorHAnsi"/>
        </w:rPr>
      </w:pPr>
      <w:r w:rsidRPr="005432E1">
        <w:rPr>
          <w:rFonts w:asciiTheme="minorHAnsi" w:hAnsiTheme="minorHAnsi"/>
          <w:b/>
        </w:rPr>
        <w:t>Estimativa de impacto:</w:t>
      </w:r>
      <w:r w:rsidRPr="005432E1">
        <w:rPr>
          <w:rFonts w:asciiTheme="minorHAnsi" w:hAnsiTheme="minorHAnsi"/>
        </w:rPr>
        <w:t xml:space="preserve"> média anual arrecadada com o Siscomex de</w:t>
      </w:r>
      <w:r w:rsidR="00F4001D" w:rsidRPr="005432E1">
        <w:rPr>
          <w:rFonts w:asciiTheme="minorHAnsi" w:hAnsiTheme="minorHAnsi"/>
        </w:rPr>
        <w:t xml:space="preserve"> </w:t>
      </w:r>
      <w:r w:rsidRPr="005432E1">
        <w:rPr>
          <w:rFonts w:asciiTheme="minorHAnsi" w:hAnsiTheme="minorHAnsi"/>
        </w:rPr>
        <w:t>2012 a 2016 foi de cerca de R$ 629 milhões. Comparando-se esse</w:t>
      </w:r>
      <w:r w:rsidR="00F4001D" w:rsidRPr="005432E1">
        <w:rPr>
          <w:rFonts w:asciiTheme="minorHAnsi" w:hAnsiTheme="minorHAnsi"/>
        </w:rPr>
        <w:t xml:space="preserve"> </w:t>
      </w:r>
      <w:r w:rsidRPr="005432E1">
        <w:rPr>
          <w:rFonts w:asciiTheme="minorHAnsi" w:hAnsiTheme="minorHAnsi"/>
        </w:rPr>
        <w:t>número com a arrecadação do ano de 2010 (último ano inteiro antes do</w:t>
      </w:r>
      <w:r w:rsidR="00F4001D" w:rsidRPr="005432E1">
        <w:rPr>
          <w:rFonts w:asciiTheme="minorHAnsi" w:hAnsiTheme="minorHAnsi"/>
        </w:rPr>
        <w:t xml:space="preserve"> </w:t>
      </w:r>
      <w:r w:rsidRPr="005432E1">
        <w:rPr>
          <w:rFonts w:asciiTheme="minorHAnsi" w:hAnsiTheme="minorHAnsi"/>
        </w:rPr>
        <w:t>aumento, já que o ano de 2011 tem valores com e sem o aumento), que foi</w:t>
      </w:r>
      <w:r w:rsidR="00F4001D" w:rsidRPr="005432E1">
        <w:rPr>
          <w:rFonts w:asciiTheme="minorHAnsi" w:hAnsiTheme="minorHAnsi"/>
        </w:rPr>
        <w:t xml:space="preserve"> </w:t>
      </w:r>
      <w:r w:rsidRPr="005432E1">
        <w:rPr>
          <w:rFonts w:asciiTheme="minorHAnsi" w:hAnsiTheme="minorHAnsi"/>
        </w:rPr>
        <w:t>de cerca de R$ 130 milhões, teríamos um acréscimo de quase R$ 500</w:t>
      </w:r>
      <w:r w:rsidR="00F4001D" w:rsidRPr="005432E1">
        <w:rPr>
          <w:rFonts w:asciiTheme="minorHAnsi" w:hAnsiTheme="minorHAnsi"/>
        </w:rPr>
        <w:t xml:space="preserve"> </w:t>
      </w:r>
      <w:r w:rsidRPr="005432E1">
        <w:rPr>
          <w:rFonts w:asciiTheme="minorHAnsi" w:hAnsiTheme="minorHAnsi"/>
        </w:rPr>
        <w:t>milhões por ano. Nos últimos cinco anos: 2,5 bilhões. Informações da</w:t>
      </w:r>
      <w:r w:rsidR="00F4001D" w:rsidRPr="005432E1">
        <w:rPr>
          <w:rFonts w:asciiTheme="minorHAnsi" w:hAnsiTheme="minorHAnsi"/>
        </w:rPr>
        <w:t xml:space="preserve"> </w:t>
      </w:r>
      <w:r w:rsidRPr="005432E1">
        <w:rPr>
          <w:rFonts w:asciiTheme="minorHAnsi" w:hAnsiTheme="minorHAnsi"/>
        </w:rPr>
        <w:t>Receita Federal do Brasil.</w:t>
      </w:r>
    </w:p>
    <w:p w14:paraId="3D42B162" w14:textId="77777777" w:rsidR="006375C5" w:rsidRPr="005432E1" w:rsidRDefault="006375C5" w:rsidP="006375C5">
      <w:pPr>
        <w:autoSpaceDE w:val="0"/>
        <w:autoSpaceDN w:val="0"/>
        <w:adjustRightInd w:val="0"/>
        <w:rPr>
          <w:rFonts w:asciiTheme="minorHAnsi" w:hAnsiTheme="minorHAnsi"/>
        </w:rPr>
      </w:pPr>
    </w:p>
    <w:p w14:paraId="429BCC1A" w14:textId="77777777" w:rsidR="002B0F44" w:rsidRPr="005432E1" w:rsidRDefault="006C4C8F" w:rsidP="004C4B03">
      <w:pPr>
        <w:pStyle w:val="Ttulo3"/>
        <w:numPr>
          <w:ilvl w:val="0"/>
          <w:numId w:val="0"/>
        </w:numPr>
        <w:rPr>
          <w:rFonts w:asciiTheme="minorHAnsi" w:hAnsiTheme="minorHAnsi"/>
          <w:b/>
        </w:rPr>
      </w:pPr>
      <w:bookmarkStart w:id="103" w:name="_Toc384127188"/>
      <w:bookmarkStart w:id="104" w:name="_Toc414973419"/>
      <w:bookmarkStart w:id="105" w:name="_Toc447189122"/>
      <w:bookmarkStart w:id="106" w:name="_Toc511230022"/>
      <w:r w:rsidRPr="005432E1">
        <w:rPr>
          <w:rFonts w:asciiTheme="minorHAnsi" w:hAnsiTheme="minorHAnsi"/>
          <w:b/>
        </w:rPr>
        <w:t>3.</w:t>
      </w:r>
      <w:r w:rsidR="003F6DAB" w:rsidRPr="005432E1">
        <w:rPr>
          <w:rFonts w:asciiTheme="minorHAnsi" w:hAnsiTheme="minorHAnsi"/>
          <w:b/>
        </w:rPr>
        <w:t>1</w:t>
      </w:r>
      <w:r w:rsidRPr="005432E1">
        <w:rPr>
          <w:rFonts w:asciiTheme="minorHAnsi" w:hAnsiTheme="minorHAnsi"/>
          <w:b/>
        </w:rPr>
        <w:t>.</w:t>
      </w:r>
      <w:r w:rsidR="0084345C" w:rsidRPr="005432E1">
        <w:rPr>
          <w:rFonts w:asciiTheme="minorHAnsi" w:hAnsiTheme="minorHAnsi"/>
          <w:b/>
        </w:rPr>
        <w:t>3</w:t>
      </w:r>
      <w:r w:rsidRPr="005432E1">
        <w:rPr>
          <w:rFonts w:asciiTheme="minorHAnsi" w:hAnsiTheme="minorHAnsi"/>
          <w:b/>
        </w:rPr>
        <w:tab/>
        <w:t xml:space="preserve">Demandas Judiciais Contra As Autarquias </w:t>
      </w:r>
      <w:r w:rsidR="00066FC1" w:rsidRPr="005432E1">
        <w:rPr>
          <w:rFonts w:asciiTheme="minorHAnsi" w:hAnsiTheme="minorHAnsi"/>
          <w:b/>
        </w:rPr>
        <w:t>e</w:t>
      </w:r>
      <w:r w:rsidRPr="005432E1">
        <w:rPr>
          <w:rFonts w:asciiTheme="minorHAnsi" w:hAnsiTheme="minorHAnsi"/>
          <w:b/>
        </w:rPr>
        <w:t xml:space="preserve"> Fundações - Procuradoria-Geral Federal - </w:t>
      </w:r>
      <w:bookmarkEnd w:id="103"/>
      <w:bookmarkEnd w:id="104"/>
      <w:bookmarkEnd w:id="105"/>
      <w:r w:rsidR="002D2FBD" w:rsidRPr="005432E1">
        <w:rPr>
          <w:rFonts w:asciiTheme="minorHAnsi" w:hAnsiTheme="minorHAnsi"/>
          <w:b/>
        </w:rPr>
        <w:t>PGF</w:t>
      </w:r>
      <w:bookmarkEnd w:id="106"/>
    </w:p>
    <w:p w14:paraId="6DF1D091" w14:textId="77777777" w:rsidR="002B0F44" w:rsidRPr="005432E1" w:rsidRDefault="002B0F44" w:rsidP="006F4AC5">
      <w:pPr>
        <w:ind w:firstLine="709"/>
        <w:rPr>
          <w:rFonts w:asciiTheme="minorHAnsi" w:hAnsiTheme="minorHAnsi"/>
        </w:rPr>
      </w:pPr>
    </w:p>
    <w:p w14:paraId="70DB43AF" w14:textId="77777777" w:rsidR="002B0F44" w:rsidRPr="005432E1" w:rsidRDefault="002B0F44" w:rsidP="006F4AC5">
      <w:pPr>
        <w:spacing w:after="120"/>
        <w:ind w:firstLine="709"/>
        <w:jc w:val="both"/>
        <w:rPr>
          <w:rFonts w:asciiTheme="minorHAnsi" w:hAnsiTheme="minorHAnsi"/>
        </w:rPr>
      </w:pPr>
      <w:r w:rsidRPr="005432E1">
        <w:rPr>
          <w:rFonts w:asciiTheme="minorHAnsi" w:hAnsiTheme="minorHAnsi"/>
        </w:rPr>
        <w:t xml:space="preserve">Compete à </w:t>
      </w:r>
      <w:r w:rsidR="00AD000C" w:rsidRPr="005432E1">
        <w:rPr>
          <w:rFonts w:asciiTheme="minorHAnsi" w:hAnsiTheme="minorHAnsi"/>
        </w:rPr>
        <w:t xml:space="preserve">PGF </w:t>
      </w:r>
      <w:r w:rsidRPr="005432E1">
        <w:rPr>
          <w:rFonts w:asciiTheme="minorHAnsi" w:hAnsiTheme="minorHAnsi"/>
        </w:rPr>
        <w:t xml:space="preserve">exercer a representação judicial, extrajudicial, a consultoria e o assessoramento jurídicos das autarquias e fundações públicas federais, bem como a apuração da liquidez e certeza dos créditos, de qualquer natureza, inerentes às suas atividades, inscrevendo-os em dívida ativa, para fins de cobrança amigável ou judicial. Assim, as ações que discutem os benefícios previdenciários pagos pelo RGPS/INSS estão incluídas a seguir. </w:t>
      </w:r>
    </w:p>
    <w:p w14:paraId="26C077E7" w14:textId="77777777" w:rsidR="002B0F44" w:rsidRPr="005432E1" w:rsidRDefault="002B0F44" w:rsidP="006F4AC5">
      <w:pPr>
        <w:spacing w:after="120"/>
        <w:ind w:firstLine="709"/>
        <w:jc w:val="both"/>
        <w:rPr>
          <w:rFonts w:asciiTheme="minorHAnsi" w:hAnsiTheme="minorHAnsi"/>
        </w:rPr>
      </w:pPr>
      <w:r w:rsidRPr="005432E1">
        <w:rPr>
          <w:rFonts w:asciiTheme="minorHAnsi" w:hAnsiTheme="minorHAnsi"/>
        </w:rPr>
        <w:t>O impacto financeiro dessas ações é estimado e revela a expectativa da repercussão econômica em caso de decisão judicial desfavorável, seja pela criação de despesa ou pela redução de receita. Quando não especificado de forma contrária, os custos estimados computam não só as despesas iniciais com o pagamento de atrasados, mas, também, o impacto futuro da questão nas contas públicas. Assim, os impactos referidos podem ser diluídos ao longo do tempo, não sendo necessariamente realizados em um único exercício fiscal.</w:t>
      </w:r>
    </w:p>
    <w:p w14:paraId="40C49EFA" w14:textId="77777777" w:rsidR="002B0F44" w:rsidRPr="005432E1" w:rsidRDefault="002B0F44" w:rsidP="006F4AC5">
      <w:pPr>
        <w:spacing w:after="120"/>
        <w:ind w:firstLine="709"/>
        <w:jc w:val="both"/>
        <w:rPr>
          <w:rFonts w:asciiTheme="minorHAnsi" w:hAnsiTheme="minorHAnsi"/>
        </w:rPr>
      </w:pPr>
      <w:r w:rsidRPr="005432E1">
        <w:rPr>
          <w:rFonts w:asciiTheme="minorHAnsi" w:hAnsiTheme="minorHAnsi"/>
        </w:rPr>
        <w:t>Por fim, nos casos em que não foi possív</w:t>
      </w:r>
      <w:r w:rsidR="008115CB" w:rsidRPr="005432E1">
        <w:rPr>
          <w:rFonts w:asciiTheme="minorHAnsi" w:hAnsiTheme="minorHAnsi"/>
        </w:rPr>
        <w:t>el estimar o impacto financeiro</w:t>
      </w:r>
      <w:r w:rsidRPr="005432E1">
        <w:rPr>
          <w:rFonts w:asciiTheme="minorHAnsi" w:hAnsiTheme="minorHAnsi"/>
        </w:rPr>
        <w:t xml:space="preserve"> por não haver parâmetros judiciais disponíveis ou por haver um grande número de variáveis que trazem elevada incerteza quanto ao impacto financeiro, consta a informação “não mensurado com suficiente segurança”.</w:t>
      </w:r>
    </w:p>
    <w:p w14:paraId="5213B04A" w14:textId="77777777" w:rsidR="00EA6215" w:rsidRPr="005432E1" w:rsidRDefault="004E1A2C" w:rsidP="006F4AC5">
      <w:pPr>
        <w:spacing w:after="120"/>
        <w:ind w:firstLine="709"/>
        <w:jc w:val="both"/>
        <w:rPr>
          <w:rFonts w:asciiTheme="minorHAnsi" w:hAnsiTheme="minorHAnsi"/>
          <w:b/>
          <w:bCs/>
        </w:rPr>
      </w:pPr>
      <w:r w:rsidRPr="005432E1">
        <w:rPr>
          <w:rFonts w:asciiTheme="minorHAnsi" w:hAnsiTheme="minorHAnsi"/>
        </w:rPr>
        <w:t>Para os efeitos da análise do risco fiscal dos passivos contingentes, foram considerados os parâmetros fixados na portaria AGU nº 40, de 10 de fevereiro de 2015, sendo c</w:t>
      </w:r>
      <w:r w:rsidR="00392562" w:rsidRPr="005432E1">
        <w:rPr>
          <w:rFonts w:asciiTheme="minorHAnsi" w:hAnsiTheme="minorHAnsi"/>
        </w:rPr>
        <w:t>onsiderado</w:t>
      </w:r>
      <w:r w:rsidRPr="005432E1">
        <w:rPr>
          <w:rFonts w:asciiTheme="minorHAnsi" w:hAnsiTheme="minorHAnsi"/>
        </w:rPr>
        <w:t xml:space="preserve"> com</w:t>
      </w:r>
      <w:r w:rsidR="00797F91" w:rsidRPr="005432E1">
        <w:rPr>
          <w:rFonts w:asciiTheme="minorHAnsi" w:hAnsiTheme="minorHAnsi"/>
        </w:rPr>
        <w:t>o</w:t>
      </w:r>
      <w:r w:rsidRPr="005432E1">
        <w:rPr>
          <w:rFonts w:asciiTheme="minorHAnsi" w:hAnsiTheme="minorHAnsi"/>
        </w:rPr>
        <w:t xml:space="preserve"> risco possível </w:t>
      </w:r>
      <w:r w:rsidR="00835A1D" w:rsidRPr="005432E1">
        <w:rPr>
          <w:rFonts w:asciiTheme="minorHAnsi" w:hAnsiTheme="minorHAnsi"/>
        </w:rPr>
        <w:t xml:space="preserve">somente </w:t>
      </w:r>
      <w:r w:rsidR="00797F91" w:rsidRPr="005432E1">
        <w:rPr>
          <w:rFonts w:asciiTheme="minorHAnsi" w:hAnsiTheme="minorHAnsi"/>
        </w:rPr>
        <w:t>o</w:t>
      </w:r>
      <w:r w:rsidR="00392562" w:rsidRPr="005432E1">
        <w:rPr>
          <w:rFonts w:asciiTheme="minorHAnsi" w:hAnsiTheme="minorHAnsi"/>
        </w:rPr>
        <w:t xml:space="preserve"> </w:t>
      </w:r>
      <w:r w:rsidR="00835A1D" w:rsidRPr="005432E1">
        <w:rPr>
          <w:rFonts w:asciiTheme="minorHAnsi" w:hAnsiTheme="minorHAnsi"/>
        </w:rPr>
        <w:t>tema</w:t>
      </w:r>
      <w:r w:rsidR="00BA350C" w:rsidRPr="005432E1">
        <w:rPr>
          <w:rFonts w:asciiTheme="minorHAnsi" w:hAnsiTheme="minorHAnsi"/>
        </w:rPr>
        <w:t xml:space="preserve"> abaixo</w:t>
      </w:r>
      <w:r w:rsidR="00835A1D" w:rsidRPr="005432E1">
        <w:rPr>
          <w:rFonts w:asciiTheme="minorHAnsi" w:hAnsiTheme="minorHAnsi"/>
        </w:rPr>
        <w:t>. Destaque-se, por oportuno, que não houve alteração em relação aos riscos</w:t>
      </w:r>
      <w:r w:rsidR="00BA350C" w:rsidRPr="005432E1">
        <w:rPr>
          <w:rFonts w:asciiTheme="minorHAnsi" w:hAnsiTheme="minorHAnsi"/>
        </w:rPr>
        <w:t xml:space="preserve"> possíveis</w:t>
      </w:r>
      <w:r w:rsidR="00835A1D" w:rsidRPr="005432E1">
        <w:rPr>
          <w:rFonts w:asciiTheme="minorHAnsi" w:hAnsiTheme="minorHAnsi"/>
        </w:rPr>
        <w:t xml:space="preserve"> apontados no ano anterior.</w:t>
      </w:r>
    </w:p>
    <w:p w14:paraId="585EEE0F" w14:textId="77777777" w:rsidR="00B346E0" w:rsidRPr="005432E1" w:rsidRDefault="00B346E0" w:rsidP="006F4AC5">
      <w:pPr>
        <w:autoSpaceDE w:val="0"/>
        <w:autoSpaceDN w:val="0"/>
        <w:adjustRightInd w:val="0"/>
        <w:jc w:val="both"/>
        <w:rPr>
          <w:rFonts w:asciiTheme="minorHAnsi" w:hAnsiTheme="minorHAnsi"/>
          <w:b/>
          <w:bCs/>
        </w:rPr>
      </w:pPr>
    </w:p>
    <w:p w14:paraId="4CDF93DC" w14:textId="77777777" w:rsidR="00274956" w:rsidRPr="005432E1" w:rsidRDefault="00EA6215" w:rsidP="006F4AC5">
      <w:pPr>
        <w:autoSpaceDE w:val="0"/>
        <w:autoSpaceDN w:val="0"/>
        <w:adjustRightInd w:val="0"/>
        <w:jc w:val="both"/>
        <w:rPr>
          <w:rFonts w:asciiTheme="minorHAnsi" w:hAnsiTheme="minorHAnsi"/>
          <w:b/>
          <w:bCs/>
        </w:rPr>
      </w:pPr>
      <w:r w:rsidRPr="005432E1">
        <w:rPr>
          <w:rFonts w:asciiTheme="minorHAnsi" w:hAnsiTheme="minorHAnsi"/>
          <w:b/>
          <w:bCs/>
        </w:rPr>
        <w:t xml:space="preserve">Tema: </w:t>
      </w:r>
      <w:r w:rsidR="00274956" w:rsidRPr="005432E1">
        <w:rPr>
          <w:rFonts w:asciiTheme="minorHAnsi" w:hAnsiTheme="minorHAnsi"/>
          <w:b/>
          <w:bCs/>
        </w:rPr>
        <w:t>Discussão de valores envolvendo desapropriações para fins de reforma agrária.</w:t>
      </w:r>
    </w:p>
    <w:p w14:paraId="383833AB" w14:textId="77777777" w:rsidR="00274956"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Parte: INCRA (Instituto Nacional de Colonização e Reforma Agrária).</w:t>
      </w:r>
    </w:p>
    <w:p w14:paraId="5F22EB4E" w14:textId="77777777" w:rsidR="00274956" w:rsidRPr="005432E1" w:rsidRDefault="00274956" w:rsidP="006F4AC5">
      <w:pPr>
        <w:autoSpaceDE w:val="0"/>
        <w:autoSpaceDN w:val="0"/>
        <w:adjustRightInd w:val="0"/>
        <w:jc w:val="both"/>
        <w:rPr>
          <w:rFonts w:asciiTheme="minorHAnsi" w:hAnsiTheme="minorHAnsi"/>
          <w:bCs/>
        </w:rPr>
      </w:pPr>
      <w:r w:rsidRPr="005432E1">
        <w:rPr>
          <w:rFonts w:asciiTheme="minorHAnsi" w:hAnsiTheme="minorHAnsi"/>
          <w:b/>
          <w:bCs/>
        </w:rPr>
        <w:t xml:space="preserve">Ativo/Passivo: </w:t>
      </w:r>
      <w:r w:rsidRPr="005432E1">
        <w:rPr>
          <w:rFonts w:asciiTheme="minorHAnsi" w:hAnsiTheme="minorHAnsi"/>
          <w:bCs/>
        </w:rPr>
        <w:t>Passivo.</w:t>
      </w:r>
    </w:p>
    <w:p w14:paraId="59A9F46A" w14:textId="77777777" w:rsidR="00274956"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 xml:space="preserve">Tipo de risco: </w:t>
      </w:r>
      <w:r w:rsidRPr="005432E1">
        <w:rPr>
          <w:rFonts w:asciiTheme="minorHAnsi" w:hAnsiTheme="minorHAnsi"/>
          <w:bCs/>
        </w:rPr>
        <w:t>Agrário.</w:t>
      </w:r>
    </w:p>
    <w:p w14:paraId="6812619E" w14:textId="77777777" w:rsidR="00274956"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 xml:space="preserve">Objeto: </w:t>
      </w:r>
      <w:r w:rsidRPr="005432E1">
        <w:rPr>
          <w:rFonts w:asciiTheme="minorHAnsi" w:hAnsiTheme="minorHAnsi"/>
          <w:bCs/>
        </w:rPr>
        <w:t>Discussões acerca dos valores devidos a título de indenização de desapropriaçõ</w:t>
      </w:r>
      <w:r w:rsidR="00392562" w:rsidRPr="005432E1">
        <w:rPr>
          <w:rFonts w:asciiTheme="minorHAnsi" w:hAnsiTheme="minorHAnsi"/>
          <w:bCs/>
        </w:rPr>
        <w:t>es para fins de reforma agrária</w:t>
      </w:r>
      <w:r w:rsidRPr="005432E1">
        <w:rPr>
          <w:rFonts w:asciiTheme="minorHAnsi" w:hAnsiTheme="minorHAnsi"/>
          <w:bCs/>
        </w:rPr>
        <w:t>. O presente risco diz respeito ao valor complementar supostamente devido pelo INCRA em razão de desapropriações já realizadas, mas cujo pagamento ainda vem sendo discutido em juízo.</w:t>
      </w:r>
    </w:p>
    <w:p w14:paraId="2437E5CF" w14:textId="77777777" w:rsidR="00274956"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 xml:space="preserve">Instância atual: </w:t>
      </w:r>
      <w:r w:rsidRPr="005432E1">
        <w:rPr>
          <w:rFonts w:asciiTheme="minorHAnsi" w:hAnsiTheme="minorHAnsi"/>
          <w:bCs/>
        </w:rPr>
        <w:t>STJ.</w:t>
      </w:r>
    </w:p>
    <w:p w14:paraId="0F77EFE6" w14:textId="77777777" w:rsidR="00274956" w:rsidRPr="005432E1" w:rsidRDefault="00274956" w:rsidP="006F4AC5">
      <w:pPr>
        <w:autoSpaceDE w:val="0"/>
        <w:autoSpaceDN w:val="0"/>
        <w:adjustRightInd w:val="0"/>
        <w:jc w:val="both"/>
        <w:rPr>
          <w:rFonts w:asciiTheme="minorHAnsi" w:hAnsiTheme="minorHAnsi"/>
          <w:bCs/>
        </w:rPr>
      </w:pPr>
      <w:r w:rsidRPr="005432E1">
        <w:rPr>
          <w:rFonts w:asciiTheme="minorHAnsi" w:hAnsiTheme="minorHAnsi"/>
          <w:b/>
          <w:bCs/>
        </w:rPr>
        <w:t>Estimativa de impacto: </w:t>
      </w:r>
      <w:r w:rsidRPr="005432E1">
        <w:rPr>
          <w:rFonts w:asciiTheme="minorHAnsi" w:hAnsiTheme="minorHAnsi"/>
          <w:bCs/>
        </w:rPr>
        <w:t>R$ 8,3 bilhões. Este valor poderá ser alterado, na hipótese de afastamento do risco III.2. Esta estimativa poderá ser revista no futuro. </w:t>
      </w:r>
    </w:p>
    <w:p w14:paraId="073AF8CA" w14:textId="77777777" w:rsidR="00EA6215"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Probabilidade de perda: Possível, nos termos do art. 3º, II, “d” da Portaria AGU nº 40/2015. </w:t>
      </w:r>
    </w:p>
    <w:p w14:paraId="7C6713A1" w14:textId="77777777" w:rsidR="00274956" w:rsidRPr="005432E1" w:rsidRDefault="00274956" w:rsidP="006F4AC5">
      <w:pPr>
        <w:autoSpaceDE w:val="0"/>
        <w:autoSpaceDN w:val="0"/>
        <w:adjustRightInd w:val="0"/>
        <w:jc w:val="both"/>
        <w:rPr>
          <w:rFonts w:asciiTheme="minorHAnsi" w:hAnsiTheme="minorHAnsi"/>
          <w:b/>
          <w:bCs/>
        </w:rPr>
      </w:pPr>
      <w:r w:rsidRPr="005432E1">
        <w:rPr>
          <w:rFonts w:asciiTheme="minorHAnsi" w:hAnsiTheme="minorHAnsi"/>
          <w:b/>
          <w:bCs/>
        </w:rPr>
        <w:t> </w:t>
      </w:r>
    </w:p>
    <w:p w14:paraId="1968F4D0" w14:textId="77777777" w:rsidR="002B0F44" w:rsidRPr="005432E1" w:rsidRDefault="006C4C8F" w:rsidP="004C4B03">
      <w:pPr>
        <w:pStyle w:val="Ttulo3"/>
        <w:numPr>
          <w:ilvl w:val="0"/>
          <w:numId w:val="0"/>
        </w:numPr>
        <w:rPr>
          <w:rFonts w:asciiTheme="minorHAnsi" w:hAnsiTheme="minorHAnsi"/>
          <w:b/>
        </w:rPr>
      </w:pPr>
      <w:bookmarkStart w:id="107" w:name="_Toc384127189"/>
      <w:bookmarkStart w:id="108" w:name="_Toc414973420"/>
      <w:bookmarkStart w:id="109" w:name="_Toc447189123"/>
      <w:bookmarkStart w:id="110" w:name="_Toc511230023"/>
      <w:r w:rsidRPr="005432E1">
        <w:rPr>
          <w:rFonts w:asciiTheme="minorHAnsi" w:hAnsiTheme="minorHAnsi"/>
          <w:b/>
        </w:rPr>
        <w:t>3.</w:t>
      </w:r>
      <w:r w:rsidR="003F6DAB" w:rsidRPr="005432E1">
        <w:rPr>
          <w:rFonts w:asciiTheme="minorHAnsi" w:hAnsiTheme="minorHAnsi"/>
          <w:b/>
        </w:rPr>
        <w:t>1</w:t>
      </w:r>
      <w:r w:rsidRPr="005432E1">
        <w:rPr>
          <w:rFonts w:asciiTheme="minorHAnsi" w:hAnsiTheme="minorHAnsi"/>
          <w:b/>
        </w:rPr>
        <w:t>.</w:t>
      </w:r>
      <w:r w:rsidR="008B460B" w:rsidRPr="005432E1">
        <w:rPr>
          <w:rFonts w:asciiTheme="minorHAnsi" w:hAnsiTheme="minorHAnsi"/>
          <w:b/>
        </w:rPr>
        <w:t>4</w:t>
      </w:r>
      <w:r w:rsidRPr="005432E1">
        <w:rPr>
          <w:rFonts w:asciiTheme="minorHAnsi" w:hAnsiTheme="minorHAnsi"/>
          <w:b/>
        </w:rPr>
        <w:tab/>
        <w:t xml:space="preserve">Demandas Judiciais </w:t>
      </w:r>
      <w:r w:rsidR="002D2FBD" w:rsidRPr="005432E1">
        <w:rPr>
          <w:rFonts w:asciiTheme="minorHAnsi" w:hAnsiTheme="minorHAnsi"/>
          <w:b/>
        </w:rPr>
        <w:t>d</w:t>
      </w:r>
      <w:r w:rsidRPr="005432E1">
        <w:rPr>
          <w:rFonts w:asciiTheme="minorHAnsi" w:hAnsiTheme="minorHAnsi"/>
          <w:b/>
        </w:rPr>
        <w:t>as</w:t>
      </w:r>
      <w:r w:rsidR="002D2FBD" w:rsidRPr="005432E1">
        <w:rPr>
          <w:rFonts w:asciiTheme="minorHAnsi" w:hAnsiTheme="minorHAnsi"/>
          <w:b/>
        </w:rPr>
        <w:t xml:space="preserve"> Empresas Estatais Dependentes d</w:t>
      </w:r>
      <w:r w:rsidRPr="005432E1">
        <w:rPr>
          <w:rFonts w:asciiTheme="minorHAnsi" w:hAnsiTheme="minorHAnsi"/>
          <w:b/>
        </w:rPr>
        <w:t xml:space="preserve">a União </w:t>
      </w:r>
      <w:r w:rsidR="002D2FBD" w:rsidRPr="005432E1">
        <w:rPr>
          <w:rFonts w:asciiTheme="minorHAnsi" w:hAnsiTheme="minorHAnsi"/>
          <w:b/>
        </w:rPr>
        <w:t>que</w:t>
      </w:r>
      <w:r w:rsidRPr="005432E1">
        <w:rPr>
          <w:rFonts w:asciiTheme="minorHAnsi" w:hAnsiTheme="minorHAnsi"/>
          <w:b/>
        </w:rPr>
        <w:t xml:space="preserve"> </w:t>
      </w:r>
      <w:r w:rsidR="002D2FBD" w:rsidRPr="005432E1">
        <w:rPr>
          <w:rFonts w:asciiTheme="minorHAnsi" w:hAnsiTheme="minorHAnsi"/>
          <w:b/>
        </w:rPr>
        <w:t>fazem p</w:t>
      </w:r>
      <w:r w:rsidRPr="005432E1">
        <w:rPr>
          <w:rFonts w:asciiTheme="minorHAnsi" w:hAnsiTheme="minorHAnsi"/>
          <w:b/>
        </w:rPr>
        <w:t xml:space="preserve">arte </w:t>
      </w:r>
      <w:r w:rsidR="002D2FBD" w:rsidRPr="005432E1">
        <w:rPr>
          <w:rFonts w:asciiTheme="minorHAnsi" w:hAnsiTheme="minorHAnsi"/>
          <w:b/>
        </w:rPr>
        <w:t>d</w:t>
      </w:r>
      <w:r w:rsidRPr="005432E1">
        <w:rPr>
          <w:rFonts w:asciiTheme="minorHAnsi" w:hAnsiTheme="minorHAnsi"/>
          <w:b/>
        </w:rPr>
        <w:t>o Orçamento Fiscal</w:t>
      </w:r>
      <w:bookmarkEnd w:id="107"/>
      <w:bookmarkEnd w:id="108"/>
      <w:bookmarkEnd w:id="109"/>
      <w:bookmarkEnd w:id="110"/>
    </w:p>
    <w:p w14:paraId="6A8483A3" w14:textId="77777777" w:rsidR="00564834" w:rsidRPr="005432E1" w:rsidRDefault="00564834" w:rsidP="006F4AC5">
      <w:pPr>
        <w:ind w:firstLine="708"/>
        <w:jc w:val="both"/>
        <w:rPr>
          <w:rFonts w:asciiTheme="minorHAnsi" w:hAnsiTheme="minorHAnsi"/>
        </w:rPr>
      </w:pPr>
    </w:p>
    <w:p w14:paraId="78BAE744" w14:textId="20726D55" w:rsidR="002B0F44" w:rsidRPr="005432E1" w:rsidRDefault="002B0F44" w:rsidP="006F4AC5">
      <w:pPr>
        <w:ind w:firstLine="708"/>
        <w:jc w:val="both"/>
        <w:rPr>
          <w:rFonts w:asciiTheme="minorHAnsi" w:hAnsiTheme="minorHAnsi"/>
        </w:rPr>
      </w:pPr>
      <w:r w:rsidRPr="005432E1">
        <w:rPr>
          <w:rFonts w:asciiTheme="minorHAnsi" w:hAnsiTheme="minorHAnsi"/>
        </w:rPr>
        <w:t>Segund</w:t>
      </w:r>
      <w:r w:rsidR="001D4438" w:rsidRPr="005432E1">
        <w:rPr>
          <w:rFonts w:asciiTheme="minorHAnsi" w:hAnsiTheme="minorHAnsi"/>
        </w:rPr>
        <w:t xml:space="preserve">o as informações prestadas pela Secretaria </w:t>
      </w:r>
      <w:r w:rsidRPr="005432E1">
        <w:rPr>
          <w:rFonts w:asciiTheme="minorHAnsi" w:hAnsiTheme="minorHAnsi"/>
        </w:rPr>
        <w:t>de C</w:t>
      </w:r>
      <w:r w:rsidR="001D4438" w:rsidRPr="005432E1">
        <w:rPr>
          <w:rFonts w:asciiTheme="minorHAnsi" w:hAnsiTheme="minorHAnsi"/>
        </w:rPr>
        <w:t>oordenação e Governança</w:t>
      </w:r>
      <w:r w:rsidR="000A05B2" w:rsidRPr="005432E1">
        <w:rPr>
          <w:rFonts w:asciiTheme="minorHAnsi" w:hAnsiTheme="minorHAnsi"/>
        </w:rPr>
        <w:t xml:space="preserve"> das Empresas Estatais – S</w:t>
      </w:r>
      <w:r w:rsidRPr="005432E1">
        <w:rPr>
          <w:rFonts w:asciiTheme="minorHAnsi" w:hAnsiTheme="minorHAnsi"/>
        </w:rPr>
        <w:t xml:space="preserve">EST, órgão responsável pela supervisão e controle das empresas estatais federais, coletadas junto às empresas, </w:t>
      </w:r>
      <w:r w:rsidR="005E3A9E" w:rsidRPr="005432E1">
        <w:rPr>
          <w:rFonts w:asciiTheme="minorHAnsi" w:hAnsiTheme="minorHAnsi"/>
        </w:rPr>
        <w:t>as ações judiciais em que o risco de perda foi considerado possível e</w:t>
      </w:r>
      <w:r w:rsidR="00846A15" w:rsidRPr="005432E1">
        <w:rPr>
          <w:rFonts w:asciiTheme="minorHAnsi" w:hAnsiTheme="minorHAnsi"/>
        </w:rPr>
        <w:t>,</w:t>
      </w:r>
      <w:r w:rsidR="005E3A9E" w:rsidRPr="005432E1">
        <w:rPr>
          <w:rFonts w:asciiTheme="minorHAnsi" w:hAnsiTheme="minorHAnsi"/>
        </w:rPr>
        <w:t xml:space="preserve"> portanto</w:t>
      </w:r>
      <w:r w:rsidR="00846A15" w:rsidRPr="005432E1">
        <w:rPr>
          <w:rFonts w:asciiTheme="minorHAnsi" w:hAnsiTheme="minorHAnsi"/>
        </w:rPr>
        <w:t>,</w:t>
      </w:r>
      <w:r w:rsidR="005E3A9E" w:rsidRPr="005432E1">
        <w:rPr>
          <w:rFonts w:asciiTheme="minorHAnsi" w:hAnsiTheme="minorHAnsi"/>
        </w:rPr>
        <w:t xml:space="preserve"> classificadas como passivos contingentes totalizam </w:t>
      </w:r>
      <w:r w:rsidR="00912481" w:rsidRPr="005432E1">
        <w:rPr>
          <w:rFonts w:asciiTheme="minorHAnsi" w:hAnsiTheme="minorHAnsi"/>
          <w:b/>
        </w:rPr>
        <w:t>R$ 2</w:t>
      </w:r>
      <w:r w:rsidR="009F6245" w:rsidRPr="005432E1">
        <w:rPr>
          <w:rFonts w:asciiTheme="minorHAnsi" w:hAnsiTheme="minorHAnsi"/>
          <w:b/>
        </w:rPr>
        <w:t>,</w:t>
      </w:r>
      <w:r w:rsidR="00BF2A5A" w:rsidRPr="005432E1">
        <w:rPr>
          <w:rFonts w:asciiTheme="minorHAnsi" w:hAnsiTheme="minorHAnsi"/>
          <w:b/>
        </w:rPr>
        <w:t>35</w:t>
      </w:r>
      <w:r w:rsidR="00912481" w:rsidRPr="005432E1">
        <w:rPr>
          <w:rFonts w:asciiTheme="minorHAnsi" w:hAnsiTheme="minorHAnsi"/>
          <w:b/>
        </w:rPr>
        <w:t xml:space="preserve"> </w:t>
      </w:r>
      <w:r w:rsidR="008115CB" w:rsidRPr="005432E1">
        <w:rPr>
          <w:rFonts w:asciiTheme="minorHAnsi" w:hAnsiTheme="minorHAnsi"/>
          <w:b/>
        </w:rPr>
        <w:t>b</w:t>
      </w:r>
      <w:r w:rsidR="005E3A9E" w:rsidRPr="005432E1">
        <w:rPr>
          <w:rFonts w:asciiTheme="minorHAnsi" w:hAnsiTheme="minorHAnsi"/>
          <w:b/>
        </w:rPr>
        <w:t>ilhões</w:t>
      </w:r>
      <w:r w:rsidR="0056162F" w:rsidRPr="005432E1">
        <w:rPr>
          <w:rFonts w:asciiTheme="minorHAnsi" w:hAnsiTheme="minorHAnsi"/>
        </w:rPr>
        <w:t xml:space="preserve"> (ver Tabela </w:t>
      </w:r>
      <w:r w:rsidR="00AC7182" w:rsidRPr="005432E1">
        <w:rPr>
          <w:rFonts w:asciiTheme="minorHAnsi" w:hAnsiTheme="minorHAnsi"/>
        </w:rPr>
        <w:t>1</w:t>
      </w:r>
      <w:r w:rsidR="00C108A7" w:rsidRPr="005432E1">
        <w:rPr>
          <w:rFonts w:asciiTheme="minorHAnsi" w:hAnsiTheme="minorHAnsi"/>
        </w:rPr>
        <w:t>3</w:t>
      </w:r>
      <w:r w:rsidR="0056162F" w:rsidRPr="005432E1">
        <w:rPr>
          <w:rFonts w:asciiTheme="minorHAnsi" w:hAnsiTheme="minorHAnsi"/>
        </w:rPr>
        <w:t>)</w:t>
      </w:r>
      <w:r w:rsidRPr="005432E1">
        <w:rPr>
          <w:rFonts w:asciiTheme="minorHAnsi" w:hAnsiTheme="minorHAnsi"/>
        </w:rPr>
        <w:t>.</w:t>
      </w:r>
    </w:p>
    <w:p w14:paraId="354720DA" w14:textId="77777777" w:rsidR="00036EE5" w:rsidRPr="005432E1" w:rsidRDefault="001E53D1" w:rsidP="00B346E0">
      <w:pPr>
        <w:ind w:firstLine="708"/>
        <w:jc w:val="both"/>
        <w:rPr>
          <w:rFonts w:asciiTheme="minorHAnsi" w:hAnsiTheme="minorHAnsi"/>
        </w:rPr>
      </w:pPr>
      <w:r w:rsidRPr="005432E1">
        <w:rPr>
          <w:rFonts w:asciiTheme="minorHAnsi" w:hAnsiTheme="minorHAnsi"/>
        </w:rPr>
        <w:t>Os passivos contingentes das Empresas Estatais que fazem parte do Orçamento Geral da União são constituídos por demandas judiciais de natureza trabalhista, tributária, previdenciária e cível.</w:t>
      </w:r>
    </w:p>
    <w:p w14:paraId="04C41C7F" w14:textId="77777777" w:rsidR="00B346E0" w:rsidRPr="005432E1" w:rsidRDefault="00B346E0" w:rsidP="00BF2A5A">
      <w:pPr>
        <w:pStyle w:val="Recuodecorpodetexto"/>
        <w:spacing w:after="240"/>
        <w:rPr>
          <w:rFonts w:asciiTheme="minorHAnsi" w:hAnsiTheme="minorHAnsi"/>
        </w:rPr>
      </w:pPr>
      <w:r w:rsidRPr="005432E1">
        <w:rPr>
          <w:rFonts w:asciiTheme="minorHAnsi" w:hAnsiTheme="minorHAnsi"/>
        </w:rPr>
        <w:t>As reclamações trabalhistas totalizam R$</w:t>
      </w:r>
      <w:r w:rsidR="00BF2A5A" w:rsidRPr="005432E1">
        <w:rPr>
          <w:rFonts w:asciiTheme="minorHAnsi" w:hAnsiTheme="minorHAnsi"/>
        </w:rPr>
        <w:t xml:space="preserve"> 1</w:t>
      </w:r>
      <w:r w:rsidR="00EE4A17" w:rsidRPr="005432E1">
        <w:rPr>
          <w:rFonts w:asciiTheme="minorHAnsi" w:hAnsiTheme="minorHAnsi"/>
        </w:rPr>
        <w:t>,</w:t>
      </w:r>
      <w:r w:rsidR="00BF2A5A" w:rsidRPr="005432E1">
        <w:rPr>
          <w:rFonts w:asciiTheme="minorHAnsi" w:hAnsiTheme="minorHAnsi"/>
        </w:rPr>
        <w:t>08 bilhão</w:t>
      </w:r>
      <w:r w:rsidRPr="005432E1">
        <w:rPr>
          <w:rFonts w:asciiTheme="minorHAnsi" w:hAnsiTheme="minorHAnsi"/>
        </w:rPr>
        <w:t>. Em geral, estas ações advêm de litígios por reivindicação de atualização salarial ou recomposição de perdas decorrentes de índices utilizados por ocasião dos Planos Econômicos, como as ações de reposição dos 28,8% do Plano Bresser e dos 3,17% do Plano Real. Também estão incluídas neste grupo as demais ações relativas aos empregados como solicitações de pagamento de horas-extras, descumprimento de dissídio coletivo, pagamento de diárias, adicional noturno, adicional de periculosidade e insalubridade e incorporação de gratificação.</w:t>
      </w:r>
    </w:p>
    <w:p w14:paraId="7285EAAF" w14:textId="77777777" w:rsidR="00B346E0" w:rsidRPr="005432E1" w:rsidRDefault="00B346E0" w:rsidP="00B346E0">
      <w:pPr>
        <w:spacing w:after="240"/>
        <w:ind w:firstLine="708"/>
        <w:jc w:val="both"/>
        <w:rPr>
          <w:rFonts w:asciiTheme="minorHAnsi" w:hAnsiTheme="minorHAnsi"/>
        </w:rPr>
      </w:pPr>
      <w:r w:rsidRPr="005432E1">
        <w:rPr>
          <w:rFonts w:asciiTheme="minorHAnsi" w:hAnsiTheme="minorHAnsi"/>
        </w:rPr>
        <w:t xml:space="preserve">As lides da ordem tributária somam R$ </w:t>
      </w:r>
      <w:r w:rsidR="00990D80" w:rsidRPr="005432E1">
        <w:rPr>
          <w:rFonts w:asciiTheme="minorHAnsi" w:hAnsiTheme="minorHAnsi"/>
        </w:rPr>
        <w:t>73,05</w:t>
      </w:r>
      <w:r w:rsidRPr="005432E1">
        <w:rPr>
          <w:rFonts w:asciiTheme="minorHAnsi" w:hAnsiTheme="minorHAnsi"/>
        </w:rPr>
        <w:t xml:space="preserve"> milhões e derivam de não recolhimento de impostos pelas Empresas, notadamente os devidos aos estados e municípios. As demandas previdenciárias totalizaram R$ </w:t>
      </w:r>
      <w:r w:rsidR="00990D80" w:rsidRPr="005432E1">
        <w:rPr>
          <w:rFonts w:asciiTheme="minorHAnsi" w:hAnsiTheme="minorHAnsi"/>
        </w:rPr>
        <w:t>44,89</w:t>
      </w:r>
      <w:r w:rsidRPr="005432E1">
        <w:rPr>
          <w:rFonts w:asciiTheme="minorHAnsi" w:hAnsiTheme="minorHAnsi"/>
        </w:rPr>
        <w:t xml:space="preserve"> milhões e correspondem aquelas em que as Empresas são acionadas pelo Instituto Nacional de Seguridade Social – INSS pelo não recolhimento das contribuições previdenciárias de seus empregados.</w:t>
      </w:r>
    </w:p>
    <w:p w14:paraId="16891E68" w14:textId="2A2A921E" w:rsidR="005432E1" w:rsidRDefault="00B346E0" w:rsidP="008349F1">
      <w:pPr>
        <w:spacing w:after="240"/>
        <w:ind w:firstLine="709"/>
        <w:jc w:val="both"/>
        <w:rPr>
          <w:rFonts w:asciiTheme="minorHAnsi" w:hAnsiTheme="minorHAnsi"/>
        </w:rPr>
      </w:pPr>
      <w:r w:rsidRPr="005432E1">
        <w:rPr>
          <w:rFonts w:asciiTheme="minorHAnsi" w:hAnsiTheme="minorHAnsi"/>
        </w:rPr>
        <w:t xml:space="preserve">As ações cíveis se referem a pleitos de direito de natureza civil, ou seja, não-criminal, podendo se tratar de conflitos nas áreas familiar, sucessória, obrigacional ou real. No caso das empresas estatais federais, as ações se referem a uma diversidade de questionamentos, como indenizações por danos materiais, acidentes, desapropriação, garantia de participação do impetrante em contratos de opção e leilões eletrônicos, ação de cobrança, protesto de títulos, suspensão dos efeitos dos atos administrativos, suspensão de multa, dentre outros. As ações cíveis das Estatais Federais somaram R$ </w:t>
      </w:r>
      <w:r w:rsidR="00990D80" w:rsidRPr="005432E1">
        <w:rPr>
          <w:rFonts w:asciiTheme="minorHAnsi" w:hAnsiTheme="minorHAnsi"/>
        </w:rPr>
        <w:t>1,14 bilhões.</w:t>
      </w:r>
    </w:p>
    <w:p w14:paraId="3E3454A7" w14:textId="77777777" w:rsidR="005432E1" w:rsidRDefault="005432E1">
      <w:pPr>
        <w:rPr>
          <w:rFonts w:asciiTheme="minorHAnsi" w:hAnsiTheme="minorHAnsi"/>
        </w:rPr>
      </w:pPr>
      <w:r>
        <w:rPr>
          <w:rFonts w:asciiTheme="minorHAnsi" w:hAnsiTheme="minorHAnsi"/>
        </w:rPr>
        <w:br w:type="page"/>
      </w:r>
    </w:p>
    <w:p w14:paraId="40FC4D34" w14:textId="77777777" w:rsidR="00B346E0" w:rsidRPr="005432E1" w:rsidRDefault="00B346E0" w:rsidP="008349F1">
      <w:pPr>
        <w:spacing w:after="240"/>
        <w:ind w:firstLine="709"/>
        <w:jc w:val="both"/>
        <w:rPr>
          <w:rFonts w:asciiTheme="minorHAnsi" w:hAnsiTheme="minorHAnsi"/>
        </w:rPr>
      </w:pPr>
    </w:p>
    <w:p w14:paraId="256045BD" w14:textId="04E92FF6" w:rsidR="005E3A9E" w:rsidRPr="005432E1" w:rsidRDefault="00B0578A" w:rsidP="00F97EF3">
      <w:pPr>
        <w:jc w:val="center"/>
        <w:rPr>
          <w:rFonts w:asciiTheme="minorHAnsi" w:hAnsiTheme="minorHAnsi"/>
          <w:b/>
        </w:rPr>
      </w:pPr>
      <w:r w:rsidRPr="005432E1">
        <w:rPr>
          <w:rFonts w:asciiTheme="minorHAnsi" w:hAnsiTheme="minorHAnsi"/>
          <w:b/>
        </w:rPr>
        <w:tab/>
      </w:r>
      <w:r w:rsidRPr="005432E1">
        <w:rPr>
          <w:rFonts w:asciiTheme="minorHAnsi" w:hAnsiTheme="minorHAnsi"/>
          <w:b/>
        </w:rPr>
        <w:tab/>
      </w:r>
      <w:r w:rsidR="00D33511" w:rsidRPr="005432E1">
        <w:rPr>
          <w:rFonts w:asciiTheme="minorHAnsi" w:hAnsiTheme="minorHAnsi"/>
          <w:b/>
        </w:rPr>
        <w:t xml:space="preserve">Tabela </w:t>
      </w:r>
      <w:r w:rsidR="00AC7182" w:rsidRPr="005432E1">
        <w:rPr>
          <w:rFonts w:asciiTheme="minorHAnsi" w:hAnsiTheme="minorHAnsi"/>
          <w:b/>
        </w:rPr>
        <w:t>1</w:t>
      </w:r>
      <w:r w:rsidR="00C108A7" w:rsidRPr="005432E1">
        <w:rPr>
          <w:rFonts w:asciiTheme="minorHAnsi" w:hAnsiTheme="minorHAnsi"/>
          <w:b/>
        </w:rPr>
        <w:t>3</w:t>
      </w:r>
      <w:r w:rsidR="00D33511" w:rsidRPr="005432E1">
        <w:rPr>
          <w:rFonts w:asciiTheme="minorHAnsi" w:hAnsiTheme="minorHAnsi"/>
          <w:b/>
        </w:rPr>
        <w:t>: Demandas judiciais das empresas estatais federais</w:t>
      </w:r>
      <w:r w:rsidR="00F03FE6" w:rsidRPr="005432E1">
        <w:rPr>
          <w:rFonts w:asciiTheme="minorHAnsi" w:hAnsiTheme="minorHAnsi"/>
          <w:b/>
          <w:sz w:val="20"/>
          <w:szCs w:val="20"/>
        </w:rPr>
        <w:tab/>
      </w:r>
      <w:r w:rsidR="00F03FE6" w:rsidRPr="005432E1">
        <w:rPr>
          <w:rFonts w:asciiTheme="minorHAnsi" w:hAnsiTheme="minorHAnsi"/>
          <w:b/>
          <w:sz w:val="20"/>
          <w:szCs w:val="20"/>
        </w:rPr>
        <w:tab/>
      </w:r>
      <w:r w:rsidR="00F03FE6" w:rsidRPr="005432E1">
        <w:rPr>
          <w:rFonts w:asciiTheme="minorHAnsi" w:hAnsiTheme="minorHAnsi"/>
          <w:b/>
          <w:sz w:val="20"/>
          <w:szCs w:val="20"/>
        </w:rPr>
        <w:tab/>
      </w:r>
      <w:r w:rsidR="00F03FE6" w:rsidRPr="005432E1">
        <w:rPr>
          <w:rFonts w:asciiTheme="minorHAnsi" w:hAnsiTheme="minorHAnsi"/>
          <w:b/>
          <w:sz w:val="20"/>
          <w:szCs w:val="20"/>
        </w:rPr>
        <w:tab/>
      </w:r>
      <w:r w:rsidR="00F03FE6" w:rsidRPr="005432E1">
        <w:rPr>
          <w:rFonts w:asciiTheme="minorHAnsi" w:hAnsiTheme="minorHAnsi"/>
          <w:b/>
          <w:sz w:val="20"/>
          <w:szCs w:val="20"/>
        </w:rPr>
        <w:tab/>
      </w:r>
      <w:r w:rsidR="00F03FE6" w:rsidRPr="005432E1">
        <w:rPr>
          <w:rFonts w:asciiTheme="minorHAnsi" w:hAnsiTheme="minorHAnsi"/>
          <w:b/>
          <w:sz w:val="20"/>
          <w:szCs w:val="20"/>
        </w:rPr>
        <w:tab/>
      </w:r>
      <w:r w:rsidR="00F97EF3" w:rsidRPr="005432E1">
        <w:rPr>
          <w:rFonts w:asciiTheme="minorHAnsi" w:hAnsiTheme="minorHAnsi"/>
          <w:noProof/>
        </w:rPr>
        <w:drawing>
          <wp:inline distT="0" distB="0" distL="0" distR="0" wp14:anchorId="4A33E705" wp14:editId="44328D7F">
            <wp:extent cx="6120765" cy="308934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089345"/>
                    </a:xfrm>
                    <a:prstGeom prst="rect">
                      <a:avLst/>
                    </a:prstGeom>
                    <a:noFill/>
                    <a:ln>
                      <a:noFill/>
                    </a:ln>
                  </pic:spPr>
                </pic:pic>
              </a:graphicData>
            </a:graphic>
          </wp:inline>
        </w:drawing>
      </w:r>
    </w:p>
    <w:p w14:paraId="796021D9" w14:textId="77777777" w:rsidR="007C168A" w:rsidRPr="005432E1" w:rsidRDefault="007C168A" w:rsidP="006F4AC5">
      <w:pPr>
        <w:pStyle w:val="Recuodecorpodetexto"/>
        <w:spacing w:before="0"/>
        <w:ind w:firstLine="0"/>
        <w:rPr>
          <w:rFonts w:asciiTheme="minorHAnsi" w:hAnsiTheme="minorHAnsi"/>
          <w:sz w:val="20"/>
          <w:szCs w:val="20"/>
        </w:rPr>
      </w:pPr>
    </w:p>
    <w:p w14:paraId="77FF78E4" w14:textId="77777777" w:rsidR="002B0F44" w:rsidRPr="005432E1" w:rsidRDefault="006C4C8F" w:rsidP="004C4B03">
      <w:pPr>
        <w:pStyle w:val="Ttulo3"/>
        <w:numPr>
          <w:ilvl w:val="0"/>
          <w:numId w:val="0"/>
        </w:numPr>
        <w:rPr>
          <w:rFonts w:asciiTheme="minorHAnsi" w:hAnsiTheme="minorHAnsi"/>
          <w:b/>
        </w:rPr>
      </w:pPr>
      <w:bookmarkStart w:id="111" w:name="_Toc384127190"/>
      <w:bookmarkStart w:id="112" w:name="_Toc414973421"/>
      <w:bookmarkStart w:id="113" w:name="_Toc447189124"/>
      <w:bookmarkStart w:id="114" w:name="_Toc511230024"/>
      <w:r w:rsidRPr="005432E1">
        <w:rPr>
          <w:rFonts w:asciiTheme="minorHAnsi" w:hAnsiTheme="minorHAnsi"/>
          <w:b/>
        </w:rPr>
        <w:t>3.</w:t>
      </w:r>
      <w:r w:rsidR="003F6DAB" w:rsidRPr="005432E1">
        <w:rPr>
          <w:rFonts w:asciiTheme="minorHAnsi" w:hAnsiTheme="minorHAnsi"/>
          <w:b/>
        </w:rPr>
        <w:t>1</w:t>
      </w:r>
      <w:r w:rsidRPr="005432E1">
        <w:rPr>
          <w:rFonts w:asciiTheme="minorHAnsi" w:hAnsiTheme="minorHAnsi"/>
          <w:b/>
        </w:rPr>
        <w:t>.</w:t>
      </w:r>
      <w:r w:rsidR="008B460B" w:rsidRPr="005432E1">
        <w:rPr>
          <w:rFonts w:asciiTheme="minorHAnsi" w:hAnsiTheme="minorHAnsi"/>
          <w:b/>
        </w:rPr>
        <w:t>5</w:t>
      </w:r>
      <w:r w:rsidRPr="005432E1">
        <w:rPr>
          <w:rFonts w:asciiTheme="minorHAnsi" w:hAnsiTheme="minorHAnsi"/>
          <w:b/>
        </w:rPr>
        <w:tab/>
        <w:t xml:space="preserve">Demandas Judiciais Contra </w:t>
      </w:r>
      <w:r w:rsidR="007D40F6" w:rsidRPr="005432E1">
        <w:rPr>
          <w:rFonts w:asciiTheme="minorHAnsi" w:hAnsiTheme="minorHAnsi"/>
          <w:b/>
        </w:rPr>
        <w:t>o</w:t>
      </w:r>
      <w:r w:rsidRPr="005432E1">
        <w:rPr>
          <w:rFonts w:asciiTheme="minorHAnsi" w:hAnsiTheme="minorHAnsi"/>
          <w:b/>
        </w:rPr>
        <w:t xml:space="preserve"> Banco Central</w:t>
      </w:r>
      <w:bookmarkEnd w:id="111"/>
      <w:r w:rsidRPr="005432E1">
        <w:rPr>
          <w:rFonts w:asciiTheme="minorHAnsi" w:hAnsiTheme="minorHAnsi"/>
          <w:b/>
        </w:rPr>
        <w:t xml:space="preserve"> Do Brasil </w:t>
      </w:r>
      <w:r w:rsidR="007D40F6" w:rsidRPr="005432E1">
        <w:rPr>
          <w:rFonts w:asciiTheme="minorHAnsi" w:hAnsiTheme="minorHAnsi"/>
          <w:b/>
        </w:rPr>
        <w:t xml:space="preserve">– </w:t>
      </w:r>
      <w:r w:rsidRPr="005432E1">
        <w:rPr>
          <w:rFonts w:asciiTheme="minorHAnsi" w:hAnsiTheme="minorHAnsi"/>
          <w:b/>
        </w:rPr>
        <w:t>B</w:t>
      </w:r>
      <w:r w:rsidR="006815F8" w:rsidRPr="005432E1">
        <w:rPr>
          <w:rFonts w:asciiTheme="minorHAnsi" w:hAnsiTheme="minorHAnsi"/>
          <w:b/>
        </w:rPr>
        <w:t>CB</w:t>
      </w:r>
      <w:bookmarkEnd w:id="112"/>
      <w:bookmarkEnd w:id="113"/>
      <w:bookmarkEnd w:id="114"/>
    </w:p>
    <w:p w14:paraId="1ECDB4CC" w14:textId="77777777" w:rsidR="00994D16" w:rsidRPr="005432E1" w:rsidRDefault="00994D16" w:rsidP="006F4AC5">
      <w:pPr>
        <w:autoSpaceDE w:val="0"/>
        <w:autoSpaceDN w:val="0"/>
        <w:adjustRightInd w:val="0"/>
        <w:spacing w:before="240"/>
        <w:ind w:firstLine="708"/>
        <w:jc w:val="both"/>
        <w:rPr>
          <w:rFonts w:asciiTheme="minorHAnsi" w:hAnsiTheme="minorHAnsi"/>
        </w:rPr>
      </w:pPr>
      <w:r w:rsidRPr="005432E1">
        <w:rPr>
          <w:rFonts w:asciiTheme="minorHAnsi" w:hAnsiTheme="minorHAnsi"/>
        </w:rPr>
        <w:t xml:space="preserve">O BCB era parte em </w:t>
      </w:r>
      <w:r w:rsidR="006151CE" w:rsidRPr="005432E1">
        <w:rPr>
          <w:rFonts w:asciiTheme="minorHAnsi" w:hAnsiTheme="minorHAnsi"/>
        </w:rPr>
        <w:t>9</w:t>
      </w:r>
      <w:r w:rsidRPr="005432E1">
        <w:rPr>
          <w:rFonts w:asciiTheme="minorHAnsi" w:hAnsiTheme="minorHAnsi"/>
        </w:rPr>
        <w:t>.</w:t>
      </w:r>
      <w:r w:rsidR="000A60D9" w:rsidRPr="005432E1">
        <w:rPr>
          <w:rFonts w:asciiTheme="minorHAnsi" w:hAnsiTheme="minorHAnsi"/>
        </w:rPr>
        <w:t>525</w:t>
      </w:r>
      <w:r w:rsidRPr="005432E1">
        <w:rPr>
          <w:rFonts w:asciiTheme="minorHAnsi" w:hAnsiTheme="minorHAnsi"/>
        </w:rPr>
        <w:t xml:space="preserve"> ações em 31 de dezembro de 201</w:t>
      </w:r>
      <w:r w:rsidR="000A60D9" w:rsidRPr="005432E1">
        <w:rPr>
          <w:rFonts w:asciiTheme="minorHAnsi" w:hAnsiTheme="minorHAnsi"/>
        </w:rPr>
        <w:t>7</w:t>
      </w:r>
      <w:r w:rsidRPr="005432E1">
        <w:rPr>
          <w:rFonts w:asciiTheme="minorHAnsi" w:hAnsiTheme="minorHAnsi"/>
        </w:rPr>
        <w:t xml:space="preserve"> (</w:t>
      </w:r>
      <w:r w:rsidR="000A60D9" w:rsidRPr="005432E1">
        <w:rPr>
          <w:rFonts w:asciiTheme="minorHAnsi" w:hAnsiTheme="minorHAnsi"/>
        </w:rPr>
        <w:t>2.892</w:t>
      </w:r>
      <w:r w:rsidRPr="005432E1">
        <w:rPr>
          <w:rFonts w:asciiTheme="minorHAnsi" w:hAnsiTheme="minorHAnsi"/>
        </w:rPr>
        <w:t xml:space="preserve"> no polo ativo, </w:t>
      </w:r>
      <w:r w:rsidR="006151CE" w:rsidRPr="005432E1">
        <w:rPr>
          <w:rFonts w:asciiTheme="minorHAnsi" w:hAnsiTheme="minorHAnsi"/>
        </w:rPr>
        <w:t>6</w:t>
      </w:r>
      <w:r w:rsidRPr="005432E1">
        <w:rPr>
          <w:rFonts w:asciiTheme="minorHAnsi" w:hAnsiTheme="minorHAnsi"/>
        </w:rPr>
        <w:t>.</w:t>
      </w:r>
      <w:r w:rsidR="000A60D9" w:rsidRPr="005432E1">
        <w:rPr>
          <w:rFonts w:asciiTheme="minorHAnsi" w:hAnsiTheme="minorHAnsi"/>
        </w:rPr>
        <w:t>535</w:t>
      </w:r>
      <w:r w:rsidRPr="005432E1">
        <w:rPr>
          <w:rFonts w:asciiTheme="minorHAnsi" w:hAnsiTheme="minorHAnsi"/>
        </w:rPr>
        <w:t xml:space="preserve"> no polo passivo e </w:t>
      </w:r>
      <w:r w:rsidR="000A60D9" w:rsidRPr="005432E1">
        <w:rPr>
          <w:rFonts w:asciiTheme="minorHAnsi" w:hAnsiTheme="minorHAnsi"/>
        </w:rPr>
        <w:t>98</w:t>
      </w:r>
      <w:r w:rsidRPr="005432E1">
        <w:rPr>
          <w:rFonts w:asciiTheme="minorHAnsi" w:hAnsiTheme="minorHAnsi"/>
        </w:rPr>
        <w:t xml:space="preserve"> tendo o BCB como interessado) em função de assuntos diversos, entre os quais planos econômicos, reclamações trabalhistas, liquidações de instituições financeiras e privatizações. Em 31 de dezembro de 201</w:t>
      </w:r>
      <w:r w:rsidR="000A60D9" w:rsidRPr="005432E1">
        <w:rPr>
          <w:rFonts w:asciiTheme="minorHAnsi" w:hAnsiTheme="minorHAnsi"/>
        </w:rPr>
        <w:t>6</w:t>
      </w:r>
      <w:r w:rsidRPr="005432E1">
        <w:rPr>
          <w:rFonts w:asciiTheme="minorHAnsi" w:hAnsiTheme="minorHAnsi"/>
        </w:rPr>
        <w:t xml:space="preserve">, o total era de </w:t>
      </w:r>
      <w:r w:rsidR="00C42F50" w:rsidRPr="005432E1">
        <w:rPr>
          <w:rFonts w:asciiTheme="minorHAnsi" w:hAnsiTheme="minorHAnsi"/>
        </w:rPr>
        <w:t>9.</w:t>
      </w:r>
      <w:r w:rsidR="000A60D9" w:rsidRPr="005432E1">
        <w:rPr>
          <w:rFonts w:asciiTheme="minorHAnsi" w:hAnsiTheme="minorHAnsi"/>
        </w:rPr>
        <w:t>478</w:t>
      </w:r>
      <w:r w:rsidRPr="005432E1">
        <w:rPr>
          <w:rFonts w:asciiTheme="minorHAnsi" w:hAnsiTheme="minorHAnsi"/>
        </w:rPr>
        <w:t xml:space="preserve"> ações, sendo 3</w:t>
      </w:r>
      <w:r w:rsidR="009903B5" w:rsidRPr="005432E1">
        <w:rPr>
          <w:rFonts w:asciiTheme="minorHAnsi" w:hAnsiTheme="minorHAnsi"/>
        </w:rPr>
        <w:t>.</w:t>
      </w:r>
      <w:r w:rsidR="00C42F50" w:rsidRPr="005432E1">
        <w:rPr>
          <w:rFonts w:asciiTheme="minorHAnsi" w:hAnsiTheme="minorHAnsi"/>
        </w:rPr>
        <w:t>00</w:t>
      </w:r>
      <w:r w:rsidR="000A60D9" w:rsidRPr="005432E1">
        <w:rPr>
          <w:rFonts w:asciiTheme="minorHAnsi" w:hAnsiTheme="minorHAnsi"/>
        </w:rPr>
        <w:t>4</w:t>
      </w:r>
      <w:r w:rsidRPr="005432E1">
        <w:rPr>
          <w:rFonts w:asciiTheme="minorHAnsi" w:hAnsiTheme="minorHAnsi"/>
        </w:rPr>
        <w:t xml:space="preserve"> no pólo ativo, </w:t>
      </w:r>
      <w:r w:rsidR="00C42F50" w:rsidRPr="005432E1">
        <w:rPr>
          <w:rFonts w:asciiTheme="minorHAnsi" w:hAnsiTheme="minorHAnsi"/>
        </w:rPr>
        <w:t>6.</w:t>
      </w:r>
      <w:r w:rsidR="000A60D9" w:rsidRPr="005432E1">
        <w:rPr>
          <w:rFonts w:asciiTheme="minorHAnsi" w:hAnsiTheme="minorHAnsi"/>
        </w:rPr>
        <w:t>425</w:t>
      </w:r>
      <w:r w:rsidRPr="005432E1">
        <w:rPr>
          <w:rFonts w:asciiTheme="minorHAnsi" w:hAnsiTheme="minorHAnsi"/>
        </w:rPr>
        <w:t xml:space="preserve"> no pólo passivo e </w:t>
      </w:r>
      <w:r w:rsidR="000A60D9" w:rsidRPr="005432E1">
        <w:rPr>
          <w:rFonts w:asciiTheme="minorHAnsi" w:hAnsiTheme="minorHAnsi"/>
        </w:rPr>
        <w:t>49</w:t>
      </w:r>
      <w:r w:rsidRPr="005432E1">
        <w:rPr>
          <w:rFonts w:asciiTheme="minorHAnsi" w:hAnsiTheme="minorHAnsi"/>
        </w:rPr>
        <w:t xml:space="preserve"> tendo o B</w:t>
      </w:r>
      <w:r w:rsidR="00FE0AEA" w:rsidRPr="005432E1">
        <w:rPr>
          <w:rFonts w:asciiTheme="minorHAnsi" w:hAnsiTheme="minorHAnsi"/>
        </w:rPr>
        <w:t>CB</w:t>
      </w:r>
      <w:r w:rsidRPr="005432E1">
        <w:rPr>
          <w:rFonts w:asciiTheme="minorHAnsi" w:hAnsiTheme="minorHAnsi"/>
        </w:rPr>
        <w:t xml:space="preserve"> como interessado.</w:t>
      </w:r>
    </w:p>
    <w:p w14:paraId="549DB439" w14:textId="77777777" w:rsidR="002B0F44" w:rsidRPr="005432E1" w:rsidRDefault="002B0F44" w:rsidP="006F4AC5">
      <w:pPr>
        <w:autoSpaceDE w:val="0"/>
        <w:autoSpaceDN w:val="0"/>
        <w:adjustRightInd w:val="0"/>
        <w:spacing w:before="240"/>
        <w:ind w:firstLine="709"/>
        <w:jc w:val="both"/>
        <w:rPr>
          <w:rFonts w:asciiTheme="minorHAnsi" w:hAnsiTheme="minorHAnsi"/>
        </w:rPr>
      </w:pPr>
      <w:r w:rsidRPr="005432E1">
        <w:rPr>
          <w:rFonts w:asciiTheme="minorHAnsi" w:hAnsiTheme="minorHAnsi"/>
        </w:rPr>
        <w:t>A área jurídica do B</w:t>
      </w:r>
      <w:r w:rsidR="00FE0AEA" w:rsidRPr="005432E1">
        <w:rPr>
          <w:rFonts w:asciiTheme="minorHAnsi" w:hAnsiTheme="minorHAnsi"/>
        </w:rPr>
        <w:t>CB</w:t>
      </w:r>
      <w:r w:rsidRPr="005432E1">
        <w:rPr>
          <w:rFonts w:asciiTheme="minorHAnsi" w:hAnsiTheme="minorHAnsi"/>
        </w:rPr>
        <w:t xml:space="preserve"> avalia todas essas ações judiciais levando em consideração o valor em discussão, a fase processual e o risco de perda. O risco de perda é calculado com base em decisões ocorridas no processo, na jurisprudência aplicável e em precedentes para casos similares.</w:t>
      </w:r>
    </w:p>
    <w:p w14:paraId="4117DECD" w14:textId="77777777" w:rsidR="002B0F44" w:rsidRPr="005432E1" w:rsidRDefault="002B0F44" w:rsidP="006F4AC5">
      <w:pPr>
        <w:autoSpaceDE w:val="0"/>
        <w:autoSpaceDN w:val="0"/>
        <w:adjustRightInd w:val="0"/>
        <w:spacing w:before="240"/>
        <w:ind w:firstLine="709"/>
        <w:jc w:val="both"/>
        <w:rPr>
          <w:rFonts w:asciiTheme="minorHAnsi" w:hAnsiTheme="minorHAnsi"/>
        </w:rPr>
      </w:pPr>
      <w:r w:rsidRPr="005432E1">
        <w:rPr>
          <w:rFonts w:asciiTheme="minorHAnsi" w:hAnsiTheme="minorHAnsi"/>
        </w:rPr>
        <w:t>São contabilizadas provisões de 100% do valor em risco (incluindo uma estimativa de honorários de sucumbência) para todas as ações em que o risco de perda seja classificado como provável. Em 201</w:t>
      </w:r>
      <w:r w:rsidR="00391CB3" w:rsidRPr="005432E1">
        <w:rPr>
          <w:rFonts w:asciiTheme="minorHAnsi" w:hAnsiTheme="minorHAnsi"/>
        </w:rPr>
        <w:t>7</w:t>
      </w:r>
      <w:r w:rsidR="00314073" w:rsidRPr="005432E1">
        <w:rPr>
          <w:rFonts w:asciiTheme="minorHAnsi" w:hAnsiTheme="minorHAnsi"/>
        </w:rPr>
        <w:t>,</w:t>
      </w:r>
      <w:r w:rsidRPr="005432E1">
        <w:rPr>
          <w:rFonts w:asciiTheme="minorHAnsi" w:hAnsiTheme="minorHAnsi"/>
        </w:rPr>
        <w:t xml:space="preserve"> foram </w:t>
      </w:r>
      <w:r w:rsidR="00BC632E" w:rsidRPr="005432E1">
        <w:rPr>
          <w:rFonts w:asciiTheme="minorHAnsi" w:hAnsiTheme="minorHAnsi"/>
        </w:rPr>
        <w:t xml:space="preserve">contabilizadas provisões para </w:t>
      </w:r>
      <w:r w:rsidR="00391CB3" w:rsidRPr="005432E1">
        <w:rPr>
          <w:rFonts w:asciiTheme="minorHAnsi" w:hAnsiTheme="minorHAnsi"/>
        </w:rPr>
        <w:t>880</w:t>
      </w:r>
      <w:r w:rsidRPr="005432E1">
        <w:rPr>
          <w:rFonts w:asciiTheme="minorHAnsi" w:hAnsiTheme="minorHAnsi"/>
        </w:rPr>
        <w:t xml:space="preserve"> ações (</w:t>
      </w:r>
      <w:r w:rsidR="00391CB3" w:rsidRPr="005432E1">
        <w:rPr>
          <w:rFonts w:asciiTheme="minorHAnsi" w:hAnsiTheme="minorHAnsi"/>
        </w:rPr>
        <w:t>911</w:t>
      </w:r>
      <w:r w:rsidRPr="005432E1">
        <w:rPr>
          <w:rFonts w:asciiTheme="minorHAnsi" w:hAnsiTheme="minorHAnsi"/>
        </w:rPr>
        <w:t xml:space="preserve"> em 201</w:t>
      </w:r>
      <w:r w:rsidR="00391CB3" w:rsidRPr="005432E1">
        <w:rPr>
          <w:rFonts w:asciiTheme="minorHAnsi" w:hAnsiTheme="minorHAnsi"/>
        </w:rPr>
        <w:t>6</w:t>
      </w:r>
      <w:r w:rsidRPr="005432E1">
        <w:rPr>
          <w:rFonts w:asciiTheme="minorHAnsi" w:hAnsiTheme="minorHAnsi"/>
        </w:rPr>
        <w:t>). Os valores das ações judiciais são corrigi</w:t>
      </w:r>
      <w:r w:rsidR="007C168A" w:rsidRPr="005432E1">
        <w:rPr>
          <w:rFonts w:asciiTheme="minorHAnsi" w:hAnsiTheme="minorHAnsi"/>
        </w:rPr>
        <w:t>dos pela taxa Selic.</w:t>
      </w:r>
    </w:p>
    <w:p w14:paraId="4BCB2E1F" w14:textId="77777777" w:rsidR="00F03A93" w:rsidRPr="005432E1" w:rsidRDefault="002B0F44" w:rsidP="006F4AC5">
      <w:pPr>
        <w:autoSpaceDE w:val="0"/>
        <w:autoSpaceDN w:val="0"/>
        <w:adjustRightInd w:val="0"/>
        <w:spacing w:before="240"/>
        <w:ind w:firstLine="709"/>
        <w:jc w:val="both"/>
        <w:rPr>
          <w:rFonts w:asciiTheme="minorHAnsi" w:hAnsiTheme="minorHAnsi"/>
        </w:rPr>
      </w:pPr>
      <w:r w:rsidRPr="005432E1">
        <w:rPr>
          <w:rFonts w:asciiTheme="minorHAnsi" w:hAnsiTheme="minorHAnsi"/>
        </w:rPr>
        <w:t>As ações judiciais em que o risco de perda foi considerado menor que provável e maior que remoto foram classificadas como passivos contingentes e</w:t>
      </w:r>
      <w:r w:rsidR="008115CB" w:rsidRPr="005432E1">
        <w:rPr>
          <w:rFonts w:asciiTheme="minorHAnsi" w:hAnsiTheme="minorHAnsi"/>
        </w:rPr>
        <w:t>,</w:t>
      </w:r>
      <w:r w:rsidRPr="005432E1">
        <w:rPr>
          <w:rFonts w:asciiTheme="minorHAnsi" w:hAnsiTheme="minorHAnsi"/>
        </w:rPr>
        <w:t xml:space="preserve"> assim</w:t>
      </w:r>
      <w:r w:rsidR="008115CB" w:rsidRPr="005432E1">
        <w:rPr>
          <w:rFonts w:asciiTheme="minorHAnsi" w:hAnsiTheme="minorHAnsi"/>
        </w:rPr>
        <w:t>,</w:t>
      </w:r>
      <w:r w:rsidRPr="005432E1">
        <w:rPr>
          <w:rFonts w:asciiTheme="minorHAnsi" w:hAnsiTheme="minorHAnsi"/>
        </w:rPr>
        <w:t xml:space="preserve"> não foram provisionadas. Em 31 de dezembro de 201</w:t>
      </w:r>
      <w:r w:rsidR="00A42E9E" w:rsidRPr="005432E1">
        <w:rPr>
          <w:rFonts w:asciiTheme="minorHAnsi" w:hAnsiTheme="minorHAnsi"/>
        </w:rPr>
        <w:t>7</w:t>
      </w:r>
      <w:r w:rsidR="00314073" w:rsidRPr="005432E1">
        <w:rPr>
          <w:rFonts w:asciiTheme="minorHAnsi" w:hAnsiTheme="minorHAnsi"/>
        </w:rPr>
        <w:t>,</w:t>
      </w:r>
      <w:r w:rsidRPr="005432E1">
        <w:rPr>
          <w:rFonts w:asciiTheme="minorHAnsi" w:hAnsiTheme="minorHAnsi"/>
        </w:rPr>
        <w:t xml:space="preserve"> havia </w:t>
      </w:r>
      <w:r w:rsidR="00A42E9E" w:rsidRPr="005432E1">
        <w:rPr>
          <w:rFonts w:asciiTheme="minorHAnsi" w:hAnsiTheme="minorHAnsi"/>
        </w:rPr>
        <w:t>895</w:t>
      </w:r>
      <w:r w:rsidRPr="005432E1">
        <w:rPr>
          <w:rFonts w:asciiTheme="minorHAnsi" w:hAnsiTheme="minorHAnsi"/>
        </w:rPr>
        <w:t xml:space="preserve"> ações (</w:t>
      </w:r>
      <w:r w:rsidR="00BF1C99" w:rsidRPr="005432E1">
        <w:rPr>
          <w:rFonts w:asciiTheme="minorHAnsi" w:hAnsiTheme="minorHAnsi"/>
        </w:rPr>
        <w:t>9</w:t>
      </w:r>
      <w:r w:rsidR="00A42E9E" w:rsidRPr="005432E1">
        <w:rPr>
          <w:rFonts w:asciiTheme="minorHAnsi" w:hAnsiTheme="minorHAnsi"/>
        </w:rPr>
        <w:t>04</w:t>
      </w:r>
      <w:r w:rsidRPr="005432E1">
        <w:rPr>
          <w:rFonts w:asciiTheme="minorHAnsi" w:hAnsiTheme="minorHAnsi"/>
        </w:rPr>
        <w:t xml:space="preserve"> em 201</w:t>
      </w:r>
      <w:r w:rsidR="00A42E9E" w:rsidRPr="005432E1">
        <w:rPr>
          <w:rFonts w:asciiTheme="minorHAnsi" w:hAnsiTheme="minorHAnsi"/>
        </w:rPr>
        <w:t>6</w:t>
      </w:r>
      <w:r w:rsidRPr="005432E1">
        <w:rPr>
          <w:rFonts w:asciiTheme="minorHAnsi" w:hAnsiTheme="minorHAnsi"/>
        </w:rPr>
        <w:t>) nessa situação, totalizando R$</w:t>
      </w:r>
      <w:r w:rsidR="00B13724" w:rsidRPr="005432E1">
        <w:rPr>
          <w:rFonts w:asciiTheme="minorHAnsi" w:hAnsiTheme="minorHAnsi"/>
        </w:rPr>
        <w:t>4</w:t>
      </w:r>
      <w:r w:rsidR="008B071B" w:rsidRPr="005432E1">
        <w:rPr>
          <w:rFonts w:asciiTheme="minorHAnsi" w:hAnsiTheme="minorHAnsi"/>
        </w:rPr>
        <w:t>1</w:t>
      </w:r>
      <w:r w:rsidRPr="005432E1">
        <w:rPr>
          <w:rFonts w:asciiTheme="minorHAnsi" w:hAnsiTheme="minorHAnsi"/>
        </w:rPr>
        <w:t>.</w:t>
      </w:r>
      <w:r w:rsidR="00A42E9E" w:rsidRPr="005432E1">
        <w:rPr>
          <w:rFonts w:asciiTheme="minorHAnsi" w:hAnsiTheme="minorHAnsi"/>
        </w:rPr>
        <w:t>025</w:t>
      </w:r>
      <w:r w:rsidR="00F03A93" w:rsidRPr="005432E1">
        <w:rPr>
          <w:rFonts w:asciiTheme="minorHAnsi" w:hAnsiTheme="minorHAnsi"/>
        </w:rPr>
        <w:t xml:space="preserve"> milhões</w:t>
      </w:r>
      <w:r w:rsidRPr="005432E1">
        <w:rPr>
          <w:rFonts w:asciiTheme="minorHAnsi" w:hAnsiTheme="minorHAnsi"/>
        </w:rPr>
        <w:t xml:space="preserve"> (R$</w:t>
      </w:r>
      <w:r w:rsidR="00BF1C99" w:rsidRPr="005432E1">
        <w:rPr>
          <w:rFonts w:asciiTheme="minorHAnsi" w:hAnsiTheme="minorHAnsi"/>
        </w:rPr>
        <w:t>4</w:t>
      </w:r>
      <w:r w:rsidR="00A42E9E" w:rsidRPr="005432E1">
        <w:rPr>
          <w:rFonts w:asciiTheme="minorHAnsi" w:hAnsiTheme="minorHAnsi"/>
        </w:rPr>
        <w:t>1</w:t>
      </w:r>
      <w:r w:rsidR="00F03A93" w:rsidRPr="005432E1">
        <w:rPr>
          <w:rFonts w:asciiTheme="minorHAnsi" w:hAnsiTheme="minorHAnsi"/>
        </w:rPr>
        <w:t>.</w:t>
      </w:r>
      <w:r w:rsidR="00BF1C99" w:rsidRPr="005432E1">
        <w:rPr>
          <w:rFonts w:asciiTheme="minorHAnsi" w:hAnsiTheme="minorHAnsi"/>
        </w:rPr>
        <w:t>3</w:t>
      </w:r>
      <w:r w:rsidR="00A42E9E" w:rsidRPr="005432E1">
        <w:rPr>
          <w:rFonts w:asciiTheme="minorHAnsi" w:hAnsiTheme="minorHAnsi"/>
        </w:rPr>
        <w:t xml:space="preserve">18 </w:t>
      </w:r>
      <w:r w:rsidR="00F03A93" w:rsidRPr="005432E1">
        <w:rPr>
          <w:rFonts w:asciiTheme="minorHAnsi" w:hAnsiTheme="minorHAnsi"/>
        </w:rPr>
        <w:t>milhões</w:t>
      </w:r>
      <w:r w:rsidRPr="005432E1">
        <w:rPr>
          <w:rFonts w:asciiTheme="minorHAnsi" w:hAnsiTheme="minorHAnsi"/>
        </w:rPr>
        <w:t xml:space="preserve"> em 201</w:t>
      </w:r>
      <w:r w:rsidR="00A42E9E" w:rsidRPr="005432E1">
        <w:rPr>
          <w:rFonts w:asciiTheme="minorHAnsi" w:hAnsiTheme="minorHAnsi"/>
        </w:rPr>
        <w:t>6</w:t>
      </w:r>
      <w:r w:rsidR="007C168A" w:rsidRPr="005432E1">
        <w:rPr>
          <w:rFonts w:asciiTheme="minorHAnsi" w:hAnsiTheme="minorHAnsi"/>
        </w:rPr>
        <w:t>).</w:t>
      </w:r>
    </w:p>
    <w:p w14:paraId="4CB53852" w14:textId="77777777" w:rsidR="00AC7182" w:rsidRPr="005432E1" w:rsidRDefault="00AC7182" w:rsidP="006F4AC5">
      <w:pPr>
        <w:autoSpaceDE w:val="0"/>
        <w:autoSpaceDN w:val="0"/>
        <w:adjustRightInd w:val="0"/>
        <w:jc w:val="both"/>
        <w:rPr>
          <w:rFonts w:asciiTheme="minorHAnsi" w:hAnsiTheme="minorHAnsi"/>
        </w:rPr>
      </w:pPr>
    </w:p>
    <w:p w14:paraId="5F3E928E" w14:textId="77777777" w:rsidR="001A19BB" w:rsidRPr="005432E1" w:rsidRDefault="001A19BB" w:rsidP="006F4AC5">
      <w:pPr>
        <w:autoSpaceDE w:val="0"/>
        <w:autoSpaceDN w:val="0"/>
        <w:adjustRightInd w:val="0"/>
        <w:jc w:val="both"/>
        <w:rPr>
          <w:rFonts w:asciiTheme="minorHAnsi" w:hAnsiTheme="minorHAnsi"/>
          <w:b/>
        </w:rPr>
      </w:pPr>
      <w:r w:rsidRPr="005432E1">
        <w:rPr>
          <w:rFonts w:asciiTheme="minorHAnsi" w:hAnsiTheme="minorHAnsi"/>
          <w:b/>
        </w:rPr>
        <w:t xml:space="preserve">Demandas Judiciais relativas ao Programa de Garantia da Atividade Agropecuária – PROAGRO, </w:t>
      </w:r>
      <w:r w:rsidR="007C168A" w:rsidRPr="005432E1">
        <w:rPr>
          <w:rFonts w:asciiTheme="minorHAnsi" w:hAnsiTheme="minorHAnsi"/>
          <w:b/>
        </w:rPr>
        <w:t>administrado pelo Banco Central</w:t>
      </w:r>
    </w:p>
    <w:p w14:paraId="7E893995" w14:textId="77777777" w:rsidR="001A19BB" w:rsidRPr="005432E1" w:rsidRDefault="001A19BB" w:rsidP="006F4AC5">
      <w:pPr>
        <w:autoSpaceDE w:val="0"/>
        <w:autoSpaceDN w:val="0"/>
        <w:adjustRightInd w:val="0"/>
        <w:jc w:val="both"/>
        <w:rPr>
          <w:rFonts w:asciiTheme="minorHAnsi" w:hAnsiTheme="minorHAnsi"/>
        </w:rPr>
      </w:pPr>
    </w:p>
    <w:p w14:paraId="479F54A9" w14:textId="25CF001C" w:rsidR="001B07EC" w:rsidRPr="005432E1" w:rsidRDefault="001B07EC"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O Programa garante a exoneração de obrigações financeiras relativas à operação de crédito rural de custeio, cuja liquidação seja dificultada pela ocorrência de fenômenos naturais, pragas e doenças que atinjam rebanhos e plantações, na forma estabelecida pelo Conselho Monetário Nacional – CMN. Foi criado pela Lei nº 5.969, de 11 de dezembro de 1973 e regido pela Lei Agrícola nº 8.171, de 17 de janeiro de 1991, ambas regulamentadas pelo Decreto nº 175, de 10 de maio de 1991</w:t>
      </w:r>
    </w:p>
    <w:p w14:paraId="65E64BDD" w14:textId="77777777" w:rsidR="001A19BB" w:rsidRPr="005432E1" w:rsidRDefault="001A19BB"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O PROAGRO é custeado por recursos alocados pela União, pela receita do adicion</w:t>
      </w:r>
      <w:r w:rsidR="008115CB" w:rsidRPr="005432E1">
        <w:rPr>
          <w:rFonts w:asciiTheme="minorHAnsi" w:hAnsiTheme="minorHAnsi"/>
        </w:rPr>
        <w:t xml:space="preserve">al/prêmio do PROAGRO pago pelo </w:t>
      </w:r>
      <w:r w:rsidRPr="005432E1">
        <w:rPr>
          <w:rFonts w:asciiTheme="minorHAnsi" w:hAnsiTheme="minorHAnsi"/>
        </w:rPr>
        <w:t>produtor rural, bem como das</w:t>
      </w:r>
      <w:r w:rsidR="00517A38" w:rsidRPr="005432E1">
        <w:rPr>
          <w:rFonts w:asciiTheme="minorHAnsi" w:hAnsiTheme="minorHAnsi"/>
        </w:rPr>
        <w:t xml:space="preserve"> </w:t>
      </w:r>
      <w:r w:rsidRPr="005432E1">
        <w:rPr>
          <w:rFonts w:asciiTheme="minorHAnsi" w:hAnsiTheme="minorHAnsi"/>
        </w:rPr>
        <w:t>receitas financeiras decorrentes da aplicação dos recursos do adicional recolhido.</w:t>
      </w:r>
    </w:p>
    <w:p w14:paraId="4EF952FF" w14:textId="77777777" w:rsidR="001A19BB" w:rsidRPr="005432E1" w:rsidRDefault="001A19BB"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 xml:space="preserve">Cabe ao </w:t>
      </w:r>
      <w:r w:rsidR="00314073" w:rsidRPr="005432E1">
        <w:rPr>
          <w:rFonts w:asciiTheme="minorHAnsi" w:hAnsiTheme="minorHAnsi"/>
        </w:rPr>
        <w:t>BCB</w:t>
      </w:r>
      <w:r w:rsidRPr="005432E1">
        <w:rPr>
          <w:rFonts w:asciiTheme="minorHAnsi" w:hAnsiTheme="minorHAnsi"/>
        </w:rPr>
        <w:t xml:space="preserve"> a administração d</w:t>
      </w:r>
      <w:r w:rsidR="009302C6" w:rsidRPr="005432E1">
        <w:rPr>
          <w:rFonts w:asciiTheme="minorHAnsi" w:hAnsiTheme="minorHAnsi"/>
        </w:rPr>
        <w:t>o PROAGRO</w:t>
      </w:r>
      <w:r w:rsidRPr="005432E1">
        <w:rPr>
          <w:rFonts w:asciiTheme="minorHAnsi" w:hAnsiTheme="minorHAnsi"/>
        </w:rPr>
        <w:t xml:space="preserve"> e a operação aos agentes, representados pelas instituições financeiras autorizadas a operar em crédito rural. Cabe aos agentes, a contratação das operações de custeio, a formalização da adesão do mutuário ao Programa, a cobrança do adicional, a análise dos processos e da decisão dos pedidos de cobertura, o encaminhamento dos recursos à Comissão Especial de Recursos – CER, e </w:t>
      </w:r>
      <w:r w:rsidR="007C168A" w:rsidRPr="005432E1">
        <w:rPr>
          <w:rFonts w:asciiTheme="minorHAnsi" w:hAnsiTheme="minorHAnsi"/>
        </w:rPr>
        <w:t>os pagamentos</w:t>
      </w:r>
      <w:r w:rsidRPr="005432E1">
        <w:rPr>
          <w:rFonts w:asciiTheme="minorHAnsi" w:hAnsiTheme="minorHAnsi"/>
        </w:rPr>
        <w:t xml:space="preserve"> e registro</w:t>
      </w:r>
      <w:r w:rsidR="007C168A" w:rsidRPr="005432E1">
        <w:rPr>
          <w:rFonts w:asciiTheme="minorHAnsi" w:hAnsiTheme="minorHAnsi"/>
        </w:rPr>
        <w:t>s</w:t>
      </w:r>
      <w:r w:rsidRPr="005432E1">
        <w:rPr>
          <w:rFonts w:asciiTheme="minorHAnsi" w:hAnsiTheme="minorHAnsi"/>
        </w:rPr>
        <w:t xml:space="preserve"> das despesas.</w:t>
      </w:r>
    </w:p>
    <w:p w14:paraId="4DF1E830" w14:textId="77777777" w:rsidR="001A19BB" w:rsidRPr="005432E1" w:rsidRDefault="001A19BB"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 xml:space="preserve">Quando o pedido de cobertura do PROAGRO é negado pelo agente financeiro, o produtor pode recorrer à Comissão Especial de Recursos </w:t>
      </w:r>
      <w:r w:rsidR="00791538" w:rsidRPr="005432E1">
        <w:rPr>
          <w:rFonts w:asciiTheme="minorHAnsi" w:hAnsiTheme="minorHAnsi"/>
        </w:rPr>
        <w:t xml:space="preserve">– </w:t>
      </w:r>
      <w:r w:rsidRPr="005432E1">
        <w:rPr>
          <w:rFonts w:asciiTheme="minorHAnsi" w:hAnsiTheme="minorHAnsi"/>
        </w:rPr>
        <w:t>CER, única instância administrativa do PROAGRO, vinculada ao Ministério da Agricultura.</w:t>
      </w:r>
    </w:p>
    <w:p w14:paraId="54655453" w14:textId="77777777" w:rsidR="00A53FEE" w:rsidRPr="005432E1" w:rsidRDefault="001A19BB" w:rsidP="006F4AC5">
      <w:pPr>
        <w:pStyle w:val="Corpodetexto"/>
        <w:autoSpaceDE w:val="0"/>
        <w:autoSpaceDN w:val="0"/>
        <w:adjustRightInd w:val="0"/>
        <w:spacing w:after="240"/>
        <w:ind w:firstLine="709"/>
        <w:rPr>
          <w:rFonts w:asciiTheme="minorHAnsi" w:hAnsiTheme="minorHAnsi"/>
          <w:bCs w:val="0"/>
          <w:szCs w:val="24"/>
        </w:rPr>
      </w:pPr>
      <w:r w:rsidRPr="005432E1">
        <w:rPr>
          <w:rFonts w:asciiTheme="minorHAnsi" w:hAnsiTheme="minorHAnsi"/>
          <w:bCs w:val="0"/>
          <w:szCs w:val="24"/>
        </w:rPr>
        <w:t xml:space="preserve">Na condição de administrador do PROAGRO, o </w:t>
      </w:r>
      <w:r w:rsidR="00314073" w:rsidRPr="005432E1">
        <w:rPr>
          <w:rFonts w:asciiTheme="minorHAnsi" w:hAnsiTheme="minorHAnsi"/>
          <w:bCs w:val="0"/>
          <w:szCs w:val="24"/>
        </w:rPr>
        <w:t>BCB</w:t>
      </w:r>
      <w:r w:rsidRPr="005432E1">
        <w:rPr>
          <w:rFonts w:asciiTheme="minorHAnsi" w:hAnsiTheme="minorHAnsi"/>
          <w:bCs w:val="0"/>
          <w:szCs w:val="24"/>
        </w:rPr>
        <w:t xml:space="preserve"> é acionado judicialmente por produtores em relação à cobertura do Programa. O BC</w:t>
      </w:r>
      <w:r w:rsidR="00A53FEE" w:rsidRPr="005432E1">
        <w:rPr>
          <w:rFonts w:asciiTheme="minorHAnsi" w:hAnsiTheme="minorHAnsi"/>
          <w:bCs w:val="0"/>
          <w:szCs w:val="24"/>
        </w:rPr>
        <w:t>B</w:t>
      </w:r>
      <w:r w:rsidRPr="005432E1">
        <w:rPr>
          <w:rFonts w:asciiTheme="minorHAnsi" w:hAnsiTheme="minorHAnsi"/>
          <w:bCs w:val="0"/>
          <w:szCs w:val="24"/>
        </w:rPr>
        <w:t xml:space="preserve"> contabiliza</w:t>
      </w:r>
      <w:r w:rsidR="00A53FEE" w:rsidRPr="005432E1">
        <w:rPr>
          <w:rFonts w:asciiTheme="minorHAnsi" w:hAnsiTheme="minorHAnsi"/>
          <w:bCs w:val="0"/>
          <w:szCs w:val="24"/>
        </w:rPr>
        <w:t>, então,</w:t>
      </w:r>
      <w:r w:rsidRPr="005432E1">
        <w:rPr>
          <w:rFonts w:asciiTheme="minorHAnsi" w:hAnsiTheme="minorHAnsi"/>
          <w:bCs w:val="0"/>
          <w:szCs w:val="24"/>
        </w:rPr>
        <w:t xml:space="preserve"> provisões de 100% do valor em risco para todas as ações em que a probabilidade de perda seja avaliada como maior que 50%.</w:t>
      </w:r>
    </w:p>
    <w:p w14:paraId="4E60DAA7" w14:textId="77777777" w:rsidR="000408DC" w:rsidRPr="005432E1" w:rsidRDefault="001A19BB" w:rsidP="006F4AC5">
      <w:pPr>
        <w:pStyle w:val="Corpodetexto"/>
        <w:autoSpaceDE w:val="0"/>
        <w:autoSpaceDN w:val="0"/>
        <w:adjustRightInd w:val="0"/>
        <w:spacing w:after="240"/>
        <w:ind w:firstLine="709"/>
        <w:rPr>
          <w:rFonts w:asciiTheme="minorHAnsi" w:hAnsiTheme="minorHAnsi"/>
          <w:bCs w:val="0"/>
          <w:szCs w:val="24"/>
        </w:rPr>
      </w:pPr>
      <w:r w:rsidRPr="005432E1">
        <w:rPr>
          <w:rFonts w:asciiTheme="minorHAnsi" w:hAnsiTheme="minorHAnsi"/>
          <w:bCs w:val="0"/>
          <w:szCs w:val="24"/>
        </w:rPr>
        <w:t xml:space="preserve"> As ações em que o risco de perda foi considerado menor que provável</w:t>
      </w:r>
      <w:r w:rsidR="004216D2" w:rsidRPr="005432E1">
        <w:rPr>
          <w:rFonts w:asciiTheme="minorHAnsi" w:hAnsiTheme="minorHAnsi"/>
          <w:bCs w:val="0"/>
          <w:szCs w:val="24"/>
        </w:rPr>
        <w:t xml:space="preserve"> e</w:t>
      </w:r>
      <w:r w:rsidRPr="005432E1">
        <w:rPr>
          <w:rFonts w:asciiTheme="minorHAnsi" w:hAnsiTheme="minorHAnsi"/>
          <w:bCs w:val="0"/>
          <w:szCs w:val="24"/>
        </w:rPr>
        <w:t xml:space="preserve"> maior que remoto (probabilidade de perda avaliada como maior que 25% e menor que 50%) foram consideradas como passivos contingentes e</w:t>
      </w:r>
      <w:r w:rsidR="008115CB" w:rsidRPr="005432E1">
        <w:rPr>
          <w:rFonts w:asciiTheme="minorHAnsi" w:hAnsiTheme="minorHAnsi"/>
          <w:bCs w:val="0"/>
          <w:szCs w:val="24"/>
        </w:rPr>
        <w:t>,</w:t>
      </w:r>
      <w:r w:rsidRPr="005432E1">
        <w:rPr>
          <w:rFonts w:asciiTheme="minorHAnsi" w:hAnsiTheme="minorHAnsi"/>
          <w:bCs w:val="0"/>
          <w:szCs w:val="24"/>
        </w:rPr>
        <w:t xml:space="preserve"> assim</w:t>
      </w:r>
      <w:r w:rsidR="008115CB" w:rsidRPr="005432E1">
        <w:rPr>
          <w:rFonts w:asciiTheme="minorHAnsi" w:hAnsiTheme="minorHAnsi"/>
          <w:bCs w:val="0"/>
          <w:szCs w:val="24"/>
        </w:rPr>
        <w:t>,</w:t>
      </w:r>
      <w:r w:rsidRPr="005432E1">
        <w:rPr>
          <w:rFonts w:asciiTheme="minorHAnsi" w:hAnsiTheme="minorHAnsi"/>
          <w:bCs w:val="0"/>
          <w:szCs w:val="24"/>
        </w:rPr>
        <w:t xml:space="preserve"> não foram provisionadas. </w:t>
      </w:r>
      <w:r w:rsidR="000408DC" w:rsidRPr="005432E1">
        <w:rPr>
          <w:rFonts w:asciiTheme="minorHAnsi" w:hAnsiTheme="minorHAnsi"/>
          <w:bCs w:val="0"/>
          <w:szCs w:val="24"/>
        </w:rPr>
        <w:t>Em 31 de dezembro de 201</w:t>
      </w:r>
      <w:r w:rsidR="00272E1C" w:rsidRPr="005432E1">
        <w:rPr>
          <w:rFonts w:asciiTheme="minorHAnsi" w:hAnsiTheme="minorHAnsi"/>
          <w:bCs w:val="0"/>
          <w:szCs w:val="24"/>
        </w:rPr>
        <w:t>7</w:t>
      </w:r>
      <w:r w:rsidR="000408DC" w:rsidRPr="005432E1">
        <w:rPr>
          <w:rFonts w:asciiTheme="minorHAnsi" w:hAnsiTheme="minorHAnsi"/>
          <w:bCs w:val="0"/>
          <w:szCs w:val="24"/>
        </w:rPr>
        <w:t xml:space="preserve"> havia 16</w:t>
      </w:r>
      <w:r w:rsidR="00272E1C" w:rsidRPr="005432E1">
        <w:rPr>
          <w:rFonts w:asciiTheme="minorHAnsi" w:hAnsiTheme="minorHAnsi"/>
          <w:bCs w:val="0"/>
          <w:szCs w:val="24"/>
        </w:rPr>
        <w:t>6</w:t>
      </w:r>
      <w:r w:rsidR="000408DC" w:rsidRPr="005432E1">
        <w:rPr>
          <w:rFonts w:asciiTheme="minorHAnsi" w:hAnsiTheme="minorHAnsi"/>
          <w:bCs w:val="0"/>
          <w:szCs w:val="24"/>
        </w:rPr>
        <w:t xml:space="preserve"> ações nesta situação (16</w:t>
      </w:r>
      <w:r w:rsidR="00272E1C" w:rsidRPr="005432E1">
        <w:rPr>
          <w:rFonts w:asciiTheme="minorHAnsi" w:hAnsiTheme="minorHAnsi"/>
          <w:bCs w:val="0"/>
          <w:szCs w:val="24"/>
        </w:rPr>
        <w:t>5</w:t>
      </w:r>
      <w:r w:rsidR="000408DC" w:rsidRPr="005432E1">
        <w:rPr>
          <w:rFonts w:asciiTheme="minorHAnsi" w:hAnsiTheme="minorHAnsi"/>
          <w:bCs w:val="0"/>
          <w:szCs w:val="24"/>
        </w:rPr>
        <w:t xml:space="preserve"> em 201</w:t>
      </w:r>
      <w:r w:rsidR="00272E1C" w:rsidRPr="005432E1">
        <w:rPr>
          <w:rFonts w:asciiTheme="minorHAnsi" w:hAnsiTheme="minorHAnsi"/>
          <w:bCs w:val="0"/>
          <w:szCs w:val="24"/>
        </w:rPr>
        <w:t>6</w:t>
      </w:r>
      <w:r w:rsidR="000408DC" w:rsidRPr="005432E1">
        <w:rPr>
          <w:rFonts w:asciiTheme="minorHAnsi" w:hAnsiTheme="minorHAnsi"/>
          <w:bCs w:val="0"/>
          <w:szCs w:val="24"/>
        </w:rPr>
        <w:t>), totalizando R$</w:t>
      </w:r>
      <w:r w:rsidR="000408DC" w:rsidRPr="005432E1">
        <w:rPr>
          <w:rFonts w:asciiTheme="minorHAnsi" w:hAnsiTheme="minorHAnsi"/>
          <w:szCs w:val="24"/>
        </w:rPr>
        <w:t xml:space="preserve"> </w:t>
      </w:r>
      <w:r w:rsidR="00272E1C" w:rsidRPr="005432E1">
        <w:rPr>
          <w:rFonts w:asciiTheme="minorHAnsi" w:hAnsiTheme="minorHAnsi"/>
          <w:szCs w:val="24"/>
        </w:rPr>
        <w:t>64,5</w:t>
      </w:r>
      <w:r w:rsidR="000408DC" w:rsidRPr="005432E1">
        <w:rPr>
          <w:rFonts w:asciiTheme="minorHAnsi" w:hAnsiTheme="minorHAnsi"/>
          <w:bCs w:val="0"/>
          <w:szCs w:val="24"/>
        </w:rPr>
        <w:t xml:space="preserve"> milhões (R$ </w:t>
      </w:r>
      <w:r w:rsidR="00272E1C" w:rsidRPr="005432E1">
        <w:rPr>
          <w:rFonts w:asciiTheme="minorHAnsi" w:hAnsiTheme="minorHAnsi"/>
          <w:bCs w:val="0"/>
          <w:szCs w:val="24"/>
        </w:rPr>
        <w:t>24,2</w:t>
      </w:r>
      <w:r w:rsidR="000408DC" w:rsidRPr="005432E1">
        <w:rPr>
          <w:rFonts w:asciiTheme="minorHAnsi" w:hAnsiTheme="minorHAnsi"/>
          <w:bCs w:val="0"/>
          <w:szCs w:val="24"/>
        </w:rPr>
        <w:t xml:space="preserve"> milhões em 201</w:t>
      </w:r>
      <w:r w:rsidR="00272E1C" w:rsidRPr="005432E1">
        <w:rPr>
          <w:rFonts w:asciiTheme="minorHAnsi" w:hAnsiTheme="minorHAnsi"/>
          <w:bCs w:val="0"/>
          <w:szCs w:val="24"/>
        </w:rPr>
        <w:t>6</w:t>
      </w:r>
      <w:r w:rsidR="000408DC" w:rsidRPr="005432E1">
        <w:rPr>
          <w:rFonts w:asciiTheme="minorHAnsi" w:hAnsiTheme="minorHAnsi"/>
          <w:bCs w:val="0"/>
          <w:szCs w:val="24"/>
        </w:rPr>
        <w:t>).</w:t>
      </w:r>
    </w:p>
    <w:p w14:paraId="74B12516" w14:textId="77777777" w:rsidR="00172654" w:rsidRPr="005432E1" w:rsidRDefault="00172654" w:rsidP="006F4AC5">
      <w:pPr>
        <w:jc w:val="both"/>
        <w:rPr>
          <w:rFonts w:asciiTheme="minorHAnsi" w:hAnsiTheme="minorHAnsi"/>
          <w:b/>
          <w:bCs/>
        </w:rPr>
      </w:pPr>
      <w:bookmarkStart w:id="115" w:name="_Toc384127191"/>
      <w:bookmarkStart w:id="116" w:name="_Toc414973422"/>
      <w:bookmarkStart w:id="117" w:name="_Toc447189125"/>
    </w:p>
    <w:p w14:paraId="4AE8B6D3" w14:textId="77777777" w:rsidR="002B0F44" w:rsidRPr="005432E1" w:rsidRDefault="006C4C8F" w:rsidP="004C4B03">
      <w:pPr>
        <w:pStyle w:val="Ttulo3"/>
        <w:numPr>
          <w:ilvl w:val="0"/>
          <w:numId w:val="0"/>
        </w:numPr>
        <w:rPr>
          <w:rFonts w:asciiTheme="minorHAnsi" w:hAnsiTheme="minorHAnsi"/>
          <w:b/>
        </w:rPr>
      </w:pPr>
      <w:bookmarkStart w:id="118" w:name="_Toc511230025"/>
      <w:r w:rsidRPr="005432E1">
        <w:rPr>
          <w:rFonts w:asciiTheme="minorHAnsi" w:hAnsiTheme="minorHAnsi"/>
          <w:b/>
        </w:rPr>
        <w:t>3.</w:t>
      </w:r>
      <w:r w:rsidR="003F6DAB" w:rsidRPr="005432E1">
        <w:rPr>
          <w:rFonts w:asciiTheme="minorHAnsi" w:hAnsiTheme="minorHAnsi"/>
          <w:b/>
        </w:rPr>
        <w:t>1</w:t>
      </w:r>
      <w:r w:rsidRPr="005432E1">
        <w:rPr>
          <w:rFonts w:asciiTheme="minorHAnsi" w:hAnsiTheme="minorHAnsi"/>
          <w:b/>
        </w:rPr>
        <w:t>.</w:t>
      </w:r>
      <w:r w:rsidR="000007EF" w:rsidRPr="005432E1">
        <w:rPr>
          <w:rFonts w:asciiTheme="minorHAnsi" w:hAnsiTheme="minorHAnsi"/>
          <w:b/>
        </w:rPr>
        <w:t>6</w:t>
      </w:r>
      <w:r w:rsidRPr="005432E1">
        <w:rPr>
          <w:rFonts w:asciiTheme="minorHAnsi" w:hAnsiTheme="minorHAnsi"/>
          <w:b/>
        </w:rPr>
        <w:tab/>
        <w:t xml:space="preserve">Passivos contingentes </w:t>
      </w:r>
      <w:bookmarkEnd w:id="115"/>
      <w:bookmarkEnd w:id="116"/>
      <w:bookmarkEnd w:id="117"/>
      <w:r w:rsidR="00EC7B42" w:rsidRPr="005432E1">
        <w:rPr>
          <w:rFonts w:asciiTheme="minorHAnsi" w:hAnsiTheme="minorHAnsi"/>
          <w:b/>
        </w:rPr>
        <w:t>administrados pelo Tesouro Nacional</w:t>
      </w:r>
      <w:bookmarkEnd w:id="118"/>
    </w:p>
    <w:p w14:paraId="5CBAA3FA" w14:textId="77777777" w:rsidR="00D945AF" w:rsidRPr="005432E1" w:rsidRDefault="00D945AF" w:rsidP="006F4AC5">
      <w:pPr>
        <w:jc w:val="both"/>
        <w:rPr>
          <w:rFonts w:asciiTheme="minorHAnsi" w:hAnsiTheme="minorHAnsi"/>
          <w:b/>
          <w:bCs/>
        </w:rPr>
      </w:pPr>
      <w:bookmarkStart w:id="119" w:name="_Toc414973434"/>
      <w:bookmarkStart w:id="120" w:name="_Toc384127193"/>
      <w:bookmarkStart w:id="121" w:name="_Toc414973435"/>
      <w:bookmarkStart w:id="122" w:name="_Toc447189141"/>
      <w:bookmarkEnd w:id="119"/>
    </w:p>
    <w:p w14:paraId="7F319A2A" w14:textId="77777777" w:rsidR="00EC7B42" w:rsidRPr="005432E1" w:rsidRDefault="00EC7B42" w:rsidP="006F4AC5">
      <w:pPr>
        <w:pStyle w:val="Corpodetexto"/>
        <w:autoSpaceDE w:val="0"/>
        <w:autoSpaceDN w:val="0"/>
        <w:adjustRightInd w:val="0"/>
        <w:spacing w:after="240"/>
        <w:ind w:firstLine="709"/>
        <w:rPr>
          <w:rFonts w:asciiTheme="minorHAnsi" w:hAnsiTheme="minorHAnsi"/>
          <w:bCs w:val="0"/>
          <w:szCs w:val="24"/>
        </w:rPr>
      </w:pPr>
      <w:r w:rsidRPr="005432E1">
        <w:rPr>
          <w:rFonts w:asciiTheme="minorHAnsi" w:hAnsiTheme="minorHAnsi"/>
          <w:bCs w:val="0"/>
          <w:szCs w:val="24"/>
        </w:rPr>
        <w:t>Os passivos contingentes administrados pelo Tesouro Nac</w:t>
      </w:r>
      <w:r w:rsidR="00D1202A" w:rsidRPr="005432E1">
        <w:rPr>
          <w:rFonts w:asciiTheme="minorHAnsi" w:hAnsiTheme="minorHAnsi"/>
          <w:bCs w:val="0"/>
          <w:szCs w:val="24"/>
        </w:rPr>
        <w:t>i</w:t>
      </w:r>
      <w:r w:rsidRPr="005432E1">
        <w:rPr>
          <w:rFonts w:asciiTheme="minorHAnsi" w:hAnsiTheme="minorHAnsi"/>
          <w:bCs w:val="0"/>
          <w:szCs w:val="24"/>
        </w:rPr>
        <w:t xml:space="preserve">onal são divididos em três grandes grupos, quais sejam: (i) </w:t>
      </w:r>
      <w:r w:rsidR="00E71F0B" w:rsidRPr="005432E1">
        <w:rPr>
          <w:rFonts w:asciiTheme="minorHAnsi" w:hAnsiTheme="minorHAnsi"/>
          <w:bCs w:val="0"/>
          <w:szCs w:val="24"/>
        </w:rPr>
        <w:t xml:space="preserve">Passivos contingentes em fase de reconhecimento, (ii) </w:t>
      </w:r>
      <w:r w:rsidR="00D1202A" w:rsidRPr="005432E1">
        <w:rPr>
          <w:rFonts w:asciiTheme="minorHAnsi" w:hAnsiTheme="minorHAnsi"/>
          <w:bCs w:val="0"/>
          <w:szCs w:val="24"/>
        </w:rPr>
        <w:t>Garantias e contragarantias prestadas pelo Tesouro</w:t>
      </w:r>
      <w:r w:rsidR="00791538" w:rsidRPr="005432E1">
        <w:rPr>
          <w:rFonts w:asciiTheme="minorHAnsi" w:hAnsiTheme="minorHAnsi"/>
          <w:bCs w:val="0"/>
          <w:szCs w:val="24"/>
        </w:rPr>
        <w:t>;</w:t>
      </w:r>
      <w:r w:rsidR="00D1202A" w:rsidRPr="005432E1">
        <w:rPr>
          <w:rFonts w:asciiTheme="minorHAnsi" w:hAnsiTheme="minorHAnsi"/>
          <w:bCs w:val="0"/>
          <w:szCs w:val="24"/>
        </w:rPr>
        <w:t xml:space="preserve"> e (iii)</w:t>
      </w:r>
      <w:r w:rsidR="00610E57" w:rsidRPr="005432E1">
        <w:rPr>
          <w:rFonts w:asciiTheme="minorHAnsi" w:hAnsiTheme="minorHAnsi"/>
          <w:bCs w:val="0"/>
          <w:szCs w:val="24"/>
        </w:rPr>
        <w:t xml:space="preserve"> Passivos contingentes </w:t>
      </w:r>
      <w:r w:rsidR="00B72CA0" w:rsidRPr="005432E1">
        <w:rPr>
          <w:rFonts w:asciiTheme="minorHAnsi" w:hAnsiTheme="minorHAnsi"/>
          <w:bCs w:val="0"/>
          <w:szCs w:val="24"/>
        </w:rPr>
        <w:t>referentes aos Fundos Constitucionais de Financiamento do Nordeste (FNE), do Norte (FNO) e do Centro-Oeste (FCO).</w:t>
      </w:r>
    </w:p>
    <w:p w14:paraId="2CF43020" w14:textId="77777777" w:rsidR="00A17E9D" w:rsidRPr="005432E1" w:rsidRDefault="00A17E9D" w:rsidP="00A74E66">
      <w:pPr>
        <w:rPr>
          <w:rFonts w:asciiTheme="minorHAnsi" w:eastAsiaTheme="minorHAnsi" w:hAnsiTheme="minorHAnsi"/>
          <w:b/>
          <w:lang w:eastAsia="en-US"/>
        </w:rPr>
      </w:pPr>
      <w:r w:rsidRPr="005432E1">
        <w:rPr>
          <w:rFonts w:asciiTheme="minorHAnsi" w:eastAsiaTheme="minorHAnsi" w:hAnsiTheme="minorHAnsi"/>
          <w:b/>
          <w:lang w:eastAsia="en-US"/>
        </w:rPr>
        <w:t>3.</w:t>
      </w:r>
      <w:r w:rsidR="007F415A" w:rsidRPr="005432E1">
        <w:rPr>
          <w:rFonts w:asciiTheme="minorHAnsi" w:eastAsiaTheme="minorHAnsi" w:hAnsiTheme="minorHAnsi"/>
          <w:b/>
          <w:lang w:eastAsia="en-US"/>
        </w:rPr>
        <w:t>1</w:t>
      </w:r>
      <w:r w:rsidRPr="005432E1">
        <w:rPr>
          <w:rFonts w:asciiTheme="minorHAnsi" w:eastAsiaTheme="minorHAnsi" w:hAnsiTheme="minorHAnsi"/>
          <w:b/>
          <w:lang w:eastAsia="en-US"/>
        </w:rPr>
        <w:t>.6.1</w:t>
      </w:r>
      <w:r w:rsidRPr="005432E1">
        <w:rPr>
          <w:rFonts w:asciiTheme="minorHAnsi" w:eastAsiaTheme="minorHAnsi" w:hAnsiTheme="minorHAnsi"/>
          <w:b/>
          <w:lang w:eastAsia="en-US"/>
        </w:rPr>
        <w:tab/>
        <w:t xml:space="preserve"> Passivos Contingentes em fase de reconhecimento </w:t>
      </w:r>
    </w:p>
    <w:p w14:paraId="2EE700A3" w14:textId="77777777" w:rsidR="00D33DB4" w:rsidRPr="005432E1" w:rsidRDefault="00D82C3A" w:rsidP="00D33DB4">
      <w:pPr>
        <w:spacing w:before="100" w:beforeAutospacing="1" w:after="100" w:afterAutospacing="1"/>
        <w:jc w:val="both"/>
        <w:rPr>
          <w:rFonts w:asciiTheme="minorHAnsi" w:hAnsiTheme="minorHAnsi"/>
        </w:rPr>
      </w:pPr>
      <w:r w:rsidRPr="005432E1">
        <w:rPr>
          <w:rFonts w:asciiTheme="minorHAnsi" w:hAnsiTheme="minorHAnsi"/>
        </w:rPr>
        <w:tab/>
      </w:r>
      <w:r w:rsidR="00D33DB4" w:rsidRPr="005432E1">
        <w:rPr>
          <w:rFonts w:asciiTheme="minorHAnsi" w:hAnsiTheme="minorHAnsi"/>
        </w:rPr>
        <w:t>Os passivos contingentes da União em processo de regularização no âmbito da STN são referidos, também, em diversas publicações, como “</w:t>
      </w:r>
      <w:r w:rsidR="00D33DB4" w:rsidRPr="005432E1">
        <w:rPr>
          <w:rFonts w:asciiTheme="minorHAnsi" w:hAnsiTheme="minorHAnsi"/>
          <w:i/>
          <w:iCs/>
        </w:rPr>
        <w:t>dívidas em processo de reconhecimento</w:t>
      </w:r>
      <w:r w:rsidR="00D33DB4" w:rsidRPr="005432E1">
        <w:rPr>
          <w:rFonts w:asciiTheme="minorHAnsi" w:hAnsiTheme="minorHAnsi"/>
        </w:rPr>
        <w:t>”. Para melhor compreensão, podem ser assim classificados:</w:t>
      </w:r>
    </w:p>
    <w:p w14:paraId="6F102BDA" w14:textId="77777777" w:rsidR="00D33DB4" w:rsidRPr="005432E1" w:rsidRDefault="00D33DB4" w:rsidP="000965CC">
      <w:pPr>
        <w:numPr>
          <w:ilvl w:val="0"/>
          <w:numId w:val="9"/>
        </w:numPr>
        <w:spacing w:before="100" w:beforeAutospacing="1" w:after="100" w:afterAutospacing="1"/>
        <w:jc w:val="both"/>
        <w:rPr>
          <w:rFonts w:asciiTheme="minorHAnsi" w:hAnsiTheme="minorHAnsi"/>
        </w:rPr>
      </w:pPr>
      <w:r w:rsidRPr="005432E1">
        <w:rPr>
          <w:rFonts w:asciiTheme="minorHAnsi" w:hAnsiTheme="minorHAnsi"/>
        </w:rPr>
        <w:t>Dívidas decorrentes da extinção/dissolução de entidades da Administração Federal;</w:t>
      </w:r>
    </w:p>
    <w:p w14:paraId="5A6F44B4" w14:textId="77777777" w:rsidR="00D33DB4" w:rsidRPr="005432E1" w:rsidRDefault="00D33DB4" w:rsidP="000965CC">
      <w:pPr>
        <w:numPr>
          <w:ilvl w:val="0"/>
          <w:numId w:val="9"/>
        </w:numPr>
        <w:spacing w:before="100" w:beforeAutospacing="1" w:after="100" w:afterAutospacing="1"/>
        <w:jc w:val="both"/>
        <w:rPr>
          <w:rFonts w:asciiTheme="minorHAnsi" w:hAnsiTheme="minorHAnsi"/>
        </w:rPr>
      </w:pPr>
      <w:r w:rsidRPr="005432E1">
        <w:rPr>
          <w:rFonts w:asciiTheme="minorHAnsi" w:hAnsiTheme="minorHAnsi"/>
        </w:rPr>
        <w:t>Dívidas diretas da União;</w:t>
      </w:r>
    </w:p>
    <w:p w14:paraId="79AB86A1" w14:textId="77777777" w:rsidR="00D33DB4" w:rsidRPr="005432E1" w:rsidRDefault="00D33DB4" w:rsidP="000965CC">
      <w:pPr>
        <w:numPr>
          <w:ilvl w:val="0"/>
          <w:numId w:val="9"/>
        </w:numPr>
        <w:spacing w:before="100" w:beforeAutospacing="1" w:after="100" w:afterAutospacing="1"/>
        <w:jc w:val="both"/>
        <w:rPr>
          <w:rFonts w:asciiTheme="minorHAnsi" w:hAnsiTheme="minorHAnsi"/>
        </w:rPr>
      </w:pPr>
      <w:r w:rsidRPr="005432E1">
        <w:rPr>
          <w:rFonts w:asciiTheme="minorHAnsi" w:hAnsiTheme="minorHAnsi"/>
        </w:rPr>
        <w:t>Dívidas do Fundo de Compensação de Variações Salariais - FCVS</w:t>
      </w:r>
    </w:p>
    <w:p w14:paraId="4458B524" w14:textId="77777777" w:rsidR="00D33DB4" w:rsidRPr="005432E1" w:rsidRDefault="00D82C3A" w:rsidP="00D33DB4">
      <w:pPr>
        <w:spacing w:before="100" w:beforeAutospacing="1" w:after="100" w:afterAutospacing="1"/>
        <w:jc w:val="both"/>
        <w:rPr>
          <w:rFonts w:asciiTheme="minorHAnsi" w:hAnsiTheme="minorHAnsi"/>
        </w:rPr>
      </w:pPr>
      <w:r w:rsidRPr="005432E1">
        <w:rPr>
          <w:rFonts w:asciiTheme="minorHAnsi" w:hAnsiTheme="minorHAnsi"/>
        </w:rPr>
        <w:tab/>
      </w:r>
      <w:r w:rsidR="00D33DB4" w:rsidRPr="005432E1">
        <w:rPr>
          <w:rFonts w:asciiTheme="minorHAnsi" w:hAnsiTheme="minorHAnsi"/>
        </w:rPr>
        <w:t>No caso dos mencion</w:t>
      </w:r>
      <w:r w:rsidR="00723389" w:rsidRPr="005432E1">
        <w:rPr>
          <w:rFonts w:asciiTheme="minorHAnsi" w:hAnsiTheme="minorHAnsi"/>
        </w:rPr>
        <w:t>ados passivos, dada a</w:t>
      </w:r>
      <w:r w:rsidR="00D33DB4" w:rsidRPr="005432E1">
        <w:rPr>
          <w:rFonts w:asciiTheme="minorHAnsi" w:hAnsiTheme="minorHAnsi"/>
        </w:rPr>
        <w:t xml:space="preserve"> restrição financeira da União, o pagamento aos credores, salvo raras exceções, dá-se mediante a emissão direta de títulos da dívida pública mobiliária federal, modalidade denominada securitização.</w:t>
      </w:r>
    </w:p>
    <w:p w14:paraId="1A29FA3A"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b/>
          <w:bCs/>
        </w:rPr>
        <w:t>Dívidas Decorrentes da Extinção/Dissolução de Entidades</w:t>
      </w:r>
    </w:p>
    <w:p w14:paraId="577135DF"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Por força da Lei nº 8.029, de 12 de abril de 1990, e de outras leis específicas que extinguiram entidades da Administração Pública Federal, a União sucedeu tais entidades em seus direitos e obrigações decorrentes de norma legal, ato administrativo ou contrato. Estão neste grupo, portanto, os compromissos assumidos pela União em virtude da extinção/dissolução de autarquias/empresas, como, por exemplo: Empresas Nucleares Brasileiras S/A – Nuclebrás, Rede Ferroviária Federal S/A – RFFSA, Centrais de Abastecimento do Amazonas – CEASA/AM e Petrobrás Mineração S/A – Petromisa.</w:t>
      </w:r>
    </w:p>
    <w:p w14:paraId="2D2C8BB2"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b/>
          <w:bCs/>
        </w:rPr>
        <w:t>Dívidas Diretas</w:t>
      </w:r>
    </w:p>
    <w:p w14:paraId="20F803C8"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As dívidas de responsabilidade direta da União originam-se de eventos tais como: (i) a Constituição de 1988 determinou a criação dos Estados de Roraima, Amapá e Tocantins, livres dos compromissos decorrentes dos investimentos feitos nos respectivos territórios, que foram atribuídos à União; e (ii) dispositivos legais que autorizaram as instituições financeiras federais a prestar auxílio financeiro, ou participar de alguma política pública, com o compromisso de posterior ressarcimento, pela União. </w:t>
      </w:r>
    </w:p>
    <w:p w14:paraId="65B5DA82"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b/>
          <w:bCs/>
        </w:rPr>
        <w:t>Dívidas do Fundo de Compensação de Variações Salariais - FCVS</w:t>
      </w:r>
    </w:p>
    <w:p w14:paraId="0C8C98AD"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A regularização, pela União, das obrigações oriundas do FCVS tem amparo na Lei nº 10.150, de 21 de dezembro de 2000, e no art. 44 da Medida Provisória nº 2.181-45/2001. Trata-se do maior passivo contingente em regularização. Os credores dessa dívida são os agentes integrantes do Sistema Financeiro da Habitação – SFH (ou seus cessionários) que celebraram, com os mutuários finais, os contratos de financiamento com cláusulas de equivalência salarial e cobertura do saldo devedor pelo FCVS (especialmente nas décadas de 1970 e 1980).</w:t>
      </w:r>
    </w:p>
    <w:p w14:paraId="08C9EA76" w14:textId="77777777" w:rsidR="00D33DB4" w:rsidRPr="005432E1" w:rsidRDefault="00723389" w:rsidP="00D33DB4">
      <w:pPr>
        <w:spacing w:before="100" w:beforeAutospacing="1" w:after="100" w:afterAutospacing="1"/>
        <w:jc w:val="both"/>
        <w:rPr>
          <w:rFonts w:asciiTheme="minorHAnsi" w:hAnsiTheme="minorHAnsi"/>
        </w:rPr>
      </w:pPr>
      <w:r w:rsidRPr="005432E1">
        <w:rPr>
          <w:rFonts w:asciiTheme="minorHAnsi" w:hAnsiTheme="minorHAnsi"/>
        </w:rPr>
        <w:tab/>
      </w:r>
      <w:r w:rsidR="00D33DB4" w:rsidRPr="005432E1">
        <w:rPr>
          <w:rFonts w:asciiTheme="minorHAnsi" w:hAnsiTheme="minorHAnsi"/>
        </w:rPr>
        <w:t>Adicionalmente, a MP nº 513, de 26 de novembro de 2010, convertida na Lei nº 12.409</w:t>
      </w:r>
      <w:r w:rsidRPr="005432E1">
        <w:rPr>
          <w:rFonts w:asciiTheme="minorHAnsi" w:hAnsiTheme="minorHAnsi"/>
        </w:rPr>
        <w:t>/</w:t>
      </w:r>
      <w:r w:rsidR="00D33DB4" w:rsidRPr="005432E1">
        <w:rPr>
          <w:rFonts w:asciiTheme="minorHAnsi" w:hAnsiTheme="minorHAnsi"/>
        </w:rPr>
        <w:t>2011, autorizou o FCVS a assumir, na forma disciplinada em ato do seu Conselho Curador - CCFCVS, direitos e obrigações do Seguro Habitacional do Sistema Financeiro da Habitação - SH/SFH e oferecer cobertura direta a contratos de financiamento habitacional averbados na Apólice do SH/SFH, constituindo-se assim o “FCVS – Garantia”.</w:t>
      </w:r>
    </w:p>
    <w:p w14:paraId="45345A87"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A Caixa Econômica Federal - CAIXA é a administradora do FCVS. A estimativa do estoque a ser ainda pago resulta: (i) da apuração dos saldos nos contratos já apresentados à habilitação (pelos agentes à Caixa); e (ii) das avaliações atuariais periódicas efetuadas por empresa contratada pela Caixa, e que inclui a parcela de contratos não apresentados à habilitação.</w:t>
      </w:r>
    </w:p>
    <w:p w14:paraId="0481C696" w14:textId="77777777" w:rsidR="00D33DB4" w:rsidRP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A mencionada Lei nº 10.150, de 2000, prevê a celebração, entre a União e os credores do FCVS, de contratos de novação de dívida, que estabelecem o pagamento mediante títulos denominados CVSA, CVSB, CVSC e CVSD, com vencimento em 1º de janeiro de 2027, os quais, porém, pagam parcelas mensais de juros desde 1º de janeiro de 2005, e parcelas mensais do principal desde 1º de janeiro de 2009.</w:t>
      </w:r>
    </w:p>
    <w:p w14:paraId="01AC1E4B" w14:textId="4C12EB3F" w:rsid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 xml:space="preserve">As tabelas </w:t>
      </w:r>
      <w:r w:rsidR="00C108A7" w:rsidRPr="005432E1">
        <w:rPr>
          <w:rFonts w:asciiTheme="minorHAnsi" w:hAnsiTheme="minorHAnsi"/>
        </w:rPr>
        <w:t xml:space="preserve">14 e 15 </w:t>
      </w:r>
      <w:r w:rsidRPr="005432E1">
        <w:rPr>
          <w:rFonts w:asciiTheme="minorHAnsi" w:hAnsiTheme="minorHAnsi"/>
        </w:rPr>
        <w:t>abaixo resumem as regularizações ocorridas nos exercícios de 2016 e de 2017, bem como a estimativa dos estoques das obrigações remanescentes e a previsão acerca das que poderão vir a ser liquidadas proximamente.</w:t>
      </w:r>
    </w:p>
    <w:p w14:paraId="0CD7AC80" w14:textId="77777777" w:rsidR="005432E1" w:rsidRDefault="005432E1">
      <w:pPr>
        <w:rPr>
          <w:rFonts w:asciiTheme="minorHAnsi" w:hAnsiTheme="minorHAnsi"/>
        </w:rPr>
      </w:pPr>
      <w:r>
        <w:rPr>
          <w:rFonts w:asciiTheme="minorHAnsi" w:hAnsiTheme="minorHAnsi"/>
        </w:rPr>
        <w:br w:type="page"/>
      </w:r>
    </w:p>
    <w:p w14:paraId="3A28D8D3" w14:textId="77777777" w:rsidR="00D33DB4" w:rsidRPr="005432E1" w:rsidRDefault="00D33DB4" w:rsidP="00D33DB4">
      <w:pPr>
        <w:spacing w:before="100" w:beforeAutospacing="1" w:after="100" w:afterAutospacing="1"/>
        <w:jc w:val="both"/>
        <w:rPr>
          <w:rFonts w:asciiTheme="minorHAnsi" w:hAnsiTheme="minorHAnsi"/>
        </w:rPr>
      </w:pPr>
    </w:p>
    <w:p w14:paraId="4B9F1022" w14:textId="37DF0ED0" w:rsidR="00D33DB4" w:rsidRPr="005432E1" w:rsidRDefault="00D33DB4" w:rsidP="00D33DB4">
      <w:pPr>
        <w:spacing w:before="100" w:beforeAutospacing="1" w:after="100" w:afterAutospacing="1"/>
        <w:jc w:val="center"/>
        <w:rPr>
          <w:rFonts w:asciiTheme="minorHAnsi" w:hAnsiTheme="minorHAnsi"/>
        </w:rPr>
      </w:pPr>
      <w:r w:rsidRPr="005432E1">
        <w:rPr>
          <w:rFonts w:asciiTheme="minorHAnsi" w:hAnsiTheme="minorHAnsi"/>
          <w:b/>
          <w:bCs/>
        </w:rPr>
        <w:t>Tabela 1</w:t>
      </w:r>
      <w:r w:rsidR="00C108A7" w:rsidRPr="005432E1">
        <w:rPr>
          <w:rFonts w:asciiTheme="minorHAnsi" w:hAnsiTheme="minorHAnsi"/>
          <w:b/>
          <w:bCs/>
        </w:rPr>
        <w:t>4</w:t>
      </w:r>
      <w:r w:rsidRPr="005432E1">
        <w:rPr>
          <w:rFonts w:asciiTheme="minorHAnsi" w:hAnsiTheme="minorHAnsi"/>
          <w:b/>
          <w:bCs/>
        </w:rPr>
        <w:t xml:space="preserve"> - Obrigações oriundas de passivos contingentes regularizadas em 2016 e 2017 (R$ milhões)</w:t>
      </w:r>
    </w:p>
    <w:tbl>
      <w:tblPr>
        <w:tblW w:w="863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1"/>
        <w:gridCol w:w="1462"/>
        <w:gridCol w:w="1276"/>
        <w:gridCol w:w="1134"/>
        <w:gridCol w:w="1276"/>
        <w:gridCol w:w="1134"/>
        <w:gridCol w:w="2126"/>
      </w:tblGrid>
      <w:tr w:rsidR="0026114A" w:rsidRPr="005432E1" w14:paraId="7A5AF2F6" w14:textId="77777777" w:rsidTr="00367BE5">
        <w:trPr>
          <w:tblCellSpacing w:w="0" w:type="dxa"/>
        </w:trPr>
        <w:tc>
          <w:tcPr>
            <w:tcW w:w="231" w:type="dxa"/>
            <w:vMerge w:val="restart"/>
            <w:tcBorders>
              <w:top w:val="outset" w:sz="6" w:space="0" w:color="auto"/>
              <w:left w:val="outset" w:sz="6" w:space="0" w:color="auto"/>
              <w:bottom w:val="outset" w:sz="6" w:space="0" w:color="auto"/>
              <w:right w:val="outset" w:sz="6" w:space="0" w:color="auto"/>
            </w:tcBorders>
            <w:vAlign w:val="center"/>
            <w:hideMark/>
          </w:tcPr>
          <w:p w14:paraId="303AB681" w14:textId="77777777" w:rsidR="00D33DB4" w:rsidRPr="005432E1" w:rsidRDefault="00D33DB4" w:rsidP="00756D40">
            <w:pPr>
              <w:spacing w:before="100" w:beforeAutospacing="1" w:after="100" w:afterAutospacing="1"/>
              <w:rPr>
                <w:rFonts w:asciiTheme="minorHAnsi" w:hAnsiTheme="minorHAnsi"/>
                <w:sz w:val="20"/>
                <w:szCs w:val="20"/>
              </w:rPr>
            </w:pPr>
          </w:p>
        </w:tc>
        <w:tc>
          <w:tcPr>
            <w:tcW w:w="1462" w:type="dxa"/>
            <w:vMerge w:val="restart"/>
            <w:tcBorders>
              <w:top w:val="outset" w:sz="6" w:space="0" w:color="auto"/>
              <w:left w:val="outset" w:sz="6" w:space="0" w:color="auto"/>
              <w:bottom w:val="outset" w:sz="6" w:space="0" w:color="auto"/>
              <w:right w:val="outset" w:sz="6" w:space="0" w:color="auto"/>
            </w:tcBorders>
            <w:vAlign w:val="center"/>
            <w:hideMark/>
          </w:tcPr>
          <w:p w14:paraId="577837A5"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Classificação</w:t>
            </w:r>
          </w:p>
        </w:tc>
        <w:tc>
          <w:tcPr>
            <w:tcW w:w="2410" w:type="dxa"/>
            <w:gridSpan w:val="2"/>
            <w:tcBorders>
              <w:top w:val="outset" w:sz="6" w:space="0" w:color="auto"/>
              <w:left w:val="outset" w:sz="6" w:space="0" w:color="auto"/>
              <w:bottom w:val="outset" w:sz="6" w:space="0" w:color="auto"/>
              <w:right w:val="outset" w:sz="6" w:space="0" w:color="auto"/>
            </w:tcBorders>
            <w:vAlign w:val="center"/>
            <w:hideMark/>
          </w:tcPr>
          <w:p w14:paraId="39FBAB67"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Regularizado em 2016 (Pos. dez/2016)</w:t>
            </w:r>
          </w:p>
        </w:tc>
        <w:tc>
          <w:tcPr>
            <w:tcW w:w="2410" w:type="dxa"/>
            <w:gridSpan w:val="2"/>
            <w:tcBorders>
              <w:top w:val="outset" w:sz="6" w:space="0" w:color="auto"/>
              <w:left w:val="outset" w:sz="6" w:space="0" w:color="auto"/>
              <w:bottom w:val="outset" w:sz="6" w:space="0" w:color="auto"/>
              <w:right w:val="outset" w:sz="6" w:space="0" w:color="auto"/>
            </w:tcBorders>
            <w:vAlign w:val="center"/>
            <w:hideMark/>
          </w:tcPr>
          <w:p w14:paraId="06EB6EEE"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Regularizado em 2017 (Pos. dez/2017)</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14:paraId="110B5224"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Títulos utilizados no pagamento</w:t>
            </w:r>
          </w:p>
        </w:tc>
      </w:tr>
      <w:tr w:rsidR="0026114A" w:rsidRPr="005432E1" w14:paraId="2655B46C" w14:textId="77777777" w:rsidTr="00367BE5">
        <w:trPr>
          <w:tblCellSpacing w:w="0" w:type="dxa"/>
        </w:trPr>
        <w:tc>
          <w:tcPr>
            <w:tcW w:w="231" w:type="dxa"/>
            <w:vMerge/>
            <w:tcBorders>
              <w:top w:val="outset" w:sz="6" w:space="0" w:color="auto"/>
              <w:left w:val="outset" w:sz="6" w:space="0" w:color="auto"/>
              <w:bottom w:val="outset" w:sz="6" w:space="0" w:color="auto"/>
              <w:right w:val="outset" w:sz="6" w:space="0" w:color="auto"/>
            </w:tcBorders>
            <w:vAlign w:val="center"/>
            <w:hideMark/>
          </w:tcPr>
          <w:p w14:paraId="0E27B6F0" w14:textId="77777777" w:rsidR="00D33DB4" w:rsidRPr="005432E1" w:rsidRDefault="00D33DB4" w:rsidP="00756D40">
            <w:pPr>
              <w:rPr>
                <w:rFonts w:asciiTheme="minorHAnsi" w:hAnsiTheme="minorHAnsi"/>
                <w:sz w:val="20"/>
                <w:szCs w:val="20"/>
              </w:rPr>
            </w:pPr>
          </w:p>
        </w:tc>
        <w:tc>
          <w:tcPr>
            <w:tcW w:w="1462" w:type="dxa"/>
            <w:vMerge/>
            <w:tcBorders>
              <w:top w:val="outset" w:sz="6" w:space="0" w:color="auto"/>
              <w:left w:val="outset" w:sz="6" w:space="0" w:color="auto"/>
              <w:bottom w:val="outset" w:sz="6" w:space="0" w:color="auto"/>
              <w:right w:val="outset" w:sz="6" w:space="0" w:color="auto"/>
            </w:tcBorders>
            <w:vAlign w:val="center"/>
            <w:hideMark/>
          </w:tcPr>
          <w:p w14:paraId="24A1DA80" w14:textId="77777777" w:rsidR="00D33DB4" w:rsidRPr="005432E1" w:rsidRDefault="00D33DB4" w:rsidP="00756D40">
            <w:pPr>
              <w:rPr>
                <w:rFonts w:asciiTheme="minorHAnsi" w:hAnsiTheme="minorHAnsi"/>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704814A6"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Executado</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84D0E55"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Previsto (PLOA)</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F2B8741"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Executado</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3F0A12E"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Previsto</w:t>
            </w:r>
          </w:p>
          <w:p w14:paraId="61643002"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b/>
                <w:bCs/>
                <w:sz w:val="20"/>
                <w:szCs w:val="20"/>
              </w:rPr>
              <w:t>(PLOA)</w:t>
            </w:r>
          </w:p>
        </w:tc>
        <w:tc>
          <w:tcPr>
            <w:tcW w:w="2126" w:type="dxa"/>
            <w:vMerge/>
            <w:tcBorders>
              <w:top w:val="outset" w:sz="6" w:space="0" w:color="auto"/>
              <w:left w:val="outset" w:sz="6" w:space="0" w:color="auto"/>
              <w:bottom w:val="outset" w:sz="6" w:space="0" w:color="auto"/>
              <w:right w:val="outset" w:sz="6" w:space="0" w:color="auto"/>
            </w:tcBorders>
            <w:vAlign w:val="center"/>
            <w:hideMark/>
          </w:tcPr>
          <w:p w14:paraId="5B92B5CF" w14:textId="77777777" w:rsidR="00D33DB4" w:rsidRPr="005432E1" w:rsidRDefault="00D33DB4" w:rsidP="00756D40">
            <w:pPr>
              <w:rPr>
                <w:rFonts w:asciiTheme="minorHAnsi" w:hAnsiTheme="minorHAnsi"/>
                <w:sz w:val="20"/>
                <w:szCs w:val="20"/>
              </w:rPr>
            </w:pPr>
          </w:p>
        </w:tc>
      </w:tr>
      <w:tr w:rsidR="0026114A" w:rsidRPr="005432E1" w14:paraId="32764ED0" w14:textId="77777777" w:rsidTr="00367BE5">
        <w:trPr>
          <w:tblCellSpacing w:w="0" w:type="dxa"/>
        </w:trPr>
        <w:tc>
          <w:tcPr>
            <w:tcW w:w="231" w:type="dxa"/>
            <w:tcBorders>
              <w:top w:val="outset" w:sz="6" w:space="0" w:color="auto"/>
              <w:left w:val="outset" w:sz="6" w:space="0" w:color="auto"/>
              <w:bottom w:val="outset" w:sz="6" w:space="0" w:color="auto"/>
              <w:right w:val="outset" w:sz="6" w:space="0" w:color="auto"/>
            </w:tcBorders>
            <w:vAlign w:val="center"/>
            <w:hideMark/>
          </w:tcPr>
          <w:p w14:paraId="40F74E21"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1</w:t>
            </w:r>
          </w:p>
        </w:tc>
        <w:tc>
          <w:tcPr>
            <w:tcW w:w="1462" w:type="dxa"/>
            <w:tcBorders>
              <w:top w:val="outset" w:sz="6" w:space="0" w:color="auto"/>
              <w:left w:val="outset" w:sz="6" w:space="0" w:color="auto"/>
              <w:bottom w:val="outset" w:sz="6" w:space="0" w:color="auto"/>
              <w:right w:val="outset" w:sz="6" w:space="0" w:color="auto"/>
            </w:tcBorders>
            <w:vAlign w:val="center"/>
            <w:hideMark/>
          </w:tcPr>
          <w:p w14:paraId="6A7D18FC"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Extinção de entidades</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C3462F2"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60C4D13A"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3.000,0</w:t>
            </w:r>
          </w:p>
          <w:p w14:paraId="799B8CD0" w14:textId="77777777" w:rsidR="00D33DB4" w:rsidRPr="005432E1" w:rsidRDefault="00D33DB4" w:rsidP="00756D40">
            <w:pPr>
              <w:spacing w:before="100" w:beforeAutospacing="1" w:after="100" w:afterAutospacing="1"/>
              <w:rPr>
                <w:rFonts w:asciiTheme="minorHAnsi" w:hAnsiTheme="minorHAnsi"/>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5F75F33C" w14:textId="77777777" w:rsidR="00D33DB4" w:rsidRPr="005432E1" w:rsidRDefault="00D33DB4" w:rsidP="00D33DB4">
            <w:pPr>
              <w:spacing w:before="100" w:beforeAutospacing="1" w:after="100" w:afterAutospacing="1"/>
              <w:rPr>
                <w:rFonts w:asciiTheme="minorHAnsi" w:hAnsiTheme="minorHAnsi"/>
                <w:sz w:val="20"/>
                <w:szCs w:val="20"/>
              </w:rPr>
            </w:pPr>
            <w:r w:rsidRPr="005432E1">
              <w:rPr>
                <w:rFonts w:asciiTheme="minorHAnsi" w:hAnsiTheme="minorHAnsi"/>
                <w:sz w:val="20"/>
                <w:szCs w:val="20"/>
              </w:rPr>
              <w:t>3.408,4 (b)</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4B011F63"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4.600,0</w:t>
            </w:r>
          </w:p>
          <w:p w14:paraId="051DE399" w14:textId="77777777" w:rsidR="00D33DB4" w:rsidRPr="005432E1" w:rsidRDefault="00D33DB4" w:rsidP="00756D40">
            <w:pPr>
              <w:spacing w:before="100" w:beforeAutospacing="1" w:after="100" w:afterAutospacing="1"/>
              <w:rPr>
                <w:rFonts w:asciiTheme="minorHAnsi" w:hAnsiTheme="minorHAnsi"/>
                <w:sz w:val="20"/>
                <w:szCs w:val="20"/>
              </w:rPr>
            </w:pP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14:paraId="66B114C2"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NTN-B 2023, 2024, 2030 e 2040</w:t>
            </w:r>
          </w:p>
        </w:tc>
      </w:tr>
      <w:tr w:rsidR="0026114A" w:rsidRPr="005432E1" w14:paraId="39FDD728" w14:textId="77777777" w:rsidTr="00367BE5">
        <w:trPr>
          <w:tblCellSpacing w:w="0" w:type="dxa"/>
        </w:trPr>
        <w:tc>
          <w:tcPr>
            <w:tcW w:w="231" w:type="dxa"/>
            <w:tcBorders>
              <w:top w:val="outset" w:sz="6" w:space="0" w:color="auto"/>
              <w:left w:val="outset" w:sz="6" w:space="0" w:color="auto"/>
              <w:bottom w:val="outset" w:sz="6" w:space="0" w:color="auto"/>
              <w:right w:val="outset" w:sz="6" w:space="0" w:color="auto"/>
            </w:tcBorders>
            <w:vAlign w:val="center"/>
            <w:hideMark/>
          </w:tcPr>
          <w:p w14:paraId="7FBA5075"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2</w:t>
            </w:r>
          </w:p>
        </w:tc>
        <w:tc>
          <w:tcPr>
            <w:tcW w:w="1462" w:type="dxa"/>
            <w:tcBorders>
              <w:top w:val="outset" w:sz="6" w:space="0" w:color="auto"/>
              <w:left w:val="outset" w:sz="6" w:space="0" w:color="auto"/>
              <w:bottom w:val="outset" w:sz="6" w:space="0" w:color="auto"/>
              <w:right w:val="outset" w:sz="6" w:space="0" w:color="auto"/>
            </w:tcBorders>
            <w:vAlign w:val="center"/>
            <w:hideMark/>
          </w:tcPr>
          <w:p w14:paraId="29ADA2F9"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Dívida direta</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551F7B6"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w:t>
            </w: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3498BF02" w14:textId="77777777" w:rsidR="00D33DB4" w:rsidRPr="005432E1" w:rsidRDefault="00D33DB4" w:rsidP="00756D40">
            <w:pPr>
              <w:rPr>
                <w:rFonts w:asciiTheme="minorHAnsi" w:hAnsiTheme="minorHAnsi"/>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62E48AEA"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w:t>
            </w: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74B20F04" w14:textId="77777777" w:rsidR="00D33DB4" w:rsidRPr="005432E1" w:rsidRDefault="00D33DB4" w:rsidP="00756D40">
            <w:pPr>
              <w:rPr>
                <w:rFonts w:asciiTheme="minorHAnsi" w:hAnsiTheme="minorHAnsi"/>
                <w:sz w:val="20"/>
                <w:szCs w:val="20"/>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14:paraId="6DF70EC0" w14:textId="77777777" w:rsidR="00D33DB4" w:rsidRPr="005432E1" w:rsidRDefault="00D33DB4" w:rsidP="00756D40">
            <w:pPr>
              <w:rPr>
                <w:rFonts w:asciiTheme="minorHAnsi" w:hAnsiTheme="minorHAnsi"/>
                <w:sz w:val="20"/>
                <w:szCs w:val="20"/>
              </w:rPr>
            </w:pPr>
          </w:p>
        </w:tc>
      </w:tr>
      <w:tr w:rsidR="0026114A" w:rsidRPr="005432E1" w14:paraId="4FF232BD" w14:textId="77777777" w:rsidTr="00367BE5">
        <w:trPr>
          <w:tblCellSpacing w:w="0" w:type="dxa"/>
        </w:trPr>
        <w:tc>
          <w:tcPr>
            <w:tcW w:w="231" w:type="dxa"/>
            <w:tcBorders>
              <w:top w:val="outset" w:sz="6" w:space="0" w:color="auto"/>
              <w:left w:val="outset" w:sz="6" w:space="0" w:color="auto"/>
              <w:bottom w:val="outset" w:sz="6" w:space="0" w:color="auto"/>
              <w:right w:val="outset" w:sz="6" w:space="0" w:color="auto"/>
            </w:tcBorders>
            <w:vAlign w:val="center"/>
            <w:hideMark/>
          </w:tcPr>
          <w:p w14:paraId="5A33F9AA"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3</w:t>
            </w:r>
          </w:p>
        </w:tc>
        <w:tc>
          <w:tcPr>
            <w:tcW w:w="1462" w:type="dxa"/>
            <w:tcBorders>
              <w:top w:val="outset" w:sz="6" w:space="0" w:color="auto"/>
              <w:left w:val="outset" w:sz="6" w:space="0" w:color="auto"/>
              <w:bottom w:val="outset" w:sz="6" w:space="0" w:color="auto"/>
              <w:right w:val="outset" w:sz="6" w:space="0" w:color="auto"/>
            </w:tcBorders>
            <w:vAlign w:val="center"/>
            <w:hideMark/>
          </w:tcPr>
          <w:p w14:paraId="16FDCA53"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FCVS</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1478448"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4.437,9 (a)</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FAA857D"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12.500,0</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BCFE340"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973,3 (c)</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14DFC18"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12.500,0</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7CD0980"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CVS (A, B, C, D) 2027</w:t>
            </w:r>
          </w:p>
        </w:tc>
      </w:tr>
      <w:tr w:rsidR="0026114A" w:rsidRPr="005432E1" w14:paraId="5D914DA9" w14:textId="77777777" w:rsidTr="00367BE5">
        <w:trPr>
          <w:tblCellSpacing w:w="0" w:type="dxa"/>
        </w:trPr>
        <w:tc>
          <w:tcPr>
            <w:tcW w:w="231" w:type="dxa"/>
            <w:tcBorders>
              <w:top w:val="outset" w:sz="6" w:space="0" w:color="auto"/>
              <w:left w:val="outset" w:sz="6" w:space="0" w:color="auto"/>
              <w:bottom w:val="outset" w:sz="6" w:space="0" w:color="auto"/>
              <w:right w:val="outset" w:sz="6" w:space="0" w:color="auto"/>
            </w:tcBorders>
            <w:vAlign w:val="center"/>
            <w:hideMark/>
          </w:tcPr>
          <w:p w14:paraId="19916231" w14:textId="77777777" w:rsidR="00D33DB4" w:rsidRPr="005432E1" w:rsidRDefault="00D33DB4" w:rsidP="00756D40">
            <w:pPr>
              <w:spacing w:before="100" w:beforeAutospacing="1" w:after="100" w:afterAutospacing="1"/>
              <w:rPr>
                <w:rFonts w:asciiTheme="minorHAnsi" w:hAnsiTheme="minorHAnsi"/>
                <w:sz w:val="20"/>
                <w:szCs w:val="20"/>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7970A9FE"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Total</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2367E51"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4.437,9</w:t>
            </w:r>
          </w:p>
          <w:p w14:paraId="2F98CBCF" w14:textId="77777777" w:rsidR="00D33DB4" w:rsidRPr="005432E1" w:rsidRDefault="00D33DB4" w:rsidP="00756D40">
            <w:pPr>
              <w:spacing w:before="100" w:beforeAutospacing="1" w:after="100" w:afterAutospacing="1"/>
              <w:rPr>
                <w:rFonts w:asciiTheme="minorHAnsi" w:hAnsiTheme="minorHAnsi"/>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3CF8AB6"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15.500,0</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C0918AC"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4381,7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4044CF0" w14:textId="77777777" w:rsidR="00D33DB4" w:rsidRPr="005432E1" w:rsidRDefault="00D33DB4"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17.100,0</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4084D7B" w14:textId="77777777" w:rsidR="00D33DB4" w:rsidRPr="005432E1" w:rsidRDefault="00D33DB4" w:rsidP="00756D40">
            <w:pPr>
              <w:spacing w:before="100" w:beforeAutospacing="1" w:after="100" w:afterAutospacing="1"/>
              <w:rPr>
                <w:rFonts w:asciiTheme="minorHAnsi" w:hAnsiTheme="minorHAnsi"/>
                <w:sz w:val="20"/>
                <w:szCs w:val="20"/>
              </w:rPr>
            </w:pPr>
          </w:p>
        </w:tc>
      </w:tr>
    </w:tbl>
    <w:p w14:paraId="2A5D2E67" w14:textId="77777777" w:rsidR="00D33DB4" w:rsidRPr="005432E1" w:rsidRDefault="00D33DB4" w:rsidP="00B0578A">
      <w:pPr>
        <w:spacing w:after="100" w:afterAutospacing="1"/>
        <w:jc w:val="both"/>
        <w:rPr>
          <w:rFonts w:asciiTheme="minorHAnsi" w:hAnsiTheme="minorHAnsi"/>
          <w:sz w:val="20"/>
          <w:szCs w:val="20"/>
        </w:rPr>
      </w:pPr>
      <w:r w:rsidRPr="005432E1">
        <w:rPr>
          <w:rFonts w:asciiTheme="minorHAnsi" w:hAnsiTheme="minorHAnsi"/>
          <w:sz w:val="20"/>
          <w:szCs w:val="20"/>
        </w:rPr>
        <w:t>(a) Seis contratos com agentes financeiros do SFH, ou seus cessionários, foram celebrados.</w:t>
      </w:r>
    </w:p>
    <w:p w14:paraId="53C9EF5F"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(b) Um contrato, com a Fundação REFER, decorrente de dívida da ex-RFFSA, foi celebrado. Posteriormente, a obrigação ex-RFFSA x Fundação REFER foi liquidada mediante a celebração do Contrato n° 23/PGFN/CAF, de 31/10/2017 (Contrato de Assunção Legal, com Reconhecimento de Dívida, entre a União e a REFER), o qual estabeleceu o pagamento por meio da emissão de títulos da dívida pública federal. Essa emissão, no valor de R$ 3.408.426.539,17, foi autorizada pela Portaria STN n° 972, de 22/11/2017.”</w:t>
      </w:r>
    </w:p>
    <w:p w14:paraId="04F0F412"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(c) Seis contratos com agentes financeiros do SFH, ou seus cessionários, foram celebrados.</w:t>
      </w:r>
    </w:p>
    <w:p w14:paraId="2AD000E0"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Fonte:</w:t>
      </w:r>
      <w:r w:rsidRPr="005432E1">
        <w:rPr>
          <w:rFonts w:asciiTheme="minorHAnsi" w:hAnsiTheme="minorHAnsi"/>
          <w:b/>
          <w:bCs/>
          <w:sz w:val="20"/>
          <w:szCs w:val="20"/>
        </w:rPr>
        <w:t xml:space="preserve"> </w:t>
      </w:r>
      <w:r w:rsidRPr="005432E1">
        <w:rPr>
          <w:rFonts w:asciiTheme="minorHAnsi" w:hAnsiTheme="minorHAnsi"/>
          <w:sz w:val="20"/>
          <w:szCs w:val="20"/>
        </w:rPr>
        <w:t>GEROB/CGFIS/STN/MF.</w:t>
      </w:r>
    </w:p>
    <w:p w14:paraId="08BE5CE8" w14:textId="295273BD" w:rsidR="005432E1" w:rsidRDefault="00D33DB4" w:rsidP="00D33DB4">
      <w:pPr>
        <w:spacing w:before="100" w:beforeAutospacing="1" w:after="100" w:afterAutospacing="1"/>
        <w:jc w:val="both"/>
        <w:rPr>
          <w:rFonts w:asciiTheme="minorHAnsi" w:hAnsiTheme="minorHAnsi"/>
        </w:rPr>
      </w:pPr>
      <w:r w:rsidRPr="005432E1">
        <w:rPr>
          <w:rFonts w:asciiTheme="minorHAnsi" w:hAnsiTheme="minorHAnsi"/>
        </w:rPr>
        <w:tab/>
        <w:t xml:space="preserve">Cabe esclarecer que o fluxo das novações do FCVS esteve interrompido entre maio de 2012 e agosto de 2015 em virtude das ressalvas e/ou apontamentos levantados pela Secretaria Federal de Controle Interno - SFC/CGU. A retomada ocorreu após adequações nos sistemas e procedimentos operacionais da Administradora/Caixa, e de alterações na Lei nº 10.150/2000, resultando nas regularizações de 2016 e 2017 registradas na tabela acima, ainda bem abaixo dos montantes previstos. </w:t>
      </w:r>
      <w:r w:rsidR="004859C9" w:rsidRPr="005432E1">
        <w:rPr>
          <w:rFonts w:asciiTheme="minorHAnsi" w:hAnsiTheme="minorHAnsi"/>
        </w:rPr>
        <w:tab/>
      </w:r>
      <w:r w:rsidRPr="005432E1">
        <w:rPr>
          <w:rFonts w:asciiTheme="minorHAnsi" w:hAnsiTheme="minorHAnsi"/>
        </w:rPr>
        <w:t>No entanto, sobreveio nova paralisação, no início de 2016, em razão de outros apontamentos do órgão de controle interno, o que aumenta a incerteza quanto ao efetivo cumprimento da previsão de emissão de títulos</w:t>
      </w:r>
      <w:r w:rsidR="001E239A" w:rsidRPr="005432E1">
        <w:rPr>
          <w:rFonts w:asciiTheme="minorHAnsi" w:hAnsiTheme="minorHAnsi"/>
        </w:rPr>
        <w:t xml:space="preserve"> </w:t>
      </w:r>
      <w:r w:rsidRPr="005432E1">
        <w:rPr>
          <w:rFonts w:asciiTheme="minorHAnsi" w:hAnsiTheme="minorHAnsi"/>
        </w:rPr>
        <w:t>CVS em 2018, de R$12,5 bilhões.</w:t>
      </w:r>
    </w:p>
    <w:p w14:paraId="5B2ED633" w14:textId="77777777" w:rsidR="005432E1" w:rsidRDefault="005432E1">
      <w:pPr>
        <w:rPr>
          <w:rFonts w:asciiTheme="minorHAnsi" w:hAnsiTheme="minorHAnsi"/>
        </w:rPr>
      </w:pPr>
      <w:r>
        <w:rPr>
          <w:rFonts w:asciiTheme="minorHAnsi" w:hAnsiTheme="minorHAnsi"/>
        </w:rPr>
        <w:br w:type="page"/>
      </w:r>
    </w:p>
    <w:p w14:paraId="576A6FDE" w14:textId="77777777" w:rsidR="00D33DB4" w:rsidRPr="005432E1" w:rsidRDefault="00D33DB4" w:rsidP="00D33DB4">
      <w:pPr>
        <w:spacing w:before="100" w:beforeAutospacing="1" w:after="100" w:afterAutospacing="1"/>
        <w:jc w:val="both"/>
        <w:rPr>
          <w:rFonts w:asciiTheme="minorHAnsi" w:hAnsiTheme="minorHAnsi"/>
        </w:rPr>
      </w:pPr>
    </w:p>
    <w:p w14:paraId="09FEE75B" w14:textId="03480FA4" w:rsidR="00D33DB4" w:rsidRPr="005432E1" w:rsidRDefault="00D33DB4" w:rsidP="00D33DB4">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1</w:t>
      </w:r>
      <w:r w:rsidR="00C108A7" w:rsidRPr="005432E1">
        <w:rPr>
          <w:rFonts w:asciiTheme="minorHAnsi" w:hAnsiTheme="minorHAnsi"/>
          <w:b/>
          <w:bCs/>
        </w:rPr>
        <w:t>5</w:t>
      </w:r>
      <w:r w:rsidRPr="005432E1">
        <w:rPr>
          <w:rFonts w:asciiTheme="minorHAnsi" w:hAnsiTheme="minorHAnsi"/>
          <w:b/>
          <w:bCs/>
        </w:rPr>
        <w:t xml:space="preserve"> - Obrigações oriundas de passivos contingentes a regularizar (Valores em R$ milhões)</w:t>
      </w:r>
    </w:p>
    <w:tbl>
      <w:tblPr>
        <w:tblW w:w="9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1559"/>
        <w:gridCol w:w="2126"/>
        <w:gridCol w:w="1560"/>
        <w:gridCol w:w="1134"/>
        <w:gridCol w:w="1701"/>
        <w:gridCol w:w="1254"/>
      </w:tblGrid>
      <w:tr w:rsidR="0026114A" w:rsidRPr="005432E1" w14:paraId="070D1AFE" w14:textId="77777777" w:rsidTr="00756D40">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hideMark/>
          </w:tcPr>
          <w:p w14:paraId="12FE54F2" w14:textId="77777777" w:rsidR="00D33DB4" w:rsidRPr="005432E1" w:rsidRDefault="00D33DB4" w:rsidP="00756D40">
            <w:pPr>
              <w:spacing w:before="100" w:beforeAutospacing="1" w:after="100" w:afterAutospacing="1"/>
              <w:rPr>
                <w:rFonts w:asciiTheme="minorHAnsi" w:hAnsiTheme="minorHAnsi"/>
                <w:sz w:val="22"/>
                <w:szCs w:val="22"/>
              </w:rPr>
            </w:pPr>
          </w:p>
          <w:p w14:paraId="420D74F2" w14:textId="77777777" w:rsidR="00D33DB4" w:rsidRPr="005432E1" w:rsidRDefault="00D33DB4" w:rsidP="00756D40">
            <w:pPr>
              <w:spacing w:before="100" w:beforeAutospacing="1" w:after="100" w:afterAutospacing="1"/>
              <w:rPr>
                <w:rFonts w:asciiTheme="minorHAnsi" w:hAnsiTheme="minorHAnsi"/>
                <w:sz w:val="22"/>
                <w:szCs w:val="22"/>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194C4820" w14:textId="77777777" w:rsidR="00D33DB4" w:rsidRPr="005432E1" w:rsidRDefault="00D33DB4" w:rsidP="00756D40">
            <w:pPr>
              <w:spacing w:before="100" w:beforeAutospacing="1" w:after="100" w:afterAutospacing="1"/>
              <w:rPr>
                <w:rFonts w:asciiTheme="minorHAnsi" w:hAnsiTheme="minorHAnsi"/>
                <w:sz w:val="22"/>
                <w:szCs w:val="22"/>
              </w:rPr>
            </w:pPr>
          </w:p>
          <w:p w14:paraId="1E77AFCB"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Classificação</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09FD31D" w14:textId="77777777" w:rsidR="00D33DB4" w:rsidRPr="005432E1" w:rsidRDefault="00D33DB4" w:rsidP="00756D40">
            <w:pPr>
              <w:spacing w:before="100" w:beforeAutospacing="1" w:after="100" w:afterAutospacing="1"/>
              <w:rPr>
                <w:rFonts w:asciiTheme="minorHAnsi" w:hAnsiTheme="minorHAnsi"/>
                <w:sz w:val="22"/>
                <w:szCs w:val="22"/>
              </w:rPr>
            </w:pPr>
          </w:p>
          <w:p w14:paraId="3E72ED9B"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Credores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A1226B4"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Previsão regulariz. 2018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563A79A"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Previsão regulariz. 2019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B217B1D"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Estimativa do Estoque (a)</w:t>
            </w:r>
          </w:p>
        </w:tc>
        <w:tc>
          <w:tcPr>
            <w:tcW w:w="1254" w:type="dxa"/>
            <w:tcBorders>
              <w:top w:val="outset" w:sz="6" w:space="0" w:color="auto"/>
              <w:left w:val="outset" w:sz="6" w:space="0" w:color="auto"/>
              <w:bottom w:val="outset" w:sz="6" w:space="0" w:color="auto"/>
              <w:right w:val="outset" w:sz="6" w:space="0" w:color="auto"/>
            </w:tcBorders>
            <w:vAlign w:val="center"/>
            <w:hideMark/>
          </w:tcPr>
          <w:p w14:paraId="2E7CDBE8"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BGU 31/12/2017</w:t>
            </w:r>
          </w:p>
        </w:tc>
      </w:tr>
      <w:tr w:rsidR="0026114A" w:rsidRPr="005432E1" w14:paraId="645C11D8" w14:textId="77777777" w:rsidTr="00756D40">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hideMark/>
          </w:tcPr>
          <w:p w14:paraId="1CD12F3C"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00DC3AD"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Extinção de entidades</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B188423"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Diversos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69206B7"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230,0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B183F59"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800,0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C42FAE5"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1.500,0</w:t>
            </w:r>
            <w:r w:rsidR="00BF5473" w:rsidRPr="005432E1">
              <w:rPr>
                <w:rFonts w:asciiTheme="minorHAnsi" w:hAnsiTheme="minorHAnsi"/>
                <w:sz w:val="22"/>
                <w:szCs w:val="22"/>
              </w:rPr>
              <w:t xml:space="preserve"> (a)</w:t>
            </w:r>
          </w:p>
        </w:tc>
        <w:tc>
          <w:tcPr>
            <w:tcW w:w="1254" w:type="dxa"/>
            <w:tcBorders>
              <w:top w:val="outset" w:sz="6" w:space="0" w:color="auto"/>
              <w:left w:val="outset" w:sz="6" w:space="0" w:color="auto"/>
              <w:bottom w:val="outset" w:sz="6" w:space="0" w:color="auto"/>
              <w:right w:val="outset" w:sz="6" w:space="0" w:color="auto"/>
            </w:tcBorders>
            <w:vAlign w:val="center"/>
            <w:hideMark/>
          </w:tcPr>
          <w:p w14:paraId="109FFA90"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218,7</w:t>
            </w:r>
            <w:r w:rsidR="00BF5473" w:rsidRPr="005432E1">
              <w:rPr>
                <w:rFonts w:asciiTheme="minorHAnsi" w:hAnsiTheme="minorHAnsi"/>
                <w:sz w:val="22"/>
                <w:szCs w:val="22"/>
              </w:rPr>
              <w:t xml:space="preserve"> (b)</w:t>
            </w:r>
          </w:p>
        </w:tc>
      </w:tr>
      <w:tr w:rsidR="0026114A" w:rsidRPr="005432E1" w14:paraId="187C45E5" w14:textId="77777777" w:rsidTr="00756D40">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hideMark/>
          </w:tcPr>
          <w:p w14:paraId="3B2579C4"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7BD1611"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Dívida direta</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C04570E"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Caixa (predominantemente)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D8C757F"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4.900,0</w:t>
            </w:r>
            <w:r w:rsidR="00BF5473" w:rsidRPr="005432E1">
              <w:rPr>
                <w:rFonts w:asciiTheme="minorHAnsi" w:hAnsiTheme="minorHAnsi"/>
                <w:sz w:val="22"/>
                <w:szCs w:val="22"/>
              </w:rPr>
              <w:t xml:space="preserve"> (c)</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08478EE"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5201C9A" w14:textId="77777777" w:rsidR="00D33DB4" w:rsidRPr="005432E1" w:rsidRDefault="00BF5473" w:rsidP="00BF5473">
            <w:pPr>
              <w:spacing w:before="100" w:beforeAutospacing="1" w:after="100" w:afterAutospacing="1"/>
              <w:rPr>
                <w:rFonts w:asciiTheme="minorHAnsi" w:hAnsiTheme="minorHAnsi"/>
                <w:sz w:val="22"/>
                <w:szCs w:val="22"/>
              </w:rPr>
            </w:pPr>
            <w:r w:rsidRPr="005432E1">
              <w:rPr>
                <w:rFonts w:asciiTheme="minorHAnsi" w:hAnsiTheme="minorHAnsi"/>
                <w:sz w:val="22"/>
                <w:szCs w:val="22"/>
              </w:rPr>
              <w:t>4</w:t>
            </w:r>
            <w:r w:rsidR="00D33DB4" w:rsidRPr="005432E1">
              <w:rPr>
                <w:rFonts w:asciiTheme="minorHAnsi" w:hAnsiTheme="minorHAnsi"/>
                <w:sz w:val="22"/>
                <w:szCs w:val="22"/>
              </w:rPr>
              <w:t>.</w:t>
            </w:r>
            <w:r w:rsidRPr="005432E1">
              <w:rPr>
                <w:rFonts w:asciiTheme="minorHAnsi" w:hAnsiTheme="minorHAnsi"/>
                <w:sz w:val="22"/>
                <w:szCs w:val="22"/>
              </w:rPr>
              <w:t>900,0</w:t>
            </w:r>
          </w:p>
        </w:tc>
        <w:tc>
          <w:tcPr>
            <w:tcW w:w="1254" w:type="dxa"/>
            <w:tcBorders>
              <w:top w:val="outset" w:sz="6" w:space="0" w:color="auto"/>
              <w:left w:val="outset" w:sz="6" w:space="0" w:color="auto"/>
              <w:bottom w:val="outset" w:sz="6" w:space="0" w:color="auto"/>
              <w:right w:val="outset" w:sz="6" w:space="0" w:color="auto"/>
            </w:tcBorders>
            <w:vAlign w:val="center"/>
            <w:hideMark/>
          </w:tcPr>
          <w:p w14:paraId="2BF60721"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4.884,5</w:t>
            </w:r>
          </w:p>
        </w:tc>
      </w:tr>
      <w:tr w:rsidR="0026114A" w:rsidRPr="005432E1" w14:paraId="268D79F5" w14:textId="77777777" w:rsidTr="00756D40">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vAlign w:val="center"/>
            <w:hideMark/>
          </w:tcPr>
          <w:p w14:paraId="729231EA"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3</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6D91C209"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FCVS</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14:paraId="0BCDBFFE"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Agentes do SFH ou seus cessionários</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6F4B3C53"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12.500,0</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3456402D"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12.500,0</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14:paraId="6BE8DA48"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96.000,0</w:t>
            </w:r>
          </w:p>
        </w:tc>
        <w:tc>
          <w:tcPr>
            <w:tcW w:w="1254" w:type="dxa"/>
            <w:tcBorders>
              <w:top w:val="outset" w:sz="6" w:space="0" w:color="auto"/>
              <w:left w:val="outset" w:sz="6" w:space="0" w:color="auto"/>
              <w:bottom w:val="outset" w:sz="6" w:space="0" w:color="auto"/>
              <w:right w:val="outset" w:sz="6" w:space="0" w:color="auto"/>
            </w:tcBorders>
            <w:vAlign w:val="center"/>
            <w:hideMark/>
          </w:tcPr>
          <w:p w14:paraId="5F0AF77D"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109.390,0</w:t>
            </w:r>
          </w:p>
          <w:p w14:paraId="42C54FA6" w14:textId="77777777" w:rsidR="00D33DB4" w:rsidRPr="005432E1" w:rsidRDefault="00D33DB4" w:rsidP="00BF5473">
            <w:pPr>
              <w:spacing w:before="100" w:beforeAutospacing="1" w:after="100" w:afterAutospacing="1"/>
              <w:rPr>
                <w:rFonts w:asciiTheme="minorHAnsi" w:hAnsiTheme="minorHAnsi"/>
                <w:sz w:val="22"/>
                <w:szCs w:val="22"/>
              </w:rPr>
            </w:pPr>
            <w:r w:rsidRPr="005432E1">
              <w:rPr>
                <w:rFonts w:asciiTheme="minorHAnsi" w:hAnsiTheme="minorHAnsi"/>
                <w:sz w:val="22"/>
                <w:szCs w:val="22"/>
              </w:rPr>
              <w:t>Passivo (</w:t>
            </w:r>
            <w:r w:rsidR="00BF5473" w:rsidRPr="005432E1">
              <w:rPr>
                <w:rFonts w:asciiTheme="minorHAnsi" w:hAnsiTheme="minorHAnsi"/>
                <w:sz w:val="22"/>
                <w:szCs w:val="22"/>
              </w:rPr>
              <w:t>d</w:t>
            </w:r>
            <w:r w:rsidRPr="005432E1">
              <w:rPr>
                <w:rFonts w:asciiTheme="minorHAnsi" w:hAnsiTheme="minorHAnsi"/>
                <w:sz w:val="22"/>
                <w:szCs w:val="22"/>
              </w:rPr>
              <w:t>)</w:t>
            </w:r>
          </w:p>
        </w:tc>
      </w:tr>
      <w:tr w:rsidR="0026114A" w:rsidRPr="005432E1" w14:paraId="4464DBC7" w14:textId="77777777" w:rsidTr="00756D40">
        <w:trPr>
          <w:tblCellSpacing w:w="0" w:type="dxa"/>
        </w:trPr>
        <w:tc>
          <w:tcPr>
            <w:tcW w:w="276" w:type="dxa"/>
            <w:vMerge/>
            <w:tcBorders>
              <w:top w:val="outset" w:sz="6" w:space="0" w:color="auto"/>
              <w:left w:val="outset" w:sz="6" w:space="0" w:color="auto"/>
              <w:bottom w:val="outset" w:sz="6" w:space="0" w:color="auto"/>
              <w:right w:val="outset" w:sz="6" w:space="0" w:color="auto"/>
            </w:tcBorders>
            <w:vAlign w:val="center"/>
            <w:hideMark/>
          </w:tcPr>
          <w:p w14:paraId="1C8C8000" w14:textId="77777777" w:rsidR="00D33DB4" w:rsidRPr="005432E1" w:rsidRDefault="00D33DB4" w:rsidP="00756D40">
            <w:pPr>
              <w:rPr>
                <w:rFonts w:asciiTheme="minorHAnsi" w:hAnsiTheme="minorHAnsi"/>
                <w:sz w:val="22"/>
                <w:szCs w:val="22"/>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5174B3A" w14:textId="77777777" w:rsidR="00D33DB4" w:rsidRPr="005432E1" w:rsidRDefault="00D33DB4" w:rsidP="00756D40">
            <w:pPr>
              <w:rPr>
                <w:rFonts w:asciiTheme="minorHAnsi" w:hAnsiTheme="minorHAnsi"/>
                <w:sz w:val="22"/>
                <w:szCs w:val="22"/>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14:paraId="79ADD7FE" w14:textId="77777777" w:rsidR="00D33DB4" w:rsidRPr="005432E1" w:rsidRDefault="00D33DB4" w:rsidP="00756D40">
            <w:pPr>
              <w:rPr>
                <w:rFonts w:asciiTheme="minorHAnsi" w:hAnsiTheme="minorHAnsi"/>
                <w:sz w:val="22"/>
                <w:szCs w:val="22"/>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14:paraId="1D442901" w14:textId="77777777" w:rsidR="00D33DB4" w:rsidRPr="005432E1" w:rsidRDefault="00D33DB4" w:rsidP="00756D40">
            <w:pPr>
              <w:rPr>
                <w:rFonts w:asciiTheme="minorHAnsi" w:hAnsiTheme="minorHAnsi"/>
                <w:sz w:val="22"/>
                <w:szCs w:val="22"/>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5AE5DD69" w14:textId="77777777" w:rsidR="00D33DB4" w:rsidRPr="005432E1" w:rsidRDefault="00D33DB4" w:rsidP="00756D40">
            <w:pPr>
              <w:rPr>
                <w:rFonts w:asciiTheme="minorHAnsi" w:hAnsiTheme="minorHAnsi"/>
                <w:sz w:val="22"/>
                <w:szCs w:val="22"/>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3F6BDB03" w14:textId="77777777" w:rsidR="00D33DB4" w:rsidRPr="005432E1" w:rsidRDefault="00D33DB4" w:rsidP="00756D40">
            <w:pPr>
              <w:rPr>
                <w:rFonts w:asciiTheme="minorHAnsi" w:hAnsiTheme="minorHAnsi"/>
                <w:sz w:val="22"/>
                <w:szCs w:val="22"/>
              </w:rPr>
            </w:pPr>
          </w:p>
        </w:tc>
        <w:tc>
          <w:tcPr>
            <w:tcW w:w="1254" w:type="dxa"/>
            <w:tcBorders>
              <w:top w:val="outset" w:sz="6" w:space="0" w:color="auto"/>
              <w:left w:val="outset" w:sz="6" w:space="0" w:color="auto"/>
              <w:bottom w:val="outset" w:sz="6" w:space="0" w:color="auto"/>
              <w:right w:val="outset" w:sz="6" w:space="0" w:color="auto"/>
            </w:tcBorders>
            <w:vAlign w:val="center"/>
            <w:hideMark/>
          </w:tcPr>
          <w:p w14:paraId="27BDE213"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(13.800,0)</w:t>
            </w:r>
          </w:p>
          <w:p w14:paraId="3A96C087" w14:textId="77777777" w:rsidR="00D33DB4" w:rsidRPr="005432E1" w:rsidRDefault="00BF5473"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Ativo (d</w:t>
            </w:r>
            <w:r w:rsidR="00D33DB4" w:rsidRPr="005432E1">
              <w:rPr>
                <w:rFonts w:asciiTheme="minorHAnsi" w:hAnsiTheme="minorHAnsi"/>
                <w:sz w:val="22"/>
                <w:szCs w:val="22"/>
              </w:rPr>
              <w:t>)</w:t>
            </w:r>
          </w:p>
        </w:tc>
      </w:tr>
      <w:tr w:rsidR="0026114A" w:rsidRPr="005432E1" w14:paraId="36CED0BB" w14:textId="77777777" w:rsidTr="00756D40">
        <w:trPr>
          <w:tblCellSpacing w:w="0" w:type="dxa"/>
        </w:trPr>
        <w:tc>
          <w:tcPr>
            <w:tcW w:w="3961" w:type="dxa"/>
            <w:gridSpan w:val="3"/>
            <w:tcBorders>
              <w:top w:val="outset" w:sz="6" w:space="0" w:color="auto"/>
              <w:left w:val="outset" w:sz="6" w:space="0" w:color="auto"/>
              <w:bottom w:val="outset" w:sz="6" w:space="0" w:color="auto"/>
              <w:right w:val="outset" w:sz="6" w:space="0" w:color="auto"/>
            </w:tcBorders>
            <w:vAlign w:val="center"/>
            <w:hideMark/>
          </w:tcPr>
          <w:p w14:paraId="6C5027DF"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Total</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A169A42"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17.630,0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028C6BF" w14:textId="77777777" w:rsidR="00D33DB4" w:rsidRPr="005432E1" w:rsidRDefault="005620EE"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13.3</w:t>
            </w:r>
            <w:r w:rsidR="00D33DB4" w:rsidRPr="005432E1">
              <w:rPr>
                <w:rFonts w:asciiTheme="minorHAnsi" w:hAnsiTheme="minorHAnsi"/>
                <w:sz w:val="22"/>
                <w:szCs w:val="22"/>
              </w:rPr>
              <w:t>00,0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75D4F07" w14:textId="77777777" w:rsidR="00D33DB4" w:rsidRPr="005432E1" w:rsidRDefault="00BF5473" w:rsidP="00BF5473">
            <w:pPr>
              <w:spacing w:before="100" w:beforeAutospacing="1" w:after="100" w:afterAutospacing="1"/>
              <w:rPr>
                <w:rFonts w:asciiTheme="minorHAnsi" w:hAnsiTheme="minorHAnsi"/>
                <w:sz w:val="22"/>
                <w:szCs w:val="22"/>
              </w:rPr>
            </w:pPr>
            <w:r w:rsidRPr="005432E1">
              <w:rPr>
                <w:rFonts w:asciiTheme="minorHAnsi" w:hAnsiTheme="minorHAnsi"/>
                <w:sz w:val="22"/>
                <w:szCs w:val="22"/>
              </w:rPr>
              <w:t>102</w:t>
            </w:r>
            <w:r w:rsidR="00D33DB4" w:rsidRPr="005432E1">
              <w:rPr>
                <w:rFonts w:asciiTheme="minorHAnsi" w:hAnsiTheme="minorHAnsi"/>
                <w:sz w:val="22"/>
                <w:szCs w:val="22"/>
              </w:rPr>
              <w:t>.</w:t>
            </w:r>
            <w:r w:rsidRPr="005432E1">
              <w:rPr>
                <w:rFonts w:asciiTheme="minorHAnsi" w:hAnsiTheme="minorHAnsi"/>
                <w:sz w:val="22"/>
                <w:szCs w:val="22"/>
              </w:rPr>
              <w:t>4</w:t>
            </w:r>
            <w:r w:rsidR="00D33DB4" w:rsidRPr="005432E1">
              <w:rPr>
                <w:rFonts w:asciiTheme="minorHAnsi" w:hAnsiTheme="minorHAnsi"/>
                <w:sz w:val="22"/>
                <w:szCs w:val="22"/>
              </w:rPr>
              <w:t>00,0</w:t>
            </w:r>
          </w:p>
        </w:tc>
        <w:tc>
          <w:tcPr>
            <w:tcW w:w="1254" w:type="dxa"/>
            <w:tcBorders>
              <w:top w:val="outset" w:sz="6" w:space="0" w:color="auto"/>
              <w:left w:val="outset" w:sz="6" w:space="0" w:color="auto"/>
              <w:bottom w:val="outset" w:sz="6" w:space="0" w:color="auto"/>
              <w:right w:val="outset" w:sz="6" w:space="0" w:color="auto"/>
            </w:tcBorders>
            <w:vAlign w:val="center"/>
            <w:hideMark/>
          </w:tcPr>
          <w:p w14:paraId="41AD7784" w14:textId="77777777" w:rsidR="00D33DB4" w:rsidRPr="005432E1" w:rsidRDefault="00D33DB4"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100.693,2</w:t>
            </w:r>
          </w:p>
        </w:tc>
      </w:tr>
    </w:tbl>
    <w:p w14:paraId="372A5E3E" w14:textId="7E8CC464" w:rsidR="00D33DB4" w:rsidRPr="005432E1" w:rsidRDefault="00D33DB4" w:rsidP="00B0578A">
      <w:pPr>
        <w:spacing w:after="100" w:afterAutospacing="1"/>
        <w:jc w:val="both"/>
        <w:rPr>
          <w:rFonts w:asciiTheme="minorHAnsi" w:hAnsiTheme="minorHAnsi"/>
          <w:sz w:val="20"/>
          <w:szCs w:val="20"/>
        </w:rPr>
      </w:pPr>
      <w:r w:rsidRPr="005432E1">
        <w:rPr>
          <w:rFonts w:asciiTheme="minorHAnsi" w:hAnsiTheme="minorHAnsi"/>
          <w:sz w:val="20"/>
          <w:szCs w:val="20"/>
        </w:rPr>
        <w:t>(a) As estimativas dos estoques de obrigações decorrentes da extinção de</w:t>
      </w:r>
      <w:r w:rsidR="00BF5473" w:rsidRPr="005432E1">
        <w:rPr>
          <w:rFonts w:asciiTheme="minorHAnsi" w:hAnsiTheme="minorHAnsi"/>
          <w:sz w:val="20"/>
          <w:szCs w:val="20"/>
        </w:rPr>
        <w:t xml:space="preserve"> entidades </w:t>
      </w:r>
      <w:r w:rsidRPr="005432E1">
        <w:rPr>
          <w:rFonts w:asciiTheme="minorHAnsi" w:hAnsiTheme="minorHAnsi"/>
          <w:sz w:val="20"/>
          <w:szCs w:val="20"/>
        </w:rPr>
        <w:t xml:space="preserve">levam em conta a fase inicial do </w:t>
      </w:r>
      <w:r w:rsidR="00BF5473" w:rsidRPr="005432E1">
        <w:rPr>
          <w:rFonts w:asciiTheme="minorHAnsi" w:hAnsiTheme="minorHAnsi"/>
          <w:sz w:val="20"/>
          <w:szCs w:val="20"/>
        </w:rPr>
        <w:t>proj</w:t>
      </w:r>
      <w:r w:rsidR="00C17A16" w:rsidRPr="005432E1">
        <w:rPr>
          <w:rFonts w:asciiTheme="minorHAnsi" w:hAnsiTheme="minorHAnsi"/>
          <w:sz w:val="20"/>
          <w:szCs w:val="20"/>
        </w:rPr>
        <w:t>e</w:t>
      </w:r>
      <w:r w:rsidR="00BF5473" w:rsidRPr="005432E1">
        <w:rPr>
          <w:rFonts w:asciiTheme="minorHAnsi" w:hAnsiTheme="minorHAnsi"/>
          <w:sz w:val="20"/>
          <w:szCs w:val="20"/>
        </w:rPr>
        <w:t>to</w:t>
      </w:r>
      <w:r w:rsidRPr="005432E1">
        <w:rPr>
          <w:rFonts w:asciiTheme="minorHAnsi" w:hAnsiTheme="minorHAnsi"/>
          <w:sz w:val="20"/>
          <w:szCs w:val="20"/>
        </w:rPr>
        <w:t xml:space="preserve"> em andamento no ano 2018,</w:t>
      </w:r>
      <w:r w:rsidR="004859C9" w:rsidRPr="005432E1">
        <w:rPr>
          <w:rFonts w:asciiTheme="minorHAnsi" w:hAnsiTheme="minorHAnsi"/>
          <w:sz w:val="20"/>
          <w:szCs w:val="20"/>
        </w:rPr>
        <w:t xml:space="preserve"> </w:t>
      </w:r>
      <w:r w:rsidRPr="005432E1">
        <w:rPr>
          <w:rFonts w:asciiTheme="minorHAnsi" w:hAnsiTheme="minorHAnsi"/>
          <w:sz w:val="20"/>
          <w:szCs w:val="20"/>
        </w:rPr>
        <w:t>de levantamento da situação dos processos de regularização que ingressaram na STN e que deverão ser formal e definitivamente concluídos.</w:t>
      </w:r>
    </w:p>
    <w:p w14:paraId="6F6E2EDC"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 xml:space="preserve">(b) </w:t>
      </w:r>
      <w:r w:rsidR="00BF5473" w:rsidRPr="005432E1">
        <w:rPr>
          <w:rFonts w:asciiTheme="minorHAnsi" w:hAnsiTheme="minorHAnsi"/>
          <w:sz w:val="20"/>
          <w:szCs w:val="20"/>
        </w:rPr>
        <w:t>O BGU comtempla o montante já reconhecido como dívida líquida e certa, com elevada probabilidade de pagamento, e que compõe, naturalmente, o total lançado como “Estimativa do Estoque. O avanço do projeto mencionado na nota (a) permitirá a evidenciação no BGU, do passivo consolidado representado pelo conjunto dos processos inconclusos, de modo que “Estimativa do Estoque” e ‘BGU” irão progressivamente convergir.</w:t>
      </w:r>
    </w:p>
    <w:p w14:paraId="7108B2EB"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b/>
          <w:bCs/>
          <w:sz w:val="20"/>
          <w:szCs w:val="20"/>
        </w:rPr>
        <w:t xml:space="preserve">(c) </w:t>
      </w:r>
      <w:r w:rsidRPr="005432E1">
        <w:rPr>
          <w:rFonts w:asciiTheme="minorHAnsi" w:hAnsiTheme="minorHAnsi"/>
          <w:sz w:val="20"/>
          <w:szCs w:val="20"/>
        </w:rPr>
        <w:t xml:space="preserve">Importante notar que a Dívida direta da Caixa não tem relação com o FCVS. Esses R$4,9 bi referem-se a passivos contingentes </w:t>
      </w:r>
      <w:r w:rsidR="005337D4" w:rsidRPr="005432E1">
        <w:rPr>
          <w:rFonts w:asciiTheme="minorHAnsi" w:hAnsiTheme="minorHAnsi"/>
          <w:sz w:val="20"/>
          <w:szCs w:val="20"/>
        </w:rPr>
        <w:t>da União com a Caixa, pendentes de pleno reconhecimento que possibilite o andamento dos respectivos processos administrativos de regularização. No BGU, esse passivo compõe a categoria “Riscos Fiscais”.</w:t>
      </w:r>
    </w:p>
    <w:p w14:paraId="75C4CB18" w14:textId="77777777" w:rsidR="005337D4" w:rsidRPr="005432E1" w:rsidRDefault="005337D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(d) Valores provenientes do Demonstrativo de Resultado da Avaliação Atuarial-DRAA-FCVS elaborado pela DuoCons Consultoria, para a Caixa.</w:t>
      </w:r>
    </w:p>
    <w:p w14:paraId="19B03CF3" w14:textId="77777777" w:rsidR="00D33DB4" w:rsidRPr="005432E1" w:rsidRDefault="00D33DB4" w:rsidP="00D33DB4">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Fonte:</w:t>
      </w:r>
      <w:r w:rsidRPr="005432E1">
        <w:rPr>
          <w:rFonts w:asciiTheme="minorHAnsi" w:hAnsiTheme="minorHAnsi"/>
          <w:b/>
          <w:bCs/>
          <w:sz w:val="20"/>
          <w:szCs w:val="20"/>
        </w:rPr>
        <w:t xml:space="preserve"> </w:t>
      </w:r>
      <w:r w:rsidRPr="005432E1">
        <w:rPr>
          <w:rFonts w:asciiTheme="minorHAnsi" w:hAnsiTheme="minorHAnsi"/>
          <w:sz w:val="20"/>
          <w:szCs w:val="20"/>
        </w:rPr>
        <w:t>GEROB/CGFIS/STN/MF, Caixa e DRAA-FCVS DuoCons Consultoria.</w:t>
      </w:r>
    </w:p>
    <w:p w14:paraId="191EF90B" w14:textId="77777777" w:rsidR="001E239A" w:rsidRPr="005432E1" w:rsidRDefault="00F43BBC" w:rsidP="001E239A">
      <w:pPr>
        <w:spacing w:before="100" w:beforeAutospacing="1" w:after="100" w:afterAutospacing="1"/>
        <w:jc w:val="both"/>
        <w:rPr>
          <w:rFonts w:asciiTheme="minorHAnsi" w:hAnsiTheme="minorHAnsi"/>
        </w:rPr>
      </w:pPr>
      <w:r w:rsidRPr="005432E1">
        <w:rPr>
          <w:rFonts w:asciiTheme="minorHAnsi" w:hAnsiTheme="minorHAnsi"/>
        </w:rPr>
        <w:tab/>
      </w:r>
      <w:r w:rsidR="001D6707" w:rsidRPr="005432E1">
        <w:rPr>
          <w:rFonts w:asciiTheme="minorHAnsi" w:hAnsiTheme="minorHAnsi"/>
        </w:rPr>
        <w:t>Há que se ressaltar que ess</w:t>
      </w:r>
      <w:r w:rsidR="00D33DB4" w:rsidRPr="005432E1">
        <w:rPr>
          <w:rFonts w:asciiTheme="minorHAnsi" w:hAnsiTheme="minorHAnsi"/>
        </w:rPr>
        <w:t xml:space="preserve">as obrigações geram impacto fiscal </w:t>
      </w:r>
      <w:r w:rsidR="005337D4" w:rsidRPr="005432E1">
        <w:rPr>
          <w:rFonts w:asciiTheme="minorHAnsi" w:hAnsiTheme="minorHAnsi"/>
        </w:rPr>
        <w:t>no endividamento público via emissão de títulos, mas não impactam a apuração do resultado primário, por ser feito um</w:t>
      </w:r>
      <w:r w:rsidR="0030764E" w:rsidRPr="005432E1">
        <w:rPr>
          <w:rFonts w:asciiTheme="minorHAnsi" w:hAnsiTheme="minorHAnsi"/>
        </w:rPr>
        <w:t xml:space="preserve"> </w:t>
      </w:r>
      <w:r w:rsidR="005337D4" w:rsidRPr="005432E1">
        <w:rPr>
          <w:rFonts w:asciiTheme="minorHAnsi" w:hAnsiTheme="minorHAnsi"/>
        </w:rPr>
        <w:t>ajuste patrimonial pelo Banco Central do Brasil.</w:t>
      </w:r>
    </w:p>
    <w:p w14:paraId="5444C867"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b/>
        </w:rPr>
        <w:t>3.1.</w:t>
      </w:r>
      <w:r w:rsidR="00756D40" w:rsidRPr="005432E1">
        <w:rPr>
          <w:rFonts w:asciiTheme="minorHAnsi" w:hAnsiTheme="minorHAnsi"/>
          <w:b/>
        </w:rPr>
        <w:t>6</w:t>
      </w:r>
      <w:r w:rsidRPr="005432E1">
        <w:rPr>
          <w:rFonts w:asciiTheme="minorHAnsi" w:hAnsiTheme="minorHAnsi"/>
          <w:b/>
        </w:rPr>
        <w:t>.2</w:t>
      </w:r>
      <w:r w:rsidRPr="005432E1">
        <w:rPr>
          <w:rFonts w:asciiTheme="minorHAnsi" w:hAnsiTheme="minorHAnsi"/>
        </w:rPr>
        <w:t xml:space="preserve"> </w:t>
      </w:r>
      <w:r w:rsidRPr="005432E1">
        <w:rPr>
          <w:rFonts w:asciiTheme="minorHAnsi" w:hAnsiTheme="minorHAnsi"/>
          <w:b/>
          <w:bCs/>
        </w:rPr>
        <w:t xml:space="preserve">Garantias e contragarantias prestadas pelo Tesouro </w:t>
      </w:r>
    </w:p>
    <w:p w14:paraId="6DC8F41A"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Esta classe de passivos contingentes inclui as garantias prestadas pela União, que nos termos do art. 29, IV e do art. 40 da Lei de Responsabilidade Fiscal, podem ser classificadas em dois tipos. O primeiro, mais comum e abrangente, são as garantias às operações de crédito, que são os avais concedidos pela União aos entes federados e da administração indireta, das três esferas de governo, para a concessão de crédito, nos termos da lei. O segundo tipo de garantia abrange diversos fundos compostos pelo Governo Federal com a finalidade de financiar ou dar liquidez a determinadas atividades, específicas para cada fundo.</w:t>
      </w:r>
    </w:p>
    <w:p w14:paraId="51497DBC"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Em relação à origem, os fundos pertencem apenas às garantias internas, tendo em vista que os recursos avalizados são de origem doméstica. Por outro lado, as garantias referentes às operações de crédito podem ser internas ou externas, conforme a origem do financiamento que é objeto da garantia.</w:t>
      </w:r>
    </w:p>
    <w:p w14:paraId="0B696B8B"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Outra função da STN é monitorar os eventuais atrasos no pagamento de dívidas garantidas, estabelecendo prazos para regularização das pendências e alertando aos devedores quanto às sanções, penalidades e consequências previstas nos contratos e na legislação pertinente</w:t>
      </w:r>
      <w:r w:rsidR="0030764E" w:rsidRPr="005432E1">
        <w:rPr>
          <w:rFonts w:asciiTheme="minorHAnsi" w:hAnsiTheme="minorHAnsi"/>
        </w:rPr>
        <w:t>, inclusive a execução das contragarantias</w:t>
      </w:r>
      <w:r w:rsidRPr="005432E1">
        <w:rPr>
          <w:rFonts w:asciiTheme="minorHAnsi" w:hAnsiTheme="minorHAnsi"/>
        </w:rPr>
        <w:t>.</w:t>
      </w:r>
    </w:p>
    <w:p w14:paraId="664F6998"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A tabela a seguir sintetiza as dívidas garantidas pela União conforme relatório do terceiro quadrimestre de 2017, segundo as diferentes naturezas e origens das operações.</w:t>
      </w:r>
    </w:p>
    <w:p w14:paraId="0F92CB9B" w14:textId="79572AE9" w:rsidR="001E239A" w:rsidRPr="005432E1" w:rsidRDefault="006264C0" w:rsidP="001E239A">
      <w:pPr>
        <w:spacing w:before="100" w:beforeAutospacing="1" w:after="100" w:afterAutospacing="1"/>
        <w:jc w:val="center"/>
        <w:rPr>
          <w:rFonts w:asciiTheme="minorHAnsi" w:hAnsiTheme="minorHAnsi"/>
        </w:rPr>
      </w:pPr>
      <w:r w:rsidRPr="005432E1">
        <w:rPr>
          <w:rFonts w:asciiTheme="minorHAnsi" w:hAnsiTheme="minorHAnsi"/>
          <w:b/>
          <w:bCs/>
        </w:rPr>
        <w:t>Tabela 1</w:t>
      </w:r>
      <w:r w:rsidR="00BB6793" w:rsidRPr="005432E1">
        <w:rPr>
          <w:rFonts w:asciiTheme="minorHAnsi" w:hAnsiTheme="minorHAnsi"/>
          <w:b/>
          <w:bCs/>
        </w:rPr>
        <w:t>6</w:t>
      </w:r>
      <w:r w:rsidR="001E239A" w:rsidRPr="005432E1">
        <w:rPr>
          <w:rFonts w:asciiTheme="minorHAnsi" w:hAnsiTheme="minorHAnsi"/>
          <w:b/>
          <w:bCs/>
        </w:rPr>
        <w:t xml:space="preserve"> - Dívidas Garantidas pela União (posição em 31/12/2017, em R$ milhões)</w:t>
      </w:r>
    </w:p>
    <w:tbl>
      <w:tblPr>
        <w:tblW w:w="7350" w:type="dxa"/>
        <w:tblCellSpacing w:w="0" w:type="dxa"/>
        <w:tblInd w:w="11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1223"/>
        <w:gridCol w:w="1223"/>
        <w:gridCol w:w="2565"/>
      </w:tblGrid>
      <w:tr w:rsidR="0026114A" w:rsidRPr="005432E1" w14:paraId="6C71ABF7" w14:textId="77777777" w:rsidTr="001E23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9B58E" w14:textId="77777777" w:rsidR="001E239A" w:rsidRPr="005432E1" w:rsidRDefault="001E239A" w:rsidP="00756D40">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D6BD8F"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Interna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300E6"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Externa</w:t>
            </w:r>
          </w:p>
        </w:tc>
        <w:tc>
          <w:tcPr>
            <w:tcW w:w="2565" w:type="dxa"/>
            <w:tcBorders>
              <w:top w:val="outset" w:sz="6" w:space="0" w:color="auto"/>
              <w:left w:val="outset" w:sz="6" w:space="0" w:color="auto"/>
              <w:bottom w:val="outset" w:sz="6" w:space="0" w:color="auto"/>
              <w:right w:val="outset" w:sz="6" w:space="0" w:color="auto"/>
            </w:tcBorders>
            <w:vAlign w:val="center"/>
            <w:hideMark/>
          </w:tcPr>
          <w:p w14:paraId="00B64B41"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Total</w:t>
            </w:r>
          </w:p>
        </w:tc>
      </w:tr>
      <w:tr w:rsidR="0026114A" w:rsidRPr="005432E1" w14:paraId="37CB0DDF" w14:textId="77777777" w:rsidTr="001E23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F1B24" w14:textId="77777777" w:rsidR="001E239A" w:rsidRPr="005432E1" w:rsidRDefault="001E239A" w:rsidP="00756D40">
            <w:pPr>
              <w:spacing w:before="100" w:beforeAutospacing="1" w:after="100" w:afterAutospacing="1"/>
              <w:rPr>
                <w:rFonts w:asciiTheme="minorHAnsi" w:hAnsiTheme="minorHAnsi"/>
              </w:rPr>
            </w:pPr>
            <w:r w:rsidRPr="005432E1">
              <w:rPr>
                <w:rFonts w:asciiTheme="minorHAnsi" w:hAnsiTheme="minorHAnsi"/>
              </w:rPr>
              <w:t>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11590"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111.499,83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4F4DA"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121.849,10</w:t>
            </w:r>
          </w:p>
        </w:tc>
        <w:tc>
          <w:tcPr>
            <w:tcW w:w="2565" w:type="dxa"/>
            <w:tcBorders>
              <w:top w:val="outset" w:sz="6" w:space="0" w:color="auto"/>
              <w:left w:val="outset" w:sz="6" w:space="0" w:color="auto"/>
              <w:bottom w:val="outset" w:sz="6" w:space="0" w:color="auto"/>
              <w:right w:val="outset" w:sz="6" w:space="0" w:color="auto"/>
            </w:tcBorders>
            <w:vAlign w:val="center"/>
            <w:hideMark/>
          </w:tcPr>
          <w:p w14:paraId="75722A3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233.348,93</w:t>
            </w:r>
          </w:p>
        </w:tc>
      </w:tr>
      <w:tr w:rsidR="0026114A" w:rsidRPr="005432E1" w14:paraId="218B0B56" w14:textId="77777777" w:rsidTr="001E23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00858" w14:textId="77777777" w:rsidR="001E239A" w:rsidRPr="005432E1" w:rsidRDefault="001E239A" w:rsidP="00756D40">
            <w:pPr>
              <w:spacing w:before="100" w:beforeAutospacing="1" w:after="100" w:afterAutospacing="1"/>
              <w:rPr>
                <w:rFonts w:asciiTheme="minorHAnsi" w:hAnsiTheme="minorHAnsi"/>
              </w:rPr>
            </w:pPr>
            <w:r w:rsidRPr="005432E1">
              <w:rPr>
                <w:rFonts w:asciiTheme="minorHAnsi" w:hAnsiTheme="minorHAnsi"/>
              </w:rPr>
              <w:t>Fundos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CD3C3"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67.665,88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4B7B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w:t>
            </w:r>
          </w:p>
        </w:tc>
        <w:tc>
          <w:tcPr>
            <w:tcW w:w="2565" w:type="dxa"/>
            <w:tcBorders>
              <w:top w:val="outset" w:sz="6" w:space="0" w:color="auto"/>
              <w:left w:val="outset" w:sz="6" w:space="0" w:color="auto"/>
              <w:bottom w:val="outset" w:sz="6" w:space="0" w:color="auto"/>
              <w:right w:val="outset" w:sz="6" w:space="0" w:color="auto"/>
            </w:tcBorders>
            <w:vAlign w:val="center"/>
            <w:hideMark/>
          </w:tcPr>
          <w:p w14:paraId="28495D3F"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67.665,88</w:t>
            </w:r>
          </w:p>
        </w:tc>
      </w:tr>
      <w:tr w:rsidR="0026114A" w:rsidRPr="005432E1" w14:paraId="7191D470" w14:textId="77777777" w:rsidTr="001E23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EA6B9" w14:textId="77777777" w:rsidR="001E239A" w:rsidRPr="005432E1" w:rsidRDefault="001E239A" w:rsidP="00756D40">
            <w:pPr>
              <w:spacing w:before="100" w:beforeAutospacing="1" w:after="100" w:afterAutospacing="1"/>
              <w:rPr>
                <w:rFonts w:asciiTheme="minorHAnsi" w:hAnsiTheme="minorHAnsi"/>
              </w:rPr>
            </w:pPr>
            <w:r w:rsidRPr="005432E1">
              <w:rPr>
                <w:rFonts w:asciiTheme="minorHAnsi" w:hAnsiTheme="minorHAnsi"/>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F0828"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179.165,71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8D799"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121.849,10</w:t>
            </w:r>
          </w:p>
        </w:tc>
        <w:tc>
          <w:tcPr>
            <w:tcW w:w="2565" w:type="dxa"/>
            <w:tcBorders>
              <w:top w:val="outset" w:sz="6" w:space="0" w:color="auto"/>
              <w:left w:val="outset" w:sz="6" w:space="0" w:color="auto"/>
              <w:bottom w:val="outset" w:sz="6" w:space="0" w:color="auto"/>
              <w:right w:val="outset" w:sz="6" w:space="0" w:color="auto"/>
            </w:tcBorders>
            <w:vAlign w:val="center"/>
            <w:hideMark/>
          </w:tcPr>
          <w:p w14:paraId="55B3E62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301.014,81</w:t>
            </w:r>
          </w:p>
        </w:tc>
      </w:tr>
    </w:tbl>
    <w:p w14:paraId="028FBE35" w14:textId="77777777" w:rsidR="001E239A" w:rsidRPr="005432E1" w:rsidRDefault="001E239A" w:rsidP="00B0578A">
      <w:pPr>
        <w:spacing w:after="100" w:afterAutospacing="1"/>
        <w:rPr>
          <w:rFonts w:asciiTheme="minorHAnsi" w:hAnsiTheme="minorHAnsi"/>
          <w:sz w:val="20"/>
          <w:szCs w:val="20"/>
        </w:rPr>
      </w:pPr>
      <w:r w:rsidRPr="005432E1">
        <w:rPr>
          <w:rFonts w:asciiTheme="minorHAnsi" w:hAnsiTheme="minorHAnsi"/>
          <w:sz w:val="20"/>
          <w:szCs w:val="20"/>
        </w:rPr>
        <w:tab/>
      </w:r>
      <w:r w:rsidRPr="005432E1">
        <w:rPr>
          <w:rFonts w:asciiTheme="minorHAnsi" w:hAnsiTheme="minorHAnsi"/>
          <w:sz w:val="20"/>
          <w:szCs w:val="20"/>
        </w:rPr>
        <w:tab/>
        <w:t>Fonte: CODIV/STN/MF.</w:t>
      </w:r>
    </w:p>
    <w:p w14:paraId="5F80B1EC"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O histórico do saldo devedor das garantias da União demonstra um crescimento de aproximadamente 163% no período entre dezembro de 2011 e dezembro de 2017, saindo de R$114,4 bilhões para os atuais R$301,0 bilhões, sendo R$233,3 bilhões em operações de crédito (R$111,5 bilhões em operações internas e R$121,8 bilhões em operações externas) e R$67,7 bilhões em fundos. O saldo da dívida garantida alcançou 41,4% da Receita Corrente Líquida.</w:t>
      </w:r>
    </w:p>
    <w:p w14:paraId="67368D31"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r>
      <w:r w:rsidR="00AF6E03" w:rsidRPr="005432E1">
        <w:rPr>
          <w:rFonts w:asciiTheme="minorHAnsi" w:hAnsiTheme="minorHAnsi"/>
        </w:rPr>
        <w:t>E</w:t>
      </w:r>
      <w:r w:rsidRPr="005432E1">
        <w:rPr>
          <w:rFonts w:asciiTheme="minorHAnsi" w:hAnsiTheme="minorHAnsi"/>
        </w:rPr>
        <w:t>ntre os credores, destacam-se os bancos federais (BNDES, BB e CAIXA), concentrando 97,1% (R$108,3 bilhões) das garantias internas, e os organismos multilaterais (BIRD e BID), respondendo por 85,5% (R$104,3 bilhões) das garantias externas. Entre os mutuários, os estados do Rio de Janeiro e de São Paulo são os que apresentam o maior saldo em operações de crédito garantidas, com 14,5% (R$33,9 bilhões) e 11,4% (R$26,5 bilhões) do total garantido, respectivamente.</w:t>
      </w:r>
    </w:p>
    <w:p w14:paraId="32D37535" w14:textId="75457DD1" w:rsidR="005432E1" w:rsidRDefault="001E239A" w:rsidP="00F85992">
      <w:pPr>
        <w:spacing w:before="100" w:beforeAutospacing="1" w:after="100" w:afterAutospacing="1"/>
        <w:jc w:val="both"/>
        <w:rPr>
          <w:rFonts w:asciiTheme="minorHAnsi" w:hAnsiTheme="minorHAnsi"/>
        </w:rPr>
      </w:pPr>
      <w:r w:rsidRPr="005432E1">
        <w:rPr>
          <w:rFonts w:asciiTheme="minorHAnsi" w:hAnsiTheme="minorHAnsi"/>
        </w:rPr>
        <w:tab/>
        <w:t xml:space="preserve">Quanto às honras de parcelas inadimplidas por mutuários, entre 2005 e 2015, não houve necessidade de a União honrar compromissos decorrentes de garantias prestadas a entes da federação e entidades da administração indireta. Entretanto, no ano de 2016, a União honrou dívidas referentes a contratos de responsabilidade de Estados e Municípios, no montante de R$2.377,7 milhões, sendo que o estado do Rio de Janeiro representou 93,7% do total honrado. Em 2017, o total pago pela União em parcelas garantidas foi de R$4,1 bilhões, com o Rio de Janeiro respondendo por 98,3% (R$4,0 bilhões) do total honrado no ano. A tabela </w:t>
      </w:r>
      <w:r w:rsidR="002D3845" w:rsidRPr="005432E1">
        <w:rPr>
          <w:rFonts w:asciiTheme="minorHAnsi" w:hAnsiTheme="minorHAnsi"/>
        </w:rPr>
        <w:t>17</w:t>
      </w:r>
      <w:r w:rsidRPr="005432E1">
        <w:rPr>
          <w:rFonts w:asciiTheme="minorHAnsi" w:hAnsiTheme="minorHAnsi"/>
        </w:rPr>
        <w:t xml:space="preserve"> abaixo detalha o histórico de honras ocorridas entre 1999 e 2017:</w:t>
      </w:r>
    </w:p>
    <w:p w14:paraId="05F8A8ED" w14:textId="77777777" w:rsidR="005432E1" w:rsidRDefault="005432E1">
      <w:pPr>
        <w:rPr>
          <w:rFonts w:asciiTheme="minorHAnsi" w:hAnsiTheme="minorHAnsi"/>
        </w:rPr>
      </w:pPr>
      <w:r>
        <w:rPr>
          <w:rFonts w:asciiTheme="minorHAnsi" w:hAnsiTheme="minorHAnsi"/>
        </w:rPr>
        <w:br w:type="page"/>
      </w:r>
    </w:p>
    <w:p w14:paraId="566B8120" w14:textId="77777777" w:rsidR="00F85992" w:rsidRPr="005432E1" w:rsidRDefault="00F85992" w:rsidP="00F85992">
      <w:pPr>
        <w:spacing w:before="100" w:beforeAutospacing="1" w:after="100" w:afterAutospacing="1"/>
        <w:jc w:val="both"/>
        <w:rPr>
          <w:rFonts w:asciiTheme="minorHAnsi" w:hAnsiTheme="minorHAnsi"/>
        </w:rPr>
      </w:pPr>
    </w:p>
    <w:p w14:paraId="75443503" w14:textId="0C6A621A" w:rsidR="001E239A" w:rsidRPr="005432E1" w:rsidRDefault="006264C0" w:rsidP="00F85992">
      <w:pPr>
        <w:spacing w:before="100" w:beforeAutospacing="1" w:after="100" w:afterAutospacing="1"/>
        <w:jc w:val="both"/>
        <w:rPr>
          <w:rFonts w:asciiTheme="minorHAnsi" w:hAnsiTheme="minorHAnsi"/>
        </w:rPr>
      </w:pPr>
      <w:r w:rsidRPr="005432E1">
        <w:rPr>
          <w:rFonts w:asciiTheme="minorHAnsi" w:hAnsiTheme="minorHAnsi"/>
          <w:b/>
          <w:bCs/>
        </w:rPr>
        <w:t>Tabela 1</w:t>
      </w:r>
      <w:r w:rsidR="002D3845" w:rsidRPr="005432E1">
        <w:rPr>
          <w:rFonts w:asciiTheme="minorHAnsi" w:hAnsiTheme="minorHAnsi"/>
          <w:b/>
          <w:bCs/>
        </w:rPr>
        <w:t>7</w:t>
      </w:r>
      <w:r w:rsidR="001E239A" w:rsidRPr="005432E1">
        <w:rPr>
          <w:rFonts w:asciiTheme="minorHAnsi" w:hAnsiTheme="minorHAnsi"/>
          <w:b/>
          <w:bCs/>
        </w:rPr>
        <w:t xml:space="preserve"> – Garantias honradas pela União (Valores em R$ milhões)</w:t>
      </w:r>
    </w:p>
    <w:tbl>
      <w:tblPr>
        <w:tblW w:w="71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5563"/>
      </w:tblGrid>
      <w:tr w:rsidR="0026114A" w:rsidRPr="005432E1" w14:paraId="5BF2B95B" w14:textId="77777777" w:rsidTr="00F85992">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B2AE39"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Anos</w:t>
            </w:r>
          </w:p>
        </w:tc>
        <w:tc>
          <w:tcPr>
            <w:tcW w:w="5533" w:type="dxa"/>
            <w:tcBorders>
              <w:top w:val="outset" w:sz="6" w:space="0" w:color="auto"/>
              <w:left w:val="outset" w:sz="6" w:space="0" w:color="auto"/>
              <w:bottom w:val="outset" w:sz="6" w:space="0" w:color="auto"/>
              <w:right w:val="outset" w:sz="6" w:space="0" w:color="auto"/>
            </w:tcBorders>
            <w:vAlign w:val="center"/>
            <w:hideMark/>
          </w:tcPr>
          <w:p w14:paraId="65D29D8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Valor dos Pagamentos</w:t>
            </w:r>
          </w:p>
        </w:tc>
      </w:tr>
      <w:tr w:rsidR="0026114A" w:rsidRPr="005432E1" w14:paraId="3E1475C1" w14:textId="77777777" w:rsidTr="00F85992">
        <w:trPr>
          <w:trHeight w:val="254"/>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9BDCC6D"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1999/2000</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51582872"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187,33</w:t>
            </w:r>
          </w:p>
        </w:tc>
      </w:tr>
      <w:tr w:rsidR="0026114A" w:rsidRPr="005432E1" w14:paraId="1E5B13D1" w14:textId="77777777" w:rsidTr="00F85992">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1F64CDF"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2001</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50EFE618"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15,27</w:t>
            </w:r>
          </w:p>
        </w:tc>
      </w:tr>
      <w:tr w:rsidR="0026114A" w:rsidRPr="005432E1" w14:paraId="7FDD7A80" w14:textId="77777777" w:rsidTr="00F85992">
        <w:trPr>
          <w:trHeight w:val="254"/>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713FE63"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2002</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4512DE0D"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28,02</w:t>
            </w:r>
          </w:p>
        </w:tc>
      </w:tr>
      <w:tr w:rsidR="0026114A" w:rsidRPr="005432E1" w14:paraId="614A2DFB" w14:textId="77777777" w:rsidTr="00F85992">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B18246"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2003</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2ADFA859"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6,49</w:t>
            </w:r>
          </w:p>
        </w:tc>
      </w:tr>
      <w:tr w:rsidR="0026114A" w:rsidRPr="005432E1" w14:paraId="543C18F5" w14:textId="77777777" w:rsidTr="00F85992">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5D2D33E"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2004</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33FEE24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36,13</w:t>
            </w:r>
          </w:p>
        </w:tc>
      </w:tr>
      <w:tr w:rsidR="0026114A" w:rsidRPr="005432E1" w14:paraId="58D87FBD" w14:textId="77777777" w:rsidTr="00F85992">
        <w:trPr>
          <w:trHeight w:val="254"/>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096544F"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2005 a 2015</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422D245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w:t>
            </w:r>
          </w:p>
        </w:tc>
      </w:tr>
      <w:tr w:rsidR="0026114A" w:rsidRPr="005432E1" w14:paraId="05EA01AA" w14:textId="77777777" w:rsidTr="00F85992">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4A956D9"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2016</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6F75667F"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2.377,68</w:t>
            </w:r>
          </w:p>
        </w:tc>
      </w:tr>
      <w:tr w:rsidR="0026114A" w:rsidRPr="005432E1" w14:paraId="32E89561" w14:textId="77777777" w:rsidTr="00F85992">
        <w:trPr>
          <w:trHeight w:val="254"/>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D4E7D0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2017</w:t>
            </w:r>
          </w:p>
        </w:tc>
        <w:tc>
          <w:tcPr>
            <w:tcW w:w="5533" w:type="dxa"/>
            <w:tcBorders>
              <w:top w:val="outset" w:sz="6" w:space="0" w:color="auto"/>
              <w:left w:val="outset" w:sz="6" w:space="0" w:color="auto"/>
              <w:bottom w:val="outset" w:sz="6" w:space="0" w:color="auto"/>
              <w:right w:val="outset" w:sz="6" w:space="0" w:color="auto"/>
            </w:tcBorders>
            <w:noWrap/>
            <w:vAlign w:val="center"/>
            <w:hideMark/>
          </w:tcPr>
          <w:p w14:paraId="4720083B"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4.059,80</w:t>
            </w:r>
          </w:p>
        </w:tc>
      </w:tr>
    </w:tbl>
    <w:p w14:paraId="1FB76AD4" w14:textId="77777777" w:rsidR="001E239A" w:rsidRPr="005432E1" w:rsidRDefault="00F85992" w:rsidP="00B0578A">
      <w:pPr>
        <w:spacing w:after="100" w:afterAutospacing="1"/>
        <w:rPr>
          <w:rFonts w:asciiTheme="minorHAnsi" w:hAnsiTheme="minorHAnsi"/>
          <w:sz w:val="20"/>
          <w:szCs w:val="20"/>
        </w:rPr>
      </w:pPr>
      <w:r w:rsidRPr="005432E1">
        <w:rPr>
          <w:rFonts w:asciiTheme="minorHAnsi" w:hAnsiTheme="minorHAnsi"/>
        </w:rPr>
        <w:tab/>
      </w:r>
      <w:r w:rsidR="001E239A" w:rsidRPr="005432E1">
        <w:rPr>
          <w:rFonts w:asciiTheme="minorHAnsi" w:hAnsiTheme="minorHAnsi"/>
        </w:rPr>
        <w:tab/>
        <w:t> </w:t>
      </w:r>
      <w:r w:rsidR="001E239A" w:rsidRPr="005432E1">
        <w:rPr>
          <w:rFonts w:asciiTheme="minorHAnsi" w:hAnsiTheme="minorHAnsi"/>
          <w:sz w:val="20"/>
          <w:szCs w:val="20"/>
        </w:rPr>
        <w:t>Fonte: CODIV/STN/MF.</w:t>
      </w:r>
    </w:p>
    <w:p w14:paraId="5A8A1085"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No que concerne à natureza do impacto, o pagamento de garantias pela União é exclusivamente financeiro. As fontes utilizadas para a honra de garantias são 143 e 144, ambas alimentadas por receitas de emissões de títulos, sendo a 143 para amortização de principal e a 144 para juros.</w:t>
      </w:r>
    </w:p>
    <w:p w14:paraId="7DA89F6C" w14:textId="6842353E"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 xml:space="preserve">Além das honras já mencionadas acima, a tabela </w:t>
      </w:r>
      <w:r w:rsidR="002D3845" w:rsidRPr="005432E1">
        <w:rPr>
          <w:rFonts w:asciiTheme="minorHAnsi" w:hAnsiTheme="minorHAnsi"/>
        </w:rPr>
        <w:t>18</w:t>
      </w:r>
      <w:r w:rsidRPr="005432E1">
        <w:rPr>
          <w:rFonts w:asciiTheme="minorHAnsi" w:hAnsiTheme="minorHAnsi"/>
        </w:rPr>
        <w:t xml:space="preserve"> a seguir apresenta o demonstrativo de atrasos de pagamento, representando as situações nas quais a União foi notificada pelo credor, sem que tenha ocorrido efetivamente a honra da garantia, já que o devedor original regularizou a dívida dentro do prazo estabelecido nas notificações emitidas pela STN. A tabela 5 traz abertura tanto por categoria de dívida, quanto por categoria de mutuário.</w:t>
      </w:r>
    </w:p>
    <w:p w14:paraId="0A3CB7ED" w14:textId="4F017566" w:rsidR="001E239A" w:rsidRPr="005432E1" w:rsidRDefault="006264C0" w:rsidP="001E239A">
      <w:pPr>
        <w:spacing w:before="100" w:beforeAutospacing="1" w:after="100" w:afterAutospacing="1"/>
        <w:jc w:val="center"/>
        <w:rPr>
          <w:rFonts w:asciiTheme="minorHAnsi" w:hAnsiTheme="minorHAnsi"/>
        </w:rPr>
      </w:pPr>
      <w:r w:rsidRPr="005432E1">
        <w:rPr>
          <w:rFonts w:asciiTheme="minorHAnsi" w:hAnsiTheme="minorHAnsi"/>
          <w:b/>
          <w:bCs/>
        </w:rPr>
        <w:t>Tabela 1</w:t>
      </w:r>
      <w:r w:rsidR="002D3845" w:rsidRPr="005432E1">
        <w:rPr>
          <w:rFonts w:asciiTheme="minorHAnsi" w:hAnsiTheme="minorHAnsi"/>
          <w:b/>
          <w:bCs/>
        </w:rPr>
        <w:t>8</w:t>
      </w:r>
      <w:r w:rsidR="001E239A" w:rsidRPr="005432E1">
        <w:rPr>
          <w:rFonts w:asciiTheme="minorHAnsi" w:hAnsiTheme="minorHAnsi"/>
          <w:b/>
          <w:bCs/>
        </w:rPr>
        <w:t xml:space="preserve"> – Ocorrências de atrasos não honrados pela União</w:t>
      </w:r>
    </w:p>
    <w:tbl>
      <w:tblPr>
        <w:tblW w:w="1077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2"/>
        <w:gridCol w:w="869"/>
        <w:gridCol w:w="869"/>
        <w:gridCol w:w="823"/>
        <w:gridCol w:w="900"/>
        <w:gridCol w:w="916"/>
        <w:gridCol w:w="869"/>
        <w:gridCol w:w="947"/>
        <w:gridCol w:w="596"/>
        <w:gridCol w:w="992"/>
      </w:tblGrid>
      <w:tr w:rsidR="0026114A" w:rsidRPr="005432E1" w14:paraId="6916DB4A"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5668A409"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Categorias</w:t>
            </w:r>
          </w:p>
        </w:tc>
        <w:tc>
          <w:tcPr>
            <w:tcW w:w="869" w:type="dxa"/>
            <w:tcBorders>
              <w:top w:val="outset" w:sz="6" w:space="0" w:color="auto"/>
              <w:left w:val="outset" w:sz="6" w:space="0" w:color="auto"/>
              <w:bottom w:val="outset" w:sz="6" w:space="0" w:color="auto"/>
              <w:right w:val="outset" w:sz="6" w:space="0" w:color="auto"/>
            </w:tcBorders>
            <w:vAlign w:val="center"/>
            <w:hideMark/>
          </w:tcPr>
          <w:p w14:paraId="0769DC2B"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2010</w:t>
            </w:r>
          </w:p>
        </w:tc>
        <w:tc>
          <w:tcPr>
            <w:tcW w:w="869" w:type="dxa"/>
            <w:tcBorders>
              <w:top w:val="outset" w:sz="6" w:space="0" w:color="auto"/>
              <w:left w:val="outset" w:sz="6" w:space="0" w:color="auto"/>
              <w:bottom w:val="outset" w:sz="6" w:space="0" w:color="auto"/>
              <w:right w:val="outset" w:sz="6" w:space="0" w:color="auto"/>
            </w:tcBorders>
            <w:vAlign w:val="center"/>
            <w:hideMark/>
          </w:tcPr>
          <w:p w14:paraId="03300A8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2011</w:t>
            </w:r>
          </w:p>
        </w:tc>
        <w:tc>
          <w:tcPr>
            <w:tcW w:w="823" w:type="dxa"/>
            <w:tcBorders>
              <w:top w:val="outset" w:sz="6" w:space="0" w:color="auto"/>
              <w:left w:val="outset" w:sz="6" w:space="0" w:color="auto"/>
              <w:bottom w:val="outset" w:sz="6" w:space="0" w:color="auto"/>
              <w:right w:val="outset" w:sz="6" w:space="0" w:color="auto"/>
            </w:tcBorders>
            <w:vAlign w:val="center"/>
            <w:hideMark/>
          </w:tcPr>
          <w:p w14:paraId="650FC92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2012</w:t>
            </w:r>
          </w:p>
        </w:tc>
        <w:tc>
          <w:tcPr>
            <w:tcW w:w="900" w:type="dxa"/>
            <w:tcBorders>
              <w:top w:val="outset" w:sz="6" w:space="0" w:color="auto"/>
              <w:left w:val="outset" w:sz="6" w:space="0" w:color="auto"/>
              <w:bottom w:val="outset" w:sz="6" w:space="0" w:color="auto"/>
              <w:right w:val="outset" w:sz="6" w:space="0" w:color="auto"/>
            </w:tcBorders>
            <w:vAlign w:val="center"/>
            <w:hideMark/>
          </w:tcPr>
          <w:p w14:paraId="29A40821"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2013</w:t>
            </w:r>
          </w:p>
        </w:tc>
        <w:tc>
          <w:tcPr>
            <w:tcW w:w="916" w:type="dxa"/>
            <w:tcBorders>
              <w:top w:val="outset" w:sz="6" w:space="0" w:color="auto"/>
              <w:left w:val="outset" w:sz="6" w:space="0" w:color="auto"/>
              <w:bottom w:val="outset" w:sz="6" w:space="0" w:color="auto"/>
              <w:right w:val="outset" w:sz="6" w:space="0" w:color="auto"/>
            </w:tcBorders>
            <w:vAlign w:val="center"/>
            <w:hideMark/>
          </w:tcPr>
          <w:p w14:paraId="14D89E40"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2014</w:t>
            </w:r>
          </w:p>
        </w:tc>
        <w:tc>
          <w:tcPr>
            <w:tcW w:w="869" w:type="dxa"/>
            <w:tcBorders>
              <w:top w:val="outset" w:sz="6" w:space="0" w:color="auto"/>
              <w:left w:val="outset" w:sz="6" w:space="0" w:color="auto"/>
              <w:bottom w:val="outset" w:sz="6" w:space="0" w:color="auto"/>
              <w:right w:val="outset" w:sz="6" w:space="0" w:color="auto"/>
            </w:tcBorders>
            <w:vAlign w:val="center"/>
            <w:hideMark/>
          </w:tcPr>
          <w:p w14:paraId="553BC2EF"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2015</w:t>
            </w:r>
          </w:p>
        </w:tc>
        <w:tc>
          <w:tcPr>
            <w:tcW w:w="947" w:type="dxa"/>
            <w:tcBorders>
              <w:top w:val="outset" w:sz="6" w:space="0" w:color="auto"/>
              <w:left w:val="outset" w:sz="6" w:space="0" w:color="auto"/>
              <w:bottom w:val="outset" w:sz="6" w:space="0" w:color="auto"/>
              <w:right w:val="outset" w:sz="6" w:space="0" w:color="auto"/>
            </w:tcBorders>
            <w:vAlign w:val="center"/>
            <w:hideMark/>
          </w:tcPr>
          <w:p w14:paraId="70B221D0"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2016</w:t>
            </w:r>
          </w:p>
        </w:tc>
        <w:tc>
          <w:tcPr>
            <w:tcW w:w="596" w:type="dxa"/>
            <w:tcBorders>
              <w:top w:val="outset" w:sz="6" w:space="0" w:color="auto"/>
              <w:left w:val="outset" w:sz="6" w:space="0" w:color="auto"/>
              <w:bottom w:val="outset" w:sz="6" w:space="0" w:color="auto"/>
              <w:right w:val="outset" w:sz="6" w:space="0" w:color="auto"/>
            </w:tcBorders>
            <w:vAlign w:val="center"/>
            <w:hideMark/>
          </w:tcPr>
          <w:p w14:paraId="7CC8245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2017</w:t>
            </w:r>
          </w:p>
        </w:tc>
        <w:tc>
          <w:tcPr>
            <w:tcW w:w="992" w:type="dxa"/>
            <w:tcBorders>
              <w:top w:val="outset" w:sz="6" w:space="0" w:color="auto"/>
              <w:left w:val="outset" w:sz="6" w:space="0" w:color="auto"/>
              <w:bottom w:val="outset" w:sz="6" w:space="0" w:color="auto"/>
              <w:right w:val="outset" w:sz="6" w:space="0" w:color="auto"/>
            </w:tcBorders>
            <w:vAlign w:val="center"/>
            <w:hideMark/>
          </w:tcPr>
          <w:p w14:paraId="2527208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Total</w:t>
            </w:r>
          </w:p>
        </w:tc>
      </w:tr>
      <w:tr w:rsidR="0026114A" w:rsidRPr="005432E1" w14:paraId="2634269A"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2CE78B56"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Obrigações Externas</w:t>
            </w:r>
          </w:p>
        </w:tc>
        <w:tc>
          <w:tcPr>
            <w:tcW w:w="869" w:type="dxa"/>
            <w:tcBorders>
              <w:top w:val="outset" w:sz="6" w:space="0" w:color="auto"/>
              <w:left w:val="outset" w:sz="6" w:space="0" w:color="auto"/>
              <w:bottom w:val="outset" w:sz="6" w:space="0" w:color="auto"/>
              <w:right w:val="outset" w:sz="6" w:space="0" w:color="auto"/>
            </w:tcBorders>
            <w:vAlign w:val="center"/>
            <w:hideMark/>
          </w:tcPr>
          <w:p w14:paraId="49D939D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5</w:t>
            </w:r>
          </w:p>
        </w:tc>
        <w:tc>
          <w:tcPr>
            <w:tcW w:w="869" w:type="dxa"/>
            <w:tcBorders>
              <w:top w:val="outset" w:sz="6" w:space="0" w:color="auto"/>
              <w:left w:val="outset" w:sz="6" w:space="0" w:color="auto"/>
              <w:bottom w:val="outset" w:sz="6" w:space="0" w:color="auto"/>
              <w:right w:val="outset" w:sz="6" w:space="0" w:color="auto"/>
            </w:tcBorders>
            <w:vAlign w:val="center"/>
            <w:hideMark/>
          </w:tcPr>
          <w:p w14:paraId="2D8C872F"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23" w:type="dxa"/>
            <w:tcBorders>
              <w:top w:val="outset" w:sz="6" w:space="0" w:color="auto"/>
              <w:left w:val="outset" w:sz="6" w:space="0" w:color="auto"/>
              <w:bottom w:val="outset" w:sz="6" w:space="0" w:color="auto"/>
              <w:right w:val="outset" w:sz="6" w:space="0" w:color="auto"/>
            </w:tcBorders>
            <w:vAlign w:val="center"/>
            <w:hideMark/>
          </w:tcPr>
          <w:p w14:paraId="032AD1A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1CB969EE"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w:t>
            </w:r>
          </w:p>
        </w:tc>
        <w:tc>
          <w:tcPr>
            <w:tcW w:w="916" w:type="dxa"/>
            <w:tcBorders>
              <w:top w:val="outset" w:sz="6" w:space="0" w:color="auto"/>
              <w:left w:val="outset" w:sz="6" w:space="0" w:color="auto"/>
              <w:bottom w:val="outset" w:sz="6" w:space="0" w:color="auto"/>
              <w:right w:val="outset" w:sz="6" w:space="0" w:color="auto"/>
            </w:tcBorders>
            <w:vAlign w:val="center"/>
            <w:hideMark/>
          </w:tcPr>
          <w:p w14:paraId="102191C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69" w:type="dxa"/>
            <w:tcBorders>
              <w:top w:val="outset" w:sz="6" w:space="0" w:color="auto"/>
              <w:left w:val="outset" w:sz="6" w:space="0" w:color="auto"/>
              <w:bottom w:val="outset" w:sz="6" w:space="0" w:color="auto"/>
              <w:right w:val="outset" w:sz="6" w:space="0" w:color="auto"/>
            </w:tcBorders>
            <w:vAlign w:val="center"/>
            <w:hideMark/>
          </w:tcPr>
          <w:p w14:paraId="72E24041"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14</w:t>
            </w:r>
          </w:p>
        </w:tc>
        <w:tc>
          <w:tcPr>
            <w:tcW w:w="947" w:type="dxa"/>
            <w:tcBorders>
              <w:top w:val="outset" w:sz="6" w:space="0" w:color="auto"/>
              <w:left w:val="outset" w:sz="6" w:space="0" w:color="auto"/>
              <w:bottom w:val="outset" w:sz="6" w:space="0" w:color="auto"/>
              <w:right w:val="outset" w:sz="6" w:space="0" w:color="auto"/>
            </w:tcBorders>
            <w:vAlign w:val="center"/>
            <w:hideMark/>
          </w:tcPr>
          <w:p w14:paraId="6CC7E9F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17</w:t>
            </w:r>
          </w:p>
        </w:tc>
        <w:tc>
          <w:tcPr>
            <w:tcW w:w="596" w:type="dxa"/>
            <w:tcBorders>
              <w:top w:val="outset" w:sz="6" w:space="0" w:color="auto"/>
              <w:left w:val="outset" w:sz="6" w:space="0" w:color="auto"/>
              <w:bottom w:val="outset" w:sz="6" w:space="0" w:color="auto"/>
              <w:right w:val="outset" w:sz="6" w:space="0" w:color="auto"/>
            </w:tcBorders>
            <w:vAlign w:val="center"/>
            <w:hideMark/>
          </w:tcPr>
          <w:p w14:paraId="4C674F0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25</w:t>
            </w:r>
          </w:p>
        </w:tc>
        <w:tc>
          <w:tcPr>
            <w:tcW w:w="992" w:type="dxa"/>
            <w:tcBorders>
              <w:top w:val="outset" w:sz="6" w:space="0" w:color="auto"/>
              <w:left w:val="outset" w:sz="6" w:space="0" w:color="auto"/>
              <w:bottom w:val="outset" w:sz="6" w:space="0" w:color="auto"/>
              <w:right w:val="outset" w:sz="6" w:space="0" w:color="auto"/>
            </w:tcBorders>
            <w:vAlign w:val="center"/>
            <w:hideMark/>
          </w:tcPr>
          <w:p w14:paraId="324F45C3"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75</w:t>
            </w:r>
          </w:p>
        </w:tc>
      </w:tr>
      <w:tr w:rsidR="0026114A" w:rsidRPr="005432E1" w14:paraId="6A2C28DF"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39B9B6D7"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Obrigações Internas</w:t>
            </w:r>
          </w:p>
        </w:tc>
        <w:tc>
          <w:tcPr>
            <w:tcW w:w="869" w:type="dxa"/>
            <w:tcBorders>
              <w:top w:val="outset" w:sz="6" w:space="0" w:color="auto"/>
              <w:left w:val="outset" w:sz="6" w:space="0" w:color="auto"/>
              <w:bottom w:val="outset" w:sz="6" w:space="0" w:color="auto"/>
              <w:right w:val="outset" w:sz="6" w:space="0" w:color="auto"/>
            </w:tcBorders>
            <w:vAlign w:val="center"/>
            <w:hideMark/>
          </w:tcPr>
          <w:p w14:paraId="24A8283B"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w:t>
            </w:r>
          </w:p>
        </w:tc>
        <w:tc>
          <w:tcPr>
            <w:tcW w:w="869" w:type="dxa"/>
            <w:tcBorders>
              <w:top w:val="outset" w:sz="6" w:space="0" w:color="auto"/>
              <w:left w:val="outset" w:sz="6" w:space="0" w:color="auto"/>
              <w:bottom w:val="outset" w:sz="6" w:space="0" w:color="auto"/>
              <w:right w:val="outset" w:sz="6" w:space="0" w:color="auto"/>
            </w:tcBorders>
            <w:vAlign w:val="center"/>
            <w:hideMark/>
          </w:tcPr>
          <w:p w14:paraId="621C15E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w:t>
            </w:r>
          </w:p>
        </w:tc>
        <w:tc>
          <w:tcPr>
            <w:tcW w:w="823" w:type="dxa"/>
            <w:tcBorders>
              <w:top w:val="outset" w:sz="6" w:space="0" w:color="auto"/>
              <w:left w:val="outset" w:sz="6" w:space="0" w:color="auto"/>
              <w:bottom w:val="outset" w:sz="6" w:space="0" w:color="auto"/>
              <w:right w:val="outset" w:sz="6" w:space="0" w:color="auto"/>
            </w:tcBorders>
            <w:vAlign w:val="center"/>
            <w:hideMark/>
          </w:tcPr>
          <w:p w14:paraId="6A814124"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w:t>
            </w:r>
          </w:p>
        </w:tc>
        <w:tc>
          <w:tcPr>
            <w:tcW w:w="900" w:type="dxa"/>
            <w:tcBorders>
              <w:top w:val="outset" w:sz="6" w:space="0" w:color="auto"/>
              <w:left w:val="outset" w:sz="6" w:space="0" w:color="auto"/>
              <w:bottom w:val="outset" w:sz="6" w:space="0" w:color="auto"/>
              <w:right w:val="outset" w:sz="6" w:space="0" w:color="auto"/>
            </w:tcBorders>
            <w:vAlign w:val="center"/>
            <w:hideMark/>
          </w:tcPr>
          <w:p w14:paraId="7BACF670"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w:t>
            </w:r>
          </w:p>
        </w:tc>
        <w:tc>
          <w:tcPr>
            <w:tcW w:w="916" w:type="dxa"/>
            <w:tcBorders>
              <w:top w:val="outset" w:sz="6" w:space="0" w:color="auto"/>
              <w:left w:val="outset" w:sz="6" w:space="0" w:color="auto"/>
              <w:bottom w:val="outset" w:sz="6" w:space="0" w:color="auto"/>
              <w:right w:val="outset" w:sz="6" w:space="0" w:color="auto"/>
            </w:tcBorders>
            <w:vAlign w:val="center"/>
            <w:hideMark/>
          </w:tcPr>
          <w:p w14:paraId="35772A43"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5</w:t>
            </w:r>
          </w:p>
        </w:tc>
        <w:tc>
          <w:tcPr>
            <w:tcW w:w="869" w:type="dxa"/>
            <w:tcBorders>
              <w:top w:val="outset" w:sz="6" w:space="0" w:color="auto"/>
              <w:left w:val="outset" w:sz="6" w:space="0" w:color="auto"/>
              <w:bottom w:val="outset" w:sz="6" w:space="0" w:color="auto"/>
              <w:right w:val="outset" w:sz="6" w:space="0" w:color="auto"/>
            </w:tcBorders>
            <w:vAlign w:val="center"/>
            <w:hideMark/>
          </w:tcPr>
          <w:p w14:paraId="379D24AE"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13</w:t>
            </w:r>
          </w:p>
        </w:tc>
        <w:tc>
          <w:tcPr>
            <w:tcW w:w="947" w:type="dxa"/>
            <w:tcBorders>
              <w:top w:val="outset" w:sz="6" w:space="0" w:color="auto"/>
              <w:left w:val="outset" w:sz="6" w:space="0" w:color="auto"/>
              <w:bottom w:val="outset" w:sz="6" w:space="0" w:color="auto"/>
              <w:right w:val="outset" w:sz="6" w:space="0" w:color="auto"/>
            </w:tcBorders>
            <w:vAlign w:val="center"/>
            <w:hideMark/>
          </w:tcPr>
          <w:p w14:paraId="229506F9"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49</w:t>
            </w:r>
          </w:p>
        </w:tc>
        <w:tc>
          <w:tcPr>
            <w:tcW w:w="596" w:type="dxa"/>
            <w:tcBorders>
              <w:top w:val="outset" w:sz="6" w:space="0" w:color="auto"/>
              <w:left w:val="outset" w:sz="6" w:space="0" w:color="auto"/>
              <w:bottom w:val="outset" w:sz="6" w:space="0" w:color="auto"/>
              <w:right w:val="outset" w:sz="6" w:space="0" w:color="auto"/>
            </w:tcBorders>
            <w:vAlign w:val="center"/>
            <w:hideMark/>
          </w:tcPr>
          <w:p w14:paraId="4A39372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67</w:t>
            </w:r>
          </w:p>
        </w:tc>
        <w:tc>
          <w:tcPr>
            <w:tcW w:w="992" w:type="dxa"/>
            <w:tcBorders>
              <w:top w:val="outset" w:sz="6" w:space="0" w:color="auto"/>
              <w:left w:val="outset" w:sz="6" w:space="0" w:color="auto"/>
              <w:bottom w:val="outset" w:sz="6" w:space="0" w:color="auto"/>
              <w:right w:val="outset" w:sz="6" w:space="0" w:color="auto"/>
            </w:tcBorders>
            <w:vAlign w:val="center"/>
            <w:hideMark/>
          </w:tcPr>
          <w:p w14:paraId="1006A67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134</w:t>
            </w:r>
          </w:p>
        </w:tc>
      </w:tr>
      <w:tr w:rsidR="0026114A" w:rsidRPr="005432E1" w14:paraId="7CCA46A0"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3B28DB76"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Total (2010-2017)</w:t>
            </w:r>
          </w:p>
        </w:tc>
        <w:tc>
          <w:tcPr>
            <w:tcW w:w="869" w:type="dxa"/>
            <w:tcBorders>
              <w:top w:val="outset" w:sz="6" w:space="0" w:color="auto"/>
              <w:left w:val="outset" w:sz="6" w:space="0" w:color="auto"/>
              <w:bottom w:val="outset" w:sz="6" w:space="0" w:color="auto"/>
              <w:right w:val="outset" w:sz="6" w:space="0" w:color="auto"/>
            </w:tcBorders>
            <w:vAlign w:val="center"/>
            <w:hideMark/>
          </w:tcPr>
          <w:p w14:paraId="29781FA6"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5</w:t>
            </w:r>
          </w:p>
        </w:tc>
        <w:tc>
          <w:tcPr>
            <w:tcW w:w="869" w:type="dxa"/>
            <w:tcBorders>
              <w:top w:val="outset" w:sz="6" w:space="0" w:color="auto"/>
              <w:left w:val="outset" w:sz="6" w:space="0" w:color="auto"/>
              <w:bottom w:val="outset" w:sz="6" w:space="0" w:color="auto"/>
              <w:right w:val="outset" w:sz="6" w:space="0" w:color="auto"/>
            </w:tcBorders>
            <w:vAlign w:val="center"/>
            <w:hideMark/>
          </w:tcPr>
          <w:p w14:paraId="0062FEB9"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23" w:type="dxa"/>
            <w:tcBorders>
              <w:top w:val="outset" w:sz="6" w:space="0" w:color="auto"/>
              <w:left w:val="outset" w:sz="6" w:space="0" w:color="auto"/>
              <w:bottom w:val="outset" w:sz="6" w:space="0" w:color="auto"/>
              <w:right w:val="outset" w:sz="6" w:space="0" w:color="auto"/>
            </w:tcBorders>
            <w:vAlign w:val="center"/>
            <w:hideMark/>
          </w:tcPr>
          <w:p w14:paraId="70D2A36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5BD34FA1"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w:t>
            </w:r>
          </w:p>
        </w:tc>
        <w:tc>
          <w:tcPr>
            <w:tcW w:w="916" w:type="dxa"/>
            <w:tcBorders>
              <w:top w:val="outset" w:sz="6" w:space="0" w:color="auto"/>
              <w:left w:val="outset" w:sz="6" w:space="0" w:color="auto"/>
              <w:bottom w:val="outset" w:sz="6" w:space="0" w:color="auto"/>
              <w:right w:val="outset" w:sz="6" w:space="0" w:color="auto"/>
            </w:tcBorders>
            <w:vAlign w:val="center"/>
            <w:hideMark/>
          </w:tcPr>
          <w:p w14:paraId="54A2B7F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7</w:t>
            </w:r>
          </w:p>
        </w:tc>
        <w:tc>
          <w:tcPr>
            <w:tcW w:w="869" w:type="dxa"/>
            <w:tcBorders>
              <w:top w:val="outset" w:sz="6" w:space="0" w:color="auto"/>
              <w:left w:val="outset" w:sz="6" w:space="0" w:color="auto"/>
              <w:bottom w:val="outset" w:sz="6" w:space="0" w:color="auto"/>
              <w:right w:val="outset" w:sz="6" w:space="0" w:color="auto"/>
            </w:tcBorders>
            <w:vAlign w:val="center"/>
            <w:hideMark/>
          </w:tcPr>
          <w:p w14:paraId="01786ED4"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27</w:t>
            </w:r>
          </w:p>
        </w:tc>
        <w:tc>
          <w:tcPr>
            <w:tcW w:w="947" w:type="dxa"/>
            <w:tcBorders>
              <w:top w:val="outset" w:sz="6" w:space="0" w:color="auto"/>
              <w:left w:val="outset" w:sz="6" w:space="0" w:color="auto"/>
              <w:bottom w:val="outset" w:sz="6" w:space="0" w:color="auto"/>
              <w:right w:val="outset" w:sz="6" w:space="0" w:color="auto"/>
            </w:tcBorders>
            <w:vAlign w:val="center"/>
            <w:hideMark/>
          </w:tcPr>
          <w:p w14:paraId="0440644E"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66</w:t>
            </w:r>
          </w:p>
        </w:tc>
        <w:tc>
          <w:tcPr>
            <w:tcW w:w="596" w:type="dxa"/>
            <w:tcBorders>
              <w:top w:val="outset" w:sz="6" w:space="0" w:color="auto"/>
              <w:left w:val="outset" w:sz="6" w:space="0" w:color="auto"/>
              <w:bottom w:val="outset" w:sz="6" w:space="0" w:color="auto"/>
              <w:right w:val="outset" w:sz="6" w:space="0" w:color="auto"/>
            </w:tcBorders>
            <w:vAlign w:val="center"/>
            <w:hideMark/>
          </w:tcPr>
          <w:p w14:paraId="3554BB09"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92</w:t>
            </w:r>
          </w:p>
        </w:tc>
        <w:tc>
          <w:tcPr>
            <w:tcW w:w="992" w:type="dxa"/>
            <w:tcBorders>
              <w:top w:val="outset" w:sz="6" w:space="0" w:color="auto"/>
              <w:left w:val="outset" w:sz="6" w:space="0" w:color="auto"/>
              <w:bottom w:val="outset" w:sz="6" w:space="0" w:color="auto"/>
              <w:right w:val="outset" w:sz="6" w:space="0" w:color="auto"/>
            </w:tcBorders>
            <w:vAlign w:val="center"/>
            <w:hideMark/>
          </w:tcPr>
          <w:p w14:paraId="0E981E2C"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209</w:t>
            </w:r>
          </w:p>
        </w:tc>
      </w:tr>
      <w:tr w:rsidR="0026114A" w:rsidRPr="005432E1" w14:paraId="5E231D11"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77045900" w14:textId="77777777" w:rsidR="001E239A" w:rsidRPr="005432E1" w:rsidRDefault="001E239A" w:rsidP="00756D40">
            <w:pPr>
              <w:spacing w:before="100" w:beforeAutospacing="1" w:after="100" w:afterAutospacing="1"/>
              <w:rPr>
                <w:rFonts w:asciiTheme="minorHAnsi" w:hAnsiTheme="minorHAnsi"/>
                <w:sz w:val="22"/>
                <w:szCs w:val="22"/>
              </w:rPr>
            </w:pPr>
          </w:p>
        </w:tc>
        <w:tc>
          <w:tcPr>
            <w:tcW w:w="869" w:type="dxa"/>
            <w:tcBorders>
              <w:top w:val="outset" w:sz="6" w:space="0" w:color="auto"/>
              <w:left w:val="outset" w:sz="6" w:space="0" w:color="auto"/>
              <w:bottom w:val="outset" w:sz="6" w:space="0" w:color="auto"/>
              <w:right w:val="outset" w:sz="6" w:space="0" w:color="auto"/>
            </w:tcBorders>
            <w:vAlign w:val="center"/>
            <w:hideMark/>
          </w:tcPr>
          <w:p w14:paraId="7CD75ABE"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869" w:type="dxa"/>
            <w:tcBorders>
              <w:top w:val="outset" w:sz="6" w:space="0" w:color="auto"/>
              <w:left w:val="outset" w:sz="6" w:space="0" w:color="auto"/>
              <w:bottom w:val="outset" w:sz="6" w:space="0" w:color="auto"/>
              <w:right w:val="outset" w:sz="6" w:space="0" w:color="auto"/>
            </w:tcBorders>
            <w:vAlign w:val="center"/>
            <w:hideMark/>
          </w:tcPr>
          <w:p w14:paraId="6CC13411"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823" w:type="dxa"/>
            <w:tcBorders>
              <w:top w:val="outset" w:sz="6" w:space="0" w:color="auto"/>
              <w:left w:val="outset" w:sz="6" w:space="0" w:color="auto"/>
              <w:bottom w:val="outset" w:sz="6" w:space="0" w:color="auto"/>
              <w:right w:val="outset" w:sz="6" w:space="0" w:color="auto"/>
            </w:tcBorders>
            <w:vAlign w:val="center"/>
            <w:hideMark/>
          </w:tcPr>
          <w:p w14:paraId="4AF7528E"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900" w:type="dxa"/>
            <w:tcBorders>
              <w:top w:val="outset" w:sz="6" w:space="0" w:color="auto"/>
              <w:left w:val="outset" w:sz="6" w:space="0" w:color="auto"/>
              <w:bottom w:val="outset" w:sz="6" w:space="0" w:color="auto"/>
              <w:right w:val="outset" w:sz="6" w:space="0" w:color="auto"/>
            </w:tcBorders>
            <w:vAlign w:val="center"/>
            <w:hideMark/>
          </w:tcPr>
          <w:p w14:paraId="0D26FE76"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916" w:type="dxa"/>
            <w:tcBorders>
              <w:top w:val="outset" w:sz="6" w:space="0" w:color="auto"/>
              <w:left w:val="outset" w:sz="6" w:space="0" w:color="auto"/>
              <w:bottom w:val="outset" w:sz="6" w:space="0" w:color="auto"/>
              <w:right w:val="outset" w:sz="6" w:space="0" w:color="auto"/>
            </w:tcBorders>
            <w:vAlign w:val="center"/>
            <w:hideMark/>
          </w:tcPr>
          <w:p w14:paraId="2BFCA56C"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869" w:type="dxa"/>
            <w:tcBorders>
              <w:top w:val="outset" w:sz="6" w:space="0" w:color="auto"/>
              <w:left w:val="outset" w:sz="6" w:space="0" w:color="auto"/>
              <w:bottom w:val="outset" w:sz="6" w:space="0" w:color="auto"/>
              <w:right w:val="outset" w:sz="6" w:space="0" w:color="auto"/>
            </w:tcBorders>
            <w:vAlign w:val="center"/>
            <w:hideMark/>
          </w:tcPr>
          <w:p w14:paraId="1662EEB0"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947" w:type="dxa"/>
            <w:tcBorders>
              <w:top w:val="outset" w:sz="6" w:space="0" w:color="auto"/>
              <w:left w:val="outset" w:sz="6" w:space="0" w:color="auto"/>
              <w:bottom w:val="outset" w:sz="6" w:space="0" w:color="auto"/>
              <w:right w:val="outset" w:sz="6" w:space="0" w:color="auto"/>
            </w:tcBorders>
            <w:vAlign w:val="center"/>
            <w:hideMark/>
          </w:tcPr>
          <w:p w14:paraId="6C6B903B"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596" w:type="dxa"/>
            <w:tcBorders>
              <w:top w:val="outset" w:sz="6" w:space="0" w:color="auto"/>
              <w:left w:val="outset" w:sz="6" w:space="0" w:color="auto"/>
              <w:bottom w:val="outset" w:sz="6" w:space="0" w:color="auto"/>
              <w:right w:val="outset" w:sz="6" w:space="0" w:color="auto"/>
            </w:tcBorders>
            <w:vAlign w:val="center"/>
            <w:hideMark/>
          </w:tcPr>
          <w:p w14:paraId="75890D68" w14:textId="77777777" w:rsidR="001E239A" w:rsidRPr="005432E1" w:rsidRDefault="001E239A" w:rsidP="00756D40">
            <w:pPr>
              <w:spacing w:before="100" w:beforeAutospacing="1" w:after="100" w:afterAutospacing="1"/>
              <w:jc w:val="center"/>
              <w:rPr>
                <w:rFonts w:asciiTheme="minorHAnsi" w:hAnsiTheme="minorHAnsi"/>
                <w:sz w:val="22"/>
                <w:szCs w:val="22"/>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25D4573A" w14:textId="77777777" w:rsidR="001E239A" w:rsidRPr="005432E1" w:rsidRDefault="001E239A" w:rsidP="00756D40">
            <w:pPr>
              <w:spacing w:before="100" w:beforeAutospacing="1" w:after="100" w:afterAutospacing="1"/>
              <w:jc w:val="center"/>
              <w:rPr>
                <w:rFonts w:asciiTheme="minorHAnsi" w:hAnsiTheme="minorHAnsi"/>
                <w:sz w:val="22"/>
                <w:szCs w:val="22"/>
              </w:rPr>
            </w:pPr>
          </w:p>
        </w:tc>
      </w:tr>
      <w:tr w:rsidR="0026114A" w:rsidRPr="005432E1" w14:paraId="67E20DA9"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041EFC95"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b/>
                <w:bCs/>
                <w:sz w:val="22"/>
                <w:szCs w:val="22"/>
              </w:rPr>
              <w:t>Mutuários</w:t>
            </w:r>
          </w:p>
        </w:tc>
        <w:tc>
          <w:tcPr>
            <w:tcW w:w="869" w:type="dxa"/>
            <w:tcBorders>
              <w:top w:val="outset" w:sz="6" w:space="0" w:color="auto"/>
              <w:left w:val="outset" w:sz="6" w:space="0" w:color="auto"/>
              <w:bottom w:val="outset" w:sz="6" w:space="0" w:color="auto"/>
              <w:right w:val="outset" w:sz="6" w:space="0" w:color="auto"/>
            </w:tcBorders>
            <w:vAlign w:val="center"/>
            <w:hideMark/>
          </w:tcPr>
          <w:p w14:paraId="33CC86B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2010</w:t>
            </w:r>
          </w:p>
        </w:tc>
        <w:tc>
          <w:tcPr>
            <w:tcW w:w="869" w:type="dxa"/>
            <w:tcBorders>
              <w:top w:val="outset" w:sz="6" w:space="0" w:color="auto"/>
              <w:left w:val="outset" w:sz="6" w:space="0" w:color="auto"/>
              <w:bottom w:val="outset" w:sz="6" w:space="0" w:color="auto"/>
              <w:right w:val="outset" w:sz="6" w:space="0" w:color="auto"/>
            </w:tcBorders>
            <w:vAlign w:val="center"/>
            <w:hideMark/>
          </w:tcPr>
          <w:p w14:paraId="48590939"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2011</w:t>
            </w:r>
          </w:p>
        </w:tc>
        <w:tc>
          <w:tcPr>
            <w:tcW w:w="823" w:type="dxa"/>
            <w:tcBorders>
              <w:top w:val="outset" w:sz="6" w:space="0" w:color="auto"/>
              <w:left w:val="outset" w:sz="6" w:space="0" w:color="auto"/>
              <w:bottom w:val="outset" w:sz="6" w:space="0" w:color="auto"/>
              <w:right w:val="outset" w:sz="6" w:space="0" w:color="auto"/>
            </w:tcBorders>
            <w:vAlign w:val="center"/>
            <w:hideMark/>
          </w:tcPr>
          <w:p w14:paraId="1AC3BB6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2012</w:t>
            </w:r>
          </w:p>
        </w:tc>
        <w:tc>
          <w:tcPr>
            <w:tcW w:w="900" w:type="dxa"/>
            <w:tcBorders>
              <w:top w:val="outset" w:sz="6" w:space="0" w:color="auto"/>
              <w:left w:val="outset" w:sz="6" w:space="0" w:color="auto"/>
              <w:bottom w:val="outset" w:sz="6" w:space="0" w:color="auto"/>
              <w:right w:val="outset" w:sz="6" w:space="0" w:color="auto"/>
            </w:tcBorders>
            <w:vAlign w:val="center"/>
            <w:hideMark/>
          </w:tcPr>
          <w:p w14:paraId="61F852C0"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2013</w:t>
            </w:r>
          </w:p>
        </w:tc>
        <w:tc>
          <w:tcPr>
            <w:tcW w:w="916" w:type="dxa"/>
            <w:tcBorders>
              <w:top w:val="outset" w:sz="6" w:space="0" w:color="auto"/>
              <w:left w:val="outset" w:sz="6" w:space="0" w:color="auto"/>
              <w:bottom w:val="outset" w:sz="6" w:space="0" w:color="auto"/>
              <w:right w:val="outset" w:sz="6" w:space="0" w:color="auto"/>
            </w:tcBorders>
            <w:vAlign w:val="center"/>
            <w:hideMark/>
          </w:tcPr>
          <w:p w14:paraId="0E8B79C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2014</w:t>
            </w:r>
          </w:p>
        </w:tc>
        <w:tc>
          <w:tcPr>
            <w:tcW w:w="869" w:type="dxa"/>
            <w:tcBorders>
              <w:top w:val="outset" w:sz="6" w:space="0" w:color="auto"/>
              <w:left w:val="outset" w:sz="6" w:space="0" w:color="auto"/>
              <w:bottom w:val="outset" w:sz="6" w:space="0" w:color="auto"/>
              <w:right w:val="outset" w:sz="6" w:space="0" w:color="auto"/>
            </w:tcBorders>
            <w:vAlign w:val="center"/>
            <w:hideMark/>
          </w:tcPr>
          <w:p w14:paraId="17CB7B9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2015</w:t>
            </w:r>
          </w:p>
        </w:tc>
        <w:tc>
          <w:tcPr>
            <w:tcW w:w="947" w:type="dxa"/>
            <w:tcBorders>
              <w:top w:val="outset" w:sz="6" w:space="0" w:color="auto"/>
              <w:left w:val="outset" w:sz="6" w:space="0" w:color="auto"/>
              <w:bottom w:val="outset" w:sz="6" w:space="0" w:color="auto"/>
              <w:right w:val="outset" w:sz="6" w:space="0" w:color="auto"/>
            </w:tcBorders>
            <w:vAlign w:val="center"/>
            <w:hideMark/>
          </w:tcPr>
          <w:p w14:paraId="745147D0"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2016</w:t>
            </w:r>
          </w:p>
        </w:tc>
        <w:tc>
          <w:tcPr>
            <w:tcW w:w="596" w:type="dxa"/>
            <w:tcBorders>
              <w:top w:val="outset" w:sz="6" w:space="0" w:color="auto"/>
              <w:left w:val="outset" w:sz="6" w:space="0" w:color="auto"/>
              <w:bottom w:val="outset" w:sz="6" w:space="0" w:color="auto"/>
              <w:right w:val="outset" w:sz="6" w:space="0" w:color="auto"/>
            </w:tcBorders>
            <w:vAlign w:val="center"/>
            <w:hideMark/>
          </w:tcPr>
          <w:p w14:paraId="6D3CEF5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2017</w:t>
            </w:r>
          </w:p>
        </w:tc>
        <w:tc>
          <w:tcPr>
            <w:tcW w:w="992" w:type="dxa"/>
            <w:tcBorders>
              <w:top w:val="outset" w:sz="6" w:space="0" w:color="auto"/>
              <w:left w:val="outset" w:sz="6" w:space="0" w:color="auto"/>
              <w:bottom w:val="outset" w:sz="6" w:space="0" w:color="auto"/>
              <w:right w:val="outset" w:sz="6" w:space="0" w:color="auto"/>
            </w:tcBorders>
            <w:vAlign w:val="center"/>
            <w:hideMark/>
          </w:tcPr>
          <w:p w14:paraId="55B6FBA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b/>
                <w:bCs/>
                <w:sz w:val="22"/>
                <w:szCs w:val="22"/>
              </w:rPr>
              <w:t>Total</w:t>
            </w:r>
          </w:p>
        </w:tc>
      </w:tr>
      <w:tr w:rsidR="0026114A" w:rsidRPr="005432E1" w14:paraId="20A07535"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66330939"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Governos Municipais e suas Entidades</w:t>
            </w:r>
          </w:p>
        </w:tc>
        <w:tc>
          <w:tcPr>
            <w:tcW w:w="869" w:type="dxa"/>
            <w:tcBorders>
              <w:top w:val="outset" w:sz="6" w:space="0" w:color="auto"/>
              <w:left w:val="outset" w:sz="6" w:space="0" w:color="auto"/>
              <w:bottom w:val="outset" w:sz="6" w:space="0" w:color="auto"/>
              <w:right w:val="outset" w:sz="6" w:space="0" w:color="auto"/>
            </w:tcBorders>
            <w:vAlign w:val="center"/>
            <w:hideMark/>
          </w:tcPr>
          <w:p w14:paraId="4EF5C113"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69" w:type="dxa"/>
            <w:tcBorders>
              <w:top w:val="outset" w:sz="6" w:space="0" w:color="auto"/>
              <w:left w:val="outset" w:sz="6" w:space="0" w:color="auto"/>
              <w:bottom w:val="outset" w:sz="6" w:space="0" w:color="auto"/>
              <w:right w:val="outset" w:sz="6" w:space="0" w:color="auto"/>
            </w:tcBorders>
            <w:vAlign w:val="center"/>
            <w:hideMark/>
          </w:tcPr>
          <w:p w14:paraId="44FCC8EC"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w:t>
            </w:r>
          </w:p>
        </w:tc>
        <w:tc>
          <w:tcPr>
            <w:tcW w:w="823" w:type="dxa"/>
            <w:tcBorders>
              <w:top w:val="outset" w:sz="6" w:space="0" w:color="auto"/>
              <w:left w:val="outset" w:sz="6" w:space="0" w:color="auto"/>
              <w:bottom w:val="outset" w:sz="6" w:space="0" w:color="auto"/>
              <w:right w:val="outset" w:sz="6" w:space="0" w:color="auto"/>
            </w:tcBorders>
            <w:vAlign w:val="center"/>
            <w:hideMark/>
          </w:tcPr>
          <w:p w14:paraId="30B4E97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276D4B01"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4</w:t>
            </w:r>
          </w:p>
        </w:tc>
        <w:tc>
          <w:tcPr>
            <w:tcW w:w="916" w:type="dxa"/>
            <w:tcBorders>
              <w:top w:val="outset" w:sz="6" w:space="0" w:color="auto"/>
              <w:left w:val="outset" w:sz="6" w:space="0" w:color="auto"/>
              <w:bottom w:val="outset" w:sz="6" w:space="0" w:color="auto"/>
              <w:right w:val="outset" w:sz="6" w:space="0" w:color="auto"/>
            </w:tcBorders>
            <w:vAlign w:val="center"/>
            <w:hideMark/>
          </w:tcPr>
          <w:p w14:paraId="26E337DC"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w:t>
            </w:r>
          </w:p>
        </w:tc>
        <w:tc>
          <w:tcPr>
            <w:tcW w:w="869" w:type="dxa"/>
            <w:tcBorders>
              <w:top w:val="outset" w:sz="6" w:space="0" w:color="auto"/>
              <w:left w:val="outset" w:sz="6" w:space="0" w:color="auto"/>
              <w:bottom w:val="outset" w:sz="6" w:space="0" w:color="auto"/>
              <w:right w:val="outset" w:sz="6" w:space="0" w:color="auto"/>
            </w:tcBorders>
            <w:vAlign w:val="center"/>
            <w:hideMark/>
          </w:tcPr>
          <w:p w14:paraId="75E2CC3C"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7</w:t>
            </w:r>
          </w:p>
        </w:tc>
        <w:tc>
          <w:tcPr>
            <w:tcW w:w="947" w:type="dxa"/>
            <w:tcBorders>
              <w:top w:val="outset" w:sz="6" w:space="0" w:color="auto"/>
              <w:left w:val="outset" w:sz="6" w:space="0" w:color="auto"/>
              <w:bottom w:val="outset" w:sz="6" w:space="0" w:color="auto"/>
              <w:right w:val="outset" w:sz="6" w:space="0" w:color="auto"/>
            </w:tcBorders>
            <w:vAlign w:val="center"/>
            <w:hideMark/>
          </w:tcPr>
          <w:p w14:paraId="18C2076B"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9</w:t>
            </w:r>
          </w:p>
        </w:tc>
        <w:tc>
          <w:tcPr>
            <w:tcW w:w="596" w:type="dxa"/>
            <w:tcBorders>
              <w:top w:val="outset" w:sz="6" w:space="0" w:color="auto"/>
              <w:left w:val="outset" w:sz="6" w:space="0" w:color="auto"/>
              <w:bottom w:val="outset" w:sz="6" w:space="0" w:color="auto"/>
              <w:right w:val="outset" w:sz="6" w:space="0" w:color="auto"/>
            </w:tcBorders>
            <w:vAlign w:val="center"/>
            <w:hideMark/>
          </w:tcPr>
          <w:p w14:paraId="66A363D1"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10</w:t>
            </w:r>
          </w:p>
        </w:tc>
        <w:tc>
          <w:tcPr>
            <w:tcW w:w="992" w:type="dxa"/>
            <w:tcBorders>
              <w:top w:val="outset" w:sz="6" w:space="0" w:color="auto"/>
              <w:left w:val="outset" w:sz="6" w:space="0" w:color="auto"/>
              <w:bottom w:val="outset" w:sz="6" w:space="0" w:color="auto"/>
              <w:right w:val="outset" w:sz="6" w:space="0" w:color="auto"/>
            </w:tcBorders>
            <w:vAlign w:val="center"/>
            <w:hideMark/>
          </w:tcPr>
          <w:p w14:paraId="253941D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36</w:t>
            </w:r>
          </w:p>
        </w:tc>
      </w:tr>
      <w:tr w:rsidR="0026114A" w:rsidRPr="005432E1" w14:paraId="7BE42F0B"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46BD3564"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Governos Estatuais e suas Entidades</w:t>
            </w:r>
          </w:p>
        </w:tc>
        <w:tc>
          <w:tcPr>
            <w:tcW w:w="869" w:type="dxa"/>
            <w:tcBorders>
              <w:top w:val="outset" w:sz="6" w:space="0" w:color="auto"/>
              <w:left w:val="outset" w:sz="6" w:space="0" w:color="auto"/>
              <w:bottom w:val="outset" w:sz="6" w:space="0" w:color="auto"/>
              <w:right w:val="outset" w:sz="6" w:space="0" w:color="auto"/>
            </w:tcBorders>
            <w:vAlign w:val="center"/>
            <w:hideMark/>
          </w:tcPr>
          <w:p w14:paraId="63B60D93"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3</w:t>
            </w:r>
          </w:p>
        </w:tc>
        <w:tc>
          <w:tcPr>
            <w:tcW w:w="869" w:type="dxa"/>
            <w:tcBorders>
              <w:top w:val="outset" w:sz="6" w:space="0" w:color="auto"/>
              <w:left w:val="outset" w:sz="6" w:space="0" w:color="auto"/>
              <w:bottom w:val="outset" w:sz="6" w:space="0" w:color="auto"/>
              <w:right w:val="outset" w:sz="6" w:space="0" w:color="auto"/>
            </w:tcBorders>
            <w:vAlign w:val="center"/>
            <w:hideMark/>
          </w:tcPr>
          <w:p w14:paraId="5A33AED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23" w:type="dxa"/>
            <w:tcBorders>
              <w:top w:val="outset" w:sz="6" w:space="0" w:color="auto"/>
              <w:left w:val="outset" w:sz="6" w:space="0" w:color="auto"/>
              <w:bottom w:val="outset" w:sz="6" w:space="0" w:color="auto"/>
              <w:right w:val="outset" w:sz="6" w:space="0" w:color="auto"/>
            </w:tcBorders>
            <w:vAlign w:val="center"/>
            <w:hideMark/>
          </w:tcPr>
          <w:p w14:paraId="0BC78AA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011E2D7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916" w:type="dxa"/>
            <w:tcBorders>
              <w:top w:val="outset" w:sz="6" w:space="0" w:color="auto"/>
              <w:left w:val="outset" w:sz="6" w:space="0" w:color="auto"/>
              <w:bottom w:val="outset" w:sz="6" w:space="0" w:color="auto"/>
              <w:right w:val="outset" w:sz="6" w:space="0" w:color="auto"/>
            </w:tcBorders>
            <w:vAlign w:val="center"/>
            <w:hideMark/>
          </w:tcPr>
          <w:p w14:paraId="7DC3D69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w:t>
            </w:r>
          </w:p>
        </w:tc>
        <w:tc>
          <w:tcPr>
            <w:tcW w:w="869" w:type="dxa"/>
            <w:tcBorders>
              <w:top w:val="outset" w:sz="6" w:space="0" w:color="auto"/>
              <w:left w:val="outset" w:sz="6" w:space="0" w:color="auto"/>
              <w:bottom w:val="outset" w:sz="6" w:space="0" w:color="auto"/>
              <w:right w:val="outset" w:sz="6" w:space="0" w:color="auto"/>
            </w:tcBorders>
            <w:vAlign w:val="center"/>
            <w:hideMark/>
          </w:tcPr>
          <w:p w14:paraId="5D0B87CA"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20</w:t>
            </w:r>
          </w:p>
        </w:tc>
        <w:tc>
          <w:tcPr>
            <w:tcW w:w="947" w:type="dxa"/>
            <w:tcBorders>
              <w:top w:val="outset" w:sz="6" w:space="0" w:color="auto"/>
              <w:left w:val="outset" w:sz="6" w:space="0" w:color="auto"/>
              <w:bottom w:val="outset" w:sz="6" w:space="0" w:color="auto"/>
              <w:right w:val="outset" w:sz="6" w:space="0" w:color="auto"/>
            </w:tcBorders>
            <w:vAlign w:val="center"/>
            <w:hideMark/>
          </w:tcPr>
          <w:p w14:paraId="1E653337"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57</w:t>
            </w:r>
          </w:p>
        </w:tc>
        <w:tc>
          <w:tcPr>
            <w:tcW w:w="596" w:type="dxa"/>
            <w:tcBorders>
              <w:top w:val="outset" w:sz="6" w:space="0" w:color="auto"/>
              <w:left w:val="outset" w:sz="6" w:space="0" w:color="auto"/>
              <w:bottom w:val="outset" w:sz="6" w:space="0" w:color="auto"/>
              <w:right w:val="outset" w:sz="6" w:space="0" w:color="auto"/>
            </w:tcBorders>
            <w:vAlign w:val="center"/>
            <w:hideMark/>
          </w:tcPr>
          <w:p w14:paraId="2B6A8ED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82</w:t>
            </w:r>
          </w:p>
        </w:tc>
        <w:tc>
          <w:tcPr>
            <w:tcW w:w="992" w:type="dxa"/>
            <w:tcBorders>
              <w:top w:val="outset" w:sz="6" w:space="0" w:color="auto"/>
              <w:left w:val="outset" w:sz="6" w:space="0" w:color="auto"/>
              <w:bottom w:val="outset" w:sz="6" w:space="0" w:color="auto"/>
              <w:right w:val="outset" w:sz="6" w:space="0" w:color="auto"/>
            </w:tcBorders>
            <w:vAlign w:val="center"/>
            <w:hideMark/>
          </w:tcPr>
          <w:p w14:paraId="31F76B82"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173</w:t>
            </w:r>
          </w:p>
        </w:tc>
      </w:tr>
      <w:tr w:rsidR="0026114A" w:rsidRPr="005432E1" w14:paraId="448679BB" w14:textId="77777777" w:rsidTr="00756D40">
        <w:trPr>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hideMark/>
          </w:tcPr>
          <w:p w14:paraId="7BEDAA82" w14:textId="77777777" w:rsidR="001E239A" w:rsidRPr="005432E1" w:rsidRDefault="001E239A" w:rsidP="00756D40">
            <w:pPr>
              <w:spacing w:before="100" w:beforeAutospacing="1" w:after="100" w:afterAutospacing="1"/>
              <w:rPr>
                <w:rFonts w:asciiTheme="minorHAnsi" w:hAnsiTheme="minorHAnsi"/>
                <w:sz w:val="22"/>
                <w:szCs w:val="22"/>
              </w:rPr>
            </w:pPr>
            <w:r w:rsidRPr="005432E1">
              <w:rPr>
                <w:rFonts w:asciiTheme="minorHAnsi" w:hAnsiTheme="minorHAnsi"/>
                <w:sz w:val="22"/>
                <w:szCs w:val="22"/>
              </w:rPr>
              <w:t>Total (2010-2017)</w:t>
            </w:r>
          </w:p>
        </w:tc>
        <w:tc>
          <w:tcPr>
            <w:tcW w:w="869" w:type="dxa"/>
            <w:tcBorders>
              <w:top w:val="outset" w:sz="6" w:space="0" w:color="auto"/>
              <w:left w:val="outset" w:sz="6" w:space="0" w:color="auto"/>
              <w:bottom w:val="outset" w:sz="6" w:space="0" w:color="auto"/>
              <w:right w:val="outset" w:sz="6" w:space="0" w:color="auto"/>
            </w:tcBorders>
            <w:vAlign w:val="center"/>
            <w:hideMark/>
          </w:tcPr>
          <w:p w14:paraId="67B3449F"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5</w:t>
            </w:r>
          </w:p>
        </w:tc>
        <w:tc>
          <w:tcPr>
            <w:tcW w:w="869" w:type="dxa"/>
            <w:tcBorders>
              <w:top w:val="outset" w:sz="6" w:space="0" w:color="auto"/>
              <w:left w:val="outset" w:sz="6" w:space="0" w:color="auto"/>
              <w:bottom w:val="outset" w:sz="6" w:space="0" w:color="auto"/>
              <w:right w:val="outset" w:sz="6" w:space="0" w:color="auto"/>
            </w:tcBorders>
            <w:vAlign w:val="center"/>
            <w:hideMark/>
          </w:tcPr>
          <w:p w14:paraId="635C6A4A"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w:t>
            </w:r>
          </w:p>
        </w:tc>
        <w:tc>
          <w:tcPr>
            <w:tcW w:w="823" w:type="dxa"/>
            <w:tcBorders>
              <w:top w:val="outset" w:sz="6" w:space="0" w:color="auto"/>
              <w:left w:val="outset" w:sz="6" w:space="0" w:color="auto"/>
              <w:bottom w:val="outset" w:sz="6" w:space="0" w:color="auto"/>
              <w:right w:val="outset" w:sz="6" w:space="0" w:color="auto"/>
            </w:tcBorders>
            <w:vAlign w:val="center"/>
            <w:hideMark/>
          </w:tcPr>
          <w:p w14:paraId="6B66939D"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5939DC1B"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w:t>
            </w:r>
          </w:p>
        </w:tc>
        <w:tc>
          <w:tcPr>
            <w:tcW w:w="916" w:type="dxa"/>
            <w:tcBorders>
              <w:top w:val="outset" w:sz="6" w:space="0" w:color="auto"/>
              <w:left w:val="outset" w:sz="6" w:space="0" w:color="auto"/>
              <w:bottom w:val="outset" w:sz="6" w:space="0" w:color="auto"/>
              <w:right w:val="outset" w:sz="6" w:space="0" w:color="auto"/>
            </w:tcBorders>
            <w:vAlign w:val="center"/>
            <w:hideMark/>
          </w:tcPr>
          <w:p w14:paraId="1BBDCB35"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7</w:t>
            </w:r>
          </w:p>
        </w:tc>
        <w:tc>
          <w:tcPr>
            <w:tcW w:w="869" w:type="dxa"/>
            <w:tcBorders>
              <w:top w:val="outset" w:sz="6" w:space="0" w:color="auto"/>
              <w:left w:val="outset" w:sz="6" w:space="0" w:color="auto"/>
              <w:bottom w:val="outset" w:sz="6" w:space="0" w:color="auto"/>
              <w:right w:val="outset" w:sz="6" w:space="0" w:color="auto"/>
            </w:tcBorders>
            <w:vAlign w:val="center"/>
            <w:hideMark/>
          </w:tcPr>
          <w:p w14:paraId="5B296A19"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27</w:t>
            </w:r>
          </w:p>
        </w:tc>
        <w:tc>
          <w:tcPr>
            <w:tcW w:w="947" w:type="dxa"/>
            <w:tcBorders>
              <w:top w:val="outset" w:sz="6" w:space="0" w:color="auto"/>
              <w:left w:val="outset" w:sz="6" w:space="0" w:color="auto"/>
              <w:bottom w:val="outset" w:sz="6" w:space="0" w:color="auto"/>
              <w:right w:val="outset" w:sz="6" w:space="0" w:color="auto"/>
            </w:tcBorders>
            <w:vAlign w:val="center"/>
            <w:hideMark/>
          </w:tcPr>
          <w:p w14:paraId="5ED8239C"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66</w:t>
            </w:r>
          </w:p>
        </w:tc>
        <w:tc>
          <w:tcPr>
            <w:tcW w:w="596" w:type="dxa"/>
            <w:tcBorders>
              <w:top w:val="outset" w:sz="6" w:space="0" w:color="auto"/>
              <w:left w:val="outset" w:sz="6" w:space="0" w:color="auto"/>
              <w:bottom w:val="outset" w:sz="6" w:space="0" w:color="auto"/>
              <w:right w:val="outset" w:sz="6" w:space="0" w:color="auto"/>
            </w:tcBorders>
            <w:vAlign w:val="center"/>
            <w:hideMark/>
          </w:tcPr>
          <w:p w14:paraId="24DB1268"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92</w:t>
            </w:r>
          </w:p>
        </w:tc>
        <w:tc>
          <w:tcPr>
            <w:tcW w:w="992" w:type="dxa"/>
            <w:tcBorders>
              <w:top w:val="outset" w:sz="6" w:space="0" w:color="auto"/>
              <w:left w:val="outset" w:sz="6" w:space="0" w:color="auto"/>
              <w:bottom w:val="outset" w:sz="6" w:space="0" w:color="auto"/>
              <w:right w:val="outset" w:sz="6" w:space="0" w:color="auto"/>
            </w:tcBorders>
            <w:vAlign w:val="center"/>
            <w:hideMark/>
          </w:tcPr>
          <w:p w14:paraId="035DE77E" w14:textId="77777777" w:rsidR="001E239A" w:rsidRPr="005432E1" w:rsidRDefault="001E239A" w:rsidP="00756D40">
            <w:pPr>
              <w:spacing w:before="100" w:beforeAutospacing="1" w:after="100" w:afterAutospacing="1"/>
              <w:jc w:val="center"/>
              <w:rPr>
                <w:rFonts w:asciiTheme="minorHAnsi" w:hAnsiTheme="minorHAnsi"/>
                <w:sz w:val="22"/>
                <w:szCs w:val="22"/>
              </w:rPr>
            </w:pPr>
            <w:r w:rsidRPr="005432E1">
              <w:rPr>
                <w:rFonts w:asciiTheme="minorHAnsi" w:hAnsiTheme="minorHAnsi"/>
                <w:sz w:val="22"/>
                <w:szCs w:val="22"/>
              </w:rPr>
              <w:t>209</w:t>
            </w:r>
          </w:p>
        </w:tc>
      </w:tr>
    </w:tbl>
    <w:p w14:paraId="75F8D42C" w14:textId="77777777" w:rsidR="001E239A" w:rsidRPr="005432E1" w:rsidRDefault="001E239A" w:rsidP="00B0578A">
      <w:pPr>
        <w:spacing w:after="100" w:afterAutospacing="1"/>
        <w:rPr>
          <w:rFonts w:asciiTheme="minorHAnsi" w:hAnsiTheme="minorHAnsi"/>
          <w:sz w:val="20"/>
          <w:szCs w:val="20"/>
        </w:rPr>
      </w:pPr>
      <w:r w:rsidRPr="005432E1">
        <w:rPr>
          <w:rFonts w:asciiTheme="minorHAnsi" w:hAnsiTheme="minorHAnsi"/>
          <w:sz w:val="20"/>
          <w:szCs w:val="20"/>
        </w:rPr>
        <w:t>Fonte: CODIV/STN/MF.</w:t>
      </w:r>
    </w:p>
    <w:p w14:paraId="65F082A2"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Cabe informar que a concessão de garantias pela União tem como contrapartida a vinculação, pelo tomador de crédito, de contragarantias em valor suficiente para cobertura dos compromissos financeiros assumidos, conforme previsto em lei. Dessa forma, sempre que a União honra compromissos de outrem em decorrência de garantias por ela oferecidas, são acionadas as contragarantias correspondentes visando a recuperação dos valores dispendidos na operação. Além do valor original devido, são incluídos juros de mora, multas e outros encargos eventualmente previstos nos contratos de financiamento. As contragarantias vinculadas, previstas nos contratos de contragarantia, podem ser, entre outras: Cotas do Fundo de Participação dos Estados – FPE; Fundo de Participação dos Municípios – FPM; além do fluxo de outras receitas próprias do ente da federação.</w:t>
      </w:r>
    </w:p>
    <w:p w14:paraId="56D07B5C"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Com a adesão do Estado do Rio de Janeiro ao Regime de Recuperação Fiscal - instituído pela Lei Complementar nº 159/2017 e homologado em 5 de setembro de 2017 – a recuperação das contragarantias de honras realizadas pela União em parcelas inadimplidas pelo estado passou a estar bloqueada. De acordo com o art. 17 da referida lei, o montante honrado e não recuperado irá compor saldo de conta gráfica, que será capitalizado e cobrado apenas depois de 36 meses.</w:t>
      </w:r>
    </w:p>
    <w:p w14:paraId="17195197" w14:textId="77777777" w:rsidR="001E239A" w:rsidRPr="005432E1" w:rsidRDefault="001E239A" w:rsidP="001E239A">
      <w:pPr>
        <w:spacing w:before="100" w:beforeAutospacing="1" w:after="100" w:afterAutospacing="1"/>
        <w:jc w:val="both"/>
        <w:rPr>
          <w:rFonts w:asciiTheme="minorHAnsi" w:hAnsiTheme="minorHAnsi"/>
        </w:rPr>
      </w:pPr>
      <w:r w:rsidRPr="005432E1">
        <w:rPr>
          <w:rFonts w:asciiTheme="minorHAnsi" w:hAnsiTheme="minorHAnsi"/>
        </w:rPr>
        <w:tab/>
        <w:t>Na tabela abaixo, são apresentadas as estimativas do total a ser honrado pela União, ao longo de 2018 e de 2019, em contratos garantidos.</w:t>
      </w:r>
    </w:p>
    <w:p w14:paraId="415BC72D" w14:textId="060196C9" w:rsidR="001E239A" w:rsidRPr="005432E1" w:rsidRDefault="006264C0" w:rsidP="001E239A">
      <w:pPr>
        <w:spacing w:before="100" w:beforeAutospacing="1" w:after="100" w:afterAutospacing="1"/>
        <w:jc w:val="center"/>
        <w:rPr>
          <w:rFonts w:asciiTheme="minorHAnsi" w:hAnsiTheme="minorHAnsi"/>
        </w:rPr>
      </w:pPr>
      <w:r w:rsidRPr="005432E1">
        <w:rPr>
          <w:rFonts w:asciiTheme="minorHAnsi" w:hAnsiTheme="minorHAnsi"/>
          <w:b/>
          <w:bCs/>
        </w:rPr>
        <w:t>Tabela 1</w:t>
      </w:r>
      <w:r w:rsidR="002D3845" w:rsidRPr="005432E1">
        <w:rPr>
          <w:rFonts w:asciiTheme="minorHAnsi" w:hAnsiTheme="minorHAnsi"/>
          <w:b/>
          <w:bCs/>
        </w:rPr>
        <w:t>9</w:t>
      </w:r>
      <w:r w:rsidR="001E239A" w:rsidRPr="005432E1">
        <w:rPr>
          <w:rFonts w:asciiTheme="minorHAnsi" w:hAnsiTheme="minorHAnsi"/>
          <w:b/>
          <w:bCs/>
        </w:rPr>
        <w:t xml:space="preserve"> - Previsão dos fluxos financeiros das dívida</w:t>
      </w:r>
      <w:r w:rsidR="001E1775" w:rsidRPr="005432E1">
        <w:rPr>
          <w:rFonts w:asciiTheme="minorHAnsi" w:hAnsiTheme="minorHAnsi"/>
          <w:b/>
          <w:bCs/>
        </w:rPr>
        <w:t>s garantidas pela União (</w:t>
      </w:r>
      <w:r w:rsidR="001E239A" w:rsidRPr="005432E1">
        <w:rPr>
          <w:rFonts w:asciiTheme="minorHAnsi" w:hAnsiTheme="minorHAnsi"/>
          <w:b/>
          <w:bCs/>
        </w:rPr>
        <w:t>em R$ milhões)</w:t>
      </w:r>
    </w:p>
    <w:tbl>
      <w:tblPr>
        <w:tblW w:w="8595" w:type="dxa"/>
        <w:tblCellSpacing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2310"/>
        <w:gridCol w:w="2535"/>
      </w:tblGrid>
      <w:tr w:rsidR="0026114A" w:rsidRPr="005432E1" w14:paraId="392AD6BF" w14:textId="77777777" w:rsidTr="00756D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4E176" w14:textId="77777777" w:rsidR="001E239A" w:rsidRPr="005432E1" w:rsidRDefault="001E239A" w:rsidP="00756D40">
            <w:pPr>
              <w:spacing w:before="100" w:beforeAutospacing="1" w:after="100" w:afterAutospacing="1"/>
              <w:rPr>
                <w:rFonts w:asciiTheme="minorHAnsi" w:hAnsiTheme="minorHAnsi"/>
              </w:rPr>
            </w:pPr>
          </w:p>
        </w:tc>
        <w:tc>
          <w:tcPr>
            <w:tcW w:w="2310" w:type="dxa"/>
            <w:tcBorders>
              <w:top w:val="outset" w:sz="6" w:space="0" w:color="auto"/>
              <w:left w:val="outset" w:sz="6" w:space="0" w:color="auto"/>
              <w:bottom w:val="outset" w:sz="6" w:space="0" w:color="auto"/>
              <w:right w:val="outset" w:sz="6" w:space="0" w:color="auto"/>
            </w:tcBorders>
            <w:vAlign w:val="center"/>
            <w:hideMark/>
          </w:tcPr>
          <w:p w14:paraId="657A5D15"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2018</w:t>
            </w:r>
          </w:p>
        </w:tc>
        <w:tc>
          <w:tcPr>
            <w:tcW w:w="2535" w:type="dxa"/>
            <w:tcBorders>
              <w:top w:val="outset" w:sz="6" w:space="0" w:color="auto"/>
              <w:left w:val="outset" w:sz="6" w:space="0" w:color="auto"/>
              <w:bottom w:val="outset" w:sz="6" w:space="0" w:color="auto"/>
              <w:right w:val="outset" w:sz="6" w:space="0" w:color="auto"/>
            </w:tcBorders>
            <w:vAlign w:val="center"/>
            <w:hideMark/>
          </w:tcPr>
          <w:p w14:paraId="2251DA27"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b/>
                <w:bCs/>
              </w:rPr>
              <w:t>2019</w:t>
            </w:r>
          </w:p>
        </w:tc>
      </w:tr>
      <w:tr w:rsidR="0026114A" w:rsidRPr="005432E1" w14:paraId="2A205A05" w14:textId="77777777" w:rsidTr="00756D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D294A" w14:textId="77777777" w:rsidR="001E239A" w:rsidRPr="005432E1" w:rsidRDefault="001E239A" w:rsidP="00756D40">
            <w:pPr>
              <w:spacing w:before="100" w:beforeAutospacing="1" w:after="100" w:afterAutospacing="1"/>
              <w:rPr>
                <w:rFonts w:asciiTheme="minorHAnsi" w:hAnsiTheme="minorHAnsi"/>
              </w:rPr>
            </w:pPr>
            <w:r w:rsidRPr="005432E1">
              <w:rPr>
                <w:rFonts w:asciiTheme="minorHAnsi" w:hAnsiTheme="minorHAnsi"/>
              </w:rPr>
              <w:t>Fluxo previsto para o ano</w:t>
            </w:r>
          </w:p>
        </w:tc>
        <w:tc>
          <w:tcPr>
            <w:tcW w:w="2310" w:type="dxa"/>
            <w:tcBorders>
              <w:top w:val="outset" w:sz="6" w:space="0" w:color="auto"/>
              <w:left w:val="outset" w:sz="6" w:space="0" w:color="auto"/>
              <w:bottom w:val="outset" w:sz="6" w:space="0" w:color="auto"/>
              <w:right w:val="outset" w:sz="6" w:space="0" w:color="auto"/>
            </w:tcBorders>
            <w:vAlign w:val="center"/>
            <w:hideMark/>
          </w:tcPr>
          <w:p w14:paraId="4BA5D5CC"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4.436,05</w:t>
            </w:r>
          </w:p>
        </w:tc>
        <w:tc>
          <w:tcPr>
            <w:tcW w:w="2535" w:type="dxa"/>
            <w:tcBorders>
              <w:top w:val="outset" w:sz="6" w:space="0" w:color="auto"/>
              <w:left w:val="outset" w:sz="6" w:space="0" w:color="auto"/>
              <w:bottom w:val="outset" w:sz="6" w:space="0" w:color="auto"/>
              <w:right w:val="outset" w:sz="6" w:space="0" w:color="auto"/>
            </w:tcBorders>
            <w:vAlign w:val="center"/>
            <w:hideMark/>
          </w:tcPr>
          <w:p w14:paraId="3407CBC0" w14:textId="77777777" w:rsidR="001E239A" w:rsidRPr="005432E1" w:rsidRDefault="001E239A" w:rsidP="00756D40">
            <w:pPr>
              <w:spacing w:before="100" w:beforeAutospacing="1" w:after="100" w:afterAutospacing="1"/>
              <w:jc w:val="center"/>
              <w:rPr>
                <w:rFonts w:asciiTheme="minorHAnsi" w:hAnsiTheme="minorHAnsi"/>
              </w:rPr>
            </w:pPr>
            <w:r w:rsidRPr="005432E1">
              <w:rPr>
                <w:rFonts w:asciiTheme="minorHAnsi" w:hAnsiTheme="minorHAnsi"/>
              </w:rPr>
              <w:t>4.504,94</w:t>
            </w:r>
          </w:p>
        </w:tc>
      </w:tr>
    </w:tbl>
    <w:p w14:paraId="362A406B" w14:textId="4D5BC8B1" w:rsidR="00F85992" w:rsidRPr="005432E1" w:rsidRDefault="00B0578A" w:rsidP="00B0578A">
      <w:pPr>
        <w:spacing w:after="100" w:afterAutospacing="1"/>
        <w:rPr>
          <w:rFonts w:asciiTheme="minorHAnsi" w:hAnsiTheme="minorHAnsi"/>
          <w:sz w:val="20"/>
          <w:szCs w:val="20"/>
        </w:rPr>
      </w:pPr>
      <w:r w:rsidRPr="005432E1">
        <w:rPr>
          <w:rFonts w:asciiTheme="minorHAnsi" w:hAnsiTheme="minorHAnsi"/>
          <w:sz w:val="20"/>
          <w:szCs w:val="20"/>
        </w:rPr>
        <w:t xml:space="preserve"> </w:t>
      </w:r>
      <w:r w:rsidR="00F85992" w:rsidRPr="005432E1">
        <w:rPr>
          <w:rFonts w:asciiTheme="minorHAnsi" w:hAnsiTheme="minorHAnsi"/>
          <w:sz w:val="20"/>
          <w:szCs w:val="20"/>
        </w:rPr>
        <w:t>Fonte: CODIV/STN.</w:t>
      </w:r>
    </w:p>
    <w:p w14:paraId="0DF6111B" w14:textId="77777777" w:rsidR="007D4A3A" w:rsidRPr="005432E1" w:rsidRDefault="007D4A3A" w:rsidP="00F85992">
      <w:pPr>
        <w:spacing w:before="100" w:beforeAutospacing="1" w:after="100" w:afterAutospacing="1"/>
        <w:rPr>
          <w:rFonts w:asciiTheme="minorHAnsi" w:hAnsiTheme="minorHAnsi"/>
        </w:rPr>
      </w:pPr>
      <w:r w:rsidRPr="005432E1">
        <w:rPr>
          <w:rFonts w:asciiTheme="minorHAnsi" w:hAnsiTheme="minorHAnsi"/>
          <w:sz w:val="20"/>
          <w:szCs w:val="20"/>
        </w:rPr>
        <w:tab/>
      </w:r>
      <w:r w:rsidRPr="005432E1">
        <w:rPr>
          <w:rFonts w:asciiTheme="minorHAnsi" w:hAnsiTheme="minorHAnsi"/>
        </w:rPr>
        <w:t>Dessa forma, o impacto dessas operações de honra das garantias nas estatísticas fiscais é financeiro sobre o endividamento público.</w:t>
      </w:r>
    </w:p>
    <w:p w14:paraId="33FAF02F" w14:textId="77777777" w:rsidR="0062256D" w:rsidRPr="005432E1" w:rsidRDefault="0062256D" w:rsidP="00F85992">
      <w:pPr>
        <w:spacing w:before="100" w:beforeAutospacing="1" w:after="100" w:afterAutospacing="1"/>
        <w:rPr>
          <w:rFonts w:asciiTheme="minorHAnsi" w:hAnsiTheme="minorHAnsi"/>
          <w:sz w:val="20"/>
          <w:szCs w:val="20"/>
        </w:rPr>
      </w:pPr>
      <w:r w:rsidRPr="005432E1">
        <w:rPr>
          <w:rFonts w:asciiTheme="minorHAnsi" w:hAnsiTheme="minorHAnsi"/>
          <w:b/>
        </w:rPr>
        <w:t>Operações de Seguro de Crédito à Exportação – SCE, ao amparo do Fundo de Garantia às Exportações - FGE</w:t>
      </w:r>
    </w:p>
    <w:p w14:paraId="3CDCF778" w14:textId="77777777" w:rsidR="0062256D" w:rsidRPr="005432E1" w:rsidRDefault="0062256D" w:rsidP="006F4AC5">
      <w:pPr>
        <w:ind w:firstLine="708"/>
        <w:jc w:val="both"/>
        <w:rPr>
          <w:rFonts w:asciiTheme="minorHAnsi" w:hAnsiTheme="minorHAnsi"/>
        </w:rPr>
      </w:pPr>
      <w:r w:rsidRPr="005432E1">
        <w:rPr>
          <w:rFonts w:asciiTheme="minorHAnsi" w:hAnsiTheme="minorHAnsi"/>
        </w:rPr>
        <w:t>O SCE tem a finalidade de garantir as operações de crédito à exportação contra os riscos comerciais, políticos e extraordinários que possam afetar:</w:t>
      </w:r>
    </w:p>
    <w:p w14:paraId="040E7982" w14:textId="77777777" w:rsidR="0062256D" w:rsidRPr="005432E1" w:rsidRDefault="0062256D" w:rsidP="006F4AC5">
      <w:pPr>
        <w:ind w:firstLine="708"/>
        <w:jc w:val="both"/>
        <w:rPr>
          <w:rFonts w:asciiTheme="minorHAnsi" w:hAnsiTheme="minorHAnsi"/>
        </w:rPr>
      </w:pPr>
    </w:p>
    <w:p w14:paraId="3A582B92" w14:textId="77777777" w:rsidR="0062256D" w:rsidRPr="005432E1" w:rsidRDefault="0062256D" w:rsidP="006F4AC5">
      <w:pPr>
        <w:ind w:firstLine="708"/>
        <w:jc w:val="both"/>
        <w:rPr>
          <w:rFonts w:asciiTheme="minorHAnsi" w:hAnsiTheme="minorHAnsi"/>
        </w:rPr>
      </w:pPr>
      <w:r w:rsidRPr="005432E1">
        <w:rPr>
          <w:rFonts w:asciiTheme="minorHAnsi" w:hAnsiTheme="minorHAnsi"/>
        </w:rPr>
        <w:t>I - A produção de bens e a prestação de serviços destinados à exportação brasileira; e</w:t>
      </w:r>
    </w:p>
    <w:p w14:paraId="638C547B" w14:textId="77777777" w:rsidR="0062256D" w:rsidRPr="005432E1" w:rsidRDefault="0062256D" w:rsidP="006F4AC5">
      <w:pPr>
        <w:ind w:firstLine="708"/>
        <w:jc w:val="both"/>
        <w:rPr>
          <w:rFonts w:asciiTheme="minorHAnsi" w:hAnsiTheme="minorHAnsi"/>
        </w:rPr>
      </w:pPr>
    </w:p>
    <w:p w14:paraId="1991E7B9" w14:textId="77777777" w:rsidR="0062256D" w:rsidRPr="005432E1" w:rsidRDefault="0062256D" w:rsidP="006F4AC5">
      <w:pPr>
        <w:ind w:firstLine="708"/>
        <w:jc w:val="both"/>
        <w:rPr>
          <w:rFonts w:asciiTheme="minorHAnsi" w:hAnsiTheme="minorHAnsi"/>
        </w:rPr>
      </w:pPr>
      <w:r w:rsidRPr="005432E1">
        <w:rPr>
          <w:rFonts w:asciiTheme="minorHAnsi" w:hAnsiTheme="minorHAnsi"/>
        </w:rPr>
        <w:t>II - As exportações brasileiras de bens e serviços.</w:t>
      </w:r>
    </w:p>
    <w:p w14:paraId="0D737369" w14:textId="77777777" w:rsidR="0062256D" w:rsidRPr="005432E1" w:rsidRDefault="0062256D" w:rsidP="006F4AC5">
      <w:pPr>
        <w:ind w:firstLine="708"/>
        <w:jc w:val="both"/>
        <w:rPr>
          <w:rFonts w:asciiTheme="minorHAnsi" w:hAnsiTheme="minorHAnsi"/>
        </w:rPr>
      </w:pPr>
    </w:p>
    <w:p w14:paraId="211F3666" w14:textId="77777777" w:rsidR="0062256D" w:rsidRPr="005432E1" w:rsidRDefault="0062256D" w:rsidP="006F4AC5">
      <w:pPr>
        <w:spacing w:after="240"/>
        <w:ind w:firstLine="709"/>
        <w:jc w:val="both"/>
        <w:rPr>
          <w:rFonts w:asciiTheme="minorHAnsi" w:hAnsiTheme="minorHAnsi"/>
        </w:rPr>
      </w:pPr>
      <w:r w:rsidRPr="005432E1">
        <w:rPr>
          <w:rFonts w:asciiTheme="minorHAnsi" w:hAnsiTheme="minorHAnsi"/>
        </w:rPr>
        <w:t xml:space="preserve">O SCE poderá ser utilizado por exportadores e instituições financeiras que financiarem ou refinanciarem a produção de bens e a prestação de serviços destinados à exportação brasileira, bem como as exportações brasileiras de bens e serviços. </w:t>
      </w:r>
    </w:p>
    <w:p w14:paraId="4576A3D2" w14:textId="77777777" w:rsidR="0062256D" w:rsidRPr="005432E1" w:rsidRDefault="0062256D" w:rsidP="006F4AC5">
      <w:pPr>
        <w:spacing w:after="240"/>
        <w:ind w:firstLine="709"/>
        <w:jc w:val="both"/>
        <w:rPr>
          <w:rFonts w:asciiTheme="minorHAnsi" w:hAnsiTheme="minorHAnsi"/>
        </w:rPr>
      </w:pPr>
      <w:r w:rsidRPr="005432E1">
        <w:rPr>
          <w:rFonts w:asciiTheme="minorHAnsi" w:hAnsiTheme="minorHAnsi"/>
        </w:rPr>
        <w:t>De acordo com a Lei nº 11.281</w:t>
      </w:r>
      <w:r w:rsidR="00601704" w:rsidRPr="005432E1">
        <w:rPr>
          <w:rFonts w:asciiTheme="minorHAnsi" w:hAnsiTheme="minorHAnsi"/>
        </w:rPr>
        <w:t xml:space="preserve"> </w:t>
      </w:r>
      <w:r w:rsidRPr="005432E1">
        <w:rPr>
          <w:rFonts w:asciiTheme="minorHAnsi" w:hAnsiTheme="minorHAnsi"/>
        </w:rPr>
        <w:t>de 20</w:t>
      </w:r>
      <w:r w:rsidR="00601704" w:rsidRPr="005432E1">
        <w:rPr>
          <w:rFonts w:asciiTheme="minorHAnsi" w:hAnsiTheme="minorHAnsi"/>
        </w:rPr>
        <w:t xml:space="preserve"> de fevereiro de </w:t>
      </w:r>
      <w:r w:rsidRPr="005432E1">
        <w:rPr>
          <w:rFonts w:asciiTheme="minorHAnsi" w:hAnsiTheme="minorHAnsi"/>
        </w:rPr>
        <w:t>2006, a União poderá, por intermédio do Ministério da Fazenda, conceder garantia da cobertura dos riscos comerciais e dos riscos políticos e extraordinários assumidos em virtude do SCE e contratar instituição habilitada a operar o SCE para a execução de todos os serviços a ele relacionados, inclusive análise, acompanhamento, gestão das operações de prestação de garantia e de recuperação de créditos sinistrados.</w:t>
      </w:r>
    </w:p>
    <w:p w14:paraId="7377950A" w14:textId="77777777" w:rsidR="00F53F7B" w:rsidRPr="005432E1" w:rsidRDefault="00F53F7B" w:rsidP="00F53F7B">
      <w:pPr>
        <w:spacing w:after="240"/>
        <w:ind w:firstLine="709"/>
        <w:jc w:val="both"/>
        <w:rPr>
          <w:rFonts w:asciiTheme="minorHAnsi" w:hAnsiTheme="minorHAnsi"/>
        </w:rPr>
      </w:pPr>
      <w:r w:rsidRPr="005432E1">
        <w:rPr>
          <w:rFonts w:asciiTheme="minorHAnsi" w:hAnsiTheme="minorHAnsi"/>
        </w:rPr>
        <w:t>A Portaria do Ministro de Estado da Fazenda nº 256, de 11.05.2015, delegou competência à Secretaria de Assuntos Internacionais – SAIN/MF para autorizar a garantia de cobertura do Seguro de Crédito à Exportação, ao amparo do FGE.</w:t>
      </w:r>
    </w:p>
    <w:p w14:paraId="4D9D9419" w14:textId="21D6E9D0" w:rsidR="00FA1D4F" w:rsidRPr="005432E1" w:rsidRDefault="00FA1D4F" w:rsidP="00FA1D4F">
      <w:pPr>
        <w:jc w:val="both"/>
        <w:rPr>
          <w:rFonts w:asciiTheme="minorHAnsi" w:hAnsiTheme="minorHAnsi"/>
          <w:b/>
          <w:bCs/>
        </w:rPr>
      </w:pPr>
      <w:r w:rsidRPr="005432E1">
        <w:rPr>
          <w:rFonts w:asciiTheme="minorHAnsi" w:hAnsiTheme="minorHAnsi"/>
        </w:rPr>
        <w:tab/>
      </w:r>
      <w:r w:rsidR="00704AA0" w:rsidRPr="005432E1">
        <w:rPr>
          <w:rFonts w:asciiTheme="minorHAnsi" w:hAnsiTheme="minorHAnsi"/>
        </w:rPr>
        <w:t xml:space="preserve">De janeiro de 2004 a dezembro de 2017, o montante de operações aprovadas com cobertura do FGE </w:t>
      </w:r>
      <w:r w:rsidRPr="005432E1">
        <w:rPr>
          <w:rFonts w:asciiTheme="minorHAnsi" w:hAnsiTheme="minorHAnsi"/>
        </w:rPr>
        <w:t>t</w:t>
      </w:r>
      <w:r w:rsidR="00704AA0" w:rsidRPr="005432E1">
        <w:rPr>
          <w:rFonts w:asciiTheme="minorHAnsi" w:hAnsiTheme="minorHAnsi"/>
        </w:rPr>
        <w:t>otalizo</w:t>
      </w:r>
      <w:r w:rsidR="002D3845" w:rsidRPr="005432E1">
        <w:rPr>
          <w:rFonts w:asciiTheme="minorHAnsi" w:hAnsiTheme="minorHAnsi"/>
        </w:rPr>
        <w:t>u US$ 68,8</w:t>
      </w:r>
      <w:r w:rsidR="00704AA0" w:rsidRPr="005432E1">
        <w:rPr>
          <w:rFonts w:asciiTheme="minorHAnsi" w:hAnsiTheme="minorHAnsi"/>
        </w:rPr>
        <w:t xml:space="preserve"> bilhões, de acordo com a Tabela </w:t>
      </w:r>
      <w:r w:rsidR="002D3845" w:rsidRPr="005432E1">
        <w:rPr>
          <w:rFonts w:asciiTheme="minorHAnsi" w:hAnsiTheme="minorHAnsi"/>
        </w:rPr>
        <w:t>20</w:t>
      </w:r>
      <w:r w:rsidR="00704AA0" w:rsidRPr="005432E1">
        <w:rPr>
          <w:rFonts w:asciiTheme="minorHAnsi" w:hAnsiTheme="minorHAnsi"/>
        </w:rPr>
        <w:t>.</w:t>
      </w:r>
      <w:r w:rsidRPr="005432E1">
        <w:rPr>
          <w:rFonts w:asciiTheme="minorHAnsi" w:hAnsiTheme="minorHAnsi"/>
          <w:b/>
          <w:bCs/>
        </w:rPr>
        <w:t xml:space="preserve"> </w:t>
      </w:r>
    </w:p>
    <w:p w14:paraId="3147597A" w14:textId="77777777" w:rsidR="00FA1D4F" w:rsidRPr="005432E1" w:rsidRDefault="00FA1D4F" w:rsidP="00FA1D4F">
      <w:pPr>
        <w:jc w:val="center"/>
        <w:rPr>
          <w:rFonts w:asciiTheme="minorHAnsi" w:hAnsiTheme="minorHAnsi"/>
          <w:b/>
          <w:bCs/>
        </w:rPr>
      </w:pPr>
    </w:p>
    <w:p w14:paraId="552F0CA2" w14:textId="77777777" w:rsidR="00B0578A" w:rsidRPr="005432E1" w:rsidRDefault="00B0578A" w:rsidP="00FA1D4F">
      <w:pPr>
        <w:jc w:val="center"/>
        <w:rPr>
          <w:rFonts w:asciiTheme="minorHAnsi" w:hAnsiTheme="minorHAnsi"/>
          <w:b/>
          <w:bCs/>
        </w:rPr>
      </w:pPr>
    </w:p>
    <w:p w14:paraId="090496FE" w14:textId="77777777" w:rsidR="00B0578A" w:rsidRPr="005432E1" w:rsidRDefault="00B0578A" w:rsidP="00FA1D4F">
      <w:pPr>
        <w:jc w:val="center"/>
        <w:rPr>
          <w:rFonts w:asciiTheme="minorHAnsi" w:hAnsiTheme="minorHAnsi"/>
          <w:b/>
          <w:bCs/>
        </w:rPr>
      </w:pPr>
    </w:p>
    <w:p w14:paraId="10215695" w14:textId="77777777" w:rsidR="00B0578A" w:rsidRPr="005432E1" w:rsidRDefault="00B0578A" w:rsidP="00FA1D4F">
      <w:pPr>
        <w:jc w:val="center"/>
        <w:rPr>
          <w:rFonts w:asciiTheme="minorHAnsi" w:hAnsiTheme="minorHAnsi"/>
          <w:b/>
          <w:bCs/>
        </w:rPr>
      </w:pPr>
    </w:p>
    <w:p w14:paraId="1940615C" w14:textId="4CD48397" w:rsidR="00FA1D4F" w:rsidRPr="005432E1" w:rsidRDefault="00FA1D4F" w:rsidP="00FA1D4F">
      <w:pPr>
        <w:jc w:val="center"/>
        <w:rPr>
          <w:rFonts w:asciiTheme="minorHAnsi" w:hAnsiTheme="minorHAnsi"/>
          <w:b/>
          <w:bCs/>
        </w:rPr>
      </w:pPr>
      <w:r w:rsidRPr="005432E1">
        <w:rPr>
          <w:rFonts w:asciiTheme="minorHAnsi" w:hAnsiTheme="minorHAnsi"/>
          <w:b/>
          <w:bCs/>
        </w:rPr>
        <w:t xml:space="preserve">Tabela </w:t>
      </w:r>
      <w:r w:rsidR="002D3845" w:rsidRPr="005432E1">
        <w:rPr>
          <w:rFonts w:asciiTheme="minorHAnsi" w:hAnsiTheme="minorHAnsi"/>
          <w:b/>
          <w:bCs/>
        </w:rPr>
        <w:t>20</w:t>
      </w:r>
      <w:r w:rsidRPr="005432E1">
        <w:rPr>
          <w:rFonts w:asciiTheme="minorHAnsi" w:hAnsiTheme="minorHAnsi"/>
          <w:b/>
          <w:bCs/>
        </w:rPr>
        <w:t>: Operações de Seguro de Crédito Lastreadas no FGE - Em US$</w:t>
      </w:r>
    </w:p>
    <w:tbl>
      <w:tblPr>
        <w:tblW w:w="9560" w:type="dxa"/>
        <w:tblCellMar>
          <w:left w:w="70" w:type="dxa"/>
          <w:right w:w="70" w:type="dxa"/>
        </w:tblCellMar>
        <w:tblLook w:val="04A0" w:firstRow="1" w:lastRow="0" w:firstColumn="1" w:lastColumn="0" w:noHBand="0" w:noVBand="1"/>
      </w:tblPr>
      <w:tblGrid>
        <w:gridCol w:w="1720"/>
        <w:gridCol w:w="2560"/>
        <w:gridCol w:w="2660"/>
        <w:gridCol w:w="2620"/>
      </w:tblGrid>
      <w:tr w:rsidR="0026114A" w:rsidRPr="005432E1" w14:paraId="302C5430" w14:textId="77777777" w:rsidTr="00C67A76">
        <w:trPr>
          <w:trHeight w:val="321"/>
        </w:trPr>
        <w:tc>
          <w:tcPr>
            <w:tcW w:w="1720" w:type="dxa"/>
            <w:tcBorders>
              <w:top w:val="single" w:sz="4" w:space="0" w:color="auto"/>
              <w:left w:val="nil"/>
              <w:bottom w:val="single" w:sz="4" w:space="0" w:color="auto"/>
              <w:right w:val="nil"/>
            </w:tcBorders>
            <w:shd w:val="clear" w:color="auto" w:fill="auto"/>
            <w:noWrap/>
            <w:vAlign w:val="center"/>
            <w:hideMark/>
          </w:tcPr>
          <w:p w14:paraId="55E3B733" w14:textId="77777777" w:rsidR="00C54E27" w:rsidRPr="005432E1" w:rsidRDefault="00C54E27">
            <w:pPr>
              <w:jc w:val="center"/>
              <w:rPr>
                <w:rFonts w:asciiTheme="minorHAnsi" w:hAnsiTheme="minorHAnsi"/>
                <w:b/>
                <w:bCs/>
                <w:sz w:val="22"/>
                <w:szCs w:val="22"/>
              </w:rPr>
            </w:pPr>
            <w:r w:rsidRPr="005432E1">
              <w:rPr>
                <w:rFonts w:asciiTheme="minorHAnsi" w:hAnsiTheme="minorHAnsi"/>
                <w:b/>
                <w:bCs/>
                <w:sz w:val="22"/>
                <w:szCs w:val="22"/>
              </w:rPr>
              <w:t>Ano</w:t>
            </w:r>
          </w:p>
        </w:tc>
        <w:tc>
          <w:tcPr>
            <w:tcW w:w="2560" w:type="dxa"/>
            <w:tcBorders>
              <w:top w:val="single" w:sz="4" w:space="0" w:color="auto"/>
              <w:left w:val="nil"/>
              <w:bottom w:val="single" w:sz="4" w:space="0" w:color="auto"/>
              <w:right w:val="nil"/>
            </w:tcBorders>
            <w:shd w:val="clear" w:color="auto" w:fill="auto"/>
            <w:noWrap/>
            <w:vAlign w:val="center"/>
            <w:hideMark/>
          </w:tcPr>
          <w:p w14:paraId="1BF802E3" w14:textId="77777777" w:rsidR="00C54E27" w:rsidRPr="005432E1" w:rsidRDefault="00C54E27">
            <w:pPr>
              <w:jc w:val="center"/>
              <w:rPr>
                <w:rFonts w:asciiTheme="minorHAnsi" w:hAnsiTheme="minorHAnsi"/>
                <w:b/>
                <w:bCs/>
                <w:sz w:val="22"/>
                <w:szCs w:val="22"/>
              </w:rPr>
            </w:pPr>
            <w:r w:rsidRPr="005432E1">
              <w:rPr>
                <w:rFonts w:asciiTheme="minorHAnsi" w:hAnsiTheme="minorHAnsi"/>
                <w:b/>
                <w:bCs/>
                <w:sz w:val="22"/>
                <w:szCs w:val="22"/>
              </w:rPr>
              <w:t>Operações Aprovadas</w:t>
            </w:r>
          </w:p>
        </w:tc>
        <w:tc>
          <w:tcPr>
            <w:tcW w:w="2660" w:type="dxa"/>
            <w:tcBorders>
              <w:top w:val="single" w:sz="4" w:space="0" w:color="auto"/>
              <w:left w:val="nil"/>
              <w:bottom w:val="single" w:sz="4" w:space="0" w:color="auto"/>
              <w:right w:val="nil"/>
            </w:tcBorders>
            <w:shd w:val="clear" w:color="auto" w:fill="auto"/>
            <w:noWrap/>
            <w:vAlign w:val="center"/>
            <w:hideMark/>
          </w:tcPr>
          <w:p w14:paraId="14936C66" w14:textId="77777777" w:rsidR="00C54E27" w:rsidRPr="005432E1" w:rsidRDefault="00C54E27">
            <w:pPr>
              <w:jc w:val="center"/>
              <w:rPr>
                <w:rFonts w:asciiTheme="minorHAnsi" w:hAnsiTheme="minorHAnsi"/>
                <w:b/>
                <w:bCs/>
                <w:sz w:val="22"/>
                <w:szCs w:val="22"/>
              </w:rPr>
            </w:pPr>
            <w:r w:rsidRPr="005432E1">
              <w:rPr>
                <w:rFonts w:asciiTheme="minorHAnsi" w:hAnsiTheme="minorHAnsi"/>
                <w:b/>
                <w:bCs/>
                <w:sz w:val="22"/>
                <w:szCs w:val="22"/>
              </w:rPr>
              <w:t>Operações Concretizadas</w:t>
            </w:r>
          </w:p>
        </w:tc>
        <w:tc>
          <w:tcPr>
            <w:tcW w:w="2620" w:type="dxa"/>
            <w:tcBorders>
              <w:top w:val="single" w:sz="4" w:space="0" w:color="auto"/>
              <w:left w:val="nil"/>
              <w:bottom w:val="single" w:sz="4" w:space="0" w:color="auto"/>
              <w:right w:val="nil"/>
            </w:tcBorders>
            <w:shd w:val="clear" w:color="auto" w:fill="auto"/>
            <w:noWrap/>
            <w:vAlign w:val="center"/>
            <w:hideMark/>
          </w:tcPr>
          <w:p w14:paraId="76B245CA" w14:textId="77777777" w:rsidR="00C54E27" w:rsidRPr="005432E1" w:rsidRDefault="00C54E27">
            <w:pPr>
              <w:jc w:val="center"/>
              <w:rPr>
                <w:rFonts w:asciiTheme="minorHAnsi" w:hAnsiTheme="minorHAnsi"/>
                <w:b/>
                <w:bCs/>
                <w:sz w:val="22"/>
                <w:szCs w:val="22"/>
              </w:rPr>
            </w:pPr>
            <w:r w:rsidRPr="005432E1">
              <w:rPr>
                <w:rFonts w:asciiTheme="minorHAnsi" w:hAnsiTheme="minorHAnsi"/>
                <w:b/>
                <w:bCs/>
                <w:sz w:val="22"/>
                <w:szCs w:val="22"/>
              </w:rPr>
              <w:t>Operações Notificadas*</w:t>
            </w:r>
          </w:p>
        </w:tc>
      </w:tr>
      <w:tr w:rsidR="0026114A" w:rsidRPr="005432E1" w14:paraId="6FCAC03B" w14:textId="77777777" w:rsidTr="00C54E27">
        <w:trPr>
          <w:trHeight w:val="345"/>
        </w:trPr>
        <w:tc>
          <w:tcPr>
            <w:tcW w:w="1720" w:type="dxa"/>
            <w:tcBorders>
              <w:top w:val="nil"/>
              <w:left w:val="nil"/>
              <w:bottom w:val="nil"/>
              <w:right w:val="nil"/>
            </w:tcBorders>
            <w:shd w:val="clear" w:color="auto" w:fill="auto"/>
            <w:noWrap/>
            <w:vAlign w:val="bottom"/>
            <w:hideMark/>
          </w:tcPr>
          <w:p w14:paraId="2FA68E61"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2004</w:t>
            </w:r>
          </w:p>
        </w:tc>
        <w:tc>
          <w:tcPr>
            <w:tcW w:w="2560" w:type="dxa"/>
            <w:tcBorders>
              <w:top w:val="nil"/>
              <w:left w:val="nil"/>
              <w:bottom w:val="nil"/>
              <w:right w:val="nil"/>
            </w:tcBorders>
            <w:shd w:val="clear" w:color="auto" w:fill="auto"/>
            <w:noWrap/>
            <w:vAlign w:val="bottom"/>
            <w:hideMark/>
          </w:tcPr>
          <w:p w14:paraId="23B0EA05"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1.377.128.553 </w:t>
            </w:r>
          </w:p>
        </w:tc>
        <w:tc>
          <w:tcPr>
            <w:tcW w:w="2660" w:type="dxa"/>
            <w:tcBorders>
              <w:top w:val="nil"/>
              <w:left w:val="nil"/>
              <w:bottom w:val="nil"/>
              <w:right w:val="nil"/>
            </w:tcBorders>
            <w:shd w:val="clear" w:color="auto" w:fill="auto"/>
            <w:noWrap/>
            <w:vAlign w:val="bottom"/>
            <w:hideMark/>
          </w:tcPr>
          <w:p w14:paraId="550E7FEE"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576.787.792 </w:t>
            </w:r>
          </w:p>
        </w:tc>
        <w:tc>
          <w:tcPr>
            <w:tcW w:w="2620" w:type="dxa"/>
            <w:tcBorders>
              <w:top w:val="nil"/>
              <w:left w:val="nil"/>
              <w:bottom w:val="nil"/>
              <w:right w:val="nil"/>
            </w:tcBorders>
            <w:shd w:val="clear" w:color="auto" w:fill="auto"/>
            <w:noWrap/>
            <w:vAlign w:val="bottom"/>
            <w:hideMark/>
          </w:tcPr>
          <w:p w14:paraId="284EBD8E"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1C1C7D0C" w14:textId="77777777" w:rsidTr="00C54E27">
        <w:trPr>
          <w:trHeight w:val="345"/>
        </w:trPr>
        <w:tc>
          <w:tcPr>
            <w:tcW w:w="1720" w:type="dxa"/>
            <w:tcBorders>
              <w:top w:val="nil"/>
              <w:left w:val="nil"/>
              <w:bottom w:val="nil"/>
              <w:right w:val="nil"/>
            </w:tcBorders>
            <w:shd w:val="clear" w:color="auto" w:fill="auto"/>
            <w:noWrap/>
            <w:vAlign w:val="bottom"/>
            <w:hideMark/>
          </w:tcPr>
          <w:p w14:paraId="503D9ADB"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2005</w:t>
            </w:r>
          </w:p>
        </w:tc>
        <w:tc>
          <w:tcPr>
            <w:tcW w:w="2560" w:type="dxa"/>
            <w:tcBorders>
              <w:top w:val="nil"/>
              <w:left w:val="nil"/>
              <w:bottom w:val="nil"/>
              <w:right w:val="nil"/>
            </w:tcBorders>
            <w:shd w:val="clear" w:color="auto" w:fill="auto"/>
            <w:noWrap/>
            <w:vAlign w:val="bottom"/>
            <w:hideMark/>
          </w:tcPr>
          <w:p w14:paraId="666AB479"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1.329.438.399 </w:t>
            </w:r>
          </w:p>
        </w:tc>
        <w:tc>
          <w:tcPr>
            <w:tcW w:w="2660" w:type="dxa"/>
            <w:tcBorders>
              <w:top w:val="nil"/>
              <w:left w:val="nil"/>
              <w:bottom w:val="nil"/>
              <w:right w:val="nil"/>
            </w:tcBorders>
            <w:shd w:val="clear" w:color="auto" w:fill="auto"/>
            <w:noWrap/>
            <w:vAlign w:val="bottom"/>
            <w:hideMark/>
          </w:tcPr>
          <w:p w14:paraId="269A7BE5"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646.627.588 </w:t>
            </w:r>
          </w:p>
        </w:tc>
        <w:tc>
          <w:tcPr>
            <w:tcW w:w="2620" w:type="dxa"/>
            <w:tcBorders>
              <w:top w:val="nil"/>
              <w:left w:val="nil"/>
              <w:bottom w:val="nil"/>
              <w:right w:val="nil"/>
            </w:tcBorders>
            <w:shd w:val="clear" w:color="auto" w:fill="auto"/>
            <w:noWrap/>
            <w:vAlign w:val="bottom"/>
            <w:hideMark/>
          </w:tcPr>
          <w:p w14:paraId="0F8FD64A"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2E232B40" w14:textId="77777777" w:rsidTr="00C54E27">
        <w:trPr>
          <w:trHeight w:val="345"/>
        </w:trPr>
        <w:tc>
          <w:tcPr>
            <w:tcW w:w="1720" w:type="dxa"/>
            <w:tcBorders>
              <w:top w:val="nil"/>
              <w:left w:val="nil"/>
              <w:bottom w:val="nil"/>
              <w:right w:val="nil"/>
            </w:tcBorders>
            <w:shd w:val="clear" w:color="auto" w:fill="auto"/>
            <w:noWrap/>
            <w:vAlign w:val="bottom"/>
            <w:hideMark/>
          </w:tcPr>
          <w:p w14:paraId="0BF5F6A0"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2006</w:t>
            </w:r>
          </w:p>
        </w:tc>
        <w:tc>
          <w:tcPr>
            <w:tcW w:w="2560" w:type="dxa"/>
            <w:tcBorders>
              <w:top w:val="nil"/>
              <w:left w:val="nil"/>
              <w:bottom w:val="nil"/>
              <w:right w:val="nil"/>
            </w:tcBorders>
            <w:shd w:val="clear" w:color="auto" w:fill="auto"/>
            <w:noWrap/>
            <w:vAlign w:val="bottom"/>
            <w:hideMark/>
          </w:tcPr>
          <w:p w14:paraId="7603139D"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5.094.929.969 </w:t>
            </w:r>
          </w:p>
        </w:tc>
        <w:tc>
          <w:tcPr>
            <w:tcW w:w="2660" w:type="dxa"/>
            <w:tcBorders>
              <w:top w:val="nil"/>
              <w:left w:val="nil"/>
              <w:bottom w:val="nil"/>
              <w:right w:val="nil"/>
            </w:tcBorders>
            <w:shd w:val="clear" w:color="auto" w:fill="auto"/>
            <w:noWrap/>
            <w:vAlign w:val="bottom"/>
            <w:hideMark/>
          </w:tcPr>
          <w:p w14:paraId="6F1476C7"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1.069.700.731 </w:t>
            </w:r>
          </w:p>
        </w:tc>
        <w:tc>
          <w:tcPr>
            <w:tcW w:w="2620" w:type="dxa"/>
            <w:tcBorders>
              <w:top w:val="nil"/>
              <w:left w:val="nil"/>
              <w:bottom w:val="nil"/>
              <w:right w:val="nil"/>
            </w:tcBorders>
            <w:shd w:val="clear" w:color="auto" w:fill="auto"/>
            <w:noWrap/>
            <w:vAlign w:val="bottom"/>
            <w:hideMark/>
          </w:tcPr>
          <w:p w14:paraId="7F1D9D29"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5F38E712" w14:textId="77777777" w:rsidTr="00C54E27">
        <w:trPr>
          <w:trHeight w:val="345"/>
        </w:trPr>
        <w:tc>
          <w:tcPr>
            <w:tcW w:w="1720" w:type="dxa"/>
            <w:tcBorders>
              <w:top w:val="nil"/>
              <w:left w:val="nil"/>
              <w:bottom w:val="nil"/>
              <w:right w:val="nil"/>
            </w:tcBorders>
            <w:shd w:val="clear" w:color="auto" w:fill="auto"/>
            <w:noWrap/>
            <w:vAlign w:val="bottom"/>
            <w:hideMark/>
          </w:tcPr>
          <w:p w14:paraId="163F0BBF"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2007</w:t>
            </w:r>
          </w:p>
        </w:tc>
        <w:tc>
          <w:tcPr>
            <w:tcW w:w="2560" w:type="dxa"/>
            <w:tcBorders>
              <w:top w:val="nil"/>
              <w:left w:val="nil"/>
              <w:bottom w:val="nil"/>
              <w:right w:val="nil"/>
            </w:tcBorders>
            <w:shd w:val="clear" w:color="auto" w:fill="auto"/>
            <w:noWrap/>
            <w:vAlign w:val="bottom"/>
            <w:hideMark/>
          </w:tcPr>
          <w:p w14:paraId="0BB25B88"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2.514.618.887 </w:t>
            </w:r>
          </w:p>
        </w:tc>
        <w:tc>
          <w:tcPr>
            <w:tcW w:w="2660" w:type="dxa"/>
            <w:tcBorders>
              <w:top w:val="nil"/>
              <w:left w:val="nil"/>
              <w:bottom w:val="nil"/>
              <w:right w:val="nil"/>
            </w:tcBorders>
            <w:shd w:val="clear" w:color="auto" w:fill="auto"/>
            <w:noWrap/>
            <w:vAlign w:val="bottom"/>
            <w:hideMark/>
          </w:tcPr>
          <w:p w14:paraId="546E2C46"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1.512.879.970 </w:t>
            </w:r>
          </w:p>
        </w:tc>
        <w:tc>
          <w:tcPr>
            <w:tcW w:w="2620" w:type="dxa"/>
            <w:tcBorders>
              <w:top w:val="nil"/>
              <w:left w:val="nil"/>
              <w:bottom w:val="nil"/>
              <w:right w:val="nil"/>
            </w:tcBorders>
            <w:shd w:val="clear" w:color="auto" w:fill="auto"/>
            <w:noWrap/>
            <w:vAlign w:val="bottom"/>
            <w:hideMark/>
          </w:tcPr>
          <w:p w14:paraId="21A5584B"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3DE78455" w14:textId="77777777" w:rsidTr="00C54E27">
        <w:trPr>
          <w:trHeight w:val="345"/>
        </w:trPr>
        <w:tc>
          <w:tcPr>
            <w:tcW w:w="1720" w:type="dxa"/>
            <w:tcBorders>
              <w:top w:val="nil"/>
              <w:left w:val="nil"/>
              <w:bottom w:val="nil"/>
              <w:right w:val="nil"/>
            </w:tcBorders>
            <w:shd w:val="clear" w:color="auto" w:fill="auto"/>
            <w:noWrap/>
            <w:vAlign w:val="bottom"/>
            <w:hideMark/>
          </w:tcPr>
          <w:p w14:paraId="250595BA"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2008</w:t>
            </w:r>
          </w:p>
        </w:tc>
        <w:tc>
          <w:tcPr>
            <w:tcW w:w="2560" w:type="dxa"/>
            <w:tcBorders>
              <w:top w:val="nil"/>
              <w:left w:val="nil"/>
              <w:bottom w:val="nil"/>
              <w:right w:val="nil"/>
            </w:tcBorders>
            <w:shd w:val="clear" w:color="auto" w:fill="auto"/>
            <w:noWrap/>
            <w:vAlign w:val="bottom"/>
            <w:hideMark/>
          </w:tcPr>
          <w:p w14:paraId="624DC188"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2.426.265.237 </w:t>
            </w:r>
          </w:p>
        </w:tc>
        <w:tc>
          <w:tcPr>
            <w:tcW w:w="2660" w:type="dxa"/>
            <w:tcBorders>
              <w:top w:val="nil"/>
              <w:left w:val="nil"/>
              <w:bottom w:val="nil"/>
              <w:right w:val="nil"/>
            </w:tcBorders>
            <w:shd w:val="clear" w:color="auto" w:fill="auto"/>
            <w:noWrap/>
            <w:vAlign w:val="bottom"/>
            <w:hideMark/>
          </w:tcPr>
          <w:p w14:paraId="5C066AC0"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1.173.453.382 </w:t>
            </w:r>
          </w:p>
        </w:tc>
        <w:tc>
          <w:tcPr>
            <w:tcW w:w="2620" w:type="dxa"/>
            <w:tcBorders>
              <w:top w:val="nil"/>
              <w:left w:val="nil"/>
              <w:bottom w:val="nil"/>
              <w:right w:val="nil"/>
            </w:tcBorders>
            <w:shd w:val="clear" w:color="auto" w:fill="auto"/>
            <w:noWrap/>
            <w:vAlign w:val="bottom"/>
            <w:hideMark/>
          </w:tcPr>
          <w:p w14:paraId="7D3A3A9D"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5ADD875C" w14:textId="77777777" w:rsidTr="00C54E27">
        <w:trPr>
          <w:trHeight w:val="345"/>
        </w:trPr>
        <w:tc>
          <w:tcPr>
            <w:tcW w:w="1720" w:type="dxa"/>
            <w:tcBorders>
              <w:top w:val="nil"/>
              <w:left w:val="nil"/>
              <w:bottom w:val="nil"/>
              <w:right w:val="nil"/>
            </w:tcBorders>
            <w:shd w:val="clear" w:color="auto" w:fill="auto"/>
            <w:noWrap/>
            <w:vAlign w:val="bottom"/>
            <w:hideMark/>
          </w:tcPr>
          <w:p w14:paraId="75CC8EE9"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2009</w:t>
            </w:r>
          </w:p>
        </w:tc>
        <w:tc>
          <w:tcPr>
            <w:tcW w:w="2560" w:type="dxa"/>
            <w:tcBorders>
              <w:top w:val="nil"/>
              <w:left w:val="nil"/>
              <w:bottom w:val="nil"/>
              <w:right w:val="nil"/>
            </w:tcBorders>
            <w:shd w:val="clear" w:color="auto" w:fill="auto"/>
            <w:noWrap/>
            <w:vAlign w:val="bottom"/>
            <w:hideMark/>
          </w:tcPr>
          <w:p w14:paraId="43937F46"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8.966.803.228 </w:t>
            </w:r>
          </w:p>
        </w:tc>
        <w:tc>
          <w:tcPr>
            <w:tcW w:w="2660" w:type="dxa"/>
            <w:tcBorders>
              <w:top w:val="nil"/>
              <w:left w:val="nil"/>
              <w:bottom w:val="nil"/>
              <w:right w:val="nil"/>
            </w:tcBorders>
            <w:shd w:val="clear" w:color="auto" w:fill="auto"/>
            <w:noWrap/>
            <w:vAlign w:val="bottom"/>
            <w:hideMark/>
          </w:tcPr>
          <w:p w14:paraId="0C86795F"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2.376.754.011 </w:t>
            </w:r>
          </w:p>
        </w:tc>
        <w:tc>
          <w:tcPr>
            <w:tcW w:w="2620" w:type="dxa"/>
            <w:tcBorders>
              <w:top w:val="nil"/>
              <w:left w:val="nil"/>
              <w:bottom w:val="nil"/>
              <w:right w:val="nil"/>
            </w:tcBorders>
            <w:shd w:val="clear" w:color="auto" w:fill="auto"/>
            <w:noWrap/>
            <w:vAlign w:val="bottom"/>
            <w:hideMark/>
          </w:tcPr>
          <w:p w14:paraId="1DEAFC4B"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79BDCF07" w14:textId="77777777" w:rsidTr="00C54E27">
        <w:trPr>
          <w:trHeight w:val="345"/>
        </w:trPr>
        <w:tc>
          <w:tcPr>
            <w:tcW w:w="1720" w:type="dxa"/>
            <w:tcBorders>
              <w:top w:val="nil"/>
              <w:left w:val="nil"/>
              <w:bottom w:val="nil"/>
              <w:right w:val="nil"/>
            </w:tcBorders>
            <w:shd w:val="clear" w:color="auto" w:fill="auto"/>
            <w:noWrap/>
            <w:vAlign w:val="bottom"/>
            <w:hideMark/>
          </w:tcPr>
          <w:p w14:paraId="7F9EC483"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2010</w:t>
            </w:r>
          </w:p>
        </w:tc>
        <w:tc>
          <w:tcPr>
            <w:tcW w:w="2560" w:type="dxa"/>
            <w:tcBorders>
              <w:top w:val="nil"/>
              <w:left w:val="nil"/>
              <w:bottom w:val="nil"/>
              <w:right w:val="nil"/>
            </w:tcBorders>
            <w:shd w:val="clear" w:color="auto" w:fill="auto"/>
            <w:noWrap/>
            <w:vAlign w:val="bottom"/>
            <w:hideMark/>
          </w:tcPr>
          <w:p w14:paraId="08E5CB9B"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6.346.666.429 </w:t>
            </w:r>
          </w:p>
        </w:tc>
        <w:tc>
          <w:tcPr>
            <w:tcW w:w="2660" w:type="dxa"/>
            <w:tcBorders>
              <w:top w:val="nil"/>
              <w:left w:val="nil"/>
              <w:bottom w:val="nil"/>
              <w:right w:val="nil"/>
            </w:tcBorders>
            <w:shd w:val="clear" w:color="auto" w:fill="auto"/>
            <w:noWrap/>
            <w:vAlign w:val="bottom"/>
            <w:hideMark/>
          </w:tcPr>
          <w:p w14:paraId="72C0B014"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2.720.986.266 </w:t>
            </w:r>
          </w:p>
        </w:tc>
        <w:tc>
          <w:tcPr>
            <w:tcW w:w="2620" w:type="dxa"/>
            <w:tcBorders>
              <w:top w:val="nil"/>
              <w:left w:val="nil"/>
              <w:bottom w:val="nil"/>
              <w:right w:val="nil"/>
            </w:tcBorders>
            <w:shd w:val="clear" w:color="auto" w:fill="auto"/>
            <w:noWrap/>
            <w:vAlign w:val="bottom"/>
            <w:hideMark/>
          </w:tcPr>
          <w:p w14:paraId="652FE700"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3.974.452 </w:t>
            </w:r>
          </w:p>
        </w:tc>
      </w:tr>
      <w:tr w:rsidR="0026114A" w:rsidRPr="005432E1" w14:paraId="5019B806" w14:textId="77777777" w:rsidTr="00C54E27">
        <w:trPr>
          <w:trHeight w:val="345"/>
        </w:trPr>
        <w:tc>
          <w:tcPr>
            <w:tcW w:w="1720" w:type="dxa"/>
            <w:tcBorders>
              <w:top w:val="nil"/>
              <w:left w:val="nil"/>
              <w:bottom w:val="nil"/>
              <w:right w:val="nil"/>
            </w:tcBorders>
            <w:shd w:val="clear" w:color="auto" w:fill="auto"/>
            <w:noWrap/>
            <w:vAlign w:val="bottom"/>
            <w:hideMark/>
          </w:tcPr>
          <w:p w14:paraId="01BC2C31"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2011</w:t>
            </w:r>
          </w:p>
        </w:tc>
        <w:tc>
          <w:tcPr>
            <w:tcW w:w="2560" w:type="dxa"/>
            <w:tcBorders>
              <w:top w:val="nil"/>
              <w:left w:val="nil"/>
              <w:bottom w:val="nil"/>
              <w:right w:val="nil"/>
            </w:tcBorders>
            <w:shd w:val="clear" w:color="auto" w:fill="auto"/>
            <w:noWrap/>
            <w:vAlign w:val="bottom"/>
            <w:hideMark/>
          </w:tcPr>
          <w:p w14:paraId="2AF815F7"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8.334.974.618 </w:t>
            </w:r>
          </w:p>
        </w:tc>
        <w:tc>
          <w:tcPr>
            <w:tcW w:w="2660" w:type="dxa"/>
            <w:tcBorders>
              <w:top w:val="nil"/>
              <w:left w:val="nil"/>
              <w:bottom w:val="nil"/>
              <w:right w:val="nil"/>
            </w:tcBorders>
            <w:shd w:val="clear" w:color="auto" w:fill="auto"/>
            <w:noWrap/>
            <w:vAlign w:val="bottom"/>
            <w:hideMark/>
          </w:tcPr>
          <w:p w14:paraId="0A6F671F"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4.005.802.603 </w:t>
            </w:r>
          </w:p>
        </w:tc>
        <w:tc>
          <w:tcPr>
            <w:tcW w:w="2620" w:type="dxa"/>
            <w:tcBorders>
              <w:top w:val="nil"/>
              <w:left w:val="nil"/>
              <w:bottom w:val="nil"/>
              <w:right w:val="nil"/>
            </w:tcBorders>
            <w:shd w:val="clear" w:color="auto" w:fill="auto"/>
            <w:noWrap/>
            <w:vAlign w:val="bottom"/>
            <w:hideMark/>
          </w:tcPr>
          <w:p w14:paraId="6ED3D831"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2.541.632.223 </w:t>
            </w:r>
          </w:p>
        </w:tc>
      </w:tr>
      <w:tr w:rsidR="0026114A" w:rsidRPr="005432E1" w14:paraId="227D773E" w14:textId="77777777" w:rsidTr="00C54E27">
        <w:trPr>
          <w:trHeight w:val="345"/>
        </w:trPr>
        <w:tc>
          <w:tcPr>
            <w:tcW w:w="1720" w:type="dxa"/>
            <w:tcBorders>
              <w:top w:val="nil"/>
              <w:left w:val="nil"/>
              <w:bottom w:val="nil"/>
              <w:right w:val="nil"/>
            </w:tcBorders>
            <w:shd w:val="clear" w:color="auto" w:fill="auto"/>
            <w:noWrap/>
            <w:vAlign w:val="bottom"/>
            <w:hideMark/>
          </w:tcPr>
          <w:p w14:paraId="05B5B180"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2012</w:t>
            </w:r>
          </w:p>
        </w:tc>
        <w:tc>
          <w:tcPr>
            <w:tcW w:w="2560" w:type="dxa"/>
            <w:tcBorders>
              <w:top w:val="nil"/>
              <w:left w:val="nil"/>
              <w:bottom w:val="nil"/>
              <w:right w:val="nil"/>
            </w:tcBorders>
            <w:shd w:val="clear" w:color="auto" w:fill="auto"/>
            <w:noWrap/>
            <w:vAlign w:val="bottom"/>
            <w:hideMark/>
          </w:tcPr>
          <w:p w14:paraId="26671D85"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8.985.825.160 </w:t>
            </w:r>
          </w:p>
        </w:tc>
        <w:tc>
          <w:tcPr>
            <w:tcW w:w="2660" w:type="dxa"/>
            <w:tcBorders>
              <w:top w:val="nil"/>
              <w:left w:val="nil"/>
              <w:bottom w:val="nil"/>
              <w:right w:val="nil"/>
            </w:tcBorders>
            <w:shd w:val="clear" w:color="auto" w:fill="auto"/>
            <w:noWrap/>
            <w:vAlign w:val="bottom"/>
            <w:hideMark/>
          </w:tcPr>
          <w:p w14:paraId="5CE43CA0"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2.774.531.937 </w:t>
            </w:r>
          </w:p>
        </w:tc>
        <w:tc>
          <w:tcPr>
            <w:tcW w:w="2620" w:type="dxa"/>
            <w:tcBorders>
              <w:top w:val="nil"/>
              <w:left w:val="nil"/>
              <w:bottom w:val="nil"/>
              <w:right w:val="nil"/>
            </w:tcBorders>
            <w:shd w:val="clear" w:color="auto" w:fill="auto"/>
            <w:noWrap/>
            <w:vAlign w:val="bottom"/>
            <w:hideMark/>
          </w:tcPr>
          <w:p w14:paraId="3AF6A0A4"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2.784.829.693 </w:t>
            </w:r>
          </w:p>
        </w:tc>
      </w:tr>
      <w:tr w:rsidR="0026114A" w:rsidRPr="005432E1" w14:paraId="12EF18C3" w14:textId="77777777" w:rsidTr="00C54E27">
        <w:trPr>
          <w:trHeight w:val="345"/>
        </w:trPr>
        <w:tc>
          <w:tcPr>
            <w:tcW w:w="1720" w:type="dxa"/>
            <w:tcBorders>
              <w:top w:val="nil"/>
              <w:left w:val="nil"/>
              <w:bottom w:val="nil"/>
              <w:right w:val="nil"/>
            </w:tcBorders>
            <w:shd w:val="clear" w:color="auto" w:fill="auto"/>
            <w:noWrap/>
            <w:vAlign w:val="bottom"/>
            <w:hideMark/>
          </w:tcPr>
          <w:p w14:paraId="425439D3"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2013</w:t>
            </w:r>
          </w:p>
        </w:tc>
        <w:tc>
          <w:tcPr>
            <w:tcW w:w="2560" w:type="dxa"/>
            <w:tcBorders>
              <w:top w:val="nil"/>
              <w:left w:val="nil"/>
              <w:bottom w:val="nil"/>
              <w:right w:val="nil"/>
            </w:tcBorders>
            <w:shd w:val="clear" w:color="auto" w:fill="auto"/>
            <w:noWrap/>
            <w:vAlign w:val="bottom"/>
            <w:hideMark/>
          </w:tcPr>
          <w:p w14:paraId="343B2540"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9.060.987.992 </w:t>
            </w:r>
          </w:p>
        </w:tc>
        <w:tc>
          <w:tcPr>
            <w:tcW w:w="2660" w:type="dxa"/>
            <w:tcBorders>
              <w:top w:val="nil"/>
              <w:left w:val="nil"/>
              <w:bottom w:val="nil"/>
              <w:right w:val="nil"/>
            </w:tcBorders>
            <w:shd w:val="clear" w:color="auto" w:fill="auto"/>
            <w:noWrap/>
            <w:vAlign w:val="bottom"/>
            <w:hideMark/>
          </w:tcPr>
          <w:p w14:paraId="5C10DAAB"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5.713.261.119 </w:t>
            </w:r>
          </w:p>
        </w:tc>
        <w:tc>
          <w:tcPr>
            <w:tcW w:w="2620" w:type="dxa"/>
            <w:tcBorders>
              <w:top w:val="nil"/>
              <w:left w:val="nil"/>
              <w:bottom w:val="nil"/>
              <w:right w:val="nil"/>
            </w:tcBorders>
            <w:shd w:val="clear" w:color="auto" w:fill="auto"/>
            <w:noWrap/>
            <w:vAlign w:val="bottom"/>
            <w:hideMark/>
          </w:tcPr>
          <w:p w14:paraId="0DA1CAD5"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1.823.559.457 </w:t>
            </w:r>
          </w:p>
        </w:tc>
      </w:tr>
      <w:tr w:rsidR="0026114A" w:rsidRPr="005432E1" w14:paraId="508AD2C7" w14:textId="77777777" w:rsidTr="00C54E27">
        <w:trPr>
          <w:trHeight w:val="345"/>
        </w:trPr>
        <w:tc>
          <w:tcPr>
            <w:tcW w:w="1720" w:type="dxa"/>
            <w:tcBorders>
              <w:top w:val="nil"/>
              <w:left w:val="nil"/>
              <w:bottom w:val="nil"/>
              <w:right w:val="nil"/>
            </w:tcBorders>
            <w:shd w:val="clear" w:color="auto" w:fill="auto"/>
            <w:noWrap/>
            <w:vAlign w:val="bottom"/>
            <w:hideMark/>
          </w:tcPr>
          <w:p w14:paraId="799599F9"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2014</w:t>
            </w:r>
          </w:p>
        </w:tc>
        <w:tc>
          <w:tcPr>
            <w:tcW w:w="2560" w:type="dxa"/>
            <w:tcBorders>
              <w:top w:val="nil"/>
              <w:left w:val="nil"/>
              <w:bottom w:val="nil"/>
              <w:right w:val="nil"/>
            </w:tcBorders>
            <w:shd w:val="clear" w:color="auto" w:fill="auto"/>
            <w:noWrap/>
            <w:vAlign w:val="bottom"/>
            <w:hideMark/>
          </w:tcPr>
          <w:p w14:paraId="7B40DAF1"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7.267.263.800 </w:t>
            </w:r>
          </w:p>
        </w:tc>
        <w:tc>
          <w:tcPr>
            <w:tcW w:w="2660" w:type="dxa"/>
            <w:tcBorders>
              <w:top w:val="nil"/>
              <w:left w:val="nil"/>
              <w:bottom w:val="nil"/>
              <w:right w:val="nil"/>
            </w:tcBorders>
            <w:shd w:val="clear" w:color="auto" w:fill="auto"/>
            <w:noWrap/>
            <w:vAlign w:val="bottom"/>
            <w:hideMark/>
          </w:tcPr>
          <w:p w14:paraId="021C4890"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2.922.471.590 </w:t>
            </w:r>
          </w:p>
        </w:tc>
        <w:tc>
          <w:tcPr>
            <w:tcW w:w="2620" w:type="dxa"/>
            <w:tcBorders>
              <w:top w:val="nil"/>
              <w:left w:val="nil"/>
              <w:bottom w:val="nil"/>
              <w:right w:val="nil"/>
            </w:tcBorders>
            <w:shd w:val="clear" w:color="auto" w:fill="auto"/>
            <w:noWrap/>
            <w:vAlign w:val="bottom"/>
            <w:hideMark/>
          </w:tcPr>
          <w:p w14:paraId="12187D47"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1.157.882.126 </w:t>
            </w:r>
          </w:p>
        </w:tc>
      </w:tr>
      <w:tr w:rsidR="0026114A" w:rsidRPr="005432E1" w14:paraId="42BBDF19" w14:textId="77777777" w:rsidTr="00C54E27">
        <w:trPr>
          <w:trHeight w:val="345"/>
        </w:trPr>
        <w:tc>
          <w:tcPr>
            <w:tcW w:w="1720" w:type="dxa"/>
            <w:tcBorders>
              <w:top w:val="nil"/>
              <w:left w:val="nil"/>
              <w:bottom w:val="nil"/>
              <w:right w:val="nil"/>
            </w:tcBorders>
            <w:shd w:val="clear" w:color="auto" w:fill="auto"/>
            <w:noWrap/>
            <w:vAlign w:val="bottom"/>
            <w:hideMark/>
          </w:tcPr>
          <w:p w14:paraId="78C4FFCB"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2015</w:t>
            </w:r>
          </w:p>
        </w:tc>
        <w:tc>
          <w:tcPr>
            <w:tcW w:w="2560" w:type="dxa"/>
            <w:tcBorders>
              <w:top w:val="nil"/>
              <w:left w:val="nil"/>
              <w:bottom w:val="nil"/>
              <w:right w:val="nil"/>
            </w:tcBorders>
            <w:shd w:val="clear" w:color="auto" w:fill="auto"/>
            <w:noWrap/>
            <w:vAlign w:val="bottom"/>
            <w:hideMark/>
          </w:tcPr>
          <w:p w14:paraId="38961757"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4.590.035.805 </w:t>
            </w:r>
          </w:p>
        </w:tc>
        <w:tc>
          <w:tcPr>
            <w:tcW w:w="2660" w:type="dxa"/>
            <w:tcBorders>
              <w:top w:val="nil"/>
              <w:left w:val="nil"/>
              <w:bottom w:val="nil"/>
              <w:right w:val="nil"/>
            </w:tcBorders>
            <w:shd w:val="clear" w:color="auto" w:fill="auto"/>
            <w:noWrap/>
            <w:vAlign w:val="bottom"/>
            <w:hideMark/>
          </w:tcPr>
          <w:p w14:paraId="710A4389"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4.375.460.218 </w:t>
            </w:r>
          </w:p>
        </w:tc>
        <w:tc>
          <w:tcPr>
            <w:tcW w:w="2620" w:type="dxa"/>
            <w:tcBorders>
              <w:top w:val="nil"/>
              <w:left w:val="nil"/>
              <w:bottom w:val="nil"/>
              <w:right w:val="nil"/>
            </w:tcBorders>
            <w:shd w:val="clear" w:color="auto" w:fill="auto"/>
            <w:noWrap/>
            <w:vAlign w:val="bottom"/>
            <w:hideMark/>
          </w:tcPr>
          <w:p w14:paraId="31CDE44B"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1.853.250.097 </w:t>
            </w:r>
          </w:p>
        </w:tc>
      </w:tr>
      <w:tr w:rsidR="0026114A" w:rsidRPr="005432E1" w14:paraId="4502EF57" w14:textId="77777777" w:rsidTr="00C54E27">
        <w:trPr>
          <w:trHeight w:val="345"/>
        </w:trPr>
        <w:tc>
          <w:tcPr>
            <w:tcW w:w="1720" w:type="dxa"/>
            <w:tcBorders>
              <w:top w:val="nil"/>
              <w:left w:val="nil"/>
              <w:bottom w:val="nil"/>
              <w:right w:val="nil"/>
            </w:tcBorders>
            <w:shd w:val="clear" w:color="auto" w:fill="auto"/>
            <w:noWrap/>
            <w:vAlign w:val="bottom"/>
            <w:hideMark/>
          </w:tcPr>
          <w:p w14:paraId="3C6A915B"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2016</w:t>
            </w:r>
          </w:p>
        </w:tc>
        <w:tc>
          <w:tcPr>
            <w:tcW w:w="2560" w:type="dxa"/>
            <w:tcBorders>
              <w:top w:val="nil"/>
              <w:left w:val="nil"/>
              <w:bottom w:val="nil"/>
              <w:right w:val="nil"/>
            </w:tcBorders>
            <w:shd w:val="clear" w:color="auto" w:fill="auto"/>
            <w:noWrap/>
            <w:vAlign w:val="bottom"/>
            <w:hideMark/>
          </w:tcPr>
          <w:p w14:paraId="5F5730A4"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2.403.603.381 </w:t>
            </w:r>
          </w:p>
        </w:tc>
        <w:tc>
          <w:tcPr>
            <w:tcW w:w="2660" w:type="dxa"/>
            <w:tcBorders>
              <w:top w:val="nil"/>
              <w:left w:val="nil"/>
              <w:bottom w:val="nil"/>
              <w:right w:val="nil"/>
            </w:tcBorders>
            <w:shd w:val="clear" w:color="auto" w:fill="auto"/>
            <w:noWrap/>
            <w:vAlign w:val="bottom"/>
            <w:hideMark/>
          </w:tcPr>
          <w:p w14:paraId="2EF1E297"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2.399.686.820 </w:t>
            </w:r>
          </w:p>
        </w:tc>
        <w:tc>
          <w:tcPr>
            <w:tcW w:w="2620" w:type="dxa"/>
            <w:tcBorders>
              <w:top w:val="nil"/>
              <w:left w:val="nil"/>
              <w:bottom w:val="nil"/>
              <w:right w:val="nil"/>
            </w:tcBorders>
            <w:shd w:val="clear" w:color="auto" w:fill="auto"/>
            <w:noWrap/>
            <w:vAlign w:val="bottom"/>
            <w:hideMark/>
          </w:tcPr>
          <w:p w14:paraId="108E7A9F"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763.078.708 </w:t>
            </w:r>
          </w:p>
        </w:tc>
      </w:tr>
      <w:tr w:rsidR="0026114A" w:rsidRPr="005432E1" w14:paraId="6AD7D7BF" w14:textId="77777777" w:rsidTr="00C54E27">
        <w:trPr>
          <w:trHeight w:val="345"/>
        </w:trPr>
        <w:tc>
          <w:tcPr>
            <w:tcW w:w="1720" w:type="dxa"/>
            <w:tcBorders>
              <w:top w:val="nil"/>
              <w:left w:val="nil"/>
              <w:bottom w:val="nil"/>
              <w:right w:val="nil"/>
            </w:tcBorders>
            <w:shd w:val="clear" w:color="auto" w:fill="auto"/>
            <w:noWrap/>
            <w:vAlign w:val="bottom"/>
            <w:hideMark/>
          </w:tcPr>
          <w:p w14:paraId="1CA4C4AF" w14:textId="77777777" w:rsidR="00C54E27" w:rsidRPr="005432E1" w:rsidRDefault="00C54E27">
            <w:pPr>
              <w:jc w:val="right"/>
              <w:rPr>
                <w:rFonts w:asciiTheme="minorHAnsi" w:hAnsiTheme="minorHAnsi"/>
                <w:sz w:val="22"/>
                <w:szCs w:val="22"/>
              </w:rPr>
            </w:pPr>
            <w:r w:rsidRPr="005432E1">
              <w:rPr>
                <w:rFonts w:asciiTheme="minorHAnsi" w:hAnsiTheme="minorHAnsi"/>
                <w:sz w:val="22"/>
                <w:szCs w:val="22"/>
              </w:rPr>
              <w:t>2017</w:t>
            </w:r>
          </w:p>
        </w:tc>
        <w:tc>
          <w:tcPr>
            <w:tcW w:w="2560" w:type="dxa"/>
            <w:tcBorders>
              <w:top w:val="nil"/>
              <w:left w:val="nil"/>
              <w:bottom w:val="nil"/>
              <w:right w:val="nil"/>
            </w:tcBorders>
            <w:shd w:val="clear" w:color="auto" w:fill="auto"/>
            <w:noWrap/>
            <w:vAlign w:val="bottom"/>
            <w:hideMark/>
          </w:tcPr>
          <w:p w14:paraId="781A2C83"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191.345.930 </w:t>
            </w:r>
          </w:p>
        </w:tc>
        <w:tc>
          <w:tcPr>
            <w:tcW w:w="2660" w:type="dxa"/>
            <w:tcBorders>
              <w:top w:val="nil"/>
              <w:left w:val="nil"/>
              <w:bottom w:val="nil"/>
              <w:right w:val="nil"/>
            </w:tcBorders>
            <w:shd w:val="clear" w:color="auto" w:fill="auto"/>
            <w:noWrap/>
            <w:vAlign w:val="bottom"/>
            <w:hideMark/>
          </w:tcPr>
          <w:p w14:paraId="1F2A8D9C"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768.886.403 </w:t>
            </w:r>
          </w:p>
        </w:tc>
        <w:tc>
          <w:tcPr>
            <w:tcW w:w="2620" w:type="dxa"/>
            <w:tcBorders>
              <w:top w:val="nil"/>
              <w:left w:val="nil"/>
              <w:bottom w:val="nil"/>
              <w:right w:val="nil"/>
            </w:tcBorders>
            <w:shd w:val="clear" w:color="auto" w:fill="auto"/>
            <w:noWrap/>
            <w:vAlign w:val="bottom"/>
            <w:hideMark/>
          </w:tcPr>
          <w:p w14:paraId="3E87626D" w14:textId="77777777" w:rsidR="00C54E27" w:rsidRPr="005432E1" w:rsidRDefault="00C54E27">
            <w:pPr>
              <w:rPr>
                <w:rFonts w:asciiTheme="minorHAnsi" w:hAnsiTheme="minorHAnsi"/>
                <w:sz w:val="22"/>
                <w:szCs w:val="22"/>
              </w:rPr>
            </w:pPr>
            <w:r w:rsidRPr="005432E1">
              <w:rPr>
                <w:rFonts w:asciiTheme="minorHAnsi" w:hAnsiTheme="minorHAnsi"/>
                <w:sz w:val="22"/>
                <w:szCs w:val="22"/>
              </w:rPr>
              <w:t xml:space="preserve">                                     -   </w:t>
            </w:r>
          </w:p>
        </w:tc>
      </w:tr>
      <w:tr w:rsidR="0026114A" w:rsidRPr="005432E1" w14:paraId="0F0E56EB" w14:textId="77777777" w:rsidTr="00C67A76">
        <w:trPr>
          <w:trHeight w:val="254"/>
        </w:trPr>
        <w:tc>
          <w:tcPr>
            <w:tcW w:w="1720" w:type="dxa"/>
            <w:tcBorders>
              <w:top w:val="single" w:sz="4" w:space="0" w:color="auto"/>
              <w:left w:val="nil"/>
              <w:bottom w:val="single" w:sz="12" w:space="0" w:color="auto"/>
              <w:right w:val="nil"/>
            </w:tcBorders>
            <w:shd w:val="clear" w:color="auto" w:fill="auto"/>
            <w:noWrap/>
            <w:vAlign w:val="bottom"/>
            <w:hideMark/>
          </w:tcPr>
          <w:p w14:paraId="757CA6A8" w14:textId="77777777" w:rsidR="00C54E27" w:rsidRPr="005432E1" w:rsidRDefault="00C54E27">
            <w:pPr>
              <w:rPr>
                <w:rFonts w:asciiTheme="minorHAnsi" w:hAnsiTheme="minorHAnsi"/>
                <w:b/>
                <w:bCs/>
                <w:sz w:val="22"/>
                <w:szCs w:val="22"/>
              </w:rPr>
            </w:pPr>
            <w:r w:rsidRPr="005432E1">
              <w:rPr>
                <w:rFonts w:asciiTheme="minorHAnsi" w:hAnsiTheme="minorHAnsi"/>
                <w:b/>
                <w:bCs/>
                <w:sz w:val="22"/>
                <w:szCs w:val="22"/>
              </w:rPr>
              <w:t>TOTAL</w:t>
            </w:r>
          </w:p>
        </w:tc>
        <w:tc>
          <w:tcPr>
            <w:tcW w:w="2560" w:type="dxa"/>
            <w:tcBorders>
              <w:top w:val="single" w:sz="4" w:space="0" w:color="auto"/>
              <w:left w:val="nil"/>
              <w:bottom w:val="single" w:sz="12" w:space="0" w:color="auto"/>
              <w:right w:val="nil"/>
            </w:tcBorders>
            <w:shd w:val="clear" w:color="auto" w:fill="auto"/>
            <w:noWrap/>
            <w:vAlign w:val="bottom"/>
            <w:hideMark/>
          </w:tcPr>
          <w:p w14:paraId="4A126701" w14:textId="77777777" w:rsidR="00C54E27" w:rsidRPr="005432E1" w:rsidRDefault="00C54E27">
            <w:pPr>
              <w:rPr>
                <w:rFonts w:asciiTheme="minorHAnsi" w:hAnsiTheme="minorHAnsi"/>
                <w:b/>
                <w:bCs/>
                <w:sz w:val="22"/>
                <w:szCs w:val="22"/>
              </w:rPr>
            </w:pPr>
            <w:r w:rsidRPr="005432E1">
              <w:rPr>
                <w:rFonts w:asciiTheme="minorHAnsi" w:hAnsiTheme="minorHAnsi"/>
                <w:b/>
                <w:bCs/>
                <w:sz w:val="22"/>
                <w:szCs w:val="22"/>
              </w:rPr>
              <w:t xml:space="preserve">               68.889.887.388 </w:t>
            </w:r>
          </w:p>
        </w:tc>
        <w:tc>
          <w:tcPr>
            <w:tcW w:w="2660" w:type="dxa"/>
            <w:tcBorders>
              <w:top w:val="single" w:sz="4" w:space="0" w:color="auto"/>
              <w:left w:val="nil"/>
              <w:bottom w:val="single" w:sz="12" w:space="0" w:color="auto"/>
              <w:right w:val="nil"/>
            </w:tcBorders>
            <w:shd w:val="clear" w:color="auto" w:fill="auto"/>
            <w:noWrap/>
            <w:vAlign w:val="bottom"/>
            <w:hideMark/>
          </w:tcPr>
          <w:p w14:paraId="3F066176" w14:textId="77777777" w:rsidR="00C54E27" w:rsidRPr="005432E1" w:rsidRDefault="00C54E27">
            <w:pPr>
              <w:rPr>
                <w:rFonts w:asciiTheme="minorHAnsi" w:hAnsiTheme="minorHAnsi"/>
                <w:b/>
                <w:bCs/>
                <w:sz w:val="22"/>
                <w:szCs w:val="22"/>
              </w:rPr>
            </w:pPr>
            <w:r w:rsidRPr="005432E1">
              <w:rPr>
                <w:rFonts w:asciiTheme="minorHAnsi" w:hAnsiTheme="minorHAnsi"/>
                <w:b/>
                <w:bCs/>
                <w:sz w:val="22"/>
                <w:szCs w:val="22"/>
              </w:rPr>
              <w:t xml:space="preserve">                 33.037.290.430 </w:t>
            </w:r>
          </w:p>
        </w:tc>
        <w:tc>
          <w:tcPr>
            <w:tcW w:w="2620" w:type="dxa"/>
            <w:tcBorders>
              <w:top w:val="single" w:sz="4" w:space="0" w:color="auto"/>
              <w:left w:val="nil"/>
              <w:bottom w:val="single" w:sz="12" w:space="0" w:color="auto"/>
              <w:right w:val="nil"/>
            </w:tcBorders>
            <w:shd w:val="clear" w:color="auto" w:fill="auto"/>
            <w:noWrap/>
            <w:vAlign w:val="bottom"/>
            <w:hideMark/>
          </w:tcPr>
          <w:p w14:paraId="72D5CC5F" w14:textId="77777777" w:rsidR="00C54E27" w:rsidRPr="005432E1" w:rsidRDefault="00C54E27">
            <w:pPr>
              <w:rPr>
                <w:rFonts w:asciiTheme="minorHAnsi" w:hAnsiTheme="minorHAnsi"/>
                <w:b/>
                <w:bCs/>
                <w:sz w:val="22"/>
                <w:szCs w:val="22"/>
              </w:rPr>
            </w:pPr>
            <w:r w:rsidRPr="005432E1">
              <w:rPr>
                <w:rFonts w:asciiTheme="minorHAnsi" w:hAnsiTheme="minorHAnsi"/>
                <w:b/>
                <w:bCs/>
                <w:sz w:val="22"/>
                <w:szCs w:val="22"/>
              </w:rPr>
              <w:t xml:space="preserve">                10.928.206.756 </w:t>
            </w:r>
          </w:p>
        </w:tc>
      </w:tr>
    </w:tbl>
    <w:p w14:paraId="34293955" w14:textId="77777777" w:rsidR="00C54E27" w:rsidRPr="005432E1" w:rsidRDefault="007268E5" w:rsidP="006F4AC5">
      <w:pPr>
        <w:rPr>
          <w:rFonts w:asciiTheme="minorHAnsi" w:hAnsiTheme="minorHAnsi"/>
          <w:sz w:val="18"/>
          <w:szCs w:val="18"/>
        </w:rPr>
      </w:pPr>
      <w:r w:rsidRPr="005432E1">
        <w:rPr>
          <w:rFonts w:asciiTheme="minorHAnsi" w:hAnsiTheme="minorHAnsi"/>
          <w:sz w:val="18"/>
          <w:szCs w:val="18"/>
        </w:rPr>
        <w:t xml:space="preserve"> Fonte: Secretaria de Assuntos Internacionais/MF</w:t>
      </w:r>
      <w:r w:rsidR="00C54E27" w:rsidRPr="005432E1">
        <w:rPr>
          <w:rFonts w:asciiTheme="minorHAnsi" w:hAnsiTheme="minorHAnsi"/>
          <w:sz w:val="18"/>
          <w:szCs w:val="18"/>
        </w:rPr>
        <w:t xml:space="preserve">. </w:t>
      </w:r>
    </w:p>
    <w:p w14:paraId="2C89420E" w14:textId="77777777" w:rsidR="00F82D8D" w:rsidRPr="005432E1" w:rsidRDefault="007268E5" w:rsidP="006F4AC5">
      <w:pPr>
        <w:rPr>
          <w:rFonts w:asciiTheme="minorHAnsi" w:hAnsiTheme="minorHAnsi"/>
          <w:b/>
          <w:sz w:val="18"/>
          <w:szCs w:val="18"/>
        </w:rPr>
      </w:pPr>
      <w:r w:rsidRPr="005432E1">
        <w:rPr>
          <w:rFonts w:asciiTheme="minorHAnsi" w:hAnsiTheme="minorHAnsi"/>
          <w:sz w:val="18"/>
          <w:szCs w:val="18"/>
        </w:rPr>
        <w:t>* A partir de outubro de 2010, as operações que foram notificadas pela alçada competente como novas concretizações, mas que ainda não tiveram suas apólices emitidas, passaram a ser classificadas como Notificadas.</w:t>
      </w:r>
    </w:p>
    <w:p w14:paraId="28B7D433" w14:textId="77777777" w:rsidR="00CF2984" w:rsidRPr="005432E1" w:rsidRDefault="00CF2984" w:rsidP="002D2FBD">
      <w:pPr>
        <w:rPr>
          <w:rFonts w:asciiTheme="minorHAnsi" w:hAnsiTheme="minorHAnsi"/>
          <w:b/>
        </w:rPr>
      </w:pPr>
    </w:p>
    <w:p w14:paraId="2F547C73" w14:textId="77777777" w:rsidR="00A17E9D" w:rsidRPr="005432E1" w:rsidRDefault="006631EA" w:rsidP="002D2FBD">
      <w:pPr>
        <w:rPr>
          <w:rFonts w:asciiTheme="minorHAnsi" w:hAnsiTheme="minorHAnsi"/>
          <w:b/>
          <w:sz w:val="18"/>
          <w:szCs w:val="18"/>
        </w:rPr>
      </w:pPr>
      <w:r w:rsidRPr="005432E1">
        <w:rPr>
          <w:rFonts w:asciiTheme="minorHAnsi" w:hAnsiTheme="minorHAnsi"/>
          <w:b/>
        </w:rPr>
        <w:t>3.</w:t>
      </w:r>
      <w:r w:rsidR="007F415A" w:rsidRPr="005432E1">
        <w:rPr>
          <w:rFonts w:asciiTheme="minorHAnsi" w:hAnsiTheme="minorHAnsi"/>
          <w:b/>
        </w:rPr>
        <w:t>1</w:t>
      </w:r>
      <w:r w:rsidRPr="005432E1">
        <w:rPr>
          <w:rFonts w:asciiTheme="minorHAnsi" w:hAnsiTheme="minorHAnsi"/>
          <w:b/>
        </w:rPr>
        <w:t xml:space="preserve">.6.3 </w:t>
      </w:r>
      <w:r w:rsidR="00A17E9D" w:rsidRPr="005432E1">
        <w:rPr>
          <w:rFonts w:asciiTheme="minorHAnsi" w:hAnsiTheme="minorHAnsi"/>
          <w:b/>
        </w:rPr>
        <w:t>Dos passivos contingentes referentes aos Fundos Constitucionais de Financiamento do Nordeste (FNE), do Norte (FNO) e do Centro-Oeste (FCO)</w:t>
      </w:r>
    </w:p>
    <w:p w14:paraId="57370C09" w14:textId="77777777" w:rsidR="00756D40" w:rsidRPr="005432E1" w:rsidRDefault="00756D40" w:rsidP="00756D40">
      <w:pPr>
        <w:spacing w:before="100" w:beforeAutospacing="1" w:after="100" w:afterAutospacing="1"/>
        <w:jc w:val="both"/>
        <w:rPr>
          <w:rFonts w:asciiTheme="minorHAnsi" w:hAnsiTheme="minorHAnsi"/>
        </w:rPr>
      </w:pPr>
      <w:r w:rsidRPr="005432E1">
        <w:rPr>
          <w:rFonts w:asciiTheme="minorHAnsi" w:hAnsiTheme="minorHAnsi"/>
        </w:rPr>
        <w:tab/>
        <w:t>A Constituição Federal de 1988 destinou 3% do produto da arrecadação dos impostos sobre renda e proventos de qualquer natureza (IR) e sobre produtos industrializados (IPI) para aplicação em programas de financiamento aos setores produtivos das Regiões Norte, Nordeste e Centro-Oeste. Com isso, foram criados os Fundos Constitucionais de Financiamento do Norte (FNO), do Nordeste (FNE) e do Centro-Oeste (FCO), para os quais são transferidos aqueles recursos.</w:t>
      </w:r>
    </w:p>
    <w:p w14:paraId="75D5A150" w14:textId="77777777" w:rsidR="00756D40" w:rsidRPr="005432E1" w:rsidRDefault="00756D40" w:rsidP="00756D40">
      <w:pPr>
        <w:spacing w:before="100" w:beforeAutospacing="1" w:after="100" w:afterAutospacing="1"/>
        <w:jc w:val="both"/>
        <w:rPr>
          <w:rFonts w:asciiTheme="minorHAnsi" w:hAnsiTheme="minorHAnsi"/>
        </w:rPr>
      </w:pPr>
      <w:r w:rsidRPr="005432E1">
        <w:rPr>
          <w:rFonts w:asciiTheme="minorHAnsi" w:hAnsiTheme="minorHAnsi"/>
        </w:rPr>
        <w:tab/>
        <w:t>Tendo em vista que os Fundos têm natureza pública e compõem o patrimônio da União, as provisões reduzem, indiretamente, o patrimônio da União. Por esta razão, estão contidos no Anexo de Riscos Fiscais.</w:t>
      </w:r>
    </w:p>
    <w:p w14:paraId="1F9A776B" w14:textId="77777777" w:rsidR="00756D40" w:rsidRPr="005432E1" w:rsidRDefault="00756D40" w:rsidP="00756D40">
      <w:pPr>
        <w:spacing w:before="100" w:beforeAutospacing="1" w:after="100" w:afterAutospacing="1"/>
        <w:jc w:val="both"/>
        <w:rPr>
          <w:rFonts w:asciiTheme="minorHAnsi" w:hAnsiTheme="minorHAnsi"/>
        </w:rPr>
      </w:pPr>
      <w:r w:rsidRPr="005432E1">
        <w:rPr>
          <w:rFonts w:asciiTheme="minorHAnsi" w:hAnsiTheme="minorHAnsi"/>
        </w:rPr>
        <w:tab/>
        <w:t>A Portaria Interministerial nº 11, de 28 de dezembro de 2005, editada pelos Ministérios da Integração Nacional – MI e da Fazenda – MF, estabelece as normas de contabilização e de estruturação dos balanços dos fundos FNO, FNE e FCO, bem como os critérios para provisões e registro de prejuízos. De acordo com os critérios estabelecidos em seu artigo 3º, nas operações em que os Fundos detenham o risco integral ou compartilhado, o banco administrador de cada Fundo deve constituir provisão para créditos de liquidação duvidosa referentes às parcelas do principal e encargos vencidos há mais de cento e oitenta dias. Tais provisionamentos resultam em déficit primário no momento de sua ocorrência.</w:t>
      </w:r>
    </w:p>
    <w:p w14:paraId="03E4195E" w14:textId="77777777" w:rsidR="00756D40" w:rsidRPr="005432E1" w:rsidRDefault="00756D40" w:rsidP="00756D40">
      <w:pPr>
        <w:spacing w:before="100" w:beforeAutospacing="1" w:after="100" w:afterAutospacing="1"/>
        <w:jc w:val="both"/>
        <w:rPr>
          <w:rFonts w:asciiTheme="minorHAnsi" w:hAnsiTheme="minorHAnsi"/>
        </w:rPr>
      </w:pPr>
      <w:r w:rsidRPr="005432E1">
        <w:rPr>
          <w:rFonts w:asciiTheme="minorHAnsi" w:hAnsiTheme="minorHAnsi"/>
        </w:rPr>
        <w:tab/>
        <w:t>Com base no balanço dos Fundos Constitucionais de 31 de dezembro de 2017 para o FCO, o FNE e o FNO, constata-se que as provisões para devedores duvidosos somaram em 2017, respectivamente, R$ 22,4 milhões, R$ 896,1 milhões e R$ 381,4 milhões, totalizando R$ 1.299,9 milhões. Tais valores estão apresentados nas contas de resultado dos balanços dos respectivos fundos. Adicionalmente, os bancos administradores destes fundos projetam os valores de provisão esperados para os anos futuros. A tabela abaixo resume essas informações:</w:t>
      </w:r>
    </w:p>
    <w:p w14:paraId="60ADE84A" w14:textId="0FC90615"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F57AED" w:rsidRPr="005432E1">
        <w:rPr>
          <w:rFonts w:asciiTheme="minorHAnsi" w:hAnsiTheme="minorHAnsi"/>
          <w:b/>
          <w:bCs/>
        </w:rPr>
        <w:t>21</w:t>
      </w:r>
      <w:r w:rsidRPr="005432E1">
        <w:rPr>
          <w:rFonts w:asciiTheme="minorHAnsi" w:hAnsiTheme="minorHAnsi"/>
          <w:b/>
          <w:bCs/>
        </w:rPr>
        <w:t xml:space="preserve"> – Riscos dos Fundos Constitucionais: Provisão para Devedores Duvidosos (Valores em R$ milhões)</w:t>
      </w:r>
    </w:p>
    <w:tbl>
      <w:tblPr>
        <w:tblW w:w="863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734"/>
        <w:gridCol w:w="855"/>
        <w:gridCol w:w="855"/>
        <w:gridCol w:w="732"/>
        <w:gridCol w:w="732"/>
        <w:gridCol w:w="3944"/>
      </w:tblGrid>
      <w:tr w:rsidR="0026114A" w:rsidRPr="005432E1" w14:paraId="7DE5F5EB" w14:textId="77777777" w:rsidTr="00756D4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0AB5411E"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Fundos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14:paraId="668FD464"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Anos</w:t>
            </w:r>
          </w:p>
        </w:tc>
        <w:tc>
          <w:tcPr>
            <w:tcW w:w="3914" w:type="dxa"/>
            <w:vMerge w:val="restart"/>
            <w:tcBorders>
              <w:top w:val="outset" w:sz="6" w:space="0" w:color="auto"/>
              <w:left w:val="outset" w:sz="6" w:space="0" w:color="auto"/>
              <w:bottom w:val="outset" w:sz="6" w:space="0" w:color="auto"/>
              <w:right w:val="outset" w:sz="6" w:space="0" w:color="auto"/>
            </w:tcBorders>
            <w:vAlign w:val="center"/>
            <w:hideMark/>
          </w:tcPr>
          <w:p w14:paraId="36D3FEE2"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Impacto Financeiro (F) ou Primário (P)</w:t>
            </w:r>
          </w:p>
        </w:tc>
      </w:tr>
      <w:tr w:rsidR="0026114A" w:rsidRPr="005432E1" w14:paraId="3662C7AF" w14:textId="77777777" w:rsidTr="00756D4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18460F" w14:textId="77777777" w:rsidR="00756D40" w:rsidRPr="005432E1" w:rsidRDefault="00756D40" w:rsidP="00756D40">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04499E0"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2017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2CFD38F"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9F3DCBA"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2019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B67CC39"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2020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8127BD3"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2021</w:t>
            </w:r>
          </w:p>
        </w:tc>
        <w:tc>
          <w:tcPr>
            <w:tcW w:w="3914" w:type="dxa"/>
            <w:vMerge/>
            <w:tcBorders>
              <w:top w:val="outset" w:sz="6" w:space="0" w:color="auto"/>
              <w:left w:val="outset" w:sz="6" w:space="0" w:color="auto"/>
              <w:bottom w:val="outset" w:sz="6" w:space="0" w:color="auto"/>
              <w:right w:val="outset" w:sz="6" w:space="0" w:color="auto"/>
            </w:tcBorders>
            <w:vAlign w:val="center"/>
            <w:hideMark/>
          </w:tcPr>
          <w:p w14:paraId="282534AE" w14:textId="77777777" w:rsidR="00756D40" w:rsidRPr="005432E1" w:rsidRDefault="00756D40" w:rsidP="00756D40">
            <w:pPr>
              <w:rPr>
                <w:rFonts w:asciiTheme="minorHAnsi" w:hAnsiTheme="minorHAnsi"/>
              </w:rPr>
            </w:pPr>
          </w:p>
        </w:tc>
      </w:tr>
      <w:tr w:rsidR="0026114A" w:rsidRPr="005432E1" w14:paraId="4C026AC3"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6936190"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FCO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1294BF"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22,4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E14F82"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37,0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CB40C2F"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445EBC"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3F32F49"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w:t>
            </w:r>
          </w:p>
        </w:tc>
        <w:tc>
          <w:tcPr>
            <w:tcW w:w="3914" w:type="dxa"/>
            <w:tcBorders>
              <w:top w:val="outset" w:sz="6" w:space="0" w:color="auto"/>
              <w:left w:val="outset" w:sz="6" w:space="0" w:color="auto"/>
              <w:bottom w:val="outset" w:sz="6" w:space="0" w:color="auto"/>
              <w:right w:val="outset" w:sz="6" w:space="0" w:color="auto"/>
            </w:tcBorders>
            <w:noWrap/>
            <w:vAlign w:val="center"/>
            <w:hideMark/>
          </w:tcPr>
          <w:p w14:paraId="4369C6F5"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P</w:t>
            </w:r>
          </w:p>
        </w:tc>
      </w:tr>
      <w:tr w:rsidR="0026114A" w:rsidRPr="005432E1" w14:paraId="19C688A8"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3C698CE"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FNE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4E0C1C5"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896,1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767F79"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1124,7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054E27"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1254,5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93F81F"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1346,9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BA2A1D1"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1361,7</w:t>
            </w:r>
          </w:p>
        </w:tc>
        <w:tc>
          <w:tcPr>
            <w:tcW w:w="3914" w:type="dxa"/>
            <w:tcBorders>
              <w:top w:val="outset" w:sz="6" w:space="0" w:color="auto"/>
              <w:left w:val="outset" w:sz="6" w:space="0" w:color="auto"/>
              <w:bottom w:val="outset" w:sz="6" w:space="0" w:color="auto"/>
              <w:right w:val="outset" w:sz="6" w:space="0" w:color="auto"/>
            </w:tcBorders>
            <w:noWrap/>
            <w:vAlign w:val="center"/>
            <w:hideMark/>
          </w:tcPr>
          <w:p w14:paraId="39269FA0"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P</w:t>
            </w:r>
          </w:p>
        </w:tc>
      </w:tr>
      <w:tr w:rsidR="0026114A" w:rsidRPr="005432E1" w14:paraId="7BAC3043"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0754C1A"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FNO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56EB0"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381,4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8A44FD9"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337,3**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297FF9E"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337,3**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C360453"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F50B944"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rPr>
              <w:t>*</w:t>
            </w:r>
          </w:p>
        </w:tc>
        <w:tc>
          <w:tcPr>
            <w:tcW w:w="3914" w:type="dxa"/>
            <w:tcBorders>
              <w:top w:val="outset" w:sz="6" w:space="0" w:color="auto"/>
              <w:left w:val="outset" w:sz="6" w:space="0" w:color="auto"/>
              <w:bottom w:val="outset" w:sz="6" w:space="0" w:color="auto"/>
              <w:right w:val="outset" w:sz="6" w:space="0" w:color="auto"/>
            </w:tcBorders>
            <w:noWrap/>
            <w:vAlign w:val="center"/>
            <w:hideMark/>
          </w:tcPr>
          <w:p w14:paraId="56E07317"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P</w:t>
            </w:r>
          </w:p>
        </w:tc>
      </w:tr>
      <w:tr w:rsidR="0026114A" w:rsidRPr="005432E1" w14:paraId="02CCD0E4"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7C484A9"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92206DB"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b/>
                <w:bCs/>
              </w:rPr>
              <w:t>1299,9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6DF9FD"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b/>
                <w:bCs/>
              </w:rPr>
              <w:t>1498,9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1C5778"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b/>
                <w:bCs/>
              </w:rPr>
              <w:t>1626,8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547A66"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b/>
                <w:bCs/>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8E872CB" w14:textId="77777777" w:rsidR="00756D40" w:rsidRPr="005432E1" w:rsidRDefault="00756D40" w:rsidP="00756D40">
            <w:pPr>
              <w:spacing w:before="100" w:beforeAutospacing="1" w:after="100" w:afterAutospacing="1"/>
              <w:jc w:val="right"/>
              <w:rPr>
                <w:rFonts w:asciiTheme="minorHAnsi" w:hAnsiTheme="minorHAnsi"/>
              </w:rPr>
            </w:pPr>
            <w:r w:rsidRPr="005432E1">
              <w:rPr>
                <w:rFonts w:asciiTheme="minorHAnsi" w:hAnsiTheme="minorHAnsi"/>
                <w:b/>
                <w:bCs/>
              </w:rPr>
              <w:t>*</w:t>
            </w:r>
          </w:p>
        </w:tc>
        <w:tc>
          <w:tcPr>
            <w:tcW w:w="3914" w:type="dxa"/>
            <w:tcBorders>
              <w:top w:val="outset" w:sz="6" w:space="0" w:color="auto"/>
              <w:left w:val="outset" w:sz="6" w:space="0" w:color="auto"/>
              <w:bottom w:val="outset" w:sz="6" w:space="0" w:color="auto"/>
              <w:right w:val="outset" w:sz="6" w:space="0" w:color="auto"/>
            </w:tcBorders>
            <w:noWrap/>
            <w:vAlign w:val="center"/>
            <w:hideMark/>
          </w:tcPr>
          <w:p w14:paraId="0888CA7D"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P</w:t>
            </w:r>
          </w:p>
        </w:tc>
      </w:tr>
    </w:tbl>
    <w:p w14:paraId="06766624" w14:textId="12FA9AC8" w:rsidR="00756D40" w:rsidRPr="005432E1" w:rsidRDefault="00B0578A" w:rsidP="004B4990">
      <w:pPr>
        <w:rPr>
          <w:rFonts w:asciiTheme="minorHAnsi" w:hAnsiTheme="minorHAnsi"/>
          <w:sz w:val="20"/>
          <w:szCs w:val="20"/>
        </w:rPr>
      </w:pPr>
      <w:r w:rsidRPr="005432E1">
        <w:rPr>
          <w:rFonts w:asciiTheme="minorHAnsi" w:hAnsiTheme="minorHAnsi"/>
          <w:sz w:val="20"/>
          <w:szCs w:val="20"/>
          <w:vertAlign w:val="superscript"/>
        </w:rPr>
        <w:t xml:space="preserve">                </w:t>
      </w:r>
      <w:r w:rsidR="00756D40" w:rsidRPr="005432E1">
        <w:rPr>
          <w:rFonts w:asciiTheme="minorHAnsi" w:hAnsiTheme="minorHAnsi"/>
          <w:sz w:val="20"/>
          <w:szCs w:val="20"/>
          <w:vertAlign w:val="superscript"/>
        </w:rPr>
        <w:t>*</w:t>
      </w:r>
      <w:r w:rsidR="00756D40" w:rsidRPr="005432E1">
        <w:rPr>
          <w:rFonts w:asciiTheme="minorHAnsi" w:hAnsiTheme="minorHAnsi"/>
          <w:sz w:val="20"/>
          <w:szCs w:val="20"/>
        </w:rPr>
        <w:t xml:space="preserve"> Valores não estão disponíveis.</w:t>
      </w:r>
      <w:r w:rsidR="00ED1394" w:rsidRPr="005432E1">
        <w:rPr>
          <w:rFonts w:asciiTheme="minorHAnsi" w:hAnsiTheme="minorHAnsi"/>
          <w:sz w:val="20"/>
          <w:szCs w:val="20"/>
        </w:rPr>
        <w:t xml:space="preserve"> </w:t>
      </w:r>
      <w:r w:rsidR="00756D40" w:rsidRPr="005432E1">
        <w:rPr>
          <w:rFonts w:asciiTheme="minorHAnsi" w:hAnsiTheme="minorHAnsi"/>
          <w:sz w:val="20"/>
          <w:szCs w:val="20"/>
        </w:rPr>
        <w:t>** Valores projetados com base no resultado observado de 2015.</w:t>
      </w:r>
    </w:p>
    <w:p w14:paraId="0739261C" w14:textId="693FEA8A" w:rsidR="00ED1394" w:rsidRPr="005432E1" w:rsidRDefault="004B4990" w:rsidP="004B4990">
      <w:pPr>
        <w:rPr>
          <w:rFonts w:asciiTheme="minorHAnsi" w:hAnsiTheme="minorHAnsi"/>
          <w:sz w:val="20"/>
          <w:szCs w:val="20"/>
        </w:rPr>
      </w:pPr>
      <w:r w:rsidRPr="005432E1">
        <w:rPr>
          <w:rFonts w:asciiTheme="minorHAnsi" w:hAnsiTheme="minorHAnsi"/>
          <w:sz w:val="20"/>
          <w:szCs w:val="20"/>
        </w:rPr>
        <w:t xml:space="preserve">          </w:t>
      </w:r>
      <w:r w:rsidR="00ED1394" w:rsidRPr="005432E1">
        <w:rPr>
          <w:rFonts w:asciiTheme="minorHAnsi" w:hAnsiTheme="minorHAnsi"/>
          <w:sz w:val="20"/>
          <w:szCs w:val="20"/>
        </w:rPr>
        <w:t>Fonte: Balanços Patrimoniais dos Fundos Constitucionais e informações enviadas pelos bancos administradores.</w:t>
      </w:r>
    </w:p>
    <w:p w14:paraId="3677BF07" w14:textId="77777777" w:rsidR="00756D40" w:rsidRPr="005432E1" w:rsidRDefault="00756D40" w:rsidP="00756D40">
      <w:pPr>
        <w:spacing w:before="100" w:beforeAutospacing="1" w:after="100" w:afterAutospacing="1"/>
        <w:jc w:val="both"/>
        <w:rPr>
          <w:rFonts w:asciiTheme="minorHAnsi" w:hAnsiTheme="minorHAnsi"/>
        </w:rPr>
      </w:pPr>
      <w:r w:rsidRPr="005432E1">
        <w:rPr>
          <w:rFonts w:asciiTheme="minorHAnsi" w:hAnsiTheme="minorHAnsi"/>
        </w:rPr>
        <w:tab/>
        <w:t>Por outro lado, os créditos baixados como prejuízo e registrados em contas de compensação podem ser futuramente recuperados, mes</w:t>
      </w:r>
      <w:r w:rsidR="00ED1394" w:rsidRPr="005432E1">
        <w:rPr>
          <w:rFonts w:asciiTheme="minorHAnsi" w:hAnsiTheme="minorHAnsi"/>
        </w:rPr>
        <w:t>mo que em pequena fração. Estes</w:t>
      </w:r>
      <w:r w:rsidRPr="005432E1">
        <w:rPr>
          <w:rFonts w:asciiTheme="minorHAnsi" w:hAnsiTheme="minorHAnsi"/>
        </w:rPr>
        <w:t xml:space="preserve"> créditos, que outrora geraram impacto fiscal negativo no momento da provisão, poderão afetar positivamente o resultado primário na eventualidade de recuperação. Com base nos balanços de 31/12/2017, para o FCO, o FNE e o FNO, os valores baixados como prejuízo relativos a operações com risco dos Fundos foram de R$ 2.993,9 milhões para o FCO, R$ 9.558,2 milhões para o FNE e R$ 3.359,9 milhões para o FNO, totalizando R$ 15.912,1 milhões. Tais valores referem-se ao estoque informado nos balanços dos respectivos fundos.</w:t>
      </w:r>
    </w:p>
    <w:p w14:paraId="027C0DD7" w14:textId="2DFB1F62" w:rsidR="00756D40" w:rsidRPr="005432E1" w:rsidRDefault="006264C0" w:rsidP="00756D40">
      <w:pPr>
        <w:spacing w:before="100" w:beforeAutospacing="1" w:after="100" w:afterAutospacing="1"/>
        <w:jc w:val="center"/>
        <w:rPr>
          <w:rFonts w:asciiTheme="minorHAnsi" w:hAnsiTheme="minorHAnsi"/>
        </w:rPr>
      </w:pPr>
      <w:r w:rsidRPr="005432E1">
        <w:rPr>
          <w:rFonts w:asciiTheme="minorHAnsi" w:hAnsiTheme="minorHAnsi"/>
          <w:b/>
          <w:bCs/>
        </w:rPr>
        <w:t>Tabela 2</w:t>
      </w:r>
      <w:r w:rsidR="00F57AED" w:rsidRPr="005432E1">
        <w:rPr>
          <w:rFonts w:asciiTheme="minorHAnsi" w:hAnsiTheme="minorHAnsi"/>
          <w:b/>
          <w:bCs/>
        </w:rPr>
        <w:t>2</w:t>
      </w:r>
      <w:r w:rsidR="00756D40" w:rsidRPr="005432E1">
        <w:rPr>
          <w:rFonts w:asciiTheme="minorHAnsi" w:hAnsiTheme="minorHAnsi"/>
          <w:b/>
          <w:bCs/>
        </w:rPr>
        <w:t xml:space="preserve"> – Créditos baixados como preju</w:t>
      </w:r>
      <w:r w:rsidR="00ED1394" w:rsidRPr="005432E1">
        <w:rPr>
          <w:rFonts w:asciiTheme="minorHAnsi" w:hAnsiTheme="minorHAnsi"/>
          <w:b/>
          <w:bCs/>
        </w:rPr>
        <w:t>ízo até 2017 – estoque (</w:t>
      </w:r>
      <w:r w:rsidR="00756D40" w:rsidRPr="005432E1">
        <w:rPr>
          <w:rFonts w:asciiTheme="minorHAnsi" w:hAnsiTheme="minorHAnsi"/>
          <w:b/>
          <w:bCs/>
        </w:rPr>
        <w:t>R$ milhões)</w:t>
      </w:r>
    </w:p>
    <w:tbl>
      <w:tblPr>
        <w:tblW w:w="977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3039"/>
        <w:gridCol w:w="2903"/>
        <w:gridCol w:w="3050"/>
      </w:tblGrid>
      <w:tr w:rsidR="0026114A" w:rsidRPr="005432E1" w14:paraId="7C743249"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2BA315" w14:textId="77777777" w:rsidR="00756D40" w:rsidRPr="005432E1" w:rsidRDefault="00756D40" w:rsidP="00756D40">
            <w:pPr>
              <w:spacing w:before="100" w:beforeAutospacing="1" w:after="100" w:afterAutospacing="1"/>
              <w:rPr>
                <w:rFonts w:asciiTheme="minorHAnsi" w:hAnsiTheme="minorHAnsi"/>
              </w:rPr>
            </w:pPr>
          </w:p>
        </w:tc>
        <w:tc>
          <w:tcPr>
            <w:tcW w:w="3009" w:type="dxa"/>
            <w:tcBorders>
              <w:top w:val="outset" w:sz="6" w:space="0" w:color="auto"/>
              <w:left w:val="outset" w:sz="6" w:space="0" w:color="auto"/>
              <w:bottom w:val="outset" w:sz="6" w:space="0" w:color="auto"/>
              <w:right w:val="outset" w:sz="6" w:space="0" w:color="auto"/>
            </w:tcBorders>
            <w:vAlign w:val="center"/>
            <w:hideMark/>
          </w:tcPr>
          <w:p w14:paraId="611C3C63"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Recuperação de créditos baixados como prejuízo 2017 (A)</w:t>
            </w:r>
          </w:p>
        </w:tc>
        <w:tc>
          <w:tcPr>
            <w:tcW w:w="2873" w:type="dxa"/>
            <w:tcBorders>
              <w:top w:val="outset" w:sz="6" w:space="0" w:color="auto"/>
              <w:left w:val="outset" w:sz="6" w:space="0" w:color="auto"/>
              <w:bottom w:val="outset" w:sz="6" w:space="0" w:color="auto"/>
              <w:right w:val="outset" w:sz="6" w:space="0" w:color="auto"/>
            </w:tcBorders>
            <w:vAlign w:val="center"/>
            <w:hideMark/>
          </w:tcPr>
          <w:p w14:paraId="13459821"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Créditos baixados como prejuízo (estoque 31/12/2017) (B)</w:t>
            </w:r>
          </w:p>
        </w:tc>
        <w:tc>
          <w:tcPr>
            <w:tcW w:w="3020" w:type="dxa"/>
            <w:tcBorders>
              <w:top w:val="outset" w:sz="6" w:space="0" w:color="auto"/>
              <w:left w:val="outset" w:sz="6" w:space="0" w:color="auto"/>
              <w:bottom w:val="outset" w:sz="6" w:space="0" w:color="auto"/>
              <w:right w:val="outset" w:sz="6" w:space="0" w:color="auto"/>
            </w:tcBorders>
            <w:vAlign w:val="center"/>
            <w:hideMark/>
          </w:tcPr>
          <w:p w14:paraId="6FE9EE9F"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b/>
                <w:bCs/>
              </w:rPr>
              <w:t>Quociente de recuperação (A/B)</w:t>
            </w:r>
          </w:p>
        </w:tc>
      </w:tr>
      <w:tr w:rsidR="0026114A" w:rsidRPr="005432E1" w14:paraId="23EA63D0"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0BA0359"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 xml:space="preserve">FCO </w:t>
            </w:r>
            <w:r w:rsidRPr="005432E1">
              <w:rPr>
                <w:rFonts w:asciiTheme="minorHAnsi" w:hAnsiTheme="minorHAnsi"/>
                <w:b/>
                <w:bCs/>
                <w:vertAlign w:val="superscript"/>
              </w:rPr>
              <w:t>(1)</w:t>
            </w:r>
          </w:p>
        </w:tc>
        <w:tc>
          <w:tcPr>
            <w:tcW w:w="3009" w:type="dxa"/>
            <w:tcBorders>
              <w:top w:val="outset" w:sz="6" w:space="0" w:color="auto"/>
              <w:left w:val="outset" w:sz="6" w:space="0" w:color="auto"/>
              <w:bottom w:val="outset" w:sz="6" w:space="0" w:color="auto"/>
              <w:right w:val="outset" w:sz="6" w:space="0" w:color="auto"/>
            </w:tcBorders>
            <w:noWrap/>
            <w:vAlign w:val="center"/>
            <w:hideMark/>
          </w:tcPr>
          <w:p w14:paraId="4B1F254E"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2,30</w:t>
            </w:r>
          </w:p>
        </w:tc>
        <w:tc>
          <w:tcPr>
            <w:tcW w:w="2873" w:type="dxa"/>
            <w:tcBorders>
              <w:top w:val="outset" w:sz="6" w:space="0" w:color="auto"/>
              <w:left w:val="outset" w:sz="6" w:space="0" w:color="auto"/>
              <w:bottom w:val="outset" w:sz="6" w:space="0" w:color="auto"/>
              <w:right w:val="outset" w:sz="6" w:space="0" w:color="auto"/>
            </w:tcBorders>
            <w:noWrap/>
            <w:vAlign w:val="center"/>
            <w:hideMark/>
          </w:tcPr>
          <w:p w14:paraId="04E6EF1E"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2.993,95</w:t>
            </w:r>
          </w:p>
        </w:tc>
        <w:tc>
          <w:tcPr>
            <w:tcW w:w="3020" w:type="dxa"/>
            <w:tcBorders>
              <w:top w:val="outset" w:sz="6" w:space="0" w:color="auto"/>
              <w:left w:val="outset" w:sz="6" w:space="0" w:color="auto"/>
              <w:bottom w:val="outset" w:sz="6" w:space="0" w:color="auto"/>
              <w:right w:val="outset" w:sz="6" w:space="0" w:color="auto"/>
            </w:tcBorders>
            <w:noWrap/>
            <w:vAlign w:val="center"/>
            <w:hideMark/>
          </w:tcPr>
          <w:p w14:paraId="2A6FF3D8"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0,08%</w:t>
            </w:r>
          </w:p>
        </w:tc>
      </w:tr>
      <w:tr w:rsidR="0026114A" w:rsidRPr="005432E1" w14:paraId="7B96BE41"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203DAD5"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FNO</w:t>
            </w:r>
          </w:p>
        </w:tc>
        <w:tc>
          <w:tcPr>
            <w:tcW w:w="3009" w:type="dxa"/>
            <w:tcBorders>
              <w:top w:val="outset" w:sz="6" w:space="0" w:color="auto"/>
              <w:left w:val="outset" w:sz="6" w:space="0" w:color="auto"/>
              <w:bottom w:val="outset" w:sz="6" w:space="0" w:color="auto"/>
              <w:right w:val="outset" w:sz="6" w:space="0" w:color="auto"/>
            </w:tcBorders>
            <w:noWrap/>
            <w:vAlign w:val="center"/>
            <w:hideMark/>
          </w:tcPr>
          <w:p w14:paraId="18EF0708"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335,28</w:t>
            </w:r>
          </w:p>
        </w:tc>
        <w:tc>
          <w:tcPr>
            <w:tcW w:w="2873" w:type="dxa"/>
            <w:tcBorders>
              <w:top w:val="outset" w:sz="6" w:space="0" w:color="auto"/>
              <w:left w:val="outset" w:sz="6" w:space="0" w:color="auto"/>
              <w:bottom w:val="outset" w:sz="6" w:space="0" w:color="auto"/>
              <w:right w:val="outset" w:sz="6" w:space="0" w:color="auto"/>
            </w:tcBorders>
            <w:noWrap/>
            <w:vAlign w:val="center"/>
            <w:hideMark/>
          </w:tcPr>
          <w:p w14:paraId="24ED75E1"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3.359,91</w:t>
            </w:r>
          </w:p>
        </w:tc>
        <w:tc>
          <w:tcPr>
            <w:tcW w:w="3020" w:type="dxa"/>
            <w:tcBorders>
              <w:top w:val="outset" w:sz="6" w:space="0" w:color="auto"/>
              <w:left w:val="outset" w:sz="6" w:space="0" w:color="auto"/>
              <w:bottom w:val="outset" w:sz="6" w:space="0" w:color="auto"/>
              <w:right w:val="outset" w:sz="6" w:space="0" w:color="auto"/>
            </w:tcBorders>
            <w:noWrap/>
            <w:vAlign w:val="center"/>
            <w:hideMark/>
          </w:tcPr>
          <w:p w14:paraId="44D00684"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9,98%</w:t>
            </w:r>
          </w:p>
        </w:tc>
      </w:tr>
      <w:tr w:rsidR="0026114A" w:rsidRPr="005432E1" w14:paraId="22143FD5"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10DCEAE"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FNE</w:t>
            </w:r>
          </w:p>
        </w:tc>
        <w:tc>
          <w:tcPr>
            <w:tcW w:w="3009" w:type="dxa"/>
            <w:tcBorders>
              <w:top w:val="outset" w:sz="6" w:space="0" w:color="auto"/>
              <w:left w:val="outset" w:sz="6" w:space="0" w:color="auto"/>
              <w:bottom w:val="outset" w:sz="6" w:space="0" w:color="auto"/>
              <w:right w:val="outset" w:sz="6" w:space="0" w:color="auto"/>
            </w:tcBorders>
            <w:noWrap/>
            <w:vAlign w:val="center"/>
            <w:hideMark/>
          </w:tcPr>
          <w:p w14:paraId="69BEC7D8"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567,85</w:t>
            </w:r>
          </w:p>
        </w:tc>
        <w:tc>
          <w:tcPr>
            <w:tcW w:w="2873" w:type="dxa"/>
            <w:tcBorders>
              <w:top w:val="outset" w:sz="6" w:space="0" w:color="auto"/>
              <w:left w:val="outset" w:sz="6" w:space="0" w:color="auto"/>
              <w:bottom w:val="outset" w:sz="6" w:space="0" w:color="auto"/>
              <w:right w:val="outset" w:sz="6" w:space="0" w:color="auto"/>
            </w:tcBorders>
            <w:noWrap/>
            <w:vAlign w:val="center"/>
            <w:hideMark/>
          </w:tcPr>
          <w:p w14:paraId="5705931E"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9.558,24</w:t>
            </w:r>
          </w:p>
        </w:tc>
        <w:tc>
          <w:tcPr>
            <w:tcW w:w="3020" w:type="dxa"/>
            <w:tcBorders>
              <w:top w:val="outset" w:sz="6" w:space="0" w:color="auto"/>
              <w:left w:val="outset" w:sz="6" w:space="0" w:color="auto"/>
              <w:bottom w:val="outset" w:sz="6" w:space="0" w:color="auto"/>
              <w:right w:val="outset" w:sz="6" w:space="0" w:color="auto"/>
            </w:tcBorders>
            <w:noWrap/>
            <w:vAlign w:val="center"/>
            <w:hideMark/>
          </w:tcPr>
          <w:p w14:paraId="0BE9C416"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5,94%</w:t>
            </w:r>
          </w:p>
        </w:tc>
      </w:tr>
      <w:tr w:rsidR="0026114A" w:rsidRPr="005432E1" w14:paraId="39E1AE98" w14:textId="77777777" w:rsidTr="00756D40">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DE19EEC" w14:textId="77777777" w:rsidR="00756D40" w:rsidRPr="005432E1" w:rsidRDefault="00756D40" w:rsidP="00756D40">
            <w:pPr>
              <w:spacing w:before="100" w:beforeAutospacing="1" w:after="100" w:afterAutospacing="1"/>
              <w:rPr>
                <w:rFonts w:asciiTheme="minorHAnsi" w:hAnsiTheme="minorHAnsi"/>
              </w:rPr>
            </w:pPr>
            <w:r w:rsidRPr="005432E1">
              <w:rPr>
                <w:rFonts w:asciiTheme="minorHAnsi" w:hAnsiTheme="minorHAnsi"/>
                <w:b/>
                <w:bCs/>
              </w:rPr>
              <w:t>TOTAL</w:t>
            </w:r>
          </w:p>
        </w:tc>
        <w:tc>
          <w:tcPr>
            <w:tcW w:w="3009" w:type="dxa"/>
            <w:tcBorders>
              <w:top w:val="outset" w:sz="6" w:space="0" w:color="auto"/>
              <w:left w:val="outset" w:sz="6" w:space="0" w:color="auto"/>
              <w:bottom w:val="outset" w:sz="6" w:space="0" w:color="auto"/>
              <w:right w:val="outset" w:sz="6" w:space="0" w:color="auto"/>
            </w:tcBorders>
            <w:noWrap/>
            <w:vAlign w:val="center"/>
            <w:hideMark/>
          </w:tcPr>
          <w:p w14:paraId="539ACE0D"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905,43</w:t>
            </w:r>
          </w:p>
        </w:tc>
        <w:tc>
          <w:tcPr>
            <w:tcW w:w="2873" w:type="dxa"/>
            <w:tcBorders>
              <w:top w:val="outset" w:sz="6" w:space="0" w:color="auto"/>
              <w:left w:val="outset" w:sz="6" w:space="0" w:color="auto"/>
              <w:bottom w:val="outset" w:sz="6" w:space="0" w:color="auto"/>
              <w:right w:val="outset" w:sz="6" w:space="0" w:color="auto"/>
            </w:tcBorders>
            <w:noWrap/>
            <w:vAlign w:val="center"/>
            <w:hideMark/>
          </w:tcPr>
          <w:p w14:paraId="74DFAE8C"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15.912,10</w:t>
            </w:r>
          </w:p>
        </w:tc>
        <w:tc>
          <w:tcPr>
            <w:tcW w:w="3020" w:type="dxa"/>
            <w:tcBorders>
              <w:top w:val="outset" w:sz="6" w:space="0" w:color="auto"/>
              <w:left w:val="outset" w:sz="6" w:space="0" w:color="auto"/>
              <w:bottom w:val="outset" w:sz="6" w:space="0" w:color="auto"/>
              <w:right w:val="outset" w:sz="6" w:space="0" w:color="auto"/>
            </w:tcBorders>
            <w:noWrap/>
            <w:vAlign w:val="center"/>
            <w:hideMark/>
          </w:tcPr>
          <w:p w14:paraId="44382B4B" w14:textId="77777777" w:rsidR="00756D40" w:rsidRPr="005432E1" w:rsidRDefault="00756D40" w:rsidP="00756D40">
            <w:pPr>
              <w:spacing w:before="100" w:beforeAutospacing="1" w:after="100" w:afterAutospacing="1"/>
              <w:jc w:val="center"/>
              <w:rPr>
                <w:rFonts w:asciiTheme="minorHAnsi" w:hAnsiTheme="minorHAnsi"/>
              </w:rPr>
            </w:pPr>
            <w:r w:rsidRPr="005432E1">
              <w:rPr>
                <w:rFonts w:asciiTheme="minorHAnsi" w:hAnsiTheme="minorHAnsi"/>
              </w:rPr>
              <w:t>5,69%</w:t>
            </w:r>
          </w:p>
        </w:tc>
      </w:tr>
    </w:tbl>
    <w:p w14:paraId="21F3C899" w14:textId="77777777" w:rsidR="00756D40" w:rsidRPr="005432E1" w:rsidRDefault="00756D40" w:rsidP="00B0578A">
      <w:pPr>
        <w:spacing w:after="100" w:afterAutospacing="1"/>
        <w:rPr>
          <w:rFonts w:asciiTheme="minorHAnsi" w:hAnsiTheme="minorHAnsi"/>
          <w:sz w:val="20"/>
          <w:szCs w:val="20"/>
        </w:rPr>
      </w:pPr>
      <w:r w:rsidRPr="005432E1">
        <w:rPr>
          <w:rFonts w:asciiTheme="minorHAnsi" w:hAnsiTheme="minorHAnsi"/>
          <w:sz w:val="20"/>
          <w:szCs w:val="20"/>
          <w:vertAlign w:val="superscript"/>
        </w:rPr>
        <w:t xml:space="preserve">(1) </w:t>
      </w:r>
      <w:r w:rsidRPr="005432E1">
        <w:rPr>
          <w:rFonts w:asciiTheme="minorHAnsi" w:hAnsiTheme="minorHAnsi"/>
          <w:sz w:val="20"/>
          <w:szCs w:val="20"/>
        </w:rPr>
        <w:t>O dado do FCO está descrito como “recuperação de perdas”. Como há outra conta descrita como “reversão de PCLD”, supõem-se que “recuperação de perdas” seja somente em relação a</w:t>
      </w:r>
      <w:r w:rsidR="00ED1394" w:rsidRPr="005432E1">
        <w:rPr>
          <w:rFonts w:asciiTheme="minorHAnsi" w:hAnsiTheme="minorHAnsi"/>
          <w:sz w:val="20"/>
          <w:szCs w:val="20"/>
        </w:rPr>
        <w:t xml:space="preserve"> </w:t>
      </w:r>
      <w:r w:rsidRPr="005432E1">
        <w:rPr>
          <w:rFonts w:asciiTheme="minorHAnsi" w:hAnsiTheme="minorHAnsi"/>
          <w:sz w:val="20"/>
          <w:szCs w:val="20"/>
        </w:rPr>
        <w:t>créditos baixados.</w:t>
      </w:r>
    </w:p>
    <w:p w14:paraId="20636515" w14:textId="77777777" w:rsidR="00756D40" w:rsidRPr="005432E1" w:rsidRDefault="00756D40" w:rsidP="00756D40">
      <w:pPr>
        <w:spacing w:before="100" w:beforeAutospacing="1" w:after="100" w:afterAutospacing="1"/>
        <w:rPr>
          <w:rFonts w:asciiTheme="minorHAnsi" w:hAnsiTheme="minorHAnsi"/>
          <w:sz w:val="20"/>
          <w:szCs w:val="20"/>
        </w:rPr>
      </w:pPr>
      <w:r w:rsidRPr="005432E1">
        <w:rPr>
          <w:rFonts w:asciiTheme="minorHAnsi" w:hAnsiTheme="minorHAnsi"/>
          <w:sz w:val="20"/>
          <w:szCs w:val="20"/>
        </w:rPr>
        <w:t>Fonte: Balanços Patrimoniais dos Fundos Constitucionais e informações enviadas pelos bancos administradores.</w:t>
      </w:r>
    </w:p>
    <w:p w14:paraId="2029A5C1" w14:textId="77777777" w:rsidR="00ED1394" w:rsidRPr="005432E1" w:rsidRDefault="00ED1394" w:rsidP="00ED1394">
      <w:pPr>
        <w:spacing w:before="100" w:beforeAutospacing="1" w:after="100" w:afterAutospacing="1"/>
        <w:jc w:val="both"/>
        <w:rPr>
          <w:rFonts w:asciiTheme="minorHAnsi" w:hAnsiTheme="minorHAnsi"/>
        </w:rPr>
      </w:pPr>
      <w:r w:rsidRPr="005432E1">
        <w:rPr>
          <w:rFonts w:asciiTheme="minorHAnsi" w:hAnsiTheme="minorHAnsi"/>
        </w:rPr>
        <w:tab/>
        <w:t>O impacto dessas operações nas estatísticas fiscais, seja de provisão ou de recuperação de créditos, se dá na rubrica de resultado dos fundos constitucionais e afeta o resultado primário do Governo Central.</w:t>
      </w:r>
    </w:p>
    <w:p w14:paraId="78C8AFC2" w14:textId="77777777" w:rsidR="00A57693" w:rsidRPr="005432E1" w:rsidRDefault="00A57693" w:rsidP="002D2FBD">
      <w:pPr>
        <w:rPr>
          <w:rFonts w:asciiTheme="minorHAnsi" w:hAnsiTheme="minorHAnsi"/>
          <w:b/>
        </w:rPr>
      </w:pPr>
      <w:bookmarkStart w:id="123" w:name="_Toc414973436"/>
      <w:bookmarkStart w:id="124" w:name="_Toc414973437"/>
      <w:bookmarkStart w:id="125" w:name="_Toc132514537"/>
      <w:bookmarkStart w:id="126" w:name="_Toc132533722"/>
      <w:bookmarkStart w:id="127" w:name="_Toc132534060"/>
      <w:bookmarkStart w:id="128" w:name="_Toc132534199"/>
      <w:bookmarkStart w:id="129" w:name="_Toc132610248"/>
      <w:bookmarkStart w:id="130" w:name="_Toc132621140"/>
      <w:bookmarkStart w:id="131" w:name="_Toc132623190"/>
      <w:bookmarkStart w:id="132" w:name="_Toc132623455"/>
      <w:bookmarkStart w:id="133" w:name="_Toc132623536"/>
      <w:bookmarkStart w:id="134" w:name="_Toc132624041"/>
      <w:bookmarkStart w:id="135" w:name="_Toc132624156"/>
      <w:bookmarkStart w:id="136" w:name="_Toc163007601"/>
      <w:bookmarkStart w:id="137" w:name="_Toc163008023"/>
      <w:bookmarkStart w:id="138" w:name="_Toc163008556"/>
      <w:bookmarkStart w:id="139" w:name="_Toc163008714"/>
      <w:bookmarkStart w:id="140" w:name="_Toc163014757"/>
      <w:bookmarkStart w:id="141" w:name="_Toc163298141"/>
      <w:bookmarkStart w:id="142" w:name="_Toc163298256"/>
      <w:bookmarkStart w:id="143" w:name="_Toc163377931"/>
      <w:bookmarkStart w:id="144" w:name="_Toc163535975"/>
      <w:bookmarkStart w:id="145" w:name="_Toc194486448"/>
      <w:bookmarkStart w:id="146" w:name="_Toc225917812"/>
      <w:bookmarkStart w:id="147" w:name="_Toc226363352"/>
      <w:bookmarkStart w:id="148" w:name="_Toc226364386"/>
      <w:bookmarkStart w:id="149" w:name="_Toc226432558"/>
      <w:bookmarkStart w:id="150" w:name="_Toc226434509"/>
      <w:bookmarkStart w:id="151" w:name="_Toc226434728"/>
      <w:bookmarkStart w:id="152" w:name="_Toc226519739"/>
      <w:bookmarkStart w:id="153" w:name="_Toc226519830"/>
      <w:bookmarkStart w:id="154" w:name="_Toc257728046"/>
      <w:bookmarkStart w:id="155" w:name="_Toc257728093"/>
      <w:bookmarkStart w:id="156" w:name="_Toc447189142"/>
      <w:bookmarkStart w:id="157" w:name="_Toc447613137"/>
      <w:bookmarkEnd w:id="120"/>
      <w:bookmarkEnd w:id="121"/>
      <w:bookmarkEnd w:id="122"/>
      <w:bookmarkEnd w:id="123"/>
      <w:bookmarkEnd w:id="124"/>
    </w:p>
    <w:p w14:paraId="460B8CBA" w14:textId="77777777" w:rsidR="002B0F44" w:rsidRPr="005432E1" w:rsidRDefault="001F2AEB" w:rsidP="004C4B03">
      <w:pPr>
        <w:pStyle w:val="Ttulo3"/>
        <w:numPr>
          <w:ilvl w:val="0"/>
          <w:numId w:val="0"/>
        </w:numPr>
        <w:rPr>
          <w:rFonts w:asciiTheme="minorHAnsi" w:hAnsiTheme="minorHAnsi"/>
          <w:b/>
        </w:rPr>
      </w:pPr>
      <w:bookmarkStart w:id="158" w:name="_Toc511230026"/>
      <w:r w:rsidRPr="005432E1">
        <w:rPr>
          <w:rFonts w:asciiTheme="minorHAnsi" w:hAnsiTheme="minorHAnsi"/>
          <w:b/>
        </w:rPr>
        <w:t>3.</w:t>
      </w:r>
      <w:r w:rsidR="00467F44" w:rsidRPr="005432E1">
        <w:rPr>
          <w:rFonts w:asciiTheme="minorHAnsi" w:hAnsiTheme="minorHAnsi"/>
          <w:b/>
        </w:rPr>
        <w:t>2</w:t>
      </w:r>
      <w:r w:rsidRPr="005432E1">
        <w:rPr>
          <w:rFonts w:asciiTheme="minorHAnsi" w:hAnsiTheme="minorHAnsi"/>
          <w:b/>
        </w:rPr>
        <w:tab/>
      </w:r>
      <w:r w:rsidR="002B0F44" w:rsidRPr="005432E1">
        <w:rPr>
          <w:rFonts w:asciiTheme="minorHAnsi" w:hAnsiTheme="minorHAnsi"/>
          <w:b/>
        </w:rPr>
        <w:t>ATIVOS CONTINGENTES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422A119" w14:textId="77777777" w:rsidR="00A57693" w:rsidRPr="005432E1" w:rsidRDefault="00A57693" w:rsidP="006F4AC5">
      <w:pPr>
        <w:ind w:firstLine="708"/>
        <w:jc w:val="both"/>
        <w:rPr>
          <w:rFonts w:asciiTheme="minorHAnsi" w:hAnsiTheme="minorHAnsi"/>
        </w:rPr>
      </w:pPr>
    </w:p>
    <w:p w14:paraId="7F8B1AA3" w14:textId="77777777" w:rsidR="002B0F44" w:rsidRPr="005432E1" w:rsidRDefault="002B0F44" w:rsidP="006F4AC5">
      <w:pPr>
        <w:ind w:firstLine="708"/>
        <w:jc w:val="both"/>
        <w:rPr>
          <w:rFonts w:asciiTheme="minorHAnsi" w:hAnsiTheme="minorHAnsi"/>
        </w:rPr>
      </w:pPr>
      <w:r w:rsidRPr="005432E1">
        <w:rPr>
          <w:rFonts w:asciiTheme="minorHAnsi" w:hAnsiTheme="minorHAnsi"/>
        </w:rPr>
        <w:t>Em oposição aos passivos contingentes, existem os ativos contingentes, que são direitos que estão sendo cobrados, judic</w:t>
      </w:r>
      <w:r w:rsidR="00A32E4B" w:rsidRPr="005432E1">
        <w:rPr>
          <w:rFonts w:asciiTheme="minorHAnsi" w:hAnsiTheme="minorHAnsi"/>
        </w:rPr>
        <w:t>ialmente ou administrativamente</w:t>
      </w:r>
      <w:r w:rsidRPr="005432E1">
        <w:rPr>
          <w:rFonts w:asciiTheme="minorHAnsi" w:hAnsiTheme="minorHAnsi"/>
        </w:rPr>
        <w:t xml:space="preserve"> e</w:t>
      </w:r>
      <w:r w:rsidR="00A32E4B" w:rsidRPr="005432E1">
        <w:rPr>
          <w:rFonts w:asciiTheme="minorHAnsi" w:hAnsiTheme="minorHAnsi"/>
        </w:rPr>
        <w:t>,</w:t>
      </w:r>
      <w:r w:rsidRPr="005432E1">
        <w:rPr>
          <w:rFonts w:asciiTheme="minorHAnsi" w:hAnsiTheme="minorHAnsi"/>
        </w:rPr>
        <w:t xml:space="preserve"> sendo recebidos</w:t>
      </w:r>
      <w:r w:rsidR="00A32E4B" w:rsidRPr="005432E1">
        <w:rPr>
          <w:rFonts w:asciiTheme="minorHAnsi" w:hAnsiTheme="minorHAnsi"/>
        </w:rPr>
        <w:t>,</w:t>
      </w:r>
      <w:r w:rsidRPr="005432E1">
        <w:rPr>
          <w:rFonts w:asciiTheme="minorHAnsi" w:hAnsiTheme="minorHAnsi"/>
        </w:rPr>
        <w:t xml:space="preserve"> geram receita. A seguir são apresentados os conceitos e estimativas dos ativos contingentes da União e Autarquias e Fundações, de acordo com a seguinte classificação:</w:t>
      </w:r>
    </w:p>
    <w:p w14:paraId="1689E843" w14:textId="77777777" w:rsidR="00E01602" w:rsidRPr="005432E1" w:rsidRDefault="00E01602" w:rsidP="006F4AC5">
      <w:pPr>
        <w:pStyle w:val="PargrafodaLista"/>
        <w:jc w:val="both"/>
        <w:rPr>
          <w:rFonts w:asciiTheme="minorHAnsi" w:hAnsiTheme="minorHAnsi"/>
        </w:rPr>
      </w:pPr>
    </w:p>
    <w:p w14:paraId="43A00E5C" w14:textId="77777777" w:rsidR="002B0F44" w:rsidRPr="005432E1" w:rsidRDefault="004739A1" w:rsidP="006F4AC5">
      <w:pPr>
        <w:pStyle w:val="PargrafodaLista"/>
        <w:jc w:val="both"/>
        <w:rPr>
          <w:rFonts w:asciiTheme="minorHAnsi" w:hAnsiTheme="minorHAnsi"/>
        </w:rPr>
      </w:pPr>
      <w:r w:rsidRPr="005432E1">
        <w:rPr>
          <w:rFonts w:asciiTheme="minorHAnsi" w:hAnsiTheme="minorHAnsi"/>
        </w:rPr>
        <w:t xml:space="preserve">- </w:t>
      </w:r>
      <w:r w:rsidR="00037FBE" w:rsidRPr="005432E1">
        <w:rPr>
          <w:rFonts w:asciiTheme="minorHAnsi" w:hAnsiTheme="minorHAnsi"/>
        </w:rPr>
        <w:t>Dívida Ativa da União</w:t>
      </w:r>
    </w:p>
    <w:p w14:paraId="6E53A5DA" w14:textId="77777777" w:rsidR="005E1EAE" w:rsidRPr="005432E1" w:rsidRDefault="004739A1" w:rsidP="006F4AC5">
      <w:pPr>
        <w:ind w:left="720"/>
        <w:jc w:val="both"/>
        <w:rPr>
          <w:rFonts w:asciiTheme="minorHAnsi" w:hAnsiTheme="minorHAnsi"/>
        </w:rPr>
      </w:pPr>
      <w:r w:rsidRPr="005432E1">
        <w:rPr>
          <w:rFonts w:asciiTheme="minorHAnsi" w:hAnsiTheme="minorHAnsi"/>
        </w:rPr>
        <w:t xml:space="preserve">- </w:t>
      </w:r>
      <w:r w:rsidR="00037FBE" w:rsidRPr="005432E1">
        <w:rPr>
          <w:rFonts w:asciiTheme="minorHAnsi" w:hAnsiTheme="minorHAnsi"/>
        </w:rPr>
        <w:t xml:space="preserve">Depósitos Judiciais </w:t>
      </w:r>
    </w:p>
    <w:p w14:paraId="1A0E9282" w14:textId="77777777" w:rsidR="003D4123" w:rsidRPr="005432E1" w:rsidRDefault="004739A1" w:rsidP="006F4AC5">
      <w:pPr>
        <w:ind w:left="720"/>
        <w:jc w:val="both"/>
        <w:rPr>
          <w:rFonts w:asciiTheme="minorHAnsi" w:hAnsiTheme="minorHAnsi"/>
        </w:rPr>
      </w:pPr>
      <w:r w:rsidRPr="005432E1">
        <w:rPr>
          <w:rFonts w:asciiTheme="minorHAnsi" w:hAnsiTheme="minorHAnsi"/>
        </w:rPr>
        <w:t xml:space="preserve">- </w:t>
      </w:r>
      <w:r w:rsidR="002B0F44" w:rsidRPr="005432E1">
        <w:rPr>
          <w:rFonts w:asciiTheme="minorHAnsi" w:hAnsiTheme="minorHAnsi"/>
        </w:rPr>
        <w:t>C</w:t>
      </w:r>
      <w:r w:rsidR="00037FBE" w:rsidRPr="005432E1">
        <w:rPr>
          <w:rFonts w:asciiTheme="minorHAnsi" w:hAnsiTheme="minorHAnsi"/>
        </w:rPr>
        <w:t>réditos do Banco Central</w:t>
      </w:r>
    </w:p>
    <w:p w14:paraId="3C1757DF" w14:textId="77777777" w:rsidR="00CF39A2" w:rsidRPr="005432E1" w:rsidRDefault="004739A1" w:rsidP="006F4AC5">
      <w:pPr>
        <w:ind w:left="720"/>
        <w:jc w:val="both"/>
        <w:rPr>
          <w:rFonts w:asciiTheme="minorHAnsi" w:hAnsiTheme="minorHAnsi"/>
        </w:rPr>
      </w:pPr>
      <w:r w:rsidRPr="005432E1">
        <w:rPr>
          <w:rFonts w:asciiTheme="minorHAnsi" w:hAnsiTheme="minorHAnsi"/>
        </w:rPr>
        <w:t xml:space="preserve">- </w:t>
      </w:r>
      <w:r w:rsidR="003D4123" w:rsidRPr="005432E1">
        <w:rPr>
          <w:rFonts w:asciiTheme="minorHAnsi" w:hAnsiTheme="minorHAnsi"/>
        </w:rPr>
        <w:t>Empréstimos compulsórios</w:t>
      </w:r>
    </w:p>
    <w:p w14:paraId="6692ED43" w14:textId="77777777" w:rsidR="00B73C7A" w:rsidRPr="005432E1" w:rsidRDefault="008F10F0" w:rsidP="006F4AC5">
      <w:pPr>
        <w:ind w:left="720"/>
        <w:jc w:val="both"/>
        <w:rPr>
          <w:rFonts w:asciiTheme="minorHAnsi" w:hAnsiTheme="minorHAnsi"/>
        </w:rPr>
      </w:pPr>
      <w:r w:rsidRPr="005432E1">
        <w:rPr>
          <w:rFonts w:asciiTheme="minorHAnsi" w:hAnsiTheme="minorHAnsi"/>
        </w:rPr>
        <w:t>-</w:t>
      </w:r>
      <w:r w:rsidR="00A9097F" w:rsidRPr="005432E1">
        <w:rPr>
          <w:rFonts w:asciiTheme="minorHAnsi" w:hAnsiTheme="minorHAnsi"/>
        </w:rPr>
        <w:t>Haveres financeiros da União administrados pelo Tesouro Nacional</w:t>
      </w:r>
    </w:p>
    <w:p w14:paraId="2DA508B8" w14:textId="77777777" w:rsidR="002D2FBD" w:rsidRPr="005432E1" w:rsidRDefault="002D2FBD" w:rsidP="006F4AC5">
      <w:pPr>
        <w:pStyle w:val="Ttulo3"/>
        <w:numPr>
          <w:ilvl w:val="0"/>
          <w:numId w:val="0"/>
        </w:numPr>
        <w:rPr>
          <w:rFonts w:asciiTheme="minorHAnsi" w:hAnsiTheme="minorHAnsi"/>
          <w:b/>
        </w:rPr>
      </w:pPr>
      <w:bookmarkStart w:id="159" w:name="_Toc132610249"/>
      <w:bookmarkStart w:id="160" w:name="_Toc132621141"/>
      <w:bookmarkStart w:id="161" w:name="_Toc132623191"/>
      <w:bookmarkStart w:id="162" w:name="_Toc132623456"/>
      <w:bookmarkStart w:id="163" w:name="_Toc132623537"/>
      <w:bookmarkStart w:id="164" w:name="_Toc132624042"/>
      <w:bookmarkStart w:id="165" w:name="_Toc132624157"/>
      <w:bookmarkStart w:id="166" w:name="_Toc163007602"/>
      <w:bookmarkStart w:id="167" w:name="_Toc163008024"/>
      <w:bookmarkStart w:id="168" w:name="_Toc163008557"/>
      <w:bookmarkStart w:id="169" w:name="_Toc163008715"/>
      <w:bookmarkStart w:id="170" w:name="_Toc163014758"/>
      <w:bookmarkStart w:id="171" w:name="_Toc163298142"/>
      <w:bookmarkStart w:id="172" w:name="_Toc163298257"/>
      <w:bookmarkStart w:id="173" w:name="_Toc163377932"/>
      <w:bookmarkStart w:id="174" w:name="_Toc163535976"/>
      <w:bookmarkStart w:id="175" w:name="_Toc194486449"/>
      <w:bookmarkStart w:id="176" w:name="_Toc225917813"/>
      <w:bookmarkStart w:id="177" w:name="_Toc226363353"/>
      <w:bookmarkStart w:id="178" w:name="_Toc226432559"/>
      <w:bookmarkStart w:id="179" w:name="_Toc226434510"/>
      <w:bookmarkStart w:id="180" w:name="_Toc226434729"/>
      <w:bookmarkStart w:id="181" w:name="_Toc226519740"/>
      <w:bookmarkStart w:id="182" w:name="_Toc226519831"/>
      <w:bookmarkStart w:id="183" w:name="_Toc257728094"/>
      <w:bookmarkStart w:id="184" w:name="_Toc350863384"/>
      <w:bookmarkStart w:id="185" w:name="_Toc447189143"/>
      <w:bookmarkStart w:id="186" w:name="_Toc447613138"/>
    </w:p>
    <w:p w14:paraId="2F4C4B78" w14:textId="77777777" w:rsidR="002B0F44" w:rsidRPr="005432E1" w:rsidRDefault="00445D9C" w:rsidP="004C4B03">
      <w:pPr>
        <w:pStyle w:val="Ttulo3"/>
        <w:numPr>
          <w:ilvl w:val="0"/>
          <w:numId w:val="0"/>
        </w:numPr>
        <w:rPr>
          <w:rFonts w:asciiTheme="minorHAnsi" w:hAnsiTheme="minorHAnsi"/>
          <w:b/>
        </w:rPr>
      </w:pPr>
      <w:bookmarkStart w:id="187" w:name="_Toc511230027"/>
      <w:r w:rsidRPr="005432E1">
        <w:rPr>
          <w:rFonts w:asciiTheme="minorHAnsi" w:hAnsiTheme="minorHAnsi"/>
          <w:b/>
        </w:rPr>
        <w:t>3.</w:t>
      </w:r>
      <w:r w:rsidR="00467F44" w:rsidRPr="005432E1">
        <w:rPr>
          <w:rFonts w:asciiTheme="minorHAnsi" w:hAnsiTheme="minorHAnsi"/>
          <w:b/>
        </w:rPr>
        <w:t>2</w:t>
      </w:r>
      <w:r w:rsidRPr="005432E1">
        <w:rPr>
          <w:rFonts w:asciiTheme="minorHAnsi" w:hAnsiTheme="minorHAnsi"/>
          <w:b/>
        </w:rPr>
        <w:t xml:space="preserve">.1 </w:t>
      </w:r>
      <w:r w:rsidR="001F2AEB" w:rsidRPr="005432E1">
        <w:rPr>
          <w:rFonts w:asciiTheme="minorHAnsi" w:hAnsiTheme="minorHAnsi"/>
          <w:b/>
        </w:rPr>
        <w:t>Dívida Ativa Da União</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CF7FF28" w14:textId="77777777" w:rsidR="001F2AEB" w:rsidRPr="005432E1" w:rsidRDefault="001F2AEB" w:rsidP="006F4AC5">
      <w:pPr>
        <w:rPr>
          <w:rFonts w:asciiTheme="minorHAnsi" w:hAnsiTheme="minorHAnsi"/>
        </w:rPr>
      </w:pPr>
    </w:p>
    <w:p w14:paraId="71045CB9" w14:textId="77777777" w:rsidR="00285425" w:rsidRPr="005432E1" w:rsidRDefault="00285425" w:rsidP="006F4AC5">
      <w:pPr>
        <w:spacing w:after="240"/>
        <w:ind w:firstLine="709"/>
        <w:jc w:val="both"/>
        <w:rPr>
          <w:rFonts w:asciiTheme="minorHAnsi" w:hAnsiTheme="minorHAnsi"/>
        </w:rPr>
      </w:pPr>
      <w:bookmarkStart w:id="188" w:name="_Toc447189144"/>
      <w:bookmarkStart w:id="189" w:name="_Toc447613139"/>
      <w:r w:rsidRPr="005432E1">
        <w:rPr>
          <w:rFonts w:asciiTheme="minorHAnsi" w:hAnsiTheme="minorHAnsi"/>
        </w:rPr>
        <w:t>A Dívida Ativa constitui-se em um conjunto de direitos ou créditos de várias naturezas, em favor da Fazenda Pública, com prazos estabelecidos na legislação pertinente, vencidos e não pagos pelos devedores, por meio de órgão ou unidade específica instituída para fins de cobrança na forma da lei.</w:t>
      </w:r>
    </w:p>
    <w:p w14:paraId="4F661214" w14:textId="0F87B5DA" w:rsidR="00285425" w:rsidRPr="005432E1" w:rsidRDefault="00285425" w:rsidP="006F4AC5">
      <w:pPr>
        <w:spacing w:after="240"/>
        <w:ind w:firstLine="709"/>
        <w:jc w:val="both"/>
        <w:rPr>
          <w:rFonts w:asciiTheme="minorHAnsi" w:hAnsiTheme="minorHAnsi"/>
        </w:rPr>
      </w:pPr>
      <w:r w:rsidRPr="005432E1">
        <w:rPr>
          <w:rFonts w:asciiTheme="minorHAnsi" w:hAnsiTheme="minorHAnsi"/>
        </w:rPr>
        <w:t>A inscrição de créditos em Dívida Ativa gera um ativo para a União, sujeito a juros, multa e atualização monetária que, segundo a Lei nº 4.320</w:t>
      </w:r>
      <w:r w:rsidR="00F04CAB" w:rsidRPr="005432E1">
        <w:rPr>
          <w:rFonts w:asciiTheme="minorHAnsi" w:hAnsiTheme="minorHAnsi"/>
        </w:rPr>
        <w:t>,</w:t>
      </w:r>
      <w:r w:rsidR="00295BA3" w:rsidRPr="005432E1">
        <w:rPr>
          <w:rFonts w:asciiTheme="minorHAnsi" w:hAnsiTheme="minorHAnsi"/>
        </w:rPr>
        <w:t xml:space="preserve"> de 17 de m</w:t>
      </w:r>
      <w:r w:rsidR="005C46BB" w:rsidRPr="005432E1">
        <w:rPr>
          <w:rFonts w:asciiTheme="minorHAnsi" w:hAnsiTheme="minorHAnsi"/>
        </w:rPr>
        <w:t>arço de 19</w:t>
      </w:r>
      <w:r w:rsidRPr="005432E1">
        <w:rPr>
          <w:rFonts w:asciiTheme="minorHAnsi" w:hAnsiTheme="minorHAnsi"/>
        </w:rPr>
        <w:t>64, serão escriturados como receita do exercício em que forem arrecadados, nas respectivas rubricas orçamentárias.  Por esta razão, considera-se a Dívida Ativa um ativo contingente.</w:t>
      </w:r>
    </w:p>
    <w:p w14:paraId="19D06043" w14:textId="64582896" w:rsidR="00285425" w:rsidRPr="005432E1" w:rsidRDefault="00285425" w:rsidP="006F4AC5">
      <w:pPr>
        <w:spacing w:after="240"/>
        <w:ind w:firstLine="709"/>
        <w:jc w:val="both"/>
        <w:rPr>
          <w:rFonts w:asciiTheme="minorHAnsi" w:hAnsiTheme="minorHAnsi"/>
        </w:rPr>
      </w:pPr>
      <w:r w:rsidRPr="005432E1">
        <w:rPr>
          <w:rFonts w:asciiTheme="minorHAnsi" w:hAnsiTheme="minorHAnsi"/>
        </w:rPr>
        <w:t xml:space="preserve">Segundo a Lei nº </w:t>
      </w:r>
      <w:r w:rsidR="005C46BB" w:rsidRPr="005432E1">
        <w:rPr>
          <w:rFonts w:asciiTheme="minorHAnsi" w:hAnsiTheme="minorHAnsi"/>
        </w:rPr>
        <w:t>4.320</w:t>
      </w:r>
      <w:r w:rsidR="00F04CAB" w:rsidRPr="005432E1">
        <w:rPr>
          <w:rFonts w:asciiTheme="minorHAnsi" w:hAnsiTheme="minorHAnsi"/>
        </w:rPr>
        <w:t>,</w:t>
      </w:r>
      <w:r w:rsidR="005C46BB" w:rsidRPr="005432E1">
        <w:rPr>
          <w:rFonts w:asciiTheme="minorHAnsi" w:hAnsiTheme="minorHAnsi"/>
        </w:rPr>
        <w:t xml:space="preserve"> de 17 de </w:t>
      </w:r>
      <w:r w:rsidR="00295BA3" w:rsidRPr="005432E1">
        <w:rPr>
          <w:rFonts w:asciiTheme="minorHAnsi" w:hAnsiTheme="minorHAnsi"/>
        </w:rPr>
        <w:t>m</w:t>
      </w:r>
      <w:r w:rsidR="005C46BB" w:rsidRPr="005432E1">
        <w:rPr>
          <w:rFonts w:asciiTheme="minorHAnsi" w:hAnsiTheme="minorHAnsi"/>
        </w:rPr>
        <w:t>arço de 1964</w:t>
      </w:r>
      <w:r w:rsidRPr="005432E1">
        <w:rPr>
          <w:rFonts w:asciiTheme="minorHAnsi" w:hAnsiTheme="minorHAnsi"/>
        </w:rPr>
        <w:t>, classifica-se, como Dívida Ativa Tributária, o crédito da Fazenda Pública proveniente de obrigação legal relativa a tributos e respectivos adicionais e multas e, como Dívida Ativa não Tributária, os demais créditos da Fazenda Pública. Estes últimos são, em geral, provenientes de empréstimos compulsórios, contribuições estabelecidas em lei, multas de natureza não tributária, foros, laudêmios, alugueis ou taxas de ocupação, custas processuais, preços de serviços prestados por estabelecimentos públicos, indenizações, reposições, restituições, alcances dos responsáveis definitivamente julgados, bem assim os créditos decorrentes de obrigações em moeda estrangeira, de sub-rogação de hipoteca, fiança, aval ou outra garantia, de contratos em geral ou de outras obrigações legais.</w:t>
      </w:r>
    </w:p>
    <w:p w14:paraId="6A099964" w14:textId="2519EBC5" w:rsidR="00285425" w:rsidRPr="005432E1" w:rsidRDefault="00285425" w:rsidP="006F4AC5">
      <w:pPr>
        <w:spacing w:after="240"/>
        <w:ind w:firstLine="709"/>
        <w:jc w:val="both"/>
        <w:rPr>
          <w:rFonts w:asciiTheme="minorHAnsi" w:hAnsiTheme="minorHAnsi"/>
        </w:rPr>
      </w:pPr>
      <w:r w:rsidRPr="005432E1">
        <w:rPr>
          <w:rFonts w:asciiTheme="minorHAnsi" w:hAnsiTheme="minorHAnsi"/>
        </w:rPr>
        <w:t>A Lei n</w:t>
      </w:r>
      <w:r w:rsidRPr="005432E1">
        <w:rPr>
          <w:rFonts w:asciiTheme="minorHAnsi" w:hAnsiTheme="minorHAnsi"/>
          <w:u w:val="single"/>
          <w:vertAlign w:val="superscript"/>
        </w:rPr>
        <w:t>o</w:t>
      </w:r>
      <w:r w:rsidRPr="005432E1">
        <w:rPr>
          <w:rFonts w:asciiTheme="minorHAnsi" w:hAnsiTheme="minorHAnsi"/>
        </w:rPr>
        <w:t xml:space="preserve"> </w:t>
      </w:r>
      <w:r w:rsidR="005C46BB" w:rsidRPr="005432E1">
        <w:rPr>
          <w:rFonts w:asciiTheme="minorHAnsi" w:hAnsiTheme="minorHAnsi"/>
        </w:rPr>
        <w:t>4.320</w:t>
      </w:r>
      <w:r w:rsidR="00F04CAB" w:rsidRPr="005432E1">
        <w:rPr>
          <w:rFonts w:asciiTheme="minorHAnsi" w:hAnsiTheme="minorHAnsi"/>
        </w:rPr>
        <w:t>,</w:t>
      </w:r>
      <w:r w:rsidR="005C46BB" w:rsidRPr="005432E1">
        <w:rPr>
          <w:rFonts w:asciiTheme="minorHAnsi" w:hAnsiTheme="minorHAnsi"/>
        </w:rPr>
        <w:t xml:space="preserve"> de 17 de </w:t>
      </w:r>
      <w:r w:rsidR="00295BA3" w:rsidRPr="005432E1">
        <w:rPr>
          <w:rFonts w:asciiTheme="minorHAnsi" w:hAnsiTheme="minorHAnsi"/>
        </w:rPr>
        <w:t>m</w:t>
      </w:r>
      <w:r w:rsidR="005C46BB" w:rsidRPr="005432E1">
        <w:rPr>
          <w:rFonts w:asciiTheme="minorHAnsi" w:hAnsiTheme="minorHAnsi"/>
        </w:rPr>
        <w:t>arço de 1964</w:t>
      </w:r>
      <w:r w:rsidR="00F04CAB" w:rsidRPr="005432E1">
        <w:rPr>
          <w:rFonts w:asciiTheme="minorHAnsi" w:hAnsiTheme="minorHAnsi"/>
        </w:rPr>
        <w:t>,</w:t>
      </w:r>
      <w:r w:rsidR="005C46BB" w:rsidRPr="005432E1">
        <w:rPr>
          <w:rFonts w:asciiTheme="minorHAnsi" w:hAnsiTheme="minorHAnsi"/>
        </w:rPr>
        <w:t xml:space="preserve"> </w:t>
      </w:r>
      <w:r w:rsidRPr="005432E1">
        <w:rPr>
          <w:rFonts w:asciiTheme="minorHAnsi" w:hAnsiTheme="minorHAnsi"/>
        </w:rPr>
        <w:t xml:space="preserve">estabelece que compete à PGFN, após análise de regularidade – liquidez, certeza e exigibilidade – proceder à inscrição em DAU dos créditos tributários – previdenciários ou não – ou não tributários, encaminhados pelos diversos órgãos de origem, bem como efetuar a sua respectiva cobrança amigável e/ou judicial. Também compete à PGFN a competência pela gestão administrativa e judicial da Dívida Ativa da União. </w:t>
      </w:r>
    </w:p>
    <w:p w14:paraId="0D4E943B" w14:textId="57E18216" w:rsidR="00917BDE" w:rsidRPr="005432E1" w:rsidRDefault="00285425" w:rsidP="006F4AC5">
      <w:pPr>
        <w:spacing w:after="240"/>
        <w:ind w:firstLine="709"/>
        <w:jc w:val="both"/>
        <w:rPr>
          <w:rFonts w:asciiTheme="minorHAnsi" w:hAnsiTheme="minorHAnsi"/>
        </w:rPr>
      </w:pPr>
      <w:r w:rsidRPr="005432E1">
        <w:rPr>
          <w:rFonts w:asciiTheme="minorHAnsi" w:hAnsiTheme="minorHAnsi"/>
        </w:rPr>
        <w:t>De acordo com o levantamento elaborado pela PGFN e demonstrado a seguir, observa-se que a arrecadação e o estoque referente à Dívida Ativa da União de 201</w:t>
      </w:r>
      <w:r w:rsidR="00DB70AD" w:rsidRPr="005432E1">
        <w:rPr>
          <w:rFonts w:asciiTheme="minorHAnsi" w:hAnsiTheme="minorHAnsi"/>
        </w:rPr>
        <w:t>7</w:t>
      </w:r>
      <w:r w:rsidRPr="005432E1">
        <w:rPr>
          <w:rFonts w:asciiTheme="minorHAnsi" w:hAnsiTheme="minorHAnsi"/>
        </w:rPr>
        <w:t xml:space="preserve"> apresentaram crescimento nominal de </w:t>
      </w:r>
      <w:r w:rsidR="00DB70AD" w:rsidRPr="005432E1">
        <w:rPr>
          <w:rFonts w:asciiTheme="minorHAnsi" w:hAnsiTheme="minorHAnsi"/>
        </w:rPr>
        <w:t>5</w:t>
      </w:r>
      <w:r w:rsidRPr="005432E1">
        <w:rPr>
          <w:rFonts w:asciiTheme="minorHAnsi" w:hAnsiTheme="minorHAnsi"/>
        </w:rPr>
        <w:t>3</w:t>
      </w:r>
      <w:r w:rsidR="00DB70AD" w:rsidRPr="005432E1">
        <w:rPr>
          <w:rFonts w:asciiTheme="minorHAnsi" w:hAnsiTheme="minorHAnsi"/>
        </w:rPr>
        <w:t>,95</w:t>
      </w:r>
      <w:r w:rsidRPr="005432E1">
        <w:rPr>
          <w:rFonts w:asciiTheme="minorHAnsi" w:hAnsiTheme="minorHAnsi"/>
        </w:rPr>
        <w:t xml:space="preserve">% e </w:t>
      </w:r>
      <w:r w:rsidR="00DB70AD" w:rsidRPr="005432E1">
        <w:rPr>
          <w:rFonts w:asciiTheme="minorHAnsi" w:hAnsiTheme="minorHAnsi"/>
        </w:rPr>
        <w:t>8,17</w:t>
      </w:r>
      <w:r w:rsidRPr="005432E1">
        <w:rPr>
          <w:rFonts w:asciiTheme="minorHAnsi" w:hAnsiTheme="minorHAnsi"/>
        </w:rPr>
        <w:t>%, respectivamente, em relação a 201</w:t>
      </w:r>
      <w:r w:rsidR="00DB70AD" w:rsidRPr="005432E1">
        <w:rPr>
          <w:rFonts w:asciiTheme="minorHAnsi" w:hAnsiTheme="minorHAnsi"/>
        </w:rPr>
        <w:t>6</w:t>
      </w:r>
      <w:r w:rsidRPr="005432E1">
        <w:rPr>
          <w:rFonts w:asciiTheme="minorHAnsi" w:hAnsiTheme="minorHAnsi"/>
        </w:rPr>
        <w:t>. Os dados da tabela incluem os créditos não tributários e tributários, inclusive dos relativos à previdência social, bem como os parcelados e não parcelados (ver Tabela 2</w:t>
      </w:r>
      <w:r w:rsidR="00295BA3" w:rsidRPr="005432E1">
        <w:rPr>
          <w:rFonts w:asciiTheme="minorHAnsi" w:hAnsiTheme="minorHAnsi"/>
        </w:rPr>
        <w:t>3</w:t>
      </w:r>
      <w:r w:rsidRPr="005432E1">
        <w:rPr>
          <w:rFonts w:asciiTheme="minorHAnsi" w:hAnsiTheme="minorHAnsi"/>
        </w:rPr>
        <w:t xml:space="preserve">). </w:t>
      </w:r>
      <w:r w:rsidR="00704BE3" w:rsidRPr="005432E1">
        <w:rPr>
          <w:rFonts w:asciiTheme="minorHAnsi" w:hAnsiTheme="minorHAnsi"/>
        </w:rPr>
        <w:t xml:space="preserve">No tocante à arrecadação de 2017, </w:t>
      </w:r>
      <w:r w:rsidR="00B9433B" w:rsidRPr="005432E1">
        <w:rPr>
          <w:rFonts w:asciiTheme="minorHAnsi" w:hAnsiTheme="minorHAnsi"/>
        </w:rPr>
        <w:t>t</w:t>
      </w:r>
      <w:r w:rsidR="00704BE3" w:rsidRPr="005432E1">
        <w:rPr>
          <w:rFonts w:asciiTheme="minorHAnsi" w:hAnsiTheme="minorHAnsi"/>
        </w:rPr>
        <w:t>rata-se do maior valor já recuperado pela PGFN no período de um ano.</w:t>
      </w:r>
    </w:p>
    <w:p w14:paraId="1A995B6D" w14:textId="54A790FA" w:rsidR="00285425" w:rsidRPr="005432E1" w:rsidRDefault="00285425" w:rsidP="006F4AC5">
      <w:pPr>
        <w:spacing w:after="240"/>
        <w:ind w:firstLine="709"/>
        <w:jc w:val="both"/>
        <w:rPr>
          <w:rFonts w:asciiTheme="minorHAnsi" w:hAnsiTheme="minorHAnsi"/>
        </w:rPr>
      </w:pPr>
      <w:r w:rsidRPr="005432E1">
        <w:rPr>
          <w:rFonts w:asciiTheme="minorHAnsi" w:hAnsiTheme="minorHAnsi"/>
          <w:b/>
        </w:rPr>
        <w:t>Tabela 2</w:t>
      </w:r>
      <w:r w:rsidR="00295BA3" w:rsidRPr="005432E1">
        <w:rPr>
          <w:rFonts w:asciiTheme="minorHAnsi" w:hAnsiTheme="minorHAnsi"/>
          <w:b/>
        </w:rPr>
        <w:t>3</w:t>
      </w:r>
      <w:r w:rsidRPr="005432E1">
        <w:rPr>
          <w:rFonts w:asciiTheme="minorHAnsi" w:hAnsiTheme="minorHAnsi"/>
          <w:b/>
        </w:rPr>
        <w:t>: Evolução da Dívida Ativa da União sob administração da PGFN - R$ milhões</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gridCol w:w="2338"/>
        <w:gridCol w:w="2136"/>
        <w:gridCol w:w="1428"/>
      </w:tblGrid>
      <w:tr w:rsidR="0026114A" w:rsidRPr="005432E1" w14:paraId="1950C417" w14:textId="77777777" w:rsidTr="00DB70AD">
        <w:trPr>
          <w:jc w:val="center"/>
        </w:trPr>
        <w:tc>
          <w:tcPr>
            <w:tcW w:w="2659" w:type="dxa"/>
          </w:tcPr>
          <w:p w14:paraId="08551CB9" w14:textId="77777777" w:rsidR="00DB70AD" w:rsidRPr="005432E1" w:rsidRDefault="00DB70AD" w:rsidP="00DB70AD">
            <w:pPr>
              <w:jc w:val="both"/>
              <w:rPr>
                <w:rFonts w:asciiTheme="minorHAnsi" w:hAnsiTheme="minorHAnsi"/>
              </w:rPr>
            </w:pPr>
          </w:p>
        </w:tc>
        <w:tc>
          <w:tcPr>
            <w:tcW w:w="2367" w:type="dxa"/>
            <w:vAlign w:val="center"/>
          </w:tcPr>
          <w:p w14:paraId="443B9A8E" w14:textId="77777777" w:rsidR="00DB70AD" w:rsidRPr="005432E1" w:rsidRDefault="00DB70AD" w:rsidP="00DB70AD">
            <w:pPr>
              <w:jc w:val="center"/>
              <w:rPr>
                <w:rFonts w:asciiTheme="minorHAnsi" w:hAnsiTheme="minorHAnsi"/>
                <w:bCs/>
              </w:rPr>
            </w:pPr>
            <w:r w:rsidRPr="005432E1">
              <w:rPr>
                <w:rFonts w:asciiTheme="minorHAnsi" w:hAnsiTheme="minorHAnsi"/>
                <w:bCs/>
              </w:rPr>
              <w:t>2016</w:t>
            </w:r>
          </w:p>
        </w:tc>
        <w:tc>
          <w:tcPr>
            <w:tcW w:w="2160" w:type="dxa"/>
            <w:vAlign w:val="center"/>
          </w:tcPr>
          <w:p w14:paraId="3DA52003" w14:textId="77777777" w:rsidR="00DB70AD" w:rsidRPr="005432E1" w:rsidRDefault="00DB70AD" w:rsidP="00DB70AD">
            <w:pPr>
              <w:jc w:val="center"/>
              <w:rPr>
                <w:rFonts w:asciiTheme="minorHAnsi" w:hAnsiTheme="minorHAnsi"/>
                <w:bCs/>
              </w:rPr>
            </w:pPr>
            <w:r w:rsidRPr="005432E1">
              <w:rPr>
                <w:rFonts w:asciiTheme="minorHAnsi" w:hAnsiTheme="minorHAnsi"/>
                <w:bCs/>
              </w:rPr>
              <w:t>2017</w:t>
            </w:r>
          </w:p>
        </w:tc>
        <w:tc>
          <w:tcPr>
            <w:tcW w:w="1440" w:type="dxa"/>
          </w:tcPr>
          <w:p w14:paraId="02C9F88C" w14:textId="77777777" w:rsidR="00DB70AD" w:rsidRPr="005432E1" w:rsidRDefault="00DB70AD" w:rsidP="00DB70AD">
            <w:pPr>
              <w:jc w:val="center"/>
              <w:rPr>
                <w:rFonts w:asciiTheme="minorHAnsi" w:hAnsiTheme="minorHAnsi"/>
                <w:bCs/>
              </w:rPr>
            </w:pPr>
            <w:r w:rsidRPr="005432E1">
              <w:rPr>
                <w:rFonts w:asciiTheme="minorHAnsi" w:hAnsiTheme="minorHAnsi"/>
                <w:bCs/>
              </w:rPr>
              <w:t>Variação</w:t>
            </w:r>
          </w:p>
        </w:tc>
      </w:tr>
      <w:tr w:rsidR="0026114A" w:rsidRPr="005432E1" w14:paraId="3BC711AE" w14:textId="77777777" w:rsidTr="00DB70AD">
        <w:trPr>
          <w:jc w:val="center"/>
        </w:trPr>
        <w:tc>
          <w:tcPr>
            <w:tcW w:w="2659" w:type="dxa"/>
            <w:vAlign w:val="center"/>
          </w:tcPr>
          <w:p w14:paraId="4A7F66CC" w14:textId="77777777" w:rsidR="00DB70AD" w:rsidRPr="005432E1" w:rsidRDefault="00DB70AD" w:rsidP="00DB70AD">
            <w:pPr>
              <w:jc w:val="center"/>
              <w:rPr>
                <w:rFonts w:asciiTheme="minorHAnsi" w:hAnsiTheme="minorHAnsi"/>
                <w:bCs/>
              </w:rPr>
            </w:pPr>
            <w:r w:rsidRPr="005432E1">
              <w:rPr>
                <w:rFonts w:asciiTheme="minorHAnsi" w:hAnsiTheme="minorHAnsi"/>
                <w:bCs/>
              </w:rPr>
              <w:t>Recuperação/Arrecadação</w:t>
            </w:r>
          </w:p>
        </w:tc>
        <w:tc>
          <w:tcPr>
            <w:tcW w:w="2367" w:type="dxa"/>
          </w:tcPr>
          <w:p w14:paraId="149772AF" w14:textId="77777777" w:rsidR="00DB70AD" w:rsidRPr="005432E1" w:rsidRDefault="00DB70AD" w:rsidP="00DB70AD">
            <w:pPr>
              <w:jc w:val="center"/>
              <w:rPr>
                <w:rFonts w:asciiTheme="minorHAnsi" w:hAnsiTheme="minorHAnsi"/>
              </w:rPr>
            </w:pPr>
            <w:r w:rsidRPr="005432E1">
              <w:rPr>
                <w:rFonts w:asciiTheme="minorHAnsi" w:hAnsiTheme="minorHAnsi"/>
              </w:rPr>
              <w:t>13.394,4</w:t>
            </w:r>
          </w:p>
        </w:tc>
        <w:tc>
          <w:tcPr>
            <w:tcW w:w="2160" w:type="dxa"/>
          </w:tcPr>
          <w:p w14:paraId="11175D7F" w14:textId="77777777" w:rsidR="00DB70AD" w:rsidRPr="005432E1" w:rsidRDefault="00DB70AD" w:rsidP="00DB70AD">
            <w:pPr>
              <w:jc w:val="center"/>
              <w:rPr>
                <w:rFonts w:asciiTheme="minorHAnsi" w:hAnsiTheme="minorHAnsi"/>
              </w:rPr>
            </w:pPr>
            <w:r w:rsidRPr="005432E1">
              <w:rPr>
                <w:rFonts w:asciiTheme="minorHAnsi" w:hAnsiTheme="minorHAnsi"/>
              </w:rPr>
              <w:t>20.620,4</w:t>
            </w:r>
          </w:p>
        </w:tc>
        <w:tc>
          <w:tcPr>
            <w:tcW w:w="1440" w:type="dxa"/>
          </w:tcPr>
          <w:p w14:paraId="486A9446" w14:textId="77777777" w:rsidR="00DB70AD" w:rsidRPr="005432E1" w:rsidRDefault="00DB70AD" w:rsidP="00DB70AD">
            <w:pPr>
              <w:jc w:val="center"/>
              <w:rPr>
                <w:rFonts w:asciiTheme="minorHAnsi" w:hAnsiTheme="minorHAnsi"/>
              </w:rPr>
            </w:pPr>
            <w:r w:rsidRPr="005432E1">
              <w:rPr>
                <w:rFonts w:asciiTheme="minorHAnsi" w:hAnsiTheme="minorHAnsi"/>
              </w:rPr>
              <w:t>53,95%</w:t>
            </w:r>
          </w:p>
        </w:tc>
      </w:tr>
      <w:tr w:rsidR="0026114A" w:rsidRPr="005432E1" w14:paraId="477B6BDC" w14:textId="77777777" w:rsidTr="00DB70AD">
        <w:trPr>
          <w:jc w:val="center"/>
        </w:trPr>
        <w:tc>
          <w:tcPr>
            <w:tcW w:w="2659" w:type="dxa"/>
          </w:tcPr>
          <w:p w14:paraId="5EFE084A" w14:textId="77777777" w:rsidR="00DB70AD" w:rsidRPr="005432E1" w:rsidRDefault="00DB70AD" w:rsidP="00DB70AD">
            <w:pPr>
              <w:jc w:val="center"/>
              <w:rPr>
                <w:rFonts w:asciiTheme="minorHAnsi" w:hAnsiTheme="minorHAnsi"/>
              </w:rPr>
            </w:pPr>
            <w:r w:rsidRPr="005432E1">
              <w:rPr>
                <w:rFonts w:asciiTheme="minorHAnsi" w:hAnsiTheme="minorHAnsi"/>
                <w:bCs/>
              </w:rPr>
              <w:t>Estoque</w:t>
            </w:r>
          </w:p>
        </w:tc>
        <w:tc>
          <w:tcPr>
            <w:tcW w:w="2367" w:type="dxa"/>
          </w:tcPr>
          <w:p w14:paraId="5290F50B" w14:textId="77777777" w:rsidR="00DB70AD" w:rsidRPr="005432E1" w:rsidRDefault="00DB70AD" w:rsidP="00DB70AD">
            <w:pPr>
              <w:jc w:val="center"/>
              <w:rPr>
                <w:rFonts w:asciiTheme="minorHAnsi" w:hAnsiTheme="minorHAnsi"/>
              </w:rPr>
            </w:pPr>
            <w:r w:rsidRPr="005432E1">
              <w:rPr>
                <w:rFonts w:asciiTheme="minorHAnsi" w:hAnsiTheme="minorHAnsi"/>
              </w:rPr>
              <w:t>1.844.964,4</w:t>
            </w:r>
          </w:p>
        </w:tc>
        <w:tc>
          <w:tcPr>
            <w:tcW w:w="2160" w:type="dxa"/>
          </w:tcPr>
          <w:p w14:paraId="1E1591FF" w14:textId="77777777" w:rsidR="00DB70AD" w:rsidRPr="005432E1" w:rsidRDefault="00DB70AD" w:rsidP="00DB70AD">
            <w:pPr>
              <w:jc w:val="center"/>
              <w:rPr>
                <w:rFonts w:asciiTheme="minorHAnsi" w:hAnsiTheme="minorHAnsi"/>
              </w:rPr>
            </w:pPr>
            <w:r w:rsidRPr="005432E1">
              <w:rPr>
                <w:rFonts w:asciiTheme="minorHAnsi" w:hAnsiTheme="minorHAnsi"/>
              </w:rPr>
              <w:t>1.995.633,4</w:t>
            </w:r>
          </w:p>
        </w:tc>
        <w:tc>
          <w:tcPr>
            <w:tcW w:w="1440" w:type="dxa"/>
          </w:tcPr>
          <w:p w14:paraId="3C8EA5CD" w14:textId="77777777" w:rsidR="00DB70AD" w:rsidRPr="005432E1" w:rsidRDefault="00DB70AD" w:rsidP="00DB70AD">
            <w:pPr>
              <w:jc w:val="center"/>
              <w:rPr>
                <w:rFonts w:asciiTheme="minorHAnsi" w:hAnsiTheme="minorHAnsi"/>
              </w:rPr>
            </w:pPr>
            <w:r w:rsidRPr="005432E1">
              <w:rPr>
                <w:rFonts w:asciiTheme="minorHAnsi" w:hAnsiTheme="minorHAnsi"/>
              </w:rPr>
              <w:t>8,17%</w:t>
            </w:r>
          </w:p>
        </w:tc>
      </w:tr>
    </w:tbl>
    <w:p w14:paraId="64E5AE36" w14:textId="77777777" w:rsidR="00285425" w:rsidRPr="005432E1" w:rsidRDefault="00285425" w:rsidP="00E008D2">
      <w:pPr>
        <w:ind w:left="1134"/>
        <w:rPr>
          <w:rFonts w:asciiTheme="minorHAnsi" w:hAnsiTheme="minorHAnsi"/>
          <w:sz w:val="20"/>
          <w:szCs w:val="20"/>
        </w:rPr>
      </w:pPr>
      <w:r w:rsidRPr="005432E1">
        <w:rPr>
          <w:rFonts w:asciiTheme="minorHAnsi" w:hAnsiTheme="minorHAnsi"/>
          <w:sz w:val="20"/>
          <w:szCs w:val="20"/>
        </w:rPr>
        <w:t>Fonte: PGFN/MF</w:t>
      </w:r>
    </w:p>
    <w:p w14:paraId="5A593EE8" w14:textId="77777777" w:rsidR="00285425" w:rsidRPr="005432E1" w:rsidRDefault="00285425" w:rsidP="006F4AC5">
      <w:pPr>
        <w:ind w:firstLine="708"/>
        <w:jc w:val="both"/>
        <w:rPr>
          <w:rFonts w:asciiTheme="minorHAnsi" w:hAnsiTheme="minorHAnsi"/>
          <w:highlight w:val="yellow"/>
        </w:rPr>
      </w:pPr>
    </w:p>
    <w:p w14:paraId="2CCF3CB3" w14:textId="77777777" w:rsidR="00974E53" w:rsidRPr="005432E1" w:rsidRDefault="00974E53" w:rsidP="006F4AC5">
      <w:pPr>
        <w:ind w:firstLine="708"/>
        <w:jc w:val="both"/>
        <w:rPr>
          <w:rFonts w:asciiTheme="minorHAnsi" w:hAnsiTheme="minorHAnsi"/>
        </w:rPr>
      </w:pPr>
      <w:r w:rsidRPr="005432E1">
        <w:rPr>
          <w:rFonts w:asciiTheme="minorHAnsi" w:hAnsiTheme="minorHAnsi"/>
        </w:rPr>
        <w:t>Ademais, o valor arrecadado mediante Depósitos Judiciais Eletrônicos (DJE) pertinentes a créditos inscritos em Dívida Ativa em 2017 foi de R$ 5,30 bilhões, enquanto que em 2016 foi de R$ 1,02 bilhão, perfazendo um crescimento de 418,41%.</w:t>
      </w:r>
    </w:p>
    <w:p w14:paraId="25586084" w14:textId="77777777" w:rsidR="00974E53" w:rsidRPr="005432E1" w:rsidRDefault="00974E53" w:rsidP="006F4AC5">
      <w:pPr>
        <w:ind w:firstLine="708"/>
        <w:jc w:val="both"/>
        <w:rPr>
          <w:rFonts w:asciiTheme="minorHAnsi" w:hAnsiTheme="minorHAnsi"/>
        </w:rPr>
      </w:pPr>
    </w:p>
    <w:p w14:paraId="4A7B785A" w14:textId="77777777" w:rsidR="00285425" w:rsidRPr="005432E1" w:rsidRDefault="00285425" w:rsidP="006F4AC5">
      <w:pPr>
        <w:ind w:firstLine="708"/>
        <w:jc w:val="both"/>
        <w:rPr>
          <w:rFonts w:asciiTheme="minorHAnsi" w:hAnsiTheme="minorHAnsi"/>
        </w:rPr>
      </w:pPr>
      <w:r w:rsidRPr="005432E1">
        <w:rPr>
          <w:rFonts w:asciiTheme="minorHAnsi" w:hAnsiTheme="minorHAnsi"/>
        </w:rPr>
        <w:t>Em 201</w:t>
      </w:r>
      <w:r w:rsidR="0052328C" w:rsidRPr="005432E1">
        <w:rPr>
          <w:rFonts w:asciiTheme="minorHAnsi" w:hAnsiTheme="minorHAnsi"/>
        </w:rPr>
        <w:t>7</w:t>
      </w:r>
      <w:r w:rsidRPr="005432E1">
        <w:rPr>
          <w:rFonts w:asciiTheme="minorHAnsi" w:hAnsiTheme="minorHAnsi"/>
        </w:rPr>
        <w:t xml:space="preserve">, ao se analisar o estoque previdenciário consolidado, parcelado e não parcelado, observa-se que este cresceu R$ </w:t>
      </w:r>
      <w:r w:rsidR="0052328C" w:rsidRPr="005432E1">
        <w:rPr>
          <w:rFonts w:asciiTheme="minorHAnsi" w:hAnsiTheme="minorHAnsi"/>
        </w:rPr>
        <w:t>2,68</w:t>
      </w:r>
      <w:r w:rsidRPr="005432E1">
        <w:rPr>
          <w:rFonts w:asciiTheme="minorHAnsi" w:hAnsiTheme="minorHAnsi"/>
        </w:rPr>
        <w:t xml:space="preserve"> bilhões, ou </w:t>
      </w:r>
      <w:r w:rsidR="0052328C" w:rsidRPr="005432E1">
        <w:rPr>
          <w:rFonts w:asciiTheme="minorHAnsi" w:hAnsiTheme="minorHAnsi"/>
        </w:rPr>
        <w:t>0,63</w:t>
      </w:r>
      <w:r w:rsidR="0069087C" w:rsidRPr="005432E1">
        <w:rPr>
          <w:rFonts w:asciiTheme="minorHAnsi" w:hAnsiTheme="minorHAnsi"/>
        </w:rPr>
        <w:t>%, conforme elucida a tabela abaixo:</w:t>
      </w:r>
    </w:p>
    <w:p w14:paraId="0068DA1B" w14:textId="77777777" w:rsidR="00BB3990" w:rsidRPr="005432E1" w:rsidRDefault="00BB3990" w:rsidP="006F4AC5">
      <w:pPr>
        <w:ind w:firstLine="708"/>
        <w:jc w:val="both"/>
        <w:rPr>
          <w:rFonts w:asciiTheme="minorHAnsi" w:hAnsiTheme="minorHAnsi"/>
          <w:b/>
        </w:rPr>
      </w:pPr>
    </w:p>
    <w:p w14:paraId="066D360A" w14:textId="3B719C51" w:rsidR="00C2258B" w:rsidRPr="005432E1" w:rsidRDefault="006264C0" w:rsidP="006F4AC5">
      <w:pPr>
        <w:ind w:firstLine="708"/>
        <w:jc w:val="both"/>
        <w:rPr>
          <w:rFonts w:asciiTheme="minorHAnsi" w:hAnsiTheme="minorHAnsi"/>
          <w:b/>
        </w:rPr>
      </w:pPr>
      <w:r w:rsidRPr="005432E1">
        <w:rPr>
          <w:rFonts w:asciiTheme="minorHAnsi" w:hAnsiTheme="minorHAnsi"/>
          <w:b/>
        </w:rPr>
        <w:t>Tabela 2</w:t>
      </w:r>
      <w:r w:rsidR="00BB3990" w:rsidRPr="005432E1">
        <w:rPr>
          <w:rFonts w:asciiTheme="minorHAnsi" w:hAnsiTheme="minorHAnsi"/>
          <w:b/>
        </w:rPr>
        <w:t>4</w:t>
      </w:r>
      <w:r w:rsidR="00C2258B" w:rsidRPr="005432E1">
        <w:rPr>
          <w:rFonts w:asciiTheme="minorHAnsi" w:hAnsiTheme="minorHAnsi"/>
          <w:b/>
        </w:rPr>
        <w:t>: Variação percentual do estoque da DAU</w:t>
      </w:r>
    </w:p>
    <w:p w14:paraId="26BEE318" w14:textId="77777777" w:rsidR="0069087C" w:rsidRPr="005432E1" w:rsidRDefault="0069087C" w:rsidP="006F4AC5">
      <w:pPr>
        <w:ind w:firstLine="708"/>
        <w:jc w:val="both"/>
        <w:rPr>
          <w:rFonts w:asciiTheme="minorHAnsi" w:hAnsiTheme="minorHAnsi"/>
        </w:rPr>
      </w:pPr>
      <w:r w:rsidRPr="005432E1">
        <w:rPr>
          <w:rFonts w:asciiTheme="minorHAnsi" w:hAnsiTheme="minorHAnsi"/>
          <w:noProof/>
        </w:rPr>
        <w:drawing>
          <wp:inline distT="0" distB="0" distL="0" distR="0" wp14:anchorId="626B2371" wp14:editId="433B8BE1">
            <wp:extent cx="4959985" cy="163131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9985" cy="1631315"/>
                    </a:xfrm>
                    <a:prstGeom prst="rect">
                      <a:avLst/>
                    </a:prstGeom>
                    <a:noFill/>
                    <a:ln>
                      <a:noFill/>
                    </a:ln>
                  </pic:spPr>
                </pic:pic>
              </a:graphicData>
            </a:graphic>
          </wp:inline>
        </w:drawing>
      </w:r>
    </w:p>
    <w:p w14:paraId="041AD1CF" w14:textId="77777777" w:rsidR="00D16E08" w:rsidRPr="005432E1" w:rsidRDefault="00D16E08" w:rsidP="006F4AC5">
      <w:pPr>
        <w:spacing w:after="240"/>
        <w:ind w:firstLine="709"/>
        <w:jc w:val="both"/>
        <w:rPr>
          <w:rFonts w:asciiTheme="minorHAnsi" w:hAnsiTheme="minorHAnsi"/>
        </w:rPr>
      </w:pPr>
    </w:p>
    <w:p w14:paraId="13EFAD9F" w14:textId="77777777" w:rsidR="00285425" w:rsidRPr="005432E1" w:rsidRDefault="00285425" w:rsidP="006F4AC5">
      <w:pPr>
        <w:spacing w:after="240"/>
        <w:ind w:firstLine="709"/>
        <w:jc w:val="both"/>
        <w:rPr>
          <w:rFonts w:asciiTheme="minorHAnsi" w:hAnsiTheme="minorHAnsi"/>
        </w:rPr>
      </w:pPr>
      <w:r w:rsidRPr="005432E1">
        <w:rPr>
          <w:rFonts w:asciiTheme="minorHAnsi" w:hAnsiTheme="minorHAnsi"/>
        </w:rPr>
        <w:t>Especificamente quanto ao estoque</w:t>
      </w:r>
      <w:r w:rsidR="0069087C" w:rsidRPr="005432E1">
        <w:rPr>
          <w:rFonts w:asciiTheme="minorHAnsi" w:hAnsiTheme="minorHAnsi"/>
        </w:rPr>
        <w:t xml:space="preserve"> de créditos previdenciários</w:t>
      </w:r>
      <w:r w:rsidRPr="005432E1">
        <w:rPr>
          <w:rFonts w:asciiTheme="minorHAnsi" w:hAnsiTheme="minorHAnsi"/>
        </w:rPr>
        <w:t xml:space="preserve"> parcelado</w:t>
      </w:r>
      <w:r w:rsidR="0069087C" w:rsidRPr="005432E1">
        <w:rPr>
          <w:rFonts w:asciiTheme="minorHAnsi" w:hAnsiTheme="minorHAnsi"/>
        </w:rPr>
        <w:t>s</w:t>
      </w:r>
      <w:r w:rsidRPr="005432E1">
        <w:rPr>
          <w:rFonts w:asciiTheme="minorHAnsi" w:hAnsiTheme="minorHAnsi"/>
        </w:rPr>
        <w:t xml:space="preserve">, verifica-se que houve </w:t>
      </w:r>
      <w:r w:rsidR="0069087C" w:rsidRPr="005432E1">
        <w:rPr>
          <w:rFonts w:asciiTheme="minorHAnsi" w:hAnsiTheme="minorHAnsi"/>
        </w:rPr>
        <w:t xml:space="preserve">um </w:t>
      </w:r>
      <w:r w:rsidRPr="005432E1">
        <w:rPr>
          <w:rFonts w:asciiTheme="minorHAnsi" w:hAnsiTheme="minorHAnsi"/>
        </w:rPr>
        <w:t xml:space="preserve">acréscimo de R$ </w:t>
      </w:r>
      <w:r w:rsidR="0069087C" w:rsidRPr="005432E1">
        <w:rPr>
          <w:rFonts w:asciiTheme="minorHAnsi" w:hAnsiTheme="minorHAnsi"/>
        </w:rPr>
        <w:t>31,54</w:t>
      </w:r>
      <w:r w:rsidRPr="005432E1">
        <w:rPr>
          <w:rFonts w:asciiTheme="minorHAnsi" w:hAnsiTheme="minorHAnsi"/>
        </w:rPr>
        <w:t xml:space="preserve"> bilhões, o que corresponde a um incremento de </w:t>
      </w:r>
      <w:r w:rsidR="0069087C" w:rsidRPr="005432E1">
        <w:rPr>
          <w:rFonts w:asciiTheme="minorHAnsi" w:hAnsiTheme="minorHAnsi"/>
        </w:rPr>
        <w:t>78,65</w:t>
      </w:r>
      <w:r w:rsidRPr="005432E1">
        <w:rPr>
          <w:rFonts w:asciiTheme="minorHAnsi" w:hAnsiTheme="minorHAnsi"/>
        </w:rPr>
        <w:t>% em relação a 2016.</w:t>
      </w:r>
      <w:r w:rsidR="0069087C" w:rsidRPr="005432E1">
        <w:rPr>
          <w:rFonts w:asciiTheme="minorHAnsi" w:hAnsiTheme="minorHAnsi"/>
        </w:rPr>
        <w:t xml:space="preserve"> Por outro lado, houve uma redução de</w:t>
      </w:r>
      <w:r w:rsidR="006D7A10" w:rsidRPr="005432E1">
        <w:rPr>
          <w:rFonts w:asciiTheme="minorHAnsi" w:hAnsiTheme="minorHAnsi"/>
        </w:rPr>
        <w:t xml:space="preserve"> -7,44% nos créditos previdenciários não parcelados.</w:t>
      </w:r>
    </w:p>
    <w:p w14:paraId="6CE461CF" w14:textId="1683451F" w:rsidR="0069087C" w:rsidRPr="005432E1" w:rsidRDefault="00285425" w:rsidP="0069087C">
      <w:pPr>
        <w:ind w:firstLine="708"/>
        <w:jc w:val="both"/>
        <w:rPr>
          <w:rFonts w:asciiTheme="minorHAnsi" w:hAnsiTheme="minorHAnsi"/>
        </w:rPr>
      </w:pPr>
      <w:r w:rsidRPr="005432E1">
        <w:rPr>
          <w:rFonts w:asciiTheme="minorHAnsi" w:hAnsiTheme="minorHAnsi"/>
        </w:rPr>
        <w:t xml:space="preserve">Nota-se, também, que a PGFN elevou o montante de créditos previdenciários ajuizados </w:t>
      </w:r>
      <w:r w:rsidR="00744CE5" w:rsidRPr="005432E1">
        <w:rPr>
          <w:rFonts w:asciiTheme="minorHAnsi" w:hAnsiTheme="minorHAnsi"/>
        </w:rPr>
        <w:t xml:space="preserve">e </w:t>
      </w:r>
      <w:r w:rsidRPr="005432E1">
        <w:rPr>
          <w:rFonts w:asciiTheme="minorHAnsi" w:hAnsiTheme="minorHAnsi"/>
        </w:rPr>
        <w:t xml:space="preserve">que são objeto de parcelamentos em </w:t>
      </w:r>
      <w:r w:rsidR="00744CE5" w:rsidRPr="005432E1">
        <w:rPr>
          <w:rFonts w:asciiTheme="minorHAnsi" w:hAnsiTheme="minorHAnsi"/>
        </w:rPr>
        <w:t>95,56</w:t>
      </w:r>
      <w:r w:rsidRPr="005432E1">
        <w:rPr>
          <w:rFonts w:asciiTheme="minorHAnsi" w:hAnsiTheme="minorHAnsi"/>
        </w:rPr>
        <w:t xml:space="preserve">%. No entanto, em relação a 2016, o montante total não ajuizado </w:t>
      </w:r>
      <w:r w:rsidR="00744CE5" w:rsidRPr="005432E1">
        <w:rPr>
          <w:rFonts w:asciiTheme="minorHAnsi" w:hAnsiTheme="minorHAnsi"/>
        </w:rPr>
        <w:t>e não parcelados reduziu -60,25</w:t>
      </w:r>
      <w:r w:rsidRPr="005432E1">
        <w:rPr>
          <w:rFonts w:asciiTheme="minorHAnsi" w:hAnsiTheme="minorHAnsi"/>
        </w:rPr>
        <w:t>% em termos nominais, conforme a Tabela 2</w:t>
      </w:r>
      <w:r w:rsidR="00BB3990" w:rsidRPr="005432E1">
        <w:rPr>
          <w:rFonts w:asciiTheme="minorHAnsi" w:hAnsiTheme="minorHAnsi"/>
        </w:rPr>
        <w:t>5</w:t>
      </w:r>
      <w:r w:rsidRPr="005432E1">
        <w:rPr>
          <w:rFonts w:asciiTheme="minorHAnsi" w:hAnsiTheme="minorHAnsi"/>
        </w:rPr>
        <w:t>.</w:t>
      </w:r>
    </w:p>
    <w:p w14:paraId="1089331F" w14:textId="77777777" w:rsidR="000142D4" w:rsidRPr="005432E1" w:rsidRDefault="000142D4" w:rsidP="0069087C">
      <w:pPr>
        <w:ind w:firstLine="708"/>
        <w:jc w:val="both"/>
        <w:rPr>
          <w:rFonts w:asciiTheme="minorHAnsi" w:hAnsiTheme="minorHAnsi"/>
        </w:rPr>
      </w:pPr>
    </w:p>
    <w:p w14:paraId="3DA16675" w14:textId="19879B4B" w:rsidR="00285425" w:rsidRPr="005432E1" w:rsidRDefault="00285425" w:rsidP="0069087C">
      <w:pPr>
        <w:ind w:firstLine="708"/>
        <w:jc w:val="both"/>
        <w:rPr>
          <w:rFonts w:asciiTheme="minorHAnsi" w:hAnsiTheme="minorHAnsi"/>
          <w:b/>
        </w:rPr>
      </w:pPr>
      <w:r w:rsidRPr="005432E1">
        <w:rPr>
          <w:rFonts w:asciiTheme="minorHAnsi" w:hAnsiTheme="minorHAnsi"/>
          <w:b/>
        </w:rPr>
        <w:t>Tabela 2</w:t>
      </w:r>
      <w:r w:rsidR="00BB3990" w:rsidRPr="005432E1">
        <w:rPr>
          <w:rFonts w:asciiTheme="minorHAnsi" w:hAnsiTheme="minorHAnsi"/>
          <w:b/>
        </w:rPr>
        <w:t>5</w:t>
      </w:r>
      <w:r w:rsidRPr="005432E1">
        <w:rPr>
          <w:rFonts w:asciiTheme="minorHAnsi" w:hAnsiTheme="minorHAnsi"/>
          <w:b/>
        </w:rPr>
        <w:t>: Valor consolidado do estoque previdenciário – em R$ bilhões</w:t>
      </w:r>
    </w:p>
    <w:p w14:paraId="73E46C98" w14:textId="77777777" w:rsidR="000E58A6" w:rsidRPr="005432E1" w:rsidRDefault="000E58A6" w:rsidP="00B9433B">
      <w:pPr>
        <w:rPr>
          <w:rFonts w:asciiTheme="minorHAnsi" w:hAnsiTheme="minorHAnsi"/>
          <w:b/>
        </w:rPr>
      </w:pPr>
    </w:p>
    <w:p w14:paraId="1D26F81C" w14:textId="77777777" w:rsidR="000E58A6" w:rsidRPr="005432E1" w:rsidRDefault="0069087C" w:rsidP="00B9433B">
      <w:pPr>
        <w:rPr>
          <w:rFonts w:asciiTheme="minorHAnsi" w:hAnsiTheme="minorHAnsi"/>
          <w:b/>
        </w:rPr>
      </w:pPr>
      <w:r w:rsidRPr="005432E1">
        <w:rPr>
          <w:rFonts w:asciiTheme="minorHAnsi" w:hAnsiTheme="minorHAnsi"/>
          <w:noProof/>
        </w:rPr>
        <w:drawing>
          <wp:inline distT="0" distB="0" distL="0" distR="0" wp14:anchorId="5E720ACE" wp14:editId="58157965">
            <wp:extent cx="6120765" cy="1363973"/>
            <wp:effectExtent l="0" t="0" r="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363973"/>
                    </a:xfrm>
                    <a:prstGeom prst="rect">
                      <a:avLst/>
                    </a:prstGeom>
                    <a:noFill/>
                    <a:ln>
                      <a:noFill/>
                    </a:ln>
                  </pic:spPr>
                </pic:pic>
              </a:graphicData>
            </a:graphic>
          </wp:inline>
        </w:drawing>
      </w:r>
    </w:p>
    <w:p w14:paraId="7B090B6E" w14:textId="77777777" w:rsidR="000E58A6" w:rsidRPr="005432E1" w:rsidRDefault="00A751A4" w:rsidP="00B9433B">
      <w:pPr>
        <w:rPr>
          <w:rFonts w:asciiTheme="minorHAnsi" w:hAnsiTheme="minorHAnsi"/>
          <w:sz w:val="20"/>
          <w:szCs w:val="20"/>
        </w:rPr>
      </w:pPr>
      <w:r w:rsidRPr="005432E1">
        <w:rPr>
          <w:rFonts w:asciiTheme="minorHAnsi" w:hAnsiTheme="minorHAnsi"/>
          <w:sz w:val="20"/>
          <w:szCs w:val="20"/>
        </w:rPr>
        <w:t>Fonte: PGFN</w:t>
      </w:r>
    </w:p>
    <w:p w14:paraId="2508832F" w14:textId="77777777" w:rsidR="000E58A6" w:rsidRPr="005432E1" w:rsidRDefault="000E58A6" w:rsidP="00B9433B">
      <w:pPr>
        <w:rPr>
          <w:rFonts w:asciiTheme="minorHAnsi" w:hAnsiTheme="minorHAnsi"/>
          <w:b/>
        </w:rPr>
      </w:pPr>
    </w:p>
    <w:p w14:paraId="529D5E3E" w14:textId="52AC7C7A" w:rsidR="00285425" w:rsidRPr="005432E1" w:rsidRDefault="00285425" w:rsidP="006F4AC5">
      <w:pPr>
        <w:ind w:firstLine="708"/>
        <w:jc w:val="both"/>
        <w:rPr>
          <w:rFonts w:asciiTheme="minorHAnsi" w:hAnsiTheme="minorHAnsi"/>
        </w:rPr>
      </w:pPr>
      <w:r w:rsidRPr="005432E1">
        <w:rPr>
          <w:rFonts w:asciiTheme="minorHAnsi" w:hAnsiTheme="minorHAnsi"/>
        </w:rPr>
        <w:t>Quanto ao estoque não previdenciário, houve incremento de 1</w:t>
      </w:r>
      <w:r w:rsidR="00D62621" w:rsidRPr="005432E1">
        <w:rPr>
          <w:rFonts w:asciiTheme="minorHAnsi" w:hAnsiTheme="minorHAnsi"/>
        </w:rPr>
        <w:t>0</w:t>
      </w:r>
      <w:r w:rsidRPr="005432E1">
        <w:rPr>
          <w:rFonts w:asciiTheme="minorHAnsi" w:hAnsiTheme="minorHAnsi"/>
        </w:rPr>
        <w:t>,</w:t>
      </w:r>
      <w:r w:rsidR="00D62621" w:rsidRPr="005432E1">
        <w:rPr>
          <w:rFonts w:asciiTheme="minorHAnsi" w:hAnsiTheme="minorHAnsi"/>
        </w:rPr>
        <w:t>43% em relação ao ano de 2016</w:t>
      </w:r>
      <w:r w:rsidRPr="005432E1">
        <w:rPr>
          <w:rFonts w:asciiTheme="minorHAnsi" w:hAnsiTheme="minorHAnsi"/>
        </w:rPr>
        <w:t>, alcançando o montante de R$ 1.</w:t>
      </w:r>
      <w:r w:rsidR="00D62621" w:rsidRPr="005432E1">
        <w:rPr>
          <w:rFonts w:asciiTheme="minorHAnsi" w:hAnsiTheme="minorHAnsi"/>
        </w:rPr>
        <w:t>565,09</w:t>
      </w:r>
      <w:r w:rsidRPr="005432E1">
        <w:rPr>
          <w:rFonts w:asciiTheme="minorHAnsi" w:hAnsiTheme="minorHAnsi"/>
        </w:rPr>
        <w:t xml:space="preserve"> bilhões em 201</w:t>
      </w:r>
      <w:r w:rsidR="00D62621" w:rsidRPr="005432E1">
        <w:rPr>
          <w:rFonts w:asciiTheme="minorHAnsi" w:hAnsiTheme="minorHAnsi"/>
        </w:rPr>
        <w:t>7</w:t>
      </w:r>
      <w:r w:rsidRPr="005432E1">
        <w:rPr>
          <w:rFonts w:asciiTheme="minorHAnsi" w:hAnsiTheme="minorHAnsi"/>
        </w:rPr>
        <w:t>, conforme Tabela 2</w:t>
      </w:r>
      <w:r w:rsidR="00BB3990" w:rsidRPr="005432E1">
        <w:rPr>
          <w:rFonts w:asciiTheme="minorHAnsi" w:hAnsiTheme="minorHAnsi"/>
        </w:rPr>
        <w:t>6</w:t>
      </w:r>
      <w:r w:rsidRPr="005432E1">
        <w:rPr>
          <w:rFonts w:asciiTheme="minorHAnsi" w:hAnsiTheme="minorHAnsi"/>
        </w:rPr>
        <w:t>.</w:t>
      </w:r>
    </w:p>
    <w:p w14:paraId="7A3544E4" w14:textId="77777777" w:rsidR="00E008D2" w:rsidRPr="005432E1" w:rsidRDefault="00E008D2" w:rsidP="006F4AC5">
      <w:pPr>
        <w:ind w:firstLine="708"/>
        <w:jc w:val="center"/>
        <w:rPr>
          <w:rFonts w:asciiTheme="minorHAnsi" w:hAnsiTheme="minorHAnsi"/>
          <w:b/>
        </w:rPr>
      </w:pPr>
    </w:p>
    <w:p w14:paraId="78F58E11" w14:textId="2F753216" w:rsidR="005432E1" w:rsidRDefault="005432E1">
      <w:pPr>
        <w:rPr>
          <w:rFonts w:asciiTheme="minorHAnsi" w:hAnsiTheme="minorHAnsi"/>
          <w:b/>
        </w:rPr>
      </w:pPr>
      <w:r>
        <w:rPr>
          <w:rFonts w:asciiTheme="minorHAnsi" w:hAnsiTheme="minorHAnsi"/>
          <w:b/>
        </w:rPr>
        <w:br w:type="page"/>
      </w:r>
    </w:p>
    <w:p w14:paraId="3E0F535A" w14:textId="77777777" w:rsidR="0072376F" w:rsidRPr="005432E1" w:rsidRDefault="0072376F" w:rsidP="006F4AC5">
      <w:pPr>
        <w:ind w:firstLine="708"/>
        <w:jc w:val="center"/>
        <w:rPr>
          <w:rFonts w:asciiTheme="minorHAnsi" w:hAnsiTheme="minorHAnsi"/>
          <w:b/>
        </w:rPr>
      </w:pPr>
    </w:p>
    <w:p w14:paraId="68A0CCE5" w14:textId="5922C6AC" w:rsidR="0008037E" w:rsidRPr="005432E1" w:rsidRDefault="007F01A5" w:rsidP="006F4AC5">
      <w:pPr>
        <w:ind w:firstLine="708"/>
        <w:jc w:val="center"/>
        <w:rPr>
          <w:rFonts w:asciiTheme="minorHAnsi" w:hAnsiTheme="minorHAnsi"/>
          <w:b/>
        </w:rPr>
      </w:pPr>
      <w:r w:rsidRPr="005432E1">
        <w:rPr>
          <w:rFonts w:asciiTheme="minorHAnsi" w:hAnsiTheme="minorHAnsi"/>
          <w:b/>
        </w:rPr>
        <w:t>Tabela 2</w:t>
      </w:r>
      <w:r w:rsidR="00BB3990" w:rsidRPr="005432E1">
        <w:rPr>
          <w:rFonts w:asciiTheme="minorHAnsi" w:hAnsiTheme="minorHAnsi"/>
          <w:b/>
        </w:rPr>
        <w:t>6</w:t>
      </w:r>
      <w:r w:rsidR="00285425" w:rsidRPr="005432E1">
        <w:rPr>
          <w:rFonts w:asciiTheme="minorHAnsi" w:hAnsiTheme="minorHAnsi"/>
          <w:b/>
        </w:rPr>
        <w:t>: Estoque de créditos não previdenciários – em R$ bilhões</w:t>
      </w:r>
    </w:p>
    <w:p w14:paraId="7BE166F2" w14:textId="77777777" w:rsidR="00D62621" w:rsidRPr="005432E1" w:rsidRDefault="00D62621" w:rsidP="006F4AC5">
      <w:pPr>
        <w:ind w:firstLine="708"/>
        <w:jc w:val="center"/>
        <w:rPr>
          <w:rFonts w:asciiTheme="minorHAnsi" w:hAnsiTheme="minorHAnsi"/>
          <w:b/>
        </w:rPr>
      </w:pPr>
    </w:p>
    <w:p w14:paraId="1137587D" w14:textId="77777777" w:rsidR="00285425" w:rsidRPr="005432E1" w:rsidRDefault="0008037E" w:rsidP="002B77FB">
      <w:pPr>
        <w:jc w:val="center"/>
        <w:rPr>
          <w:rFonts w:asciiTheme="minorHAnsi" w:hAnsiTheme="minorHAnsi"/>
          <w:b/>
        </w:rPr>
      </w:pPr>
      <w:r w:rsidRPr="005432E1">
        <w:rPr>
          <w:rFonts w:asciiTheme="minorHAnsi" w:hAnsiTheme="minorHAnsi"/>
          <w:noProof/>
        </w:rPr>
        <w:drawing>
          <wp:inline distT="0" distB="0" distL="0" distR="0" wp14:anchorId="4ADEFB7F" wp14:editId="67630EE0">
            <wp:extent cx="6335969" cy="1784350"/>
            <wp:effectExtent l="0" t="0" r="8255"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6774" cy="1809923"/>
                    </a:xfrm>
                    <a:prstGeom prst="rect">
                      <a:avLst/>
                    </a:prstGeom>
                    <a:noFill/>
                    <a:ln>
                      <a:noFill/>
                    </a:ln>
                  </pic:spPr>
                </pic:pic>
              </a:graphicData>
            </a:graphic>
          </wp:inline>
        </w:drawing>
      </w:r>
      <w:r w:rsidR="00F2698B" w:rsidRPr="005432E1">
        <w:rPr>
          <w:rFonts w:asciiTheme="minorHAnsi" w:hAnsiTheme="minorHAnsi"/>
          <w:b/>
        </w:rPr>
        <w:t xml:space="preserve"> </w:t>
      </w:r>
    </w:p>
    <w:p w14:paraId="134A6F95" w14:textId="77777777" w:rsidR="00285425" w:rsidRPr="005432E1" w:rsidRDefault="00D17919" w:rsidP="006F4AC5">
      <w:pPr>
        <w:jc w:val="both"/>
        <w:rPr>
          <w:rFonts w:asciiTheme="minorHAnsi" w:hAnsiTheme="minorHAnsi"/>
          <w:sz w:val="18"/>
          <w:szCs w:val="18"/>
        </w:rPr>
      </w:pPr>
      <w:r w:rsidRPr="005432E1">
        <w:rPr>
          <w:rFonts w:asciiTheme="minorHAnsi" w:hAnsiTheme="minorHAnsi"/>
          <w:sz w:val="18"/>
          <w:szCs w:val="18"/>
        </w:rPr>
        <w:t>Fonte: PGFN.</w:t>
      </w:r>
    </w:p>
    <w:p w14:paraId="29A75523" w14:textId="77777777" w:rsidR="00285425" w:rsidRPr="005432E1" w:rsidRDefault="00285425" w:rsidP="006F4AC5">
      <w:pPr>
        <w:ind w:firstLine="708"/>
        <w:jc w:val="both"/>
        <w:rPr>
          <w:rFonts w:asciiTheme="minorHAnsi" w:hAnsiTheme="minorHAnsi"/>
        </w:rPr>
      </w:pPr>
    </w:p>
    <w:p w14:paraId="1379E76D" w14:textId="77777777" w:rsidR="00917BDE" w:rsidRPr="005432E1" w:rsidRDefault="00917BDE" w:rsidP="006F4AC5">
      <w:pPr>
        <w:ind w:firstLine="708"/>
        <w:jc w:val="both"/>
        <w:rPr>
          <w:rFonts w:asciiTheme="minorHAnsi" w:hAnsiTheme="minorHAnsi"/>
        </w:rPr>
      </w:pPr>
    </w:p>
    <w:p w14:paraId="4718E1DE" w14:textId="77777777" w:rsidR="00A6232A" w:rsidRPr="005432E1" w:rsidRDefault="00A6232A" w:rsidP="004C4B03">
      <w:pPr>
        <w:pStyle w:val="Ttulo3"/>
        <w:numPr>
          <w:ilvl w:val="0"/>
          <w:numId w:val="0"/>
        </w:numPr>
        <w:rPr>
          <w:rFonts w:asciiTheme="minorHAnsi" w:hAnsiTheme="minorHAnsi"/>
          <w:b/>
        </w:rPr>
      </w:pPr>
    </w:p>
    <w:p w14:paraId="46AFED8E" w14:textId="77777777" w:rsidR="002B0F44" w:rsidRPr="005432E1" w:rsidRDefault="00445D9C" w:rsidP="004C4B03">
      <w:pPr>
        <w:pStyle w:val="Ttulo3"/>
        <w:numPr>
          <w:ilvl w:val="0"/>
          <w:numId w:val="0"/>
        </w:numPr>
        <w:rPr>
          <w:rFonts w:asciiTheme="minorHAnsi" w:hAnsiTheme="minorHAnsi"/>
          <w:b/>
        </w:rPr>
      </w:pPr>
      <w:bookmarkStart w:id="190" w:name="_Toc511230028"/>
      <w:r w:rsidRPr="005432E1">
        <w:rPr>
          <w:rFonts w:asciiTheme="minorHAnsi" w:hAnsiTheme="minorHAnsi"/>
          <w:b/>
        </w:rPr>
        <w:t>3.</w:t>
      </w:r>
      <w:r w:rsidR="00467F44" w:rsidRPr="005432E1">
        <w:rPr>
          <w:rFonts w:asciiTheme="minorHAnsi" w:hAnsiTheme="minorHAnsi"/>
          <w:b/>
        </w:rPr>
        <w:t>2</w:t>
      </w:r>
      <w:r w:rsidRPr="005432E1">
        <w:rPr>
          <w:rFonts w:asciiTheme="minorHAnsi" w:hAnsiTheme="minorHAnsi"/>
          <w:b/>
        </w:rPr>
        <w:t xml:space="preserve">.2 </w:t>
      </w:r>
      <w:r w:rsidR="002D2FBD" w:rsidRPr="005432E1">
        <w:rPr>
          <w:rFonts w:asciiTheme="minorHAnsi" w:hAnsiTheme="minorHAnsi"/>
          <w:b/>
        </w:rPr>
        <w:t>Depósitos Judiciais d</w:t>
      </w:r>
      <w:r w:rsidR="001F2AEB" w:rsidRPr="005432E1">
        <w:rPr>
          <w:rFonts w:asciiTheme="minorHAnsi" w:hAnsiTheme="minorHAnsi"/>
          <w:b/>
        </w:rPr>
        <w:t>a União</w:t>
      </w:r>
      <w:bookmarkEnd w:id="188"/>
      <w:bookmarkEnd w:id="189"/>
      <w:bookmarkEnd w:id="190"/>
    </w:p>
    <w:p w14:paraId="663939D3" w14:textId="77777777" w:rsidR="001F2AEB" w:rsidRPr="005432E1" w:rsidRDefault="001F2AEB" w:rsidP="006F4AC5">
      <w:pPr>
        <w:rPr>
          <w:rFonts w:asciiTheme="minorHAnsi" w:hAnsiTheme="minorHAnsi"/>
        </w:rPr>
      </w:pPr>
    </w:p>
    <w:p w14:paraId="3C6C3A4E" w14:textId="77777777" w:rsidR="00445D9C" w:rsidRPr="005432E1" w:rsidRDefault="00A87A1F" w:rsidP="006F4AC5">
      <w:pPr>
        <w:autoSpaceDE w:val="0"/>
        <w:autoSpaceDN w:val="0"/>
        <w:spacing w:before="120" w:after="120"/>
        <w:jc w:val="both"/>
        <w:rPr>
          <w:rFonts w:asciiTheme="minorHAnsi" w:hAnsiTheme="minorHAnsi"/>
        </w:rPr>
      </w:pPr>
      <w:r w:rsidRPr="005432E1">
        <w:rPr>
          <w:rFonts w:asciiTheme="minorHAnsi" w:hAnsiTheme="minorHAnsi"/>
        </w:rPr>
        <w:tab/>
      </w:r>
      <w:r w:rsidR="00445D9C" w:rsidRPr="005432E1">
        <w:rPr>
          <w:rFonts w:asciiTheme="minorHAnsi" w:hAnsiTheme="minorHAnsi"/>
        </w:rPr>
        <w:t>Os depósitos judiciais são efetuados a favor da União com a finalidade de garantir o pagamento de dívidas, relativas a tributos e contribuições previdenciárias, que estão sendo discutidas judicialmente. Como estes depósitos ingressaram na conta única do Tesouro Nacional, a sua variação líquida, de um exercício para o outro, afeta a apuração do resultado primário. Por esta razão, podem gerar um risco fiscal ativo ou passivo, dependendo do saldo líquido do exercício.</w:t>
      </w:r>
    </w:p>
    <w:p w14:paraId="1F059655" w14:textId="218E77BB" w:rsidR="00445D9C" w:rsidRPr="005432E1" w:rsidRDefault="00A87A1F" w:rsidP="006F4AC5">
      <w:pPr>
        <w:autoSpaceDE w:val="0"/>
        <w:autoSpaceDN w:val="0"/>
        <w:spacing w:before="120" w:after="120"/>
        <w:jc w:val="both"/>
        <w:rPr>
          <w:rFonts w:asciiTheme="minorHAnsi" w:hAnsiTheme="minorHAnsi"/>
        </w:rPr>
      </w:pPr>
      <w:r w:rsidRPr="005432E1">
        <w:rPr>
          <w:rFonts w:asciiTheme="minorHAnsi" w:hAnsiTheme="minorHAnsi"/>
          <w:color w:val="FF0000"/>
        </w:rPr>
        <w:tab/>
      </w:r>
      <w:r w:rsidR="00445D9C" w:rsidRPr="005432E1">
        <w:rPr>
          <w:rFonts w:asciiTheme="minorHAnsi" w:hAnsiTheme="minorHAnsi"/>
        </w:rPr>
        <w:t>Em 201</w:t>
      </w:r>
      <w:r w:rsidR="008E4FC7" w:rsidRPr="005432E1">
        <w:rPr>
          <w:rFonts w:asciiTheme="minorHAnsi" w:hAnsiTheme="minorHAnsi"/>
        </w:rPr>
        <w:t>7</w:t>
      </w:r>
      <w:r w:rsidR="00EB3851" w:rsidRPr="005432E1">
        <w:rPr>
          <w:rFonts w:asciiTheme="minorHAnsi" w:hAnsiTheme="minorHAnsi"/>
        </w:rPr>
        <w:t xml:space="preserve">, </w:t>
      </w:r>
      <w:r w:rsidR="00445D9C" w:rsidRPr="005432E1">
        <w:rPr>
          <w:rFonts w:asciiTheme="minorHAnsi" w:hAnsiTheme="minorHAnsi"/>
        </w:rPr>
        <w:t xml:space="preserve">o total </w:t>
      </w:r>
      <w:r w:rsidR="00EB3851" w:rsidRPr="005432E1">
        <w:rPr>
          <w:rFonts w:asciiTheme="minorHAnsi" w:hAnsiTheme="minorHAnsi"/>
        </w:rPr>
        <w:t xml:space="preserve">de depósitos judiciais da União </w:t>
      </w:r>
      <w:r w:rsidR="00445D9C" w:rsidRPr="005432E1">
        <w:rPr>
          <w:rFonts w:asciiTheme="minorHAnsi" w:hAnsiTheme="minorHAnsi"/>
        </w:rPr>
        <w:t>arrecadado</w:t>
      </w:r>
      <w:r w:rsidR="00EB3851" w:rsidRPr="005432E1">
        <w:rPr>
          <w:rFonts w:asciiTheme="minorHAnsi" w:hAnsiTheme="minorHAnsi"/>
        </w:rPr>
        <w:t>s</w:t>
      </w:r>
      <w:r w:rsidR="00445D9C" w:rsidRPr="005432E1">
        <w:rPr>
          <w:rFonts w:asciiTheme="minorHAnsi" w:hAnsiTheme="minorHAnsi"/>
        </w:rPr>
        <w:t xml:space="preserve"> até dezembro</w:t>
      </w:r>
      <w:r w:rsidR="00EB3851" w:rsidRPr="005432E1">
        <w:rPr>
          <w:rFonts w:asciiTheme="minorHAnsi" w:hAnsiTheme="minorHAnsi"/>
        </w:rPr>
        <w:t xml:space="preserve"> correspondeu a</w:t>
      </w:r>
      <w:r w:rsidR="00445D9C" w:rsidRPr="005432E1">
        <w:rPr>
          <w:rFonts w:asciiTheme="minorHAnsi" w:hAnsiTheme="minorHAnsi"/>
        </w:rPr>
        <w:t xml:space="preserve"> R$ 1</w:t>
      </w:r>
      <w:r w:rsidR="00EB3851" w:rsidRPr="005432E1">
        <w:rPr>
          <w:rFonts w:asciiTheme="minorHAnsi" w:hAnsiTheme="minorHAnsi"/>
        </w:rPr>
        <w:t>4</w:t>
      </w:r>
      <w:r w:rsidR="00445D9C" w:rsidRPr="005432E1">
        <w:rPr>
          <w:rFonts w:asciiTheme="minorHAnsi" w:hAnsiTheme="minorHAnsi"/>
        </w:rPr>
        <w:t>,</w:t>
      </w:r>
      <w:r w:rsidR="00EB3851" w:rsidRPr="005432E1">
        <w:rPr>
          <w:rFonts w:asciiTheme="minorHAnsi" w:hAnsiTheme="minorHAnsi"/>
        </w:rPr>
        <w:t>2</w:t>
      </w:r>
      <w:r w:rsidR="00445D9C" w:rsidRPr="005432E1">
        <w:rPr>
          <w:rFonts w:asciiTheme="minorHAnsi" w:hAnsiTheme="minorHAnsi"/>
        </w:rPr>
        <w:t xml:space="preserve"> bilhões</w:t>
      </w:r>
      <w:r w:rsidR="00EB3851" w:rsidRPr="005432E1">
        <w:rPr>
          <w:rFonts w:asciiTheme="minorHAnsi" w:hAnsiTheme="minorHAnsi"/>
        </w:rPr>
        <w:t>. Desse montante,</w:t>
      </w:r>
      <w:r w:rsidR="00445D9C" w:rsidRPr="005432E1">
        <w:rPr>
          <w:rFonts w:asciiTheme="minorHAnsi" w:hAnsiTheme="minorHAnsi"/>
        </w:rPr>
        <w:t xml:space="preserve"> </w:t>
      </w:r>
      <w:r w:rsidR="00B0578A" w:rsidRPr="005432E1">
        <w:rPr>
          <w:rFonts w:asciiTheme="minorHAnsi" w:hAnsiTheme="minorHAnsi"/>
        </w:rPr>
        <w:t xml:space="preserve">foram </w:t>
      </w:r>
      <w:r w:rsidR="00445D9C" w:rsidRPr="005432E1">
        <w:rPr>
          <w:rFonts w:asciiTheme="minorHAnsi" w:hAnsiTheme="minorHAnsi"/>
        </w:rPr>
        <w:t>devolvidos</w:t>
      </w:r>
      <w:r w:rsidR="00B0578A" w:rsidRPr="005432E1">
        <w:rPr>
          <w:rFonts w:asciiTheme="minorHAnsi" w:hAnsiTheme="minorHAnsi"/>
        </w:rPr>
        <w:t xml:space="preserve"> aos depositantes</w:t>
      </w:r>
      <w:r w:rsidR="00445D9C" w:rsidRPr="005432E1">
        <w:rPr>
          <w:rFonts w:asciiTheme="minorHAnsi" w:hAnsiTheme="minorHAnsi"/>
        </w:rPr>
        <w:t xml:space="preserve"> R$ </w:t>
      </w:r>
      <w:r w:rsidR="00EB3851" w:rsidRPr="005432E1">
        <w:rPr>
          <w:rFonts w:asciiTheme="minorHAnsi" w:hAnsiTheme="minorHAnsi"/>
        </w:rPr>
        <w:t xml:space="preserve">3,4 bilhões. </w:t>
      </w:r>
      <w:r w:rsidR="00445D9C" w:rsidRPr="005432E1">
        <w:rPr>
          <w:rFonts w:asciiTheme="minorHAnsi" w:hAnsiTheme="minorHAnsi"/>
        </w:rPr>
        <w:t>Os dados são apresentados sob a ótica do regime de caixa.</w:t>
      </w:r>
    </w:p>
    <w:tbl>
      <w:tblPr>
        <w:tblW w:w="12108" w:type="dxa"/>
        <w:tblCellMar>
          <w:left w:w="0" w:type="dxa"/>
          <w:right w:w="0" w:type="dxa"/>
        </w:tblCellMar>
        <w:tblLook w:val="04A0" w:firstRow="1" w:lastRow="0" w:firstColumn="1" w:lastColumn="0" w:noHBand="0" w:noVBand="1"/>
      </w:tblPr>
      <w:tblGrid>
        <w:gridCol w:w="12108"/>
      </w:tblGrid>
      <w:tr w:rsidR="0026114A" w:rsidRPr="005432E1" w14:paraId="13CB3918" w14:textId="77777777" w:rsidTr="00920ABB">
        <w:trPr>
          <w:trHeight w:val="573"/>
        </w:trPr>
        <w:tc>
          <w:tcPr>
            <w:tcW w:w="12108" w:type="dxa"/>
            <w:noWrap/>
            <w:tcMar>
              <w:top w:w="0" w:type="dxa"/>
              <w:left w:w="70" w:type="dxa"/>
              <w:bottom w:w="0" w:type="dxa"/>
              <w:right w:w="70" w:type="dxa"/>
            </w:tcMar>
            <w:vAlign w:val="bottom"/>
          </w:tcPr>
          <w:p w14:paraId="22A821BC" w14:textId="77777777" w:rsidR="00E16446" w:rsidRPr="005432E1" w:rsidRDefault="00E16446" w:rsidP="006F4AC5">
            <w:pPr>
              <w:rPr>
                <w:rFonts w:asciiTheme="minorHAnsi" w:hAnsiTheme="minorHAnsi"/>
                <w:color w:val="FF0000"/>
              </w:rPr>
            </w:pPr>
          </w:p>
          <w:tbl>
            <w:tblPr>
              <w:tblpPr w:leftFromText="141" w:rightFromText="141" w:vertAnchor="text" w:horzAnchor="margin" w:tblpY="-72"/>
              <w:tblOverlap w:val="never"/>
              <w:tblW w:w="957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70"/>
              <w:gridCol w:w="1267"/>
              <w:gridCol w:w="1268"/>
              <w:gridCol w:w="1267"/>
              <w:gridCol w:w="1083"/>
              <w:gridCol w:w="1916"/>
            </w:tblGrid>
            <w:tr w:rsidR="0026114A" w:rsidRPr="005432E1" w14:paraId="38AC33F7" w14:textId="77777777" w:rsidTr="003358EE">
              <w:trPr>
                <w:trHeight w:val="297"/>
              </w:trPr>
              <w:tc>
                <w:tcPr>
                  <w:tcW w:w="9571" w:type="dxa"/>
                  <w:gridSpan w:val="6"/>
                  <w:tcBorders>
                    <w:top w:val="nil"/>
                    <w:left w:val="nil"/>
                    <w:bottom w:val="single" w:sz="4" w:space="0" w:color="auto"/>
                    <w:right w:val="nil"/>
                  </w:tcBorders>
                  <w:shd w:val="clear" w:color="auto" w:fill="auto"/>
                  <w:noWrap/>
                  <w:vAlign w:val="center"/>
                  <w:hideMark/>
                </w:tcPr>
                <w:p w14:paraId="272300AA" w14:textId="29A6C527" w:rsidR="00445D9C" w:rsidRPr="005432E1" w:rsidRDefault="00445D9C" w:rsidP="006F4AC5">
                  <w:pPr>
                    <w:jc w:val="center"/>
                    <w:rPr>
                      <w:rFonts w:asciiTheme="minorHAnsi" w:hAnsiTheme="minorHAnsi"/>
                      <w:b/>
                      <w:bCs/>
                      <w:szCs w:val="22"/>
                    </w:rPr>
                  </w:pPr>
                  <w:r w:rsidRPr="005432E1">
                    <w:rPr>
                      <w:rFonts w:asciiTheme="minorHAnsi" w:hAnsiTheme="minorHAnsi"/>
                      <w:b/>
                      <w:bCs/>
                      <w:szCs w:val="22"/>
                    </w:rPr>
                    <w:t>Tabela 2</w:t>
                  </w:r>
                  <w:r w:rsidR="00BB3990" w:rsidRPr="005432E1">
                    <w:rPr>
                      <w:rFonts w:asciiTheme="minorHAnsi" w:hAnsiTheme="minorHAnsi"/>
                      <w:b/>
                      <w:bCs/>
                      <w:szCs w:val="22"/>
                    </w:rPr>
                    <w:t>7</w:t>
                  </w:r>
                  <w:r w:rsidRPr="005432E1">
                    <w:rPr>
                      <w:rFonts w:asciiTheme="minorHAnsi" w:hAnsiTheme="minorHAnsi"/>
                      <w:b/>
                      <w:bCs/>
                      <w:szCs w:val="22"/>
                    </w:rPr>
                    <w:t xml:space="preserve"> - Depósitos Judiciais</w:t>
                  </w:r>
                </w:p>
                <w:p w14:paraId="04DD4BA9" w14:textId="77777777" w:rsidR="00445D9C" w:rsidRPr="005432E1" w:rsidRDefault="00445D9C" w:rsidP="006F4AC5">
                  <w:pPr>
                    <w:jc w:val="right"/>
                    <w:rPr>
                      <w:rFonts w:asciiTheme="minorHAnsi" w:hAnsiTheme="minorHAnsi"/>
                      <w:b/>
                      <w:bCs/>
                      <w:szCs w:val="22"/>
                    </w:rPr>
                  </w:pPr>
                  <w:r w:rsidRPr="005432E1">
                    <w:rPr>
                      <w:rFonts w:asciiTheme="minorHAnsi" w:hAnsiTheme="minorHAnsi"/>
                      <w:bCs/>
                      <w:sz w:val="20"/>
                    </w:rPr>
                    <w:t>Em R$ milhões</w:t>
                  </w:r>
                </w:p>
              </w:tc>
            </w:tr>
            <w:tr w:rsidR="0026114A" w:rsidRPr="005432E1" w14:paraId="5D41F1D0" w14:textId="77777777" w:rsidTr="0000411F">
              <w:trPr>
                <w:trHeight w:val="297"/>
              </w:trPr>
              <w:tc>
                <w:tcPr>
                  <w:tcW w:w="2770" w:type="dxa"/>
                  <w:vMerge w:val="restart"/>
                  <w:tcBorders>
                    <w:top w:val="single" w:sz="4" w:space="0" w:color="auto"/>
                    <w:right w:val="single" w:sz="4" w:space="0" w:color="auto"/>
                  </w:tcBorders>
                  <w:shd w:val="clear" w:color="000000" w:fill="FFFFFF"/>
                  <w:noWrap/>
                  <w:vAlign w:val="center"/>
                </w:tcPr>
                <w:p w14:paraId="41524C98" w14:textId="77777777" w:rsidR="00445D9C" w:rsidRPr="005432E1" w:rsidRDefault="00445D9C" w:rsidP="006F4AC5">
                  <w:pPr>
                    <w:jc w:val="center"/>
                    <w:rPr>
                      <w:rFonts w:asciiTheme="minorHAnsi" w:hAnsiTheme="minorHAnsi"/>
                      <w:sz w:val="22"/>
                      <w:szCs w:val="22"/>
                    </w:rPr>
                  </w:pPr>
                  <w:r w:rsidRPr="005432E1">
                    <w:rPr>
                      <w:rFonts w:asciiTheme="minorHAnsi" w:hAnsiTheme="minorHAnsi"/>
                      <w:sz w:val="22"/>
                      <w:szCs w:val="22"/>
                    </w:rPr>
                    <w:t>Ação</w:t>
                  </w:r>
                </w:p>
                <w:p w14:paraId="0D513019" w14:textId="77777777" w:rsidR="00445D9C" w:rsidRPr="005432E1" w:rsidRDefault="00445D9C" w:rsidP="006F4AC5">
                  <w:pPr>
                    <w:rPr>
                      <w:rFonts w:asciiTheme="minorHAnsi" w:hAnsiTheme="minorHAnsi"/>
                      <w:sz w:val="22"/>
                      <w:szCs w:val="22"/>
                    </w:rPr>
                  </w:pPr>
                  <w:r w:rsidRPr="005432E1">
                    <w:rPr>
                      <w:rFonts w:asciiTheme="minorHAnsi" w:hAnsiTheme="minorHAnsi"/>
                      <w:sz w:val="22"/>
                      <w:szCs w:val="22"/>
                    </w:rPr>
                    <w:t> </w:t>
                  </w:r>
                </w:p>
              </w:tc>
              <w:tc>
                <w:tcPr>
                  <w:tcW w:w="4885" w:type="dxa"/>
                  <w:gridSpan w:val="4"/>
                  <w:tcBorders>
                    <w:top w:val="single" w:sz="4" w:space="0" w:color="auto"/>
                    <w:left w:val="single" w:sz="4" w:space="0" w:color="auto"/>
                    <w:bottom w:val="single" w:sz="4" w:space="0" w:color="auto"/>
                  </w:tcBorders>
                  <w:shd w:val="clear" w:color="000000" w:fill="FFFFFF"/>
                  <w:vAlign w:val="center"/>
                </w:tcPr>
                <w:p w14:paraId="7EAEF07E" w14:textId="77777777" w:rsidR="00445D9C" w:rsidRPr="005432E1" w:rsidRDefault="00445D9C" w:rsidP="006F4AC5">
                  <w:pPr>
                    <w:jc w:val="center"/>
                    <w:rPr>
                      <w:rFonts w:asciiTheme="minorHAnsi" w:hAnsiTheme="minorHAnsi"/>
                      <w:sz w:val="22"/>
                    </w:rPr>
                  </w:pPr>
                  <w:r w:rsidRPr="005432E1">
                    <w:rPr>
                      <w:rFonts w:asciiTheme="minorHAnsi" w:hAnsiTheme="minorHAnsi"/>
                      <w:sz w:val="22"/>
                    </w:rPr>
                    <w:t>Anos</w:t>
                  </w:r>
                </w:p>
              </w:tc>
              <w:tc>
                <w:tcPr>
                  <w:tcW w:w="1916" w:type="dxa"/>
                  <w:vMerge w:val="restart"/>
                  <w:tcBorders>
                    <w:top w:val="single" w:sz="4" w:space="0" w:color="auto"/>
                    <w:left w:val="single" w:sz="4" w:space="0" w:color="auto"/>
                  </w:tcBorders>
                  <w:shd w:val="clear" w:color="000000" w:fill="FFFFFF"/>
                </w:tcPr>
                <w:p w14:paraId="184D0192" w14:textId="77777777" w:rsidR="00445D9C" w:rsidRPr="005432E1" w:rsidRDefault="00445D9C" w:rsidP="006F4AC5">
                  <w:pPr>
                    <w:jc w:val="center"/>
                    <w:rPr>
                      <w:rFonts w:asciiTheme="minorHAnsi" w:hAnsiTheme="minorHAnsi"/>
                      <w:sz w:val="22"/>
                    </w:rPr>
                  </w:pPr>
                  <w:r w:rsidRPr="005432E1">
                    <w:rPr>
                      <w:rFonts w:asciiTheme="minorHAnsi" w:hAnsiTheme="minorHAnsi"/>
                      <w:sz w:val="22"/>
                    </w:rPr>
                    <w:t>Impacto Financeiro (F) ou Primário (P)</w:t>
                  </w:r>
                </w:p>
              </w:tc>
            </w:tr>
            <w:tr w:rsidR="005F6B16" w:rsidRPr="005432E1" w14:paraId="5A65D6F7" w14:textId="77777777" w:rsidTr="0000411F">
              <w:trPr>
                <w:trHeight w:val="297"/>
              </w:trPr>
              <w:tc>
                <w:tcPr>
                  <w:tcW w:w="2770" w:type="dxa"/>
                  <w:vMerge/>
                  <w:tcBorders>
                    <w:bottom w:val="single" w:sz="4" w:space="0" w:color="auto"/>
                    <w:right w:val="single" w:sz="4" w:space="0" w:color="auto"/>
                  </w:tcBorders>
                  <w:shd w:val="clear" w:color="000000" w:fill="FFFFFF"/>
                  <w:noWrap/>
                  <w:vAlign w:val="center"/>
                  <w:hideMark/>
                </w:tcPr>
                <w:p w14:paraId="45E6A61C" w14:textId="77777777" w:rsidR="005F6B16" w:rsidRPr="005432E1" w:rsidRDefault="005F6B16" w:rsidP="005F6B16">
                  <w:pPr>
                    <w:rPr>
                      <w:rFonts w:asciiTheme="minorHAnsi" w:hAnsiTheme="minorHAnsi"/>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14:paraId="3C7F4914" w14:textId="77777777" w:rsidR="005F6B16" w:rsidRPr="005432E1" w:rsidRDefault="005F6B16" w:rsidP="005F6B16">
                  <w:pPr>
                    <w:jc w:val="right"/>
                    <w:rPr>
                      <w:rFonts w:asciiTheme="minorHAnsi" w:hAnsiTheme="minorHAnsi"/>
                      <w:sz w:val="22"/>
                    </w:rPr>
                  </w:pPr>
                  <w:r w:rsidRPr="005432E1">
                    <w:rPr>
                      <w:rFonts w:asciiTheme="minorHAnsi" w:hAnsiTheme="minorHAnsi"/>
                      <w:sz w:val="22"/>
                    </w:rPr>
                    <w:t>2014</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2353FC" w14:textId="77777777" w:rsidR="005F6B16" w:rsidRPr="005432E1" w:rsidRDefault="005F6B16" w:rsidP="005F6B16">
                  <w:pPr>
                    <w:jc w:val="right"/>
                    <w:rPr>
                      <w:rFonts w:asciiTheme="minorHAnsi" w:hAnsiTheme="minorHAnsi"/>
                      <w:sz w:val="22"/>
                    </w:rPr>
                  </w:pPr>
                  <w:r w:rsidRPr="005432E1">
                    <w:rPr>
                      <w:rFonts w:asciiTheme="minorHAnsi" w:hAnsiTheme="minorHAnsi"/>
                      <w:sz w:val="22"/>
                    </w:rPr>
                    <w:t>2015</w:t>
                  </w:r>
                </w:p>
              </w:tc>
              <w:tc>
                <w:tcPr>
                  <w:tcW w:w="1267" w:type="dxa"/>
                  <w:tcBorders>
                    <w:top w:val="single" w:sz="4" w:space="0" w:color="auto"/>
                    <w:left w:val="single" w:sz="4" w:space="0" w:color="auto"/>
                    <w:bottom w:val="single" w:sz="4" w:space="0" w:color="auto"/>
                  </w:tcBorders>
                  <w:shd w:val="clear" w:color="000000" w:fill="FFFFFF"/>
                  <w:vAlign w:val="center"/>
                </w:tcPr>
                <w:p w14:paraId="3859F4F1" w14:textId="77777777" w:rsidR="005F6B16" w:rsidRPr="005432E1" w:rsidRDefault="005F6B16" w:rsidP="005F6B16">
                  <w:pPr>
                    <w:jc w:val="right"/>
                    <w:rPr>
                      <w:rFonts w:asciiTheme="minorHAnsi" w:hAnsiTheme="minorHAnsi"/>
                      <w:sz w:val="22"/>
                    </w:rPr>
                  </w:pPr>
                  <w:r w:rsidRPr="005432E1">
                    <w:rPr>
                      <w:rFonts w:asciiTheme="minorHAnsi" w:hAnsiTheme="minorHAnsi"/>
                      <w:sz w:val="22"/>
                    </w:rPr>
                    <w:t>2016</w:t>
                  </w:r>
                </w:p>
              </w:tc>
              <w:tc>
                <w:tcPr>
                  <w:tcW w:w="1083" w:type="dxa"/>
                  <w:tcBorders>
                    <w:top w:val="single" w:sz="4" w:space="0" w:color="auto"/>
                    <w:left w:val="single" w:sz="4" w:space="0" w:color="auto"/>
                    <w:bottom w:val="single" w:sz="4" w:space="0" w:color="auto"/>
                  </w:tcBorders>
                  <w:shd w:val="clear" w:color="000000" w:fill="FFFFFF"/>
                  <w:vAlign w:val="center"/>
                </w:tcPr>
                <w:p w14:paraId="6E1687E8" w14:textId="77777777" w:rsidR="005F6B16" w:rsidRPr="005432E1" w:rsidRDefault="005F6B16" w:rsidP="005F6B16">
                  <w:pPr>
                    <w:jc w:val="right"/>
                    <w:rPr>
                      <w:rFonts w:asciiTheme="minorHAnsi" w:hAnsiTheme="minorHAnsi"/>
                      <w:sz w:val="22"/>
                    </w:rPr>
                  </w:pPr>
                  <w:r w:rsidRPr="005432E1">
                    <w:rPr>
                      <w:rFonts w:asciiTheme="minorHAnsi" w:hAnsiTheme="minorHAnsi"/>
                      <w:sz w:val="22"/>
                    </w:rPr>
                    <w:t>2017</w:t>
                  </w:r>
                </w:p>
              </w:tc>
              <w:tc>
                <w:tcPr>
                  <w:tcW w:w="1916" w:type="dxa"/>
                  <w:vMerge/>
                  <w:tcBorders>
                    <w:left w:val="single" w:sz="4" w:space="0" w:color="auto"/>
                    <w:bottom w:val="single" w:sz="4" w:space="0" w:color="auto"/>
                  </w:tcBorders>
                  <w:shd w:val="clear" w:color="000000" w:fill="FFFFFF"/>
                </w:tcPr>
                <w:p w14:paraId="7168BE9F" w14:textId="77777777" w:rsidR="005F6B16" w:rsidRPr="005432E1" w:rsidRDefault="005F6B16" w:rsidP="005F6B16">
                  <w:pPr>
                    <w:jc w:val="right"/>
                    <w:rPr>
                      <w:rFonts w:asciiTheme="minorHAnsi" w:hAnsiTheme="minorHAnsi"/>
                      <w:sz w:val="22"/>
                    </w:rPr>
                  </w:pPr>
                </w:p>
              </w:tc>
            </w:tr>
            <w:tr w:rsidR="005F6B16" w:rsidRPr="005432E1" w14:paraId="7DB0030B" w14:textId="77777777" w:rsidTr="0000411F">
              <w:trPr>
                <w:trHeight w:val="297"/>
              </w:trPr>
              <w:tc>
                <w:tcPr>
                  <w:tcW w:w="2770" w:type="dxa"/>
                  <w:tcBorders>
                    <w:top w:val="single" w:sz="4" w:space="0" w:color="auto"/>
                    <w:bottom w:val="single" w:sz="4" w:space="0" w:color="auto"/>
                    <w:right w:val="single" w:sz="4" w:space="0" w:color="auto"/>
                  </w:tcBorders>
                  <w:shd w:val="clear" w:color="000000" w:fill="FFFFFF"/>
                  <w:noWrap/>
                  <w:vAlign w:val="center"/>
                  <w:hideMark/>
                </w:tcPr>
                <w:p w14:paraId="0FF4AFA7" w14:textId="77777777" w:rsidR="005F6B16" w:rsidRPr="005432E1" w:rsidRDefault="005F6B16" w:rsidP="005F6B16">
                  <w:pPr>
                    <w:rPr>
                      <w:rFonts w:asciiTheme="minorHAnsi" w:hAnsiTheme="minorHAnsi"/>
                      <w:sz w:val="22"/>
                      <w:szCs w:val="22"/>
                    </w:rPr>
                  </w:pPr>
                  <w:r w:rsidRPr="005432E1">
                    <w:rPr>
                      <w:rFonts w:asciiTheme="minorHAnsi" w:hAnsiTheme="minorHAnsi"/>
                      <w:sz w:val="22"/>
                      <w:szCs w:val="22"/>
                    </w:rPr>
                    <w:t>Arrecadação</w:t>
                  </w: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35F0D" w14:textId="77777777" w:rsidR="005F6B16" w:rsidRPr="005432E1" w:rsidRDefault="0000411F" w:rsidP="0000411F">
                  <w:pPr>
                    <w:rPr>
                      <w:rFonts w:asciiTheme="minorHAnsi" w:hAnsiTheme="minorHAnsi"/>
                      <w:sz w:val="22"/>
                      <w:szCs w:val="22"/>
                    </w:rPr>
                  </w:pPr>
                  <w:r w:rsidRPr="005432E1">
                    <w:rPr>
                      <w:rFonts w:asciiTheme="minorHAnsi" w:hAnsiTheme="minorHAnsi"/>
                      <w:sz w:val="22"/>
                      <w:szCs w:val="22"/>
                    </w:rPr>
                    <w:t>   10.144</w:t>
                  </w:r>
                  <w:r w:rsidR="005F6B16" w:rsidRPr="005432E1">
                    <w:rPr>
                      <w:rFonts w:asciiTheme="minorHAnsi" w:hAnsiTheme="minorHAnsi"/>
                      <w:sz w:val="22"/>
                      <w:szCs w:val="22"/>
                    </w:rPr>
                    <w:t>,</w:t>
                  </w:r>
                  <w:r w:rsidRPr="005432E1">
                    <w:rPr>
                      <w:rFonts w:asciiTheme="minorHAnsi" w:hAnsiTheme="minorHAnsi"/>
                      <w:sz w:val="22"/>
                      <w:szCs w:val="22"/>
                    </w:rPr>
                    <w:t>04</w:t>
                  </w:r>
                  <w:r w:rsidR="005F6B16" w:rsidRPr="005432E1">
                    <w:rPr>
                      <w:rFonts w:asciiTheme="minorHAnsi" w:hAnsiTheme="minorHAnsi"/>
                      <w:sz w:val="22"/>
                      <w:szCs w:val="22"/>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25734" w14:textId="77777777" w:rsidR="005F6B16" w:rsidRPr="005432E1" w:rsidRDefault="005F6B16" w:rsidP="0000411F">
                  <w:pPr>
                    <w:rPr>
                      <w:rFonts w:asciiTheme="minorHAnsi" w:hAnsiTheme="minorHAnsi"/>
                      <w:sz w:val="22"/>
                      <w:szCs w:val="22"/>
                    </w:rPr>
                  </w:pPr>
                  <w:r w:rsidRPr="005432E1">
                    <w:rPr>
                      <w:rFonts w:asciiTheme="minorHAnsi" w:hAnsiTheme="minorHAnsi"/>
                      <w:sz w:val="22"/>
                      <w:szCs w:val="22"/>
                    </w:rPr>
                    <w:t>   14.4</w:t>
                  </w:r>
                  <w:r w:rsidR="0000411F" w:rsidRPr="005432E1">
                    <w:rPr>
                      <w:rFonts w:asciiTheme="minorHAnsi" w:hAnsiTheme="minorHAnsi"/>
                      <w:sz w:val="22"/>
                      <w:szCs w:val="22"/>
                    </w:rPr>
                    <w:t>30,76</w:t>
                  </w:r>
                  <w:r w:rsidRPr="005432E1">
                    <w:rPr>
                      <w:rFonts w:asciiTheme="minorHAnsi" w:hAnsiTheme="minorHAnsi"/>
                      <w:sz w:val="22"/>
                      <w:szCs w:val="22"/>
                    </w:rPr>
                    <w:t xml:space="preserve"> </w:t>
                  </w:r>
                </w:p>
              </w:tc>
              <w:tc>
                <w:tcPr>
                  <w:tcW w:w="1267" w:type="dxa"/>
                  <w:tcBorders>
                    <w:top w:val="single" w:sz="4" w:space="0" w:color="auto"/>
                    <w:left w:val="single" w:sz="4" w:space="0" w:color="auto"/>
                    <w:bottom w:val="single" w:sz="4" w:space="0" w:color="auto"/>
                  </w:tcBorders>
                  <w:shd w:val="clear" w:color="000000" w:fill="FFFFFF"/>
                  <w:noWrap/>
                  <w:vAlign w:val="center"/>
                </w:tcPr>
                <w:p w14:paraId="44B84BCB" w14:textId="77777777" w:rsidR="005F6B16" w:rsidRPr="005432E1" w:rsidRDefault="005F6B16" w:rsidP="0000411F">
                  <w:pPr>
                    <w:rPr>
                      <w:rFonts w:asciiTheme="minorHAnsi" w:hAnsiTheme="minorHAnsi"/>
                      <w:sz w:val="22"/>
                      <w:szCs w:val="22"/>
                    </w:rPr>
                  </w:pPr>
                  <w:r w:rsidRPr="005432E1">
                    <w:rPr>
                      <w:rFonts w:asciiTheme="minorHAnsi" w:hAnsiTheme="minorHAnsi"/>
                      <w:sz w:val="22"/>
                      <w:szCs w:val="22"/>
                    </w:rPr>
                    <w:t>   11.48</w:t>
                  </w:r>
                  <w:r w:rsidR="0000411F" w:rsidRPr="005432E1">
                    <w:rPr>
                      <w:rFonts w:asciiTheme="minorHAnsi" w:hAnsiTheme="minorHAnsi"/>
                      <w:sz w:val="22"/>
                      <w:szCs w:val="22"/>
                    </w:rPr>
                    <w:t>6</w:t>
                  </w:r>
                  <w:r w:rsidRPr="005432E1">
                    <w:rPr>
                      <w:rFonts w:asciiTheme="minorHAnsi" w:hAnsiTheme="minorHAnsi"/>
                      <w:sz w:val="22"/>
                      <w:szCs w:val="22"/>
                    </w:rPr>
                    <w:t>,5</w:t>
                  </w:r>
                  <w:r w:rsidR="0000411F" w:rsidRPr="005432E1">
                    <w:rPr>
                      <w:rFonts w:asciiTheme="minorHAnsi" w:hAnsiTheme="minorHAnsi"/>
                      <w:sz w:val="22"/>
                      <w:szCs w:val="22"/>
                    </w:rPr>
                    <w:t>2</w:t>
                  </w:r>
                  <w:r w:rsidRPr="005432E1">
                    <w:rPr>
                      <w:rFonts w:asciiTheme="minorHAnsi" w:hAnsiTheme="minorHAnsi"/>
                      <w:sz w:val="22"/>
                      <w:szCs w:val="22"/>
                    </w:rPr>
                    <w:t xml:space="preserve"> </w:t>
                  </w:r>
                </w:p>
              </w:tc>
              <w:tc>
                <w:tcPr>
                  <w:tcW w:w="1083" w:type="dxa"/>
                  <w:tcBorders>
                    <w:top w:val="single" w:sz="4" w:space="0" w:color="auto"/>
                    <w:left w:val="single" w:sz="4" w:space="0" w:color="auto"/>
                    <w:bottom w:val="single" w:sz="4" w:space="0" w:color="auto"/>
                  </w:tcBorders>
                  <w:shd w:val="clear" w:color="000000" w:fill="FFFFFF"/>
                  <w:noWrap/>
                  <w:vAlign w:val="center"/>
                </w:tcPr>
                <w:p w14:paraId="6D4085C8" w14:textId="77777777" w:rsidR="005F6B16" w:rsidRPr="005432E1" w:rsidRDefault="0000411F" w:rsidP="005F6B16">
                  <w:pPr>
                    <w:rPr>
                      <w:rFonts w:asciiTheme="minorHAnsi" w:hAnsiTheme="minorHAnsi"/>
                      <w:sz w:val="22"/>
                      <w:szCs w:val="22"/>
                    </w:rPr>
                  </w:pPr>
                  <w:r w:rsidRPr="005432E1">
                    <w:rPr>
                      <w:rFonts w:asciiTheme="minorHAnsi" w:hAnsiTheme="minorHAnsi"/>
                      <w:sz w:val="22"/>
                      <w:szCs w:val="22"/>
                    </w:rPr>
                    <w:t>14.207,85</w:t>
                  </w:r>
                </w:p>
              </w:tc>
              <w:tc>
                <w:tcPr>
                  <w:tcW w:w="1916" w:type="dxa"/>
                  <w:tcBorders>
                    <w:top w:val="single" w:sz="4" w:space="0" w:color="auto"/>
                    <w:left w:val="single" w:sz="4" w:space="0" w:color="auto"/>
                    <w:bottom w:val="single" w:sz="4" w:space="0" w:color="auto"/>
                  </w:tcBorders>
                  <w:shd w:val="clear" w:color="000000" w:fill="FFFFFF"/>
                </w:tcPr>
                <w:p w14:paraId="5F593E18" w14:textId="77777777" w:rsidR="005F6B16" w:rsidRPr="005432E1" w:rsidRDefault="005F6B16" w:rsidP="005F6B16">
                  <w:pPr>
                    <w:jc w:val="center"/>
                    <w:rPr>
                      <w:rFonts w:asciiTheme="minorHAnsi" w:hAnsiTheme="minorHAnsi"/>
                      <w:sz w:val="22"/>
                      <w:szCs w:val="22"/>
                    </w:rPr>
                  </w:pPr>
                  <w:r w:rsidRPr="005432E1">
                    <w:rPr>
                      <w:rFonts w:asciiTheme="minorHAnsi" w:hAnsiTheme="minorHAnsi"/>
                      <w:sz w:val="22"/>
                      <w:szCs w:val="22"/>
                    </w:rPr>
                    <w:t>P</w:t>
                  </w:r>
                </w:p>
              </w:tc>
            </w:tr>
            <w:tr w:rsidR="005F6B16" w:rsidRPr="005432E1" w14:paraId="498B6997" w14:textId="77777777" w:rsidTr="0000411F">
              <w:trPr>
                <w:trHeight w:val="297"/>
              </w:trPr>
              <w:tc>
                <w:tcPr>
                  <w:tcW w:w="2770" w:type="dxa"/>
                  <w:tcBorders>
                    <w:top w:val="single" w:sz="4" w:space="0" w:color="auto"/>
                    <w:bottom w:val="single" w:sz="4" w:space="0" w:color="auto"/>
                    <w:right w:val="single" w:sz="4" w:space="0" w:color="auto"/>
                  </w:tcBorders>
                  <w:shd w:val="clear" w:color="000000" w:fill="FFFFFF"/>
                  <w:noWrap/>
                  <w:vAlign w:val="center"/>
                  <w:hideMark/>
                </w:tcPr>
                <w:p w14:paraId="6471C583" w14:textId="77777777" w:rsidR="005F6B16" w:rsidRPr="005432E1" w:rsidRDefault="005F6B16" w:rsidP="005F6B16">
                  <w:pPr>
                    <w:rPr>
                      <w:rFonts w:asciiTheme="minorHAnsi" w:hAnsiTheme="minorHAnsi"/>
                      <w:sz w:val="22"/>
                      <w:szCs w:val="22"/>
                    </w:rPr>
                  </w:pPr>
                  <w:r w:rsidRPr="005432E1">
                    <w:rPr>
                      <w:rFonts w:asciiTheme="minorHAnsi" w:hAnsiTheme="minorHAnsi"/>
                      <w:sz w:val="22"/>
                      <w:szCs w:val="22"/>
                    </w:rPr>
                    <w:t>Devolução ao depositante</w:t>
                  </w: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B330FE" w14:textId="77777777" w:rsidR="005F6B16" w:rsidRPr="005432E1" w:rsidRDefault="005F6B16" w:rsidP="0000411F">
                  <w:pPr>
                    <w:rPr>
                      <w:rFonts w:asciiTheme="minorHAnsi" w:hAnsiTheme="minorHAnsi"/>
                      <w:sz w:val="22"/>
                      <w:szCs w:val="22"/>
                    </w:rPr>
                  </w:pPr>
                  <w:r w:rsidRPr="005432E1">
                    <w:rPr>
                      <w:rFonts w:asciiTheme="minorHAnsi" w:hAnsiTheme="minorHAnsi"/>
                      <w:sz w:val="22"/>
                      <w:szCs w:val="22"/>
                    </w:rPr>
                    <w:t>     3.493,9</w:t>
                  </w:r>
                  <w:r w:rsidR="0000411F" w:rsidRPr="005432E1">
                    <w:rPr>
                      <w:rFonts w:asciiTheme="minorHAnsi" w:hAnsiTheme="minorHAnsi"/>
                      <w:sz w:val="22"/>
                      <w:szCs w:val="22"/>
                    </w:rPr>
                    <w:t>6</w:t>
                  </w:r>
                  <w:r w:rsidRPr="005432E1">
                    <w:rPr>
                      <w:rFonts w:asciiTheme="minorHAnsi" w:hAnsiTheme="minorHAnsi"/>
                      <w:sz w:val="22"/>
                      <w:szCs w:val="22"/>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B6A86" w14:textId="77777777" w:rsidR="005F6B16" w:rsidRPr="005432E1" w:rsidRDefault="005F6B16" w:rsidP="005F6B16">
                  <w:pPr>
                    <w:rPr>
                      <w:rFonts w:asciiTheme="minorHAnsi" w:hAnsiTheme="minorHAnsi"/>
                      <w:sz w:val="22"/>
                      <w:szCs w:val="22"/>
                    </w:rPr>
                  </w:pPr>
                  <w:r w:rsidRPr="005432E1">
                    <w:rPr>
                      <w:rFonts w:asciiTheme="minorHAnsi" w:hAnsiTheme="minorHAnsi"/>
                      <w:sz w:val="22"/>
                      <w:szCs w:val="22"/>
                    </w:rPr>
                    <w:t xml:space="preserve">     8.055,91 </w:t>
                  </w:r>
                </w:p>
              </w:tc>
              <w:tc>
                <w:tcPr>
                  <w:tcW w:w="1267" w:type="dxa"/>
                  <w:tcBorders>
                    <w:top w:val="single" w:sz="4" w:space="0" w:color="auto"/>
                    <w:left w:val="single" w:sz="4" w:space="0" w:color="auto"/>
                    <w:bottom w:val="single" w:sz="4" w:space="0" w:color="auto"/>
                  </w:tcBorders>
                  <w:shd w:val="clear" w:color="000000" w:fill="FFFFFF"/>
                  <w:noWrap/>
                  <w:vAlign w:val="center"/>
                </w:tcPr>
                <w:p w14:paraId="47E26009" w14:textId="77777777" w:rsidR="005F6B16" w:rsidRPr="005432E1" w:rsidRDefault="005F6B16" w:rsidP="0000411F">
                  <w:pPr>
                    <w:rPr>
                      <w:rFonts w:asciiTheme="minorHAnsi" w:hAnsiTheme="minorHAnsi"/>
                      <w:sz w:val="22"/>
                      <w:szCs w:val="22"/>
                    </w:rPr>
                  </w:pPr>
                  <w:r w:rsidRPr="005432E1">
                    <w:rPr>
                      <w:rFonts w:asciiTheme="minorHAnsi" w:hAnsiTheme="minorHAnsi"/>
                      <w:sz w:val="22"/>
                      <w:szCs w:val="22"/>
                    </w:rPr>
                    <w:t>     5.63</w:t>
                  </w:r>
                  <w:r w:rsidR="0000411F" w:rsidRPr="005432E1">
                    <w:rPr>
                      <w:rFonts w:asciiTheme="minorHAnsi" w:hAnsiTheme="minorHAnsi"/>
                      <w:sz w:val="22"/>
                      <w:szCs w:val="22"/>
                    </w:rPr>
                    <w:t>7</w:t>
                  </w:r>
                  <w:r w:rsidRPr="005432E1">
                    <w:rPr>
                      <w:rFonts w:asciiTheme="minorHAnsi" w:hAnsiTheme="minorHAnsi"/>
                      <w:sz w:val="22"/>
                      <w:szCs w:val="22"/>
                    </w:rPr>
                    <w:t>,</w:t>
                  </w:r>
                  <w:r w:rsidR="0000411F" w:rsidRPr="005432E1">
                    <w:rPr>
                      <w:rFonts w:asciiTheme="minorHAnsi" w:hAnsiTheme="minorHAnsi"/>
                      <w:sz w:val="22"/>
                      <w:szCs w:val="22"/>
                    </w:rPr>
                    <w:t>80</w:t>
                  </w:r>
                  <w:r w:rsidRPr="005432E1">
                    <w:rPr>
                      <w:rFonts w:asciiTheme="minorHAnsi" w:hAnsiTheme="minorHAnsi"/>
                      <w:sz w:val="22"/>
                      <w:szCs w:val="22"/>
                    </w:rPr>
                    <w:t xml:space="preserve"> </w:t>
                  </w:r>
                </w:p>
              </w:tc>
              <w:tc>
                <w:tcPr>
                  <w:tcW w:w="1083" w:type="dxa"/>
                  <w:tcBorders>
                    <w:top w:val="single" w:sz="4" w:space="0" w:color="auto"/>
                    <w:left w:val="single" w:sz="4" w:space="0" w:color="auto"/>
                    <w:bottom w:val="single" w:sz="4" w:space="0" w:color="auto"/>
                  </w:tcBorders>
                  <w:shd w:val="clear" w:color="000000" w:fill="FFFFFF"/>
                  <w:noWrap/>
                  <w:vAlign w:val="center"/>
                </w:tcPr>
                <w:p w14:paraId="528B0C70" w14:textId="77777777" w:rsidR="005F6B16" w:rsidRPr="005432E1" w:rsidRDefault="0000411F" w:rsidP="005F6B16">
                  <w:pPr>
                    <w:rPr>
                      <w:rFonts w:asciiTheme="minorHAnsi" w:hAnsiTheme="minorHAnsi"/>
                      <w:sz w:val="22"/>
                      <w:szCs w:val="22"/>
                    </w:rPr>
                  </w:pPr>
                  <w:r w:rsidRPr="005432E1">
                    <w:rPr>
                      <w:rFonts w:asciiTheme="minorHAnsi" w:hAnsiTheme="minorHAnsi"/>
                      <w:sz w:val="22"/>
                      <w:szCs w:val="22"/>
                    </w:rPr>
                    <w:t>3.442,12</w:t>
                  </w:r>
                </w:p>
              </w:tc>
              <w:tc>
                <w:tcPr>
                  <w:tcW w:w="1916" w:type="dxa"/>
                  <w:tcBorders>
                    <w:top w:val="single" w:sz="4" w:space="0" w:color="auto"/>
                    <w:left w:val="single" w:sz="4" w:space="0" w:color="auto"/>
                    <w:bottom w:val="single" w:sz="4" w:space="0" w:color="auto"/>
                  </w:tcBorders>
                  <w:shd w:val="clear" w:color="000000" w:fill="FFFFFF"/>
                </w:tcPr>
                <w:p w14:paraId="3B69165B" w14:textId="77777777" w:rsidR="005F6B16" w:rsidRPr="005432E1" w:rsidRDefault="005F6B16" w:rsidP="005F6B16">
                  <w:pPr>
                    <w:jc w:val="center"/>
                    <w:rPr>
                      <w:rFonts w:asciiTheme="minorHAnsi" w:hAnsiTheme="minorHAnsi"/>
                      <w:sz w:val="22"/>
                      <w:szCs w:val="22"/>
                    </w:rPr>
                  </w:pPr>
                  <w:r w:rsidRPr="005432E1">
                    <w:rPr>
                      <w:rFonts w:asciiTheme="minorHAnsi" w:hAnsiTheme="minorHAnsi"/>
                      <w:sz w:val="22"/>
                      <w:szCs w:val="22"/>
                    </w:rPr>
                    <w:t>P</w:t>
                  </w:r>
                </w:p>
              </w:tc>
            </w:tr>
          </w:tbl>
          <w:p w14:paraId="769D8383" w14:textId="77777777" w:rsidR="00445D9C" w:rsidRPr="005432E1" w:rsidRDefault="00445D9C" w:rsidP="006F4AC5">
            <w:pPr>
              <w:rPr>
                <w:rFonts w:asciiTheme="minorHAnsi" w:hAnsiTheme="minorHAnsi"/>
                <w:b/>
                <w:bCs/>
                <w:color w:val="FF0000"/>
                <w:sz w:val="22"/>
                <w:szCs w:val="22"/>
              </w:rPr>
            </w:pPr>
          </w:p>
        </w:tc>
      </w:tr>
    </w:tbl>
    <w:p w14:paraId="765A14F9" w14:textId="77777777" w:rsidR="00445D9C" w:rsidRPr="005432E1" w:rsidRDefault="003358EE" w:rsidP="006F4AC5">
      <w:pPr>
        <w:autoSpaceDE w:val="0"/>
        <w:autoSpaceDN w:val="0"/>
        <w:jc w:val="both"/>
        <w:rPr>
          <w:rFonts w:asciiTheme="minorHAnsi" w:hAnsiTheme="minorHAnsi"/>
          <w:color w:val="FF0000"/>
          <w:sz w:val="18"/>
          <w:szCs w:val="18"/>
        </w:rPr>
      </w:pPr>
      <w:r w:rsidRPr="005432E1">
        <w:rPr>
          <w:rFonts w:asciiTheme="minorHAnsi" w:hAnsiTheme="minorHAnsi"/>
          <w:i/>
          <w:color w:val="FF0000"/>
          <w:sz w:val="20"/>
        </w:rPr>
        <w:t xml:space="preserve"> </w:t>
      </w:r>
      <w:r w:rsidR="000261F8" w:rsidRPr="005432E1">
        <w:rPr>
          <w:rFonts w:asciiTheme="minorHAnsi" w:hAnsiTheme="minorHAnsi"/>
          <w:color w:val="FF0000"/>
          <w:sz w:val="18"/>
          <w:szCs w:val="18"/>
        </w:rPr>
        <w:t xml:space="preserve"> </w:t>
      </w:r>
      <w:r w:rsidR="000261F8" w:rsidRPr="005432E1">
        <w:rPr>
          <w:rFonts w:asciiTheme="minorHAnsi" w:hAnsiTheme="minorHAnsi"/>
          <w:sz w:val="18"/>
          <w:szCs w:val="18"/>
        </w:rPr>
        <w:t>Fonte: RFB</w:t>
      </w:r>
      <w:r w:rsidR="00445D9C" w:rsidRPr="005432E1">
        <w:rPr>
          <w:rFonts w:asciiTheme="minorHAnsi" w:hAnsiTheme="minorHAnsi"/>
          <w:sz w:val="18"/>
          <w:szCs w:val="18"/>
        </w:rPr>
        <w:t>.</w:t>
      </w:r>
    </w:p>
    <w:p w14:paraId="78E38AB1" w14:textId="77777777" w:rsidR="00445D9C" w:rsidRPr="005432E1" w:rsidRDefault="00445D9C" w:rsidP="006F4AC5">
      <w:pPr>
        <w:rPr>
          <w:rFonts w:asciiTheme="minorHAnsi" w:hAnsiTheme="minorHAnsi"/>
          <w:color w:val="FF0000"/>
        </w:rPr>
      </w:pPr>
    </w:p>
    <w:p w14:paraId="4C4C9A6B" w14:textId="77777777" w:rsidR="002B0F44" w:rsidRPr="005432E1" w:rsidRDefault="00467F44" w:rsidP="004C4B03">
      <w:pPr>
        <w:pStyle w:val="Ttulo3"/>
        <w:numPr>
          <w:ilvl w:val="0"/>
          <w:numId w:val="0"/>
        </w:numPr>
        <w:rPr>
          <w:rFonts w:asciiTheme="minorHAnsi" w:hAnsiTheme="minorHAnsi"/>
          <w:b/>
        </w:rPr>
      </w:pPr>
      <w:bookmarkStart w:id="191" w:name="_Toc163007605"/>
      <w:bookmarkStart w:id="192" w:name="_Toc163008027"/>
      <w:bookmarkStart w:id="193" w:name="_Toc163008560"/>
      <w:bookmarkStart w:id="194" w:name="_Toc163008718"/>
      <w:bookmarkStart w:id="195" w:name="_Toc163014761"/>
      <w:bookmarkStart w:id="196" w:name="_Toc163298145"/>
      <w:bookmarkStart w:id="197" w:name="_Toc163298260"/>
      <w:bookmarkStart w:id="198" w:name="_Toc163377935"/>
      <w:bookmarkStart w:id="199" w:name="_Toc163535979"/>
      <w:bookmarkStart w:id="200" w:name="_Toc194486457"/>
      <w:bookmarkStart w:id="201" w:name="_Toc225917819"/>
      <w:bookmarkStart w:id="202" w:name="_Toc226363359"/>
      <w:bookmarkStart w:id="203" w:name="_Toc226432567"/>
      <w:bookmarkStart w:id="204" w:name="_Toc226434518"/>
      <w:bookmarkStart w:id="205" w:name="_Toc226434737"/>
      <w:bookmarkStart w:id="206" w:name="_Toc226519748"/>
      <w:bookmarkStart w:id="207" w:name="_Toc226519839"/>
      <w:bookmarkStart w:id="208" w:name="_Toc257728096"/>
      <w:bookmarkStart w:id="209" w:name="_Toc447189145"/>
      <w:bookmarkStart w:id="210" w:name="_Toc447613140"/>
      <w:bookmarkStart w:id="211" w:name="_Toc511230029"/>
      <w:r w:rsidRPr="005432E1">
        <w:rPr>
          <w:rFonts w:asciiTheme="minorHAnsi" w:hAnsiTheme="minorHAnsi"/>
          <w:b/>
        </w:rPr>
        <w:t>3.2</w:t>
      </w:r>
      <w:r w:rsidR="006351B6" w:rsidRPr="005432E1">
        <w:rPr>
          <w:rFonts w:asciiTheme="minorHAnsi" w:hAnsiTheme="minorHAnsi"/>
          <w:b/>
        </w:rPr>
        <w:t xml:space="preserve">.3 </w:t>
      </w:r>
      <w:r w:rsidR="001F2AEB" w:rsidRPr="005432E1">
        <w:rPr>
          <w:rFonts w:asciiTheme="minorHAnsi" w:hAnsiTheme="minorHAnsi"/>
          <w:b/>
        </w:rPr>
        <w:t xml:space="preserve">Créditos </w:t>
      </w:r>
      <w:r w:rsidR="007D40F6" w:rsidRPr="005432E1">
        <w:rPr>
          <w:rFonts w:asciiTheme="minorHAnsi" w:hAnsiTheme="minorHAnsi"/>
          <w:b/>
        </w:rPr>
        <w:t>d</w:t>
      </w:r>
      <w:r w:rsidR="001F2AEB" w:rsidRPr="005432E1">
        <w:rPr>
          <w:rFonts w:asciiTheme="minorHAnsi" w:hAnsiTheme="minorHAnsi"/>
          <w:b/>
        </w:rPr>
        <w:t>o Banco Central</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7D40F6" w:rsidRPr="005432E1">
        <w:rPr>
          <w:rFonts w:asciiTheme="minorHAnsi" w:hAnsiTheme="minorHAnsi"/>
          <w:b/>
        </w:rPr>
        <w:t xml:space="preserve"> do Brasil – BCB</w:t>
      </w:r>
      <w:bookmarkEnd w:id="211"/>
      <w:r w:rsidR="007D40F6" w:rsidRPr="005432E1">
        <w:rPr>
          <w:rFonts w:asciiTheme="minorHAnsi" w:hAnsiTheme="minorHAnsi"/>
          <w:b/>
        </w:rPr>
        <w:t xml:space="preserve"> </w:t>
      </w:r>
    </w:p>
    <w:p w14:paraId="31CCC6ED" w14:textId="77777777" w:rsidR="001F2AEB" w:rsidRPr="005432E1" w:rsidRDefault="001F2AEB" w:rsidP="006F4AC5">
      <w:pPr>
        <w:rPr>
          <w:rFonts w:asciiTheme="minorHAnsi" w:hAnsiTheme="minorHAnsi"/>
        </w:rPr>
      </w:pPr>
    </w:p>
    <w:p w14:paraId="17F83396" w14:textId="77777777" w:rsidR="002B0F44" w:rsidRPr="005432E1" w:rsidRDefault="005B1147"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Os créditos do BC</w:t>
      </w:r>
      <w:r w:rsidR="007D40F6" w:rsidRPr="005432E1">
        <w:rPr>
          <w:rFonts w:asciiTheme="minorHAnsi" w:hAnsiTheme="minorHAnsi"/>
        </w:rPr>
        <w:t>B</w:t>
      </w:r>
      <w:r w:rsidRPr="005432E1">
        <w:rPr>
          <w:rFonts w:asciiTheme="minorHAnsi" w:hAnsiTheme="minorHAnsi"/>
        </w:rPr>
        <w:t xml:space="preserve"> r</w:t>
      </w:r>
      <w:r w:rsidR="002B0F44" w:rsidRPr="005432E1">
        <w:rPr>
          <w:rFonts w:asciiTheme="minorHAnsi" w:hAnsiTheme="minorHAnsi"/>
        </w:rPr>
        <w:t>eferem-se</w:t>
      </w:r>
      <w:r w:rsidRPr="005432E1">
        <w:rPr>
          <w:rFonts w:asciiTheme="minorHAnsi" w:hAnsiTheme="minorHAnsi"/>
        </w:rPr>
        <w:t>,</w:t>
      </w:r>
      <w:r w:rsidR="002B0F44" w:rsidRPr="005432E1">
        <w:rPr>
          <w:rFonts w:asciiTheme="minorHAnsi" w:hAnsiTheme="minorHAnsi"/>
        </w:rPr>
        <w:t xml:space="preserve"> basicamente</w:t>
      </w:r>
      <w:r w:rsidRPr="005432E1">
        <w:rPr>
          <w:rFonts w:asciiTheme="minorHAnsi" w:hAnsiTheme="minorHAnsi"/>
        </w:rPr>
        <w:t>,</w:t>
      </w:r>
      <w:r w:rsidR="002B0F44" w:rsidRPr="005432E1">
        <w:rPr>
          <w:rFonts w:asciiTheme="minorHAnsi" w:hAnsiTheme="minorHAnsi"/>
        </w:rPr>
        <w:t xml:space="preserve"> aos créditos com as instituições em liquidação</w:t>
      </w:r>
      <w:r w:rsidR="00A1451E" w:rsidRPr="005432E1">
        <w:rPr>
          <w:rFonts w:asciiTheme="minorHAnsi" w:hAnsiTheme="minorHAnsi"/>
        </w:rPr>
        <w:t>,</w:t>
      </w:r>
      <w:r w:rsidR="002B0F44" w:rsidRPr="005432E1">
        <w:rPr>
          <w:rFonts w:asciiTheme="minorHAnsi" w:hAnsiTheme="minorHAnsi"/>
        </w:rPr>
        <w:t xml:space="preserve"> originários de operações de assistência financeira (PROER) e de saldos decorrentes de saques a descoberto na conta Reservas Bancárias.</w:t>
      </w:r>
    </w:p>
    <w:p w14:paraId="27DFD1E4" w14:textId="77777777" w:rsidR="002B0F44" w:rsidRPr="005432E1" w:rsidRDefault="002B0F44"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A correção desses créditos é efetuada a partir da aplicação do art. 124, parágrafo único, da Lei de Falências (Lei nº 11.101, de 9 de fevereiro de 2005), pelo qual a parcela dos créditos originada de operações com o PROER deve ser atu</w:t>
      </w:r>
      <w:r w:rsidR="005B1147" w:rsidRPr="005432E1">
        <w:rPr>
          <w:rFonts w:asciiTheme="minorHAnsi" w:hAnsiTheme="minorHAnsi"/>
        </w:rPr>
        <w:t>alizada pelas taxas contratuais até o limite das garantias</w:t>
      </w:r>
      <w:r w:rsidRPr="005432E1">
        <w:rPr>
          <w:rFonts w:asciiTheme="minorHAnsi" w:hAnsiTheme="minorHAnsi"/>
        </w:rPr>
        <w:t xml:space="preserve"> e o restante pela TR, ressaltando-se que as taxas contratuais são as decorrentes das garantias das operações originais.</w:t>
      </w:r>
    </w:p>
    <w:p w14:paraId="5083EDD8" w14:textId="77777777" w:rsidR="002B0F44" w:rsidRPr="005432E1" w:rsidRDefault="002B0F44" w:rsidP="006F4AC5">
      <w:pPr>
        <w:autoSpaceDE w:val="0"/>
        <w:autoSpaceDN w:val="0"/>
        <w:adjustRightInd w:val="0"/>
        <w:spacing w:after="240"/>
        <w:ind w:firstLine="709"/>
        <w:jc w:val="both"/>
        <w:rPr>
          <w:rFonts w:asciiTheme="minorHAnsi" w:hAnsiTheme="minorHAnsi"/>
        </w:rPr>
      </w:pPr>
      <w:r w:rsidRPr="005432E1">
        <w:rPr>
          <w:rFonts w:asciiTheme="minorHAnsi" w:hAnsiTheme="minorHAnsi"/>
        </w:rPr>
        <w:t xml:space="preserve">Sua realização está sujeita aos ritos legais e processuais </w:t>
      </w:r>
      <w:r w:rsidR="00A1451E" w:rsidRPr="005432E1">
        <w:rPr>
          <w:rFonts w:asciiTheme="minorHAnsi" w:hAnsiTheme="minorHAnsi"/>
        </w:rPr>
        <w:t>definidos</w:t>
      </w:r>
      <w:r w:rsidRPr="005432E1">
        <w:rPr>
          <w:rFonts w:asciiTheme="minorHAnsi" w:hAnsiTheme="minorHAnsi"/>
        </w:rPr>
        <w:t xml:space="preserve"> na Lei das Liquidações (Lei nº 6.024, de 13 de março de 1974) e na Lei de Falências,</w:t>
      </w:r>
      <w:r w:rsidR="007D66B2" w:rsidRPr="005432E1">
        <w:rPr>
          <w:rFonts w:asciiTheme="minorHAnsi" w:hAnsiTheme="minorHAnsi"/>
        </w:rPr>
        <w:t xml:space="preserve"> </w:t>
      </w:r>
      <w:r w:rsidRPr="005432E1">
        <w:rPr>
          <w:rFonts w:asciiTheme="minorHAnsi" w:hAnsiTheme="minorHAnsi"/>
        </w:rPr>
        <w:t>que determinam</w:t>
      </w:r>
      <w:r w:rsidR="005B1147" w:rsidRPr="005432E1">
        <w:rPr>
          <w:rFonts w:asciiTheme="minorHAnsi" w:hAnsiTheme="minorHAnsi"/>
        </w:rPr>
        <w:t>,</w:t>
      </w:r>
      <w:r w:rsidRPr="005432E1">
        <w:rPr>
          <w:rFonts w:asciiTheme="minorHAnsi" w:hAnsiTheme="minorHAnsi"/>
        </w:rPr>
        <w:t xml:space="preserve"> entre outros pontos</w:t>
      </w:r>
      <w:r w:rsidR="005B1147" w:rsidRPr="005432E1">
        <w:rPr>
          <w:rFonts w:asciiTheme="minorHAnsi" w:hAnsiTheme="minorHAnsi"/>
        </w:rPr>
        <w:t>, o que segue</w:t>
      </w:r>
      <w:r w:rsidRPr="005432E1">
        <w:rPr>
          <w:rFonts w:asciiTheme="minorHAnsi" w:hAnsiTheme="minorHAnsi"/>
        </w:rPr>
        <w:t>:</w:t>
      </w:r>
    </w:p>
    <w:p w14:paraId="70486563" w14:textId="77777777" w:rsidR="002B0F44" w:rsidRPr="005432E1" w:rsidRDefault="002B0F44" w:rsidP="006F4AC5">
      <w:pPr>
        <w:spacing w:after="240"/>
        <w:ind w:left="851" w:hanging="142"/>
        <w:jc w:val="both"/>
        <w:rPr>
          <w:rFonts w:asciiTheme="minorHAnsi" w:hAnsiTheme="minorHAnsi"/>
        </w:rPr>
      </w:pPr>
      <w:r w:rsidRPr="005432E1">
        <w:rPr>
          <w:rFonts w:asciiTheme="minorHAnsi" w:hAnsiTheme="minorHAnsi"/>
        </w:rPr>
        <w:t xml:space="preserve">- </w:t>
      </w:r>
      <w:r w:rsidR="005B1147" w:rsidRPr="005432E1">
        <w:rPr>
          <w:rFonts w:asciiTheme="minorHAnsi" w:hAnsiTheme="minorHAnsi"/>
        </w:rPr>
        <w:t>A</w:t>
      </w:r>
      <w:r w:rsidRPr="005432E1">
        <w:rPr>
          <w:rFonts w:asciiTheme="minorHAnsi" w:hAnsiTheme="minorHAnsi"/>
        </w:rPr>
        <w:t xml:space="preserve"> suspensão dos prazos anteriormente previstos para a liquidação das obrigações;</w:t>
      </w:r>
    </w:p>
    <w:p w14:paraId="246672B7" w14:textId="77777777" w:rsidR="002B0F44" w:rsidRPr="005432E1" w:rsidRDefault="002B0F44" w:rsidP="006F4AC5">
      <w:pPr>
        <w:spacing w:after="240"/>
        <w:ind w:left="851" w:hanging="142"/>
        <w:jc w:val="both"/>
        <w:rPr>
          <w:rFonts w:asciiTheme="minorHAnsi" w:hAnsiTheme="minorHAnsi"/>
        </w:rPr>
      </w:pPr>
      <w:r w:rsidRPr="005432E1">
        <w:rPr>
          <w:rFonts w:asciiTheme="minorHAnsi" w:hAnsiTheme="minorHAnsi"/>
        </w:rPr>
        <w:t xml:space="preserve">- </w:t>
      </w:r>
      <w:r w:rsidR="005B1147" w:rsidRPr="005432E1">
        <w:rPr>
          <w:rFonts w:asciiTheme="minorHAnsi" w:hAnsiTheme="minorHAnsi"/>
        </w:rPr>
        <w:t>O</w:t>
      </w:r>
      <w:r w:rsidRPr="005432E1">
        <w:rPr>
          <w:rFonts w:asciiTheme="minorHAnsi" w:hAnsiTheme="minorHAnsi"/>
        </w:rPr>
        <w:t xml:space="preserve"> pagamento dos passivos </w:t>
      </w:r>
      <w:r w:rsidR="00A1451E" w:rsidRPr="005432E1">
        <w:rPr>
          <w:rFonts w:asciiTheme="minorHAnsi" w:hAnsiTheme="minorHAnsi"/>
        </w:rPr>
        <w:t>observando a</w:t>
      </w:r>
      <w:r w:rsidRPr="005432E1">
        <w:rPr>
          <w:rFonts w:asciiTheme="minorHAnsi" w:hAnsiTheme="minorHAnsi"/>
        </w:rPr>
        <w:t xml:space="preserve"> ordem de preferência estabelecida pela lei: despesas da administração da massa, créditos trabalhistas, créditos com garantias reais, créditos tributários e créditos quirografários;</w:t>
      </w:r>
    </w:p>
    <w:p w14:paraId="094B91C1" w14:textId="77777777" w:rsidR="002B0F44" w:rsidRPr="005432E1" w:rsidRDefault="002B0F44" w:rsidP="006F4AC5">
      <w:pPr>
        <w:spacing w:after="240"/>
        <w:ind w:left="851" w:hanging="142"/>
        <w:jc w:val="both"/>
        <w:rPr>
          <w:rFonts w:asciiTheme="minorHAnsi" w:hAnsiTheme="minorHAnsi"/>
        </w:rPr>
      </w:pPr>
      <w:r w:rsidRPr="005432E1">
        <w:rPr>
          <w:rFonts w:asciiTheme="minorHAnsi" w:hAnsiTheme="minorHAnsi"/>
        </w:rPr>
        <w:t xml:space="preserve">- </w:t>
      </w:r>
      <w:r w:rsidR="005B1147" w:rsidRPr="005432E1">
        <w:rPr>
          <w:rFonts w:asciiTheme="minorHAnsi" w:hAnsiTheme="minorHAnsi"/>
        </w:rPr>
        <w:t>O</w:t>
      </w:r>
      <w:r w:rsidRPr="005432E1">
        <w:rPr>
          <w:rFonts w:asciiTheme="minorHAnsi" w:hAnsiTheme="minorHAnsi"/>
        </w:rPr>
        <w:t xml:space="preserve"> estabelecimento do quadro geral de credores, instrumento pelo qual se identificam todos os credores da instituição, o valor efetivo de seu crédito e sua posição na ordem de preferência para o recebimento;</w:t>
      </w:r>
    </w:p>
    <w:p w14:paraId="3323403A" w14:textId="77777777" w:rsidR="002B0F44" w:rsidRPr="005432E1" w:rsidRDefault="002B0F44" w:rsidP="006F4AC5">
      <w:pPr>
        <w:spacing w:after="240"/>
        <w:ind w:left="851" w:hanging="142"/>
        <w:jc w:val="both"/>
        <w:rPr>
          <w:rFonts w:asciiTheme="minorHAnsi" w:hAnsiTheme="minorHAnsi"/>
        </w:rPr>
      </w:pPr>
      <w:r w:rsidRPr="005432E1">
        <w:rPr>
          <w:rFonts w:asciiTheme="minorHAnsi" w:hAnsiTheme="minorHAnsi"/>
        </w:rPr>
        <w:t xml:space="preserve">- </w:t>
      </w:r>
      <w:r w:rsidR="005B1147" w:rsidRPr="005432E1">
        <w:rPr>
          <w:rFonts w:asciiTheme="minorHAnsi" w:hAnsiTheme="minorHAnsi"/>
        </w:rPr>
        <w:t>Os</w:t>
      </w:r>
      <w:r w:rsidRPr="005432E1">
        <w:rPr>
          <w:rFonts w:asciiTheme="minorHAnsi" w:hAnsiTheme="minorHAnsi"/>
        </w:rPr>
        <w:t xml:space="preserve"> procedimentos necessários à realização dos ativos, como, por exemplo, a forma da venda (direta ou em leilão, ativos individuais ou conjunto de ativos). </w:t>
      </w:r>
    </w:p>
    <w:p w14:paraId="6A63C3DD" w14:textId="77777777" w:rsidR="002B0F44" w:rsidRPr="005432E1" w:rsidRDefault="00A1451E" w:rsidP="006F4AC5">
      <w:pPr>
        <w:spacing w:after="240"/>
        <w:ind w:firstLine="708"/>
        <w:jc w:val="both"/>
        <w:rPr>
          <w:rFonts w:asciiTheme="minorHAnsi" w:hAnsiTheme="minorHAnsi"/>
        </w:rPr>
      </w:pPr>
      <w:r w:rsidRPr="005432E1">
        <w:rPr>
          <w:rFonts w:asciiTheme="minorHAnsi" w:hAnsiTheme="minorHAnsi"/>
        </w:rPr>
        <w:t xml:space="preserve">Cabe mencionar que </w:t>
      </w:r>
      <w:r w:rsidR="002B0F44" w:rsidRPr="005432E1">
        <w:rPr>
          <w:rFonts w:asciiTheme="minorHAnsi" w:hAnsiTheme="minorHAnsi"/>
        </w:rPr>
        <w:t xml:space="preserve">esses ativos são, desde 1999, avaliados pelo seu valor de realização, para efeitos gerenciais e contábeis. </w:t>
      </w:r>
    </w:p>
    <w:p w14:paraId="105DEA7A" w14:textId="02415C75" w:rsidR="003C3567" w:rsidRPr="005432E1" w:rsidRDefault="002B0F44" w:rsidP="003C3567">
      <w:pPr>
        <w:spacing w:after="240"/>
        <w:ind w:firstLine="708"/>
        <w:jc w:val="both"/>
        <w:rPr>
          <w:rFonts w:asciiTheme="minorHAnsi" w:hAnsiTheme="minorHAnsi"/>
        </w:rPr>
      </w:pPr>
      <w:r w:rsidRPr="005432E1">
        <w:rPr>
          <w:rFonts w:asciiTheme="minorHAnsi" w:hAnsiTheme="minorHAnsi"/>
        </w:rPr>
        <w:t>O valor justo desses créditos é avaliado pelo valor justo das garantias originais, constituídas por LFT, NTN-A3 e FCVS/CVS, excluídos os créditos preferenciais ao B</w:t>
      </w:r>
      <w:r w:rsidR="00A1451E" w:rsidRPr="005432E1">
        <w:rPr>
          <w:rFonts w:asciiTheme="minorHAnsi" w:hAnsiTheme="minorHAnsi"/>
        </w:rPr>
        <w:t>CB</w:t>
      </w:r>
      <w:r w:rsidRPr="005432E1">
        <w:rPr>
          <w:rFonts w:asciiTheme="minorHAnsi" w:hAnsiTheme="minorHAnsi"/>
        </w:rPr>
        <w:t xml:space="preserve"> (pagamentos de despesas essenciais à liquidação, encargos trabalhistas e encargos tributários). </w:t>
      </w:r>
      <w:r w:rsidR="00887E2D" w:rsidRPr="005432E1">
        <w:rPr>
          <w:rFonts w:asciiTheme="minorHAnsi" w:hAnsiTheme="minorHAnsi"/>
        </w:rPr>
        <w:t>A posição em 31.12.201</w:t>
      </w:r>
      <w:r w:rsidR="00E16446" w:rsidRPr="005432E1">
        <w:rPr>
          <w:rFonts w:asciiTheme="minorHAnsi" w:hAnsiTheme="minorHAnsi"/>
        </w:rPr>
        <w:t>7</w:t>
      </w:r>
      <w:r w:rsidR="00887E2D" w:rsidRPr="005432E1">
        <w:rPr>
          <w:rFonts w:asciiTheme="minorHAnsi" w:hAnsiTheme="minorHAnsi"/>
        </w:rPr>
        <w:t xml:space="preserve"> está demonstrada na </w:t>
      </w:r>
      <w:r w:rsidR="008227FD" w:rsidRPr="005432E1">
        <w:rPr>
          <w:rFonts w:asciiTheme="minorHAnsi" w:hAnsiTheme="minorHAnsi"/>
        </w:rPr>
        <w:t>T</w:t>
      </w:r>
      <w:r w:rsidR="00887E2D" w:rsidRPr="005432E1">
        <w:rPr>
          <w:rFonts w:asciiTheme="minorHAnsi" w:hAnsiTheme="minorHAnsi"/>
        </w:rPr>
        <w:t>abela</w:t>
      </w:r>
      <w:r w:rsidR="008227FD" w:rsidRPr="005432E1">
        <w:rPr>
          <w:rFonts w:asciiTheme="minorHAnsi" w:hAnsiTheme="minorHAnsi"/>
        </w:rPr>
        <w:t xml:space="preserve"> </w:t>
      </w:r>
      <w:r w:rsidR="00CF2B1F" w:rsidRPr="005432E1">
        <w:rPr>
          <w:rFonts w:asciiTheme="minorHAnsi" w:hAnsiTheme="minorHAnsi"/>
        </w:rPr>
        <w:t>2</w:t>
      </w:r>
      <w:r w:rsidR="00BB3990" w:rsidRPr="005432E1">
        <w:rPr>
          <w:rFonts w:asciiTheme="minorHAnsi" w:hAnsiTheme="minorHAnsi"/>
        </w:rPr>
        <w:t>8</w:t>
      </w:r>
      <w:r w:rsidR="00887E2D" w:rsidRPr="005432E1">
        <w:rPr>
          <w:rFonts w:asciiTheme="minorHAnsi" w:hAnsiTheme="minorHAnsi"/>
        </w:rPr>
        <w:t>.</w:t>
      </w:r>
    </w:p>
    <w:p w14:paraId="740DE00C" w14:textId="1EA57D69" w:rsidR="00496F2A" w:rsidRPr="005432E1" w:rsidRDefault="003C3567" w:rsidP="00D16E08">
      <w:pPr>
        <w:spacing w:after="240"/>
        <w:ind w:firstLine="708"/>
        <w:jc w:val="both"/>
        <w:rPr>
          <w:rFonts w:asciiTheme="minorHAnsi" w:hAnsiTheme="minorHAnsi"/>
          <w:b/>
        </w:rPr>
      </w:pPr>
      <w:r w:rsidRPr="005432E1">
        <w:rPr>
          <w:rFonts w:asciiTheme="minorHAnsi" w:hAnsiTheme="minorHAnsi"/>
        </w:rPr>
        <w:t xml:space="preserve"> </w:t>
      </w:r>
      <w:r w:rsidR="00D16E08" w:rsidRPr="005432E1">
        <w:rPr>
          <w:rFonts w:asciiTheme="minorHAnsi" w:hAnsiTheme="minorHAnsi"/>
        </w:rPr>
        <w:tab/>
      </w:r>
      <w:r w:rsidR="00D16E08" w:rsidRPr="005432E1">
        <w:rPr>
          <w:rFonts w:asciiTheme="minorHAnsi" w:hAnsiTheme="minorHAnsi"/>
        </w:rPr>
        <w:tab/>
      </w:r>
      <w:r w:rsidR="00D16E08" w:rsidRPr="005432E1">
        <w:rPr>
          <w:rFonts w:asciiTheme="minorHAnsi" w:hAnsiTheme="minorHAnsi"/>
        </w:rPr>
        <w:tab/>
      </w:r>
      <w:r w:rsidRPr="005432E1">
        <w:rPr>
          <w:rFonts w:asciiTheme="minorHAnsi" w:hAnsiTheme="minorHAnsi"/>
        </w:rPr>
        <w:t>T</w:t>
      </w:r>
      <w:r w:rsidR="00070B7E" w:rsidRPr="005432E1">
        <w:rPr>
          <w:rFonts w:asciiTheme="minorHAnsi" w:hAnsiTheme="minorHAnsi"/>
          <w:b/>
        </w:rPr>
        <w:t xml:space="preserve">abela </w:t>
      </w:r>
      <w:r w:rsidR="00CF2B1F" w:rsidRPr="005432E1">
        <w:rPr>
          <w:rFonts w:asciiTheme="minorHAnsi" w:hAnsiTheme="minorHAnsi"/>
          <w:b/>
        </w:rPr>
        <w:t>2</w:t>
      </w:r>
      <w:r w:rsidR="00BB3990" w:rsidRPr="005432E1">
        <w:rPr>
          <w:rFonts w:asciiTheme="minorHAnsi" w:hAnsiTheme="minorHAnsi"/>
          <w:b/>
        </w:rPr>
        <w:t>8</w:t>
      </w:r>
      <w:r w:rsidR="00070B7E" w:rsidRPr="005432E1">
        <w:rPr>
          <w:rFonts w:asciiTheme="minorHAnsi" w:hAnsiTheme="minorHAnsi"/>
          <w:b/>
        </w:rPr>
        <w:t xml:space="preserve">: </w:t>
      </w:r>
      <w:r w:rsidR="00D16E08" w:rsidRPr="005432E1">
        <w:rPr>
          <w:rFonts w:asciiTheme="minorHAnsi" w:hAnsiTheme="minorHAnsi"/>
          <w:b/>
        </w:rPr>
        <w:t>Créditos do Banco Central*</w:t>
      </w:r>
      <w:r w:rsidR="00BD37FB" w:rsidRPr="005432E1">
        <w:rPr>
          <w:rFonts w:asciiTheme="minorHAnsi" w:hAnsiTheme="minorHAnsi"/>
        </w:rPr>
        <w:tab/>
        <w:t xml:space="preserve">    </w:t>
      </w:r>
    </w:p>
    <w:p w14:paraId="53591F60" w14:textId="77777777" w:rsidR="00453353" w:rsidRPr="005432E1" w:rsidRDefault="00496F2A" w:rsidP="006F4AC5">
      <w:pPr>
        <w:jc w:val="both"/>
        <w:rPr>
          <w:rFonts w:asciiTheme="minorHAnsi" w:hAnsiTheme="minorHAnsi"/>
          <w:sz w:val="22"/>
          <w:szCs w:val="22"/>
        </w:rPr>
      </w:pP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00D16E08"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Pr="005432E1">
        <w:rPr>
          <w:rFonts w:asciiTheme="minorHAnsi" w:hAnsiTheme="minorHAnsi"/>
          <w:sz w:val="22"/>
          <w:szCs w:val="22"/>
        </w:rPr>
        <w:tab/>
      </w:r>
      <w:r w:rsidR="00BA268C" w:rsidRPr="005432E1">
        <w:rPr>
          <w:rFonts w:asciiTheme="minorHAnsi" w:hAnsiTheme="minorHAnsi"/>
          <w:sz w:val="22"/>
          <w:szCs w:val="22"/>
        </w:rPr>
        <w:t xml:space="preserve"> </w:t>
      </w:r>
      <w:r w:rsidR="003D597A" w:rsidRPr="005432E1">
        <w:rPr>
          <w:rFonts w:asciiTheme="minorHAnsi" w:hAnsiTheme="minorHAnsi"/>
          <w:sz w:val="22"/>
          <w:szCs w:val="22"/>
        </w:rPr>
        <w:t>R$ milhões</w:t>
      </w:r>
    </w:p>
    <w:p w14:paraId="1D1578D3" w14:textId="77777777" w:rsidR="003D597A" w:rsidRPr="005432E1" w:rsidRDefault="00496F2A" w:rsidP="006F4AC5">
      <w:pPr>
        <w:pStyle w:val="Recuodecorpodetexto"/>
        <w:spacing w:before="0"/>
        <w:ind w:firstLine="142"/>
        <w:jc w:val="center"/>
        <w:rPr>
          <w:rFonts w:asciiTheme="minorHAnsi" w:hAnsiTheme="minorHAnsi"/>
          <w:sz w:val="20"/>
          <w:szCs w:val="20"/>
        </w:rPr>
      </w:pPr>
      <w:r w:rsidRPr="005432E1">
        <w:rPr>
          <w:rFonts w:asciiTheme="minorHAnsi" w:hAnsiTheme="minorHAnsi"/>
          <w:noProof/>
        </w:rPr>
        <w:drawing>
          <wp:inline distT="0" distB="0" distL="0" distR="0" wp14:anchorId="5E3E9C1D" wp14:editId="22F7DE3A">
            <wp:extent cx="5193665" cy="2677160"/>
            <wp:effectExtent l="0" t="0" r="6985" b="889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3665" cy="2677160"/>
                    </a:xfrm>
                    <a:prstGeom prst="rect">
                      <a:avLst/>
                    </a:prstGeom>
                    <a:noFill/>
                    <a:ln>
                      <a:noFill/>
                    </a:ln>
                  </pic:spPr>
                </pic:pic>
              </a:graphicData>
            </a:graphic>
          </wp:inline>
        </w:drawing>
      </w:r>
    </w:p>
    <w:p w14:paraId="5BC8ED0D" w14:textId="499350CE" w:rsidR="00060C58" w:rsidRPr="005432E1" w:rsidRDefault="00496F2A" w:rsidP="006F4AC5">
      <w:pPr>
        <w:pStyle w:val="Recuodecorpodetexto"/>
        <w:spacing w:before="0"/>
        <w:ind w:firstLine="142"/>
        <w:rPr>
          <w:rFonts w:asciiTheme="minorHAnsi" w:hAnsiTheme="minorHAnsi"/>
          <w:sz w:val="20"/>
          <w:szCs w:val="20"/>
        </w:rPr>
      </w:pPr>
      <w:r w:rsidRPr="005432E1">
        <w:rPr>
          <w:rFonts w:asciiTheme="minorHAnsi" w:hAnsiTheme="minorHAnsi"/>
          <w:sz w:val="20"/>
          <w:szCs w:val="20"/>
        </w:rPr>
        <w:tab/>
      </w:r>
      <w:r w:rsidR="0001423A" w:rsidRPr="005432E1">
        <w:rPr>
          <w:rFonts w:asciiTheme="minorHAnsi" w:hAnsiTheme="minorHAnsi"/>
          <w:sz w:val="20"/>
          <w:szCs w:val="20"/>
        </w:rPr>
        <w:t xml:space="preserve">   </w:t>
      </w:r>
      <w:r w:rsidR="00A1451E" w:rsidRPr="005432E1">
        <w:rPr>
          <w:rFonts w:asciiTheme="minorHAnsi" w:hAnsiTheme="minorHAnsi"/>
          <w:sz w:val="20"/>
          <w:szCs w:val="20"/>
        </w:rPr>
        <w:t>Fonte: BCB</w:t>
      </w:r>
      <w:r w:rsidR="00420D22" w:rsidRPr="005432E1">
        <w:rPr>
          <w:rFonts w:asciiTheme="minorHAnsi" w:hAnsiTheme="minorHAnsi"/>
          <w:sz w:val="20"/>
          <w:szCs w:val="20"/>
        </w:rPr>
        <w:t xml:space="preserve"> </w:t>
      </w:r>
    </w:p>
    <w:p w14:paraId="463AE09E" w14:textId="338FB977" w:rsidR="00453353" w:rsidRPr="005432E1" w:rsidRDefault="00060C58" w:rsidP="006F4AC5">
      <w:pPr>
        <w:pStyle w:val="Recuodecorpodetexto"/>
        <w:spacing w:before="0"/>
        <w:ind w:firstLine="142"/>
        <w:rPr>
          <w:rFonts w:asciiTheme="minorHAnsi" w:hAnsiTheme="minorHAnsi"/>
          <w:sz w:val="20"/>
          <w:szCs w:val="20"/>
        </w:rPr>
      </w:pPr>
      <w:r w:rsidRPr="005432E1">
        <w:rPr>
          <w:rFonts w:asciiTheme="minorHAnsi" w:hAnsiTheme="minorHAnsi"/>
          <w:sz w:val="20"/>
          <w:szCs w:val="20"/>
        </w:rPr>
        <w:tab/>
      </w:r>
      <w:r w:rsidR="0001423A" w:rsidRPr="005432E1">
        <w:rPr>
          <w:rFonts w:asciiTheme="minorHAnsi" w:hAnsiTheme="minorHAnsi"/>
          <w:sz w:val="20"/>
          <w:szCs w:val="20"/>
        </w:rPr>
        <w:t xml:space="preserve">   </w:t>
      </w:r>
      <w:r w:rsidR="00453353" w:rsidRPr="005432E1">
        <w:rPr>
          <w:rFonts w:asciiTheme="minorHAnsi" w:hAnsiTheme="minorHAnsi"/>
          <w:sz w:val="20"/>
          <w:szCs w:val="20"/>
        </w:rPr>
        <w:t>* Posição dez/201</w:t>
      </w:r>
      <w:r w:rsidR="00496F2A" w:rsidRPr="005432E1">
        <w:rPr>
          <w:rFonts w:asciiTheme="minorHAnsi" w:hAnsiTheme="minorHAnsi"/>
          <w:sz w:val="20"/>
          <w:szCs w:val="20"/>
        </w:rPr>
        <w:t>7</w:t>
      </w:r>
    </w:p>
    <w:p w14:paraId="5BC7DF85" w14:textId="77777777" w:rsidR="00CC0FAA" w:rsidRPr="005432E1" w:rsidRDefault="00CC0FAA" w:rsidP="006F4AC5">
      <w:pPr>
        <w:pStyle w:val="Recuodecorpodetexto"/>
        <w:spacing w:before="0" w:after="240"/>
        <w:ind w:firstLine="709"/>
        <w:rPr>
          <w:rFonts w:asciiTheme="minorHAnsi" w:hAnsiTheme="minorHAnsi"/>
        </w:rPr>
      </w:pPr>
    </w:p>
    <w:p w14:paraId="1DD6CE28" w14:textId="77777777" w:rsidR="00FC0C3A" w:rsidRPr="005432E1" w:rsidRDefault="002B0F44" w:rsidP="006F4AC5">
      <w:pPr>
        <w:pStyle w:val="Recuodecorpodetexto"/>
        <w:spacing w:before="0" w:after="240"/>
        <w:ind w:firstLine="709"/>
        <w:rPr>
          <w:rFonts w:asciiTheme="minorHAnsi" w:hAnsiTheme="minorHAnsi"/>
        </w:rPr>
      </w:pPr>
      <w:r w:rsidRPr="005432E1">
        <w:rPr>
          <w:rFonts w:asciiTheme="minorHAnsi" w:hAnsiTheme="minorHAnsi"/>
        </w:rPr>
        <w:t>A cada apuração de balanç</w:t>
      </w:r>
      <w:r w:rsidR="005B1147" w:rsidRPr="005432E1">
        <w:rPr>
          <w:rFonts w:asciiTheme="minorHAnsi" w:hAnsiTheme="minorHAnsi"/>
        </w:rPr>
        <w:t>o do Banco Central, o valor dess</w:t>
      </w:r>
      <w:r w:rsidRPr="005432E1">
        <w:rPr>
          <w:rFonts w:asciiTheme="minorHAnsi" w:hAnsiTheme="minorHAnsi"/>
        </w:rPr>
        <w:t>es créditos é atualizado de acordo com as características originais considerando-se as garantias e metodologia definida.</w:t>
      </w:r>
      <w:r w:rsidR="0044436D" w:rsidRPr="005432E1">
        <w:rPr>
          <w:rFonts w:asciiTheme="minorHAnsi" w:hAnsiTheme="minorHAnsi"/>
        </w:rPr>
        <w:t xml:space="preserve"> </w:t>
      </w:r>
      <w:r w:rsidRPr="005432E1">
        <w:rPr>
          <w:rFonts w:asciiTheme="minorHAnsi" w:hAnsiTheme="minorHAnsi"/>
        </w:rPr>
        <w:t xml:space="preserve">Além disto, realiza-se ajuste visando aproximar o valor atualizado do valor recuperável. O confronto entre o valor atualizado e o valor ajustado pode gerar um aumento ou redução do crédito recuperável.  Esta variação afeta o resultado do Banco Central e representa risco fiscal. </w:t>
      </w:r>
    </w:p>
    <w:p w14:paraId="54AF8A07" w14:textId="77777777" w:rsidR="009B7637" w:rsidRPr="005432E1" w:rsidRDefault="009002D1" w:rsidP="004C4B03">
      <w:pPr>
        <w:pStyle w:val="Ttulo3"/>
        <w:numPr>
          <w:ilvl w:val="0"/>
          <w:numId w:val="0"/>
        </w:numPr>
        <w:rPr>
          <w:rFonts w:asciiTheme="minorHAnsi" w:hAnsiTheme="minorHAnsi"/>
          <w:b/>
        </w:rPr>
      </w:pPr>
      <w:bookmarkStart w:id="212" w:name="_Toc511230030"/>
      <w:r w:rsidRPr="005432E1">
        <w:rPr>
          <w:rFonts w:asciiTheme="minorHAnsi" w:hAnsiTheme="minorHAnsi"/>
          <w:b/>
        </w:rPr>
        <w:t>3.2.4 E</w:t>
      </w:r>
      <w:r w:rsidR="009B7637" w:rsidRPr="005432E1">
        <w:rPr>
          <w:rFonts w:asciiTheme="minorHAnsi" w:hAnsiTheme="minorHAnsi"/>
          <w:b/>
        </w:rPr>
        <w:t>mpréstimos compulsórios</w:t>
      </w:r>
      <w:bookmarkEnd w:id="212"/>
      <w:r w:rsidR="009B7637" w:rsidRPr="005432E1">
        <w:rPr>
          <w:rFonts w:asciiTheme="minorHAnsi" w:hAnsiTheme="minorHAnsi"/>
          <w:b/>
        </w:rPr>
        <w:t xml:space="preserve">   </w:t>
      </w:r>
    </w:p>
    <w:p w14:paraId="6D4F22E7" w14:textId="77777777" w:rsidR="009B7637" w:rsidRPr="005432E1" w:rsidRDefault="009B7637" w:rsidP="009B7637">
      <w:pPr>
        <w:spacing w:before="100" w:beforeAutospacing="1" w:after="100" w:afterAutospacing="1"/>
        <w:jc w:val="both"/>
        <w:rPr>
          <w:rFonts w:asciiTheme="minorHAnsi" w:hAnsiTheme="minorHAnsi"/>
        </w:rPr>
      </w:pPr>
      <w:r w:rsidRPr="005432E1">
        <w:rPr>
          <w:rFonts w:asciiTheme="minorHAnsi" w:hAnsiTheme="minorHAnsi"/>
        </w:rPr>
        <w:tab/>
        <w:t>O empréstimo compulsório sobre o consumo de combustíveis e aquisição de veículos foi instituído pelo Decreto-Lei nº 2.288/1986. A MP nº 1.789/1998 (cuja última edição foi a MP 2.179- 36/2001), estabeleceu que fossem transferidos para a União, até 31 de março de 1999, os direitos e obrigações decorrentes dos empréstimos compulsórios existentes no Banco Central do Brasil. Desde então, o Tesouro Nacional controla o saldo dos empréstimos compulsórios em contas de passivo, atualizado por meio de taxa equivalente ao das cadernetas de poupança, conforme §1º artigo 14 do Decreto-Lei nº 2.288/1986.</w:t>
      </w:r>
    </w:p>
    <w:p w14:paraId="0FFAFB7F" w14:textId="77777777" w:rsidR="009B7637" w:rsidRPr="005432E1" w:rsidRDefault="009B7637" w:rsidP="009B7637">
      <w:pPr>
        <w:spacing w:before="100" w:beforeAutospacing="1" w:after="100" w:afterAutospacing="1"/>
        <w:jc w:val="both"/>
        <w:rPr>
          <w:rFonts w:asciiTheme="minorHAnsi" w:hAnsiTheme="minorHAnsi"/>
        </w:rPr>
      </w:pPr>
      <w:r w:rsidRPr="005432E1">
        <w:rPr>
          <w:rFonts w:asciiTheme="minorHAnsi" w:hAnsiTheme="minorHAnsi"/>
        </w:rPr>
        <w:tab/>
        <w:t>Em 2017, o Acórdão TCU nº 1320/2017 - Plenário, em seu item 5.3.1, "x", considerou que os valores registrados a título de empréstim</w:t>
      </w:r>
      <w:r w:rsidR="00B44AD7" w:rsidRPr="005432E1">
        <w:rPr>
          <w:rFonts w:asciiTheme="minorHAnsi" w:hAnsiTheme="minorHAnsi"/>
        </w:rPr>
        <w:t>os compulsórios, no total de R$</w:t>
      </w:r>
      <w:r w:rsidRPr="005432E1">
        <w:rPr>
          <w:rFonts w:asciiTheme="minorHAnsi" w:hAnsiTheme="minorHAnsi"/>
        </w:rPr>
        <w:t>42,2 bilhões, não representariam passivos para a União, uma vez que não havia meios para a identificação dos credores nem previsão de saída dos recursos correspondentes, já que não estão estabelecidos na legislação vigente o prazo e as condições para a devolução dos recursos.</w:t>
      </w:r>
    </w:p>
    <w:p w14:paraId="2A8EE91E" w14:textId="77777777" w:rsidR="009B7637" w:rsidRPr="005432E1" w:rsidRDefault="009B7637" w:rsidP="009B7637">
      <w:pPr>
        <w:spacing w:before="100" w:beforeAutospacing="1" w:after="100" w:afterAutospacing="1"/>
        <w:jc w:val="both"/>
        <w:rPr>
          <w:rFonts w:asciiTheme="minorHAnsi" w:hAnsiTheme="minorHAnsi"/>
        </w:rPr>
      </w:pPr>
      <w:r w:rsidRPr="005432E1">
        <w:rPr>
          <w:rFonts w:asciiTheme="minorHAnsi" w:hAnsiTheme="minorHAnsi"/>
        </w:rPr>
        <w:tab/>
        <w:t>Diante do exposto e em cumprimento à recomendação contida no referido Acórdão, foi feita, em 18/10/2017 a baixa do saldo no Siafi referente a empréstimos compulsórios sobre o consumo de combustíveis, no valor de R$ 33,9 bilhões, e referente à aquisição de veículos, no valor de R$ 8,2 bilhões.</w:t>
      </w:r>
    </w:p>
    <w:p w14:paraId="4791DD4B" w14:textId="77777777" w:rsidR="00652B9C" w:rsidRPr="005432E1" w:rsidRDefault="00652B9C" w:rsidP="004C4B03">
      <w:pPr>
        <w:pStyle w:val="Ttulo3"/>
        <w:numPr>
          <w:ilvl w:val="0"/>
          <w:numId w:val="0"/>
        </w:numPr>
        <w:rPr>
          <w:rFonts w:asciiTheme="minorHAnsi" w:hAnsiTheme="minorHAnsi"/>
          <w:b/>
        </w:rPr>
      </w:pPr>
      <w:bookmarkStart w:id="213" w:name="_Toc511230031"/>
      <w:r w:rsidRPr="005432E1">
        <w:rPr>
          <w:rFonts w:asciiTheme="minorHAnsi" w:hAnsiTheme="minorHAnsi"/>
          <w:b/>
        </w:rPr>
        <w:t>3.2.5 H</w:t>
      </w:r>
      <w:r w:rsidR="00FF061A" w:rsidRPr="005432E1">
        <w:rPr>
          <w:rFonts w:asciiTheme="minorHAnsi" w:hAnsiTheme="minorHAnsi"/>
          <w:b/>
        </w:rPr>
        <w:t>averes Financeiros da União</w:t>
      </w:r>
      <w:bookmarkEnd w:id="213"/>
    </w:p>
    <w:p w14:paraId="41E36555" w14:textId="77777777" w:rsidR="00F83A25" w:rsidRPr="005432E1" w:rsidRDefault="000965CC" w:rsidP="000965CC">
      <w:pPr>
        <w:spacing w:before="100" w:beforeAutospacing="1" w:after="100" w:afterAutospacing="1"/>
        <w:jc w:val="both"/>
        <w:rPr>
          <w:rFonts w:asciiTheme="minorHAnsi" w:hAnsiTheme="minorHAnsi"/>
        </w:rPr>
      </w:pPr>
      <w:r w:rsidRPr="005432E1">
        <w:rPr>
          <w:rFonts w:asciiTheme="minorHAnsi" w:hAnsiTheme="minorHAnsi"/>
        </w:rPr>
        <w:tab/>
      </w:r>
      <w:r w:rsidR="00F83A25" w:rsidRPr="005432E1">
        <w:rPr>
          <w:rFonts w:asciiTheme="minorHAnsi" w:hAnsiTheme="minorHAnsi"/>
        </w:rPr>
        <w:t>Os H</w:t>
      </w:r>
      <w:r w:rsidRPr="005432E1">
        <w:rPr>
          <w:rFonts w:asciiTheme="minorHAnsi" w:hAnsiTheme="minorHAnsi"/>
        </w:rPr>
        <w:t>averes financeiros da União</w:t>
      </w:r>
      <w:r w:rsidR="00F83A25" w:rsidRPr="005432E1">
        <w:rPr>
          <w:rFonts w:asciiTheme="minorHAnsi" w:hAnsiTheme="minorHAnsi"/>
        </w:rPr>
        <w:t xml:space="preserve"> podem ser classificados nos seguintes grupos:</w:t>
      </w:r>
    </w:p>
    <w:p w14:paraId="4BB3349C" w14:textId="77777777" w:rsidR="00F83A25" w:rsidRPr="005432E1" w:rsidRDefault="00F83A25" w:rsidP="000965CC">
      <w:pPr>
        <w:spacing w:before="100" w:beforeAutospacing="1" w:after="100" w:afterAutospacing="1"/>
        <w:jc w:val="both"/>
        <w:rPr>
          <w:rFonts w:asciiTheme="minorHAnsi" w:hAnsiTheme="minorHAnsi"/>
        </w:rPr>
      </w:pPr>
      <w:r w:rsidRPr="005432E1">
        <w:rPr>
          <w:rFonts w:asciiTheme="minorHAnsi" w:hAnsiTheme="minorHAnsi"/>
        </w:rPr>
        <w:tab/>
      </w:r>
      <w:r w:rsidR="000965CC" w:rsidRPr="005432E1">
        <w:rPr>
          <w:rFonts w:asciiTheme="minorHAnsi" w:hAnsiTheme="minorHAnsi"/>
        </w:rPr>
        <w:t>(i) haveres financeiros relacionados a entes federados;</w:t>
      </w:r>
    </w:p>
    <w:p w14:paraId="34F6307F" w14:textId="77777777" w:rsidR="000965CC" w:rsidRPr="005432E1" w:rsidRDefault="00F83A25" w:rsidP="000965CC">
      <w:pPr>
        <w:spacing w:before="100" w:beforeAutospacing="1" w:after="100" w:afterAutospacing="1"/>
        <w:jc w:val="both"/>
        <w:rPr>
          <w:rFonts w:asciiTheme="minorHAnsi" w:hAnsiTheme="minorHAnsi"/>
        </w:rPr>
      </w:pPr>
      <w:r w:rsidRPr="005432E1">
        <w:rPr>
          <w:rFonts w:asciiTheme="minorHAnsi" w:hAnsiTheme="minorHAnsi"/>
        </w:rPr>
        <w:tab/>
      </w:r>
      <w:r w:rsidR="000965CC" w:rsidRPr="005432E1">
        <w:rPr>
          <w:rFonts w:asciiTheme="minorHAnsi" w:hAnsiTheme="minorHAnsi"/>
        </w:rPr>
        <w:t xml:space="preserve"> (ii) haveres financeiros não relacionados a entes federados operações estruturadas.</w:t>
      </w:r>
    </w:p>
    <w:p w14:paraId="63AF3A39" w14:textId="77777777" w:rsidR="000965CC" w:rsidRPr="005432E1" w:rsidRDefault="000965CC" w:rsidP="000965CC">
      <w:pPr>
        <w:spacing w:before="100" w:beforeAutospacing="1" w:after="100" w:afterAutospacing="1"/>
        <w:jc w:val="both"/>
        <w:rPr>
          <w:rFonts w:asciiTheme="minorHAnsi" w:hAnsiTheme="minorHAnsi"/>
          <w:b/>
        </w:rPr>
      </w:pPr>
      <w:r w:rsidRPr="005432E1">
        <w:rPr>
          <w:rFonts w:asciiTheme="minorHAnsi" w:hAnsiTheme="minorHAnsi"/>
          <w:b/>
        </w:rPr>
        <w:t>3.2.5.1</w:t>
      </w:r>
      <w:r w:rsidRPr="005432E1">
        <w:rPr>
          <w:rFonts w:asciiTheme="minorHAnsi" w:hAnsiTheme="minorHAnsi"/>
          <w:b/>
        </w:rPr>
        <w:tab/>
        <w:t>Haveres Financeiros Relacionados a Entes Federativos</w:t>
      </w:r>
    </w:p>
    <w:p w14:paraId="54597E7D" w14:textId="77777777" w:rsidR="00652B9C" w:rsidRPr="005432E1" w:rsidRDefault="00652B9C" w:rsidP="000965CC">
      <w:pPr>
        <w:pStyle w:val="PargrafodaLista"/>
        <w:numPr>
          <w:ilvl w:val="0"/>
          <w:numId w:val="15"/>
        </w:numPr>
        <w:spacing w:before="100" w:beforeAutospacing="1" w:after="100" w:afterAutospacing="1"/>
        <w:jc w:val="both"/>
        <w:rPr>
          <w:rFonts w:asciiTheme="minorHAnsi" w:hAnsiTheme="minorHAnsi"/>
        </w:rPr>
      </w:pPr>
      <w:r w:rsidRPr="005432E1">
        <w:rPr>
          <w:rFonts w:asciiTheme="minorHAnsi" w:hAnsiTheme="minorHAnsi"/>
          <w:b/>
          <w:bCs/>
        </w:rPr>
        <w:t>Retorno de Operações de Financiamento e de Refinanciamento de Dívidas</w:t>
      </w:r>
    </w:p>
    <w:p w14:paraId="08565CD4"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Lei nº 8.727/1993</w:t>
      </w:r>
      <w:r w:rsidRPr="005432E1">
        <w:rPr>
          <w:rFonts w:asciiTheme="minorHAnsi" w:hAnsiTheme="minorHAnsi"/>
        </w:rPr>
        <w:t>: Refinanciamento, pela União, de dívidas internas de origem contratual, de responsabilidade das administrações direta e indireta dos Estados e dos Municípios com a União e sua administração indireta. O prazo inicial de 240 meses encerrou-se em 2014, remanescendo os pagamentos dos devedores que ainda apresentavam resíduo de limite de comprometimento, os quais, no caso de Estados, deverão ser quitados em prazo adicional de até 240 meses, conforme autorização concedida pela LC nº 156/2016. Os recursos recebidos dessa parcela de dívida remanescente são transferidos pela União aos credores originais, exceto os montantes de sua titularidade, que constituem a maior parte, e que são destinados ao pagamento da dívida pública mobiliária interna da União. Adicionalmente, restam também vigentes os contratos das dívidas denominadas vincendas, cujos pagamentos são repassados integralmente para a CAIXA, com prazos de pagamento variados que vão até junho de 2027;</w:t>
      </w:r>
    </w:p>
    <w:p w14:paraId="7433D534"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Lei nº 9.496/1997:</w:t>
      </w:r>
      <w:r w:rsidRPr="005432E1">
        <w:rPr>
          <w:rFonts w:asciiTheme="minorHAnsi" w:hAnsiTheme="minorHAnsi"/>
        </w:rPr>
        <w:t xml:space="preserve"> Consolidação, assunção e refinanciamento, pela União, da dívida pública mobiliária e da dívida decorrente de operações de crédito, de natureza interna e externa, de responsabilidade dos Estados e do Distrito Federal, a ser pago no prazo de 30 anos. Integram-se a este refinanciamento os empréstimos concedidos pela União aos Estados que aderiram ao Programa de Incentivo à Redução da Presença do Estado nas Atividades Financeiras - PROES, amparado pela Medida Provisória nº 2.192-70, de 24.08.2001, e suas edições anteriores. Programa com encerramento de contratos previsto originalmente para o período de maio/2027 a outubro/2029, com exceção dos mutuários que apresentassem resíduo de limite de comprometimento no vencimento, cujo saldo deveria ser quitado em prazo adicional de até 10 anos.</w:t>
      </w:r>
    </w:p>
    <w:p w14:paraId="038721D5"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Novas condições decorrentes da LC n</w:t>
      </w:r>
      <w:r w:rsidRPr="005432E1">
        <w:rPr>
          <w:rFonts w:asciiTheme="minorHAnsi" w:hAnsiTheme="minorHAnsi"/>
          <w:b/>
          <w:bCs/>
          <w:vertAlign w:val="superscript"/>
        </w:rPr>
        <w:t>o</w:t>
      </w:r>
      <w:r w:rsidRPr="005432E1">
        <w:rPr>
          <w:rFonts w:asciiTheme="minorHAnsi" w:hAnsiTheme="minorHAnsi"/>
          <w:b/>
          <w:bCs/>
        </w:rPr>
        <w:t xml:space="preserve"> 148/2014 aplicadas aos refinanciamentos ao amparo da Lei n</w:t>
      </w:r>
      <w:r w:rsidRPr="005432E1">
        <w:rPr>
          <w:rFonts w:asciiTheme="minorHAnsi" w:hAnsiTheme="minorHAnsi"/>
          <w:b/>
          <w:bCs/>
          <w:vertAlign w:val="superscript"/>
        </w:rPr>
        <w:t>o</w:t>
      </w:r>
      <w:r w:rsidRPr="005432E1">
        <w:rPr>
          <w:rFonts w:asciiTheme="minorHAnsi" w:hAnsiTheme="minorHAnsi"/>
          <w:b/>
          <w:bCs/>
        </w:rPr>
        <w:t xml:space="preserve"> 9.496/1997:</w:t>
      </w:r>
      <w:r w:rsidRPr="005432E1">
        <w:rPr>
          <w:rFonts w:asciiTheme="minorHAnsi" w:hAnsiTheme="minorHAnsi"/>
        </w:rPr>
        <w:t xml:space="preserve"> Com a vigência da referida LC, a União ficou autorizada a reprocessar as dívidas refinanciadas a Estados e Municípios pela variação acumulada da taxa SELIC, desde a data de contratação até 01/01/2013, com aplicação de desconto sobre o saldo devedor existente naquela data, no montante correspondente à diferença entre a referida taxa e a variação acumulada IGP-DI mais juros anuais de 6,0% ou 7,5%, conforme o caso;  os novos encargos decorrentes dessa medida poderão ser utilizados para atualização da dívida remanescente a partir de 01/01/2013, de acordo com a variação acumulada do IPCA + 4,0% a.a. ou da taxa SELIC, o que for menor, também com abatimento da diferença no saldo devedor. A referida LC foi regulamentada pelos Decretos Presidenciais n</w:t>
      </w:r>
      <w:r w:rsidRPr="005432E1">
        <w:rPr>
          <w:rFonts w:asciiTheme="minorHAnsi" w:hAnsiTheme="minorHAnsi"/>
          <w:vertAlign w:val="superscript"/>
        </w:rPr>
        <w:t>os</w:t>
      </w:r>
      <w:r w:rsidRPr="005432E1">
        <w:rPr>
          <w:rFonts w:asciiTheme="minorHAnsi" w:hAnsiTheme="minorHAnsi"/>
        </w:rPr>
        <w:t xml:space="preserve"> 8.616 e 8.665, de 29/12/2015 e 10/02/2016, respectivamente. Até 31/12/2017, 23 Estados já haviam aderido às condições da LC no 148/2014, entes cujos compromissos correspondem a aproximadamente 99,9% do saldo total do programa.</w:t>
      </w:r>
    </w:p>
    <w:p w14:paraId="72299841"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Novas condições decorrentes da LC n</w:t>
      </w:r>
      <w:r w:rsidRPr="005432E1">
        <w:rPr>
          <w:rFonts w:asciiTheme="minorHAnsi" w:hAnsiTheme="minorHAnsi"/>
          <w:b/>
          <w:bCs/>
          <w:vertAlign w:val="superscript"/>
        </w:rPr>
        <w:t>o</w:t>
      </w:r>
      <w:r w:rsidRPr="005432E1">
        <w:rPr>
          <w:rFonts w:asciiTheme="minorHAnsi" w:hAnsiTheme="minorHAnsi"/>
          <w:b/>
          <w:bCs/>
        </w:rPr>
        <w:t xml:space="preserve"> 156/16 aplicadas aos refinanciamentos ao amparo da Lei n</w:t>
      </w:r>
      <w:r w:rsidRPr="005432E1">
        <w:rPr>
          <w:rFonts w:asciiTheme="minorHAnsi" w:hAnsiTheme="minorHAnsi"/>
          <w:b/>
          <w:bCs/>
          <w:vertAlign w:val="superscript"/>
        </w:rPr>
        <w:t>o</w:t>
      </w:r>
      <w:r w:rsidRPr="005432E1">
        <w:rPr>
          <w:rFonts w:asciiTheme="minorHAnsi" w:hAnsiTheme="minorHAnsi"/>
          <w:b/>
          <w:bCs/>
        </w:rPr>
        <w:t xml:space="preserve"> 9.496/97:</w:t>
      </w:r>
      <w:r w:rsidRPr="005432E1">
        <w:rPr>
          <w:rFonts w:asciiTheme="minorHAnsi" w:hAnsiTheme="minorHAnsi"/>
        </w:rPr>
        <w:t>  De Abril/2016 a Junho/2016, 17 Estados entraram com liminares junto ao Superior Tribunal Federal – STF, obstando a imposição de sanções por inadimplência por 60 dias. Em 01/07/2016 o STF adaptou a liminar concedida em 27.04.2016 ao acordo firmado em 20/06/2016 entre Governadores e o Ministro da Fazenda, estendendo, em linhas gerais, a sua decisão às demais liminares concedidas aos Estados pela Corte. Com isso, passaram a ser aplicadas aos Estados que entraram com liminares, e a mais outros 2 que protocolaram pedidos semelhantes posteriormente, as condições dispostas no Projeto de Lei Complementar n</w:t>
      </w:r>
      <w:r w:rsidRPr="005432E1">
        <w:rPr>
          <w:rFonts w:asciiTheme="minorHAnsi" w:hAnsiTheme="minorHAnsi"/>
          <w:vertAlign w:val="superscript"/>
        </w:rPr>
        <w:t>o</w:t>
      </w:r>
      <w:r w:rsidRPr="005432E1">
        <w:rPr>
          <w:rFonts w:asciiTheme="minorHAnsi" w:hAnsiTheme="minorHAnsi"/>
        </w:rPr>
        <w:t xml:space="preserve"> 257 – PLP 257, o qual foi aprovado e sancionado como Lei Complementar no 156/2016</w:t>
      </w:r>
      <w:r w:rsidR="00F83A25" w:rsidRPr="005432E1">
        <w:rPr>
          <w:rFonts w:asciiTheme="minorHAnsi" w:hAnsiTheme="minorHAnsi"/>
        </w:rPr>
        <w:t>.</w:t>
      </w:r>
    </w:p>
    <w:p w14:paraId="40C2F870" w14:textId="77777777" w:rsidR="00652B9C" w:rsidRPr="005432E1" w:rsidRDefault="00F83A25" w:rsidP="00652B9C">
      <w:pPr>
        <w:spacing w:before="100" w:beforeAutospacing="1" w:after="100" w:afterAutospacing="1"/>
        <w:jc w:val="both"/>
        <w:rPr>
          <w:rFonts w:asciiTheme="minorHAnsi" w:hAnsiTheme="minorHAnsi"/>
        </w:rPr>
      </w:pPr>
      <w:r w:rsidRPr="005432E1">
        <w:rPr>
          <w:rFonts w:asciiTheme="minorHAnsi" w:hAnsiTheme="minorHAnsi"/>
        </w:rPr>
        <w:tab/>
      </w:r>
      <w:r w:rsidR="00652B9C" w:rsidRPr="005432E1">
        <w:rPr>
          <w:rFonts w:asciiTheme="minorHAnsi" w:hAnsiTheme="minorHAnsi"/>
        </w:rPr>
        <w:t>Até 23/12/2017, data-limite para celebração dos termos aditivos que possibilitariam o alongamento do prazo de amortização original em mais 240 meses, 17 Estados (16 que obtiveram decisões judiciais e 1 que não recorreu ao Poder Judiciário) haviam aderido ao benefício.</w:t>
      </w:r>
    </w:p>
    <w:p w14:paraId="12C1C039"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Novas condições decorrentes da LC n</w:t>
      </w:r>
      <w:r w:rsidRPr="005432E1">
        <w:rPr>
          <w:rFonts w:asciiTheme="minorHAnsi" w:hAnsiTheme="minorHAnsi"/>
          <w:b/>
          <w:bCs/>
          <w:vertAlign w:val="superscript"/>
        </w:rPr>
        <w:t>o</w:t>
      </w:r>
      <w:r w:rsidRPr="005432E1">
        <w:rPr>
          <w:rFonts w:asciiTheme="minorHAnsi" w:hAnsiTheme="minorHAnsi"/>
          <w:b/>
          <w:bCs/>
        </w:rPr>
        <w:t xml:space="preserve"> 159/17 aplicadas aos refinanciamentos ao amparo da Lei n</w:t>
      </w:r>
      <w:r w:rsidRPr="005432E1">
        <w:rPr>
          <w:rFonts w:asciiTheme="minorHAnsi" w:hAnsiTheme="minorHAnsi"/>
          <w:b/>
          <w:bCs/>
          <w:vertAlign w:val="superscript"/>
        </w:rPr>
        <w:t>o</w:t>
      </w:r>
      <w:r w:rsidRPr="005432E1">
        <w:rPr>
          <w:rFonts w:asciiTheme="minorHAnsi" w:hAnsiTheme="minorHAnsi"/>
          <w:b/>
          <w:bCs/>
        </w:rPr>
        <w:t xml:space="preserve"> 9.496/</w:t>
      </w:r>
      <w:r w:rsidR="003B0733" w:rsidRPr="005432E1">
        <w:rPr>
          <w:rFonts w:asciiTheme="minorHAnsi" w:hAnsiTheme="minorHAnsi"/>
          <w:b/>
          <w:bCs/>
        </w:rPr>
        <w:t>19</w:t>
      </w:r>
      <w:r w:rsidRPr="005432E1">
        <w:rPr>
          <w:rFonts w:asciiTheme="minorHAnsi" w:hAnsiTheme="minorHAnsi"/>
          <w:b/>
          <w:bCs/>
        </w:rPr>
        <w:t>97</w:t>
      </w:r>
      <w:r w:rsidRPr="005432E1">
        <w:rPr>
          <w:rFonts w:asciiTheme="minorHAnsi" w:hAnsiTheme="minorHAnsi"/>
        </w:rPr>
        <w:t>:  Com a publicação da Lei Complementar n</w:t>
      </w:r>
      <w:r w:rsidRPr="005432E1">
        <w:rPr>
          <w:rFonts w:asciiTheme="minorHAnsi" w:hAnsiTheme="minorHAnsi"/>
          <w:vertAlign w:val="superscript"/>
        </w:rPr>
        <w:t>o</w:t>
      </w:r>
      <w:r w:rsidRPr="005432E1">
        <w:rPr>
          <w:rFonts w:asciiTheme="minorHAnsi" w:hAnsiTheme="minorHAnsi"/>
        </w:rPr>
        <w:t xml:space="preserve"> 159/17, foi instituído o Regime de Recuperação Fiscal – RRF, dos Estados e do Distrito Federal. Com a adesão do ente federativo ao referido Regime, fica reconhecida sua situação de desequilíbrio financeiro, sendo dessa forma detalhadas medidas de ajuste ao Estado. Do ponto de vista do refinanciamento ao amparo da Lei n</w:t>
      </w:r>
      <w:r w:rsidRPr="005432E1">
        <w:rPr>
          <w:rFonts w:asciiTheme="minorHAnsi" w:hAnsiTheme="minorHAnsi"/>
          <w:vertAlign w:val="superscript"/>
        </w:rPr>
        <w:t>o</w:t>
      </w:r>
      <w:r w:rsidRPr="005432E1">
        <w:rPr>
          <w:rFonts w:asciiTheme="minorHAnsi" w:hAnsiTheme="minorHAnsi"/>
        </w:rPr>
        <w:t xml:space="preserve"> 9.496/1997, a partir do momento em que o Estado adere ao RRF, a União concede redução extraordinária das prestações relativas aos contratos das dívidas que farão parte do escopo do RRF pelo período de 36 meses, podendo ser prorrogado por igual período, durante o qual os pagamentos das prestações serão retomados de forma progressiva e linear, até que seja atingido o valor integral da prestação ao término do prazo da prorrogação. Os valores não pagos devem ser registrados em “Conta Gráfica” nos termos da referida LC.</w:t>
      </w:r>
    </w:p>
    <w:p w14:paraId="2DF814E3"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rPr>
        <w:t>Até o momento, somente o Estado do Rio de Janeiro aderiu ao RRF, cujo Regime prevê a inclusão das dívidas da Lei no 9.496/1997 e da MP no 2.179/2001 – Acordo BACEN-BANERJ, bem como daquelas originárias de avais honrados pela União, nos termos do art. 17 da mencionada LC. </w:t>
      </w:r>
    </w:p>
    <w:p w14:paraId="21461B90"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MP nº 2.185/2001:</w:t>
      </w:r>
      <w:r w:rsidRPr="005432E1">
        <w:rPr>
          <w:rFonts w:asciiTheme="minorHAnsi" w:hAnsiTheme="minorHAnsi"/>
        </w:rPr>
        <w:t xml:space="preserve"> Consolidação, assunção e refinanciamento, pela União, da dívida pública mobiliária e da dívida decorrente de operações de crédito com instituições financeiras, de natureza interna e externa, de responsabilidade dos Municípios, a ser paga no prazo de 30 anos. A grande maioria das operações do Programa deverá se encerrar entre junho/2029 a maio/2030, com exceção dos mutuários que eventualmente possuírem resíduo de limite de comprometimento no vencimento, cujo saldo deverá ser quitado em prazo adicional de até 10 anos. Atualmente nenhum mutuário se encontra nessa situação.</w:t>
      </w:r>
    </w:p>
    <w:p w14:paraId="199C27A6"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Novas condições decorrentes da LC n</w:t>
      </w:r>
      <w:r w:rsidRPr="005432E1">
        <w:rPr>
          <w:rFonts w:asciiTheme="minorHAnsi" w:hAnsiTheme="minorHAnsi"/>
          <w:b/>
          <w:bCs/>
          <w:vertAlign w:val="superscript"/>
        </w:rPr>
        <w:t>o</w:t>
      </w:r>
      <w:r w:rsidRPr="005432E1">
        <w:rPr>
          <w:rFonts w:asciiTheme="minorHAnsi" w:hAnsiTheme="minorHAnsi"/>
          <w:b/>
          <w:bCs/>
        </w:rPr>
        <w:t xml:space="preserve"> 148/14 aplicadas aos refinanciamentos ao amparo da MP nº 2.185/2001: </w:t>
      </w:r>
      <w:r w:rsidRPr="005432E1">
        <w:rPr>
          <w:rFonts w:asciiTheme="minorHAnsi" w:hAnsiTheme="minorHAnsi"/>
        </w:rPr>
        <w:t>Com a vigência da referida Lei Complementar, a União ficou autorizada a reprocessar as dívidas refinanciadas pela União a Estados e Municípios pela variação acumulada da taxa SELIC desde a data de contratação até 01/01/2013, com aplicação de desconto sobre o saldo devedor existente naquela data, no montante correspondente à diferença entre a referida taxa e a variação acumulada IGP-DI mais juros anuais de 9%, conforme o caso;  os novos encargos poderão ser utilizados para atualização da dívida remanescente a partir de 01/01/2013, de acordo com a variação acumulada do IPCA + 4,0% a.a. ou da taxa SELIC, o que for menor, também com abatimento da diferença no saldo devedor. A referida LC, como já informado, foi regulamentada pelos Decretos Presidenciais n</w:t>
      </w:r>
      <w:r w:rsidRPr="005432E1">
        <w:rPr>
          <w:rFonts w:asciiTheme="minorHAnsi" w:hAnsiTheme="minorHAnsi"/>
          <w:vertAlign w:val="superscript"/>
        </w:rPr>
        <w:t>os</w:t>
      </w:r>
      <w:r w:rsidRPr="005432E1">
        <w:rPr>
          <w:rFonts w:asciiTheme="minorHAnsi" w:hAnsiTheme="minorHAnsi"/>
        </w:rPr>
        <w:t xml:space="preserve"> 8.616 e 8.665, de 29/12/2015 e 10/02/2016, respectivamente. Até 31/12/2017, 153 Municípios já haviam aderido às condições da LC n</w:t>
      </w:r>
      <w:r w:rsidRPr="005432E1">
        <w:rPr>
          <w:rFonts w:asciiTheme="minorHAnsi" w:hAnsiTheme="minorHAnsi"/>
          <w:vertAlign w:val="superscript"/>
        </w:rPr>
        <w:t>o</w:t>
      </w:r>
      <w:r w:rsidRPr="005432E1">
        <w:rPr>
          <w:rFonts w:asciiTheme="minorHAnsi" w:hAnsiTheme="minorHAnsi"/>
        </w:rPr>
        <w:t xml:space="preserve"> 148/2014, sendo que estes Municípios correspondem a aproximadamente 97,85% do saldo total de mutuários do programa.</w:t>
      </w:r>
    </w:p>
    <w:p w14:paraId="16A9D7F6"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MP nº 2.179/2001:</w:t>
      </w:r>
      <w:r w:rsidRPr="005432E1">
        <w:rPr>
          <w:rFonts w:asciiTheme="minorHAnsi" w:hAnsiTheme="minorHAnsi"/>
        </w:rPr>
        <w:t xml:space="preserve"> Crédito do Banco Central do Brasil adquirido pela União em 29/07/2002, originário de empréstimo concedido pela Autarquia ao Banco do Estado do Rio de Janeiro S.A.– BANERJ, cujo saldo devedor foi assumido pelo Estado do Rio de Janeiro em 16/07/1998. Programa com encerramento previsto para julho/2028. Conforme mencionado anteriormente, o referido crédito também foi incluído no escopo do Regime de Recuperação Fiscal – RRF, do Estado do Rio de Janeiro, ao amparo da LC n</w:t>
      </w:r>
      <w:r w:rsidRPr="005432E1">
        <w:rPr>
          <w:rFonts w:asciiTheme="minorHAnsi" w:hAnsiTheme="minorHAnsi"/>
          <w:vertAlign w:val="superscript"/>
        </w:rPr>
        <w:t>o</w:t>
      </w:r>
      <w:r w:rsidRPr="005432E1">
        <w:rPr>
          <w:rFonts w:asciiTheme="minorHAnsi" w:hAnsiTheme="minorHAnsi"/>
        </w:rPr>
        <w:t xml:space="preserve"> 159/2014.</w:t>
      </w:r>
    </w:p>
    <w:p w14:paraId="0CCEA4E1" w14:textId="77777777" w:rsidR="00652B9C" w:rsidRPr="005432E1" w:rsidRDefault="00A33B3D" w:rsidP="00A33B3D">
      <w:pPr>
        <w:spacing w:before="100" w:beforeAutospacing="1" w:after="100" w:afterAutospacing="1"/>
        <w:ind w:left="720"/>
        <w:jc w:val="both"/>
        <w:rPr>
          <w:rFonts w:asciiTheme="minorHAnsi" w:hAnsiTheme="minorHAnsi"/>
        </w:rPr>
      </w:pPr>
      <w:r w:rsidRPr="005432E1">
        <w:rPr>
          <w:rFonts w:asciiTheme="minorHAnsi" w:hAnsiTheme="minorHAnsi"/>
          <w:b/>
          <w:bCs/>
        </w:rPr>
        <w:t xml:space="preserve">(ii) </w:t>
      </w:r>
      <w:r w:rsidR="00652B9C" w:rsidRPr="005432E1">
        <w:rPr>
          <w:rFonts w:asciiTheme="minorHAnsi" w:hAnsiTheme="minorHAnsi"/>
          <w:b/>
          <w:bCs/>
        </w:rPr>
        <w:t>Renegociação da Dívida Externa do Setor Público</w:t>
      </w:r>
    </w:p>
    <w:p w14:paraId="6E97FB2A"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 xml:space="preserve">DMLP – Dívida de Médio e Longo Prazos: </w:t>
      </w:r>
      <w:r w:rsidRPr="005432E1">
        <w:rPr>
          <w:rFonts w:asciiTheme="minorHAnsi" w:hAnsiTheme="minorHAnsi"/>
        </w:rPr>
        <w:t xml:space="preserve">Acordo que reestruturou a dívida de médio e longo prazos - parcelas de principal vencidas e vincendas e juros devidos e não pagos no período de 01/01/1991 a 15/04/1994 - do setor público brasileiro junto a credores privados estrangeiros, mediante a emissão, em 15/04/1994, de sete tipos de bônus pela União, constituídos de seis de principal </w:t>
      </w:r>
      <w:r w:rsidRPr="005432E1">
        <w:rPr>
          <w:rFonts w:asciiTheme="minorHAnsi" w:hAnsiTheme="minorHAnsi"/>
          <w:i/>
          <w:iCs/>
        </w:rPr>
        <w:t>(Debt Conversion Bond, New Money Bond, Flirb, C-Bond, Discount Bond e Par Bond</w:t>
      </w:r>
      <w:r w:rsidRPr="005432E1">
        <w:rPr>
          <w:rFonts w:asciiTheme="minorHAnsi" w:hAnsiTheme="minorHAnsi"/>
        </w:rPr>
        <w:t>) e um de juros (</w:t>
      </w:r>
      <w:r w:rsidRPr="005432E1">
        <w:rPr>
          <w:rFonts w:asciiTheme="minorHAnsi" w:hAnsiTheme="minorHAnsi"/>
          <w:i/>
          <w:iCs/>
        </w:rPr>
        <w:t>EI Bond</w:t>
      </w:r>
      <w:r w:rsidRPr="005432E1">
        <w:rPr>
          <w:rFonts w:asciiTheme="minorHAnsi" w:hAnsiTheme="minorHAnsi"/>
        </w:rPr>
        <w:t xml:space="preserve">). Com exceção do </w:t>
      </w:r>
      <w:r w:rsidRPr="005432E1">
        <w:rPr>
          <w:rFonts w:asciiTheme="minorHAnsi" w:hAnsiTheme="minorHAnsi"/>
          <w:i/>
          <w:iCs/>
        </w:rPr>
        <w:t>Par</w:t>
      </w:r>
      <w:r w:rsidRPr="005432E1">
        <w:rPr>
          <w:rFonts w:asciiTheme="minorHAnsi" w:hAnsiTheme="minorHAnsi"/>
        </w:rPr>
        <w:t xml:space="preserve"> e do </w:t>
      </w:r>
      <w:r w:rsidRPr="005432E1">
        <w:rPr>
          <w:rFonts w:asciiTheme="minorHAnsi" w:hAnsiTheme="minorHAnsi"/>
          <w:i/>
          <w:iCs/>
        </w:rPr>
        <w:t>Discount Bond,</w:t>
      </w:r>
      <w:r w:rsidRPr="005432E1">
        <w:rPr>
          <w:rFonts w:asciiTheme="minorHAnsi" w:hAnsiTheme="minorHAnsi"/>
        </w:rPr>
        <w:t xml:space="preserve"> que possuem vencimento previsto para abril de 2024, todos os demais bônus já se encontram liquidados.</w:t>
      </w:r>
    </w:p>
    <w:p w14:paraId="578B79A3" w14:textId="77777777" w:rsidR="00652B9C" w:rsidRPr="005432E1" w:rsidRDefault="00A33B3D" w:rsidP="00A33B3D">
      <w:pPr>
        <w:spacing w:before="100" w:beforeAutospacing="1" w:after="100" w:afterAutospacing="1"/>
        <w:ind w:left="720"/>
        <w:jc w:val="both"/>
        <w:rPr>
          <w:rFonts w:asciiTheme="minorHAnsi" w:hAnsiTheme="minorHAnsi"/>
        </w:rPr>
      </w:pPr>
      <w:r w:rsidRPr="005432E1">
        <w:rPr>
          <w:rFonts w:asciiTheme="minorHAnsi" w:hAnsiTheme="minorHAnsi"/>
          <w:b/>
          <w:bCs/>
        </w:rPr>
        <w:t xml:space="preserve">(iii) </w:t>
      </w:r>
      <w:r w:rsidR="00652B9C" w:rsidRPr="005432E1">
        <w:rPr>
          <w:rFonts w:asciiTheme="minorHAnsi" w:hAnsiTheme="minorHAnsi"/>
          <w:b/>
          <w:bCs/>
        </w:rPr>
        <w:t>Retorno de Repasses de Recursos Externos</w:t>
      </w:r>
    </w:p>
    <w:p w14:paraId="1CC633F7"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 xml:space="preserve">Acordo Brasil-França: </w:t>
      </w:r>
      <w:r w:rsidRPr="005432E1">
        <w:rPr>
          <w:rFonts w:asciiTheme="minorHAnsi" w:hAnsiTheme="minorHAnsi"/>
        </w:rPr>
        <w:t>Financiamento a diversas entidades nacionais com recursos externos captados ou garantidos pela União perante a República da França, mediante Protocolos Financeiros, para a importação de equipamentos e serviços. Os Acordos Brasil-França I e Brasil-França II foram liquidados em dezembro/2016, ao passo que o Acordo Brasil-França III encerra-se em dezembro/2021.</w:t>
      </w:r>
    </w:p>
    <w:p w14:paraId="7AC444B9" w14:textId="77777777" w:rsidR="00652B9C" w:rsidRPr="005432E1" w:rsidRDefault="009C14A2" w:rsidP="009C14A2">
      <w:pPr>
        <w:spacing w:before="100" w:beforeAutospacing="1" w:after="100" w:afterAutospacing="1"/>
        <w:ind w:left="720"/>
        <w:jc w:val="both"/>
        <w:rPr>
          <w:rFonts w:asciiTheme="minorHAnsi" w:hAnsiTheme="minorHAnsi"/>
        </w:rPr>
      </w:pPr>
      <w:r w:rsidRPr="005432E1">
        <w:rPr>
          <w:rFonts w:asciiTheme="minorHAnsi" w:hAnsiTheme="minorHAnsi"/>
          <w:b/>
          <w:bCs/>
        </w:rPr>
        <w:t xml:space="preserve">(iv) </w:t>
      </w:r>
      <w:r w:rsidR="00652B9C" w:rsidRPr="005432E1">
        <w:rPr>
          <w:rFonts w:asciiTheme="minorHAnsi" w:hAnsiTheme="minorHAnsi"/>
          <w:b/>
          <w:bCs/>
        </w:rPr>
        <w:t>Saneamento de Instituições Financeiras Federais</w:t>
      </w:r>
    </w:p>
    <w:p w14:paraId="568D5DAC"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 xml:space="preserve">Carteira de Saneamento: </w:t>
      </w:r>
      <w:r w:rsidRPr="005432E1">
        <w:rPr>
          <w:rFonts w:asciiTheme="minorHAnsi" w:hAnsiTheme="minorHAnsi"/>
        </w:rPr>
        <w:t>Créditos adquiridos pela União no âmbito do Programa de Fortalecimento das Instituições Financeiras Federais, conforme disposto na MP nº 2.196, de 2001, originários de contratos de financiamento celebrados</w:t>
      </w:r>
      <w:r w:rsidR="003B0733" w:rsidRPr="005432E1">
        <w:rPr>
          <w:rFonts w:asciiTheme="minorHAnsi" w:hAnsiTheme="minorHAnsi"/>
        </w:rPr>
        <w:t xml:space="preserve"> entre a Caixa</w:t>
      </w:r>
      <w:r w:rsidRPr="005432E1">
        <w:rPr>
          <w:rFonts w:asciiTheme="minorHAnsi" w:hAnsiTheme="minorHAnsi"/>
        </w:rPr>
        <w:t xml:space="preserve"> e Estados, Prefeituras e Companhias Estaduais e Municipais de Saneamento. O programa contém atualmente 89 contratos vigentes, conforme posição de 31/12/2017. O último vencimento de contrato da Carteira de Saneamento está previsto para agosto/2034 (dados extraídos do Sistema de Acompanhamento de Haveres junto a Estados e Municípios - SAHEM).</w:t>
      </w:r>
    </w:p>
    <w:p w14:paraId="084F820E" w14:textId="77777777" w:rsidR="00652B9C" w:rsidRPr="005432E1" w:rsidRDefault="009C14A2" w:rsidP="009C14A2">
      <w:pPr>
        <w:spacing w:before="100" w:beforeAutospacing="1" w:after="100" w:afterAutospacing="1"/>
        <w:ind w:left="720"/>
        <w:jc w:val="both"/>
        <w:rPr>
          <w:rFonts w:asciiTheme="minorHAnsi" w:hAnsiTheme="minorHAnsi"/>
        </w:rPr>
      </w:pPr>
      <w:r w:rsidRPr="005432E1">
        <w:rPr>
          <w:rFonts w:asciiTheme="minorHAnsi" w:hAnsiTheme="minorHAnsi"/>
          <w:b/>
          <w:bCs/>
        </w:rPr>
        <w:t xml:space="preserve">(v) </w:t>
      </w:r>
      <w:r w:rsidR="00652B9C" w:rsidRPr="005432E1">
        <w:rPr>
          <w:rFonts w:asciiTheme="minorHAnsi" w:hAnsiTheme="minorHAnsi"/>
          <w:b/>
          <w:bCs/>
        </w:rPr>
        <w:t>Aquisição de Créditos Relativos a Participações Governamentais</w:t>
      </w:r>
    </w:p>
    <w:p w14:paraId="6D3CFC25"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 xml:space="preserve">Participações Governamentais: </w:t>
      </w:r>
      <w:r w:rsidRPr="005432E1">
        <w:rPr>
          <w:rFonts w:asciiTheme="minorHAnsi" w:hAnsiTheme="minorHAnsi"/>
        </w:rPr>
        <w:t xml:space="preserve">Créditos originários de participações governamentais devidas ao Estado do Rio de Janeiro (originárias da exploração de petróleo e gás natural), e aos Estados do Paraná e do Mato Grosso do Sul (decorrentes da exploração de recursos hídricos para fins de geração de energia elétrica). Os créditos foram adquiridos pela União mediante autorização concedida pelo art. 16 da Medida Provisória nº 2.181, de 2001, alterada pela Lei nº 10.712, de 2003. No caso dos </w:t>
      </w:r>
      <w:r w:rsidRPr="005432E1">
        <w:rPr>
          <w:rFonts w:asciiTheme="minorHAnsi" w:hAnsiTheme="minorHAnsi"/>
          <w:i/>
          <w:iCs/>
        </w:rPr>
        <w:t>royalties</w:t>
      </w:r>
      <w:r w:rsidRPr="005432E1">
        <w:rPr>
          <w:rFonts w:asciiTheme="minorHAnsi" w:hAnsiTheme="minorHAnsi"/>
        </w:rPr>
        <w:t xml:space="preserve"> e participações especiais devidos pelo Estado do Rio de Janeiro, os pagamentos estão previstos até fevereiro/2021. Por sua vez, no caso dos </w:t>
      </w:r>
      <w:r w:rsidRPr="005432E1">
        <w:rPr>
          <w:rFonts w:asciiTheme="minorHAnsi" w:hAnsiTheme="minorHAnsi"/>
          <w:i/>
          <w:iCs/>
        </w:rPr>
        <w:t>royalties</w:t>
      </w:r>
      <w:r w:rsidRPr="005432E1">
        <w:rPr>
          <w:rFonts w:asciiTheme="minorHAnsi" w:hAnsiTheme="minorHAnsi"/>
        </w:rPr>
        <w:t xml:space="preserve"> e compensações financeiras decorrentes de exploração de recursos hídricos, os Estados do Mato Grosso do Sul e do Paraná possuem pagamentos previstos até dezembro/2020.</w:t>
      </w:r>
    </w:p>
    <w:p w14:paraId="57A205F6" w14:textId="77777777" w:rsidR="00652B9C" w:rsidRPr="005432E1" w:rsidRDefault="00676122" w:rsidP="00652B9C">
      <w:pPr>
        <w:spacing w:before="100" w:beforeAutospacing="1" w:after="100" w:afterAutospacing="1"/>
        <w:jc w:val="both"/>
        <w:rPr>
          <w:rFonts w:asciiTheme="minorHAnsi" w:hAnsiTheme="minorHAnsi"/>
        </w:rPr>
      </w:pPr>
      <w:r w:rsidRPr="005432E1">
        <w:rPr>
          <w:rFonts w:asciiTheme="minorHAnsi" w:hAnsiTheme="minorHAnsi"/>
          <w:b/>
        </w:rPr>
        <w:t>a.1.1)</w:t>
      </w:r>
      <w:r w:rsidR="00DB1835" w:rsidRPr="005432E1">
        <w:rPr>
          <w:rFonts w:asciiTheme="minorHAnsi" w:hAnsiTheme="minorHAnsi"/>
          <w:b/>
        </w:rPr>
        <w:t xml:space="preserve"> </w:t>
      </w:r>
      <w:r w:rsidR="00652B9C" w:rsidRPr="005432E1">
        <w:rPr>
          <w:rFonts w:asciiTheme="minorHAnsi" w:hAnsiTheme="minorHAnsi"/>
          <w:b/>
          <w:bCs/>
        </w:rPr>
        <w:t>Fluxo previsto para 2018 e anos posteriores</w:t>
      </w:r>
      <w:r w:rsidR="00652B9C" w:rsidRPr="005432E1">
        <w:rPr>
          <w:rFonts w:asciiTheme="minorHAnsi" w:hAnsiTheme="minorHAnsi"/>
        </w:rPr>
        <w:t> </w:t>
      </w:r>
    </w:p>
    <w:p w14:paraId="7DCB8535" w14:textId="2CE90069" w:rsidR="00652B9C" w:rsidRPr="005432E1" w:rsidRDefault="00DB1835" w:rsidP="00652B9C">
      <w:pPr>
        <w:spacing w:before="100" w:beforeAutospacing="1" w:after="100" w:afterAutospacing="1"/>
        <w:jc w:val="both"/>
        <w:rPr>
          <w:rFonts w:asciiTheme="minorHAnsi" w:hAnsiTheme="minorHAnsi"/>
        </w:rPr>
      </w:pPr>
      <w:r w:rsidRPr="005432E1">
        <w:rPr>
          <w:rFonts w:asciiTheme="minorHAnsi" w:hAnsiTheme="minorHAnsi"/>
        </w:rPr>
        <w:tab/>
        <w:t>A</w:t>
      </w:r>
      <w:r w:rsidR="00652B9C" w:rsidRPr="005432E1">
        <w:rPr>
          <w:rFonts w:asciiTheme="minorHAnsi" w:hAnsiTheme="minorHAnsi"/>
        </w:rPr>
        <w:t xml:space="preserve"> Tabela </w:t>
      </w:r>
      <w:r w:rsidRPr="005432E1">
        <w:rPr>
          <w:rFonts w:asciiTheme="minorHAnsi" w:hAnsiTheme="minorHAnsi"/>
        </w:rPr>
        <w:t>seguinte c</w:t>
      </w:r>
      <w:r w:rsidR="00652B9C" w:rsidRPr="005432E1">
        <w:rPr>
          <w:rFonts w:asciiTheme="minorHAnsi" w:hAnsiTheme="minorHAnsi"/>
        </w:rPr>
        <w:t>ont</w:t>
      </w:r>
      <w:r w:rsidRPr="005432E1">
        <w:rPr>
          <w:rFonts w:asciiTheme="minorHAnsi" w:hAnsiTheme="minorHAnsi"/>
        </w:rPr>
        <w:t>ém</w:t>
      </w:r>
      <w:r w:rsidR="00652B9C" w:rsidRPr="005432E1">
        <w:rPr>
          <w:rFonts w:asciiTheme="minorHAnsi" w:hAnsiTheme="minorHAnsi"/>
        </w:rPr>
        <w:t xml:space="preserve"> a programação financeira de receitas para o exercício de 2018, bem como o total do estoque de haveres/créditos com posição de 31/12/2017.</w:t>
      </w:r>
      <w:r w:rsidR="00BB3990" w:rsidRPr="005432E1">
        <w:rPr>
          <w:rFonts w:asciiTheme="minorHAnsi" w:hAnsiTheme="minorHAnsi"/>
        </w:rPr>
        <w:t xml:space="preserve"> Seguem também as Tabelas </w:t>
      </w:r>
      <w:r w:rsidR="0080282A" w:rsidRPr="005432E1">
        <w:rPr>
          <w:rFonts w:asciiTheme="minorHAnsi" w:hAnsiTheme="minorHAnsi"/>
        </w:rPr>
        <w:t>30 a 35</w:t>
      </w:r>
      <w:r w:rsidR="00652B9C" w:rsidRPr="005432E1">
        <w:rPr>
          <w:rFonts w:asciiTheme="minorHAnsi" w:hAnsiTheme="minorHAnsi"/>
        </w:rPr>
        <w:t>, referentes aos exercícios de 2019 a 2021, contemplando as receitas e despesas previstas para os créditos sob gestão da STN.</w:t>
      </w:r>
    </w:p>
    <w:p w14:paraId="03C2301A" w14:textId="77777777" w:rsidR="00652B9C" w:rsidRPr="005432E1" w:rsidRDefault="00DB1835" w:rsidP="00652B9C">
      <w:pPr>
        <w:spacing w:before="100" w:beforeAutospacing="1" w:after="100" w:afterAutospacing="1"/>
        <w:jc w:val="both"/>
        <w:rPr>
          <w:rFonts w:asciiTheme="minorHAnsi" w:hAnsiTheme="minorHAnsi"/>
        </w:rPr>
      </w:pPr>
      <w:r w:rsidRPr="005432E1">
        <w:rPr>
          <w:rFonts w:asciiTheme="minorHAnsi" w:hAnsiTheme="minorHAnsi"/>
        </w:rPr>
        <w:tab/>
      </w:r>
      <w:r w:rsidR="00652B9C" w:rsidRPr="005432E1">
        <w:rPr>
          <w:rFonts w:asciiTheme="minorHAnsi" w:hAnsiTheme="minorHAnsi"/>
        </w:rPr>
        <w:t>No caso do refinanciamento ao amparo da Lei n</w:t>
      </w:r>
      <w:r w:rsidR="00652B9C" w:rsidRPr="005432E1">
        <w:rPr>
          <w:rFonts w:asciiTheme="minorHAnsi" w:hAnsiTheme="minorHAnsi"/>
          <w:vertAlign w:val="superscript"/>
        </w:rPr>
        <w:t>o</w:t>
      </w:r>
      <w:r w:rsidR="00652B9C" w:rsidRPr="005432E1">
        <w:rPr>
          <w:rFonts w:asciiTheme="minorHAnsi" w:hAnsiTheme="minorHAnsi"/>
        </w:rPr>
        <w:t xml:space="preserve"> 9.496/1997 - Estados, as receitas estimadas já incorporam as condições das Leis Complementares n</w:t>
      </w:r>
      <w:r w:rsidR="00652B9C" w:rsidRPr="005432E1">
        <w:rPr>
          <w:rFonts w:asciiTheme="minorHAnsi" w:hAnsiTheme="minorHAnsi"/>
          <w:vertAlign w:val="superscript"/>
        </w:rPr>
        <w:t>os</w:t>
      </w:r>
      <w:r w:rsidR="00652B9C" w:rsidRPr="005432E1">
        <w:rPr>
          <w:rFonts w:asciiTheme="minorHAnsi" w:hAnsiTheme="minorHAnsi"/>
        </w:rPr>
        <w:t xml:space="preserve"> 148/2014, 156/2016 e nº 159/2017 (esta última concernente ao Regime de Recuperação Fiscal </w:t>
      </w:r>
      <w:r w:rsidRPr="005432E1">
        <w:rPr>
          <w:rFonts w:asciiTheme="minorHAnsi" w:hAnsiTheme="minorHAnsi"/>
        </w:rPr>
        <w:t>–</w:t>
      </w:r>
      <w:r w:rsidR="00652B9C" w:rsidRPr="005432E1">
        <w:rPr>
          <w:rFonts w:asciiTheme="minorHAnsi" w:hAnsiTheme="minorHAnsi"/>
        </w:rPr>
        <w:t xml:space="preserve"> RRF</w:t>
      </w:r>
      <w:r w:rsidRPr="005432E1">
        <w:rPr>
          <w:rFonts w:asciiTheme="minorHAnsi" w:hAnsiTheme="minorHAnsi"/>
        </w:rPr>
        <w:t>)</w:t>
      </w:r>
      <w:r w:rsidR="00652B9C" w:rsidRPr="005432E1">
        <w:rPr>
          <w:rFonts w:asciiTheme="minorHAnsi" w:hAnsiTheme="minorHAnsi"/>
        </w:rPr>
        <w:t>. Finalmente, para o refinanciamento ao amparo da MP nº 2.185/2001 – Municípios, as receitas projetadas já incorporam as condições da LC n</w:t>
      </w:r>
      <w:r w:rsidR="00652B9C" w:rsidRPr="005432E1">
        <w:rPr>
          <w:rFonts w:asciiTheme="minorHAnsi" w:hAnsiTheme="minorHAnsi"/>
          <w:vertAlign w:val="superscript"/>
        </w:rPr>
        <w:t>o</w:t>
      </w:r>
      <w:r w:rsidR="00652B9C" w:rsidRPr="005432E1">
        <w:rPr>
          <w:rFonts w:asciiTheme="minorHAnsi" w:hAnsiTheme="minorHAnsi"/>
        </w:rPr>
        <w:t xml:space="preserve"> 148/2014.</w:t>
      </w:r>
    </w:p>
    <w:p w14:paraId="23D701FE" w14:textId="01C1813C"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2</w:t>
      </w:r>
      <w:r w:rsidR="0080282A" w:rsidRPr="005432E1">
        <w:rPr>
          <w:rFonts w:asciiTheme="minorHAnsi" w:hAnsiTheme="minorHAnsi"/>
          <w:b/>
          <w:bCs/>
        </w:rPr>
        <w:t>9</w:t>
      </w:r>
      <w:r w:rsidRPr="005432E1">
        <w:rPr>
          <w:rFonts w:asciiTheme="minorHAnsi" w:hAnsiTheme="minorHAnsi"/>
          <w:b/>
          <w:bCs/>
        </w:rPr>
        <w:t xml:space="preserve"> – Estoque de créditos em 2017</w:t>
      </w:r>
      <w:r w:rsidR="00676122" w:rsidRPr="005432E1">
        <w:rPr>
          <w:rFonts w:asciiTheme="minorHAnsi" w:hAnsiTheme="minorHAnsi"/>
          <w:b/>
          <w:bCs/>
        </w:rPr>
        <w:t xml:space="preserve"> e fluxo previsto para 2018 (</w:t>
      </w:r>
      <w:r w:rsidRPr="005432E1">
        <w:rPr>
          <w:rFonts w:asciiTheme="minorHAnsi" w:hAnsiTheme="minorHAnsi"/>
          <w:b/>
          <w:bCs/>
        </w:rPr>
        <w:t>R$ milhões)</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5"/>
        <w:gridCol w:w="1821"/>
        <w:gridCol w:w="1336"/>
        <w:gridCol w:w="1276"/>
        <w:gridCol w:w="1908"/>
        <w:gridCol w:w="1417"/>
      </w:tblGrid>
      <w:tr w:rsidR="0026114A" w:rsidRPr="005432E1" w14:paraId="3E2DB563" w14:textId="77777777" w:rsidTr="00652B9C">
        <w:trPr>
          <w:tblCellSpacing w:w="0" w:type="dxa"/>
        </w:trPr>
        <w:tc>
          <w:tcPr>
            <w:tcW w:w="2015" w:type="dxa"/>
            <w:vMerge w:val="restart"/>
            <w:tcBorders>
              <w:top w:val="outset" w:sz="6" w:space="0" w:color="auto"/>
              <w:left w:val="outset" w:sz="6" w:space="0" w:color="auto"/>
              <w:bottom w:val="outset" w:sz="6" w:space="0" w:color="auto"/>
              <w:right w:val="outset" w:sz="6" w:space="0" w:color="auto"/>
            </w:tcBorders>
            <w:noWrap/>
            <w:vAlign w:val="center"/>
            <w:hideMark/>
          </w:tcPr>
          <w:p w14:paraId="0A742639"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PROGRAMAS</w:t>
            </w:r>
          </w:p>
        </w:tc>
        <w:tc>
          <w:tcPr>
            <w:tcW w:w="4433" w:type="dxa"/>
            <w:gridSpan w:val="3"/>
            <w:vMerge w:val="restart"/>
            <w:tcBorders>
              <w:top w:val="outset" w:sz="6" w:space="0" w:color="auto"/>
              <w:left w:val="outset" w:sz="6" w:space="0" w:color="auto"/>
              <w:bottom w:val="outset" w:sz="6" w:space="0" w:color="auto"/>
              <w:right w:val="outset" w:sz="6" w:space="0" w:color="auto"/>
            </w:tcBorders>
            <w:noWrap/>
            <w:vAlign w:val="center"/>
            <w:hideMark/>
          </w:tcPr>
          <w:p w14:paraId="24EB0DFC"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Totais – 2018</w:t>
            </w:r>
          </w:p>
        </w:tc>
        <w:tc>
          <w:tcPr>
            <w:tcW w:w="1908" w:type="dxa"/>
            <w:tcBorders>
              <w:top w:val="outset" w:sz="6" w:space="0" w:color="auto"/>
              <w:left w:val="outset" w:sz="6" w:space="0" w:color="auto"/>
              <w:bottom w:val="outset" w:sz="6" w:space="0" w:color="auto"/>
              <w:right w:val="outset" w:sz="6" w:space="0" w:color="auto"/>
            </w:tcBorders>
            <w:vAlign w:val="center"/>
            <w:hideMark/>
          </w:tcPr>
          <w:p w14:paraId="688435A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Estoque de créditos</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330ABE2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Financeiro (F) ou  Primário (P)</w:t>
            </w:r>
          </w:p>
        </w:tc>
      </w:tr>
      <w:tr w:rsidR="0026114A" w:rsidRPr="005432E1" w14:paraId="0ABE74EA" w14:textId="77777777" w:rsidTr="00652B9C">
        <w:trPr>
          <w:tblCellSpacing w:w="0" w:type="dxa"/>
        </w:trPr>
        <w:tc>
          <w:tcPr>
            <w:tcW w:w="2015" w:type="dxa"/>
            <w:vMerge/>
            <w:tcBorders>
              <w:top w:val="outset" w:sz="6" w:space="0" w:color="auto"/>
              <w:left w:val="outset" w:sz="6" w:space="0" w:color="auto"/>
              <w:bottom w:val="outset" w:sz="6" w:space="0" w:color="auto"/>
              <w:right w:val="outset" w:sz="6" w:space="0" w:color="auto"/>
            </w:tcBorders>
            <w:vAlign w:val="center"/>
            <w:hideMark/>
          </w:tcPr>
          <w:p w14:paraId="7A945AEC" w14:textId="77777777" w:rsidR="00652B9C" w:rsidRPr="005432E1" w:rsidRDefault="00652B9C" w:rsidP="00652B9C">
            <w:pPr>
              <w:jc w:val="center"/>
              <w:rPr>
                <w:rFonts w:asciiTheme="minorHAnsi" w:hAnsiTheme="minorHAnsi"/>
              </w:rPr>
            </w:pPr>
          </w:p>
        </w:tc>
        <w:tc>
          <w:tcPr>
            <w:tcW w:w="4433" w:type="dxa"/>
            <w:gridSpan w:val="3"/>
            <w:vMerge/>
            <w:tcBorders>
              <w:top w:val="outset" w:sz="6" w:space="0" w:color="auto"/>
              <w:left w:val="outset" w:sz="6" w:space="0" w:color="auto"/>
              <w:bottom w:val="outset" w:sz="6" w:space="0" w:color="auto"/>
              <w:right w:val="outset" w:sz="6" w:space="0" w:color="auto"/>
            </w:tcBorders>
            <w:vAlign w:val="center"/>
            <w:hideMark/>
          </w:tcPr>
          <w:p w14:paraId="28710646" w14:textId="77777777" w:rsidR="00652B9C" w:rsidRPr="005432E1" w:rsidRDefault="00652B9C" w:rsidP="00652B9C">
            <w:pPr>
              <w:jc w:val="center"/>
              <w:rPr>
                <w:rFonts w:asciiTheme="minorHAnsi" w:hAnsiTheme="minorHAnsi"/>
              </w:rPr>
            </w:pPr>
          </w:p>
        </w:tc>
        <w:tc>
          <w:tcPr>
            <w:tcW w:w="1908" w:type="dxa"/>
            <w:tcBorders>
              <w:top w:val="outset" w:sz="6" w:space="0" w:color="auto"/>
              <w:left w:val="outset" w:sz="6" w:space="0" w:color="auto"/>
              <w:bottom w:val="outset" w:sz="6" w:space="0" w:color="auto"/>
              <w:right w:val="outset" w:sz="6" w:space="0" w:color="auto"/>
            </w:tcBorders>
            <w:vAlign w:val="center"/>
            <w:hideMark/>
          </w:tcPr>
          <w:p w14:paraId="130A6CB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dez/17</w:t>
            </w: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11F8A429" w14:textId="77777777" w:rsidR="00652B9C" w:rsidRPr="005432E1" w:rsidRDefault="00652B9C" w:rsidP="00652B9C">
            <w:pPr>
              <w:rPr>
                <w:rFonts w:asciiTheme="minorHAnsi" w:hAnsiTheme="minorHAnsi"/>
              </w:rPr>
            </w:pPr>
          </w:p>
        </w:tc>
      </w:tr>
      <w:tr w:rsidR="0026114A" w:rsidRPr="005432E1" w14:paraId="527B636F" w14:textId="77777777" w:rsidTr="00652B9C">
        <w:trPr>
          <w:tblCellSpacing w:w="0" w:type="dxa"/>
        </w:trPr>
        <w:tc>
          <w:tcPr>
            <w:tcW w:w="2015" w:type="dxa"/>
            <w:vMerge/>
            <w:tcBorders>
              <w:top w:val="outset" w:sz="6" w:space="0" w:color="auto"/>
              <w:left w:val="outset" w:sz="6" w:space="0" w:color="auto"/>
              <w:bottom w:val="outset" w:sz="6" w:space="0" w:color="auto"/>
              <w:right w:val="outset" w:sz="6" w:space="0" w:color="auto"/>
            </w:tcBorders>
            <w:vAlign w:val="center"/>
            <w:hideMark/>
          </w:tcPr>
          <w:p w14:paraId="4797FB71" w14:textId="77777777" w:rsidR="00652B9C" w:rsidRPr="005432E1" w:rsidRDefault="00652B9C" w:rsidP="00652B9C">
            <w:pPr>
              <w:jc w:val="center"/>
              <w:rPr>
                <w:rFonts w:asciiTheme="minorHAnsi" w:hAnsiTheme="minorHAnsi"/>
              </w:rPr>
            </w:pP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2C95EE0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Juros</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ED8489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Principal</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1A64E95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Total</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2C57D84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Total</w:t>
            </w: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41115F22" w14:textId="77777777" w:rsidR="00652B9C" w:rsidRPr="005432E1" w:rsidRDefault="00652B9C" w:rsidP="00652B9C">
            <w:pPr>
              <w:rPr>
                <w:rFonts w:asciiTheme="minorHAnsi" w:hAnsiTheme="minorHAnsi"/>
              </w:rPr>
            </w:pPr>
          </w:p>
        </w:tc>
      </w:tr>
      <w:tr w:rsidR="0026114A" w:rsidRPr="005432E1" w14:paraId="2B37D2A7"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62A2691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Ac. Brasil-França</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0BA7B54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0,21</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3BE18D8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3,66</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56FE504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3,88</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75597E8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12,52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558656E"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5883DCBE"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1799122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Carteira de Saneamento</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665A58E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33,98</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3312787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80,20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6A4CE3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114,18</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5B88E5E8"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546,86</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DE8D6C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3401BE4D"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55B8400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DMLP</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187E73E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195,98</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4630AFA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54CF2129"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195,98</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29380207"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5.105,75</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4B2A21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50B797D0"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41EE574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i/>
                <w:iCs/>
              </w:rPr>
              <w:t>Royalties</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6F98222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3A64063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406,26</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A4E6AB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406,26</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1D61551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2.226,54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A0AF07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4AA385E2"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2E47E23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16BD9DF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387,55</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362B62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1.424,82</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7CF19A7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1.812,38</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5BC024A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9.735,32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54A9E3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14616214"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7E53FF0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9.496/97</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776C684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11.700,29</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14E9E5A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5.739,04</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C1D155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17.439,34</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32C9396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510.745,99</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CABC2E9"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6DDB8244"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76FC4F7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MP 2.185</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4880620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1.194,31</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03DF84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1.959,05</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46A325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3.153,37</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591A84E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31.752,97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68A05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5048A224"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19215D0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RJ/BANERJ-contrato 069-cessão de crédito – BACEN</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2FFB5008"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5739FEF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6F8706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63FCEB3E"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16.851,32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D9A2D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F</w:t>
            </w:r>
          </w:p>
        </w:tc>
      </w:tr>
      <w:tr w:rsidR="00652B9C" w:rsidRPr="005432E1" w14:paraId="52945D4F" w14:textId="77777777" w:rsidTr="00652B9C">
        <w:trPr>
          <w:tblCellSpacing w:w="0" w:type="dxa"/>
        </w:trPr>
        <w:tc>
          <w:tcPr>
            <w:tcW w:w="2015" w:type="dxa"/>
            <w:tcBorders>
              <w:top w:val="outset" w:sz="6" w:space="0" w:color="auto"/>
              <w:left w:val="outset" w:sz="6" w:space="0" w:color="auto"/>
              <w:bottom w:val="outset" w:sz="6" w:space="0" w:color="auto"/>
              <w:right w:val="outset" w:sz="6" w:space="0" w:color="auto"/>
            </w:tcBorders>
            <w:vAlign w:val="center"/>
            <w:hideMark/>
          </w:tcPr>
          <w:p w14:paraId="0D81142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821" w:type="dxa"/>
            <w:tcBorders>
              <w:top w:val="outset" w:sz="6" w:space="0" w:color="auto"/>
              <w:left w:val="outset" w:sz="6" w:space="0" w:color="auto"/>
              <w:bottom w:val="outset" w:sz="6" w:space="0" w:color="auto"/>
              <w:right w:val="outset" w:sz="6" w:space="0" w:color="auto"/>
            </w:tcBorders>
            <w:noWrap/>
            <w:vAlign w:val="center"/>
            <w:hideMark/>
          </w:tcPr>
          <w:p w14:paraId="2BEDC95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13.512,33</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5C51236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9.613,04</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FC74337"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23.125,37</w:t>
            </w:r>
          </w:p>
        </w:tc>
        <w:tc>
          <w:tcPr>
            <w:tcW w:w="1908" w:type="dxa"/>
            <w:tcBorders>
              <w:top w:val="outset" w:sz="6" w:space="0" w:color="auto"/>
              <w:left w:val="outset" w:sz="6" w:space="0" w:color="auto"/>
              <w:bottom w:val="outset" w:sz="6" w:space="0" w:color="auto"/>
              <w:right w:val="outset" w:sz="6" w:space="0" w:color="auto"/>
            </w:tcBorders>
            <w:noWrap/>
            <w:vAlign w:val="center"/>
            <w:hideMark/>
          </w:tcPr>
          <w:p w14:paraId="0A6A5BF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576.977,27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D55E08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F</w:t>
            </w:r>
          </w:p>
        </w:tc>
      </w:tr>
    </w:tbl>
    <w:p w14:paraId="55A2ECF9" w14:textId="77777777" w:rsidR="005432E1" w:rsidRDefault="005432E1" w:rsidP="00652B9C">
      <w:pPr>
        <w:spacing w:before="100" w:beforeAutospacing="1" w:after="100" w:afterAutospacing="1"/>
        <w:jc w:val="center"/>
        <w:rPr>
          <w:rFonts w:asciiTheme="minorHAnsi" w:hAnsiTheme="minorHAnsi"/>
          <w:b/>
          <w:bCs/>
        </w:rPr>
      </w:pPr>
    </w:p>
    <w:p w14:paraId="089AB8F0" w14:textId="32B591CD" w:rsidR="005432E1" w:rsidRDefault="005432E1">
      <w:pPr>
        <w:rPr>
          <w:rFonts w:asciiTheme="minorHAnsi" w:hAnsiTheme="minorHAnsi"/>
          <w:b/>
          <w:bCs/>
        </w:rPr>
      </w:pPr>
    </w:p>
    <w:p w14:paraId="20CC829B" w14:textId="6669EC4A"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80282A" w:rsidRPr="005432E1">
        <w:rPr>
          <w:rFonts w:asciiTheme="minorHAnsi" w:hAnsiTheme="minorHAnsi"/>
          <w:b/>
          <w:bCs/>
        </w:rPr>
        <w:t>30</w:t>
      </w:r>
      <w:r w:rsidRPr="005432E1">
        <w:rPr>
          <w:rFonts w:asciiTheme="minorHAnsi" w:hAnsiTheme="minorHAnsi"/>
          <w:b/>
          <w:bCs/>
        </w:rPr>
        <w:t>: Previsão d</w:t>
      </w:r>
      <w:r w:rsidR="00676122" w:rsidRPr="005432E1">
        <w:rPr>
          <w:rFonts w:asciiTheme="minorHAnsi" w:hAnsiTheme="minorHAnsi"/>
          <w:b/>
          <w:bCs/>
        </w:rPr>
        <w:t>e Receitas para 2019 (</w:t>
      </w:r>
      <w:r w:rsidRPr="005432E1">
        <w:rPr>
          <w:rFonts w:asciiTheme="minorHAnsi" w:hAnsiTheme="minorHAnsi"/>
          <w:b/>
          <w:bCs/>
        </w:rPr>
        <w:t>R$ milhões)</w:t>
      </w:r>
    </w:p>
    <w:tbl>
      <w:tblPr>
        <w:tblW w:w="991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7"/>
        <w:gridCol w:w="1687"/>
        <w:gridCol w:w="1134"/>
        <w:gridCol w:w="1276"/>
        <w:gridCol w:w="4961"/>
      </w:tblGrid>
      <w:tr w:rsidR="0026114A" w:rsidRPr="005432E1" w14:paraId="346FDA03" w14:textId="77777777" w:rsidTr="00652B9C">
        <w:trPr>
          <w:tblCellSpacing w:w="0" w:type="dxa"/>
        </w:trPr>
        <w:tc>
          <w:tcPr>
            <w:tcW w:w="857" w:type="dxa"/>
            <w:vMerge w:val="restart"/>
            <w:tcBorders>
              <w:top w:val="outset" w:sz="6" w:space="0" w:color="auto"/>
              <w:left w:val="outset" w:sz="6" w:space="0" w:color="auto"/>
              <w:bottom w:val="outset" w:sz="6" w:space="0" w:color="auto"/>
              <w:right w:val="outset" w:sz="6" w:space="0" w:color="auto"/>
            </w:tcBorders>
            <w:noWrap/>
            <w:vAlign w:val="center"/>
            <w:hideMark/>
          </w:tcPr>
          <w:p w14:paraId="60BB452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FONTE</w:t>
            </w:r>
          </w:p>
        </w:tc>
        <w:tc>
          <w:tcPr>
            <w:tcW w:w="1687" w:type="dxa"/>
            <w:vMerge w:val="restart"/>
            <w:tcBorders>
              <w:top w:val="outset" w:sz="6" w:space="0" w:color="auto"/>
              <w:left w:val="outset" w:sz="6" w:space="0" w:color="auto"/>
              <w:bottom w:val="outset" w:sz="6" w:space="0" w:color="auto"/>
              <w:right w:val="outset" w:sz="6" w:space="0" w:color="auto"/>
            </w:tcBorders>
            <w:noWrap/>
            <w:vAlign w:val="center"/>
            <w:hideMark/>
          </w:tcPr>
          <w:p w14:paraId="0B58E90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PROGRAMA</w:t>
            </w:r>
          </w:p>
        </w:tc>
        <w:tc>
          <w:tcPr>
            <w:tcW w:w="7371" w:type="dxa"/>
            <w:gridSpan w:val="3"/>
            <w:tcBorders>
              <w:top w:val="outset" w:sz="6" w:space="0" w:color="auto"/>
              <w:left w:val="outset" w:sz="6" w:space="0" w:color="auto"/>
              <w:bottom w:val="outset" w:sz="6" w:space="0" w:color="auto"/>
              <w:right w:val="outset" w:sz="6" w:space="0" w:color="auto"/>
            </w:tcBorders>
            <w:noWrap/>
            <w:vAlign w:val="center"/>
            <w:hideMark/>
          </w:tcPr>
          <w:p w14:paraId="6CEF53D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TOTAIS</w:t>
            </w:r>
          </w:p>
        </w:tc>
      </w:tr>
      <w:tr w:rsidR="0026114A" w:rsidRPr="005432E1" w14:paraId="3F14342E" w14:textId="77777777" w:rsidTr="00652B9C">
        <w:trPr>
          <w:tblCellSpacing w:w="0" w:type="dxa"/>
        </w:trPr>
        <w:tc>
          <w:tcPr>
            <w:tcW w:w="857" w:type="dxa"/>
            <w:vMerge/>
            <w:tcBorders>
              <w:top w:val="outset" w:sz="6" w:space="0" w:color="auto"/>
              <w:left w:val="outset" w:sz="6" w:space="0" w:color="auto"/>
              <w:bottom w:val="outset" w:sz="6" w:space="0" w:color="auto"/>
              <w:right w:val="outset" w:sz="6" w:space="0" w:color="auto"/>
            </w:tcBorders>
            <w:vAlign w:val="center"/>
            <w:hideMark/>
          </w:tcPr>
          <w:p w14:paraId="420B7171" w14:textId="77777777" w:rsidR="00652B9C" w:rsidRPr="005432E1" w:rsidRDefault="00652B9C" w:rsidP="00652B9C">
            <w:pPr>
              <w:rPr>
                <w:rFonts w:asciiTheme="minorHAnsi" w:hAnsiTheme="minorHAnsi"/>
              </w:rPr>
            </w:pPr>
          </w:p>
        </w:tc>
        <w:tc>
          <w:tcPr>
            <w:tcW w:w="1687" w:type="dxa"/>
            <w:vMerge/>
            <w:tcBorders>
              <w:top w:val="outset" w:sz="6" w:space="0" w:color="auto"/>
              <w:left w:val="outset" w:sz="6" w:space="0" w:color="auto"/>
              <w:bottom w:val="outset" w:sz="6" w:space="0" w:color="auto"/>
              <w:right w:val="outset" w:sz="6" w:space="0" w:color="auto"/>
            </w:tcBorders>
            <w:vAlign w:val="center"/>
            <w:hideMark/>
          </w:tcPr>
          <w:p w14:paraId="4C0BD969" w14:textId="77777777" w:rsidR="00652B9C" w:rsidRPr="005432E1" w:rsidRDefault="00652B9C" w:rsidP="00652B9C">
            <w:pPr>
              <w:jc w:val="center"/>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DA0776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Juros</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101241C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Principal</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2771429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Total</w:t>
            </w:r>
          </w:p>
        </w:tc>
      </w:tr>
      <w:tr w:rsidR="0026114A" w:rsidRPr="005432E1" w14:paraId="77588861"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0522B1B0"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1F0772C6" w14:textId="77777777" w:rsidR="00652B9C" w:rsidRPr="005432E1" w:rsidRDefault="00652B9C" w:rsidP="00652B9C">
            <w:pPr>
              <w:spacing w:before="100" w:beforeAutospacing="1" w:after="100" w:afterAutospacing="1"/>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BCAD47E" w14:textId="77777777" w:rsidR="00652B9C" w:rsidRPr="005432E1" w:rsidRDefault="00652B9C" w:rsidP="00652B9C">
            <w:pPr>
              <w:spacing w:before="100" w:beforeAutospacing="1" w:after="100" w:afterAutospacing="1"/>
              <w:rPr>
                <w:rFonts w:asciiTheme="minorHAnsi" w:hAnsiTheme="minorHAnsi"/>
              </w:rPr>
            </w:pP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F46D950" w14:textId="77777777" w:rsidR="00652B9C" w:rsidRPr="005432E1" w:rsidRDefault="00652B9C" w:rsidP="00652B9C">
            <w:pPr>
              <w:spacing w:before="100" w:beforeAutospacing="1" w:after="100" w:afterAutospacing="1"/>
              <w:rPr>
                <w:rFonts w:asciiTheme="minorHAnsi" w:hAnsiTheme="minorHAnsi"/>
              </w:rPr>
            </w:pP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4C0BAF7F" w14:textId="77777777" w:rsidR="00652B9C" w:rsidRPr="005432E1" w:rsidRDefault="00652B9C" w:rsidP="00652B9C">
            <w:pPr>
              <w:spacing w:before="100" w:beforeAutospacing="1" w:after="100" w:afterAutospacing="1"/>
              <w:rPr>
                <w:rFonts w:asciiTheme="minorHAnsi" w:hAnsiTheme="minorHAnsi"/>
              </w:rPr>
            </w:pPr>
          </w:p>
        </w:tc>
      </w:tr>
      <w:tr w:rsidR="0026114A" w:rsidRPr="005432E1" w14:paraId="3D02D409"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1A74EB0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159</w:t>
            </w: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126818EC" w14:textId="77777777" w:rsidR="00652B9C" w:rsidRPr="005432E1" w:rsidRDefault="00652B9C" w:rsidP="00652B9C">
            <w:pPr>
              <w:spacing w:before="100" w:beforeAutospacing="1" w:after="100" w:afterAutospacing="1"/>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E90D8D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344,50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55DCB34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1.450,89</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0ED5D96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1.795,40</w:t>
            </w:r>
          </w:p>
        </w:tc>
      </w:tr>
      <w:tr w:rsidR="0026114A" w:rsidRPr="005432E1" w14:paraId="0C8F7347"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308D21E8"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315A837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AC. BRASIL-FRANÇA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8716ECC"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0,14</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32B485C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3,74</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527C7B3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3,89</w:t>
            </w:r>
          </w:p>
        </w:tc>
      </w:tr>
      <w:tr w:rsidR="0026114A" w:rsidRPr="005432E1" w14:paraId="3C0030D5"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76462828"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7C7F7DA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CARTEIRA DE SANEAMENTO - MP 2196</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204DBC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F6FD587"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42,24</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105F886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42,25</w:t>
            </w:r>
          </w:p>
        </w:tc>
      </w:tr>
      <w:tr w:rsidR="0026114A" w:rsidRPr="005432E1" w14:paraId="3991BF3B"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6E5E204F"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2C0A7B1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MATO GROSSO DO SUL - ROYALTIES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921466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7C977CF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5AA2FB5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r>
      <w:tr w:rsidR="0026114A" w:rsidRPr="005432E1" w14:paraId="24AC2D57"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276206DD"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76AE0A3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PARANÁ - ROYALTIES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DCC1B69"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165,59</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A443CD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251,62</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56DE2E89"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417,22</w:t>
            </w:r>
          </w:p>
        </w:tc>
      </w:tr>
      <w:tr w:rsidR="0026114A" w:rsidRPr="005432E1" w14:paraId="18AA2A7B"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7C5427D6"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438936A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RIO DE JANEIRO - ROYALTIES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2026C87"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320A31F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4C2A953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r>
      <w:tr w:rsidR="0026114A" w:rsidRPr="005432E1" w14:paraId="635C079F"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532C7491"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6B80CE3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RECEITAS DA UNIÃO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7750C1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178,77</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705ED4CE"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1.153,28</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0116D0FC"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1.332,05</w:t>
            </w:r>
          </w:p>
        </w:tc>
      </w:tr>
      <w:tr w:rsidR="0026114A" w:rsidRPr="005432E1" w14:paraId="62695086"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5C9D41D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171</w:t>
            </w: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17F2D92D" w14:textId="77777777" w:rsidR="00652B9C" w:rsidRPr="005432E1" w:rsidRDefault="00652B9C" w:rsidP="00652B9C">
            <w:pPr>
              <w:spacing w:before="100" w:beforeAutospacing="1" w:after="100" w:afterAutospacing="1"/>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A825C8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562578D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383,08</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7698E3D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383,08</w:t>
            </w:r>
          </w:p>
        </w:tc>
      </w:tr>
      <w:tr w:rsidR="0026114A" w:rsidRPr="005432E1" w14:paraId="147BF9CB"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7D42FF1D"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0E4204F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DMLP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5C4E39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3D5B5D9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383,08</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75212B0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383,08</w:t>
            </w:r>
          </w:p>
        </w:tc>
      </w:tr>
      <w:tr w:rsidR="0026114A" w:rsidRPr="005432E1" w14:paraId="0EDBEF79"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732AA33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173</w:t>
            </w: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45C40684" w14:textId="77777777" w:rsidR="00652B9C" w:rsidRPr="005432E1" w:rsidRDefault="00652B9C" w:rsidP="00652B9C">
            <w:pPr>
              <w:spacing w:before="100" w:beforeAutospacing="1" w:after="100" w:afterAutospacing="1"/>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C3ABCEA"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13.586,08</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46E110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8.013,78</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4D8F55D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21.599,86</w:t>
            </w:r>
          </w:p>
        </w:tc>
      </w:tr>
      <w:tr w:rsidR="0026114A" w:rsidRPr="005432E1" w14:paraId="3ED20AFE"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267E9F71"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62B78B8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9.496/97</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6701C2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12.225,42</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05F4A57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5.890,80</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157B860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18.116,22</w:t>
            </w:r>
          </w:p>
        </w:tc>
      </w:tr>
      <w:tr w:rsidR="0026114A" w:rsidRPr="005432E1" w14:paraId="5B145A52"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1AFC988E"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677530B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MP 2.185</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5DBA27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1.160,48</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5F5A1D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2.122,99</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5B4E04A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3.283,46</w:t>
            </w:r>
          </w:p>
        </w:tc>
      </w:tr>
      <w:tr w:rsidR="0026114A" w:rsidRPr="005432E1" w14:paraId="0D75BC37"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36D9E0B8"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5F8EC00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RJ/BANERJ-CT.069-CESSÃO DE CRÉDITO – BACEN</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2695D1B"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1F258DC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7EBC00C0"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r>
      <w:tr w:rsidR="0026114A" w:rsidRPr="005432E1" w14:paraId="3CD00BA4" w14:textId="77777777" w:rsidTr="00652B9C">
        <w:trPr>
          <w:tblCellSpacing w:w="0" w:type="dxa"/>
        </w:trPr>
        <w:tc>
          <w:tcPr>
            <w:tcW w:w="857" w:type="dxa"/>
            <w:tcBorders>
              <w:top w:val="outset" w:sz="6" w:space="0" w:color="auto"/>
              <w:left w:val="outset" w:sz="6" w:space="0" w:color="auto"/>
              <w:bottom w:val="outset" w:sz="6" w:space="0" w:color="auto"/>
              <w:right w:val="outset" w:sz="6" w:space="0" w:color="auto"/>
            </w:tcBorders>
            <w:noWrap/>
            <w:vAlign w:val="center"/>
            <w:hideMark/>
          </w:tcPr>
          <w:p w14:paraId="78C24432" w14:textId="77777777" w:rsidR="00652B9C" w:rsidRPr="005432E1" w:rsidRDefault="00652B9C" w:rsidP="00652B9C">
            <w:pPr>
              <w:spacing w:before="100" w:beforeAutospacing="1" w:after="100" w:afterAutospacing="1"/>
              <w:rPr>
                <w:rFonts w:asciiTheme="minorHAnsi" w:hAnsiTheme="minorHAnsi"/>
              </w:rPr>
            </w:pPr>
          </w:p>
        </w:tc>
        <w:tc>
          <w:tcPr>
            <w:tcW w:w="1687" w:type="dxa"/>
            <w:tcBorders>
              <w:top w:val="outset" w:sz="6" w:space="0" w:color="auto"/>
              <w:left w:val="outset" w:sz="6" w:space="0" w:color="auto"/>
              <w:bottom w:val="outset" w:sz="6" w:space="0" w:color="auto"/>
              <w:right w:val="outset" w:sz="6" w:space="0" w:color="auto"/>
            </w:tcBorders>
            <w:noWrap/>
            <w:vAlign w:val="center"/>
            <w:hideMark/>
          </w:tcPr>
          <w:p w14:paraId="4FBF378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DEMAIS CREDORES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5C268E5"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200,18</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3E3F092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0,00</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134E459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rPr>
              <w:t>200,18</w:t>
            </w:r>
          </w:p>
        </w:tc>
      </w:tr>
      <w:tr w:rsidR="0026114A" w:rsidRPr="005432E1" w14:paraId="235359B0" w14:textId="77777777" w:rsidTr="00652B9C">
        <w:trPr>
          <w:tblCellSpacing w:w="0" w:type="dxa"/>
        </w:trPr>
        <w:tc>
          <w:tcPr>
            <w:tcW w:w="2544" w:type="dxa"/>
            <w:gridSpan w:val="2"/>
            <w:tcBorders>
              <w:top w:val="outset" w:sz="6" w:space="0" w:color="auto"/>
              <w:left w:val="outset" w:sz="6" w:space="0" w:color="auto"/>
              <w:bottom w:val="outset" w:sz="6" w:space="0" w:color="auto"/>
              <w:right w:val="outset" w:sz="6" w:space="0" w:color="auto"/>
            </w:tcBorders>
            <w:noWrap/>
            <w:vAlign w:val="center"/>
            <w:hideMark/>
          </w:tcPr>
          <w:p w14:paraId="145B7A5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471BE7E"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13.930,58</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AA59B8C"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9.847,76</w:t>
            </w:r>
          </w:p>
        </w:tc>
        <w:tc>
          <w:tcPr>
            <w:tcW w:w="4961" w:type="dxa"/>
            <w:tcBorders>
              <w:top w:val="outset" w:sz="6" w:space="0" w:color="auto"/>
              <w:left w:val="outset" w:sz="6" w:space="0" w:color="auto"/>
              <w:bottom w:val="outset" w:sz="6" w:space="0" w:color="auto"/>
              <w:right w:val="outset" w:sz="6" w:space="0" w:color="auto"/>
            </w:tcBorders>
            <w:noWrap/>
            <w:vAlign w:val="center"/>
            <w:hideMark/>
          </w:tcPr>
          <w:p w14:paraId="6E4D3767"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23.778,35</w:t>
            </w:r>
          </w:p>
        </w:tc>
      </w:tr>
    </w:tbl>
    <w:p w14:paraId="4FA484BC" w14:textId="77777777" w:rsidR="00652B9C" w:rsidRPr="005432E1" w:rsidRDefault="00676122" w:rsidP="00AB4859">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7A353443" w14:textId="77777777" w:rsidR="005432E1" w:rsidRDefault="005432E1">
      <w:pPr>
        <w:rPr>
          <w:rFonts w:asciiTheme="minorHAnsi" w:hAnsiTheme="minorHAnsi"/>
          <w:b/>
          <w:bCs/>
        </w:rPr>
      </w:pPr>
      <w:r>
        <w:rPr>
          <w:rFonts w:asciiTheme="minorHAnsi" w:hAnsiTheme="minorHAnsi"/>
          <w:b/>
          <w:bCs/>
        </w:rPr>
        <w:br w:type="page"/>
      </w:r>
    </w:p>
    <w:p w14:paraId="75850B4B" w14:textId="7AA72B4D"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80282A" w:rsidRPr="005432E1">
        <w:rPr>
          <w:rFonts w:asciiTheme="minorHAnsi" w:hAnsiTheme="minorHAnsi"/>
          <w:b/>
          <w:bCs/>
        </w:rPr>
        <w:t>1</w:t>
      </w:r>
      <w:r w:rsidRPr="005432E1">
        <w:rPr>
          <w:rFonts w:asciiTheme="minorHAnsi" w:hAnsiTheme="minorHAnsi"/>
          <w:b/>
          <w:bCs/>
        </w:rPr>
        <w:t>: Previsão de Despesas para 2019 (R$ milhões)</w:t>
      </w:r>
    </w:p>
    <w:tbl>
      <w:tblPr>
        <w:tblW w:w="98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4014"/>
        <w:gridCol w:w="1571"/>
        <w:gridCol w:w="1366"/>
        <w:gridCol w:w="2341"/>
      </w:tblGrid>
      <w:tr w:rsidR="0026114A" w:rsidRPr="005432E1" w14:paraId="0C8FABAB" w14:textId="77777777" w:rsidTr="0096325A">
        <w:trPr>
          <w:gridAfter w:val="1"/>
          <w:wAfter w:w="2311" w:type="dxa"/>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0C0F24C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FONTE</w:t>
            </w: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3C028264" w14:textId="77777777" w:rsidR="00652B9C" w:rsidRPr="005432E1" w:rsidRDefault="00652B9C" w:rsidP="00652B9C">
            <w:pPr>
              <w:spacing w:before="100" w:beforeAutospacing="1" w:after="100" w:afterAutospacing="1"/>
              <w:rPr>
                <w:rFonts w:asciiTheme="minorHAnsi" w:hAnsiTheme="minorHAnsi"/>
              </w:rPr>
            </w:pPr>
          </w:p>
        </w:tc>
        <w:tc>
          <w:tcPr>
            <w:tcW w:w="2877" w:type="dxa"/>
            <w:gridSpan w:val="2"/>
            <w:tcBorders>
              <w:top w:val="outset" w:sz="6" w:space="0" w:color="auto"/>
              <w:left w:val="outset" w:sz="6" w:space="0" w:color="auto"/>
              <w:bottom w:val="outset" w:sz="6" w:space="0" w:color="auto"/>
              <w:right w:val="outset" w:sz="6" w:space="0" w:color="auto"/>
            </w:tcBorders>
            <w:noWrap/>
            <w:vAlign w:val="center"/>
            <w:hideMark/>
          </w:tcPr>
          <w:p w14:paraId="475114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r>
      <w:tr w:rsidR="0026114A" w:rsidRPr="005432E1" w14:paraId="7FFCF099" w14:textId="77777777" w:rsidTr="009632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9652E" w14:textId="77777777" w:rsidR="00652B9C" w:rsidRPr="005432E1" w:rsidRDefault="00652B9C" w:rsidP="00652B9C">
            <w:pPr>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296BA068" w14:textId="77777777" w:rsidR="00652B9C" w:rsidRPr="005432E1" w:rsidRDefault="00652B9C" w:rsidP="00652B9C">
            <w:pPr>
              <w:spacing w:before="100" w:beforeAutospacing="1" w:after="100" w:afterAutospacing="1"/>
              <w:rPr>
                <w:rFonts w:asciiTheme="minorHAnsi" w:hAnsiTheme="minorHAnsi"/>
              </w:rPr>
            </w:pP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20F571A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Juros</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315CC2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Principal</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76463F7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779AB5B3"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5A71BFD" w14:textId="77777777" w:rsidR="00652B9C" w:rsidRPr="005432E1" w:rsidRDefault="00652B9C" w:rsidP="00652B9C">
            <w:pPr>
              <w:spacing w:before="100" w:beforeAutospacing="1" w:after="100" w:afterAutospacing="1"/>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16E97CDF" w14:textId="77777777" w:rsidR="00652B9C" w:rsidRPr="005432E1" w:rsidRDefault="00652B9C" w:rsidP="00652B9C">
            <w:pPr>
              <w:spacing w:before="100" w:beforeAutospacing="1" w:after="100" w:afterAutospacing="1"/>
              <w:rPr>
                <w:rFonts w:asciiTheme="minorHAnsi" w:hAnsiTheme="minorHAnsi"/>
              </w:rPr>
            </w:pP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16684730" w14:textId="77777777" w:rsidR="00652B9C" w:rsidRPr="005432E1" w:rsidRDefault="00652B9C" w:rsidP="00652B9C">
            <w:pPr>
              <w:spacing w:before="100" w:beforeAutospacing="1" w:after="100" w:afterAutospacing="1"/>
              <w:rPr>
                <w:rFonts w:asciiTheme="minorHAnsi" w:hAnsiTheme="minorHAnsi"/>
              </w:rPr>
            </w:pP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397FBD8D" w14:textId="77777777" w:rsidR="00652B9C" w:rsidRPr="005432E1" w:rsidRDefault="00652B9C" w:rsidP="00652B9C">
            <w:pPr>
              <w:spacing w:before="100" w:beforeAutospacing="1" w:after="100" w:afterAutospacing="1"/>
              <w:rPr>
                <w:rFonts w:asciiTheme="minorHAnsi" w:hAnsiTheme="minorHAnsi"/>
              </w:rPr>
            </w:pP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74979E24" w14:textId="77777777" w:rsidR="00652B9C" w:rsidRPr="005432E1" w:rsidRDefault="00652B9C" w:rsidP="00652B9C">
            <w:pPr>
              <w:spacing w:before="100" w:beforeAutospacing="1" w:after="100" w:afterAutospacing="1"/>
              <w:rPr>
                <w:rFonts w:asciiTheme="minorHAnsi" w:hAnsiTheme="minorHAnsi"/>
              </w:rPr>
            </w:pPr>
          </w:p>
        </w:tc>
      </w:tr>
      <w:tr w:rsidR="0026114A" w:rsidRPr="005432E1" w14:paraId="73325011"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539802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100</w:t>
            </w: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09F60FD8" w14:textId="77777777" w:rsidR="00652B9C" w:rsidRPr="005432E1" w:rsidRDefault="00652B9C" w:rsidP="00652B9C">
            <w:pPr>
              <w:spacing w:before="100" w:beforeAutospacing="1" w:after="100" w:afterAutospacing="1"/>
              <w:rPr>
                <w:rFonts w:asciiTheme="minorHAnsi" w:hAnsiTheme="minorHAnsi"/>
              </w:rPr>
            </w:pP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3FCA835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0,00</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571EAC4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0,36</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4EC4E92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0,36</w:t>
            </w:r>
          </w:p>
        </w:tc>
      </w:tr>
      <w:tr w:rsidR="0026114A" w:rsidRPr="005432E1" w14:paraId="005D27CD"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368B84" w14:textId="77777777" w:rsidR="00652B9C" w:rsidRPr="005432E1" w:rsidRDefault="00652B9C" w:rsidP="00652B9C">
            <w:pPr>
              <w:spacing w:before="100" w:beforeAutospacing="1" w:after="100" w:afterAutospacing="1"/>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0393442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PNAFE</w:t>
            </w: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43AAA07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3DA478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67F6C12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r>
      <w:tr w:rsidR="0026114A" w:rsidRPr="005432E1" w14:paraId="54962152"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0CC9827" w14:textId="77777777" w:rsidR="00652B9C" w:rsidRPr="005432E1" w:rsidRDefault="00652B9C" w:rsidP="00652B9C">
            <w:pPr>
              <w:spacing w:before="100" w:beforeAutospacing="1" w:after="100" w:afterAutospacing="1"/>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13F5B7E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CARTEIRA DE SANEAMENTO - MP 2196</w:t>
            </w: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549C254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054F38C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0,36</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4B42968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0,36</w:t>
            </w:r>
          </w:p>
        </w:tc>
      </w:tr>
      <w:tr w:rsidR="0026114A" w:rsidRPr="005432E1" w14:paraId="5646E5F0"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E8923ED" w14:textId="77777777" w:rsidR="00652B9C" w:rsidRPr="005432E1" w:rsidRDefault="00652B9C" w:rsidP="00652B9C">
            <w:pPr>
              <w:spacing w:before="100" w:beforeAutospacing="1" w:after="100" w:afterAutospacing="1"/>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0E340C79" w14:textId="77777777" w:rsidR="00652B9C" w:rsidRPr="005432E1" w:rsidRDefault="00652B9C" w:rsidP="00652B9C">
            <w:pPr>
              <w:spacing w:before="100" w:beforeAutospacing="1" w:after="100" w:afterAutospacing="1"/>
              <w:rPr>
                <w:rFonts w:asciiTheme="minorHAnsi" w:hAnsiTheme="minorHAnsi"/>
              </w:rPr>
            </w:pP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7DCF3B78" w14:textId="77777777" w:rsidR="00652B9C" w:rsidRPr="005432E1" w:rsidRDefault="00652B9C" w:rsidP="00652B9C">
            <w:pPr>
              <w:spacing w:before="100" w:beforeAutospacing="1" w:after="100" w:afterAutospacing="1"/>
              <w:rPr>
                <w:rFonts w:asciiTheme="minorHAnsi" w:hAnsiTheme="minorHAnsi"/>
              </w:rPr>
            </w:pP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12296FAB" w14:textId="77777777" w:rsidR="00652B9C" w:rsidRPr="005432E1" w:rsidRDefault="00652B9C" w:rsidP="00652B9C">
            <w:pPr>
              <w:spacing w:before="100" w:beforeAutospacing="1" w:after="100" w:afterAutospacing="1"/>
              <w:rPr>
                <w:rFonts w:asciiTheme="minorHAnsi" w:hAnsiTheme="minorHAnsi"/>
              </w:rPr>
            </w:pP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5AADBD60" w14:textId="77777777" w:rsidR="00652B9C" w:rsidRPr="005432E1" w:rsidRDefault="00652B9C" w:rsidP="00652B9C">
            <w:pPr>
              <w:spacing w:before="100" w:beforeAutospacing="1" w:after="100" w:afterAutospacing="1"/>
              <w:rPr>
                <w:rFonts w:asciiTheme="minorHAnsi" w:hAnsiTheme="minorHAnsi"/>
              </w:rPr>
            </w:pPr>
          </w:p>
        </w:tc>
      </w:tr>
      <w:tr w:rsidR="0026114A" w:rsidRPr="005432E1" w14:paraId="50B56794"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8F00EC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173</w:t>
            </w: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2C73423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w:t>
            </w: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5CC0A0C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200,18</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64E5003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0,00</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4045CC2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200,18</w:t>
            </w:r>
          </w:p>
        </w:tc>
      </w:tr>
      <w:tr w:rsidR="0026114A" w:rsidRPr="005432E1" w14:paraId="2831B34D" w14:textId="77777777" w:rsidTr="0096325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A538530" w14:textId="77777777" w:rsidR="00652B9C" w:rsidRPr="005432E1" w:rsidRDefault="00652B9C" w:rsidP="00652B9C">
            <w:pPr>
              <w:spacing w:before="100" w:beforeAutospacing="1" w:after="100" w:afterAutospacing="1"/>
              <w:rPr>
                <w:rFonts w:asciiTheme="minorHAnsi" w:hAnsiTheme="minorHAnsi"/>
              </w:rPr>
            </w:pPr>
          </w:p>
        </w:tc>
        <w:tc>
          <w:tcPr>
            <w:tcW w:w="3848" w:type="dxa"/>
            <w:tcBorders>
              <w:top w:val="outset" w:sz="6" w:space="0" w:color="auto"/>
              <w:left w:val="outset" w:sz="6" w:space="0" w:color="auto"/>
              <w:bottom w:val="outset" w:sz="6" w:space="0" w:color="auto"/>
              <w:right w:val="outset" w:sz="6" w:space="0" w:color="auto"/>
            </w:tcBorders>
            <w:noWrap/>
            <w:vAlign w:val="center"/>
            <w:hideMark/>
          </w:tcPr>
          <w:p w14:paraId="512955E8" w14:textId="77777777" w:rsidR="00652B9C" w:rsidRPr="005432E1" w:rsidRDefault="00652B9C" w:rsidP="00652B9C">
            <w:pPr>
              <w:spacing w:before="100" w:beforeAutospacing="1" w:after="100" w:afterAutospacing="1"/>
              <w:rPr>
                <w:rFonts w:asciiTheme="minorHAnsi" w:hAnsiTheme="minorHAnsi"/>
              </w:rPr>
            </w:pP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39D18C75" w14:textId="77777777" w:rsidR="00652B9C" w:rsidRPr="005432E1" w:rsidRDefault="00652B9C" w:rsidP="00652B9C">
            <w:pPr>
              <w:spacing w:before="100" w:beforeAutospacing="1" w:after="100" w:afterAutospacing="1"/>
              <w:rPr>
                <w:rFonts w:asciiTheme="minorHAnsi" w:hAnsiTheme="minorHAnsi"/>
              </w:rPr>
            </w:pP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370642EA" w14:textId="77777777" w:rsidR="00652B9C" w:rsidRPr="005432E1" w:rsidRDefault="00652B9C" w:rsidP="00652B9C">
            <w:pPr>
              <w:spacing w:before="100" w:beforeAutospacing="1" w:after="100" w:afterAutospacing="1"/>
              <w:rPr>
                <w:rFonts w:asciiTheme="minorHAnsi" w:hAnsiTheme="minorHAnsi"/>
              </w:rPr>
            </w:pP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0641DFC1" w14:textId="77777777" w:rsidR="00652B9C" w:rsidRPr="005432E1" w:rsidRDefault="00652B9C" w:rsidP="00652B9C">
            <w:pPr>
              <w:spacing w:before="100" w:beforeAutospacing="1" w:after="100" w:afterAutospacing="1"/>
              <w:rPr>
                <w:rFonts w:asciiTheme="minorHAnsi" w:hAnsiTheme="minorHAnsi"/>
              </w:rPr>
            </w:pPr>
          </w:p>
        </w:tc>
      </w:tr>
      <w:tr w:rsidR="0026114A" w:rsidRPr="005432E1" w14:paraId="716CA6EE" w14:textId="77777777" w:rsidTr="0096325A">
        <w:trPr>
          <w:tblCellSpacing w:w="0" w:type="dxa"/>
        </w:trPr>
        <w:tc>
          <w:tcPr>
            <w:tcW w:w="4705" w:type="dxa"/>
            <w:gridSpan w:val="2"/>
            <w:tcBorders>
              <w:top w:val="outset" w:sz="6" w:space="0" w:color="auto"/>
              <w:left w:val="outset" w:sz="6" w:space="0" w:color="auto"/>
              <w:bottom w:val="outset" w:sz="6" w:space="0" w:color="auto"/>
              <w:right w:val="outset" w:sz="6" w:space="0" w:color="auto"/>
            </w:tcBorders>
            <w:noWrap/>
            <w:vAlign w:val="center"/>
            <w:hideMark/>
          </w:tcPr>
          <w:p w14:paraId="15B84F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541" w:type="dxa"/>
            <w:tcBorders>
              <w:top w:val="outset" w:sz="6" w:space="0" w:color="auto"/>
              <w:left w:val="outset" w:sz="6" w:space="0" w:color="auto"/>
              <w:bottom w:val="outset" w:sz="6" w:space="0" w:color="auto"/>
              <w:right w:val="outset" w:sz="6" w:space="0" w:color="auto"/>
            </w:tcBorders>
            <w:noWrap/>
            <w:vAlign w:val="center"/>
            <w:hideMark/>
          </w:tcPr>
          <w:p w14:paraId="5AD5EE0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200,18</w:t>
            </w:r>
          </w:p>
        </w:tc>
        <w:tc>
          <w:tcPr>
            <w:tcW w:w="1336" w:type="dxa"/>
            <w:tcBorders>
              <w:top w:val="outset" w:sz="6" w:space="0" w:color="auto"/>
              <w:left w:val="outset" w:sz="6" w:space="0" w:color="auto"/>
              <w:bottom w:val="outset" w:sz="6" w:space="0" w:color="auto"/>
              <w:right w:val="outset" w:sz="6" w:space="0" w:color="auto"/>
            </w:tcBorders>
            <w:noWrap/>
            <w:vAlign w:val="center"/>
            <w:hideMark/>
          </w:tcPr>
          <w:p w14:paraId="5C1A3DC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0,36</w:t>
            </w:r>
          </w:p>
        </w:tc>
        <w:tc>
          <w:tcPr>
            <w:tcW w:w="2311" w:type="dxa"/>
            <w:tcBorders>
              <w:top w:val="outset" w:sz="6" w:space="0" w:color="auto"/>
              <w:left w:val="outset" w:sz="6" w:space="0" w:color="auto"/>
              <w:bottom w:val="outset" w:sz="6" w:space="0" w:color="auto"/>
              <w:right w:val="outset" w:sz="6" w:space="0" w:color="auto"/>
            </w:tcBorders>
            <w:noWrap/>
            <w:vAlign w:val="center"/>
            <w:hideMark/>
          </w:tcPr>
          <w:p w14:paraId="75C0684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200,55</w:t>
            </w:r>
          </w:p>
        </w:tc>
      </w:tr>
    </w:tbl>
    <w:p w14:paraId="704CFB82" w14:textId="77777777" w:rsidR="0096325A" w:rsidRPr="005432E1" w:rsidRDefault="0096325A" w:rsidP="00AB4859">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54599E97" w14:textId="7943586E"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80282A" w:rsidRPr="005432E1">
        <w:rPr>
          <w:rFonts w:asciiTheme="minorHAnsi" w:hAnsiTheme="minorHAnsi"/>
          <w:b/>
          <w:bCs/>
        </w:rPr>
        <w:t>2</w:t>
      </w:r>
      <w:r w:rsidRPr="005432E1">
        <w:rPr>
          <w:rFonts w:asciiTheme="minorHAnsi" w:hAnsiTheme="minorHAnsi"/>
          <w:b/>
          <w:bCs/>
        </w:rPr>
        <w:t>: Previsão d</w:t>
      </w:r>
      <w:r w:rsidR="0096325A" w:rsidRPr="005432E1">
        <w:rPr>
          <w:rFonts w:asciiTheme="minorHAnsi" w:hAnsiTheme="minorHAnsi"/>
          <w:b/>
          <w:bCs/>
        </w:rPr>
        <w:t>e Receitas para 2020 (</w:t>
      </w:r>
      <w:r w:rsidRPr="005432E1">
        <w:rPr>
          <w:rFonts w:asciiTheme="minorHAnsi" w:hAnsiTheme="minorHAnsi"/>
          <w:b/>
          <w:bCs/>
        </w:rPr>
        <w:t>R$ milhões)</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5115"/>
        <w:gridCol w:w="1179"/>
        <w:gridCol w:w="1179"/>
        <w:gridCol w:w="1572"/>
      </w:tblGrid>
      <w:tr w:rsidR="0026114A" w:rsidRPr="005432E1" w14:paraId="51E21868" w14:textId="77777777" w:rsidTr="0096325A">
        <w:trPr>
          <w:tblCellSpacing w:w="0" w:type="dxa"/>
        </w:trPr>
        <w:tc>
          <w:tcPr>
            <w:tcW w:w="1020" w:type="dxa"/>
            <w:vMerge w:val="restart"/>
            <w:tcBorders>
              <w:top w:val="outset" w:sz="6" w:space="0" w:color="auto"/>
              <w:left w:val="outset" w:sz="6" w:space="0" w:color="auto"/>
              <w:bottom w:val="outset" w:sz="6" w:space="0" w:color="auto"/>
              <w:right w:val="outset" w:sz="6" w:space="0" w:color="auto"/>
            </w:tcBorders>
            <w:noWrap/>
            <w:vAlign w:val="center"/>
            <w:hideMark/>
          </w:tcPr>
          <w:p w14:paraId="0D25E42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FONTE</w:t>
            </w:r>
          </w:p>
        </w:tc>
        <w:tc>
          <w:tcPr>
            <w:tcW w:w="5085" w:type="dxa"/>
            <w:vMerge w:val="restart"/>
            <w:tcBorders>
              <w:top w:val="outset" w:sz="6" w:space="0" w:color="auto"/>
              <w:left w:val="outset" w:sz="6" w:space="0" w:color="auto"/>
              <w:bottom w:val="outset" w:sz="6" w:space="0" w:color="auto"/>
              <w:right w:val="outset" w:sz="6" w:space="0" w:color="auto"/>
            </w:tcBorders>
            <w:noWrap/>
            <w:vAlign w:val="center"/>
            <w:hideMark/>
          </w:tcPr>
          <w:p w14:paraId="01AE186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PROGRAMA</w:t>
            </w:r>
          </w:p>
        </w:tc>
        <w:tc>
          <w:tcPr>
            <w:tcW w:w="3900" w:type="dxa"/>
            <w:gridSpan w:val="3"/>
            <w:tcBorders>
              <w:top w:val="outset" w:sz="6" w:space="0" w:color="auto"/>
              <w:left w:val="outset" w:sz="6" w:space="0" w:color="auto"/>
              <w:bottom w:val="outset" w:sz="6" w:space="0" w:color="auto"/>
              <w:right w:val="outset" w:sz="6" w:space="0" w:color="auto"/>
            </w:tcBorders>
            <w:noWrap/>
            <w:vAlign w:val="center"/>
            <w:hideMark/>
          </w:tcPr>
          <w:p w14:paraId="0EEA699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r>
      <w:tr w:rsidR="0026114A" w:rsidRPr="005432E1" w14:paraId="2A4DB5BD" w14:textId="77777777" w:rsidTr="009632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CF27FE" w14:textId="77777777" w:rsidR="00652B9C" w:rsidRPr="005432E1" w:rsidRDefault="00652B9C" w:rsidP="00652B9C">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3E2FC9" w14:textId="77777777" w:rsidR="00652B9C" w:rsidRPr="005432E1" w:rsidRDefault="00652B9C" w:rsidP="00652B9C">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BC1D2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Juros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B7CAB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Principal</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27E8D55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2D353D5A"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0241D78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159</w:t>
            </w: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32F6DF11" w14:textId="77777777" w:rsidR="00652B9C" w:rsidRPr="005432E1" w:rsidRDefault="00652B9C" w:rsidP="00652B9C">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D8546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191,05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2B2A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4.371,77</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5C11AD6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4.562,81</w:t>
            </w:r>
          </w:p>
        </w:tc>
      </w:tr>
      <w:tr w:rsidR="0026114A" w:rsidRPr="005432E1" w14:paraId="303948F9"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6E7F7ABD"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2B9484B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AC. BRASIL-FRANÇA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B45B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12A740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3,82</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64B288D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3,89</w:t>
            </w:r>
          </w:p>
        </w:tc>
      </w:tr>
      <w:tr w:rsidR="0026114A" w:rsidRPr="005432E1" w14:paraId="601B7BA4"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20B14543"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4BBAD5C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CARTEIRA DE SANEAMENTO - MP 2196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A84D9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22,36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8B4B3C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41,91</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3762B08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64,27</w:t>
            </w:r>
          </w:p>
        </w:tc>
      </w:tr>
      <w:tr w:rsidR="0026114A" w:rsidRPr="005432E1" w14:paraId="2F51D722"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196336CB"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0E39D90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MATO GROSSO DO SUL - ROYALTIES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47756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C6FA9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43,96</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22B5B0F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43,96</w:t>
            </w:r>
          </w:p>
        </w:tc>
      </w:tr>
      <w:tr w:rsidR="0026114A" w:rsidRPr="005432E1" w14:paraId="6930FF7E"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71B6F510"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12E44C1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PARANÁ - ROYALTIES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48E48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74E44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402,19</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1D65E5E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402,19</w:t>
            </w:r>
          </w:p>
        </w:tc>
      </w:tr>
      <w:tr w:rsidR="0026114A" w:rsidRPr="005432E1" w14:paraId="77788645"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17C6704C"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32CEE03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RIO DE JANEIRO - ROYALTIES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7B5D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8B8AC8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3.623,68</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4FBF42F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3.623,68</w:t>
            </w:r>
          </w:p>
        </w:tc>
      </w:tr>
      <w:tr w:rsidR="0026114A" w:rsidRPr="005432E1" w14:paraId="3C4F2549"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65C3FA07"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2A5BCD3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RECEITAS DA UNIÃO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DC755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168,61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A8DA96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256,21</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77A97DE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424,82</w:t>
            </w:r>
          </w:p>
        </w:tc>
      </w:tr>
      <w:tr w:rsidR="0026114A" w:rsidRPr="005432E1" w14:paraId="2EA59B63"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435647C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171</w:t>
            </w: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600D34A0" w14:textId="77777777" w:rsidR="00652B9C" w:rsidRPr="005432E1" w:rsidRDefault="00652B9C" w:rsidP="00652B9C">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A8BDF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204,71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58C460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0,00</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5168703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204,71</w:t>
            </w:r>
          </w:p>
        </w:tc>
      </w:tr>
      <w:tr w:rsidR="0026114A" w:rsidRPr="005432E1" w14:paraId="79671028"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224701A7"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191731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DMLP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9D66A7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204,71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BF0D5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396F2EE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204,71</w:t>
            </w:r>
          </w:p>
        </w:tc>
      </w:tr>
      <w:tr w:rsidR="0026114A" w:rsidRPr="005432E1" w14:paraId="15EB76FC"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01E3D03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173</w:t>
            </w: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1BB85176" w14:textId="77777777" w:rsidR="00652B9C" w:rsidRPr="005432E1" w:rsidRDefault="00652B9C" w:rsidP="00652B9C">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919D02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14.362,65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53EA3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9.458,48</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344D56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23.821,13</w:t>
            </w:r>
          </w:p>
        </w:tc>
      </w:tr>
      <w:tr w:rsidR="0026114A" w:rsidRPr="005432E1" w14:paraId="377BEF8D"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05406CDB"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139CAFB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9.496/97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0E45D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12.941,55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99353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6.385,12</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3B9AAA1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19.326,67</w:t>
            </w:r>
          </w:p>
        </w:tc>
      </w:tr>
      <w:tr w:rsidR="0026114A" w:rsidRPr="005432E1" w14:paraId="764C0BF4"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28A1BABB"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5F856ED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MP 2.185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CFA6FA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1.118,66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E99ED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2.301,31</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023CEC9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3.419,97</w:t>
            </w:r>
          </w:p>
        </w:tc>
      </w:tr>
      <w:tr w:rsidR="0026114A" w:rsidRPr="005432E1" w14:paraId="46FD9E17"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5E737FF5"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1000D59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RJ/BANERJ-CT.069-CESSÃO DE CRÉDITO – BACEN</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0DBCF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181,98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9165C4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59DE7A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181,98</w:t>
            </w:r>
          </w:p>
        </w:tc>
      </w:tr>
      <w:tr w:rsidR="0026114A" w:rsidRPr="005432E1" w14:paraId="30258B32" w14:textId="77777777" w:rsidTr="0096325A">
        <w:trPr>
          <w:tblCellSpacing w:w="0" w:type="dxa"/>
        </w:trPr>
        <w:tc>
          <w:tcPr>
            <w:tcW w:w="1020" w:type="dxa"/>
            <w:tcBorders>
              <w:top w:val="outset" w:sz="6" w:space="0" w:color="auto"/>
              <w:left w:val="outset" w:sz="6" w:space="0" w:color="auto"/>
              <w:bottom w:val="outset" w:sz="6" w:space="0" w:color="auto"/>
              <w:right w:val="outset" w:sz="6" w:space="0" w:color="auto"/>
            </w:tcBorders>
            <w:noWrap/>
            <w:vAlign w:val="center"/>
            <w:hideMark/>
          </w:tcPr>
          <w:p w14:paraId="0AA6AFE0" w14:textId="77777777" w:rsidR="00652B9C" w:rsidRPr="005432E1" w:rsidRDefault="00652B9C" w:rsidP="00652B9C">
            <w:pPr>
              <w:spacing w:before="100" w:beforeAutospacing="1" w:after="100" w:afterAutospacing="1"/>
              <w:rPr>
                <w:rFonts w:asciiTheme="minorHAnsi" w:hAnsiTheme="minorHAnsi"/>
              </w:rPr>
            </w:pPr>
          </w:p>
        </w:tc>
        <w:tc>
          <w:tcPr>
            <w:tcW w:w="5085" w:type="dxa"/>
            <w:tcBorders>
              <w:top w:val="outset" w:sz="6" w:space="0" w:color="auto"/>
              <w:left w:val="outset" w:sz="6" w:space="0" w:color="auto"/>
              <w:bottom w:val="outset" w:sz="6" w:space="0" w:color="auto"/>
              <w:right w:val="outset" w:sz="6" w:space="0" w:color="auto"/>
            </w:tcBorders>
            <w:noWrap/>
            <w:vAlign w:val="center"/>
            <w:hideMark/>
          </w:tcPr>
          <w:p w14:paraId="37B5DDD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DEMAIS CREDORES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70C8D8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120,46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79E104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772,05</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25E3D31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892,51</w:t>
            </w:r>
          </w:p>
        </w:tc>
      </w:tr>
      <w:tr w:rsidR="0026114A" w:rsidRPr="005432E1" w14:paraId="42A01027" w14:textId="77777777" w:rsidTr="0096325A">
        <w:trPr>
          <w:tblCellSpacing w:w="0" w:type="dxa"/>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2B59CA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EB448E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14.758,41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5D322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13.830,25</w:t>
            </w:r>
          </w:p>
        </w:tc>
        <w:tc>
          <w:tcPr>
            <w:tcW w:w="1314" w:type="dxa"/>
            <w:tcBorders>
              <w:top w:val="outset" w:sz="6" w:space="0" w:color="auto"/>
              <w:left w:val="outset" w:sz="6" w:space="0" w:color="auto"/>
              <w:bottom w:val="outset" w:sz="6" w:space="0" w:color="auto"/>
              <w:right w:val="outset" w:sz="6" w:space="0" w:color="auto"/>
            </w:tcBorders>
            <w:noWrap/>
            <w:vAlign w:val="center"/>
            <w:hideMark/>
          </w:tcPr>
          <w:p w14:paraId="7359445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28.588,65</w:t>
            </w:r>
          </w:p>
        </w:tc>
      </w:tr>
    </w:tbl>
    <w:p w14:paraId="2521BCFC" w14:textId="6B11E0B0" w:rsidR="00652B9C" w:rsidRPr="005432E1" w:rsidRDefault="006264C0"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52B9C" w:rsidRPr="005432E1">
        <w:rPr>
          <w:rFonts w:asciiTheme="minorHAnsi" w:hAnsiTheme="minorHAnsi"/>
          <w:b/>
          <w:bCs/>
        </w:rPr>
        <w:t>3</w:t>
      </w:r>
      <w:r w:rsidR="0080282A" w:rsidRPr="005432E1">
        <w:rPr>
          <w:rFonts w:asciiTheme="minorHAnsi" w:hAnsiTheme="minorHAnsi"/>
          <w:b/>
          <w:bCs/>
        </w:rPr>
        <w:t>3</w:t>
      </w:r>
      <w:r w:rsidR="00652B9C" w:rsidRPr="005432E1">
        <w:rPr>
          <w:rFonts w:asciiTheme="minorHAnsi" w:hAnsiTheme="minorHAnsi"/>
          <w:b/>
          <w:bCs/>
        </w:rPr>
        <w:t>: Previsão de Despesas para 2020 (R$ milhões)</w:t>
      </w:r>
    </w:p>
    <w:tbl>
      <w:tblPr>
        <w:tblW w:w="99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666"/>
        <w:gridCol w:w="1448"/>
        <w:gridCol w:w="4031"/>
        <w:gridCol w:w="38"/>
        <w:gridCol w:w="810"/>
      </w:tblGrid>
      <w:tr w:rsidR="0026114A" w:rsidRPr="005432E1" w14:paraId="7B113105" w14:textId="77777777" w:rsidTr="0096325A">
        <w:trPr>
          <w:gridAfter w:val="2"/>
          <w:wAfter w:w="849" w:type="dxa"/>
          <w:tblCellSpacing w:w="0" w:type="dxa"/>
        </w:trPr>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14:paraId="1A5BCB4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FONTE</w:t>
            </w:r>
          </w:p>
        </w:tc>
        <w:tc>
          <w:tcPr>
            <w:tcW w:w="2636" w:type="dxa"/>
            <w:tcBorders>
              <w:top w:val="outset" w:sz="6" w:space="0" w:color="auto"/>
              <w:left w:val="outset" w:sz="6" w:space="0" w:color="auto"/>
              <w:bottom w:val="outset" w:sz="6" w:space="0" w:color="auto"/>
              <w:right w:val="outset" w:sz="6" w:space="0" w:color="auto"/>
            </w:tcBorders>
            <w:noWrap/>
            <w:vAlign w:val="center"/>
            <w:hideMark/>
          </w:tcPr>
          <w:p w14:paraId="4E91C0A0" w14:textId="77777777" w:rsidR="00652B9C" w:rsidRPr="005432E1" w:rsidRDefault="00652B9C" w:rsidP="00652B9C">
            <w:pPr>
              <w:spacing w:before="100" w:beforeAutospacing="1" w:after="100" w:afterAutospacing="1"/>
              <w:rPr>
                <w:rFonts w:asciiTheme="minorHAnsi" w:hAnsiTheme="minorHAnsi"/>
              </w:rPr>
            </w:pPr>
          </w:p>
        </w:tc>
        <w:tc>
          <w:tcPr>
            <w:tcW w:w="5388" w:type="dxa"/>
            <w:gridSpan w:val="2"/>
            <w:tcBorders>
              <w:top w:val="outset" w:sz="6" w:space="0" w:color="auto"/>
              <w:left w:val="outset" w:sz="6" w:space="0" w:color="auto"/>
              <w:bottom w:val="outset" w:sz="6" w:space="0" w:color="auto"/>
              <w:right w:val="outset" w:sz="6" w:space="0" w:color="auto"/>
            </w:tcBorders>
            <w:noWrap/>
            <w:vAlign w:val="center"/>
            <w:hideMark/>
          </w:tcPr>
          <w:p w14:paraId="48979A8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r>
      <w:tr w:rsidR="0026114A" w:rsidRPr="005432E1" w14:paraId="738CD26B" w14:textId="77777777" w:rsidTr="009632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927B2F" w14:textId="77777777" w:rsidR="00652B9C" w:rsidRPr="005432E1" w:rsidRDefault="00652B9C" w:rsidP="00652B9C">
            <w:pPr>
              <w:rPr>
                <w:rFonts w:asciiTheme="minorHAnsi" w:hAnsiTheme="minorHAnsi"/>
              </w:rPr>
            </w:pPr>
          </w:p>
        </w:tc>
        <w:tc>
          <w:tcPr>
            <w:tcW w:w="2636" w:type="dxa"/>
            <w:tcBorders>
              <w:top w:val="outset" w:sz="6" w:space="0" w:color="auto"/>
              <w:left w:val="outset" w:sz="6" w:space="0" w:color="auto"/>
              <w:bottom w:val="outset" w:sz="6" w:space="0" w:color="auto"/>
              <w:right w:val="outset" w:sz="6" w:space="0" w:color="auto"/>
            </w:tcBorders>
            <w:noWrap/>
            <w:vAlign w:val="center"/>
            <w:hideMark/>
          </w:tcPr>
          <w:p w14:paraId="578CA957" w14:textId="77777777" w:rsidR="00652B9C" w:rsidRPr="005432E1" w:rsidRDefault="00652B9C" w:rsidP="00652B9C">
            <w:pPr>
              <w:spacing w:before="100" w:beforeAutospacing="1" w:after="100" w:afterAutospacing="1"/>
              <w:rPr>
                <w:rFonts w:asciiTheme="minorHAnsi" w:hAnsiTheme="minorHAnsi"/>
              </w:rPr>
            </w:pP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4A4964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Juros</w:t>
            </w:r>
          </w:p>
        </w:tc>
        <w:tc>
          <w:tcPr>
            <w:tcW w:w="4039" w:type="dxa"/>
            <w:gridSpan w:val="2"/>
            <w:tcBorders>
              <w:top w:val="outset" w:sz="6" w:space="0" w:color="auto"/>
              <w:left w:val="outset" w:sz="6" w:space="0" w:color="auto"/>
              <w:bottom w:val="outset" w:sz="6" w:space="0" w:color="auto"/>
              <w:right w:val="outset" w:sz="6" w:space="0" w:color="auto"/>
            </w:tcBorders>
            <w:noWrap/>
            <w:vAlign w:val="center"/>
            <w:hideMark/>
          </w:tcPr>
          <w:p w14:paraId="7CA8BE5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Principal</w:t>
            </w:r>
          </w:p>
        </w:tc>
        <w:tc>
          <w:tcPr>
            <w:tcW w:w="780" w:type="dxa"/>
            <w:tcBorders>
              <w:top w:val="outset" w:sz="6" w:space="0" w:color="auto"/>
              <w:left w:val="outset" w:sz="6" w:space="0" w:color="auto"/>
              <w:bottom w:val="outset" w:sz="6" w:space="0" w:color="auto"/>
              <w:right w:val="outset" w:sz="6" w:space="0" w:color="auto"/>
            </w:tcBorders>
            <w:noWrap/>
            <w:vAlign w:val="center"/>
            <w:hideMark/>
          </w:tcPr>
          <w:p w14:paraId="709A892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627D6E5B" w14:textId="77777777" w:rsidTr="0096325A">
        <w:trPr>
          <w:tblCellSpacing w:w="0" w:type="dxa"/>
        </w:trPr>
        <w:tc>
          <w:tcPr>
            <w:tcW w:w="1080" w:type="dxa"/>
            <w:tcBorders>
              <w:top w:val="outset" w:sz="6" w:space="0" w:color="auto"/>
              <w:left w:val="outset" w:sz="6" w:space="0" w:color="auto"/>
              <w:bottom w:val="outset" w:sz="6" w:space="0" w:color="auto"/>
              <w:right w:val="outset" w:sz="6" w:space="0" w:color="auto"/>
            </w:tcBorders>
            <w:noWrap/>
            <w:vAlign w:val="center"/>
            <w:hideMark/>
          </w:tcPr>
          <w:p w14:paraId="7C713B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100</w:t>
            </w:r>
          </w:p>
        </w:tc>
        <w:tc>
          <w:tcPr>
            <w:tcW w:w="2636" w:type="dxa"/>
            <w:tcBorders>
              <w:top w:val="outset" w:sz="6" w:space="0" w:color="auto"/>
              <w:left w:val="outset" w:sz="6" w:space="0" w:color="auto"/>
              <w:bottom w:val="outset" w:sz="6" w:space="0" w:color="auto"/>
              <w:right w:val="outset" w:sz="6" w:space="0" w:color="auto"/>
            </w:tcBorders>
            <w:noWrap/>
            <w:vAlign w:val="center"/>
            <w:hideMark/>
          </w:tcPr>
          <w:p w14:paraId="1F0BFA0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PNAFE</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29829FD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0,00</w:t>
            </w:r>
          </w:p>
        </w:tc>
        <w:tc>
          <w:tcPr>
            <w:tcW w:w="4039" w:type="dxa"/>
            <w:gridSpan w:val="2"/>
            <w:tcBorders>
              <w:top w:val="outset" w:sz="6" w:space="0" w:color="auto"/>
              <w:left w:val="outset" w:sz="6" w:space="0" w:color="auto"/>
              <w:bottom w:val="outset" w:sz="6" w:space="0" w:color="auto"/>
              <w:right w:val="outset" w:sz="6" w:space="0" w:color="auto"/>
            </w:tcBorders>
            <w:noWrap/>
            <w:vAlign w:val="center"/>
            <w:hideMark/>
          </w:tcPr>
          <w:p w14:paraId="133B3D7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0,55</w:t>
            </w:r>
          </w:p>
        </w:tc>
        <w:tc>
          <w:tcPr>
            <w:tcW w:w="780" w:type="dxa"/>
            <w:tcBorders>
              <w:top w:val="outset" w:sz="6" w:space="0" w:color="auto"/>
              <w:left w:val="outset" w:sz="6" w:space="0" w:color="auto"/>
              <w:bottom w:val="outset" w:sz="6" w:space="0" w:color="auto"/>
              <w:right w:val="outset" w:sz="6" w:space="0" w:color="auto"/>
            </w:tcBorders>
            <w:noWrap/>
            <w:vAlign w:val="center"/>
            <w:hideMark/>
          </w:tcPr>
          <w:p w14:paraId="62B2052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0,55</w:t>
            </w:r>
          </w:p>
        </w:tc>
      </w:tr>
      <w:tr w:rsidR="0026114A" w:rsidRPr="005432E1" w14:paraId="2A2661DD" w14:textId="77777777" w:rsidTr="0096325A">
        <w:trPr>
          <w:tblCellSpacing w:w="0" w:type="dxa"/>
        </w:trPr>
        <w:tc>
          <w:tcPr>
            <w:tcW w:w="1080" w:type="dxa"/>
            <w:tcBorders>
              <w:top w:val="outset" w:sz="6" w:space="0" w:color="auto"/>
              <w:left w:val="outset" w:sz="6" w:space="0" w:color="auto"/>
              <w:bottom w:val="outset" w:sz="6" w:space="0" w:color="auto"/>
              <w:right w:val="outset" w:sz="6" w:space="0" w:color="auto"/>
            </w:tcBorders>
            <w:noWrap/>
            <w:vAlign w:val="center"/>
            <w:hideMark/>
          </w:tcPr>
          <w:p w14:paraId="00FF7F31" w14:textId="77777777" w:rsidR="00652B9C" w:rsidRPr="005432E1" w:rsidRDefault="00652B9C" w:rsidP="00652B9C">
            <w:pPr>
              <w:spacing w:before="100" w:beforeAutospacing="1" w:after="100" w:afterAutospacing="1"/>
              <w:rPr>
                <w:rFonts w:asciiTheme="minorHAnsi" w:hAnsiTheme="minorHAnsi"/>
              </w:rPr>
            </w:pPr>
          </w:p>
        </w:tc>
        <w:tc>
          <w:tcPr>
            <w:tcW w:w="2636" w:type="dxa"/>
            <w:tcBorders>
              <w:top w:val="outset" w:sz="6" w:space="0" w:color="auto"/>
              <w:left w:val="outset" w:sz="6" w:space="0" w:color="auto"/>
              <w:bottom w:val="outset" w:sz="6" w:space="0" w:color="auto"/>
              <w:right w:val="outset" w:sz="6" w:space="0" w:color="auto"/>
            </w:tcBorders>
            <w:noWrap/>
            <w:vAlign w:val="center"/>
            <w:hideMark/>
          </w:tcPr>
          <w:p w14:paraId="64BF1E0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CARTEIRA DE SANEAMENTO - MP 2196</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12EF678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4039" w:type="dxa"/>
            <w:gridSpan w:val="2"/>
            <w:tcBorders>
              <w:top w:val="outset" w:sz="6" w:space="0" w:color="auto"/>
              <w:left w:val="outset" w:sz="6" w:space="0" w:color="auto"/>
              <w:bottom w:val="outset" w:sz="6" w:space="0" w:color="auto"/>
              <w:right w:val="outset" w:sz="6" w:space="0" w:color="auto"/>
            </w:tcBorders>
            <w:noWrap/>
            <w:vAlign w:val="center"/>
            <w:hideMark/>
          </w:tcPr>
          <w:p w14:paraId="056396D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0,55</w:t>
            </w:r>
          </w:p>
        </w:tc>
        <w:tc>
          <w:tcPr>
            <w:tcW w:w="780" w:type="dxa"/>
            <w:tcBorders>
              <w:top w:val="outset" w:sz="6" w:space="0" w:color="auto"/>
              <w:left w:val="outset" w:sz="6" w:space="0" w:color="auto"/>
              <w:bottom w:val="outset" w:sz="6" w:space="0" w:color="auto"/>
              <w:right w:val="outset" w:sz="6" w:space="0" w:color="auto"/>
            </w:tcBorders>
            <w:noWrap/>
            <w:vAlign w:val="center"/>
            <w:hideMark/>
          </w:tcPr>
          <w:p w14:paraId="589D6B3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0,55</w:t>
            </w:r>
          </w:p>
        </w:tc>
      </w:tr>
      <w:tr w:rsidR="0026114A" w:rsidRPr="005432E1" w14:paraId="38218FB2" w14:textId="77777777" w:rsidTr="0096325A">
        <w:trPr>
          <w:tblCellSpacing w:w="0" w:type="dxa"/>
        </w:trPr>
        <w:tc>
          <w:tcPr>
            <w:tcW w:w="1080" w:type="dxa"/>
            <w:tcBorders>
              <w:top w:val="outset" w:sz="6" w:space="0" w:color="auto"/>
              <w:left w:val="outset" w:sz="6" w:space="0" w:color="auto"/>
              <w:bottom w:val="outset" w:sz="6" w:space="0" w:color="auto"/>
              <w:right w:val="outset" w:sz="6" w:space="0" w:color="auto"/>
            </w:tcBorders>
            <w:noWrap/>
            <w:vAlign w:val="center"/>
            <w:hideMark/>
          </w:tcPr>
          <w:p w14:paraId="1D8529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173</w:t>
            </w:r>
          </w:p>
        </w:tc>
        <w:tc>
          <w:tcPr>
            <w:tcW w:w="2636" w:type="dxa"/>
            <w:tcBorders>
              <w:top w:val="outset" w:sz="6" w:space="0" w:color="auto"/>
              <w:left w:val="outset" w:sz="6" w:space="0" w:color="auto"/>
              <w:bottom w:val="outset" w:sz="6" w:space="0" w:color="auto"/>
              <w:right w:val="outset" w:sz="6" w:space="0" w:color="auto"/>
            </w:tcBorders>
            <w:noWrap/>
            <w:vAlign w:val="center"/>
            <w:hideMark/>
          </w:tcPr>
          <w:p w14:paraId="1885131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443B4A9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120,46</w:t>
            </w:r>
          </w:p>
        </w:tc>
        <w:tc>
          <w:tcPr>
            <w:tcW w:w="4039" w:type="dxa"/>
            <w:gridSpan w:val="2"/>
            <w:tcBorders>
              <w:top w:val="outset" w:sz="6" w:space="0" w:color="auto"/>
              <w:left w:val="outset" w:sz="6" w:space="0" w:color="auto"/>
              <w:bottom w:val="outset" w:sz="6" w:space="0" w:color="auto"/>
              <w:right w:val="outset" w:sz="6" w:space="0" w:color="auto"/>
            </w:tcBorders>
            <w:noWrap/>
            <w:vAlign w:val="center"/>
            <w:hideMark/>
          </w:tcPr>
          <w:p w14:paraId="31A9D49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772,05</w:t>
            </w:r>
          </w:p>
        </w:tc>
        <w:tc>
          <w:tcPr>
            <w:tcW w:w="780" w:type="dxa"/>
            <w:tcBorders>
              <w:top w:val="outset" w:sz="6" w:space="0" w:color="auto"/>
              <w:left w:val="outset" w:sz="6" w:space="0" w:color="auto"/>
              <w:bottom w:val="outset" w:sz="6" w:space="0" w:color="auto"/>
              <w:right w:val="outset" w:sz="6" w:space="0" w:color="auto"/>
            </w:tcBorders>
            <w:noWrap/>
            <w:vAlign w:val="center"/>
            <w:hideMark/>
          </w:tcPr>
          <w:p w14:paraId="5B4D1B6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892,51</w:t>
            </w:r>
          </w:p>
        </w:tc>
      </w:tr>
      <w:tr w:rsidR="0026114A" w:rsidRPr="005432E1" w14:paraId="1BAEE4DE" w14:textId="77777777" w:rsidTr="0096325A">
        <w:trPr>
          <w:tblCellSpacing w:w="0" w:type="dxa"/>
        </w:trPr>
        <w:tc>
          <w:tcPr>
            <w:tcW w:w="3716" w:type="dxa"/>
            <w:gridSpan w:val="2"/>
            <w:tcBorders>
              <w:top w:val="outset" w:sz="6" w:space="0" w:color="auto"/>
              <w:left w:val="outset" w:sz="6" w:space="0" w:color="auto"/>
              <w:bottom w:val="outset" w:sz="6" w:space="0" w:color="auto"/>
              <w:right w:val="outset" w:sz="6" w:space="0" w:color="auto"/>
            </w:tcBorders>
            <w:noWrap/>
            <w:vAlign w:val="center"/>
            <w:hideMark/>
          </w:tcPr>
          <w:p w14:paraId="7A925F8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5C66A86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120,46</w:t>
            </w:r>
          </w:p>
        </w:tc>
        <w:tc>
          <w:tcPr>
            <w:tcW w:w="4039" w:type="dxa"/>
            <w:gridSpan w:val="2"/>
            <w:tcBorders>
              <w:top w:val="outset" w:sz="6" w:space="0" w:color="auto"/>
              <w:left w:val="outset" w:sz="6" w:space="0" w:color="auto"/>
              <w:bottom w:val="outset" w:sz="6" w:space="0" w:color="auto"/>
              <w:right w:val="outset" w:sz="6" w:space="0" w:color="auto"/>
            </w:tcBorders>
            <w:noWrap/>
            <w:vAlign w:val="center"/>
            <w:hideMark/>
          </w:tcPr>
          <w:p w14:paraId="6957A82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772,60</w:t>
            </w:r>
          </w:p>
        </w:tc>
        <w:tc>
          <w:tcPr>
            <w:tcW w:w="780" w:type="dxa"/>
            <w:tcBorders>
              <w:top w:val="outset" w:sz="6" w:space="0" w:color="auto"/>
              <w:left w:val="outset" w:sz="6" w:space="0" w:color="auto"/>
              <w:bottom w:val="outset" w:sz="6" w:space="0" w:color="auto"/>
              <w:right w:val="outset" w:sz="6" w:space="0" w:color="auto"/>
            </w:tcBorders>
            <w:noWrap/>
            <w:vAlign w:val="center"/>
            <w:hideMark/>
          </w:tcPr>
          <w:p w14:paraId="62DB8CA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893,06</w:t>
            </w:r>
          </w:p>
        </w:tc>
      </w:tr>
    </w:tbl>
    <w:p w14:paraId="1F8ECD1A" w14:textId="77777777" w:rsidR="0096325A" w:rsidRPr="005432E1" w:rsidRDefault="0096325A" w:rsidP="00AB4859">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634331F8" w14:textId="77777777" w:rsidR="005432E1" w:rsidRDefault="005432E1">
      <w:pPr>
        <w:rPr>
          <w:rFonts w:asciiTheme="minorHAnsi" w:hAnsiTheme="minorHAnsi"/>
          <w:b/>
          <w:bCs/>
        </w:rPr>
      </w:pPr>
      <w:r>
        <w:rPr>
          <w:rFonts w:asciiTheme="minorHAnsi" w:hAnsiTheme="minorHAnsi"/>
          <w:b/>
          <w:bCs/>
        </w:rPr>
        <w:br w:type="page"/>
      </w:r>
    </w:p>
    <w:p w14:paraId="0F19D295" w14:textId="6622E1F4"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80282A" w:rsidRPr="005432E1">
        <w:rPr>
          <w:rFonts w:asciiTheme="minorHAnsi" w:hAnsiTheme="minorHAnsi"/>
          <w:b/>
          <w:bCs/>
        </w:rPr>
        <w:t>4</w:t>
      </w:r>
      <w:r w:rsidRPr="005432E1">
        <w:rPr>
          <w:rFonts w:asciiTheme="minorHAnsi" w:hAnsiTheme="minorHAnsi"/>
          <w:b/>
          <w:bCs/>
        </w:rPr>
        <w:t>: Previsão de Receitas para 2021 (R$ milhões)</w:t>
      </w:r>
    </w:p>
    <w:tbl>
      <w:tblPr>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3106"/>
        <w:gridCol w:w="1194"/>
        <w:gridCol w:w="1276"/>
        <w:gridCol w:w="3342"/>
      </w:tblGrid>
      <w:tr w:rsidR="0026114A" w:rsidRPr="005432E1" w14:paraId="134CB962" w14:textId="77777777" w:rsidTr="0096325A">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noWrap/>
            <w:vAlign w:val="center"/>
            <w:hideMark/>
          </w:tcPr>
          <w:p w14:paraId="6CB04AD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FONTE</w:t>
            </w:r>
          </w:p>
        </w:tc>
        <w:tc>
          <w:tcPr>
            <w:tcW w:w="3076" w:type="dxa"/>
            <w:vMerge w:val="restart"/>
            <w:tcBorders>
              <w:top w:val="outset" w:sz="6" w:space="0" w:color="auto"/>
              <w:left w:val="outset" w:sz="6" w:space="0" w:color="auto"/>
              <w:bottom w:val="outset" w:sz="6" w:space="0" w:color="auto"/>
              <w:right w:val="outset" w:sz="6" w:space="0" w:color="auto"/>
            </w:tcBorders>
            <w:noWrap/>
            <w:vAlign w:val="center"/>
            <w:hideMark/>
          </w:tcPr>
          <w:p w14:paraId="4234C49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PROGRAMA</w:t>
            </w:r>
          </w:p>
        </w:tc>
        <w:tc>
          <w:tcPr>
            <w:tcW w:w="5722" w:type="dxa"/>
            <w:gridSpan w:val="3"/>
            <w:tcBorders>
              <w:top w:val="outset" w:sz="6" w:space="0" w:color="auto"/>
              <w:left w:val="outset" w:sz="6" w:space="0" w:color="auto"/>
              <w:bottom w:val="outset" w:sz="6" w:space="0" w:color="auto"/>
              <w:right w:val="outset" w:sz="6" w:space="0" w:color="auto"/>
            </w:tcBorders>
            <w:noWrap/>
            <w:vAlign w:val="center"/>
            <w:hideMark/>
          </w:tcPr>
          <w:p w14:paraId="7D67D46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r>
      <w:tr w:rsidR="0026114A" w:rsidRPr="005432E1" w14:paraId="072F21A9" w14:textId="77777777" w:rsidTr="009632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70942F" w14:textId="77777777" w:rsidR="00652B9C" w:rsidRPr="005432E1" w:rsidRDefault="00652B9C" w:rsidP="00652B9C">
            <w:pPr>
              <w:rPr>
                <w:rFonts w:asciiTheme="minorHAnsi" w:hAnsiTheme="minorHAnsi"/>
              </w:rPr>
            </w:pPr>
          </w:p>
        </w:tc>
        <w:tc>
          <w:tcPr>
            <w:tcW w:w="3076" w:type="dxa"/>
            <w:vMerge/>
            <w:tcBorders>
              <w:top w:val="outset" w:sz="6" w:space="0" w:color="auto"/>
              <w:left w:val="outset" w:sz="6" w:space="0" w:color="auto"/>
              <w:bottom w:val="outset" w:sz="6" w:space="0" w:color="auto"/>
              <w:right w:val="outset" w:sz="6" w:space="0" w:color="auto"/>
            </w:tcBorders>
            <w:vAlign w:val="center"/>
            <w:hideMark/>
          </w:tcPr>
          <w:p w14:paraId="56F18FA9" w14:textId="77777777" w:rsidR="00652B9C" w:rsidRPr="005432E1" w:rsidRDefault="00652B9C" w:rsidP="00652B9C">
            <w:pPr>
              <w:rPr>
                <w:rFonts w:asciiTheme="minorHAnsi" w:hAnsiTheme="minorHAnsi"/>
              </w:rPr>
            </w:pP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0C21364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Juros</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712B94E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Principal</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2FFC900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6EF7BCAE"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362B093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159</w:t>
            </w: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2C0C6A81" w14:textId="77777777" w:rsidR="00652B9C" w:rsidRPr="005432E1" w:rsidRDefault="00652B9C" w:rsidP="00652B9C">
            <w:pPr>
              <w:spacing w:before="100" w:beforeAutospacing="1" w:after="100" w:afterAutospacing="1"/>
              <w:rPr>
                <w:rFonts w:asciiTheme="minorHAnsi" w:hAnsiTheme="minorHAnsi"/>
              </w:rPr>
            </w:pP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735E983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191,21</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0F01C55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468,78</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51FCEC0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659,99</w:t>
            </w:r>
          </w:p>
        </w:tc>
      </w:tr>
      <w:tr w:rsidR="0026114A" w:rsidRPr="005432E1" w14:paraId="72F2B144"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310E4DE2"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0CCE958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AC. BRASIL-FRANÇA</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6C4ACE8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0,01</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0CE3031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0,70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7BFB4E2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0,71</w:t>
            </w:r>
          </w:p>
        </w:tc>
      </w:tr>
      <w:tr w:rsidR="0026114A" w:rsidRPr="005432E1" w14:paraId="7C8A6A8A"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63878266"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60A2774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CARTEIRA DE SANEAMENTO - MP 2196</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53C661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19,62</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7C91272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35,57</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67993B7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55,19</w:t>
            </w:r>
          </w:p>
        </w:tc>
      </w:tr>
      <w:tr w:rsidR="0026114A" w:rsidRPr="005432E1" w14:paraId="6FAF4CF5"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65262013"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02A9612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MATO GROSSO DO SUL - ROYALTIES</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36FFFBD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156E351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3FF6873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r>
      <w:tr w:rsidR="0026114A" w:rsidRPr="005432E1" w14:paraId="11608CB6"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33284160"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2A60C8C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PARANÁ - ROYALTIES</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5E03706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44FB1D4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709EA65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r>
      <w:tr w:rsidR="0026114A" w:rsidRPr="005432E1" w14:paraId="6FBEFB69"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4002D6A4"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47F1381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ESTADO DO RIO DE JANEIRO - ROYALTIES</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0C0143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278E8A6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171,78</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22609EF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171,78</w:t>
            </w:r>
          </w:p>
        </w:tc>
      </w:tr>
      <w:tr w:rsidR="0026114A" w:rsidRPr="005432E1" w14:paraId="76D34421"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0CBFE641"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38F10FE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RECEITAS DA UNIÃO</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12FACA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171,58</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3A26787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260,72</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70E75C7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432,31</w:t>
            </w:r>
          </w:p>
        </w:tc>
      </w:tr>
      <w:tr w:rsidR="0026114A" w:rsidRPr="005432E1" w14:paraId="7C3BBBEB"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21E98C6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171</w:t>
            </w: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17BCA40A" w14:textId="77777777" w:rsidR="00652B9C" w:rsidRPr="005432E1" w:rsidRDefault="00652B9C" w:rsidP="00652B9C">
            <w:pPr>
              <w:spacing w:before="100" w:beforeAutospacing="1" w:after="100" w:afterAutospacing="1"/>
              <w:rPr>
                <w:rFonts w:asciiTheme="minorHAnsi" w:hAnsiTheme="minorHAnsi"/>
              </w:rPr>
            </w:pP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3AEDCBD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214,09</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4FB166B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0,00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63BD9CF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214,09</w:t>
            </w:r>
          </w:p>
        </w:tc>
      </w:tr>
      <w:tr w:rsidR="0026114A" w:rsidRPr="005432E1" w14:paraId="21FE2E0A"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1AA520CE"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4BE8512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DMLP</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2A7F437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214,09</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6F4B88A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3FC5CAB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214,09</w:t>
            </w:r>
          </w:p>
        </w:tc>
      </w:tr>
      <w:tr w:rsidR="0026114A" w:rsidRPr="005432E1" w14:paraId="0CC527B9"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2F38F68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173</w:t>
            </w: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375631B2" w14:textId="77777777" w:rsidR="00652B9C" w:rsidRPr="005432E1" w:rsidRDefault="00652B9C" w:rsidP="00652B9C">
            <w:pPr>
              <w:spacing w:before="100" w:beforeAutospacing="1" w:after="100" w:afterAutospacing="1"/>
              <w:rPr>
                <w:rFonts w:asciiTheme="minorHAnsi" w:hAnsiTheme="minorHAnsi"/>
              </w:rPr>
            </w:pP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00BD4A4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18.266,84</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78D7BD7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10.231,53</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078B799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28.498,37</w:t>
            </w:r>
          </w:p>
        </w:tc>
      </w:tr>
      <w:tr w:rsidR="0026114A" w:rsidRPr="005432E1" w14:paraId="72C10868"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029193B7"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25DC8D1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9.496/97</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191DEC1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16.375,16</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2BF6664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6.911,40</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26BE6F5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23.286,56</w:t>
            </w:r>
          </w:p>
        </w:tc>
      </w:tr>
      <w:tr w:rsidR="0026114A" w:rsidRPr="005432E1" w14:paraId="4C707255"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726C6E65"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44D4193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MP 2.185</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17D75A6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1.065,97</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3BB4B11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2.490,97</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1DFB4AC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3.556,94</w:t>
            </w:r>
          </w:p>
        </w:tc>
      </w:tr>
      <w:tr w:rsidR="0026114A" w:rsidRPr="005432E1" w14:paraId="26E41044"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10DF1002"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5875CA2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RJ/BANERJ-CT.069-CESSÃO DE CRÉDITO - BACEN</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39D8570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731,71</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3B8FE88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176,96</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1AD98C3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908,67</w:t>
            </w:r>
          </w:p>
        </w:tc>
      </w:tr>
      <w:tr w:rsidR="0026114A" w:rsidRPr="005432E1" w14:paraId="5D37E2BE" w14:textId="77777777" w:rsidTr="0096325A">
        <w:trPr>
          <w:tblCellSpacing w:w="0" w:type="dxa"/>
        </w:trPr>
        <w:tc>
          <w:tcPr>
            <w:tcW w:w="1125" w:type="dxa"/>
            <w:tcBorders>
              <w:top w:val="outset" w:sz="6" w:space="0" w:color="auto"/>
              <w:left w:val="outset" w:sz="6" w:space="0" w:color="auto"/>
              <w:bottom w:val="outset" w:sz="6" w:space="0" w:color="auto"/>
              <w:right w:val="outset" w:sz="6" w:space="0" w:color="auto"/>
            </w:tcBorders>
            <w:noWrap/>
            <w:vAlign w:val="center"/>
            <w:hideMark/>
          </w:tcPr>
          <w:p w14:paraId="1650B9BA" w14:textId="77777777" w:rsidR="00652B9C" w:rsidRPr="005432E1" w:rsidRDefault="00652B9C" w:rsidP="00652B9C">
            <w:pPr>
              <w:spacing w:before="100" w:beforeAutospacing="1" w:after="100" w:afterAutospacing="1"/>
              <w:rPr>
                <w:rFonts w:asciiTheme="minorHAnsi" w:hAnsiTheme="minorHAnsi"/>
              </w:rPr>
            </w:pPr>
          </w:p>
        </w:tc>
        <w:tc>
          <w:tcPr>
            <w:tcW w:w="3076" w:type="dxa"/>
            <w:tcBorders>
              <w:top w:val="outset" w:sz="6" w:space="0" w:color="auto"/>
              <w:left w:val="outset" w:sz="6" w:space="0" w:color="auto"/>
              <w:bottom w:val="outset" w:sz="6" w:space="0" w:color="auto"/>
              <w:right w:val="outset" w:sz="6" w:space="0" w:color="auto"/>
            </w:tcBorders>
            <w:noWrap/>
            <w:vAlign w:val="center"/>
            <w:hideMark/>
          </w:tcPr>
          <w:p w14:paraId="31F1D0D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Lei nº 8.727/93 - DEMAIS CREDORES</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24E496E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94,00</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707DDF8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652,21</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27F42B8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746,21</w:t>
            </w:r>
          </w:p>
        </w:tc>
      </w:tr>
      <w:tr w:rsidR="0026114A" w:rsidRPr="005432E1" w14:paraId="1952D911" w14:textId="77777777" w:rsidTr="0096325A">
        <w:trPr>
          <w:tblCellSpacing w:w="0" w:type="dxa"/>
        </w:trPr>
        <w:tc>
          <w:tcPr>
            <w:tcW w:w="4201" w:type="dxa"/>
            <w:gridSpan w:val="2"/>
            <w:tcBorders>
              <w:top w:val="outset" w:sz="6" w:space="0" w:color="auto"/>
              <w:left w:val="outset" w:sz="6" w:space="0" w:color="auto"/>
              <w:bottom w:val="outset" w:sz="6" w:space="0" w:color="auto"/>
              <w:right w:val="outset" w:sz="6" w:space="0" w:color="auto"/>
            </w:tcBorders>
            <w:noWrap/>
            <w:vAlign w:val="center"/>
            <w:hideMark/>
          </w:tcPr>
          <w:p w14:paraId="44026C0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164" w:type="dxa"/>
            <w:tcBorders>
              <w:top w:val="outset" w:sz="6" w:space="0" w:color="auto"/>
              <w:left w:val="outset" w:sz="6" w:space="0" w:color="auto"/>
              <w:bottom w:val="outset" w:sz="6" w:space="0" w:color="auto"/>
              <w:right w:val="outset" w:sz="6" w:space="0" w:color="auto"/>
            </w:tcBorders>
            <w:noWrap/>
            <w:vAlign w:val="center"/>
            <w:hideMark/>
          </w:tcPr>
          <w:p w14:paraId="2BF78D6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18.672,14</w:t>
            </w:r>
          </w:p>
        </w:tc>
        <w:tc>
          <w:tcPr>
            <w:tcW w:w="1246" w:type="dxa"/>
            <w:tcBorders>
              <w:top w:val="outset" w:sz="6" w:space="0" w:color="auto"/>
              <w:left w:val="outset" w:sz="6" w:space="0" w:color="auto"/>
              <w:bottom w:val="outset" w:sz="6" w:space="0" w:color="auto"/>
              <w:right w:val="outset" w:sz="6" w:space="0" w:color="auto"/>
            </w:tcBorders>
            <w:noWrap/>
            <w:vAlign w:val="center"/>
            <w:hideMark/>
          </w:tcPr>
          <w:p w14:paraId="52F7A29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10.700,31</w:t>
            </w:r>
          </w:p>
        </w:tc>
        <w:tc>
          <w:tcPr>
            <w:tcW w:w="3312" w:type="dxa"/>
            <w:tcBorders>
              <w:top w:val="outset" w:sz="6" w:space="0" w:color="auto"/>
              <w:left w:val="outset" w:sz="6" w:space="0" w:color="auto"/>
              <w:bottom w:val="outset" w:sz="6" w:space="0" w:color="auto"/>
              <w:right w:val="outset" w:sz="6" w:space="0" w:color="auto"/>
            </w:tcBorders>
            <w:noWrap/>
            <w:vAlign w:val="center"/>
            <w:hideMark/>
          </w:tcPr>
          <w:p w14:paraId="012591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29.372,45</w:t>
            </w:r>
          </w:p>
        </w:tc>
      </w:tr>
    </w:tbl>
    <w:p w14:paraId="1A5E29A3" w14:textId="77777777" w:rsidR="0096325A" w:rsidRPr="005432E1" w:rsidRDefault="0096325A" w:rsidP="00AB4859">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297003A2" w14:textId="343414F6"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80282A" w:rsidRPr="005432E1">
        <w:rPr>
          <w:rFonts w:asciiTheme="minorHAnsi" w:hAnsiTheme="minorHAnsi"/>
          <w:b/>
          <w:bCs/>
        </w:rPr>
        <w:t>5</w:t>
      </w:r>
      <w:r w:rsidRPr="005432E1">
        <w:rPr>
          <w:rFonts w:asciiTheme="minorHAnsi" w:hAnsiTheme="minorHAnsi"/>
          <w:b/>
          <w:bCs/>
        </w:rPr>
        <w:t>: Previsão de Despesas para 2021 (R$ milhões)</w:t>
      </w:r>
    </w:p>
    <w:tbl>
      <w:tblPr>
        <w:tblW w:w="9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4656"/>
        <w:gridCol w:w="1436"/>
        <w:gridCol w:w="1436"/>
        <w:gridCol w:w="1209"/>
      </w:tblGrid>
      <w:tr w:rsidR="0026114A" w:rsidRPr="005432E1" w14:paraId="776A98C4" w14:textId="77777777" w:rsidTr="0096325A">
        <w:trPr>
          <w:tblCellSpacing w:w="0" w:type="dxa"/>
        </w:trPr>
        <w:tc>
          <w:tcPr>
            <w:tcW w:w="893" w:type="dxa"/>
            <w:vMerge w:val="restart"/>
            <w:tcBorders>
              <w:top w:val="outset" w:sz="6" w:space="0" w:color="auto"/>
              <w:left w:val="outset" w:sz="6" w:space="0" w:color="auto"/>
              <w:bottom w:val="outset" w:sz="6" w:space="0" w:color="auto"/>
              <w:right w:val="outset" w:sz="6" w:space="0" w:color="auto"/>
            </w:tcBorders>
            <w:noWrap/>
            <w:vAlign w:val="center"/>
            <w:hideMark/>
          </w:tcPr>
          <w:p w14:paraId="49481C87"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FONTE</w:t>
            </w: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6E7B51DA" w14:textId="77777777" w:rsidR="00652B9C" w:rsidRPr="005432E1" w:rsidRDefault="00652B9C" w:rsidP="00AB4859">
            <w:pPr>
              <w:spacing w:before="100" w:beforeAutospacing="1"/>
              <w:rPr>
                <w:rFonts w:asciiTheme="minorHAnsi" w:hAnsiTheme="minorHAnsi"/>
              </w:rPr>
            </w:pPr>
          </w:p>
        </w:tc>
        <w:tc>
          <w:tcPr>
            <w:tcW w:w="3991" w:type="dxa"/>
            <w:gridSpan w:val="3"/>
            <w:tcBorders>
              <w:top w:val="outset" w:sz="6" w:space="0" w:color="auto"/>
              <w:left w:val="outset" w:sz="6" w:space="0" w:color="auto"/>
              <w:bottom w:val="outset" w:sz="6" w:space="0" w:color="auto"/>
              <w:right w:val="outset" w:sz="6" w:space="0" w:color="auto"/>
            </w:tcBorders>
            <w:noWrap/>
            <w:vAlign w:val="center"/>
            <w:hideMark/>
          </w:tcPr>
          <w:p w14:paraId="0C000272"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TOTAIS</w:t>
            </w:r>
          </w:p>
        </w:tc>
      </w:tr>
      <w:tr w:rsidR="0026114A" w:rsidRPr="005432E1" w14:paraId="00F3EC5B" w14:textId="77777777" w:rsidTr="009632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7390BC" w14:textId="77777777" w:rsidR="00652B9C" w:rsidRPr="005432E1" w:rsidRDefault="00652B9C" w:rsidP="00AB4859">
            <w:pPr>
              <w:rPr>
                <w:rFonts w:asciiTheme="minorHAnsi" w:hAnsiTheme="minorHAnsi"/>
              </w:rPr>
            </w:pP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1F846E1E" w14:textId="77777777" w:rsidR="00652B9C" w:rsidRPr="005432E1" w:rsidRDefault="00652B9C" w:rsidP="00AB4859">
            <w:pPr>
              <w:spacing w:before="100" w:beforeAutospacing="1"/>
              <w:rPr>
                <w:rFonts w:asciiTheme="minorHAnsi" w:hAnsiTheme="minorHAnsi"/>
              </w:rPr>
            </w:pP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36812501"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Juros</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1375625F"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Principal</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194B832C"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Total</w:t>
            </w:r>
          </w:p>
        </w:tc>
      </w:tr>
      <w:tr w:rsidR="0026114A" w:rsidRPr="005432E1" w14:paraId="14C3FC57" w14:textId="77777777" w:rsidTr="0096325A">
        <w:trPr>
          <w:tblCellSpacing w:w="0" w:type="dxa"/>
        </w:trPr>
        <w:tc>
          <w:tcPr>
            <w:tcW w:w="893" w:type="dxa"/>
            <w:tcBorders>
              <w:top w:val="outset" w:sz="6" w:space="0" w:color="auto"/>
              <w:left w:val="outset" w:sz="6" w:space="0" w:color="auto"/>
              <w:bottom w:val="outset" w:sz="6" w:space="0" w:color="auto"/>
              <w:right w:val="outset" w:sz="6" w:space="0" w:color="auto"/>
            </w:tcBorders>
            <w:noWrap/>
            <w:vAlign w:val="center"/>
            <w:hideMark/>
          </w:tcPr>
          <w:p w14:paraId="28BF0978"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100</w:t>
            </w: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43DB1317" w14:textId="77777777" w:rsidR="00652B9C" w:rsidRPr="005432E1" w:rsidRDefault="00652B9C" w:rsidP="00AB4859">
            <w:pPr>
              <w:spacing w:before="100" w:beforeAutospacing="1"/>
              <w:rPr>
                <w:rFonts w:asciiTheme="minorHAnsi" w:hAnsiTheme="minorHAnsi"/>
              </w:rPr>
            </w:pP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46783E2C"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0,00</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0DF5F3DB"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0,47</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2F98D22E"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0,47</w:t>
            </w:r>
          </w:p>
        </w:tc>
      </w:tr>
      <w:tr w:rsidR="0026114A" w:rsidRPr="005432E1" w14:paraId="68F514D6" w14:textId="77777777" w:rsidTr="0096325A">
        <w:trPr>
          <w:tblCellSpacing w:w="0" w:type="dxa"/>
        </w:trPr>
        <w:tc>
          <w:tcPr>
            <w:tcW w:w="893" w:type="dxa"/>
            <w:tcBorders>
              <w:top w:val="outset" w:sz="6" w:space="0" w:color="auto"/>
              <w:left w:val="outset" w:sz="6" w:space="0" w:color="auto"/>
              <w:bottom w:val="outset" w:sz="6" w:space="0" w:color="auto"/>
              <w:right w:val="outset" w:sz="6" w:space="0" w:color="auto"/>
            </w:tcBorders>
            <w:noWrap/>
            <w:vAlign w:val="center"/>
            <w:hideMark/>
          </w:tcPr>
          <w:p w14:paraId="3DB44FFA" w14:textId="77777777" w:rsidR="00652B9C" w:rsidRPr="005432E1" w:rsidRDefault="00652B9C" w:rsidP="00AB4859">
            <w:pPr>
              <w:spacing w:before="100" w:beforeAutospacing="1"/>
              <w:rPr>
                <w:rFonts w:asciiTheme="minorHAnsi" w:hAnsiTheme="minorHAnsi"/>
              </w:rPr>
            </w:pP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496CF067"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PNAFE</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734F7D4D"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0,00</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4B86E3AA"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0,00</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10D8D1CB"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0,00</w:t>
            </w:r>
          </w:p>
        </w:tc>
      </w:tr>
      <w:tr w:rsidR="0026114A" w:rsidRPr="005432E1" w14:paraId="03E54578" w14:textId="77777777" w:rsidTr="0096325A">
        <w:trPr>
          <w:tblCellSpacing w:w="0" w:type="dxa"/>
        </w:trPr>
        <w:tc>
          <w:tcPr>
            <w:tcW w:w="893" w:type="dxa"/>
            <w:tcBorders>
              <w:top w:val="outset" w:sz="6" w:space="0" w:color="auto"/>
              <w:left w:val="outset" w:sz="6" w:space="0" w:color="auto"/>
              <w:bottom w:val="outset" w:sz="6" w:space="0" w:color="auto"/>
              <w:right w:val="outset" w:sz="6" w:space="0" w:color="auto"/>
            </w:tcBorders>
            <w:noWrap/>
            <w:vAlign w:val="center"/>
            <w:hideMark/>
          </w:tcPr>
          <w:p w14:paraId="1D2D4982" w14:textId="77777777" w:rsidR="00652B9C" w:rsidRPr="005432E1" w:rsidRDefault="00652B9C" w:rsidP="00AB4859">
            <w:pPr>
              <w:spacing w:before="100" w:beforeAutospacing="1"/>
              <w:rPr>
                <w:rFonts w:asciiTheme="minorHAnsi" w:hAnsiTheme="minorHAnsi"/>
              </w:rPr>
            </w:pP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6D69CC0D"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CARTEIRA DE SANEAMENTO - MP 2196</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0EC60809"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0,00</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5E2EF7BE"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0,47</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4AE30FE3" w14:textId="77777777" w:rsidR="00652B9C" w:rsidRPr="005432E1" w:rsidRDefault="00652B9C" w:rsidP="00AB4859">
            <w:pPr>
              <w:spacing w:before="100" w:beforeAutospacing="1"/>
              <w:rPr>
                <w:rFonts w:asciiTheme="minorHAnsi" w:hAnsiTheme="minorHAnsi"/>
              </w:rPr>
            </w:pPr>
            <w:r w:rsidRPr="005432E1">
              <w:rPr>
                <w:rFonts w:asciiTheme="minorHAnsi" w:hAnsiTheme="minorHAnsi"/>
              </w:rPr>
              <w:t>0,47</w:t>
            </w:r>
          </w:p>
        </w:tc>
      </w:tr>
      <w:tr w:rsidR="0026114A" w:rsidRPr="005432E1" w14:paraId="4DFEC075" w14:textId="77777777" w:rsidTr="0096325A">
        <w:trPr>
          <w:tblCellSpacing w:w="0" w:type="dxa"/>
        </w:trPr>
        <w:tc>
          <w:tcPr>
            <w:tcW w:w="893" w:type="dxa"/>
            <w:tcBorders>
              <w:top w:val="outset" w:sz="6" w:space="0" w:color="auto"/>
              <w:left w:val="outset" w:sz="6" w:space="0" w:color="auto"/>
              <w:bottom w:val="outset" w:sz="6" w:space="0" w:color="auto"/>
              <w:right w:val="outset" w:sz="6" w:space="0" w:color="auto"/>
            </w:tcBorders>
            <w:noWrap/>
            <w:vAlign w:val="center"/>
            <w:hideMark/>
          </w:tcPr>
          <w:p w14:paraId="0DA6C372"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173</w:t>
            </w:r>
          </w:p>
        </w:tc>
        <w:tc>
          <w:tcPr>
            <w:tcW w:w="4626" w:type="dxa"/>
            <w:tcBorders>
              <w:top w:val="outset" w:sz="6" w:space="0" w:color="auto"/>
              <w:left w:val="outset" w:sz="6" w:space="0" w:color="auto"/>
              <w:bottom w:val="outset" w:sz="6" w:space="0" w:color="auto"/>
              <w:right w:val="outset" w:sz="6" w:space="0" w:color="auto"/>
            </w:tcBorders>
            <w:noWrap/>
            <w:vAlign w:val="center"/>
            <w:hideMark/>
          </w:tcPr>
          <w:p w14:paraId="51A49E64"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Lei 8.727/93</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335D4216"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94,00</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1BBD2514"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652,21</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42443700"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746,21</w:t>
            </w:r>
          </w:p>
        </w:tc>
      </w:tr>
      <w:tr w:rsidR="0026114A" w:rsidRPr="005432E1" w14:paraId="0B0FCD93" w14:textId="77777777" w:rsidTr="0096325A">
        <w:trPr>
          <w:tblCellSpacing w:w="0" w:type="dxa"/>
        </w:trPr>
        <w:tc>
          <w:tcPr>
            <w:tcW w:w="5519" w:type="dxa"/>
            <w:gridSpan w:val="2"/>
            <w:tcBorders>
              <w:top w:val="outset" w:sz="6" w:space="0" w:color="auto"/>
              <w:left w:val="outset" w:sz="6" w:space="0" w:color="auto"/>
              <w:bottom w:val="outset" w:sz="6" w:space="0" w:color="auto"/>
              <w:right w:val="outset" w:sz="6" w:space="0" w:color="auto"/>
            </w:tcBorders>
            <w:noWrap/>
            <w:vAlign w:val="center"/>
            <w:hideMark/>
          </w:tcPr>
          <w:p w14:paraId="412A30F4"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TOTAIS</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0AA4E26D"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94,00</w:t>
            </w:r>
          </w:p>
        </w:tc>
        <w:tc>
          <w:tcPr>
            <w:tcW w:w="1406" w:type="dxa"/>
            <w:tcBorders>
              <w:top w:val="outset" w:sz="6" w:space="0" w:color="auto"/>
              <w:left w:val="outset" w:sz="6" w:space="0" w:color="auto"/>
              <w:bottom w:val="outset" w:sz="6" w:space="0" w:color="auto"/>
              <w:right w:val="outset" w:sz="6" w:space="0" w:color="auto"/>
            </w:tcBorders>
            <w:noWrap/>
            <w:vAlign w:val="center"/>
            <w:hideMark/>
          </w:tcPr>
          <w:p w14:paraId="728F24A5"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652,68</w:t>
            </w:r>
          </w:p>
        </w:tc>
        <w:tc>
          <w:tcPr>
            <w:tcW w:w="1179" w:type="dxa"/>
            <w:tcBorders>
              <w:top w:val="outset" w:sz="6" w:space="0" w:color="auto"/>
              <w:left w:val="outset" w:sz="6" w:space="0" w:color="auto"/>
              <w:bottom w:val="outset" w:sz="6" w:space="0" w:color="auto"/>
              <w:right w:val="outset" w:sz="6" w:space="0" w:color="auto"/>
            </w:tcBorders>
            <w:noWrap/>
            <w:vAlign w:val="center"/>
            <w:hideMark/>
          </w:tcPr>
          <w:p w14:paraId="787DBEDB" w14:textId="77777777" w:rsidR="00652B9C" w:rsidRPr="005432E1" w:rsidRDefault="00652B9C" w:rsidP="00AB4859">
            <w:pPr>
              <w:spacing w:before="100" w:beforeAutospacing="1"/>
              <w:rPr>
                <w:rFonts w:asciiTheme="minorHAnsi" w:hAnsiTheme="minorHAnsi"/>
              </w:rPr>
            </w:pPr>
            <w:r w:rsidRPr="005432E1">
              <w:rPr>
                <w:rFonts w:asciiTheme="minorHAnsi" w:hAnsiTheme="minorHAnsi"/>
                <w:b/>
                <w:bCs/>
              </w:rPr>
              <w:t>746,69</w:t>
            </w:r>
          </w:p>
        </w:tc>
      </w:tr>
    </w:tbl>
    <w:p w14:paraId="784E372C" w14:textId="77777777" w:rsidR="0096325A" w:rsidRPr="005432E1" w:rsidRDefault="0096325A" w:rsidP="00AB4859">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6BA78AB8"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rPr>
        <w:t>Na avaliação dos haveres acima relacionados, foram mapeados os seguintes riscos fiscais:</w:t>
      </w:r>
    </w:p>
    <w:p w14:paraId="158198E0" w14:textId="77777777" w:rsidR="00652B9C" w:rsidRPr="005432E1" w:rsidRDefault="009C14A2" w:rsidP="00652B9C">
      <w:pPr>
        <w:spacing w:before="100" w:beforeAutospacing="1" w:after="100" w:afterAutospacing="1"/>
        <w:jc w:val="both"/>
        <w:rPr>
          <w:rFonts w:asciiTheme="minorHAnsi" w:hAnsiTheme="minorHAnsi"/>
        </w:rPr>
      </w:pPr>
      <w:r w:rsidRPr="005432E1">
        <w:rPr>
          <w:rFonts w:asciiTheme="minorHAnsi" w:hAnsiTheme="minorHAnsi"/>
          <w:b/>
          <w:bCs/>
        </w:rPr>
        <w:t xml:space="preserve">a.1.2) </w:t>
      </w:r>
      <w:r w:rsidR="00652B9C" w:rsidRPr="005432E1">
        <w:rPr>
          <w:rFonts w:asciiTheme="minorHAnsi" w:hAnsiTheme="minorHAnsi"/>
          <w:b/>
          <w:bCs/>
        </w:rPr>
        <w:t>Riscos relativos às variações nas receitas dos haveres apresentados</w:t>
      </w:r>
      <w:r w:rsidR="00BE2F6E" w:rsidRPr="005432E1">
        <w:rPr>
          <w:rFonts w:asciiTheme="minorHAnsi" w:hAnsiTheme="minorHAnsi"/>
          <w:b/>
          <w:bCs/>
        </w:rPr>
        <w:t xml:space="preserve">:  </w:t>
      </w:r>
      <w:r w:rsidR="00652B9C" w:rsidRPr="005432E1">
        <w:rPr>
          <w:rFonts w:asciiTheme="minorHAnsi" w:hAnsiTheme="minorHAnsi"/>
        </w:rPr>
        <w:t xml:space="preserve">As receitas previstas para os exercícios subsequentes são estimadas </w:t>
      </w:r>
      <w:r w:rsidR="00B50C39" w:rsidRPr="005432E1">
        <w:rPr>
          <w:rFonts w:asciiTheme="minorHAnsi" w:hAnsiTheme="minorHAnsi"/>
        </w:rPr>
        <w:t xml:space="preserve">pela STN </w:t>
      </w:r>
      <w:r w:rsidR="00652B9C" w:rsidRPr="005432E1">
        <w:rPr>
          <w:rFonts w:asciiTheme="minorHAnsi" w:hAnsiTheme="minorHAnsi"/>
        </w:rPr>
        <w:t xml:space="preserve">de acordo com </w:t>
      </w:r>
      <w:r w:rsidR="00BE2F6E" w:rsidRPr="005432E1">
        <w:rPr>
          <w:rFonts w:asciiTheme="minorHAnsi" w:hAnsiTheme="minorHAnsi"/>
        </w:rPr>
        <w:t>premissas conservadoras</w:t>
      </w:r>
      <w:r w:rsidR="00B50C39" w:rsidRPr="005432E1">
        <w:rPr>
          <w:rFonts w:asciiTheme="minorHAnsi" w:hAnsiTheme="minorHAnsi"/>
        </w:rPr>
        <w:t>,</w:t>
      </w:r>
      <w:r w:rsidR="00BE2F6E" w:rsidRPr="005432E1">
        <w:rPr>
          <w:rFonts w:asciiTheme="minorHAnsi" w:hAnsiTheme="minorHAnsi"/>
        </w:rPr>
        <w:t xml:space="preserve"> </w:t>
      </w:r>
      <w:r w:rsidR="00652B9C" w:rsidRPr="005432E1">
        <w:rPr>
          <w:rFonts w:asciiTheme="minorHAnsi" w:hAnsiTheme="minorHAnsi"/>
        </w:rPr>
        <w:t xml:space="preserve">utilizando cenários de indexadores fornecidos pela </w:t>
      </w:r>
      <w:r w:rsidR="00B50C39" w:rsidRPr="005432E1">
        <w:rPr>
          <w:rFonts w:asciiTheme="minorHAnsi" w:hAnsiTheme="minorHAnsi"/>
        </w:rPr>
        <w:t xml:space="preserve">própria </w:t>
      </w:r>
      <w:r w:rsidR="00652B9C" w:rsidRPr="005432E1">
        <w:rPr>
          <w:rFonts w:asciiTheme="minorHAnsi" w:hAnsiTheme="minorHAnsi"/>
        </w:rPr>
        <w:t>STN e encaminhadas anualmente para a SPOA/MF de forma a compor o Projeto de Lei Orçamentária Anual – PLOA, do ano subsequente. As receitas decorrentes dos haveres junto aos Estados e Municípios sofrem impacto das seguintes variáveis, a saber:</w:t>
      </w:r>
    </w:p>
    <w:p w14:paraId="27D28FBC"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 xml:space="preserve">Variações da Receita Líquida Real </w:t>
      </w:r>
      <w:r w:rsidR="00BE2F6E" w:rsidRPr="005432E1">
        <w:rPr>
          <w:rFonts w:asciiTheme="minorHAnsi" w:hAnsiTheme="minorHAnsi"/>
          <w:b/>
          <w:bCs/>
        </w:rPr>
        <w:t>–</w:t>
      </w:r>
      <w:r w:rsidRPr="005432E1">
        <w:rPr>
          <w:rFonts w:asciiTheme="minorHAnsi" w:hAnsiTheme="minorHAnsi"/>
          <w:b/>
          <w:bCs/>
        </w:rPr>
        <w:t xml:space="preserve"> RLR</w:t>
      </w:r>
      <w:r w:rsidR="00BE2F6E" w:rsidRPr="005432E1">
        <w:rPr>
          <w:rFonts w:asciiTheme="minorHAnsi" w:hAnsiTheme="minorHAnsi"/>
          <w:b/>
          <w:bCs/>
        </w:rPr>
        <w:t xml:space="preserve">: </w:t>
      </w:r>
      <w:r w:rsidRPr="005432E1">
        <w:rPr>
          <w:rFonts w:asciiTheme="minorHAnsi" w:hAnsiTheme="minorHAnsi"/>
        </w:rPr>
        <w:t>Essa variável não apresentará mais impacto nos recebimentos sob gestão da STN a partir de 2018, em vista da adesão dos entes às condições da LC nº 156/16, de forma que não haverá mais necessidade de cálculo do limite de comprometimento.</w:t>
      </w:r>
    </w:p>
    <w:p w14:paraId="5B0B70B3" w14:textId="4D14F13E" w:rsidR="0072376F" w:rsidRPr="005432E1" w:rsidRDefault="00652B9C" w:rsidP="0001423A">
      <w:pPr>
        <w:spacing w:before="100" w:beforeAutospacing="1" w:after="100" w:afterAutospacing="1"/>
        <w:jc w:val="both"/>
        <w:rPr>
          <w:rFonts w:asciiTheme="minorHAnsi" w:hAnsiTheme="minorHAnsi"/>
          <w:b/>
          <w:bCs/>
        </w:rPr>
      </w:pPr>
      <w:r w:rsidRPr="005432E1">
        <w:rPr>
          <w:rFonts w:asciiTheme="minorHAnsi" w:hAnsiTheme="minorHAnsi"/>
          <w:b/>
          <w:bCs/>
        </w:rPr>
        <w:t>Variações nos indexadores das dívidas</w:t>
      </w:r>
      <w:r w:rsidR="00BE2F6E" w:rsidRPr="005432E1">
        <w:rPr>
          <w:rFonts w:asciiTheme="minorHAnsi" w:hAnsiTheme="minorHAnsi"/>
          <w:b/>
          <w:bCs/>
        </w:rPr>
        <w:t xml:space="preserve">: </w:t>
      </w:r>
      <w:r w:rsidRPr="005432E1">
        <w:rPr>
          <w:rFonts w:asciiTheme="minorHAnsi" w:hAnsiTheme="minorHAnsi"/>
        </w:rPr>
        <w:t xml:space="preserve">Os créditos geridos pela STN apresentam diversos indexadores, conforme mostrado na Tabela </w:t>
      </w:r>
      <w:r w:rsidR="00A0617C" w:rsidRPr="005432E1">
        <w:rPr>
          <w:rFonts w:asciiTheme="minorHAnsi" w:hAnsiTheme="minorHAnsi"/>
        </w:rPr>
        <w:t>3</w:t>
      </w:r>
      <w:r w:rsidRPr="005432E1">
        <w:rPr>
          <w:rFonts w:asciiTheme="minorHAnsi" w:hAnsiTheme="minorHAnsi"/>
        </w:rPr>
        <w:t>6 abaixo, de forma que as variações nos indexadores de cada dívida podem impactar de forma positiva ou negativa os recebimentos previstos para determinado exercício.</w:t>
      </w:r>
    </w:p>
    <w:p w14:paraId="763BC27B" w14:textId="3777A320"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A0617C" w:rsidRPr="005432E1">
        <w:rPr>
          <w:rFonts w:asciiTheme="minorHAnsi" w:hAnsiTheme="minorHAnsi"/>
          <w:b/>
          <w:bCs/>
        </w:rPr>
        <w:t>6</w:t>
      </w:r>
      <w:r w:rsidRPr="005432E1">
        <w:rPr>
          <w:rFonts w:asciiTheme="minorHAnsi" w:hAnsiTheme="minorHAnsi"/>
          <w:b/>
          <w:bCs/>
        </w:rPr>
        <w:t>: Indexadores por Programa -  2014 a 2017</w:t>
      </w:r>
    </w:p>
    <w:tbl>
      <w:tblPr>
        <w:tblW w:w="566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976"/>
      </w:tblGrid>
      <w:tr w:rsidR="0026114A" w:rsidRPr="005432E1" w14:paraId="49BF7F53"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6DA0EEF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b/>
                <w:bCs/>
              </w:rPr>
              <w:t>Programa</w:t>
            </w:r>
          </w:p>
        </w:tc>
        <w:tc>
          <w:tcPr>
            <w:tcW w:w="2976" w:type="dxa"/>
            <w:tcBorders>
              <w:top w:val="outset" w:sz="6" w:space="0" w:color="auto"/>
              <w:left w:val="outset" w:sz="6" w:space="0" w:color="auto"/>
              <w:bottom w:val="outset" w:sz="6" w:space="0" w:color="auto"/>
              <w:right w:val="outset" w:sz="6" w:space="0" w:color="auto"/>
            </w:tcBorders>
            <w:vAlign w:val="center"/>
            <w:hideMark/>
          </w:tcPr>
          <w:p w14:paraId="51FBF3A9"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b/>
                <w:bCs/>
              </w:rPr>
              <w:t>Indexadores</w:t>
            </w:r>
          </w:p>
        </w:tc>
      </w:tr>
      <w:tr w:rsidR="0026114A" w:rsidRPr="005432E1" w14:paraId="5F4BBEC8"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5284605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Acordo Brasil-França</w:t>
            </w:r>
          </w:p>
        </w:tc>
        <w:tc>
          <w:tcPr>
            <w:tcW w:w="2976" w:type="dxa"/>
            <w:tcBorders>
              <w:top w:val="outset" w:sz="6" w:space="0" w:color="auto"/>
              <w:left w:val="outset" w:sz="6" w:space="0" w:color="auto"/>
              <w:bottom w:val="outset" w:sz="6" w:space="0" w:color="auto"/>
              <w:right w:val="outset" w:sz="6" w:space="0" w:color="auto"/>
            </w:tcBorders>
            <w:vAlign w:val="center"/>
            <w:hideMark/>
          </w:tcPr>
          <w:p w14:paraId="3B7053CD"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Euro</w:t>
            </w:r>
          </w:p>
        </w:tc>
      </w:tr>
      <w:tr w:rsidR="0026114A" w:rsidRPr="005432E1" w14:paraId="4921391D"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77E2DA4A"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Acordo BACEN/BANERJ</w:t>
            </w:r>
          </w:p>
        </w:tc>
        <w:tc>
          <w:tcPr>
            <w:tcW w:w="2976" w:type="dxa"/>
            <w:tcBorders>
              <w:top w:val="outset" w:sz="6" w:space="0" w:color="auto"/>
              <w:left w:val="outset" w:sz="6" w:space="0" w:color="auto"/>
              <w:bottom w:val="outset" w:sz="6" w:space="0" w:color="auto"/>
              <w:right w:val="outset" w:sz="6" w:space="0" w:color="auto"/>
            </w:tcBorders>
            <w:vAlign w:val="center"/>
            <w:hideMark/>
          </w:tcPr>
          <w:p w14:paraId="54DD4EB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IGP-DI</w:t>
            </w:r>
          </w:p>
        </w:tc>
      </w:tr>
      <w:tr w:rsidR="0026114A" w:rsidRPr="005432E1" w14:paraId="26DC8CBE"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1A98F2B1"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Carteira de Saneamento</w:t>
            </w:r>
          </w:p>
        </w:tc>
        <w:tc>
          <w:tcPr>
            <w:tcW w:w="2976" w:type="dxa"/>
            <w:tcBorders>
              <w:top w:val="outset" w:sz="6" w:space="0" w:color="auto"/>
              <w:left w:val="outset" w:sz="6" w:space="0" w:color="auto"/>
              <w:bottom w:val="outset" w:sz="6" w:space="0" w:color="auto"/>
              <w:right w:val="outset" w:sz="6" w:space="0" w:color="auto"/>
            </w:tcBorders>
            <w:vAlign w:val="center"/>
            <w:hideMark/>
          </w:tcPr>
          <w:p w14:paraId="78A32C0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TR</w:t>
            </w:r>
          </w:p>
        </w:tc>
      </w:tr>
      <w:tr w:rsidR="0026114A" w:rsidRPr="005432E1" w14:paraId="1E661FE8"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76100F17"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Contrato de Cessão do Estado do RJ (</w:t>
            </w:r>
            <w:r w:rsidRPr="005432E1">
              <w:rPr>
                <w:rFonts w:asciiTheme="minorHAnsi" w:hAnsiTheme="minorHAnsi"/>
                <w:i/>
                <w:iCs/>
              </w:rPr>
              <w:t>Royalties)</w:t>
            </w:r>
          </w:p>
        </w:tc>
        <w:tc>
          <w:tcPr>
            <w:tcW w:w="2976" w:type="dxa"/>
            <w:tcBorders>
              <w:top w:val="outset" w:sz="6" w:space="0" w:color="auto"/>
              <w:left w:val="outset" w:sz="6" w:space="0" w:color="auto"/>
              <w:bottom w:val="outset" w:sz="6" w:space="0" w:color="auto"/>
              <w:right w:val="outset" w:sz="6" w:space="0" w:color="auto"/>
            </w:tcBorders>
            <w:vAlign w:val="center"/>
            <w:hideMark/>
          </w:tcPr>
          <w:p w14:paraId="611FDCCA"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IGP-DI</w:t>
            </w:r>
          </w:p>
        </w:tc>
      </w:tr>
      <w:tr w:rsidR="0026114A" w:rsidRPr="005432E1" w14:paraId="213173AE"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4EE2B7AF"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Contrato de Cessão dos Estados de MS e PR (</w:t>
            </w:r>
            <w:r w:rsidRPr="005432E1">
              <w:rPr>
                <w:rFonts w:asciiTheme="minorHAnsi" w:hAnsiTheme="minorHAnsi"/>
                <w:i/>
                <w:iCs/>
              </w:rPr>
              <w:t>Royalties)</w:t>
            </w:r>
          </w:p>
        </w:tc>
        <w:tc>
          <w:tcPr>
            <w:tcW w:w="2976" w:type="dxa"/>
            <w:tcBorders>
              <w:top w:val="outset" w:sz="6" w:space="0" w:color="auto"/>
              <w:left w:val="outset" w:sz="6" w:space="0" w:color="auto"/>
              <w:bottom w:val="outset" w:sz="6" w:space="0" w:color="auto"/>
              <w:right w:val="outset" w:sz="6" w:space="0" w:color="auto"/>
            </w:tcBorders>
            <w:vAlign w:val="center"/>
            <w:hideMark/>
          </w:tcPr>
          <w:p w14:paraId="6AAD9B73"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IGP-M e TAR*</w:t>
            </w:r>
          </w:p>
        </w:tc>
      </w:tr>
      <w:tr w:rsidR="0026114A" w:rsidRPr="005432E1" w14:paraId="7FE49B71"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012F991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DMLP</w:t>
            </w:r>
          </w:p>
        </w:tc>
        <w:tc>
          <w:tcPr>
            <w:tcW w:w="2976" w:type="dxa"/>
            <w:tcBorders>
              <w:top w:val="outset" w:sz="6" w:space="0" w:color="auto"/>
              <w:left w:val="outset" w:sz="6" w:space="0" w:color="auto"/>
              <w:bottom w:val="outset" w:sz="6" w:space="0" w:color="auto"/>
              <w:right w:val="outset" w:sz="6" w:space="0" w:color="auto"/>
            </w:tcBorders>
            <w:vAlign w:val="center"/>
            <w:hideMark/>
          </w:tcPr>
          <w:p w14:paraId="1A1056F4"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Dólar</w:t>
            </w:r>
          </w:p>
        </w:tc>
      </w:tr>
      <w:tr w:rsidR="0026114A" w:rsidRPr="005432E1" w14:paraId="7C0108DF"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002C2A5D"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Lei n</w:t>
            </w:r>
            <w:r w:rsidRPr="005432E1">
              <w:rPr>
                <w:rFonts w:asciiTheme="minorHAnsi" w:hAnsiTheme="minorHAnsi"/>
                <w:vertAlign w:val="superscript"/>
              </w:rPr>
              <w:t>o</w:t>
            </w:r>
            <w:r w:rsidRPr="005432E1">
              <w:rPr>
                <w:rFonts w:asciiTheme="minorHAnsi" w:hAnsiTheme="minorHAnsi"/>
              </w:rPr>
              <w:t xml:space="preserve"> 8.727/93</w:t>
            </w:r>
          </w:p>
        </w:tc>
        <w:tc>
          <w:tcPr>
            <w:tcW w:w="2976" w:type="dxa"/>
            <w:tcBorders>
              <w:top w:val="outset" w:sz="6" w:space="0" w:color="auto"/>
              <w:left w:val="outset" w:sz="6" w:space="0" w:color="auto"/>
              <w:bottom w:val="outset" w:sz="6" w:space="0" w:color="auto"/>
              <w:right w:val="outset" w:sz="6" w:space="0" w:color="auto"/>
            </w:tcBorders>
            <w:vAlign w:val="center"/>
            <w:hideMark/>
          </w:tcPr>
          <w:p w14:paraId="3961E7A9"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TR, TJLP e IGP-M</w:t>
            </w:r>
          </w:p>
        </w:tc>
      </w:tr>
      <w:tr w:rsidR="0026114A" w:rsidRPr="005432E1" w14:paraId="774BA614"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4EBE505E"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Lei n</w:t>
            </w:r>
            <w:r w:rsidRPr="005432E1">
              <w:rPr>
                <w:rFonts w:asciiTheme="minorHAnsi" w:hAnsiTheme="minorHAnsi"/>
                <w:vertAlign w:val="superscript"/>
              </w:rPr>
              <w:t>o</w:t>
            </w:r>
            <w:r w:rsidRPr="005432E1">
              <w:rPr>
                <w:rFonts w:asciiTheme="minorHAnsi" w:hAnsiTheme="minorHAnsi"/>
              </w:rPr>
              <w:t xml:space="preserve"> 9.496/97</w:t>
            </w:r>
          </w:p>
        </w:tc>
        <w:tc>
          <w:tcPr>
            <w:tcW w:w="2976" w:type="dxa"/>
            <w:tcBorders>
              <w:top w:val="outset" w:sz="6" w:space="0" w:color="auto"/>
              <w:left w:val="outset" w:sz="6" w:space="0" w:color="auto"/>
              <w:bottom w:val="outset" w:sz="6" w:space="0" w:color="auto"/>
              <w:right w:val="outset" w:sz="6" w:space="0" w:color="auto"/>
            </w:tcBorders>
            <w:vAlign w:val="center"/>
            <w:hideMark/>
          </w:tcPr>
          <w:p w14:paraId="761DFBA3"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IGP-DI ou CAM**</w:t>
            </w:r>
          </w:p>
        </w:tc>
      </w:tr>
      <w:tr w:rsidR="0026114A" w:rsidRPr="005432E1" w14:paraId="56832BB7"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2C2F55DD"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MP n</w:t>
            </w:r>
            <w:r w:rsidRPr="005432E1">
              <w:rPr>
                <w:rFonts w:asciiTheme="minorHAnsi" w:hAnsiTheme="minorHAnsi"/>
                <w:vertAlign w:val="superscript"/>
              </w:rPr>
              <w:t>o</w:t>
            </w:r>
            <w:r w:rsidRPr="005432E1">
              <w:rPr>
                <w:rFonts w:asciiTheme="minorHAnsi" w:hAnsiTheme="minorHAnsi"/>
              </w:rPr>
              <w:t xml:space="preserve"> 2.185/01</w:t>
            </w:r>
          </w:p>
        </w:tc>
        <w:tc>
          <w:tcPr>
            <w:tcW w:w="2976" w:type="dxa"/>
            <w:tcBorders>
              <w:top w:val="outset" w:sz="6" w:space="0" w:color="auto"/>
              <w:left w:val="outset" w:sz="6" w:space="0" w:color="auto"/>
              <w:bottom w:val="outset" w:sz="6" w:space="0" w:color="auto"/>
              <w:right w:val="outset" w:sz="6" w:space="0" w:color="auto"/>
            </w:tcBorders>
            <w:vAlign w:val="center"/>
            <w:hideMark/>
          </w:tcPr>
          <w:p w14:paraId="2EFDB7DB"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IGP-DI ou CAM**</w:t>
            </w:r>
          </w:p>
        </w:tc>
      </w:tr>
      <w:tr w:rsidR="0026114A" w:rsidRPr="005432E1" w14:paraId="54F8E9FD" w14:textId="77777777" w:rsidTr="00AB4859">
        <w:trPr>
          <w:tblCellSpacing w:w="0" w:type="dxa"/>
          <w:jc w:val="center"/>
        </w:trPr>
        <w:tc>
          <w:tcPr>
            <w:tcW w:w="2686" w:type="dxa"/>
            <w:tcBorders>
              <w:top w:val="outset" w:sz="6" w:space="0" w:color="auto"/>
              <w:left w:val="outset" w:sz="6" w:space="0" w:color="auto"/>
              <w:bottom w:val="outset" w:sz="6" w:space="0" w:color="auto"/>
              <w:right w:val="outset" w:sz="6" w:space="0" w:color="auto"/>
            </w:tcBorders>
            <w:vAlign w:val="center"/>
            <w:hideMark/>
          </w:tcPr>
          <w:p w14:paraId="0130FF8C"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PNAFE</w:t>
            </w:r>
          </w:p>
        </w:tc>
        <w:tc>
          <w:tcPr>
            <w:tcW w:w="2976" w:type="dxa"/>
            <w:tcBorders>
              <w:top w:val="outset" w:sz="6" w:space="0" w:color="auto"/>
              <w:left w:val="outset" w:sz="6" w:space="0" w:color="auto"/>
              <w:bottom w:val="outset" w:sz="6" w:space="0" w:color="auto"/>
              <w:right w:val="outset" w:sz="6" w:space="0" w:color="auto"/>
            </w:tcBorders>
            <w:vAlign w:val="center"/>
            <w:hideMark/>
          </w:tcPr>
          <w:p w14:paraId="4FC85F32" w14:textId="77777777" w:rsidR="00082B79" w:rsidRPr="005432E1" w:rsidRDefault="00082B79" w:rsidP="00AB4859">
            <w:pPr>
              <w:spacing w:before="100" w:beforeAutospacing="1" w:after="100" w:afterAutospacing="1"/>
              <w:contextualSpacing/>
              <w:rPr>
                <w:rFonts w:asciiTheme="minorHAnsi" w:hAnsiTheme="minorHAnsi"/>
              </w:rPr>
            </w:pPr>
            <w:r w:rsidRPr="005432E1">
              <w:rPr>
                <w:rFonts w:asciiTheme="minorHAnsi" w:hAnsiTheme="minorHAnsi"/>
              </w:rPr>
              <w:t>Dólar</w:t>
            </w:r>
          </w:p>
        </w:tc>
      </w:tr>
    </w:tbl>
    <w:p w14:paraId="6395AEDF" w14:textId="7E2C3BB8" w:rsidR="00BD6EC4" w:rsidRPr="005432E1" w:rsidRDefault="00AB4859" w:rsidP="00AB4859">
      <w:pPr>
        <w:spacing w:after="100" w:afterAutospacing="1"/>
        <w:rPr>
          <w:rFonts w:asciiTheme="minorHAnsi" w:hAnsiTheme="minorHAnsi"/>
          <w:sz w:val="20"/>
          <w:szCs w:val="20"/>
        </w:rPr>
      </w:pPr>
      <w:r w:rsidRPr="005432E1">
        <w:rPr>
          <w:rFonts w:asciiTheme="minorHAnsi" w:hAnsiTheme="minorHAnsi"/>
          <w:sz w:val="20"/>
          <w:szCs w:val="20"/>
        </w:rPr>
        <w:tab/>
      </w:r>
      <w:r w:rsidR="00BD6EC4" w:rsidRPr="005432E1">
        <w:rPr>
          <w:rFonts w:asciiTheme="minorHAnsi" w:hAnsiTheme="minorHAnsi"/>
          <w:sz w:val="20"/>
          <w:szCs w:val="20"/>
        </w:rPr>
        <w:tab/>
      </w:r>
      <w:r w:rsidR="00BD6EC4" w:rsidRPr="005432E1">
        <w:rPr>
          <w:rFonts w:asciiTheme="minorHAnsi" w:hAnsiTheme="minorHAnsi"/>
          <w:sz w:val="20"/>
          <w:szCs w:val="20"/>
        </w:rPr>
        <w:tab/>
        <w:t>Fonte: COAFI/STN/MF.</w:t>
      </w:r>
    </w:p>
    <w:p w14:paraId="5E408128" w14:textId="77777777" w:rsidR="00652B9C" w:rsidRPr="005432E1" w:rsidRDefault="00652B9C" w:rsidP="00082B79">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 Tarifa Atualizada de Referência (TAR) utilizada no cálculo da Compensação Financeira pela Utilização de Recursos Hídricos (CFURH) para geração hidrelétrica</w:t>
      </w:r>
      <w:r w:rsidR="005302C5" w:rsidRPr="005432E1">
        <w:rPr>
          <w:rFonts w:asciiTheme="minorHAnsi" w:hAnsiTheme="minorHAnsi"/>
          <w:sz w:val="20"/>
          <w:szCs w:val="20"/>
        </w:rPr>
        <w:t xml:space="preserve"> e publicada regularmente pela Agência Nacional</w:t>
      </w:r>
      <w:r w:rsidRPr="005432E1">
        <w:rPr>
          <w:rFonts w:asciiTheme="minorHAnsi" w:hAnsiTheme="minorHAnsi"/>
          <w:sz w:val="20"/>
          <w:szCs w:val="20"/>
        </w:rPr>
        <w:t xml:space="preserve"> de Energia Elétrica – ANEEL.</w:t>
      </w:r>
    </w:p>
    <w:p w14:paraId="6BA7CC73" w14:textId="77777777" w:rsidR="00652B9C" w:rsidRPr="005432E1" w:rsidRDefault="00652B9C" w:rsidP="00082B79">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 xml:space="preserve">(**) Cabe ressaltar que, com a vigência da Lei Complementar nº 148/2014, os Estados e </w:t>
      </w:r>
      <w:r w:rsidR="005302C5" w:rsidRPr="005432E1">
        <w:rPr>
          <w:rFonts w:asciiTheme="minorHAnsi" w:hAnsiTheme="minorHAnsi"/>
          <w:sz w:val="20"/>
          <w:szCs w:val="20"/>
        </w:rPr>
        <w:t xml:space="preserve">Municípios com refinanciamentos ao amparo da Lei nº 9.496/97 e da MP nº 2.185/01, respectivamente, que aderiram às condições da referida LC, passarão a ter suas dívidas atualizadas pelo Coeficiente de atualização monetária – CAM, o qual é impactado mensalmente pelos valores do índice Nacional de preços ao Consumidor Amplo (IPCA), e pela taxa referencial do Sistema Especial de Liquidação e de Custódia (SELIC). Os valores atualizados do CAM são publicados mensalmente no site do Tesouro Nacional em: </w:t>
      </w:r>
      <w:hyperlink r:id="rId22" w:history="1">
        <w:r w:rsidR="005302C5" w:rsidRPr="005432E1">
          <w:rPr>
            <w:rStyle w:val="Hyperlink"/>
            <w:rFonts w:asciiTheme="minorHAnsi" w:hAnsiTheme="minorHAnsi"/>
            <w:color w:val="auto"/>
            <w:sz w:val="20"/>
            <w:szCs w:val="20"/>
          </w:rPr>
          <w:t>https://sahem.tesouro.gov.br/sahem/public/consultar_cam.jsf</w:t>
        </w:r>
      </w:hyperlink>
      <w:r w:rsidR="005302C5" w:rsidRPr="005432E1">
        <w:rPr>
          <w:rFonts w:asciiTheme="minorHAnsi" w:hAnsiTheme="minorHAnsi"/>
          <w:sz w:val="20"/>
          <w:szCs w:val="20"/>
        </w:rPr>
        <w:t>.</w:t>
      </w:r>
    </w:p>
    <w:p w14:paraId="1F5B35BD"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R</w:t>
      </w:r>
      <w:r w:rsidR="00254913" w:rsidRPr="005432E1">
        <w:rPr>
          <w:rFonts w:asciiTheme="minorHAnsi" w:hAnsiTheme="minorHAnsi"/>
          <w:b/>
          <w:bCs/>
        </w:rPr>
        <w:t>e</w:t>
      </w:r>
      <w:r w:rsidRPr="005432E1">
        <w:rPr>
          <w:rFonts w:asciiTheme="minorHAnsi" w:hAnsiTheme="minorHAnsi"/>
          <w:b/>
          <w:bCs/>
        </w:rPr>
        <w:t>cebimentos a menor decorrentes de inadimplementos pontuais</w:t>
      </w:r>
      <w:r w:rsidR="00BE2F6E" w:rsidRPr="005432E1">
        <w:rPr>
          <w:rFonts w:asciiTheme="minorHAnsi" w:hAnsiTheme="minorHAnsi"/>
          <w:b/>
          <w:bCs/>
        </w:rPr>
        <w:t xml:space="preserve">: </w:t>
      </w:r>
      <w:r w:rsidRPr="005432E1">
        <w:rPr>
          <w:rFonts w:asciiTheme="minorHAnsi" w:hAnsiTheme="minorHAnsi"/>
        </w:rPr>
        <w:t>A ocorrência de inadimplementos pontuais é mitigada por meio do mecanismo de resgate de garantias previstas em contrato, tais como repasses referentes aos Fundos de Participação dos Estados e Distrito Federal e dos Municípios – FPE e FPM, e receitas próprias dos entes. A operacionalização do resgate das garantias é efetuada por meio do agente financeiro.</w:t>
      </w:r>
    </w:p>
    <w:p w14:paraId="0929651C" w14:textId="77777777" w:rsidR="00652B9C" w:rsidRPr="005432E1" w:rsidRDefault="00652B9C" w:rsidP="00652B9C">
      <w:pPr>
        <w:spacing w:before="100" w:beforeAutospacing="1" w:after="100" w:afterAutospacing="1"/>
        <w:jc w:val="both"/>
        <w:rPr>
          <w:rFonts w:asciiTheme="minorHAnsi" w:hAnsiTheme="minorHAnsi"/>
        </w:rPr>
      </w:pPr>
      <w:r w:rsidRPr="005432E1">
        <w:rPr>
          <w:rFonts w:asciiTheme="minorHAnsi" w:hAnsiTheme="minorHAnsi"/>
          <w:b/>
          <w:bCs/>
        </w:rPr>
        <w:t>Recebimentos a menor decorrentes de inadimplementos sistemáticos e/ou ações judiciais</w:t>
      </w:r>
      <w:r w:rsidR="00BE2F6E" w:rsidRPr="005432E1">
        <w:rPr>
          <w:rFonts w:asciiTheme="minorHAnsi" w:hAnsiTheme="minorHAnsi"/>
          <w:b/>
          <w:bCs/>
        </w:rPr>
        <w:t xml:space="preserve">: </w:t>
      </w:r>
      <w:r w:rsidR="00BE2F6E" w:rsidRPr="005432E1">
        <w:rPr>
          <w:rFonts w:asciiTheme="minorHAnsi" w:hAnsiTheme="minorHAnsi"/>
        </w:rPr>
        <w:t xml:space="preserve">A </w:t>
      </w:r>
      <w:r w:rsidRPr="005432E1">
        <w:rPr>
          <w:rFonts w:asciiTheme="minorHAnsi" w:hAnsiTheme="minorHAnsi"/>
        </w:rPr>
        <w:t xml:space="preserve">ocorrência de inadimplementos sistemáticos (inadimplências durante períodos superiores a 180 dias) decorre em geral de situações em que o Tesouro Nacional fica impedido de utilizar o mecanismo de execução de garantias para quitação dos valores inadimplidos. Por outro lado, as ações judiciais, principais e subsidiárias, podem implicar em frustração parcial ou total de recebimentos, conforme o caso, dos créditos da União envolvidos nas lides. No item </w:t>
      </w:r>
      <w:r w:rsidR="00770D50" w:rsidRPr="005432E1">
        <w:rPr>
          <w:rFonts w:asciiTheme="minorHAnsi" w:hAnsiTheme="minorHAnsi"/>
          <w:b/>
          <w:bCs/>
        </w:rPr>
        <w:t>a.1.4</w:t>
      </w:r>
      <w:r w:rsidR="00770D50" w:rsidRPr="005432E1">
        <w:rPr>
          <w:rFonts w:asciiTheme="minorHAnsi" w:hAnsiTheme="minorHAnsi"/>
          <w:bCs/>
        </w:rPr>
        <w:t xml:space="preserve"> do presente texto</w:t>
      </w:r>
      <w:r w:rsidRPr="005432E1">
        <w:rPr>
          <w:rFonts w:asciiTheme="minorHAnsi" w:hAnsiTheme="minorHAnsi"/>
        </w:rPr>
        <w:t xml:space="preserve"> são descritos detalhadamente os riscos relativos às ações judiciais impetradas contra a União.</w:t>
      </w:r>
    </w:p>
    <w:p w14:paraId="1418A7A9" w14:textId="0DE0E0AC" w:rsidR="00652B9C" w:rsidRPr="005432E1" w:rsidRDefault="00BE2F6E" w:rsidP="00652B9C">
      <w:pPr>
        <w:spacing w:before="100" w:beforeAutospacing="1" w:after="100" w:afterAutospacing="1"/>
        <w:jc w:val="both"/>
        <w:rPr>
          <w:rFonts w:asciiTheme="minorHAnsi" w:hAnsiTheme="minorHAnsi"/>
        </w:rPr>
      </w:pPr>
      <w:r w:rsidRPr="005432E1">
        <w:rPr>
          <w:rFonts w:asciiTheme="minorHAnsi" w:hAnsiTheme="minorHAnsi"/>
        </w:rPr>
        <w:t xml:space="preserve">As Tabelas </w:t>
      </w:r>
      <w:r w:rsidR="001459DB" w:rsidRPr="005432E1">
        <w:rPr>
          <w:rFonts w:asciiTheme="minorHAnsi" w:hAnsiTheme="minorHAnsi"/>
        </w:rPr>
        <w:t>3</w:t>
      </w:r>
      <w:r w:rsidR="002B0E5D" w:rsidRPr="005432E1">
        <w:rPr>
          <w:rFonts w:asciiTheme="minorHAnsi" w:hAnsiTheme="minorHAnsi"/>
        </w:rPr>
        <w:t>7</w:t>
      </w:r>
      <w:r w:rsidRPr="005432E1">
        <w:rPr>
          <w:rFonts w:asciiTheme="minorHAnsi" w:hAnsiTheme="minorHAnsi"/>
        </w:rPr>
        <w:t xml:space="preserve"> e </w:t>
      </w:r>
      <w:r w:rsidR="001459DB" w:rsidRPr="005432E1">
        <w:rPr>
          <w:rFonts w:asciiTheme="minorHAnsi" w:hAnsiTheme="minorHAnsi"/>
        </w:rPr>
        <w:t>3</w:t>
      </w:r>
      <w:r w:rsidR="002B0E5D" w:rsidRPr="005432E1">
        <w:rPr>
          <w:rFonts w:asciiTheme="minorHAnsi" w:hAnsiTheme="minorHAnsi"/>
        </w:rPr>
        <w:t>8</w:t>
      </w:r>
      <w:r w:rsidRPr="005432E1">
        <w:rPr>
          <w:rFonts w:asciiTheme="minorHAnsi" w:hAnsiTheme="minorHAnsi"/>
        </w:rPr>
        <w:t xml:space="preserve"> demonstram</w:t>
      </w:r>
      <w:r w:rsidR="00652B9C" w:rsidRPr="005432E1">
        <w:rPr>
          <w:rFonts w:asciiTheme="minorHAnsi" w:hAnsiTheme="minorHAnsi"/>
        </w:rPr>
        <w:t xml:space="preserve"> as receitas e despesas orçamentárias previstas versus realizadas para os exercícios de 2014 a 2017: </w:t>
      </w:r>
    </w:p>
    <w:p w14:paraId="10E4B29F" w14:textId="0717D3E5"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2B0E5D" w:rsidRPr="005432E1">
        <w:rPr>
          <w:rFonts w:asciiTheme="minorHAnsi" w:hAnsiTheme="minorHAnsi"/>
          <w:b/>
          <w:bCs/>
        </w:rPr>
        <w:t>7</w:t>
      </w:r>
      <w:r w:rsidRPr="005432E1">
        <w:rPr>
          <w:rFonts w:asciiTheme="minorHAnsi" w:hAnsiTheme="minorHAnsi"/>
          <w:b/>
          <w:bCs/>
        </w:rPr>
        <w:t>: Receitas Previstas versus realizadas -  2014 a 2017 (R$ milhões)</w:t>
      </w:r>
    </w:p>
    <w:tbl>
      <w:tblPr>
        <w:tblW w:w="9997" w:type="dxa"/>
        <w:tblCellSpacing w:w="0" w:type="dxa"/>
        <w:tblInd w:w="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47"/>
        <w:gridCol w:w="1446"/>
        <w:gridCol w:w="1542"/>
        <w:gridCol w:w="851"/>
        <w:gridCol w:w="1559"/>
        <w:gridCol w:w="1559"/>
        <w:gridCol w:w="993"/>
      </w:tblGrid>
      <w:tr w:rsidR="0026114A" w:rsidRPr="005432E1" w14:paraId="4442A872" w14:textId="77777777" w:rsidTr="00DE2CA7">
        <w:trPr>
          <w:tblCellSpacing w:w="0" w:type="dxa"/>
        </w:trPr>
        <w:tc>
          <w:tcPr>
            <w:tcW w:w="2047" w:type="dxa"/>
            <w:vMerge w:val="restart"/>
            <w:tcBorders>
              <w:top w:val="outset" w:sz="6" w:space="0" w:color="auto"/>
              <w:left w:val="outset" w:sz="6" w:space="0" w:color="auto"/>
              <w:bottom w:val="outset" w:sz="6" w:space="0" w:color="auto"/>
              <w:right w:val="outset" w:sz="6" w:space="0" w:color="auto"/>
            </w:tcBorders>
            <w:noWrap/>
            <w:vAlign w:val="center"/>
            <w:hideMark/>
          </w:tcPr>
          <w:p w14:paraId="30A5486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PROGRAMA</w:t>
            </w:r>
          </w:p>
        </w:tc>
        <w:tc>
          <w:tcPr>
            <w:tcW w:w="3839" w:type="dxa"/>
            <w:gridSpan w:val="3"/>
            <w:tcBorders>
              <w:top w:val="outset" w:sz="6" w:space="0" w:color="auto"/>
              <w:left w:val="outset" w:sz="6" w:space="0" w:color="auto"/>
              <w:bottom w:val="outset" w:sz="6" w:space="0" w:color="auto"/>
              <w:right w:val="outset" w:sz="6" w:space="0" w:color="auto"/>
            </w:tcBorders>
            <w:noWrap/>
            <w:vAlign w:val="center"/>
            <w:hideMark/>
          </w:tcPr>
          <w:p w14:paraId="4FD6FADF"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2014</w:t>
            </w:r>
          </w:p>
        </w:tc>
        <w:tc>
          <w:tcPr>
            <w:tcW w:w="4111" w:type="dxa"/>
            <w:gridSpan w:val="3"/>
            <w:tcBorders>
              <w:top w:val="outset" w:sz="6" w:space="0" w:color="auto"/>
              <w:left w:val="outset" w:sz="6" w:space="0" w:color="auto"/>
              <w:bottom w:val="outset" w:sz="6" w:space="0" w:color="auto"/>
              <w:right w:val="outset" w:sz="6" w:space="0" w:color="auto"/>
            </w:tcBorders>
            <w:noWrap/>
            <w:vAlign w:val="center"/>
            <w:hideMark/>
          </w:tcPr>
          <w:p w14:paraId="05630EFD"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2015</w:t>
            </w:r>
          </w:p>
        </w:tc>
      </w:tr>
      <w:tr w:rsidR="0026114A" w:rsidRPr="005432E1" w14:paraId="18C90F5B" w14:textId="77777777" w:rsidTr="00DE2CA7">
        <w:trPr>
          <w:tblCellSpacing w:w="0" w:type="dxa"/>
        </w:trPr>
        <w:tc>
          <w:tcPr>
            <w:tcW w:w="2047" w:type="dxa"/>
            <w:vMerge/>
            <w:tcBorders>
              <w:top w:val="outset" w:sz="6" w:space="0" w:color="auto"/>
              <w:left w:val="outset" w:sz="6" w:space="0" w:color="auto"/>
              <w:bottom w:val="outset" w:sz="6" w:space="0" w:color="auto"/>
              <w:right w:val="outset" w:sz="6" w:space="0" w:color="auto"/>
            </w:tcBorders>
            <w:vAlign w:val="center"/>
            <w:hideMark/>
          </w:tcPr>
          <w:p w14:paraId="4C450185" w14:textId="77777777" w:rsidR="00652B9C" w:rsidRPr="005432E1" w:rsidRDefault="00652B9C" w:rsidP="00652B9C">
            <w:pPr>
              <w:rPr>
                <w:rFonts w:asciiTheme="minorHAnsi" w:hAnsiTheme="minorHAnsi"/>
              </w:rPr>
            </w:pP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0E581892"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PREVISTO</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64B356EE"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REALIZADO</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4F1AC3A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Dif.%</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50D0935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PREVISTO</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6CB0665C"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REALIZADO</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4653D2C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Dif.%</w:t>
            </w:r>
          </w:p>
        </w:tc>
      </w:tr>
      <w:tr w:rsidR="0026114A" w:rsidRPr="005432E1" w14:paraId="4DEA78A4"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745ED65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Acordo Brasil-França</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7551E85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3,034</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624AA9D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3,604</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6561A5E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18,77%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6E261C6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3,478</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471C8FE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4,334</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2DCA88A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24,62%</w:t>
            </w:r>
          </w:p>
        </w:tc>
      </w:tr>
      <w:tr w:rsidR="0026114A" w:rsidRPr="005432E1" w14:paraId="7F109B91"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372307F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Carteira de Saneamento - MP n</w:t>
            </w:r>
            <w:r w:rsidRPr="005432E1">
              <w:rPr>
                <w:rFonts w:asciiTheme="minorHAnsi" w:hAnsiTheme="minorHAnsi"/>
                <w:b/>
                <w:bCs/>
                <w:vertAlign w:val="superscript"/>
              </w:rPr>
              <w:t>o</w:t>
            </w:r>
            <w:r w:rsidRPr="005432E1">
              <w:rPr>
                <w:rFonts w:asciiTheme="minorHAnsi" w:hAnsiTheme="minorHAnsi"/>
                <w:b/>
                <w:bCs/>
              </w:rPr>
              <w:t xml:space="preserve"> 2.196/01</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55F5672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266,558</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4282DD2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308,165</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316B95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15,61%</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0756629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205,749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18116FE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185,350</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6FFE04F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-9,91%</w:t>
            </w:r>
          </w:p>
        </w:tc>
      </w:tr>
      <w:tr w:rsidR="0026114A" w:rsidRPr="005432E1" w14:paraId="69944885"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3B2CF9F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Dívidas de Médio e Longo Prazo - DMLP</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477F69E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337,299</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7E0E9A9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429,187</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14D33E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27,24%</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59CCDC7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215,520</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331A56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488,508</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42A25B4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126,67%</w:t>
            </w:r>
          </w:p>
        </w:tc>
      </w:tr>
      <w:tr w:rsidR="0026114A" w:rsidRPr="005432E1" w14:paraId="3236C773"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78AF0A1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Royalties - Estado do Mato Grosso do Sul</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6E22937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32,295</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3F7FC27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28,361</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353929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-12,18%</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582C6CE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34,949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3B5A818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28,304</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1A2901C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-19,02%</w:t>
            </w:r>
          </w:p>
        </w:tc>
      </w:tr>
      <w:tr w:rsidR="0026114A" w:rsidRPr="005432E1" w14:paraId="66AB7C32"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7A8E668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Royalties - Estado do Paraná</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440074D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230,937</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608FBC5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320,032</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53A2E9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38,58%</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419A1B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271,759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065E651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277,616</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6E58FB3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2,16%</w:t>
            </w:r>
          </w:p>
        </w:tc>
      </w:tr>
      <w:tr w:rsidR="0026114A" w:rsidRPr="005432E1" w14:paraId="2A3AE1BB"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5BC881F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Royalties - Estado do Rio de Janeiro</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362F184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1.231,506</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47C442E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1.200,346</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4F4848B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-2,53%</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31ADE1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1.065,017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58C7D08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1.004,631</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0496DA2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-5,67%</w:t>
            </w:r>
          </w:p>
        </w:tc>
      </w:tr>
      <w:tr w:rsidR="0026114A" w:rsidRPr="005432E1" w14:paraId="7DEEA890"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2FF2903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nº 8.727/93 - Demais Credores</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07923F5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3.307,986</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109454B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1.664,628</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582596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-49,68%</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14ACA05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2.232,003</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3D90980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1.380,165</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6F251DA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-38,16%</w:t>
            </w:r>
          </w:p>
        </w:tc>
      </w:tr>
      <w:tr w:rsidR="0026114A" w:rsidRPr="005432E1" w14:paraId="7B7D1DED"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47C59EE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nº 8.727/93 - Receitas da União</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036E419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1.280,752</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37D600E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1.119,754</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7ECDA8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-12,57%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44896E7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499,847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675FFF9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577,013</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68DCD8F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15,44%</w:t>
            </w:r>
          </w:p>
        </w:tc>
      </w:tr>
      <w:tr w:rsidR="0026114A" w:rsidRPr="005432E1" w14:paraId="678CF482"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09F1F9E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n</w:t>
            </w:r>
            <w:r w:rsidRPr="005432E1">
              <w:rPr>
                <w:rFonts w:asciiTheme="minorHAnsi" w:hAnsiTheme="minorHAnsi"/>
                <w:b/>
                <w:bCs/>
                <w:vertAlign w:val="superscript"/>
              </w:rPr>
              <w:t>o</w:t>
            </w:r>
            <w:r w:rsidRPr="005432E1">
              <w:rPr>
                <w:rFonts w:asciiTheme="minorHAnsi" w:hAnsiTheme="minorHAnsi"/>
                <w:b/>
                <w:bCs/>
              </w:rPr>
              <w:t xml:space="preserve"> 9.496/97</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230C962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31.337,510</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34E8B5A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30.912,518</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E8D81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-1,36%</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75B140F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33.171,783</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C17208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30.581,185</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0E477CD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-7,81%</w:t>
            </w:r>
          </w:p>
        </w:tc>
      </w:tr>
      <w:tr w:rsidR="0026114A" w:rsidRPr="005432E1" w14:paraId="662B7ED0"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258D061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MP n</w:t>
            </w:r>
            <w:r w:rsidRPr="005432E1">
              <w:rPr>
                <w:rFonts w:asciiTheme="minorHAnsi" w:hAnsiTheme="minorHAnsi"/>
                <w:b/>
                <w:bCs/>
                <w:vertAlign w:val="superscript"/>
              </w:rPr>
              <w:t>o</w:t>
            </w:r>
            <w:r w:rsidRPr="005432E1">
              <w:rPr>
                <w:rFonts w:asciiTheme="minorHAnsi" w:hAnsiTheme="minorHAnsi"/>
                <w:b/>
                <w:bCs/>
              </w:rPr>
              <w:t xml:space="preserve"> 2.185/01</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2E2FFC5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5.275,784</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01F0A13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5.025,425</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764E43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-4,75%</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4493DEC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4.580,069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77D6967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3.452,481</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7E56E21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-24,62%</w:t>
            </w:r>
          </w:p>
        </w:tc>
      </w:tr>
      <w:tr w:rsidR="0026114A" w:rsidRPr="005432E1" w14:paraId="2614B6D7"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2DACED4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PNAFE </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5E1745A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74,285</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3DD7425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84,365</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18484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13,57%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6C99119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88,179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4744091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113,152</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181CDB4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28,32%</w:t>
            </w:r>
          </w:p>
        </w:tc>
      </w:tr>
      <w:tr w:rsidR="0026114A" w:rsidRPr="005432E1" w14:paraId="2EC297CB"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03B7289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BACEN/BANERJ</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249D754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1.247,787</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47A852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1.338,694</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F75877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7,29%</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7ADA5F1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1.435,564</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67F733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1.434,907</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0273C7B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-0,05%</w:t>
            </w:r>
          </w:p>
        </w:tc>
      </w:tr>
      <w:tr w:rsidR="0026114A" w:rsidRPr="005432E1" w14:paraId="63FF386D"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7A46236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BNDES</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6FCA3E4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3CC310D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6AD29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771EB33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1.949,097</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6FCD36B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1.968,071</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2EB800B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0,97%</w:t>
            </w:r>
          </w:p>
        </w:tc>
      </w:tr>
      <w:tr w:rsidR="0026114A" w:rsidRPr="005432E1" w14:paraId="22F4DA38"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51249B4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PNAFM</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0466631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61,290</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66F430D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4102668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-100,00%</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1423E1E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3F9ED9E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4C1A2B1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r>
      <w:tr w:rsidR="0026114A" w:rsidRPr="005432E1" w14:paraId="2D1F0CAF"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2664524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Honra Garantia - Op. Interna</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71B5A05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5FD54A6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49423C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122CE1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5ED6E0A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74744F9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r>
      <w:tr w:rsidR="0026114A" w:rsidRPr="005432E1" w14:paraId="3874C4A2"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1B36568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Honra Garantia - Op. Externa</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0EA2B21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1297F56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6AAE355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38419BB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48002D3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49D2D65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r>
      <w:tr w:rsidR="0026114A" w:rsidRPr="005432E1" w14:paraId="3A42A4BB" w14:textId="77777777" w:rsidTr="00DE2CA7">
        <w:trPr>
          <w:tblCellSpacing w:w="0" w:type="dxa"/>
        </w:trPr>
        <w:tc>
          <w:tcPr>
            <w:tcW w:w="2047" w:type="dxa"/>
            <w:tcBorders>
              <w:top w:val="outset" w:sz="6" w:space="0" w:color="auto"/>
              <w:left w:val="outset" w:sz="6" w:space="0" w:color="auto"/>
              <w:bottom w:val="outset" w:sz="6" w:space="0" w:color="auto"/>
              <w:right w:val="outset" w:sz="6" w:space="0" w:color="auto"/>
            </w:tcBorders>
            <w:noWrap/>
            <w:vAlign w:val="center"/>
            <w:hideMark/>
          </w:tcPr>
          <w:p w14:paraId="72A8413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Totais</w:t>
            </w:r>
          </w:p>
        </w:tc>
        <w:tc>
          <w:tcPr>
            <w:tcW w:w="1446" w:type="dxa"/>
            <w:tcBorders>
              <w:top w:val="outset" w:sz="6" w:space="0" w:color="auto"/>
              <w:left w:val="outset" w:sz="6" w:space="0" w:color="auto"/>
              <w:bottom w:val="outset" w:sz="6" w:space="0" w:color="auto"/>
              <w:right w:val="outset" w:sz="6" w:space="0" w:color="auto"/>
            </w:tcBorders>
            <w:noWrap/>
            <w:vAlign w:val="center"/>
            <w:hideMark/>
          </w:tcPr>
          <w:p w14:paraId="3BDA7D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44.687,022 </w:t>
            </w:r>
          </w:p>
        </w:tc>
        <w:tc>
          <w:tcPr>
            <w:tcW w:w="1542" w:type="dxa"/>
            <w:tcBorders>
              <w:top w:val="outset" w:sz="6" w:space="0" w:color="auto"/>
              <w:left w:val="outset" w:sz="6" w:space="0" w:color="auto"/>
              <w:bottom w:val="outset" w:sz="6" w:space="0" w:color="auto"/>
              <w:right w:val="outset" w:sz="6" w:space="0" w:color="auto"/>
            </w:tcBorders>
            <w:noWrap/>
            <w:vAlign w:val="center"/>
            <w:hideMark/>
          </w:tcPr>
          <w:p w14:paraId="48112D6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42.435,080 </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608761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-5,04%</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1DA6C20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45.753,014 </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216F059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41.495,716 </w:t>
            </w:r>
          </w:p>
        </w:tc>
        <w:tc>
          <w:tcPr>
            <w:tcW w:w="993" w:type="dxa"/>
            <w:tcBorders>
              <w:top w:val="outset" w:sz="6" w:space="0" w:color="auto"/>
              <w:left w:val="outset" w:sz="6" w:space="0" w:color="auto"/>
              <w:bottom w:val="outset" w:sz="6" w:space="0" w:color="auto"/>
              <w:right w:val="outset" w:sz="6" w:space="0" w:color="auto"/>
            </w:tcBorders>
            <w:noWrap/>
            <w:vAlign w:val="center"/>
            <w:hideMark/>
          </w:tcPr>
          <w:p w14:paraId="3B36A41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-9,30%</w:t>
            </w:r>
          </w:p>
        </w:tc>
      </w:tr>
    </w:tbl>
    <w:p w14:paraId="29B67C9E" w14:textId="5971F563" w:rsidR="005432E1" w:rsidRDefault="008E10E0" w:rsidP="0001423A">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03DFCEC7" w14:textId="77777777" w:rsidR="005432E1" w:rsidRDefault="005432E1">
      <w:pPr>
        <w:rPr>
          <w:rFonts w:asciiTheme="minorHAnsi" w:hAnsiTheme="minorHAnsi"/>
          <w:sz w:val="20"/>
          <w:szCs w:val="20"/>
        </w:rPr>
      </w:pPr>
      <w:r>
        <w:rPr>
          <w:rFonts w:asciiTheme="minorHAnsi" w:hAnsiTheme="minorHAnsi"/>
          <w:sz w:val="20"/>
          <w:szCs w:val="20"/>
        </w:rPr>
        <w:br w:type="page"/>
      </w:r>
    </w:p>
    <w:p w14:paraId="03FB4425" w14:textId="77777777" w:rsidR="008E10E0" w:rsidRPr="005432E1" w:rsidRDefault="008E10E0" w:rsidP="0001423A">
      <w:pPr>
        <w:spacing w:after="100" w:afterAutospacing="1"/>
        <w:rPr>
          <w:rFonts w:asciiTheme="minorHAnsi" w:hAnsiTheme="minorHAnsi"/>
          <w:sz w:val="20"/>
          <w:szCs w:val="20"/>
        </w:rPr>
      </w:pPr>
    </w:p>
    <w:tbl>
      <w:tblPr>
        <w:tblpPr w:leftFromText="141" w:rightFromText="141" w:vertAnchor="text" w:horzAnchor="margin" w:tblpXSpec="center" w:tblpY="533"/>
        <w:tblW w:w="10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1377"/>
        <w:gridCol w:w="1760"/>
        <w:gridCol w:w="1250"/>
        <w:gridCol w:w="1467"/>
        <w:gridCol w:w="1680"/>
        <w:gridCol w:w="1040"/>
      </w:tblGrid>
      <w:tr w:rsidR="005432E1" w:rsidRPr="005432E1" w14:paraId="27BE6ABC" w14:textId="77777777" w:rsidTr="005432E1">
        <w:trPr>
          <w:gridAfter w:val="2"/>
          <w:wAfter w:w="2660" w:type="dxa"/>
          <w:tblCellSpacing w:w="0" w:type="dxa"/>
        </w:trPr>
        <w:tc>
          <w:tcPr>
            <w:tcW w:w="2306" w:type="dxa"/>
            <w:vMerge w:val="restart"/>
            <w:tcBorders>
              <w:top w:val="outset" w:sz="6" w:space="0" w:color="auto"/>
              <w:left w:val="outset" w:sz="6" w:space="0" w:color="auto"/>
              <w:bottom w:val="outset" w:sz="6" w:space="0" w:color="auto"/>
              <w:right w:val="outset" w:sz="6" w:space="0" w:color="auto"/>
            </w:tcBorders>
            <w:noWrap/>
            <w:vAlign w:val="center"/>
            <w:hideMark/>
          </w:tcPr>
          <w:p w14:paraId="2DC696C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PROGRAMA</w:t>
            </w:r>
          </w:p>
        </w:tc>
        <w:tc>
          <w:tcPr>
            <w:tcW w:w="4297" w:type="dxa"/>
            <w:gridSpan w:val="3"/>
            <w:tcBorders>
              <w:top w:val="outset" w:sz="6" w:space="0" w:color="auto"/>
              <w:left w:val="outset" w:sz="6" w:space="0" w:color="auto"/>
              <w:bottom w:val="outset" w:sz="6" w:space="0" w:color="auto"/>
              <w:right w:val="outset" w:sz="6" w:space="0" w:color="auto"/>
            </w:tcBorders>
            <w:noWrap/>
            <w:vAlign w:val="center"/>
            <w:hideMark/>
          </w:tcPr>
          <w:p w14:paraId="3693D08C"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2016</w:t>
            </w:r>
          </w:p>
        </w:tc>
        <w:tc>
          <w:tcPr>
            <w:tcW w:w="1437" w:type="dxa"/>
            <w:tcBorders>
              <w:top w:val="outset" w:sz="6" w:space="0" w:color="auto"/>
              <w:left w:val="outset" w:sz="6" w:space="0" w:color="auto"/>
              <w:bottom w:val="outset" w:sz="6" w:space="0" w:color="auto"/>
              <w:right w:val="nil"/>
            </w:tcBorders>
            <w:noWrap/>
            <w:vAlign w:val="center"/>
            <w:hideMark/>
          </w:tcPr>
          <w:p w14:paraId="5FB46CCA" w14:textId="77777777" w:rsidR="005432E1" w:rsidRPr="005432E1" w:rsidRDefault="005432E1" w:rsidP="005432E1">
            <w:pPr>
              <w:spacing w:before="100" w:beforeAutospacing="1" w:after="100" w:afterAutospacing="1"/>
              <w:jc w:val="center"/>
              <w:rPr>
                <w:rFonts w:asciiTheme="minorHAnsi" w:hAnsiTheme="minorHAnsi"/>
                <w:b/>
                <w:bCs/>
              </w:rPr>
            </w:pPr>
            <w:r w:rsidRPr="005432E1">
              <w:rPr>
                <w:rFonts w:asciiTheme="minorHAnsi" w:hAnsiTheme="minorHAnsi"/>
                <w:b/>
                <w:bCs/>
              </w:rPr>
              <w:t>2017</w:t>
            </w:r>
          </w:p>
        </w:tc>
      </w:tr>
      <w:tr w:rsidR="005432E1" w:rsidRPr="005432E1" w14:paraId="625242BC" w14:textId="77777777" w:rsidTr="005432E1">
        <w:trPr>
          <w:tblCellSpacing w:w="0" w:type="dxa"/>
        </w:trPr>
        <w:tc>
          <w:tcPr>
            <w:tcW w:w="2306" w:type="dxa"/>
            <w:vMerge/>
            <w:tcBorders>
              <w:top w:val="outset" w:sz="6" w:space="0" w:color="auto"/>
              <w:left w:val="outset" w:sz="6" w:space="0" w:color="auto"/>
              <w:bottom w:val="outset" w:sz="6" w:space="0" w:color="auto"/>
              <w:right w:val="outset" w:sz="6" w:space="0" w:color="auto"/>
            </w:tcBorders>
            <w:vAlign w:val="center"/>
            <w:hideMark/>
          </w:tcPr>
          <w:p w14:paraId="4F11709C" w14:textId="77777777" w:rsidR="005432E1" w:rsidRPr="005432E1" w:rsidRDefault="005432E1" w:rsidP="005432E1">
            <w:pPr>
              <w:rPr>
                <w:rFonts w:asciiTheme="minorHAnsi" w:hAnsiTheme="minorHAnsi"/>
              </w:rPr>
            </w:pP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6B19E0FE"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PREVISTO</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5AD965AF" w14:textId="77777777" w:rsidR="005432E1" w:rsidRPr="005432E1" w:rsidRDefault="005432E1" w:rsidP="005432E1">
            <w:pPr>
              <w:spacing w:before="100" w:beforeAutospacing="1" w:after="100" w:afterAutospacing="1"/>
              <w:jc w:val="center"/>
              <w:rPr>
                <w:rFonts w:asciiTheme="minorHAnsi" w:hAnsiTheme="minorHAnsi"/>
                <w:b/>
                <w:bCs/>
              </w:rPr>
            </w:pPr>
            <w:r w:rsidRPr="005432E1">
              <w:rPr>
                <w:rFonts w:asciiTheme="minorHAnsi" w:hAnsiTheme="minorHAnsi"/>
                <w:b/>
                <w:bCs/>
              </w:rPr>
              <w:t>REALI</w:t>
            </w:r>
          </w:p>
          <w:p w14:paraId="611EDCB0"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ZADO</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78053E46"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Dif.%</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7C330AAC"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PREVISTO</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4D2D6371" w14:textId="77777777" w:rsidR="005432E1" w:rsidRPr="005432E1" w:rsidRDefault="005432E1" w:rsidP="005432E1">
            <w:pPr>
              <w:spacing w:before="100" w:beforeAutospacing="1" w:after="100" w:afterAutospacing="1"/>
              <w:jc w:val="center"/>
              <w:rPr>
                <w:rFonts w:asciiTheme="minorHAnsi" w:hAnsiTheme="minorHAnsi"/>
                <w:b/>
                <w:bCs/>
              </w:rPr>
            </w:pPr>
            <w:r w:rsidRPr="005432E1">
              <w:rPr>
                <w:rFonts w:asciiTheme="minorHAnsi" w:hAnsiTheme="minorHAnsi"/>
                <w:b/>
                <w:bCs/>
              </w:rPr>
              <w:t>REALI</w:t>
            </w:r>
          </w:p>
          <w:p w14:paraId="614CC2BC"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ZADO</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58D79A96" w14:textId="77777777" w:rsidR="005432E1" w:rsidRPr="005432E1" w:rsidRDefault="005432E1" w:rsidP="005432E1">
            <w:pPr>
              <w:spacing w:before="100" w:beforeAutospacing="1" w:after="100" w:afterAutospacing="1"/>
              <w:jc w:val="center"/>
              <w:rPr>
                <w:rFonts w:asciiTheme="minorHAnsi" w:hAnsiTheme="minorHAnsi"/>
              </w:rPr>
            </w:pPr>
            <w:r w:rsidRPr="005432E1">
              <w:rPr>
                <w:rFonts w:asciiTheme="minorHAnsi" w:hAnsiTheme="minorHAnsi"/>
                <w:b/>
                <w:bCs/>
              </w:rPr>
              <w:t>Dif.%</w:t>
            </w:r>
          </w:p>
        </w:tc>
      </w:tr>
      <w:tr w:rsidR="005432E1" w:rsidRPr="005432E1" w14:paraId="5C42A196"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08D702C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Acordo Brasil-França</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3B91ABD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3,837</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5E7AF98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3,890</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2EC38B6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1,39%</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1EC6F230"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3,898</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5145EF22" w14:textId="77777777" w:rsidR="005432E1" w:rsidRPr="005432E1" w:rsidRDefault="005432E1" w:rsidP="005432E1">
            <w:pPr>
              <w:spacing w:before="100" w:beforeAutospacing="1" w:after="100" w:afterAutospacing="1"/>
              <w:ind w:hanging="266"/>
              <w:rPr>
                <w:rFonts w:asciiTheme="minorHAnsi" w:hAnsiTheme="minorHAnsi"/>
              </w:rPr>
            </w:pPr>
            <w:r w:rsidRPr="005432E1">
              <w:rPr>
                <w:rFonts w:asciiTheme="minorHAnsi" w:hAnsiTheme="minorHAnsi"/>
              </w:rPr>
              <w:t>             4,119</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02F3C11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5,68%</w:t>
            </w:r>
          </w:p>
        </w:tc>
      </w:tr>
      <w:tr w:rsidR="005432E1" w:rsidRPr="005432E1" w14:paraId="7BA17D27"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033DCD5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Carteira de Saneamento - MP n</w:t>
            </w:r>
            <w:r w:rsidRPr="005432E1">
              <w:rPr>
                <w:rFonts w:asciiTheme="minorHAnsi" w:hAnsiTheme="minorHAnsi"/>
                <w:b/>
                <w:bCs/>
                <w:vertAlign w:val="superscript"/>
              </w:rPr>
              <w:t>o</w:t>
            </w:r>
            <w:r w:rsidRPr="005432E1">
              <w:rPr>
                <w:rFonts w:asciiTheme="minorHAnsi" w:hAnsiTheme="minorHAnsi"/>
                <w:b/>
                <w:bCs/>
              </w:rPr>
              <w:t xml:space="preserve"> 2.196/01</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74FC396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133,050</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0B3335B6"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141,242</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46A032F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6,16%</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0ACF7816"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118,444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543E955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129,997</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7FF52BE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9,75%</w:t>
            </w:r>
          </w:p>
        </w:tc>
      </w:tr>
      <w:tr w:rsidR="005432E1" w:rsidRPr="005432E1" w14:paraId="504346DE"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7D4B2B5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Dívidas de Médio e Longo Prazo - DMLP</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47CA914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269,686</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134478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239,407</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0DA9E89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-11,23%</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4A4D49D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194,188</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12178F09"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216,706</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2CD7076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11,60%</w:t>
            </w:r>
          </w:p>
        </w:tc>
      </w:tr>
      <w:tr w:rsidR="005432E1" w:rsidRPr="005432E1" w14:paraId="46417F52"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40028DB0"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Royalties - Estado do Mato Grosso do Sul</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3D02670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38,943</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2036C24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37,941</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6FC7A549"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-2,57%</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591CC1A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40,574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3F3DFF4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29,904</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487832C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-26,30%</w:t>
            </w:r>
          </w:p>
        </w:tc>
      </w:tr>
      <w:tr w:rsidR="005432E1" w:rsidRPr="005432E1" w14:paraId="51F4B20B"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59BE440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Royalties - Estado do Paraná</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7343C4A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532,830</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09DD641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555,682</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0D566DC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4,29%</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47BF0CF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351,474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0761421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413,886</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393218F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17,76%</w:t>
            </w:r>
          </w:p>
        </w:tc>
      </w:tr>
      <w:tr w:rsidR="005432E1" w:rsidRPr="005432E1" w14:paraId="0B43F434"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335F229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Royalties - Estado do Rio de Janeiro</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63BDF4F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1.036,982</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096B448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1.036,982</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732FD91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0,00%</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0DA8F59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1.010,457</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25E37E59"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1.012,179</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2372EEE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0,17%</w:t>
            </w:r>
          </w:p>
        </w:tc>
      </w:tr>
      <w:tr w:rsidR="005432E1" w:rsidRPr="005432E1" w14:paraId="2A062E32"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48FC320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Lei nº 8.727/93 - Demais Credores</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0E1806C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1.546,413</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AC961D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1.074,255</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2ABAD1D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-30,53%</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5C10038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1.599,160</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6D656D79"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841,586</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6725A3B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-47,37%</w:t>
            </w:r>
          </w:p>
        </w:tc>
      </w:tr>
      <w:tr w:rsidR="005432E1" w:rsidRPr="005432E1" w14:paraId="562ADA7D"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4A270D0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Lei nº 8.727/93 - Receitas da União</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572BAFB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667,277</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200E81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641,143</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37D436F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-3,92%</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634E34B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506,924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4A49422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564,400</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777B745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11,34%</w:t>
            </w:r>
          </w:p>
        </w:tc>
      </w:tr>
      <w:tr w:rsidR="005432E1" w:rsidRPr="005432E1" w14:paraId="0359B959"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450CBFC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Lei n</w:t>
            </w:r>
            <w:r w:rsidRPr="005432E1">
              <w:rPr>
                <w:rFonts w:asciiTheme="minorHAnsi" w:hAnsiTheme="minorHAnsi"/>
                <w:b/>
                <w:bCs/>
                <w:vertAlign w:val="superscript"/>
              </w:rPr>
              <w:t>o</w:t>
            </w:r>
            <w:r w:rsidRPr="005432E1">
              <w:rPr>
                <w:rFonts w:asciiTheme="minorHAnsi" w:hAnsiTheme="minorHAnsi"/>
                <w:b/>
                <w:bCs/>
              </w:rPr>
              <w:t xml:space="preserve"> 9.496/97</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152540D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13.995,488</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5135E10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14.791,191</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1B07CB9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5,69%</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1519990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13.129,235</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1211489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13.982,012</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3C1B6E0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6,50%</w:t>
            </w:r>
          </w:p>
        </w:tc>
      </w:tr>
      <w:tr w:rsidR="005432E1" w:rsidRPr="005432E1" w14:paraId="251537DB"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24284FE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MP n</w:t>
            </w:r>
            <w:r w:rsidRPr="005432E1">
              <w:rPr>
                <w:rFonts w:asciiTheme="minorHAnsi" w:hAnsiTheme="minorHAnsi"/>
                <w:b/>
                <w:bCs/>
                <w:vertAlign w:val="superscript"/>
              </w:rPr>
              <w:t>o</w:t>
            </w:r>
            <w:r w:rsidRPr="005432E1">
              <w:rPr>
                <w:rFonts w:asciiTheme="minorHAnsi" w:hAnsiTheme="minorHAnsi"/>
                <w:b/>
                <w:bCs/>
              </w:rPr>
              <w:t xml:space="preserve"> 2.185/01</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398DBF6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3.248,152</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0DF3FF7A"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2.877,786</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649C9BD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-11,40%</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6714AED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3.092,274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1F83B550"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3.082,717</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1ACF7DA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-0,31%</w:t>
            </w:r>
          </w:p>
        </w:tc>
      </w:tr>
      <w:tr w:rsidR="005432E1" w:rsidRPr="005432E1" w14:paraId="64581A26"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3A0C9683"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 xml:space="preserve">PNAFE </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0FF70426"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121,833</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1266D02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122,748</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0D4BC09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0,75%</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2E28D7B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56,618</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6FE9814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51,677</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6C110776"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-8,73%</w:t>
            </w:r>
          </w:p>
        </w:tc>
      </w:tr>
      <w:tr w:rsidR="005432E1" w:rsidRPr="005432E1" w14:paraId="23551076"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22F00D6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BACEN/BANERJ</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6E3E197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1.148,661</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5F636176"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1.406,285</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029EE27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22,43%</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246350C4"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137,045</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111E3F0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442,153</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5063E500"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222,63%</w:t>
            </w:r>
          </w:p>
        </w:tc>
      </w:tr>
      <w:tr w:rsidR="005432E1" w:rsidRPr="005432E1" w14:paraId="628F780C"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1165421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BNDES</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74A4D07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71DEE90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0F9DC1FA"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32275BFA"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2B005C9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47ECCD5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w:t>
            </w:r>
          </w:p>
        </w:tc>
      </w:tr>
      <w:tr w:rsidR="005432E1" w:rsidRPr="005432E1" w14:paraId="35578845"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34FD4997"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PNAFM</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73FCE88A" w14:textId="77777777" w:rsidR="005432E1" w:rsidRPr="005432E1" w:rsidRDefault="005432E1" w:rsidP="005432E1">
            <w:pPr>
              <w:spacing w:before="100" w:beforeAutospacing="1" w:after="100" w:afterAutospacing="1"/>
              <w:rPr>
                <w:rFonts w:asciiTheme="minorHAnsi" w:hAnsiTheme="minorHAnsi"/>
              </w:rPr>
            </w:pP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871E94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550FE97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5E7D5B4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0A2421E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2734F2E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w:t>
            </w:r>
          </w:p>
        </w:tc>
      </w:tr>
      <w:tr w:rsidR="005432E1" w:rsidRPr="005432E1" w14:paraId="56B7A0B8"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7A139EA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Honra Garantia - Op. Interna</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5DBB23F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6F60BCA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1.424,906</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6D33779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6A80AD8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658F1399"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3CEFCDD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w:t>
            </w:r>
          </w:p>
        </w:tc>
      </w:tr>
      <w:tr w:rsidR="005432E1" w:rsidRPr="005432E1" w14:paraId="235E2F62"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5D9D8BDB"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Honra Garantia - Op. Externa</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000B48A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BEFA87A"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588,833</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441F40CA"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  </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7E055F25"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2F1FFF8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 -</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7999FBC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rPr>
              <w:t>-</w:t>
            </w:r>
          </w:p>
        </w:tc>
      </w:tr>
      <w:tr w:rsidR="005432E1" w:rsidRPr="005432E1" w14:paraId="09CC0290" w14:textId="77777777" w:rsidTr="005432E1">
        <w:trPr>
          <w:tblCellSpacing w:w="0" w:type="dxa"/>
        </w:trPr>
        <w:tc>
          <w:tcPr>
            <w:tcW w:w="2306" w:type="dxa"/>
            <w:tcBorders>
              <w:top w:val="outset" w:sz="6" w:space="0" w:color="auto"/>
              <w:left w:val="outset" w:sz="6" w:space="0" w:color="auto"/>
              <w:bottom w:val="outset" w:sz="6" w:space="0" w:color="auto"/>
              <w:right w:val="outset" w:sz="6" w:space="0" w:color="auto"/>
            </w:tcBorders>
            <w:noWrap/>
            <w:vAlign w:val="center"/>
            <w:hideMark/>
          </w:tcPr>
          <w:p w14:paraId="6F4C8DC1"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Totais</w:t>
            </w:r>
          </w:p>
        </w:tc>
        <w:tc>
          <w:tcPr>
            <w:tcW w:w="1347" w:type="dxa"/>
            <w:tcBorders>
              <w:top w:val="outset" w:sz="6" w:space="0" w:color="auto"/>
              <w:left w:val="outset" w:sz="6" w:space="0" w:color="auto"/>
              <w:bottom w:val="outset" w:sz="6" w:space="0" w:color="auto"/>
              <w:right w:val="outset" w:sz="6" w:space="0" w:color="auto"/>
            </w:tcBorders>
            <w:noWrap/>
            <w:vAlign w:val="center"/>
            <w:hideMark/>
          </w:tcPr>
          <w:p w14:paraId="66E70612"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 xml:space="preserve">  22.743,152 </w:t>
            </w:r>
          </w:p>
        </w:tc>
        <w:tc>
          <w:tcPr>
            <w:tcW w:w="1730" w:type="dxa"/>
            <w:tcBorders>
              <w:top w:val="outset" w:sz="6" w:space="0" w:color="auto"/>
              <w:left w:val="outset" w:sz="6" w:space="0" w:color="auto"/>
              <w:bottom w:val="outset" w:sz="6" w:space="0" w:color="auto"/>
              <w:right w:val="outset" w:sz="6" w:space="0" w:color="auto"/>
            </w:tcBorders>
            <w:noWrap/>
            <w:vAlign w:val="center"/>
            <w:hideMark/>
          </w:tcPr>
          <w:p w14:paraId="47E0BC2D"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 xml:space="preserve">    24.942,291 </w:t>
            </w:r>
          </w:p>
        </w:tc>
        <w:tc>
          <w:tcPr>
            <w:tcW w:w="1220" w:type="dxa"/>
            <w:tcBorders>
              <w:top w:val="outset" w:sz="6" w:space="0" w:color="auto"/>
              <w:left w:val="outset" w:sz="6" w:space="0" w:color="auto"/>
              <w:bottom w:val="outset" w:sz="6" w:space="0" w:color="auto"/>
              <w:right w:val="outset" w:sz="6" w:space="0" w:color="auto"/>
            </w:tcBorders>
            <w:noWrap/>
            <w:vAlign w:val="center"/>
            <w:hideMark/>
          </w:tcPr>
          <w:p w14:paraId="139FE9CF"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9,67%</w:t>
            </w:r>
          </w:p>
        </w:tc>
        <w:tc>
          <w:tcPr>
            <w:tcW w:w="1437" w:type="dxa"/>
            <w:tcBorders>
              <w:top w:val="outset" w:sz="6" w:space="0" w:color="auto"/>
              <w:left w:val="outset" w:sz="6" w:space="0" w:color="auto"/>
              <w:bottom w:val="outset" w:sz="6" w:space="0" w:color="auto"/>
              <w:right w:val="outset" w:sz="6" w:space="0" w:color="auto"/>
            </w:tcBorders>
            <w:noWrap/>
            <w:vAlign w:val="center"/>
            <w:hideMark/>
          </w:tcPr>
          <w:p w14:paraId="78D96D68"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 xml:space="preserve">  20.240,291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14:paraId="48472C5C"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 xml:space="preserve">    21.783,528 </w:t>
            </w:r>
          </w:p>
        </w:tc>
        <w:tc>
          <w:tcPr>
            <w:tcW w:w="1010" w:type="dxa"/>
            <w:tcBorders>
              <w:top w:val="outset" w:sz="6" w:space="0" w:color="auto"/>
              <w:left w:val="outset" w:sz="6" w:space="0" w:color="auto"/>
              <w:bottom w:val="outset" w:sz="6" w:space="0" w:color="auto"/>
              <w:right w:val="outset" w:sz="6" w:space="0" w:color="auto"/>
            </w:tcBorders>
            <w:noWrap/>
            <w:vAlign w:val="center"/>
            <w:hideMark/>
          </w:tcPr>
          <w:p w14:paraId="6D7DAFBE" w14:textId="77777777" w:rsidR="005432E1" w:rsidRPr="005432E1" w:rsidRDefault="005432E1" w:rsidP="005432E1">
            <w:pPr>
              <w:spacing w:before="100" w:beforeAutospacing="1" w:after="100" w:afterAutospacing="1"/>
              <w:rPr>
                <w:rFonts w:asciiTheme="minorHAnsi" w:hAnsiTheme="minorHAnsi"/>
              </w:rPr>
            </w:pPr>
            <w:r w:rsidRPr="005432E1">
              <w:rPr>
                <w:rFonts w:asciiTheme="minorHAnsi" w:hAnsiTheme="minorHAnsi"/>
                <w:b/>
                <w:bCs/>
              </w:rPr>
              <w:t>7,62%</w:t>
            </w:r>
          </w:p>
        </w:tc>
      </w:tr>
    </w:tbl>
    <w:p w14:paraId="3A7291DD" w14:textId="77777777" w:rsidR="002E23A9" w:rsidRPr="005432E1" w:rsidRDefault="002E23A9" w:rsidP="00652B9C">
      <w:pPr>
        <w:spacing w:before="100" w:beforeAutospacing="1" w:after="100" w:afterAutospacing="1"/>
        <w:rPr>
          <w:rFonts w:asciiTheme="minorHAnsi" w:hAnsiTheme="minorHAnsi"/>
        </w:rPr>
      </w:pPr>
    </w:p>
    <w:p w14:paraId="5852A75F" w14:textId="77777777" w:rsidR="008E10E0" w:rsidRPr="005432E1" w:rsidRDefault="008E10E0" w:rsidP="008E10E0">
      <w:pPr>
        <w:spacing w:before="100" w:beforeAutospacing="1" w:after="100" w:afterAutospacing="1"/>
        <w:rPr>
          <w:rFonts w:asciiTheme="minorHAnsi" w:hAnsiTheme="minorHAnsi"/>
          <w:sz w:val="20"/>
          <w:szCs w:val="20"/>
        </w:rPr>
      </w:pPr>
      <w:r w:rsidRPr="005432E1">
        <w:rPr>
          <w:rFonts w:asciiTheme="minorHAnsi" w:hAnsiTheme="minorHAnsi"/>
          <w:sz w:val="20"/>
          <w:szCs w:val="20"/>
        </w:rPr>
        <w:tab/>
        <w:t>Fonte: COAFI/STN/MF.</w:t>
      </w:r>
    </w:p>
    <w:p w14:paraId="5BE15C42" w14:textId="77777777" w:rsidR="005432E1" w:rsidRDefault="005432E1">
      <w:pPr>
        <w:rPr>
          <w:rFonts w:asciiTheme="minorHAnsi" w:hAnsiTheme="minorHAnsi"/>
          <w:b/>
          <w:bCs/>
        </w:rPr>
      </w:pPr>
      <w:r>
        <w:rPr>
          <w:rFonts w:asciiTheme="minorHAnsi" w:hAnsiTheme="minorHAnsi"/>
          <w:b/>
          <w:bCs/>
        </w:rPr>
        <w:br w:type="page"/>
      </w:r>
    </w:p>
    <w:p w14:paraId="75EBCA6A" w14:textId="728B0F93"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3</w:t>
      </w:r>
      <w:r w:rsidR="002B0E5D" w:rsidRPr="005432E1">
        <w:rPr>
          <w:rFonts w:asciiTheme="minorHAnsi" w:hAnsiTheme="minorHAnsi"/>
          <w:b/>
          <w:bCs/>
        </w:rPr>
        <w:t>8</w:t>
      </w:r>
      <w:r w:rsidRPr="005432E1">
        <w:rPr>
          <w:rFonts w:asciiTheme="minorHAnsi" w:hAnsiTheme="minorHAnsi"/>
          <w:b/>
          <w:bCs/>
        </w:rPr>
        <w:t xml:space="preserve">: Despesas Previstas versus realizadas -  2014 a 2017 </w:t>
      </w:r>
      <w:r w:rsidRPr="005432E1">
        <w:rPr>
          <w:rFonts w:asciiTheme="minorHAnsi" w:hAnsiTheme="minorHAnsi"/>
        </w:rPr>
        <w:t>(R$ milhões)</w:t>
      </w:r>
    </w:p>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64"/>
        <w:gridCol w:w="1292"/>
        <w:gridCol w:w="1489"/>
        <w:gridCol w:w="943"/>
        <w:gridCol w:w="1275"/>
        <w:gridCol w:w="1560"/>
        <w:gridCol w:w="1134"/>
      </w:tblGrid>
      <w:tr w:rsidR="0026114A" w:rsidRPr="005432E1" w14:paraId="19277496" w14:textId="77777777" w:rsidTr="008E10E0">
        <w:trPr>
          <w:tblCellSpacing w:w="0" w:type="dxa"/>
        </w:trPr>
        <w:tc>
          <w:tcPr>
            <w:tcW w:w="2364" w:type="dxa"/>
            <w:vMerge w:val="restart"/>
            <w:tcBorders>
              <w:top w:val="outset" w:sz="6" w:space="0" w:color="auto"/>
              <w:left w:val="outset" w:sz="6" w:space="0" w:color="auto"/>
              <w:bottom w:val="outset" w:sz="6" w:space="0" w:color="auto"/>
              <w:right w:val="outset" w:sz="6" w:space="0" w:color="auto"/>
            </w:tcBorders>
            <w:noWrap/>
            <w:vAlign w:val="center"/>
            <w:hideMark/>
          </w:tcPr>
          <w:p w14:paraId="71C13BB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Programa</w:t>
            </w:r>
          </w:p>
        </w:tc>
        <w:tc>
          <w:tcPr>
            <w:tcW w:w="3724" w:type="dxa"/>
            <w:gridSpan w:val="3"/>
            <w:tcBorders>
              <w:top w:val="outset" w:sz="6" w:space="0" w:color="auto"/>
              <w:left w:val="outset" w:sz="6" w:space="0" w:color="auto"/>
              <w:bottom w:val="outset" w:sz="6" w:space="0" w:color="auto"/>
              <w:right w:val="outset" w:sz="6" w:space="0" w:color="auto"/>
            </w:tcBorders>
            <w:noWrap/>
            <w:vAlign w:val="center"/>
            <w:hideMark/>
          </w:tcPr>
          <w:p w14:paraId="1D1CDB63"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2014</w:t>
            </w:r>
          </w:p>
        </w:tc>
        <w:tc>
          <w:tcPr>
            <w:tcW w:w="3969" w:type="dxa"/>
            <w:gridSpan w:val="3"/>
            <w:tcBorders>
              <w:top w:val="outset" w:sz="6" w:space="0" w:color="auto"/>
              <w:left w:val="outset" w:sz="6" w:space="0" w:color="auto"/>
              <w:bottom w:val="outset" w:sz="6" w:space="0" w:color="auto"/>
              <w:right w:val="outset" w:sz="6" w:space="0" w:color="auto"/>
            </w:tcBorders>
            <w:noWrap/>
            <w:vAlign w:val="center"/>
            <w:hideMark/>
          </w:tcPr>
          <w:p w14:paraId="77191AD6"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2015</w:t>
            </w:r>
          </w:p>
        </w:tc>
      </w:tr>
      <w:tr w:rsidR="0026114A" w:rsidRPr="005432E1" w14:paraId="465CAECD" w14:textId="77777777" w:rsidTr="008E10E0">
        <w:trPr>
          <w:tblCellSpacing w:w="0" w:type="dxa"/>
        </w:trPr>
        <w:tc>
          <w:tcPr>
            <w:tcW w:w="2364" w:type="dxa"/>
            <w:vMerge/>
            <w:tcBorders>
              <w:top w:val="outset" w:sz="6" w:space="0" w:color="auto"/>
              <w:left w:val="outset" w:sz="6" w:space="0" w:color="auto"/>
              <w:bottom w:val="outset" w:sz="6" w:space="0" w:color="auto"/>
              <w:right w:val="outset" w:sz="6" w:space="0" w:color="auto"/>
            </w:tcBorders>
            <w:vAlign w:val="center"/>
            <w:hideMark/>
          </w:tcPr>
          <w:p w14:paraId="19B06740" w14:textId="77777777" w:rsidR="00652B9C" w:rsidRPr="005432E1" w:rsidRDefault="00652B9C" w:rsidP="00652B9C">
            <w:pPr>
              <w:rPr>
                <w:rFonts w:asciiTheme="minorHAnsi" w:hAnsiTheme="minorHAnsi"/>
              </w:rPr>
            </w:pP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1F75C40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PREVISTO</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03EE798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REALIZADO</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6EB98F0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Dif.%</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FB0EEF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PREVISTO</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21CC311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REALIZADO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184953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Dif.%</w:t>
            </w:r>
          </w:p>
        </w:tc>
      </w:tr>
      <w:tr w:rsidR="0026114A" w:rsidRPr="005432E1" w14:paraId="0B84A373"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6CAAD02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Carteira de Saneamento</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7001492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1,505</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7C60524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1,142</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16416A6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-24,10%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669BA79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2,121</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7C79323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1,192</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087F9B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-43,79%</w:t>
            </w:r>
          </w:p>
        </w:tc>
      </w:tr>
      <w:tr w:rsidR="0026114A" w:rsidRPr="005432E1" w14:paraId="046C52E7"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7A7F39C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PNAFE</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7DD99B8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0,479</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2030887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0,225</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00EF67B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-53,07%</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7B6B8DD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0,758</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682D0BD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0,629</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32CB01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-16,99%</w:t>
            </w:r>
          </w:p>
        </w:tc>
      </w:tr>
      <w:tr w:rsidR="0026114A" w:rsidRPr="005432E1" w14:paraId="48833681"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4AB514A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8.727/93 - C R C</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1FE60F0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57,227</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57DA660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39,543</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70887A5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-30,90%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EC997F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56D6F80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FF5171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72EB4DD7"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6CCEBD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5242A19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3.307,986</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613D5EB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1.735,591</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0A66816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-47,53%</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197FCCE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2.518,156</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56E4640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1.383,328</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2DE3D8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-45,07%</w:t>
            </w:r>
          </w:p>
        </w:tc>
      </w:tr>
      <w:tr w:rsidR="0026114A" w:rsidRPr="005432E1" w14:paraId="522552A6"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48161D3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Devoluções LC 148/14</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136C181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34E59C1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67A15DB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4943282"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34626B9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EC6227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68FE6931"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7CE08A3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4D2326A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3.367,197 </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588E2024"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1.776,501 </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5F73F89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-47,24%</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7F15A2A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2.521,036 </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7C0EF2E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1.385,150 </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488A3B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-45,06%</w:t>
            </w:r>
          </w:p>
        </w:tc>
      </w:tr>
      <w:tr w:rsidR="0026114A" w:rsidRPr="005432E1" w14:paraId="59CC113E" w14:textId="77777777" w:rsidTr="008E10E0">
        <w:trPr>
          <w:tblCellSpacing w:w="0" w:type="dxa"/>
        </w:trPr>
        <w:tc>
          <w:tcPr>
            <w:tcW w:w="2364" w:type="dxa"/>
            <w:vMerge w:val="restart"/>
            <w:tcBorders>
              <w:top w:val="outset" w:sz="6" w:space="0" w:color="auto"/>
              <w:left w:val="outset" w:sz="6" w:space="0" w:color="auto"/>
              <w:bottom w:val="outset" w:sz="6" w:space="0" w:color="auto"/>
              <w:right w:val="outset" w:sz="6" w:space="0" w:color="auto"/>
            </w:tcBorders>
            <w:noWrap/>
            <w:vAlign w:val="center"/>
            <w:hideMark/>
          </w:tcPr>
          <w:p w14:paraId="03166D5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Programa</w:t>
            </w:r>
          </w:p>
        </w:tc>
        <w:tc>
          <w:tcPr>
            <w:tcW w:w="3724" w:type="dxa"/>
            <w:gridSpan w:val="3"/>
            <w:tcBorders>
              <w:top w:val="outset" w:sz="6" w:space="0" w:color="auto"/>
              <w:left w:val="outset" w:sz="6" w:space="0" w:color="auto"/>
              <w:bottom w:val="outset" w:sz="6" w:space="0" w:color="auto"/>
              <w:right w:val="outset" w:sz="6" w:space="0" w:color="auto"/>
            </w:tcBorders>
            <w:noWrap/>
            <w:vAlign w:val="center"/>
            <w:hideMark/>
          </w:tcPr>
          <w:p w14:paraId="0E6D9C11"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2016</w:t>
            </w:r>
          </w:p>
        </w:tc>
        <w:tc>
          <w:tcPr>
            <w:tcW w:w="3969" w:type="dxa"/>
            <w:gridSpan w:val="3"/>
            <w:tcBorders>
              <w:top w:val="outset" w:sz="6" w:space="0" w:color="auto"/>
              <w:left w:val="outset" w:sz="6" w:space="0" w:color="auto"/>
              <w:bottom w:val="outset" w:sz="6" w:space="0" w:color="auto"/>
              <w:right w:val="outset" w:sz="6" w:space="0" w:color="auto"/>
            </w:tcBorders>
            <w:noWrap/>
            <w:vAlign w:val="center"/>
            <w:hideMark/>
          </w:tcPr>
          <w:p w14:paraId="1E08FC84" w14:textId="77777777" w:rsidR="00652B9C" w:rsidRPr="005432E1" w:rsidRDefault="00652B9C" w:rsidP="00652B9C">
            <w:pPr>
              <w:spacing w:before="100" w:beforeAutospacing="1" w:after="100" w:afterAutospacing="1"/>
              <w:jc w:val="center"/>
              <w:rPr>
                <w:rFonts w:asciiTheme="minorHAnsi" w:hAnsiTheme="minorHAnsi"/>
              </w:rPr>
            </w:pPr>
            <w:r w:rsidRPr="005432E1">
              <w:rPr>
                <w:rFonts w:asciiTheme="minorHAnsi" w:hAnsiTheme="minorHAnsi"/>
                <w:b/>
                <w:bCs/>
              </w:rPr>
              <w:t>2017</w:t>
            </w:r>
          </w:p>
        </w:tc>
      </w:tr>
      <w:tr w:rsidR="0026114A" w:rsidRPr="005432E1" w14:paraId="73007886" w14:textId="77777777" w:rsidTr="008E10E0">
        <w:trPr>
          <w:tblCellSpacing w:w="0" w:type="dxa"/>
        </w:trPr>
        <w:tc>
          <w:tcPr>
            <w:tcW w:w="2364" w:type="dxa"/>
            <w:vMerge/>
            <w:tcBorders>
              <w:top w:val="outset" w:sz="6" w:space="0" w:color="auto"/>
              <w:left w:val="outset" w:sz="6" w:space="0" w:color="auto"/>
              <w:bottom w:val="outset" w:sz="6" w:space="0" w:color="auto"/>
              <w:right w:val="outset" w:sz="6" w:space="0" w:color="auto"/>
            </w:tcBorders>
            <w:vAlign w:val="center"/>
            <w:hideMark/>
          </w:tcPr>
          <w:p w14:paraId="04BE67B2" w14:textId="77777777" w:rsidR="00652B9C" w:rsidRPr="005432E1" w:rsidRDefault="00652B9C" w:rsidP="00652B9C">
            <w:pPr>
              <w:rPr>
                <w:rFonts w:asciiTheme="minorHAnsi" w:hAnsiTheme="minorHAnsi"/>
              </w:rPr>
            </w:pP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179CC7E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PREVISTO</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74AE5B4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REALIZADO</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5FF1D6D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Dif.%</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BCBDAB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PREVISTO</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369335F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REALIZADO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88A0C2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Dif.%</w:t>
            </w:r>
          </w:p>
        </w:tc>
      </w:tr>
      <w:tr w:rsidR="0026114A" w:rsidRPr="005432E1" w14:paraId="29C07814"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741C966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Carteira de Saneamento</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07C2D2A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1,075</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5817ED1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0,615</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28EE78F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-42,77%</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FA2B8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1,037</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0090B9E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0,513</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B37764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-50,54%</w:t>
            </w:r>
          </w:p>
        </w:tc>
      </w:tr>
      <w:tr w:rsidR="0026114A" w:rsidRPr="005432E1" w14:paraId="25972669"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57CB5BC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PNAFE</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2F8BAF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0,750</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1CD2673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0,514</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4ECF3F5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-31,41%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7FBDBE9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0,556</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2D4502A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0,222</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B8417F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-60,05%</w:t>
            </w:r>
          </w:p>
        </w:tc>
      </w:tr>
      <w:tr w:rsidR="0026114A" w:rsidRPr="005432E1" w14:paraId="237B09FE"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32A943EA"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8.727/93 - C R C</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229F439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52F01087"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  </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5EB6F8B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2C71418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0FEAB95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AD549B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64AC3C66"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423B1470"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Lei 8.727/93</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6F8BEB3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1.847,092</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65CCB29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1.083,684</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78EB470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-41,33%</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7511D0E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1.903,977</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47873E0D"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6.911,165</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A644B5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262,99%</w:t>
            </w:r>
          </w:p>
        </w:tc>
      </w:tr>
      <w:tr w:rsidR="0026114A" w:rsidRPr="005432E1" w14:paraId="07E3776D"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3E95FA6F"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Devoluções LC 148/14</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1AB544F3"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400,000</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3722E2D6"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220,219</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50650D4C"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-44,95%</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FBC097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7BC48A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135,695</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E060465"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26FE2F8F" w14:textId="77777777" w:rsidTr="008E10E0">
        <w:trPr>
          <w:tblCellSpacing w:w="0" w:type="dxa"/>
        </w:trPr>
        <w:tc>
          <w:tcPr>
            <w:tcW w:w="2364" w:type="dxa"/>
            <w:tcBorders>
              <w:top w:val="outset" w:sz="6" w:space="0" w:color="auto"/>
              <w:left w:val="outset" w:sz="6" w:space="0" w:color="auto"/>
              <w:bottom w:val="outset" w:sz="6" w:space="0" w:color="auto"/>
              <w:right w:val="outset" w:sz="6" w:space="0" w:color="auto"/>
            </w:tcBorders>
            <w:noWrap/>
            <w:vAlign w:val="center"/>
            <w:hideMark/>
          </w:tcPr>
          <w:p w14:paraId="3C69572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Total</w:t>
            </w:r>
          </w:p>
        </w:tc>
        <w:tc>
          <w:tcPr>
            <w:tcW w:w="1292" w:type="dxa"/>
            <w:tcBorders>
              <w:top w:val="outset" w:sz="6" w:space="0" w:color="auto"/>
              <w:left w:val="outset" w:sz="6" w:space="0" w:color="auto"/>
              <w:bottom w:val="outset" w:sz="6" w:space="0" w:color="auto"/>
              <w:right w:val="outset" w:sz="6" w:space="0" w:color="auto"/>
            </w:tcBorders>
            <w:noWrap/>
            <w:vAlign w:val="center"/>
            <w:hideMark/>
          </w:tcPr>
          <w:p w14:paraId="30425D99"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2.248,917 </w:t>
            </w:r>
          </w:p>
        </w:tc>
        <w:tc>
          <w:tcPr>
            <w:tcW w:w="1489" w:type="dxa"/>
            <w:tcBorders>
              <w:top w:val="outset" w:sz="6" w:space="0" w:color="auto"/>
              <w:left w:val="outset" w:sz="6" w:space="0" w:color="auto"/>
              <w:bottom w:val="outset" w:sz="6" w:space="0" w:color="auto"/>
              <w:right w:val="outset" w:sz="6" w:space="0" w:color="auto"/>
            </w:tcBorders>
            <w:noWrap/>
            <w:vAlign w:val="center"/>
            <w:hideMark/>
          </w:tcPr>
          <w:p w14:paraId="7D0D80E8"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1.305,033 </w:t>
            </w:r>
          </w:p>
        </w:tc>
        <w:tc>
          <w:tcPr>
            <w:tcW w:w="943" w:type="dxa"/>
            <w:tcBorders>
              <w:top w:val="outset" w:sz="6" w:space="0" w:color="auto"/>
              <w:left w:val="outset" w:sz="6" w:space="0" w:color="auto"/>
              <w:bottom w:val="outset" w:sz="6" w:space="0" w:color="auto"/>
              <w:right w:val="outset" w:sz="6" w:space="0" w:color="auto"/>
            </w:tcBorders>
            <w:noWrap/>
            <w:vAlign w:val="center"/>
            <w:hideMark/>
          </w:tcPr>
          <w:p w14:paraId="0A174BAE"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-41,97%</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ABF0E6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1.905,571 </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4E97739B"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 xml:space="preserve">7.047,596 </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33AEF61" w14:textId="77777777" w:rsidR="00652B9C" w:rsidRPr="005432E1" w:rsidRDefault="00652B9C" w:rsidP="00652B9C">
            <w:pPr>
              <w:spacing w:before="100" w:beforeAutospacing="1" w:after="100" w:afterAutospacing="1"/>
              <w:rPr>
                <w:rFonts w:asciiTheme="minorHAnsi" w:hAnsiTheme="minorHAnsi"/>
              </w:rPr>
            </w:pPr>
            <w:r w:rsidRPr="005432E1">
              <w:rPr>
                <w:rFonts w:asciiTheme="minorHAnsi" w:hAnsiTheme="minorHAnsi"/>
                <w:b/>
                <w:bCs/>
              </w:rPr>
              <w:t>269,84%</w:t>
            </w:r>
          </w:p>
        </w:tc>
      </w:tr>
    </w:tbl>
    <w:p w14:paraId="00735A31" w14:textId="77777777" w:rsidR="008E10E0" w:rsidRPr="005432E1" w:rsidRDefault="008E10E0" w:rsidP="0001423A">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6457CA16" w14:textId="77777777" w:rsidR="00652B9C" w:rsidRPr="005432E1" w:rsidRDefault="002E23A9" w:rsidP="00652B9C">
      <w:pPr>
        <w:spacing w:before="100" w:beforeAutospacing="1" w:after="100" w:afterAutospacing="1"/>
        <w:jc w:val="both"/>
        <w:rPr>
          <w:rFonts w:asciiTheme="minorHAnsi" w:hAnsiTheme="minorHAnsi"/>
        </w:rPr>
      </w:pPr>
      <w:r w:rsidRPr="005432E1">
        <w:rPr>
          <w:rFonts w:asciiTheme="minorHAnsi" w:hAnsiTheme="minorHAnsi"/>
        </w:rPr>
        <w:tab/>
      </w:r>
      <w:r w:rsidR="00652B9C" w:rsidRPr="005432E1">
        <w:rPr>
          <w:rFonts w:asciiTheme="minorHAnsi" w:hAnsiTheme="minorHAnsi"/>
        </w:rPr>
        <w:t>A medida de mitigação do risco para as reduções de receitas decorrentes dos indexadores dos créditos geridos pela STN é o encaminhamento de projeções conservadoras para as receitas, para compor a PLOA.</w:t>
      </w:r>
      <w:r w:rsidRPr="005432E1">
        <w:rPr>
          <w:rFonts w:asciiTheme="minorHAnsi" w:hAnsiTheme="minorHAnsi"/>
        </w:rPr>
        <w:t xml:space="preserve"> </w:t>
      </w:r>
      <w:r w:rsidR="00652B9C" w:rsidRPr="005432E1">
        <w:rPr>
          <w:rFonts w:asciiTheme="minorHAnsi" w:hAnsiTheme="minorHAnsi"/>
        </w:rPr>
        <w:t>Por outro lado, de forma a mitigar as inadimplências pontuais, a STN se utiliza do mecanismo de obtenção de garantias constituídas por receitas próprias e cotas dos Fundos de Participação previstas nos contratos firmados com os devedores.</w:t>
      </w:r>
      <w:r w:rsidRPr="005432E1">
        <w:rPr>
          <w:rFonts w:asciiTheme="minorHAnsi" w:hAnsiTheme="minorHAnsi"/>
        </w:rPr>
        <w:t xml:space="preserve"> </w:t>
      </w:r>
      <w:r w:rsidR="00652B9C" w:rsidRPr="005432E1">
        <w:rPr>
          <w:rFonts w:asciiTheme="minorHAnsi" w:hAnsiTheme="minorHAnsi"/>
        </w:rPr>
        <w:t>Finalmente, para os riscos decorrentes das reduções de receitas em virtude de ações judiciais, a principal medida tomada é a intensificação do relacionamento com a AGU e suas procuradorias regionais e seccionais, adotando, inclusive, uma postura mais atuante em relação ao acompanhamento das ações judiciais.</w:t>
      </w:r>
    </w:p>
    <w:p w14:paraId="16F0A85B" w14:textId="77777777" w:rsidR="008E10E0" w:rsidRPr="005432E1" w:rsidRDefault="008E10E0" w:rsidP="00652B9C">
      <w:pPr>
        <w:spacing w:before="100" w:beforeAutospacing="1" w:after="100" w:afterAutospacing="1"/>
        <w:jc w:val="both"/>
        <w:rPr>
          <w:rFonts w:asciiTheme="minorHAnsi" w:hAnsiTheme="minorHAnsi"/>
        </w:rPr>
      </w:pPr>
      <w:r w:rsidRPr="005432E1">
        <w:rPr>
          <w:rFonts w:asciiTheme="minorHAnsi" w:hAnsiTheme="minorHAnsi"/>
        </w:rPr>
        <w:tab/>
        <w:t>Ressalta-se que essas operações são financeiras e o impacto fiscal da ocorrência dos riscos se dá sobre o endividamento público.</w:t>
      </w:r>
    </w:p>
    <w:p w14:paraId="29775B64" w14:textId="77777777" w:rsidR="002E23A9" w:rsidRPr="005432E1" w:rsidRDefault="002E23A9" w:rsidP="00DE2CA7">
      <w:pPr>
        <w:spacing w:before="100" w:beforeAutospacing="1" w:after="100" w:afterAutospacing="1"/>
        <w:jc w:val="both"/>
        <w:rPr>
          <w:rFonts w:asciiTheme="minorHAnsi" w:hAnsiTheme="minorHAnsi"/>
          <w:b/>
          <w:bCs/>
        </w:rPr>
      </w:pPr>
      <w:r w:rsidRPr="005432E1">
        <w:rPr>
          <w:rFonts w:asciiTheme="minorHAnsi" w:hAnsiTheme="minorHAnsi"/>
          <w:b/>
        </w:rPr>
        <w:t xml:space="preserve">a.1.3) </w:t>
      </w:r>
      <w:r w:rsidR="00DE2CA7" w:rsidRPr="005432E1">
        <w:rPr>
          <w:rFonts w:asciiTheme="minorHAnsi" w:hAnsiTheme="minorHAnsi"/>
          <w:b/>
          <w:bCs/>
        </w:rPr>
        <w:t>Riscos re</w:t>
      </w:r>
      <w:r w:rsidRPr="005432E1">
        <w:rPr>
          <w:rFonts w:asciiTheme="minorHAnsi" w:hAnsiTheme="minorHAnsi"/>
          <w:b/>
          <w:bCs/>
        </w:rPr>
        <w:t>lativos à execução das despesas</w:t>
      </w:r>
    </w:p>
    <w:p w14:paraId="62F9C4DF"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As despesas para o exercício subsequente são estimadas </w:t>
      </w:r>
      <w:r w:rsidR="00F4288A" w:rsidRPr="005432E1">
        <w:rPr>
          <w:rFonts w:asciiTheme="minorHAnsi" w:hAnsiTheme="minorHAnsi"/>
        </w:rPr>
        <w:t xml:space="preserve">pela STN </w:t>
      </w:r>
      <w:r w:rsidR="00DE2CA7" w:rsidRPr="005432E1">
        <w:rPr>
          <w:rFonts w:asciiTheme="minorHAnsi" w:hAnsiTheme="minorHAnsi"/>
        </w:rPr>
        <w:t>de aco</w:t>
      </w:r>
      <w:r w:rsidR="00F4288A" w:rsidRPr="005432E1">
        <w:rPr>
          <w:rFonts w:asciiTheme="minorHAnsi" w:hAnsiTheme="minorHAnsi"/>
        </w:rPr>
        <w:t>rdo com premissas conservadoras</w:t>
      </w:r>
      <w:r w:rsidR="00DE2CA7" w:rsidRPr="005432E1">
        <w:rPr>
          <w:rFonts w:asciiTheme="minorHAnsi" w:hAnsiTheme="minorHAnsi"/>
        </w:rPr>
        <w:t>, contendo margens de segurança em virtude dos riscos envolvidos. Também para as estimativas das despesas são utilizados cenários de indexadores fornecidos pela STN, sendo as respectivas estimativas encaminhadas anualmente para a SPOA/MF com o objetivo de compor o PLOA, do ano subsequente. As despesas decorrentes dos haveres junto aos Estados e Municípios são classificadas em dois grupos, a saber:</w:t>
      </w:r>
    </w:p>
    <w:p w14:paraId="23028C09"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Despesas Obrigatórias - distribuída em duas ações:</w:t>
      </w:r>
      <w:r w:rsidRPr="005432E1">
        <w:rPr>
          <w:rFonts w:asciiTheme="minorHAnsi" w:hAnsiTheme="minorHAnsi"/>
        </w:rPr>
        <w:t> </w:t>
      </w:r>
    </w:p>
    <w:p w14:paraId="33C2F3C3" w14:textId="77777777" w:rsidR="00DE2CA7" w:rsidRPr="005432E1" w:rsidRDefault="00DE2CA7" w:rsidP="00DE2CA7">
      <w:pPr>
        <w:numPr>
          <w:ilvl w:val="0"/>
          <w:numId w:val="19"/>
        </w:numPr>
        <w:spacing w:before="100" w:beforeAutospacing="1" w:after="100" w:afterAutospacing="1"/>
        <w:jc w:val="both"/>
        <w:rPr>
          <w:rFonts w:asciiTheme="minorHAnsi" w:hAnsiTheme="minorHAnsi"/>
        </w:rPr>
      </w:pPr>
      <w:r w:rsidRPr="005432E1">
        <w:rPr>
          <w:rFonts w:asciiTheme="minorHAnsi" w:hAnsiTheme="minorHAnsi"/>
          <w:b/>
          <w:bCs/>
        </w:rPr>
        <w:t>Programa 0905 – Operações Especiais: Serviço da Dívida Interna (Juros e Amortizações), Ação 0272 – Dívidas Internas das Administrações Direta e Indireta dos Estados, do Distrito Federal e dos Municípios, refinanciadas pela União - Lei n° 8.727, de 1993</w:t>
      </w:r>
    </w:p>
    <w:p w14:paraId="590E460C"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 despesa obrigatória em questão se refere à obrigação do Tesouro Nacional, conforme disposto no art. 11 na Lei no 8.727/1993, de repassar no prazo máximo de dois dias úteis os valores destinados ao pagamento das entidades originalmente credoras do referido refinanciamento. Via de regra, as referidas despesas estão vinculadas à fonte 173. Com a quitação das divergências entre os contratos de cessão e de confissão no âmbito da referida Lei, restaram apenas dívidas denominadas “vincendas”, referentes a dívidas cedidas pela Caixa no início do referido programa.</w:t>
      </w:r>
    </w:p>
    <w:p w14:paraId="13A21BC5"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Principais riscos envolvidos na execução das despesas da Ação 0272:</w:t>
      </w:r>
    </w:p>
    <w:p w14:paraId="4D100D23"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ocorrência de amortizações extraordinárias ao longo do exercício, as quais aumentam de forma proporcional as despesas obrigatórias do programa;</w:t>
      </w:r>
    </w:p>
    <w:p w14:paraId="7BD4D6DF"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impacto do indexador das dívidas vincendas da Lei n</w:t>
      </w:r>
      <w:r w:rsidRPr="005432E1">
        <w:rPr>
          <w:rFonts w:asciiTheme="minorHAnsi" w:hAnsiTheme="minorHAnsi"/>
          <w:vertAlign w:val="superscript"/>
        </w:rPr>
        <w:t>o</w:t>
      </w:r>
      <w:r w:rsidRPr="005432E1">
        <w:rPr>
          <w:rFonts w:asciiTheme="minorHAnsi" w:hAnsiTheme="minorHAnsi"/>
        </w:rPr>
        <w:t xml:space="preserve"> 8.727/1993 (no caso, a TR), o qua</w:t>
      </w:r>
      <w:r w:rsidR="00F4288A" w:rsidRPr="005432E1">
        <w:rPr>
          <w:rFonts w:asciiTheme="minorHAnsi" w:hAnsiTheme="minorHAnsi"/>
        </w:rPr>
        <w:t>l aumenta de forma proporcional as despe</w:t>
      </w:r>
      <w:r w:rsidRPr="005432E1">
        <w:rPr>
          <w:rFonts w:asciiTheme="minorHAnsi" w:hAnsiTheme="minorHAnsi"/>
        </w:rPr>
        <w:t>sas obrigatória</w:t>
      </w:r>
      <w:r w:rsidR="00F4288A" w:rsidRPr="005432E1">
        <w:rPr>
          <w:rFonts w:asciiTheme="minorHAnsi" w:hAnsiTheme="minorHAnsi"/>
        </w:rPr>
        <w:t>s do programa</w:t>
      </w:r>
      <w:r w:rsidRPr="005432E1">
        <w:rPr>
          <w:rFonts w:asciiTheme="minorHAnsi" w:hAnsiTheme="minorHAnsi"/>
        </w:rPr>
        <w:t>;</w:t>
      </w:r>
    </w:p>
    <w:p w14:paraId="2F441D14"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novação/decurso dos contratos originais das dívidas vincendas da Lei nº 8.727/1993: os contratos originais das dívidas vincendas preveem valores reduzidos de parcelas, os quais nem sempre permitem a quitação integral do saldo devedor. Quando isso ocorre, a partir dos saldos devedores restantes dos contratos originais, a CAIXA gera novos contratos, denominados “decursados”, com prazo padrão de 60 meses. Como para esses novos contratos não há teto para valor das parcelas, a depender do montante do saldo devedor restante do respectivo contrato original, o valor da parcela do novo contrato poderá ser muito superior ao valor da parcela do contrato que lhe deu origem. Isso amplia os recebimentos previstos no âmbito da Lei nº 8.727/1993, e por consequência aumenta as respectivas despesas obrigatórias.</w:t>
      </w:r>
    </w:p>
    <w:p w14:paraId="631C49AD"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Com o objetivo de mitigar o risco de não execução das despesas geridas pela STN, quando da preparação d</w:t>
      </w:r>
      <w:r w:rsidR="00CF716E" w:rsidRPr="005432E1">
        <w:rPr>
          <w:rFonts w:asciiTheme="minorHAnsi" w:hAnsiTheme="minorHAnsi"/>
        </w:rPr>
        <w:t>o</w:t>
      </w:r>
      <w:r w:rsidR="00DE2CA7" w:rsidRPr="005432E1">
        <w:rPr>
          <w:rFonts w:asciiTheme="minorHAnsi" w:hAnsiTheme="minorHAnsi"/>
        </w:rPr>
        <w:t xml:space="preserve"> PLOA, as previsões orçamentárias para o exercício subsequente apresentam margens de segurança para prevenir eventuais quitações antecipadas, e cortes nos créditos solicitados por meio d</w:t>
      </w:r>
      <w:r w:rsidR="00CF716E" w:rsidRPr="005432E1">
        <w:rPr>
          <w:rFonts w:asciiTheme="minorHAnsi" w:hAnsiTheme="minorHAnsi"/>
        </w:rPr>
        <w:t>o</w:t>
      </w:r>
      <w:r w:rsidR="00DE2CA7" w:rsidRPr="005432E1">
        <w:rPr>
          <w:rFonts w:asciiTheme="minorHAnsi" w:hAnsiTheme="minorHAnsi"/>
        </w:rPr>
        <w:t xml:space="preserve"> PLOA quando da publicação da LOA e do Decreto de LME. Ademais, ressaltamos para esse caso a postura proativa</w:t>
      </w:r>
      <w:r w:rsidR="00CF716E" w:rsidRPr="005432E1">
        <w:rPr>
          <w:rFonts w:asciiTheme="minorHAnsi" w:hAnsiTheme="minorHAnsi"/>
        </w:rPr>
        <w:t xml:space="preserve"> da STN</w:t>
      </w:r>
      <w:r w:rsidR="00DE2CA7" w:rsidRPr="005432E1">
        <w:rPr>
          <w:rFonts w:asciiTheme="minorHAnsi" w:hAnsiTheme="minorHAnsi"/>
        </w:rPr>
        <w:t xml:space="preserve"> de solicitar de forma tempestiva créditos adicionais para situações em que se verifica que o valor disponibilizado será insuficiente para quitação das despesas do exercício, e a solicitação antecipada de cota financeira à STN, com o objetivo de evitar atraso no pagamento das faturas.</w:t>
      </w:r>
    </w:p>
    <w:p w14:paraId="4F4361A4"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Importa registrar que a LC nº 156/2016 concedeu autorização para a União efetuar a quitação das obrigações assumidas pela Lei nº 8.727, de 5 de novembro de 1993, denominadas “dívidas vincendas”, que envolvem recursos oriundos do Fundo de Garantia do Tempo de Serviço - FGTS, perante a Caixa Econômica Federal, mediante cessão definitiva dos direitos creditórios derivados das operações firmadas ao amparo da referida Lei com Estados, Distrito Federal, municípios ou com as respectivas entidades da administração indireta. Até o momento nenhum pedido formal de cessão ingressou na STN. Entretanto, cabe registrar que a cessão dos créditos deverá ser realizada concomitante à repactuação das dívidas entre os devedores e o agente operador do FGTS.</w:t>
      </w:r>
    </w:p>
    <w:p w14:paraId="6705AAB7" w14:textId="0BBBCBE2"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Na Tabela</w:t>
      </w:r>
      <w:r w:rsidRPr="005432E1">
        <w:rPr>
          <w:rFonts w:asciiTheme="minorHAnsi" w:hAnsiTheme="minorHAnsi"/>
          <w:color w:val="0070C0"/>
        </w:rPr>
        <w:t xml:space="preserve"> </w:t>
      </w:r>
      <w:r w:rsidR="00F408AA" w:rsidRPr="005432E1">
        <w:rPr>
          <w:rFonts w:asciiTheme="minorHAnsi" w:hAnsiTheme="minorHAnsi"/>
        </w:rPr>
        <w:t>3</w:t>
      </w:r>
      <w:r w:rsidR="00E84981" w:rsidRPr="005432E1">
        <w:rPr>
          <w:rFonts w:asciiTheme="minorHAnsi" w:hAnsiTheme="minorHAnsi"/>
        </w:rPr>
        <w:t>8</w:t>
      </w:r>
      <w:r w:rsidR="00CF716E" w:rsidRPr="005432E1">
        <w:rPr>
          <w:rFonts w:asciiTheme="minorHAnsi" w:hAnsiTheme="minorHAnsi"/>
        </w:rPr>
        <w:t xml:space="preserve"> mostrada anteriormente</w:t>
      </w:r>
      <w:r w:rsidRPr="005432E1">
        <w:rPr>
          <w:rFonts w:asciiTheme="minorHAnsi" w:hAnsiTheme="minorHAnsi"/>
        </w:rPr>
        <w:t xml:space="preserve"> é possível verificar as despesas previstas versus realizadas para os exercícios de 2014 a 2017.</w:t>
      </w:r>
    </w:p>
    <w:p w14:paraId="5F731C06" w14:textId="77777777" w:rsidR="00DE2CA7" w:rsidRPr="005432E1" w:rsidRDefault="00DE2CA7" w:rsidP="00DE2CA7">
      <w:pPr>
        <w:numPr>
          <w:ilvl w:val="0"/>
          <w:numId w:val="20"/>
        </w:numPr>
        <w:spacing w:before="100" w:beforeAutospacing="1" w:after="100" w:afterAutospacing="1"/>
        <w:jc w:val="both"/>
        <w:rPr>
          <w:rFonts w:asciiTheme="minorHAnsi" w:hAnsiTheme="minorHAnsi"/>
        </w:rPr>
      </w:pPr>
      <w:r w:rsidRPr="005432E1">
        <w:rPr>
          <w:rFonts w:asciiTheme="minorHAnsi" w:hAnsiTheme="minorHAnsi"/>
          <w:b/>
          <w:bCs/>
        </w:rPr>
        <w:t>Programa 0905 – Operações Especiais: Serviço da Dívida Interna (Juros e Amortizações), Ação 00PQ – Ressarcimento a Municípios de Dívidas Contratuais Internas assumidas e refinanciadas pela União (Lei Complementar nº 148, de 2014)</w:t>
      </w:r>
    </w:p>
    <w:p w14:paraId="5E070172"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color w:val="0070C0"/>
        </w:rPr>
        <w:tab/>
      </w:r>
      <w:r w:rsidR="00DE2CA7" w:rsidRPr="005432E1">
        <w:rPr>
          <w:rFonts w:asciiTheme="minorHAnsi" w:hAnsiTheme="minorHAnsi"/>
        </w:rPr>
        <w:t>A despesa em vista consiste no ressarcimento a Municípios decorrentes da alteração retroativa de indexadores das dívidas de Municípios com a União, no âmbito da MP n</w:t>
      </w:r>
      <w:r w:rsidR="00DE2CA7" w:rsidRPr="005432E1">
        <w:rPr>
          <w:rFonts w:asciiTheme="minorHAnsi" w:hAnsiTheme="minorHAnsi"/>
          <w:vertAlign w:val="superscript"/>
        </w:rPr>
        <w:t>o</w:t>
      </w:r>
      <w:r w:rsidR="00DE2CA7" w:rsidRPr="005432E1">
        <w:rPr>
          <w:rFonts w:asciiTheme="minorHAnsi" w:hAnsiTheme="minorHAnsi"/>
        </w:rPr>
        <w:t xml:space="preserve"> 2.185/2001. As despesas no âmbito da Ação 00PQ foram executas nas fontes 143 (principal) e 144 (juros).</w:t>
      </w:r>
    </w:p>
    <w:p w14:paraId="4DCF6880"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 referida Ação foi prevista inicialmente para o exercício de 2016, sendo que o valor orçado foi de R$ 400 milhões, enquanto o montante executado alcançou a cifra de R$ 220,</w:t>
      </w:r>
      <w:r w:rsidR="00CF716E" w:rsidRPr="005432E1">
        <w:rPr>
          <w:rFonts w:asciiTheme="minorHAnsi" w:hAnsiTheme="minorHAnsi"/>
        </w:rPr>
        <w:t>3</w:t>
      </w:r>
      <w:r w:rsidR="00DE2CA7" w:rsidRPr="005432E1">
        <w:rPr>
          <w:rFonts w:asciiTheme="minorHAnsi" w:hAnsiTheme="minorHAnsi"/>
        </w:rPr>
        <w:t xml:space="preserve"> milhões, 55,1% do valor orçado. O valor não executado foi inscrito em restos a pagar não processados, e o montante de R$ 135,7 milhões foi devolvido aos Municípios credores ao longo do exercício de 2017.</w:t>
      </w:r>
    </w:p>
    <w:p w14:paraId="28E8DA88"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Como ao longo do exercício de 2017 restaram poucos Municípios credores, a referida Ação foi prevista para o orçamento de 2018 no montante de R$ 12 milhões. No momento atual restam 3 Municípios credores com saldo credor de R$ 2,9 milhões (posição de 10/01/2018, fornecida pelo agente financeiro Banco do Brasil</w:t>
      </w:r>
      <w:r w:rsidR="00CF716E" w:rsidRPr="005432E1">
        <w:rPr>
          <w:rFonts w:asciiTheme="minorHAnsi" w:hAnsiTheme="minorHAnsi"/>
        </w:rPr>
        <w:t>- BB</w:t>
      </w:r>
      <w:r w:rsidR="00DE2CA7" w:rsidRPr="005432E1">
        <w:rPr>
          <w:rFonts w:asciiTheme="minorHAnsi" w:hAnsiTheme="minorHAnsi"/>
        </w:rPr>
        <w:t>).</w:t>
      </w:r>
    </w:p>
    <w:p w14:paraId="081459B1"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Principais riscos envolvidos na execução das despesas da Ação 00PQ:</w:t>
      </w:r>
    </w:p>
    <w:p w14:paraId="0FC19D51"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não execução das devoluções ao longo do exercício de 2018, sendo sua execução adiada para os exercícios subsequentes;</w:t>
      </w:r>
    </w:p>
    <w:p w14:paraId="11BCE0E1"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não execução ao longo do exercício de 2018, de forma que o total dos valores credores dos Municípios se torne superior ao valor total orçado na LOA 2018.</w:t>
      </w:r>
    </w:p>
    <w:p w14:paraId="160BD0E9" w14:textId="3E894CFB"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Finalmente, informamos que as devoluções só podem ser efetivadas mediante celebração dos respectivos termos aditivos por parte dos Municípios em adesão às condições estabelecidas na LC n</w:t>
      </w:r>
      <w:r w:rsidR="00DE2CA7" w:rsidRPr="005432E1">
        <w:rPr>
          <w:rFonts w:asciiTheme="minorHAnsi" w:hAnsiTheme="minorHAnsi"/>
          <w:vertAlign w:val="superscript"/>
        </w:rPr>
        <w:t>o</w:t>
      </w:r>
      <w:r w:rsidR="00DE2CA7" w:rsidRPr="005432E1">
        <w:rPr>
          <w:rFonts w:asciiTheme="minorHAnsi" w:hAnsiTheme="minorHAnsi"/>
        </w:rPr>
        <w:t xml:space="preserve"> 148/14. Segue na Tabela </w:t>
      </w:r>
      <w:r w:rsidR="00BD21A1" w:rsidRPr="005432E1">
        <w:rPr>
          <w:rFonts w:asciiTheme="minorHAnsi" w:hAnsiTheme="minorHAnsi"/>
        </w:rPr>
        <w:t>3</w:t>
      </w:r>
      <w:r w:rsidR="00E84981" w:rsidRPr="005432E1">
        <w:rPr>
          <w:rFonts w:asciiTheme="minorHAnsi" w:hAnsiTheme="minorHAnsi"/>
        </w:rPr>
        <w:t>9</w:t>
      </w:r>
      <w:r w:rsidR="00DE2CA7" w:rsidRPr="005432E1">
        <w:rPr>
          <w:rFonts w:asciiTheme="minorHAnsi" w:hAnsiTheme="minorHAnsi"/>
        </w:rPr>
        <w:t xml:space="preserve"> a lista das devoluções efetuadas aos Municípios a partir de 01.02.2016.</w:t>
      </w:r>
    </w:p>
    <w:p w14:paraId="5E5A44D2" w14:textId="345B15A5" w:rsidR="00B05F79" w:rsidRPr="005432E1" w:rsidRDefault="00B05F79" w:rsidP="00B05F79">
      <w:pPr>
        <w:spacing w:before="100" w:beforeAutospacing="1" w:after="100" w:afterAutospacing="1"/>
        <w:jc w:val="center"/>
        <w:rPr>
          <w:rFonts w:asciiTheme="minorHAnsi" w:hAnsiTheme="minorHAnsi"/>
          <w:b/>
          <w:bCs/>
        </w:rPr>
      </w:pPr>
      <w:r w:rsidRPr="005432E1">
        <w:rPr>
          <w:rFonts w:asciiTheme="minorHAnsi" w:hAnsiTheme="minorHAnsi"/>
          <w:b/>
          <w:bCs/>
        </w:rPr>
        <w:t xml:space="preserve">Tabela </w:t>
      </w:r>
      <w:r w:rsidR="006264C0" w:rsidRPr="005432E1">
        <w:rPr>
          <w:rFonts w:asciiTheme="minorHAnsi" w:hAnsiTheme="minorHAnsi"/>
          <w:b/>
          <w:bCs/>
        </w:rPr>
        <w:t>3</w:t>
      </w:r>
      <w:r w:rsidR="00E84981" w:rsidRPr="005432E1">
        <w:rPr>
          <w:rFonts w:asciiTheme="minorHAnsi" w:hAnsiTheme="minorHAnsi"/>
          <w:b/>
          <w:bCs/>
        </w:rPr>
        <w:t>9</w:t>
      </w:r>
      <w:r w:rsidRPr="005432E1">
        <w:rPr>
          <w:rFonts w:asciiTheme="minorHAnsi" w:hAnsiTheme="minorHAnsi"/>
          <w:b/>
          <w:bCs/>
        </w:rPr>
        <w:t>: Devoluções aos Munic</w:t>
      </w:r>
      <w:r w:rsidR="00CF716E" w:rsidRPr="005432E1">
        <w:rPr>
          <w:rFonts w:asciiTheme="minorHAnsi" w:hAnsiTheme="minorHAnsi"/>
          <w:b/>
          <w:bCs/>
        </w:rPr>
        <w:t>ípios - LC nº 148/14 (</w:t>
      </w:r>
      <w:r w:rsidRPr="005432E1">
        <w:rPr>
          <w:rFonts w:asciiTheme="minorHAnsi" w:hAnsiTheme="minorHAnsi"/>
          <w:b/>
          <w:bCs/>
        </w:rPr>
        <w:t>em R$)</w:t>
      </w: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425"/>
        <w:gridCol w:w="1134"/>
        <w:gridCol w:w="2268"/>
        <w:gridCol w:w="2693"/>
        <w:gridCol w:w="2410"/>
      </w:tblGrid>
      <w:tr w:rsidR="0026114A" w:rsidRPr="005432E1" w14:paraId="4B5840D4"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80F25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Município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0827FB1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Estado</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D847A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Data Devolução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44157D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Principal - Fonte 143</w:t>
            </w:r>
          </w:p>
        </w:tc>
        <w:tc>
          <w:tcPr>
            <w:tcW w:w="2693" w:type="dxa"/>
            <w:tcBorders>
              <w:top w:val="outset" w:sz="6" w:space="0" w:color="auto"/>
              <w:left w:val="outset" w:sz="6" w:space="0" w:color="auto"/>
              <w:bottom w:val="outset" w:sz="6" w:space="0" w:color="auto"/>
              <w:right w:val="outset" w:sz="6" w:space="0" w:color="auto"/>
            </w:tcBorders>
            <w:vAlign w:val="center"/>
            <w:hideMark/>
          </w:tcPr>
          <w:p w14:paraId="59D29C5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Juros - Fonte 144</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FC5339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1E3B4F1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3BBE84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AMPARO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ACB78F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AEB540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104276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7.581,44</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7695CF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14.079,83</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02107F6" w14:textId="77777777" w:rsidR="00DE2CA7" w:rsidRPr="005432E1" w:rsidRDefault="00051903" w:rsidP="00051903">
            <w:pPr>
              <w:spacing w:before="100" w:beforeAutospacing="1" w:after="100" w:afterAutospacing="1"/>
              <w:rPr>
                <w:rFonts w:asciiTheme="minorHAnsi" w:hAnsiTheme="minorHAnsi"/>
              </w:rPr>
            </w:pPr>
            <w:r w:rsidRPr="005432E1">
              <w:rPr>
                <w:rFonts w:asciiTheme="minorHAnsi" w:hAnsiTheme="minorHAnsi"/>
              </w:rPr>
              <w:t> R$</w:t>
            </w:r>
            <w:r w:rsidR="0051059B" w:rsidRPr="005432E1">
              <w:rPr>
                <w:rFonts w:asciiTheme="minorHAnsi" w:hAnsiTheme="minorHAnsi"/>
              </w:rPr>
              <w:t xml:space="preserve">            </w:t>
            </w:r>
            <w:r w:rsidRPr="005432E1">
              <w:rPr>
                <w:rFonts w:asciiTheme="minorHAnsi" w:hAnsiTheme="minorHAnsi"/>
              </w:rPr>
              <w:t> </w:t>
            </w:r>
            <w:r w:rsidR="00DE2CA7" w:rsidRPr="005432E1">
              <w:rPr>
                <w:rFonts w:asciiTheme="minorHAnsi" w:hAnsiTheme="minorHAnsi"/>
              </w:rPr>
              <w:t>21.661,27</w:t>
            </w:r>
          </w:p>
        </w:tc>
      </w:tr>
      <w:tr w:rsidR="0026114A" w:rsidRPr="005432E1" w14:paraId="128C6F5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45626A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ANDRADAS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816CEA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E03D18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23/02/2017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389626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15.122,67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892200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28.084,95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8E489F0"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w:t>
            </w:r>
            <w:r w:rsidR="0051059B" w:rsidRPr="005432E1">
              <w:rPr>
                <w:rFonts w:asciiTheme="minorHAnsi" w:hAnsiTheme="minorHAnsi"/>
              </w:rPr>
              <w:t xml:space="preserve">             </w:t>
            </w:r>
            <w:r w:rsidRPr="005432E1">
              <w:rPr>
                <w:rFonts w:asciiTheme="minorHAnsi" w:hAnsiTheme="minorHAnsi"/>
              </w:rPr>
              <w:t>43.207,62</w:t>
            </w:r>
          </w:p>
        </w:tc>
      </w:tr>
      <w:tr w:rsidR="0026114A" w:rsidRPr="005432E1" w14:paraId="18AC18A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0991E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ANGRA DOS REIS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D4513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RJ</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E14F91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03/10/2017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5A5810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785.537,13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95321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1.458.854,68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5430F3B" w14:textId="77777777" w:rsidR="00DE2CA7" w:rsidRPr="005432E1" w:rsidRDefault="00DE2CA7" w:rsidP="00051903">
            <w:pPr>
              <w:spacing w:before="100" w:beforeAutospacing="1" w:after="100" w:afterAutospacing="1"/>
              <w:rPr>
                <w:rFonts w:asciiTheme="minorHAnsi" w:hAnsiTheme="minorHAnsi"/>
              </w:rPr>
            </w:pPr>
            <w:r w:rsidRPr="005432E1">
              <w:rPr>
                <w:rFonts w:asciiTheme="minorHAnsi" w:hAnsiTheme="minorHAnsi"/>
              </w:rPr>
              <w:t> R$</w:t>
            </w:r>
            <w:r w:rsidR="00051903" w:rsidRPr="005432E1">
              <w:rPr>
                <w:rFonts w:asciiTheme="minorHAnsi" w:hAnsiTheme="minorHAnsi"/>
              </w:rPr>
              <w:t xml:space="preserve"> </w:t>
            </w:r>
            <w:r w:rsidR="0051059B" w:rsidRPr="005432E1">
              <w:rPr>
                <w:rFonts w:asciiTheme="minorHAnsi" w:hAnsiTheme="minorHAnsi"/>
              </w:rPr>
              <w:t xml:space="preserve">           </w:t>
            </w:r>
            <w:r w:rsidRPr="005432E1">
              <w:rPr>
                <w:rFonts w:asciiTheme="minorHAnsi" w:hAnsiTheme="minorHAnsi"/>
              </w:rPr>
              <w:t>2.244.391,81</w:t>
            </w:r>
          </w:p>
        </w:tc>
      </w:tr>
      <w:tr w:rsidR="0026114A" w:rsidRPr="005432E1" w14:paraId="5755C82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D3AD72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BALNEÁRIO CAMBORIÚ</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55C98C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C5E118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03/08/2016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FD3AFB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460.703,21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7094F4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855.591,67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B3264E6" w14:textId="77777777" w:rsidR="00DE2CA7" w:rsidRPr="005432E1" w:rsidRDefault="00DE2CA7" w:rsidP="00051903">
            <w:pPr>
              <w:spacing w:before="100" w:beforeAutospacing="1" w:after="100" w:afterAutospacing="1"/>
              <w:rPr>
                <w:rFonts w:asciiTheme="minorHAnsi" w:hAnsiTheme="minorHAnsi"/>
              </w:rPr>
            </w:pPr>
            <w:r w:rsidRPr="005432E1">
              <w:rPr>
                <w:rFonts w:asciiTheme="minorHAnsi" w:hAnsiTheme="minorHAnsi"/>
              </w:rPr>
              <w:t> R$</w:t>
            </w:r>
            <w:r w:rsidR="00051903" w:rsidRPr="005432E1">
              <w:rPr>
                <w:rFonts w:asciiTheme="minorHAnsi" w:hAnsiTheme="minorHAnsi"/>
              </w:rPr>
              <w:t xml:space="preserve"> </w:t>
            </w:r>
            <w:r w:rsidR="0051059B" w:rsidRPr="005432E1">
              <w:rPr>
                <w:rFonts w:asciiTheme="minorHAnsi" w:hAnsiTheme="minorHAnsi"/>
              </w:rPr>
              <w:t xml:space="preserve">          </w:t>
            </w:r>
            <w:r w:rsidRPr="005432E1">
              <w:rPr>
                <w:rFonts w:asciiTheme="minorHAnsi" w:hAnsiTheme="minorHAnsi"/>
              </w:rPr>
              <w:t>1.316.294,88</w:t>
            </w:r>
          </w:p>
        </w:tc>
      </w:tr>
      <w:tr w:rsidR="0026114A" w:rsidRPr="005432E1" w14:paraId="58FF1650"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0ECA96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BAMBUÍ</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622CC75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AE7268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25/07/2017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0BEA49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74.206,77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CBC5B7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137.812,56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10DC9B0" w14:textId="77777777" w:rsidR="00DE2CA7" w:rsidRPr="005432E1" w:rsidRDefault="00DE2CA7" w:rsidP="00051903">
            <w:pPr>
              <w:spacing w:before="100" w:beforeAutospacing="1" w:after="100" w:afterAutospacing="1"/>
              <w:rPr>
                <w:rFonts w:asciiTheme="minorHAnsi" w:hAnsiTheme="minorHAnsi"/>
              </w:rPr>
            </w:pPr>
            <w:r w:rsidRPr="005432E1">
              <w:rPr>
                <w:rFonts w:asciiTheme="minorHAnsi" w:hAnsiTheme="minorHAnsi"/>
              </w:rPr>
              <w:t> R$</w:t>
            </w:r>
            <w:r w:rsidR="0051059B" w:rsidRPr="005432E1">
              <w:rPr>
                <w:rFonts w:asciiTheme="minorHAnsi" w:hAnsiTheme="minorHAnsi"/>
              </w:rPr>
              <w:t xml:space="preserve">              </w:t>
            </w:r>
            <w:r w:rsidR="00051903" w:rsidRPr="005432E1">
              <w:rPr>
                <w:rFonts w:asciiTheme="minorHAnsi" w:hAnsiTheme="minorHAnsi"/>
              </w:rPr>
              <w:t xml:space="preserve"> </w:t>
            </w:r>
            <w:r w:rsidRPr="005432E1">
              <w:rPr>
                <w:rFonts w:asciiTheme="minorHAnsi" w:hAnsiTheme="minorHAnsi"/>
              </w:rPr>
              <w:t>212.019,33</w:t>
            </w:r>
          </w:p>
        </w:tc>
      </w:tr>
      <w:tr w:rsidR="0026114A" w:rsidRPr="005432E1" w14:paraId="58AEFA41"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D07EFC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BARBACENA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487652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940BFF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41254E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199.311,02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E5015C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370.149,03</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15F8646" w14:textId="77777777" w:rsidR="00DE2CA7" w:rsidRPr="005432E1" w:rsidRDefault="00DE2CA7" w:rsidP="00051903">
            <w:pPr>
              <w:spacing w:before="100" w:beforeAutospacing="1" w:after="100" w:afterAutospacing="1"/>
              <w:rPr>
                <w:rFonts w:asciiTheme="minorHAnsi" w:hAnsiTheme="minorHAnsi"/>
              </w:rPr>
            </w:pPr>
            <w:r w:rsidRPr="005432E1">
              <w:rPr>
                <w:rFonts w:asciiTheme="minorHAnsi" w:hAnsiTheme="minorHAnsi"/>
              </w:rPr>
              <w:t> R$</w:t>
            </w:r>
            <w:r w:rsidR="0051059B" w:rsidRPr="005432E1">
              <w:rPr>
                <w:rFonts w:asciiTheme="minorHAnsi" w:hAnsiTheme="minorHAnsi"/>
              </w:rPr>
              <w:t xml:space="preserve">               </w:t>
            </w:r>
            <w:r w:rsidRPr="005432E1">
              <w:rPr>
                <w:rFonts w:asciiTheme="minorHAnsi" w:hAnsiTheme="minorHAnsi"/>
              </w:rPr>
              <w:t>569.460,05</w:t>
            </w:r>
          </w:p>
        </w:tc>
      </w:tr>
      <w:tr w:rsidR="0026114A" w:rsidRPr="005432E1" w14:paraId="386B9B5F"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BC36CC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BARRA MANSA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32FD32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RJ</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CC3302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06/10/2016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71AB3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409.850,21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67016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761.150,38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5214548" w14:textId="77777777" w:rsidR="00DE2CA7" w:rsidRPr="005432E1" w:rsidRDefault="00DE2CA7" w:rsidP="00011EA7">
            <w:pPr>
              <w:spacing w:before="100" w:beforeAutospacing="1" w:after="100" w:afterAutospacing="1"/>
              <w:rPr>
                <w:rFonts w:asciiTheme="minorHAnsi" w:hAnsiTheme="minorHAnsi"/>
              </w:rPr>
            </w:pPr>
            <w:r w:rsidRPr="005432E1">
              <w:rPr>
                <w:rFonts w:asciiTheme="minorHAnsi" w:hAnsiTheme="minorHAnsi"/>
              </w:rPr>
              <w:t> R$</w:t>
            </w:r>
            <w:r w:rsidR="0051059B" w:rsidRPr="005432E1">
              <w:rPr>
                <w:rFonts w:asciiTheme="minorHAnsi" w:hAnsiTheme="minorHAnsi"/>
              </w:rPr>
              <w:t xml:space="preserve">          </w:t>
            </w:r>
            <w:r w:rsidR="00011EA7" w:rsidRPr="005432E1">
              <w:rPr>
                <w:rFonts w:asciiTheme="minorHAnsi" w:hAnsiTheme="minorHAnsi"/>
              </w:rPr>
              <w:t xml:space="preserve"> </w:t>
            </w:r>
            <w:r w:rsidRPr="005432E1">
              <w:rPr>
                <w:rFonts w:asciiTheme="minorHAnsi" w:hAnsiTheme="minorHAnsi"/>
              </w:rPr>
              <w:t>1.171.000,59</w:t>
            </w:r>
          </w:p>
        </w:tc>
      </w:tr>
      <w:tr w:rsidR="0026114A" w:rsidRPr="005432E1" w14:paraId="472FB39F"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334588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BELO HORIZONTE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A35757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FE8D73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295F3B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49.784.839,65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DB2671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92.457.559,34</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0293054" w14:textId="77777777" w:rsidR="00DE2CA7" w:rsidRPr="005432E1" w:rsidRDefault="00DE2CA7" w:rsidP="00011EA7">
            <w:pPr>
              <w:spacing w:before="100" w:beforeAutospacing="1" w:after="100" w:afterAutospacing="1"/>
              <w:rPr>
                <w:rFonts w:asciiTheme="minorHAnsi" w:hAnsiTheme="minorHAnsi"/>
              </w:rPr>
            </w:pPr>
            <w:r w:rsidRPr="005432E1">
              <w:rPr>
                <w:rFonts w:asciiTheme="minorHAnsi" w:hAnsiTheme="minorHAnsi"/>
              </w:rPr>
              <w:t> R$</w:t>
            </w:r>
            <w:r w:rsidR="00011EA7" w:rsidRPr="005432E1">
              <w:rPr>
                <w:rFonts w:asciiTheme="minorHAnsi" w:hAnsiTheme="minorHAnsi"/>
              </w:rPr>
              <w:t xml:space="preserve"> </w:t>
            </w:r>
            <w:r w:rsidR="0051059B" w:rsidRPr="005432E1">
              <w:rPr>
                <w:rFonts w:asciiTheme="minorHAnsi" w:hAnsiTheme="minorHAnsi"/>
              </w:rPr>
              <w:t xml:space="preserve">      </w:t>
            </w:r>
            <w:r w:rsidRPr="005432E1">
              <w:rPr>
                <w:rFonts w:asciiTheme="minorHAnsi" w:hAnsiTheme="minorHAnsi"/>
              </w:rPr>
              <w:t>142.242.398,99</w:t>
            </w:r>
          </w:p>
        </w:tc>
      </w:tr>
      <w:tr w:rsidR="0026114A" w:rsidRPr="005432E1" w14:paraId="78BDABD1"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C0AC1F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BIRIGUI</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13BF00F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195937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24841B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18.140,26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90D9D0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33.689,05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A4E4BC6"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51.829,31</w:t>
            </w:r>
          </w:p>
        </w:tc>
      </w:tr>
      <w:tr w:rsidR="0026114A" w:rsidRPr="005432E1" w14:paraId="65BC7014"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F7556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BRASILÂNDIA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37CBF0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3B987C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F9B7A8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2.186,57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AB913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4.060,78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937336B"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6.247,35</w:t>
            </w:r>
          </w:p>
        </w:tc>
      </w:tr>
      <w:tr w:rsidR="0026114A" w:rsidRPr="005432E1" w14:paraId="44386DCD"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92491C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CANOINHAS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AFA137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6CA1D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03/08/2016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52D658A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26.254,93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413B18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48.759,16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28F0827"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75.014,09</w:t>
            </w:r>
          </w:p>
        </w:tc>
      </w:tr>
      <w:tr w:rsidR="0026114A" w:rsidRPr="005432E1" w14:paraId="14E97CE3"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3D91CB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CORDEIRÓPOLIS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B2EFD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4D16E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05/05/2017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181792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42.380,26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F10DC2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78.706,19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4DB877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121.086,45</w:t>
            </w:r>
          </w:p>
        </w:tc>
      </w:tr>
      <w:tr w:rsidR="0026114A" w:rsidRPr="005432E1" w14:paraId="24A73F07"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C68C5F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DIAS D'ÁVILA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A7F62B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3FB7D2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10/04/2017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1FCCC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62.642,40</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A48F46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116.335,89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BD56597"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178.978,29</w:t>
            </w:r>
          </w:p>
        </w:tc>
      </w:tr>
      <w:tr w:rsidR="0026114A" w:rsidRPr="005432E1" w14:paraId="72EEF73D"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F29BBF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DIVINOLÂNDIA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F1CFD6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632FA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17/08/2017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CBCA63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20.267,07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C418EA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37.638,85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A0A947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57.905,92</w:t>
            </w:r>
          </w:p>
        </w:tc>
      </w:tr>
      <w:tr w:rsidR="0026114A" w:rsidRPr="005432E1" w14:paraId="10D23E0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48FE71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DIVINÓPOLIS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FA0D74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86FF05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96559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260.740,60</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0175C0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484.232,55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B32A434"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744.973,15</w:t>
            </w:r>
          </w:p>
        </w:tc>
      </w:tr>
      <w:tr w:rsidR="0026114A" w:rsidRPr="005432E1" w14:paraId="3FF4AE55"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CA3469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DOURADOS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ED744A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372819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AE1F7B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328.761,31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9E8DF0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610.556,72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5BFF3B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939.318,03</w:t>
            </w:r>
          </w:p>
        </w:tc>
      </w:tr>
      <w:tr w:rsidR="0026114A" w:rsidRPr="005432E1" w14:paraId="1476D7FB"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8D0D55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GRAVATAL</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6E9511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7D2B2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25/10/2017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921028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74.282,93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26A385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137.954,01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000A996"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212.236,94</w:t>
            </w:r>
          </w:p>
        </w:tc>
      </w:tr>
      <w:tr w:rsidR="0026114A" w:rsidRPr="005432E1" w14:paraId="5E6CC1CC"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E486EA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GUARULHOS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BC9FEE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F44653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22/03/2017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DEAE60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43.137.475,36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786D96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80.112.454,25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B5030CB"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123.249.929,61</w:t>
            </w:r>
          </w:p>
        </w:tc>
      </w:tr>
      <w:tr w:rsidR="0026114A" w:rsidRPr="005432E1" w14:paraId="40DF772D"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0D5398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IBIÁ</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AFE49D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863089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A4D09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34.624,35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86AD29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64.302,36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51EFD1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98.926,70</w:t>
            </w:r>
          </w:p>
        </w:tc>
      </w:tr>
      <w:tr w:rsidR="0026114A" w:rsidRPr="005432E1" w14:paraId="5F8AB3AC"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57EBD8E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IGARAPÉ</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0DEC20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69F3D4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30/06/2016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5FDAA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71.026,32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F93F8E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131.906,02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AC19555"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202.932,34</w:t>
            </w:r>
          </w:p>
        </w:tc>
      </w:tr>
      <w:tr w:rsidR="0026114A" w:rsidRPr="005432E1" w14:paraId="6BFAF78B"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671BA67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IGUAPE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ACF4E4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DF9A7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28/11/2017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D91E5F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264.183,88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1310D7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490.627,20</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1DED0BE"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754.811,08</w:t>
            </w:r>
          </w:p>
        </w:tc>
      </w:tr>
      <w:tr w:rsidR="0026114A" w:rsidRPr="005432E1" w14:paraId="39BA85D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15F771B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IMBITUBA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0D2CB8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1D5F30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01/12/2017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7D8FAE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109.694,63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A1D717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203.718,59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695BE84"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313.413,22</w:t>
            </w:r>
          </w:p>
        </w:tc>
      </w:tr>
      <w:tr w:rsidR="0026114A" w:rsidRPr="005432E1" w14:paraId="4916E818"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3ADC30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INDAIATUBA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C1EC9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4302EB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13/09/2016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77CDE5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7.533.745,32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C6ADB3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13.991.241,31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A67BEFF"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21.524.986,63</w:t>
            </w:r>
          </w:p>
        </w:tc>
      </w:tr>
      <w:tr w:rsidR="0026114A" w:rsidRPr="005432E1" w14:paraId="40DD8C03"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0ED2C80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IPAUSSU</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7513A5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2380E7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24/03/2017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B8FFCE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22.742,52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DE594D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42.236,10</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B8CBA8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64.978,62</w:t>
            </w:r>
          </w:p>
        </w:tc>
      </w:tr>
      <w:tr w:rsidR="0026114A" w:rsidRPr="005432E1" w14:paraId="07C93ACC"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0E51324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ITÁ</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C0353F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6B91A1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62A219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7.069,23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957A42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13.128,57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2404CA5"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20.197,80</w:t>
            </w:r>
          </w:p>
        </w:tc>
      </w:tr>
      <w:tr w:rsidR="0026114A" w:rsidRPr="005432E1" w14:paraId="19301C83"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DE16A5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ITAPAGIPE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BB886D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119785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16/11/2016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5929743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27.954,63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65C7C6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51.915,73</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51D897B"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79.870,36</w:t>
            </w:r>
          </w:p>
        </w:tc>
      </w:tr>
      <w:tr w:rsidR="0026114A" w:rsidRPr="005432E1" w14:paraId="1C4CBC05"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65C2857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ITAPECERICA DA SERRA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287D33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FBED7C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17/04/2017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76884E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231.065,14</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FBF275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429.120,98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355593A"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660.186,12</w:t>
            </w:r>
          </w:p>
        </w:tc>
      </w:tr>
      <w:tr w:rsidR="0026114A" w:rsidRPr="005432E1" w14:paraId="3882E45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6D5DD4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ITAPIRA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15963E3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FDC920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BDAE12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103.305,56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6FD2B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191.853,19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97BAC04"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295.158,75</w:t>
            </w:r>
          </w:p>
        </w:tc>
      </w:tr>
      <w:tr w:rsidR="0026114A" w:rsidRPr="005432E1" w14:paraId="44ADF531"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07F34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ITAPIRA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B1969B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8F9C27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0A6043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56.511,25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BFC28D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104.949,46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3B793C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161.460,71</w:t>
            </w:r>
          </w:p>
        </w:tc>
      </w:tr>
      <w:tr w:rsidR="0026114A" w:rsidRPr="005432E1" w14:paraId="03C72A5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0A42AD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ITUPEVA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150C9CB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FE45F0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01/11/2017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71DC3B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81.155,12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BEA243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150.716,66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07C189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231.871,78</w:t>
            </w:r>
          </w:p>
        </w:tc>
      </w:tr>
      <w:tr w:rsidR="0026114A" w:rsidRPr="005432E1" w14:paraId="4A409530"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AB0709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JOAÇABA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DDC766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DB5FDB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9D3423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335.292,88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89F8DF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622.686,77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C155A93"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957.979,65</w:t>
            </w:r>
          </w:p>
        </w:tc>
      </w:tr>
      <w:tr w:rsidR="0026114A" w:rsidRPr="005432E1" w14:paraId="0B43F37F"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AA83FD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JUIZ DE FORA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13A5AFB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652B11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D6055E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208.010,43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3CC98F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386.305,08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B154D5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594.315,51</w:t>
            </w:r>
          </w:p>
        </w:tc>
      </w:tr>
      <w:tr w:rsidR="0026114A" w:rsidRPr="005432E1" w14:paraId="6F8ABD6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8E1052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JUNDIAÍ</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B8FCE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6EA936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02697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727.043,70</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394164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1.350.224,02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327F910"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2.077.267,72</w:t>
            </w:r>
          </w:p>
        </w:tc>
      </w:tr>
      <w:tr w:rsidR="0026114A" w:rsidRPr="005432E1" w14:paraId="7720D303"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38918D3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LAVRAS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2E3144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C8DC27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29/06/2017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569D41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405.785,67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7FABBD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753.601,96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90605FE"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1.159.387,63</w:t>
            </w:r>
          </w:p>
        </w:tc>
      </w:tr>
      <w:tr w:rsidR="0026114A" w:rsidRPr="005432E1" w14:paraId="33F5B77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14C101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LUZ</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1E12929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98E2F8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EC1256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37.885,23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2C3D8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70.358,29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E66AC88"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108.243,52</w:t>
            </w:r>
          </w:p>
        </w:tc>
      </w:tr>
      <w:tr w:rsidR="0026114A" w:rsidRPr="005432E1" w14:paraId="28D6F422"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48C742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MARACAJU</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B51A64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665F4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21/11/2016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072D65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99.442,58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096573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184.679,08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29CEA58"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284.121,66</w:t>
            </w:r>
          </w:p>
        </w:tc>
      </w:tr>
      <w:tr w:rsidR="0026114A" w:rsidRPr="005432E1" w14:paraId="7918CED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9607EB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MOGI-GUAÇU</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65EAEF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1042E9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13/09/2016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87B631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13.170,05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095513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24.458,66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B593A28"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37.628,71</w:t>
            </w:r>
          </w:p>
        </w:tc>
      </w:tr>
      <w:tr w:rsidR="0026114A" w:rsidRPr="005432E1" w14:paraId="1354B4BC"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7C51FA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MOGI-GUAÇU</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05BE6A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0ACECE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550988E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49.605,96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9D4D83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92.125,36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5784DF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141.731,32</w:t>
            </w:r>
          </w:p>
        </w:tc>
      </w:tr>
      <w:tr w:rsidR="0026114A" w:rsidRPr="005432E1" w14:paraId="5695A262"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3A6514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NATAL</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0E883D5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RN</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BA565A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339A2F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404.943,30</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52DBB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752.037,55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6892679"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1.156.980,85</w:t>
            </w:r>
          </w:p>
        </w:tc>
      </w:tr>
      <w:tr w:rsidR="0026114A" w:rsidRPr="005432E1" w14:paraId="054A6197"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5836C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NAVIRAÍ</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DF2078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918C1E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11/08/2017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5D49E2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282.632,64</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8C41E1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524.889,19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6C2ABEC"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807.521,83</w:t>
            </w:r>
          </w:p>
        </w:tc>
      </w:tr>
      <w:tr w:rsidR="0026114A" w:rsidRPr="005432E1" w14:paraId="2840F02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18EA41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NOVA LIMA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838DB3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83ED24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21/11/2016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0D15CCF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452.167,93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8647A5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839.740,45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1B6434E"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1.291.908,38</w:t>
            </w:r>
          </w:p>
        </w:tc>
      </w:tr>
      <w:tr w:rsidR="0026114A" w:rsidRPr="005432E1" w14:paraId="1C7EA1B8"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E4A332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PARAOPEBA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F994C5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712720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9AD813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49.506,65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043BC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91.940,93</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51B4B488"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141.447,58</w:t>
            </w:r>
          </w:p>
        </w:tc>
      </w:tr>
      <w:tr w:rsidR="0026114A" w:rsidRPr="005432E1" w14:paraId="188FB322"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10EE14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PATOS DE MINAS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2E5BEB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2D2E68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FE26D6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11.279,81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C8B263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20.948,22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144D442"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32.228,03</w:t>
            </w:r>
          </w:p>
        </w:tc>
      </w:tr>
      <w:tr w:rsidR="0026114A" w:rsidRPr="005432E1" w14:paraId="627B2A0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5BD7D9F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PEDRO LEOPOLDO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02D0F46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53CE4F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C27BD0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144.696,24</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B8ABCD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268.721,58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47B1FA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413.417,82</w:t>
            </w:r>
          </w:p>
        </w:tc>
      </w:tr>
      <w:tr w:rsidR="0026114A" w:rsidRPr="005432E1" w14:paraId="187917A0"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2A093EB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PINDAMONHAGABA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FB8C8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EFD43A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20/09/2016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51876C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1.096,15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69214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2.035,74</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3D2A3D29"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3.131,89</w:t>
            </w:r>
          </w:p>
        </w:tc>
      </w:tr>
      <w:tr w:rsidR="0026114A" w:rsidRPr="005432E1" w14:paraId="3C3AE81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788C24C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PIQUEROBI</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36B9CF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27286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21/11/2016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EAB429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36.151,91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B2670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67.139,25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CC7E8CE"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103.291,16</w:t>
            </w:r>
          </w:p>
        </w:tc>
      </w:tr>
      <w:tr w:rsidR="0026114A" w:rsidRPr="005432E1" w14:paraId="5F670FD1"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3AE6E8F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PONTA PORÃ</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783219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CABA47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22/12/2016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FD185E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339.592,46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40AE7D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630.671,71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16D767B"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970.264,17</w:t>
            </w:r>
          </w:p>
        </w:tc>
      </w:tr>
      <w:tr w:rsidR="0026114A" w:rsidRPr="005432E1" w14:paraId="17206B47"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0FD6BB8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POUSO ALEGRE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BE570A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C208AF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7810C9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25.421,93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CCBC58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47.212,15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064D3DB"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72.634,08</w:t>
            </w:r>
          </w:p>
        </w:tc>
      </w:tr>
      <w:tr w:rsidR="0026114A" w:rsidRPr="005432E1" w14:paraId="1DCB248B"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51C039C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RECIFE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675E0A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PE</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3388AE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03/10/2017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B35EC7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1.041.461,89</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EBDEA6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1.934.143,52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6D53E7D"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2.975.605,41</w:t>
            </w:r>
          </w:p>
        </w:tc>
      </w:tr>
      <w:tr w:rsidR="0026114A" w:rsidRPr="005432E1" w14:paraId="3499EC32"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545A7E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REGISTRO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C467C9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7259CF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9049FB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57.892,72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16F97A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107.515,06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6119C4A6"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165.407,78</w:t>
            </w:r>
          </w:p>
        </w:tc>
      </w:tr>
      <w:tr w:rsidR="0026114A" w:rsidRPr="005432E1" w14:paraId="118F31D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007167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REGISTRO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AF617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DFAA50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11/10/2016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39ABE7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31.226,67</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2898D7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57.992,40</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203A99F"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89.219,07</w:t>
            </w:r>
          </w:p>
        </w:tc>
      </w:tr>
      <w:tr w:rsidR="0026114A" w:rsidRPr="005432E1" w14:paraId="41EA168C"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3D7830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RESENDE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6F3AE5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RJ</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D74F37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5AADC3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59.249,01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73B5F3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110.033,87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BC078E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169.282,88</w:t>
            </w:r>
          </w:p>
        </w:tc>
      </w:tr>
      <w:tr w:rsidR="0026114A" w:rsidRPr="005432E1" w14:paraId="7E4E9A3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C6FC5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RIO GRANDE DA SERRA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6F065D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F8017F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0251C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72.829,18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5AD4809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135.254,20</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5566432"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208.083,38</w:t>
            </w:r>
          </w:p>
        </w:tc>
      </w:tr>
      <w:tr w:rsidR="0026114A" w:rsidRPr="005432E1" w14:paraId="71DBC49E"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288032B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SALTO GRANDE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9254EA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746FF7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06/06/2017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9C229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81.848,62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8D04D4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152.004,57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A32971C"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233.853,19</w:t>
            </w:r>
          </w:p>
        </w:tc>
      </w:tr>
      <w:tr w:rsidR="0026114A" w:rsidRPr="005432E1" w14:paraId="2B55AEBF"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1712CB2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SALVADOR</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707497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D9B297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49260A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1.790.001,78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E93610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3.324.289,02</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36FD37E2"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5.114.290,80</w:t>
            </w:r>
          </w:p>
        </w:tc>
      </w:tr>
      <w:tr w:rsidR="0026114A" w:rsidRPr="005432E1" w14:paraId="0048263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111DA07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SANTA BÁRBARA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8A1CF3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29776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13/09/2016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7BB3F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3.531,98</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658AF75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6.559,39</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1F404949"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10.091,37</w:t>
            </w:r>
          </w:p>
        </w:tc>
      </w:tr>
      <w:tr w:rsidR="0026114A" w:rsidRPr="005432E1" w14:paraId="0BF55E0F"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6AEF351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SANTO AMARO DE IMPERATRIZ</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5D4B22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SC</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BC2B77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06/07/2017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805267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38.760,13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8A1CC7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71.983,11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22EE433"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110.743,24</w:t>
            </w:r>
          </w:p>
        </w:tc>
      </w:tr>
      <w:tr w:rsidR="0026114A" w:rsidRPr="005432E1" w14:paraId="7F1FF124"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F261DB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SÃO FRANCISCO DE SALES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44F057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69290F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FCFED3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19.954,31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16CBDA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37.058,00</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595CE8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57.012,31</w:t>
            </w:r>
          </w:p>
        </w:tc>
      </w:tr>
      <w:tr w:rsidR="0026114A" w:rsidRPr="005432E1" w14:paraId="186F1227"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77300D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SÃO GOTARDO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61F32CD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90B0E1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827683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12.184,23</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AD6994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22.627,86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5C2ACE2"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34.812,09</w:t>
            </w:r>
          </w:p>
        </w:tc>
      </w:tr>
      <w:tr w:rsidR="0026114A" w:rsidRPr="005432E1" w14:paraId="6AC7AD86"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818108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SÃO VICENTE</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4E3FB56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D1F3C0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07/12/2017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324E01C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219.253,69</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5A6FC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407.185,41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2227C545"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626.439,10</w:t>
            </w:r>
          </w:p>
        </w:tc>
      </w:tr>
      <w:tr w:rsidR="0026114A" w:rsidRPr="005432E1" w14:paraId="2D4E782B"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0958D62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SERTÃOZINHO</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01B91E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B9CDB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6F15F48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82.019,79</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85262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152.322,46</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B9EFCA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234.342,25</w:t>
            </w:r>
          </w:p>
        </w:tc>
      </w:tr>
      <w:tr w:rsidR="0026114A" w:rsidRPr="005432E1" w14:paraId="004273D6"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3664CEA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SOROCABA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457DB7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98C44E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28/03/2016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53CC48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11.448.778,26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274C9B7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21.262.016,78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0F48942" w14:textId="77777777" w:rsidR="00DE2CA7" w:rsidRPr="005432E1" w:rsidRDefault="0051059B" w:rsidP="00DE2CA7">
            <w:pPr>
              <w:spacing w:before="100" w:beforeAutospacing="1" w:after="100" w:afterAutospacing="1"/>
              <w:rPr>
                <w:rFonts w:asciiTheme="minorHAnsi" w:hAnsiTheme="minorHAnsi"/>
              </w:rPr>
            </w:pPr>
            <w:r w:rsidRPr="005432E1">
              <w:rPr>
                <w:rFonts w:asciiTheme="minorHAnsi" w:hAnsiTheme="minorHAnsi"/>
              </w:rPr>
              <w:t> R$          </w:t>
            </w:r>
            <w:r w:rsidR="00DE2CA7" w:rsidRPr="005432E1">
              <w:rPr>
                <w:rFonts w:asciiTheme="minorHAnsi" w:hAnsiTheme="minorHAnsi"/>
              </w:rPr>
              <w:t>32.710.795,04</w:t>
            </w:r>
          </w:p>
        </w:tc>
      </w:tr>
      <w:tr w:rsidR="0026114A" w:rsidRPr="005432E1" w14:paraId="7AD0B422"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1062777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TIROS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2C8DD5D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851777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13/09/2016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48621F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6.644,92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768CFB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12.340,58</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0AF52D1F"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18.985,50</w:t>
            </w:r>
          </w:p>
        </w:tc>
      </w:tr>
      <w:tr w:rsidR="0026114A" w:rsidRPr="005432E1" w14:paraId="70C2D8AA"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339B6D3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TRÊS LAGOAS</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6CB8DFE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MS</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B7322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09/05/2017</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5B0034B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502.911,56</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1F40A2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933.978,61</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A357B29"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1.436.890,17</w:t>
            </w:r>
          </w:p>
        </w:tc>
      </w:tr>
      <w:tr w:rsidR="0026114A" w:rsidRPr="005432E1" w14:paraId="78A578E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DFEECD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UBATUBA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37D1C4E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57BE46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CF6216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78.524,15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96B578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145.830,55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7609FFC1"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224.354,70</w:t>
            </w:r>
          </w:p>
        </w:tc>
      </w:tr>
      <w:tr w:rsidR="0026114A" w:rsidRPr="005432E1" w14:paraId="3B2F8E89"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F1C6EC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UBERABA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00D233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B04838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22/06/2016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1735A54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773.122,62</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0011BF9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1.435.799,15</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43EECCB2" w14:textId="77777777" w:rsidR="00DE2CA7" w:rsidRPr="005432E1" w:rsidRDefault="0051059B" w:rsidP="00DE2CA7">
            <w:pPr>
              <w:spacing w:before="100" w:beforeAutospacing="1" w:after="100" w:afterAutospacing="1"/>
              <w:rPr>
                <w:rFonts w:asciiTheme="minorHAnsi" w:hAnsiTheme="minorHAnsi"/>
              </w:rPr>
            </w:pPr>
            <w:r w:rsidRPr="005432E1">
              <w:rPr>
                <w:rFonts w:asciiTheme="minorHAnsi" w:hAnsiTheme="minorHAnsi"/>
              </w:rPr>
              <w:t> R$           </w:t>
            </w:r>
            <w:r w:rsidR="00DE2CA7" w:rsidRPr="005432E1">
              <w:rPr>
                <w:rFonts w:asciiTheme="minorHAnsi" w:hAnsiTheme="minorHAnsi"/>
              </w:rPr>
              <w:t xml:space="preserve"> 2.208.921,77</w:t>
            </w:r>
          </w:p>
        </w:tc>
      </w:tr>
      <w:tr w:rsidR="0026114A" w:rsidRPr="005432E1" w14:paraId="32962951"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A7C00A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VÁRZEA PAULISTA</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7232BDB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SP</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FA42F2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12/05/2016</w:t>
            </w: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78B0DA5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372.932,95</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33B4C47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 R$                    692.589,77</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38E1340A" w14:textId="77777777" w:rsidR="00DE2CA7" w:rsidRPr="005432E1" w:rsidRDefault="00DE2CA7" w:rsidP="0051059B">
            <w:pPr>
              <w:spacing w:before="100" w:beforeAutospacing="1" w:after="100" w:afterAutospacing="1"/>
              <w:rPr>
                <w:rFonts w:asciiTheme="minorHAnsi" w:hAnsiTheme="minorHAnsi"/>
              </w:rPr>
            </w:pPr>
            <w:r w:rsidRPr="005432E1">
              <w:rPr>
                <w:rFonts w:asciiTheme="minorHAnsi" w:hAnsiTheme="minorHAnsi"/>
              </w:rPr>
              <w:t> R$            1.065.522</w:t>
            </w:r>
            <w:r w:rsidR="0051059B" w:rsidRPr="005432E1">
              <w:rPr>
                <w:rFonts w:asciiTheme="minorHAnsi" w:hAnsiTheme="minorHAnsi"/>
              </w:rPr>
              <w:t>,72</w:t>
            </w:r>
          </w:p>
        </w:tc>
      </w:tr>
      <w:tr w:rsidR="0026114A" w:rsidRPr="005432E1" w14:paraId="1B42DB05" w14:textId="77777777" w:rsidTr="00D8581F">
        <w:trPr>
          <w:tblCellSpacing w:w="0" w:type="dxa"/>
        </w:trPr>
        <w:tc>
          <w:tcPr>
            <w:tcW w:w="1560" w:type="dxa"/>
            <w:tcBorders>
              <w:top w:val="outset" w:sz="6" w:space="0" w:color="auto"/>
              <w:left w:val="outset" w:sz="6" w:space="0" w:color="auto"/>
              <w:bottom w:val="outset" w:sz="6" w:space="0" w:color="auto"/>
              <w:right w:val="outset" w:sz="6" w:space="0" w:color="auto"/>
            </w:tcBorders>
            <w:noWrap/>
            <w:vAlign w:val="center"/>
            <w:hideMark/>
          </w:tcPr>
          <w:p w14:paraId="45BBDF6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425" w:type="dxa"/>
            <w:tcBorders>
              <w:top w:val="outset" w:sz="6" w:space="0" w:color="auto"/>
              <w:left w:val="outset" w:sz="6" w:space="0" w:color="auto"/>
              <w:bottom w:val="outset" w:sz="6" w:space="0" w:color="auto"/>
              <w:right w:val="outset" w:sz="6" w:space="0" w:color="auto"/>
            </w:tcBorders>
            <w:noWrap/>
            <w:vAlign w:val="center"/>
            <w:hideMark/>
          </w:tcPr>
          <w:p w14:paraId="5376E14A" w14:textId="77777777" w:rsidR="00DE2CA7" w:rsidRPr="005432E1" w:rsidRDefault="00DE2CA7" w:rsidP="00DE2CA7">
            <w:pPr>
              <w:spacing w:before="100" w:beforeAutospacing="1" w:after="100" w:afterAutospacing="1"/>
              <w:rPr>
                <w:rFonts w:asciiTheme="minorHAnsi" w:hAnsiTheme="minorHAnsi"/>
              </w:rPr>
            </w:pP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2ADB06C" w14:textId="77777777" w:rsidR="00DE2CA7" w:rsidRPr="005432E1" w:rsidRDefault="00DE2CA7" w:rsidP="00DE2CA7">
            <w:pPr>
              <w:spacing w:before="100" w:beforeAutospacing="1" w:after="100" w:afterAutospacing="1"/>
              <w:rPr>
                <w:rFonts w:asciiTheme="minorHAnsi" w:hAnsiTheme="minorHAnsi"/>
              </w:rPr>
            </w:pPr>
          </w:p>
        </w:tc>
        <w:tc>
          <w:tcPr>
            <w:tcW w:w="2268" w:type="dxa"/>
            <w:tcBorders>
              <w:top w:val="outset" w:sz="6" w:space="0" w:color="auto"/>
              <w:left w:val="outset" w:sz="6" w:space="0" w:color="auto"/>
              <w:bottom w:val="outset" w:sz="6" w:space="0" w:color="auto"/>
              <w:right w:val="outset" w:sz="6" w:space="0" w:color="auto"/>
            </w:tcBorders>
            <w:noWrap/>
            <w:vAlign w:val="center"/>
            <w:hideMark/>
          </w:tcPr>
          <w:p w14:paraId="2C55DF3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 R$   124.570.215,70 </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5616C3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 R$             231.344.686,37 </w:t>
            </w:r>
          </w:p>
        </w:tc>
        <w:tc>
          <w:tcPr>
            <w:tcW w:w="2410" w:type="dxa"/>
            <w:tcBorders>
              <w:top w:val="outset" w:sz="6" w:space="0" w:color="auto"/>
              <w:left w:val="outset" w:sz="6" w:space="0" w:color="auto"/>
              <w:bottom w:val="outset" w:sz="6" w:space="0" w:color="auto"/>
              <w:right w:val="outset" w:sz="6" w:space="0" w:color="auto"/>
            </w:tcBorders>
            <w:noWrap/>
            <w:vAlign w:val="center"/>
            <w:hideMark/>
          </w:tcPr>
          <w:p w14:paraId="35806F84" w14:textId="77777777" w:rsidR="00DE2CA7" w:rsidRPr="005432E1" w:rsidRDefault="0051059B" w:rsidP="00DE2CA7">
            <w:pPr>
              <w:spacing w:before="100" w:beforeAutospacing="1" w:after="100" w:afterAutospacing="1"/>
              <w:rPr>
                <w:rFonts w:asciiTheme="minorHAnsi" w:hAnsiTheme="minorHAnsi"/>
              </w:rPr>
            </w:pPr>
            <w:r w:rsidRPr="005432E1">
              <w:rPr>
                <w:rFonts w:asciiTheme="minorHAnsi" w:hAnsiTheme="minorHAnsi"/>
                <w:b/>
                <w:bCs/>
              </w:rPr>
              <w:t> R$       </w:t>
            </w:r>
            <w:r w:rsidR="00DE2CA7" w:rsidRPr="005432E1">
              <w:rPr>
                <w:rFonts w:asciiTheme="minorHAnsi" w:hAnsiTheme="minorHAnsi"/>
                <w:b/>
                <w:bCs/>
              </w:rPr>
              <w:t xml:space="preserve"> 355.914.902,07 </w:t>
            </w:r>
          </w:p>
        </w:tc>
      </w:tr>
    </w:tbl>
    <w:p w14:paraId="6ED90DE7"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Para mitigar este risco, a medida a ser tomada seria comunicar os Municípios que dispõem de créditos junto ao Tesouro Nacional, para que possam aderir às condições da LC no 148/</w:t>
      </w:r>
      <w:r w:rsidR="00D8581F" w:rsidRPr="005432E1">
        <w:rPr>
          <w:rFonts w:asciiTheme="minorHAnsi" w:hAnsiTheme="minorHAnsi"/>
        </w:rPr>
        <w:t>20</w:t>
      </w:r>
      <w:r w:rsidR="00DE2CA7" w:rsidRPr="005432E1">
        <w:rPr>
          <w:rFonts w:asciiTheme="minorHAnsi" w:hAnsiTheme="minorHAnsi"/>
        </w:rPr>
        <w:t>14, tornando possível os recebimentos dos recursos relacionados. Entretanto, a maior parte dos Municípios restantes com saldos credores apresenta pendências na Certidão Negativa de Débitos – CND, da Receita Federal do Brasil</w:t>
      </w:r>
      <w:r w:rsidR="00D8581F" w:rsidRPr="005432E1">
        <w:rPr>
          <w:rFonts w:asciiTheme="minorHAnsi" w:hAnsiTheme="minorHAnsi"/>
        </w:rPr>
        <w:t xml:space="preserve"> - RFB</w:t>
      </w:r>
      <w:r w:rsidR="00DE2CA7" w:rsidRPr="005432E1">
        <w:rPr>
          <w:rFonts w:asciiTheme="minorHAnsi" w:hAnsiTheme="minorHAnsi"/>
        </w:rPr>
        <w:t>, as quais impossibilitam à STN a devolução dos respectivos recursos. A eventual não regularização destas pendências pelos Municípios apresenta duas implicações:</w:t>
      </w:r>
    </w:p>
    <w:p w14:paraId="17F754E0"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com a não regularização no exercício de 2018, haverá a necessidade de inscrição em restos a pagar, ou a necessidade de pedido de crédito orçamentário para a referida Ação para o exercício de 2019;</w:t>
      </w:r>
    </w:p>
    <w:p w14:paraId="067FD5E4"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a não regularização das pendências até o final do próximo exercício pode acarretar a eventual situação em que o valor total dos créditos devidos supere o valor incluído na LOA 2018, de R$ 12 milhões.</w:t>
      </w:r>
    </w:p>
    <w:p w14:paraId="713D4E5D" w14:textId="255A3A54"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Na Tabela </w:t>
      </w:r>
      <w:r w:rsidR="00F408AA" w:rsidRPr="005432E1">
        <w:rPr>
          <w:rFonts w:asciiTheme="minorHAnsi" w:hAnsiTheme="minorHAnsi"/>
        </w:rPr>
        <w:t>3</w:t>
      </w:r>
      <w:r w:rsidR="00E84981" w:rsidRPr="005432E1">
        <w:rPr>
          <w:rFonts w:asciiTheme="minorHAnsi" w:hAnsiTheme="minorHAnsi"/>
        </w:rPr>
        <w:t>8</w:t>
      </w:r>
      <w:r w:rsidR="00DE2CA7" w:rsidRPr="005432E1">
        <w:rPr>
          <w:rFonts w:asciiTheme="minorHAnsi" w:hAnsiTheme="minorHAnsi"/>
        </w:rPr>
        <w:t>, mostrada anteriormente, é possível verificar as despesas previstas versus realizadas para os exercícios de 2014 a 2017.</w:t>
      </w:r>
    </w:p>
    <w:p w14:paraId="520C40C0"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Despesas Discricionárias – Fonte 100</w:t>
      </w:r>
    </w:p>
    <w:p w14:paraId="3B1CE270"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Trata-se do Programa 0911 – Operações Especiais: Remuneração de Agentes Financeiros Ação 00M4 Plano Orçamentário 000N – Remuneração do Agente Financeiro pela gestão do contrato do Programa da Carteira de Saneamento. A despesa administrativa em questão consiste na remuneração, por parte da União, a seu agente financeiro - Caixa, no montante de 0,43% sobre o valor total arrecadado no mês.</w:t>
      </w:r>
    </w:p>
    <w:p w14:paraId="5E27B09D"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Principais riscos envolvidos na execução das despesas da Ação 00M4 Plano Orçamentário 000N:</w:t>
      </w:r>
    </w:p>
    <w:p w14:paraId="33AF4D47"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ocorrência de amortizações extraordinárias ao longo do exercício, as quais aumentam de forma proporcional as despesas relacionadas;</w:t>
      </w:r>
    </w:p>
    <w:p w14:paraId="67347941"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redução do valor disponibilizado na Lei Orçamentária Anual – LOA, face ao solicitado n</w:t>
      </w:r>
      <w:r w:rsidR="00D8581F" w:rsidRPr="005432E1">
        <w:rPr>
          <w:rFonts w:asciiTheme="minorHAnsi" w:hAnsiTheme="minorHAnsi"/>
        </w:rPr>
        <w:t>o</w:t>
      </w:r>
      <w:r w:rsidRPr="005432E1">
        <w:rPr>
          <w:rFonts w:asciiTheme="minorHAnsi" w:hAnsiTheme="minorHAnsi"/>
        </w:rPr>
        <w:t xml:space="preserve"> PLOA;</w:t>
      </w:r>
    </w:p>
    <w:p w14:paraId="631C91FF" w14:textId="77777777" w:rsidR="00DE2CA7" w:rsidRPr="005432E1" w:rsidRDefault="00D8581F" w:rsidP="00DE2CA7">
      <w:pPr>
        <w:spacing w:before="100" w:beforeAutospacing="1" w:after="100" w:afterAutospacing="1"/>
        <w:jc w:val="both"/>
        <w:rPr>
          <w:rFonts w:asciiTheme="minorHAnsi" w:hAnsiTheme="minorHAnsi"/>
        </w:rPr>
      </w:pPr>
      <w:r w:rsidRPr="005432E1">
        <w:rPr>
          <w:rFonts w:asciiTheme="minorHAnsi" w:hAnsiTheme="minorHAnsi"/>
        </w:rPr>
        <w:t>- L</w:t>
      </w:r>
      <w:r w:rsidR="00DE2CA7" w:rsidRPr="005432E1">
        <w:rPr>
          <w:rFonts w:asciiTheme="minorHAnsi" w:hAnsiTheme="minorHAnsi"/>
        </w:rPr>
        <w:t>imites de Movimentação e Empenho (LME), publicados por meio de Decretos do Poder Executivo, os quais reduzem os créditos orçamentários disponibilizados por meio da LOA;</w:t>
      </w:r>
    </w:p>
    <w:p w14:paraId="5A19C63E"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não disponibilização de créditos adicionais, solicitados junto à SPOA/MF, face à necessidade de créditos verificada após a publicação dos LME;</w:t>
      </w:r>
    </w:p>
    <w:p w14:paraId="29D713DD"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não disponibilização de cota financeira: trata-se de risco referente à última etapa de execução da despesa, tendo em vista a disponibilização pela STN dos valores destinados à ordem bancária de pagamento.</w:t>
      </w:r>
    </w:p>
    <w:p w14:paraId="3B21C8DF" w14:textId="117C64C3"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Na Tabela </w:t>
      </w:r>
      <w:r w:rsidR="00F408AA" w:rsidRPr="005432E1">
        <w:rPr>
          <w:rFonts w:asciiTheme="minorHAnsi" w:hAnsiTheme="minorHAnsi"/>
        </w:rPr>
        <w:t>3</w:t>
      </w:r>
      <w:r w:rsidR="00E84981" w:rsidRPr="005432E1">
        <w:rPr>
          <w:rFonts w:asciiTheme="minorHAnsi" w:hAnsiTheme="minorHAnsi"/>
        </w:rPr>
        <w:t>8</w:t>
      </w:r>
      <w:r w:rsidR="00DE2CA7" w:rsidRPr="005432E1">
        <w:rPr>
          <w:rFonts w:asciiTheme="minorHAnsi" w:hAnsiTheme="minorHAnsi"/>
        </w:rPr>
        <w:t>, mostrada anteriormente, é possível verificar as despesas previstas versus realizadas para os exercícios de 2014 a 2017.</w:t>
      </w:r>
    </w:p>
    <w:p w14:paraId="1A23E6B6"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4</w:t>
      </w:r>
      <w:r w:rsidRPr="005432E1">
        <w:rPr>
          <w:rFonts w:asciiTheme="minorHAnsi" w:hAnsiTheme="minorHAnsi"/>
          <w:b/>
          <w:bCs/>
        </w:rPr>
        <w:t>)</w:t>
      </w:r>
      <w:r w:rsidR="00A14FF7" w:rsidRPr="005432E1">
        <w:rPr>
          <w:rFonts w:asciiTheme="minorHAnsi" w:hAnsiTheme="minorHAnsi"/>
          <w:b/>
          <w:bCs/>
        </w:rPr>
        <w:t xml:space="preserve"> </w:t>
      </w:r>
      <w:r w:rsidR="00DE2CA7" w:rsidRPr="005432E1">
        <w:rPr>
          <w:rFonts w:asciiTheme="minorHAnsi" w:hAnsiTheme="minorHAnsi"/>
          <w:b/>
          <w:bCs/>
        </w:rPr>
        <w:t>Riscos relativos às ações judiciais</w:t>
      </w:r>
    </w:p>
    <w:p w14:paraId="6E568378"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Contratos geridos pela STN</w:t>
      </w:r>
    </w:p>
    <w:p w14:paraId="07FE8B02"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As operações controladas pela STN estão distribuídas num total de 413 contratos ativos, existindo, em janeiro de 2018, 176 ações judiciais, entre principais e subsidiárias, que podem implicar em frustração parcial ou total de recebimentos, conforme o caso, dos créditos da União envolvidos nas lides.</w:t>
      </w:r>
    </w:p>
    <w:p w14:paraId="4B277B4E"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Em condições de normalidade, a recuperação desses haveres – prazos, periodicidade, encargos, garantias, etc., atende estritamente ao que a legislação específica determina, e está claramente definida nos competentes instrumentos contratuais. Alterações dessas condições são atualmente vedadas pelo art. 35 da Lei Complementar nº 101, de 04.05.2000 (Lei de Responsabilidade Fiscal), o qual dispõe:</w:t>
      </w:r>
    </w:p>
    <w:p w14:paraId="44B2464A"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i/>
          <w:iCs/>
        </w:rPr>
        <w:t>“Art. 35. É vedada a realização de operação de crédito entre um ente da Federação, diretamente ou por intermédio de fundo, autarquia, fundação ou empresa estatal dependente, e outro, inclusive suas entidades da administração indireta, ainda que sob a forma de novação, refinanciamento ou postergação de dívida contraída anteriormente. ”</w:t>
      </w:r>
    </w:p>
    <w:p w14:paraId="063F4E64"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Esses créditos contam com garantias dos devedores constituídas por receitas próprias e cotas dos Fundos de Participação, no caso de Estados, Municípios e Distrito Federal. No que se refere às administrações indiretas desses entes, as operações com a União são garantidas pelas respectivas receitas próprias complementadas pelas garantias do ente controlador – Estado ou Município.</w:t>
      </w:r>
    </w:p>
    <w:p w14:paraId="45AF0D12"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Portanto, no caso dos contratos em situação de normalidade de execução, os pagamentos são realizados regularmente conforme as condições contratadas e previsão legal. Inadimplências eventualmente ocorridas são solucionadas em curtíssimo prazo mediante a execução das garantias contratuais, não se registrando inadimplência persistente ou prolongada.</w:t>
      </w:r>
    </w:p>
    <w:p w14:paraId="679554F6"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 administração desses contratos encontra-se a cargo de agentes financeiros da União designados legal e/ou contratualmente para tanto. São eles o Banco do Brasil e a Caixa Econômica Federal. Esses agentes são responsáveis pelo cálculo das prestações devidas, cobrança e execução das garantias contratuais em caso de inadimplência.</w:t>
      </w:r>
    </w:p>
    <w:p w14:paraId="66E95102"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Contudo, como dito, a STN registra alguns débitos/inadimplências decorrentes de decisões liminares deferidas no âmbito de ações judiciais que suspendem, parcial ou integralmente, os pagamentos à União ou a impedem de executar as garantias contratuais. Nestes casos, não há solução ou providência administrativa para a cobrança, uma vez que existem impedimentos judiciais. A solução será alcançada pela via judicial com o apoio da AGU.</w:t>
      </w:r>
    </w:p>
    <w:p w14:paraId="1FD5AC4B"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Para fins de adequação a um novo roteiro contábil, os valores que se encontravam provisionados inicialmente na conta patrimonial 121119902, conta corrente 999, foram integralmente transferidos para a conta 121119904, permitindo informar conta contábil de referência específica, em julho de 2016.</w:t>
      </w:r>
    </w:p>
    <w:p w14:paraId="633F88AB" w14:textId="6C3241D0"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Posteriormente, foi realizada a reclassificação dos valores da conta 121119904 (Ajuste de Perdas – Empréstimos Concedidos) entre as contas 121149904 (Ajuste de Perdas – Empréstimos Concedidos – ESTADOS) e 121159904 (Ajuste de Perdas – Empréstimos Concedidos – Municípios), o que explica a grande variação de saldo na conta 121119904 no período analisado, conforme a Tabela </w:t>
      </w:r>
      <w:r w:rsidR="00E84981" w:rsidRPr="005432E1">
        <w:rPr>
          <w:rFonts w:asciiTheme="minorHAnsi" w:hAnsiTheme="minorHAnsi"/>
        </w:rPr>
        <w:t>21</w:t>
      </w:r>
      <w:r w:rsidR="00DE2CA7" w:rsidRPr="005432E1">
        <w:rPr>
          <w:rFonts w:asciiTheme="minorHAnsi" w:hAnsiTheme="minorHAnsi"/>
        </w:rPr>
        <w:t>.</w:t>
      </w:r>
    </w:p>
    <w:p w14:paraId="176AF6A5" w14:textId="5F13B282"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E84981" w:rsidRPr="005432E1">
        <w:rPr>
          <w:rFonts w:asciiTheme="minorHAnsi" w:hAnsiTheme="minorHAnsi"/>
          <w:b/>
          <w:bCs/>
        </w:rPr>
        <w:t>40</w:t>
      </w:r>
      <w:r w:rsidRPr="005432E1">
        <w:rPr>
          <w:rFonts w:asciiTheme="minorHAnsi" w:hAnsiTheme="minorHAnsi"/>
          <w:b/>
          <w:bCs/>
        </w:rPr>
        <w:t>: Contas de Ajustes de Empréstimos - STN (R$ milhões)</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03"/>
        <w:gridCol w:w="4056"/>
        <w:gridCol w:w="1254"/>
        <w:gridCol w:w="1276"/>
        <w:gridCol w:w="1134"/>
      </w:tblGrid>
      <w:tr w:rsidR="0026114A" w:rsidRPr="005432E1" w14:paraId="6A06BED8" w14:textId="77777777" w:rsidTr="00DE2CA7">
        <w:trPr>
          <w:tblCellSpacing w:w="0" w:type="dxa"/>
        </w:trPr>
        <w:tc>
          <w:tcPr>
            <w:tcW w:w="8923" w:type="dxa"/>
            <w:gridSpan w:val="5"/>
            <w:tcBorders>
              <w:top w:val="outset" w:sz="6" w:space="0" w:color="auto"/>
              <w:left w:val="outset" w:sz="6" w:space="0" w:color="auto"/>
              <w:bottom w:val="outset" w:sz="6" w:space="0" w:color="auto"/>
              <w:right w:val="outset" w:sz="6" w:space="0" w:color="auto"/>
            </w:tcBorders>
            <w:noWrap/>
            <w:vAlign w:val="center"/>
            <w:hideMark/>
          </w:tcPr>
          <w:p w14:paraId="7D84C85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DE PERDAS EMPRESTIMO/FINANC CONCEDIDOS - Dezembro/2017 - Dezembro/2016</w:t>
            </w:r>
          </w:p>
        </w:tc>
      </w:tr>
      <w:tr w:rsidR="0026114A" w:rsidRPr="005432E1" w14:paraId="3BFE7351" w14:textId="77777777" w:rsidTr="00DE2CA7">
        <w:trPr>
          <w:tblCellSpacing w:w="0" w:type="dxa"/>
        </w:trPr>
        <w:tc>
          <w:tcPr>
            <w:tcW w:w="1203" w:type="dxa"/>
            <w:tcBorders>
              <w:top w:val="outset" w:sz="6" w:space="0" w:color="auto"/>
              <w:left w:val="outset" w:sz="6" w:space="0" w:color="auto"/>
              <w:bottom w:val="outset" w:sz="6" w:space="0" w:color="auto"/>
              <w:right w:val="outset" w:sz="6" w:space="0" w:color="auto"/>
            </w:tcBorders>
            <w:noWrap/>
            <w:vAlign w:val="center"/>
            <w:hideMark/>
          </w:tcPr>
          <w:p w14:paraId="1FD44D7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Conta</w:t>
            </w:r>
          </w:p>
        </w:tc>
        <w:tc>
          <w:tcPr>
            <w:tcW w:w="4056" w:type="dxa"/>
            <w:tcBorders>
              <w:top w:val="outset" w:sz="6" w:space="0" w:color="auto"/>
              <w:left w:val="outset" w:sz="6" w:space="0" w:color="auto"/>
              <w:bottom w:val="outset" w:sz="6" w:space="0" w:color="auto"/>
              <w:right w:val="outset" w:sz="6" w:space="0" w:color="auto"/>
            </w:tcBorders>
            <w:noWrap/>
            <w:vAlign w:val="center"/>
            <w:hideMark/>
          </w:tcPr>
          <w:p w14:paraId="2EABD440" w14:textId="77777777" w:rsidR="00DE2CA7" w:rsidRPr="005432E1" w:rsidRDefault="00DE2CA7" w:rsidP="00DE2CA7">
            <w:pPr>
              <w:spacing w:before="100" w:beforeAutospacing="1" w:after="100" w:afterAutospacing="1"/>
              <w:rPr>
                <w:rFonts w:asciiTheme="minorHAnsi" w:hAnsiTheme="minorHAnsi"/>
              </w:rPr>
            </w:pP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10FA59D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dez/17</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6F54741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dez/16</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5F6E6B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Variação %</w:t>
            </w:r>
          </w:p>
        </w:tc>
      </w:tr>
      <w:tr w:rsidR="0026114A" w:rsidRPr="005432E1" w14:paraId="0149DFAB" w14:textId="77777777" w:rsidTr="00DE2CA7">
        <w:trPr>
          <w:tblCellSpacing w:w="0" w:type="dxa"/>
        </w:trPr>
        <w:tc>
          <w:tcPr>
            <w:tcW w:w="1203" w:type="dxa"/>
            <w:tcBorders>
              <w:top w:val="outset" w:sz="6" w:space="0" w:color="auto"/>
              <w:left w:val="outset" w:sz="6" w:space="0" w:color="auto"/>
              <w:bottom w:val="outset" w:sz="6" w:space="0" w:color="auto"/>
              <w:right w:val="outset" w:sz="6" w:space="0" w:color="auto"/>
            </w:tcBorders>
            <w:noWrap/>
            <w:vAlign w:val="center"/>
            <w:hideMark/>
          </w:tcPr>
          <w:p w14:paraId="2B9ACD0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121119904</w:t>
            </w:r>
          </w:p>
        </w:tc>
        <w:tc>
          <w:tcPr>
            <w:tcW w:w="4056" w:type="dxa"/>
            <w:tcBorders>
              <w:top w:val="outset" w:sz="6" w:space="0" w:color="auto"/>
              <w:left w:val="outset" w:sz="6" w:space="0" w:color="auto"/>
              <w:bottom w:val="outset" w:sz="6" w:space="0" w:color="auto"/>
              <w:right w:val="outset" w:sz="6" w:space="0" w:color="auto"/>
            </w:tcBorders>
            <w:vAlign w:val="center"/>
            <w:hideMark/>
          </w:tcPr>
          <w:p w14:paraId="6CB887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DE PERDAS COM DEVEDORES DUVIDOSOS</w:t>
            </w:r>
          </w:p>
        </w:tc>
        <w:tc>
          <w:tcPr>
            <w:tcW w:w="1254" w:type="dxa"/>
            <w:tcBorders>
              <w:top w:val="outset" w:sz="6" w:space="0" w:color="auto"/>
              <w:left w:val="outset" w:sz="6" w:space="0" w:color="auto"/>
              <w:bottom w:val="outset" w:sz="6" w:space="0" w:color="auto"/>
              <w:right w:val="outset" w:sz="6" w:space="0" w:color="auto"/>
            </w:tcBorders>
            <w:vAlign w:val="center"/>
            <w:hideMark/>
          </w:tcPr>
          <w:p w14:paraId="7E293F7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125,865</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F74D8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26.734,796</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0AE143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-99,53%</w:t>
            </w:r>
          </w:p>
        </w:tc>
      </w:tr>
      <w:tr w:rsidR="0026114A" w:rsidRPr="005432E1" w14:paraId="53BCF6FB" w14:textId="77777777" w:rsidTr="00DE2CA7">
        <w:trPr>
          <w:tblCellSpacing w:w="0" w:type="dxa"/>
        </w:trPr>
        <w:tc>
          <w:tcPr>
            <w:tcW w:w="1203" w:type="dxa"/>
            <w:vMerge w:val="restart"/>
            <w:tcBorders>
              <w:top w:val="outset" w:sz="6" w:space="0" w:color="auto"/>
              <w:left w:val="outset" w:sz="6" w:space="0" w:color="auto"/>
              <w:bottom w:val="outset" w:sz="6" w:space="0" w:color="auto"/>
              <w:right w:val="outset" w:sz="6" w:space="0" w:color="auto"/>
            </w:tcBorders>
            <w:noWrap/>
            <w:vAlign w:val="center"/>
            <w:hideMark/>
          </w:tcPr>
          <w:p w14:paraId="0A164F4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121149904</w:t>
            </w:r>
          </w:p>
        </w:tc>
        <w:tc>
          <w:tcPr>
            <w:tcW w:w="4056" w:type="dxa"/>
            <w:tcBorders>
              <w:top w:val="outset" w:sz="6" w:space="0" w:color="auto"/>
              <w:left w:val="outset" w:sz="6" w:space="0" w:color="auto"/>
              <w:bottom w:val="outset" w:sz="6" w:space="0" w:color="auto"/>
              <w:right w:val="outset" w:sz="6" w:space="0" w:color="auto"/>
            </w:tcBorders>
            <w:vAlign w:val="center"/>
            <w:hideMark/>
          </w:tcPr>
          <w:p w14:paraId="14EB49E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PERDAS - LC148/2014 - ESTADOS</w:t>
            </w: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2180023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907,929</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6E1FCD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9.223,844</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6AE9CA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-90,16%</w:t>
            </w:r>
          </w:p>
        </w:tc>
      </w:tr>
      <w:tr w:rsidR="0026114A" w:rsidRPr="005432E1" w14:paraId="551EFC6C" w14:textId="77777777" w:rsidTr="00DE2CA7">
        <w:trPr>
          <w:tblCellSpacing w:w="0" w:type="dxa"/>
        </w:trPr>
        <w:tc>
          <w:tcPr>
            <w:tcW w:w="1203" w:type="dxa"/>
            <w:vMerge/>
            <w:tcBorders>
              <w:top w:val="outset" w:sz="6" w:space="0" w:color="auto"/>
              <w:left w:val="outset" w:sz="6" w:space="0" w:color="auto"/>
              <w:bottom w:val="outset" w:sz="6" w:space="0" w:color="auto"/>
              <w:right w:val="outset" w:sz="6" w:space="0" w:color="auto"/>
            </w:tcBorders>
            <w:vAlign w:val="center"/>
            <w:hideMark/>
          </w:tcPr>
          <w:p w14:paraId="135BD121" w14:textId="77777777" w:rsidR="00DE2CA7" w:rsidRPr="005432E1" w:rsidRDefault="00DE2CA7" w:rsidP="00DE2CA7">
            <w:pPr>
              <w:rPr>
                <w:rFonts w:asciiTheme="minorHAnsi" w:hAnsiTheme="minorHAnsi"/>
              </w:rPr>
            </w:pPr>
          </w:p>
        </w:tc>
        <w:tc>
          <w:tcPr>
            <w:tcW w:w="4056" w:type="dxa"/>
            <w:tcBorders>
              <w:top w:val="outset" w:sz="6" w:space="0" w:color="auto"/>
              <w:left w:val="outset" w:sz="6" w:space="0" w:color="auto"/>
              <w:bottom w:val="outset" w:sz="6" w:space="0" w:color="auto"/>
              <w:right w:val="outset" w:sz="6" w:space="0" w:color="auto"/>
            </w:tcBorders>
            <w:vAlign w:val="center"/>
            <w:hideMark/>
          </w:tcPr>
          <w:p w14:paraId="44729F9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DE PERDAS COM DEVEDORES DUVIDOSOS - ESTADOS</w:t>
            </w: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7C60BA4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54.950,116</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5D6CA2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C16E36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0624D6CF" w14:textId="77777777" w:rsidTr="00DE2CA7">
        <w:trPr>
          <w:tblCellSpacing w:w="0" w:type="dxa"/>
        </w:trPr>
        <w:tc>
          <w:tcPr>
            <w:tcW w:w="1203" w:type="dxa"/>
            <w:vMerge w:val="restart"/>
            <w:tcBorders>
              <w:top w:val="outset" w:sz="6" w:space="0" w:color="auto"/>
              <w:left w:val="outset" w:sz="6" w:space="0" w:color="auto"/>
              <w:bottom w:val="outset" w:sz="6" w:space="0" w:color="auto"/>
              <w:right w:val="outset" w:sz="6" w:space="0" w:color="auto"/>
            </w:tcBorders>
            <w:noWrap/>
            <w:vAlign w:val="center"/>
            <w:hideMark/>
          </w:tcPr>
          <w:p w14:paraId="20C6ADC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121159904</w:t>
            </w:r>
          </w:p>
        </w:tc>
        <w:tc>
          <w:tcPr>
            <w:tcW w:w="4056" w:type="dxa"/>
            <w:tcBorders>
              <w:top w:val="outset" w:sz="6" w:space="0" w:color="auto"/>
              <w:left w:val="outset" w:sz="6" w:space="0" w:color="auto"/>
              <w:bottom w:val="outset" w:sz="6" w:space="0" w:color="auto"/>
              <w:right w:val="outset" w:sz="6" w:space="0" w:color="auto"/>
            </w:tcBorders>
            <w:vAlign w:val="center"/>
            <w:hideMark/>
          </w:tcPr>
          <w:p w14:paraId="010660E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DE PERDAS - LC148/2014 - MUNICÍPIOS</w:t>
            </w: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6CC01FB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491,820</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218D5FE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805,600</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7A4538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-38,95%</w:t>
            </w:r>
          </w:p>
        </w:tc>
      </w:tr>
      <w:tr w:rsidR="0026114A" w:rsidRPr="005432E1" w14:paraId="262EF0F5" w14:textId="77777777" w:rsidTr="00DE2CA7">
        <w:trPr>
          <w:tblCellSpacing w:w="0" w:type="dxa"/>
        </w:trPr>
        <w:tc>
          <w:tcPr>
            <w:tcW w:w="1203" w:type="dxa"/>
            <w:vMerge/>
            <w:tcBorders>
              <w:top w:val="outset" w:sz="6" w:space="0" w:color="auto"/>
              <w:left w:val="outset" w:sz="6" w:space="0" w:color="auto"/>
              <w:bottom w:val="outset" w:sz="6" w:space="0" w:color="auto"/>
              <w:right w:val="outset" w:sz="6" w:space="0" w:color="auto"/>
            </w:tcBorders>
            <w:vAlign w:val="center"/>
            <w:hideMark/>
          </w:tcPr>
          <w:p w14:paraId="4E516D3C" w14:textId="77777777" w:rsidR="00DE2CA7" w:rsidRPr="005432E1" w:rsidRDefault="00DE2CA7" w:rsidP="00DE2CA7">
            <w:pPr>
              <w:rPr>
                <w:rFonts w:asciiTheme="minorHAnsi" w:hAnsiTheme="minorHAnsi"/>
              </w:rPr>
            </w:pPr>
          </w:p>
        </w:tc>
        <w:tc>
          <w:tcPr>
            <w:tcW w:w="4056" w:type="dxa"/>
            <w:tcBorders>
              <w:top w:val="outset" w:sz="6" w:space="0" w:color="auto"/>
              <w:left w:val="outset" w:sz="6" w:space="0" w:color="auto"/>
              <w:bottom w:val="outset" w:sz="6" w:space="0" w:color="auto"/>
              <w:right w:val="outset" w:sz="6" w:space="0" w:color="auto"/>
            </w:tcBorders>
            <w:vAlign w:val="center"/>
            <w:hideMark/>
          </w:tcPr>
          <w:p w14:paraId="24D86CD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AJUSTE DE PERDAS COM DEVEDORES DUVIDOSOS - MUNICÍPIOS</w:t>
            </w: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1DD3557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1.797,035</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F833B6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88BCC7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w:t>
            </w:r>
          </w:p>
        </w:tc>
      </w:tr>
      <w:tr w:rsidR="0026114A" w:rsidRPr="005432E1" w14:paraId="097A1BCA" w14:textId="77777777" w:rsidTr="00DE2CA7">
        <w:trPr>
          <w:tblCellSpacing w:w="0" w:type="dxa"/>
        </w:trPr>
        <w:tc>
          <w:tcPr>
            <w:tcW w:w="1203" w:type="dxa"/>
            <w:tcBorders>
              <w:top w:val="outset" w:sz="6" w:space="0" w:color="auto"/>
              <w:left w:val="outset" w:sz="6" w:space="0" w:color="auto"/>
              <w:bottom w:val="outset" w:sz="6" w:space="0" w:color="auto"/>
              <w:right w:val="outset" w:sz="6" w:space="0" w:color="auto"/>
            </w:tcBorders>
            <w:noWrap/>
            <w:vAlign w:val="center"/>
            <w:hideMark/>
          </w:tcPr>
          <w:p w14:paraId="71DE9BA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4056" w:type="dxa"/>
            <w:tcBorders>
              <w:top w:val="outset" w:sz="6" w:space="0" w:color="auto"/>
              <w:left w:val="outset" w:sz="6" w:space="0" w:color="auto"/>
              <w:bottom w:val="outset" w:sz="6" w:space="0" w:color="auto"/>
              <w:right w:val="outset" w:sz="6" w:space="0" w:color="auto"/>
            </w:tcBorders>
            <w:noWrap/>
            <w:vAlign w:val="center"/>
            <w:hideMark/>
          </w:tcPr>
          <w:p w14:paraId="0407304A" w14:textId="77777777" w:rsidR="00DE2CA7" w:rsidRPr="005432E1" w:rsidRDefault="00DE2CA7" w:rsidP="00DE2CA7">
            <w:pPr>
              <w:spacing w:before="100" w:beforeAutospacing="1" w:after="100" w:afterAutospacing="1"/>
              <w:rPr>
                <w:rFonts w:asciiTheme="minorHAnsi" w:hAnsiTheme="minorHAnsi"/>
              </w:rPr>
            </w:pPr>
          </w:p>
        </w:tc>
        <w:tc>
          <w:tcPr>
            <w:tcW w:w="1254" w:type="dxa"/>
            <w:tcBorders>
              <w:top w:val="outset" w:sz="6" w:space="0" w:color="auto"/>
              <w:left w:val="outset" w:sz="6" w:space="0" w:color="auto"/>
              <w:bottom w:val="outset" w:sz="6" w:space="0" w:color="auto"/>
              <w:right w:val="outset" w:sz="6" w:space="0" w:color="auto"/>
            </w:tcBorders>
            <w:noWrap/>
            <w:vAlign w:val="center"/>
            <w:hideMark/>
          </w:tcPr>
          <w:p w14:paraId="22D444D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58.272,768</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4621AF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36.764,241</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2B233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58,50%</w:t>
            </w:r>
          </w:p>
        </w:tc>
      </w:tr>
    </w:tbl>
    <w:p w14:paraId="2C88BF78" w14:textId="77777777" w:rsidR="005055F9" w:rsidRPr="005432E1" w:rsidRDefault="005055F9" w:rsidP="0001423A">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15263A13"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O aumento de 58,5%, na comparação dos saldos provisionados em 31/12/2016 com aqueles referenciados em 31/12/2017, se deve ao provisionamento dos valores não pagos pelos Estados no âmbito da Lei n</w:t>
      </w:r>
      <w:r w:rsidRPr="005432E1">
        <w:rPr>
          <w:rFonts w:asciiTheme="minorHAnsi" w:hAnsiTheme="minorHAnsi"/>
          <w:vertAlign w:val="superscript"/>
        </w:rPr>
        <w:t>o</w:t>
      </w:r>
      <w:r w:rsidRPr="005432E1">
        <w:rPr>
          <w:rFonts w:asciiTheme="minorHAnsi" w:hAnsiTheme="minorHAnsi"/>
        </w:rPr>
        <w:t xml:space="preserve"> 9.496/97 em decorrência das liminares junto ao Superior Tribunal Federal – STF, impedindo a imposição de sanções por inadimplência.</w:t>
      </w:r>
    </w:p>
    <w:p w14:paraId="768EAD2C"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Avais honrados pela União</w:t>
      </w:r>
    </w:p>
    <w:p w14:paraId="5A96775E"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 concessão de garantias pela União tem como contrapartida a vinculação, pelo tomador de crédito, de contragarantias em valor suficiente para cobertura dos compromissos financeiros assumidos, conforme previsto em lei. Dessa forma, sempre que a União honra compromissos de outrem em decorrência de garantias por ela oferecidas, são acionadas as contragarantias correspondentes visando a recuperação dos valores dispendidos na operação. Ao longo do exercício de 2016 a STN promoveu a recuperação para a União de R$ 2 bilhões, correspondentes a 84,7% dos valores honrados pela União, devidamente atualizados. Entretanto, em 2017, do total de R$ 4,</w:t>
      </w:r>
      <w:r w:rsidR="00333120" w:rsidRPr="005432E1">
        <w:rPr>
          <w:rFonts w:asciiTheme="minorHAnsi" w:hAnsiTheme="minorHAnsi"/>
        </w:rPr>
        <w:t xml:space="preserve">1 bilhões honrados, </w:t>
      </w:r>
      <w:r w:rsidR="00DE2CA7" w:rsidRPr="005432E1">
        <w:rPr>
          <w:rFonts w:asciiTheme="minorHAnsi" w:hAnsiTheme="minorHAnsi"/>
        </w:rPr>
        <w:t>a STN recuperou R$ 1 bilhão, ou seja, 24,7% do total honrado pela União.</w:t>
      </w:r>
    </w:p>
    <w:p w14:paraId="596E357A" w14:textId="77777777" w:rsidR="00DE2CA7" w:rsidRPr="005432E1" w:rsidRDefault="002E23A9"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Quanto a esse ponto, torna-se relevante destacar que, em 02.01.2017, o Supremo Tribunal Federal, nos autos da Ação Cível Originária nº 2.972, proferiu liminar favorável ao Estado do Rio de Janeiro, prejudicando a execução de 5 contratos de contragarantia, em montante de R$ 3</w:t>
      </w:r>
      <w:r w:rsidR="00333120" w:rsidRPr="005432E1">
        <w:rPr>
          <w:rFonts w:asciiTheme="minorHAnsi" w:hAnsiTheme="minorHAnsi"/>
        </w:rPr>
        <w:t>96,5 milhões, com posição em 22/</w:t>
      </w:r>
      <w:r w:rsidR="00DE2CA7" w:rsidRPr="005432E1">
        <w:rPr>
          <w:rFonts w:asciiTheme="minorHAnsi" w:hAnsiTheme="minorHAnsi"/>
        </w:rPr>
        <w:t>02</w:t>
      </w:r>
      <w:r w:rsidR="00333120" w:rsidRPr="005432E1">
        <w:rPr>
          <w:rFonts w:asciiTheme="minorHAnsi" w:hAnsiTheme="minorHAnsi"/>
        </w:rPr>
        <w:t>/</w:t>
      </w:r>
      <w:r w:rsidR="00DE2CA7" w:rsidRPr="005432E1">
        <w:rPr>
          <w:rFonts w:asciiTheme="minorHAnsi" w:hAnsiTheme="minorHAnsi"/>
        </w:rPr>
        <w:t>2017. A referida liminar não permitiu mais a execução imediata das contragarantias, pois condiciona esse procedimento à notificação e à oportunidade de defesa prévias. Na sequência a decisão nos autos da Ação Cível Originária nº 2.981 impediu po</w:t>
      </w:r>
      <w:r w:rsidR="00333120" w:rsidRPr="005432E1">
        <w:rPr>
          <w:rFonts w:asciiTheme="minorHAnsi" w:hAnsiTheme="minorHAnsi"/>
        </w:rPr>
        <w:t>r completo a execução de contra</w:t>
      </w:r>
      <w:r w:rsidR="00DE2CA7" w:rsidRPr="005432E1">
        <w:rPr>
          <w:rFonts w:asciiTheme="minorHAnsi" w:hAnsiTheme="minorHAnsi"/>
        </w:rPr>
        <w:t>garantias ofertadas pelo mencionado ente. Com a adesão do Estado ao Regime de Recuperação Fiscal em 05/09/2017, os valores pendentes de recebimento à época, assim como aqueles que se tornaram exigíveis posteriormente, passaram a integrar a Conta Gráfica constituída nos termos da Lei Complementar nº 159/2017, para cobrança futura.</w:t>
      </w:r>
    </w:p>
    <w:p w14:paraId="74066B79" w14:textId="77777777" w:rsidR="00047CC2" w:rsidRPr="005432E1" w:rsidRDefault="00047CC2"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O Relatório Quadrimestral de Garantias, atualizado periodicamente pela STN, demonstrando os valores honrados ao longo dos exercícios de 2016 e 2017, encontra-se disponível no site do Tesouro Nacional</w:t>
      </w:r>
      <w:r w:rsidR="002F5BE0" w:rsidRPr="005432E1">
        <w:rPr>
          <w:rFonts w:asciiTheme="minorHAnsi" w:hAnsiTheme="minorHAnsi"/>
        </w:rPr>
        <w:t xml:space="preserve"> </w:t>
      </w:r>
      <w:r w:rsidRPr="005432E1">
        <w:rPr>
          <w:rFonts w:asciiTheme="minorHAnsi" w:hAnsiTheme="minorHAnsi"/>
        </w:rPr>
        <w:t xml:space="preserve">por meio do link: </w:t>
      </w:r>
    </w:p>
    <w:p w14:paraId="3555FF36" w14:textId="77777777" w:rsidR="00DE2CA7" w:rsidRPr="005432E1" w:rsidRDefault="005432E1" w:rsidP="00DE2CA7">
      <w:pPr>
        <w:spacing w:before="100" w:beforeAutospacing="1" w:after="100" w:afterAutospacing="1"/>
        <w:jc w:val="both"/>
        <w:rPr>
          <w:rFonts w:asciiTheme="minorHAnsi" w:hAnsiTheme="minorHAnsi"/>
        </w:rPr>
      </w:pPr>
      <w:hyperlink r:id="rId23" w:tgtFrame="_blank" w:history="1">
        <w:r w:rsidR="00DE2CA7" w:rsidRPr="005432E1">
          <w:rPr>
            <w:rFonts w:asciiTheme="minorHAnsi" w:hAnsiTheme="minorHAnsi"/>
            <w:u w:val="single"/>
          </w:rPr>
          <w:t>https://www.tesouro.fazenda.gov.br/documents/10180/541691/Relat%C3%B3rio+Quadrimestral+de+Garantias+-+2%C2%BA%20Quadrimestre+2016/cbc08962-e8d7-451d-aaa1-da2a3e8f406e</w:t>
        </w:r>
      </w:hyperlink>
      <w:r w:rsidR="00DE2CA7" w:rsidRPr="005432E1">
        <w:rPr>
          <w:rFonts w:asciiTheme="minorHAnsi" w:hAnsiTheme="minorHAnsi"/>
        </w:rPr>
        <w:t>.</w:t>
      </w:r>
    </w:p>
    <w:p w14:paraId="3F2C9701" w14:textId="77777777" w:rsidR="00DE2CA7" w:rsidRPr="005432E1" w:rsidRDefault="00047CC2"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Com vistas a mitigar o referido risco, a STN tem intensificado o relacionamento com a AGU e suas procuradorias regionais e seccionais, adotando, inclusive, postura mais atuante em relação ao acompanhamento das ações judiciais. Esse procedimento tem permitido, em diversos casos, que, ao verificar movimentações processuais importantes, a STN antecipe para a AGU os subsídios e/ou questionamentos cabíveis sem precisar aguardar o demorado trâmite das notificações judiciais.</w:t>
      </w:r>
    </w:p>
    <w:p w14:paraId="2CA9D9C8" w14:textId="77777777" w:rsidR="00DE2CA7" w:rsidRPr="005432E1" w:rsidRDefault="00047CC2"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5</w:t>
      </w:r>
      <w:r w:rsidR="00E0730A" w:rsidRPr="005432E1">
        <w:rPr>
          <w:rFonts w:asciiTheme="minorHAnsi" w:hAnsiTheme="minorHAnsi"/>
          <w:b/>
          <w:bCs/>
        </w:rPr>
        <w:t xml:space="preserve">) </w:t>
      </w:r>
      <w:r w:rsidR="00DE2CA7" w:rsidRPr="005432E1">
        <w:rPr>
          <w:rFonts w:asciiTheme="minorHAnsi" w:hAnsiTheme="minorHAnsi"/>
          <w:b/>
          <w:bCs/>
        </w:rPr>
        <w:t>Riscos relativos à diferença entre os saldos de cessão e confissão da Lei n</w:t>
      </w:r>
      <w:r w:rsidR="00DE2CA7" w:rsidRPr="005432E1">
        <w:rPr>
          <w:rFonts w:asciiTheme="minorHAnsi" w:hAnsiTheme="minorHAnsi"/>
          <w:b/>
          <w:bCs/>
          <w:vertAlign w:val="superscript"/>
        </w:rPr>
        <w:t>o</w:t>
      </w:r>
      <w:r w:rsidR="00DE2CA7" w:rsidRPr="005432E1">
        <w:rPr>
          <w:rFonts w:asciiTheme="minorHAnsi" w:hAnsiTheme="minorHAnsi"/>
          <w:b/>
          <w:bCs/>
        </w:rPr>
        <w:t xml:space="preserve"> 8.727/93</w:t>
      </w:r>
    </w:p>
    <w:p w14:paraId="0B148E06" w14:textId="11B41F70" w:rsidR="00DE2CA7" w:rsidRPr="005432E1" w:rsidRDefault="00272486" w:rsidP="00DE2CA7">
      <w:pPr>
        <w:spacing w:before="100" w:beforeAutospacing="1" w:after="100" w:afterAutospacing="1"/>
        <w:jc w:val="both"/>
        <w:rPr>
          <w:rFonts w:asciiTheme="minorHAnsi" w:hAnsiTheme="minorHAnsi"/>
        </w:rPr>
      </w:pPr>
      <w:r w:rsidRPr="005432E1">
        <w:rPr>
          <w:rFonts w:asciiTheme="minorHAnsi" w:hAnsiTheme="minorHAnsi"/>
        </w:rPr>
        <w:tab/>
        <w:t>Ess</w:t>
      </w:r>
      <w:r w:rsidR="00DE2CA7" w:rsidRPr="005432E1">
        <w:rPr>
          <w:rFonts w:asciiTheme="minorHAnsi" w:hAnsiTheme="minorHAnsi"/>
        </w:rPr>
        <w:t xml:space="preserve">es riscos foram eliminados, tendo em vista a quitação das divergências entre os contratos de cessão e de confissão do programa, efetuadas nos meses de agosto a outubro de 2017 com os respectivos credores, conforme mostrado na Tabela </w:t>
      </w:r>
      <w:r w:rsidR="00E84981" w:rsidRPr="005432E1">
        <w:rPr>
          <w:rFonts w:asciiTheme="minorHAnsi" w:hAnsiTheme="minorHAnsi"/>
        </w:rPr>
        <w:t>4</w:t>
      </w:r>
      <w:r w:rsidR="00DE2CA7" w:rsidRPr="005432E1">
        <w:rPr>
          <w:rFonts w:asciiTheme="minorHAnsi" w:hAnsiTheme="minorHAnsi"/>
        </w:rPr>
        <w:t>1 abaixo.</w:t>
      </w:r>
    </w:p>
    <w:p w14:paraId="2E9930C8" w14:textId="4626C8FB"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E84981" w:rsidRPr="005432E1">
        <w:rPr>
          <w:rFonts w:asciiTheme="minorHAnsi" w:hAnsiTheme="minorHAnsi"/>
          <w:b/>
          <w:bCs/>
        </w:rPr>
        <w:t>1</w:t>
      </w:r>
      <w:r w:rsidRPr="005432E1">
        <w:rPr>
          <w:rFonts w:asciiTheme="minorHAnsi" w:hAnsiTheme="minorHAnsi"/>
          <w:b/>
          <w:bCs/>
        </w:rPr>
        <w:t>: Quitação das divergências no âmbito da Lei nº 8.727/93 (R$ milhões)</w:t>
      </w:r>
    </w:p>
    <w:tbl>
      <w:tblPr>
        <w:tblW w:w="79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3"/>
        <w:gridCol w:w="1083"/>
        <w:gridCol w:w="1889"/>
        <w:gridCol w:w="1285"/>
      </w:tblGrid>
      <w:tr w:rsidR="0026114A" w:rsidRPr="005432E1" w14:paraId="4A5A5F22"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5F12FC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Credor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C2342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Valor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571CE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Documento SIAFI</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FD6D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Data</w:t>
            </w:r>
          </w:p>
        </w:tc>
      </w:tr>
      <w:tr w:rsidR="0026114A" w:rsidRPr="005432E1" w14:paraId="117685D7"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80071F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Eletrosul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421100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781,733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70F40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F4F54D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01/08/2017</w:t>
            </w:r>
          </w:p>
        </w:tc>
      </w:tr>
      <w:tr w:rsidR="0026114A" w:rsidRPr="005432E1" w14:paraId="2CDC4D29"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F9326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Banco do Nordeste do Brasil - BNB</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50F03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560,969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C01DDB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2017EC000115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EA436E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01/08/2017</w:t>
            </w:r>
          </w:p>
        </w:tc>
      </w:tr>
      <w:tr w:rsidR="0026114A" w:rsidRPr="005432E1" w14:paraId="36CC9825"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A88EB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Furnas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C8CDA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607,027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86ACF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2017EC000116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CA6D1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01/08/2017</w:t>
            </w:r>
          </w:p>
        </w:tc>
      </w:tr>
      <w:tr w:rsidR="0026114A" w:rsidRPr="005432E1" w14:paraId="5ACB1F68"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1F58D0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Banco do Brasil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42FE0E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140,172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D3702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81920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01/08/2017</w:t>
            </w:r>
          </w:p>
        </w:tc>
      </w:tr>
      <w:tr w:rsidR="0026114A" w:rsidRPr="005432E1" w14:paraId="33368DAB"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D80B9F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FINEP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6B02C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3,318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55B80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2017EC000139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580A49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01/09/2017</w:t>
            </w:r>
          </w:p>
        </w:tc>
      </w:tr>
      <w:tr w:rsidR="0026114A" w:rsidRPr="005432E1" w14:paraId="653D3AE7"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EE5B30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Banco Central do Brasil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1238E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272,619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1E17E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883A9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01/09/2017</w:t>
            </w:r>
          </w:p>
        </w:tc>
      </w:tr>
      <w:tr w:rsidR="0026114A" w:rsidRPr="005432E1" w14:paraId="460646EC"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098DA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Caixa Econômica Federal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8C226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3.633,360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1172A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2017EC000141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6886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01/09/2017</w:t>
            </w:r>
          </w:p>
        </w:tc>
      </w:tr>
      <w:tr w:rsidR="0026114A" w:rsidRPr="005432E1" w14:paraId="2412CD84"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DB972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FINAME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843E2E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67,148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64A96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2017EC000157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3C4E85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02/10/2017</w:t>
            </w:r>
          </w:p>
        </w:tc>
      </w:tr>
      <w:tr w:rsidR="0026114A" w:rsidRPr="005432E1" w14:paraId="4138CB6A"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0630E5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gridSpan w:val="3"/>
            <w:tcBorders>
              <w:top w:val="outset" w:sz="6" w:space="0" w:color="auto"/>
              <w:left w:val="outset" w:sz="6" w:space="0" w:color="auto"/>
              <w:bottom w:val="outset" w:sz="6" w:space="0" w:color="auto"/>
              <w:right w:val="outset" w:sz="6" w:space="0" w:color="auto"/>
            </w:tcBorders>
            <w:noWrap/>
            <w:vAlign w:val="center"/>
            <w:hideMark/>
          </w:tcPr>
          <w:p w14:paraId="732A84E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6.066,352</w:t>
            </w:r>
          </w:p>
        </w:tc>
      </w:tr>
    </w:tbl>
    <w:p w14:paraId="3AE0665E" w14:textId="77777777" w:rsidR="00DE2CA7" w:rsidRPr="005432E1" w:rsidRDefault="00272486"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6</w:t>
      </w:r>
      <w:r w:rsidRPr="005432E1">
        <w:rPr>
          <w:rFonts w:asciiTheme="minorHAnsi" w:hAnsiTheme="minorHAnsi"/>
          <w:b/>
          <w:bCs/>
        </w:rPr>
        <w:t>)</w:t>
      </w:r>
      <w:r w:rsidR="00E0730A" w:rsidRPr="005432E1">
        <w:rPr>
          <w:rFonts w:asciiTheme="minorHAnsi" w:hAnsiTheme="minorHAnsi"/>
          <w:b/>
          <w:bCs/>
        </w:rPr>
        <w:t xml:space="preserve"> </w:t>
      </w:r>
      <w:r w:rsidR="00DE2CA7" w:rsidRPr="005432E1">
        <w:rPr>
          <w:rFonts w:asciiTheme="minorHAnsi" w:hAnsiTheme="minorHAnsi"/>
          <w:b/>
          <w:bCs/>
        </w:rPr>
        <w:t>Riscos de frustração de receitas em decorrência da modificação nas legislações concernentes aos haveres sob gestão da STN</w:t>
      </w:r>
    </w:p>
    <w:p w14:paraId="4DC3FB37" w14:textId="77777777" w:rsidR="00DE2CA7" w:rsidRPr="005432E1" w:rsidRDefault="00272486"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As receitas previstas pela STN apresentam o risco de redução e até não recebimento em determinados períodos em decorrência de novas legislações que se traduzam em carências de pagamento aos mutuários ou abatimentos nos estoques dos ativos junto aos Estados e Municípios. A seguir, elencaremos as Leis Complementares cujos efeitos impactaram os recebimentos da STN:</w:t>
      </w:r>
    </w:p>
    <w:p w14:paraId="7289495D" w14:textId="77777777" w:rsidR="00DE2CA7" w:rsidRPr="005432E1" w:rsidRDefault="00BD011E"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6</w:t>
      </w:r>
      <w:r w:rsidRPr="005432E1">
        <w:rPr>
          <w:rFonts w:asciiTheme="minorHAnsi" w:hAnsiTheme="minorHAnsi"/>
          <w:b/>
          <w:bCs/>
        </w:rPr>
        <w:t xml:space="preserve">.1) </w:t>
      </w:r>
      <w:r w:rsidR="00DE2CA7" w:rsidRPr="005432E1">
        <w:rPr>
          <w:rFonts w:asciiTheme="minorHAnsi" w:hAnsiTheme="minorHAnsi"/>
          <w:b/>
          <w:bCs/>
        </w:rPr>
        <w:t>Lei Complementar n</w:t>
      </w:r>
      <w:r w:rsidR="00DE2CA7" w:rsidRPr="005432E1">
        <w:rPr>
          <w:rFonts w:asciiTheme="minorHAnsi" w:hAnsiTheme="minorHAnsi"/>
          <w:b/>
          <w:bCs/>
          <w:vertAlign w:val="superscript"/>
        </w:rPr>
        <w:t>o</w:t>
      </w:r>
      <w:r w:rsidR="00DE2CA7" w:rsidRPr="005432E1">
        <w:rPr>
          <w:rFonts w:asciiTheme="minorHAnsi" w:hAnsiTheme="minorHAnsi"/>
          <w:b/>
          <w:bCs/>
        </w:rPr>
        <w:t xml:space="preserve"> 148/14</w:t>
      </w:r>
    </w:p>
    <w:p w14:paraId="17D07391" w14:textId="77777777" w:rsidR="00DE2CA7" w:rsidRPr="005432E1" w:rsidRDefault="00BD011E"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 referida Lei Complementar previu a alteração retroativa de indexadores das dívidas de Estados e Municípios com a União, no âmbito da Lei n</w:t>
      </w:r>
      <w:r w:rsidR="00DE2CA7" w:rsidRPr="005432E1">
        <w:rPr>
          <w:rFonts w:asciiTheme="minorHAnsi" w:hAnsiTheme="minorHAnsi"/>
          <w:vertAlign w:val="superscript"/>
        </w:rPr>
        <w:t>o</w:t>
      </w:r>
      <w:r w:rsidR="00DE2CA7" w:rsidRPr="005432E1">
        <w:rPr>
          <w:rFonts w:asciiTheme="minorHAnsi" w:hAnsiTheme="minorHAnsi"/>
        </w:rPr>
        <w:t xml:space="preserve"> 9.496/97 e da MP n</w:t>
      </w:r>
      <w:r w:rsidR="00DE2CA7" w:rsidRPr="005432E1">
        <w:rPr>
          <w:rFonts w:asciiTheme="minorHAnsi" w:hAnsiTheme="minorHAnsi"/>
          <w:vertAlign w:val="superscript"/>
        </w:rPr>
        <w:t>o</w:t>
      </w:r>
      <w:r w:rsidR="00DE2CA7" w:rsidRPr="005432E1">
        <w:rPr>
          <w:rFonts w:asciiTheme="minorHAnsi" w:hAnsiTheme="minorHAnsi"/>
        </w:rPr>
        <w:t xml:space="preserve"> 2.185/01, de forma que parte dos estoques de ativos geridos pela STN sofreria forte redução (em especial no caso dos Municípios) na medida em que os Estados e Municípios assinassem os respectivos aditivos contratuais e após satisfeitas todas as condições e procedimentos apresentados no Decreto n</w:t>
      </w:r>
      <w:r w:rsidR="00DE2CA7" w:rsidRPr="005432E1">
        <w:rPr>
          <w:rFonts w:asciiTheme="minorHAnsi" w:hAnsiTheme="minorHAnsi"/>
          <w:vertAlign w:val="superscript"/>
        </w:rPr>
        <w:t>o</w:t>
      </w:r>
      <w:r w:rsidR="00DE2CA7" w:rsidRPr="005432E1">
        <w:rPr>
          <w:rFonts w:asciiTheme="minorHAnsi" w:hAnsiTheme="minorHAnsi"/>
        </w:rPr>
        <w:t xml:space="preserve"> 8.616/2015, que normatiza a referida Lei Complementar.</w:t>
      </w:r>
    </w:p>
    <w:p w14:paraId="32EE420A" w14:textId="77777777" w:rsidR="00DE2CA7" w:rsidRPr="005432E1" w:rsidRDefault="00BD011E"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Como não seria possível precisar o momento exato em que esses aditivos seriam assinados, o Grupo de Trabalho do Tesouro Nacional – GT-TN, constituído pela Portaria nº 389, de 27.07.2015, recomendou à STN a constituição de provisão para a referida baixa de estoque. Adicionalmente, foi elaborada Nota Técnica por meio da qual os lançamentos contábeis de contabilização dos haveres foram detalhados, em linha com as recomendações do GT-TN, e de acordo com orientações fornecidas pela STN.</w:t>
      </w:r>
    </w:p>
    <w:p w14:paraId="79685498" w14:textId="77777777" w:rsidR="00DE2CA7" w:rsidRPr="005432E1" w:rsidRDefault="00BD011E"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Neste sentido, constituíram-se provisões em duas contas denominadas “Ajustes de Perdas de Créditos a Curto Prazo - Outros Ajustes de Perda em Empréstimos Concedidos”, uma para Estados e outra para Municípios, nos valores de R$ 34,2 bilhões e R$ 55,2 bilhões, respectivamente, em linha com o padrão do novo Plano de Contas – PCASP. Posteriormente, a CCONT/STN reclassificou os valores para contas retificadoras do Ativo Não Circulante, 121149904 (Estados) e 121159904 (Municípios), após constatar a impossibilidade de previsão exata da realização dessas baixas de ativos ao longo do exercício de 2016. Ademais, a redução seria aplicada primeiramente sobre os estoques de principal e resíduo alocados no longo prazo. Caso a redução para determinados Estados ou Municípios implicasse em cancelamento total de suas dívidas de longo prazo, então seria aplicada a redução para seus respectivos estoques de curto prazo. As estimativas realizadas pela STN foram feitas com base em informações financeiras fornecidas pelo agente financeiro – Banco do Brasil. </w:t>
      </w:r>
      <w:r w:rsidR="006A51CD" w:rsidRPr="005432E1">
        <w:rPr>
          <w:rFonts w:asciiTheme="minorHAnsi" w:hAnsiTheme="minorHAnsi"/>
        </w:rPr>
        <w:t>Segue Tabela contendo os Ajustes de perdas de empréstimos e financiamentos concedidos - Exercício de 2016 versus Exercício de 2017 – STN.</w:t>
      </w:r>
    </w:p>
    <w:p w14:paraId="328238B1" w14:textId="58F90EFD" w:rsidR="00DE2CA7" w:rsidRPr="005432E1" w:rsidRDefault="00BD011E"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Atualmente, a maior parte dos Estados e Municípios que possui refinanciamentos ao amparo da Lei n</w:t>
      </w:r>
      <w:r w:rsidR="00DE2CA7" w:rsidRPr="005432E1">
        <w:rPr>
          <w:rFonts w:asciiTheme="minorHAnsi" w:hAnsiTheme="minorHAnsi"/>
          <w:vertAlign w:val="superscript"/>
        </w:rPr>
        <w:t>o</w:t>
      </w:r>
      <w:r w:rsidR="00DE2CA7" w:rsidRPr="005432E1">
        <w:rPr>
          <w:rFonts w:asciiTheme="minorHAnsi" w:hAnsiTheme="minorHAnsi"/>
        </w:rPr>
        <w:t xml:space="preserve"> 9.496/97 e da MP n</w:t>
      </w:r>
      <w:r w:rsidR="00DE2CA7" w:rsidRPr="005432E1">
        <w:rPr>
          <w:rFonts w:asciiTheme="minorHAnsi" w:hAnsiTheme="minorHAnsi"/>
          <w:vertAlign w:val="superscript"/>
        </w:rPr>
        <w:t>o</w:t>
      </w:r>
      <w:r w:rsidR="00DE2CA7" w:rsidRPr="005432E1">
        <w:rPr>
          <w:rFonts w:asciiTheme="minorHAnsi" w:hAnsiTheme="minorHAnsi"/>
        </w:rPr>
        <w:t xml:space="preserve"> 2.185/01 já aderiu às condições da LC n</w:t>
      </w:r>
      <w:r w:rsidR="00DE2CA7" w:rsidRPr="005432E1">
        <w:rPr>
          <w:rFonts w:asciiTheme="minorHAnsi" w:hAnsiTheme="minorHAnsi"/>
          <w:vertAlign w:val="superscript"/>
        </w:rPr>
        <w:t>o</w:t>
      </w:r>
      <w:r w:rsidR="00DE2CA7" w:rsidRPr="005432E1">
        <w:rPr>
          <w:rFonts w:asciiTheme="minorHAnsi" w:hAnsiTheme="minorHAnsi"/>
        </w:rPr>
        <w:t xml:space="preserve"> 148/14, conf</w:t>
      </w:r>
      <w:r w:rsidR="00230A15" w:rsidRPr="005432E1">
        <w:rPr>
          <w:rFonts w:asciiTheme="minorHAnsi" w:hAnsiTheme="minorHAnsi"/>
        </w:rPr>
        <w:t>orme demonstrado na</w:t>
      </w:r>
      <w:r w:rsidR="006A51CD" w:rsidRPr="005432E1">
        <w:rPr>
          <w:rFonts w:asciiTheme="minorHAnsi" w:hAnsiTheme="minorHAnsi"/>
        </w:rPr>
        <w:t xml:space="preserve"> Tabela </w:t>
      </w:r>
      <w:r w:rsidR="00230A15" w:rsidRPr="005432E1">
        <w:rPr>
          <w:rFonts w:asciiTheme="minorHAnsi" w:hAnsiTheme="minorHAnsi"/>
        </w:rPr>
        <w:t>4</w:t>
      </w:r>
      <w:r w:rsidR="0035539C" w:rsidRPr="005432E1">
        <w:rPr>
          <w:rFonts w:asciiTheme="minorHAnsi" w:hAnsiTheme="minorHAnsi"/>
        </w:rPr>
        <w:t>2</w:t>
      </w:r>
      <w:r w:rsidR="00DE2CA7" w:rsidRPr="005432E1">
        <w:rPr>
          <w:rFonts w:asciiTheme="minorHAnsi" w:hAnsiTheme="minorHAnsi"/>
        </w:rPr>
        <w:t>. Por esse motivo, as referidas contas de ajuste apresentam saldos reduzidos em relação aos seus valores iniciais, e os saldos de ativo de ambos os programas já foram impactados pela adesão dos entes às condições da referida LC.</w:t>
      </w:r>
    </w:p>
    <w:p w14:paraId="60A3F7E0" w14:textId="65C0D686"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35539C" w:rsidRPr="005432E1">
        <w:rPr>
          <w:rFonts w:asciiTheme="minorHAnsi" w:hAnsiTheme="minorHAnsi"/>
          <w:b/>
          <w:bCs/>
        </w:rPr>
        <w:t>2</w:t>
      </w:r>
      <w:r w:rsidRPr="005432E1">
        <w:rPr>
          <w:rFonts w:asciiTheme="minorHAnsi" w:hAnsiTheme="minorHAnsi"/>
          <w:b/>
          <w:bCs/>
        </w:rPr>
        <w:t>: Estados e Municípios com contratos aditados no âmbito da LC n</w:t>
      </w:r>
      <w:r w:rsidRPr="005432E1">
        <w:rPr>
          <w:rFonts w:asciiTheme="minorHAnsi" w:hAnsiTheme="minorHAnsi"/>
          <w:b/>
          <w:bCs/>
          <w:vertAlign w:val="superscript"/>
        </w:rPr>
        <w:t>o</w:t>
      </w:r>
      <w:r w:rsidRPr="005432E1">
        <w:rPr>
          <w:rFonts w:asciiTheme="minorHAnsi" w:hAnsiTheme="minorHAnsi"/>
          <w:b/>
          <w:bCs/>
        </w:rPr>
        <w:t xml:space="preserve"> 148/14 - Posição de 31.12.2017 (R$ milhões)</w:t>
      </w:r>
    </w:p>
    <w:tbl>
      <w:tblPr>
        <w:tblW w:w="9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4"/>
        <w:gridCol w:w="2418"/>
        <w:gridCol w:w="3056"/>
        <w:gridCol w:w="2672"/>
      </w:tblGrid>
      <w:tr w:rsidR="0026114A" w:rsidRPr="005432E1" w14:paraId="63AC92A4" w14:textId="77777777" w:rsidTr="0054100D">
        <w:trPr>
          <w:tblCellSpacing w:w="0" w:type="dxa"/>
        </w:trPr>
        <w:tc>
          <w:tcPr>
            <w:tcW w:w="1524" w:type="dxa"/>
            <w:tcBorders>
              <w:top w:val="outset" w:sz="6" w:space="0" w:color="auto"/>
              <w:left w:val="outset" w:sz="6" w:space="0" w:color="auto"/>
              <w:bottom w:val="outset" w:sz="6" w:space="0" w:color="auto"/>
              <w:right w:val="outset" w:sz="6" w:space="0" w:color="auto"/>
            </w:tcBorders>
            <w:vAlign w:val="center"/>
            <w:hideMark/>
          </w:tcPr>
          <w:p w14:paraId="0D692BE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Estado</w:t>
            </w:r>
          </w:p>
        </w:tc>
        <w:tc>
          <w:tcPr>
            <w:tcW w:w="2388" w:type="dxa"/>
            <w:tcBorders>
              <w:top w:val="outset" w:sz="6" w:space="0" w:color="auto"/>
              <w:left w:val="outset" w:sz="6" w:space="0" w:color="auto"/>
              <w:bottom w:val="outset" w:sz="6" w:space="0" w:color="auto"/>
              <w:right w:val="outset" w:sz="6" w:space="0" w:color="auto"/>
            </w:tcBorders>
            <w:vAlign w:val="center"/>
            <w:hideMark/>
          </w:tcPr>
          <w:p w14:paraId="16C653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Saldo Devedor nas condições anteriores à n</w:t>
            </w:r>
            <w:r w:rsidRPr="005432E1">
              <w:rPr>
                <w:rFonts w:asciiTheme="minorHAnsi" w:hAnsiTheme="minorHAnsi"/>
                <w:b/>
                <w:bCs/>
                <w:vertAlign w:val="superscript"/>
              </w:rPr>
              <w:t>o</w:t>
            </w:r>
            <w:r w:rsidRPr="005432E1">
              <w:rPr>
                <w:rFonts w:asciiTheme="minorHAnsi" w:hAnsiTheme="minorHAnsi"/>
                <w:b/>
                <w:bCs/>
              </w:rPr>
              <w:t xml:space="preserve"> LC 148/14 - Posição de 31.01.2016 (A)</w:t>
            </w:r>
          </w:p>
        </w:tc>
        <w:tc>
          <w:tcPr>
            <w:tcW w:w="3026" w:type="dxa"/>
            <w:tcBorders>
              <w:top w:val="outset" w:sz="6" w:space="0" w:color="auto"/>
              <w:left w:val="outset" w:sz="6" w:space="0" w:color="auto"/>
              <w:bottom w:val="outset" w:sz="6" w:space="0" w:color="auto"/>
              <w:right w:val="outset" w:sz="6" w:space="0" w:color="auto"/>
            </w:tcBorders>
            <w:vAlign w:val="center"/>
            <w:hideMark/>
          </w:tcPr>
          <w:p w14:paraId="518A98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Saldo Devedor nas condições da LC n</w:t>
            </w:r>
            <w:r w:rsidRPr="005432E1">
              <w:rPr>
                <w:rFonts w:asciiTheme="minorHAnsi" w:hAnsiTheme="minorHAnsi"/>
                <w:b/>
                <w:bCs/>
                <w:vertAlign w:val="superscript"/>
              </w:rPr>
              <w:t>o</w:t>
            </w:r>
            <w:r w:rsidRPr="005432E1">
              <w:rPr>
                <w:rFonts w:asciiTheme="minorHAnsi" w:hAnsiTheme="minorHAnsi"/>
                <w:b/>
                <w:bCs/>
              </w:rPr>
              <w:t xml:space="preserve"> 148/14 - Posição de 31.12.2017 (B)</w:t>
            </w:r>
          </w:p>
        </w:tc>
        <w:tc>
          <w:tcPr>
            <w:tcW w:w="2642" w:type="dxa"/>
            <w:tcBorders>
              <w:top w:val="outset" w:sz="6" w:space="0" w:color="auto"/>
              <w:left w:val="outset" w:sz="6" w:space="0" w:color="auto"/>
              <w:bottom w:val="outset" w:sz="6" w:space="0" w:color="auto"/>
              <w:right w:val="outset" w:sz="6" w:space="0" w:color="auto"/>
            </w:tcBorders>
            <w:vAlign w:val="center"/>
            <w:hideMark/>
          </w:tcPr>
          <w:p w14:paraId="4D12C2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Saldo Devedor Estado / Saldo Devedor da Lei n</w:t>
            </w:r>
            <w:r w:rsidRPr="005432E1">
              <w:rPr>
                <w:rFonts w:asciiTheme="minorHAnsi" w:hAnsiTheme="minorHAnsi"/>
                <w:b/>
                <w:bCs/>
                <w:vertAlign w:val="superscript"/>
              </w:rPr>
              <w:t>o</w:t>
            </w:r>
            <w:r w:rsidRPr="005432E1">
              <w:rPr>
                <w:rFonts w:asciiTheme="minorHAnsi" w:hAnsiTheme="minorHAnsi"/>
                <w:b/>
                <w:bCs/>
              </w:rPr>
              <w:t xml:space="preserve"> 9.496/97 - Posição de 31.01.2016 (%)</w:t>
            </w:r>
          </w:p>
        </w:tc>
      </w:tr>
      <w:tr w:rsidR="0026114A" w:rsidRPr="005432E1" w14:paraId="494AC38E" w14:textId="77777777" w:rsidTr="0054100D">
        <w:trPr>
          <w:tblCellSpacing w:w="0" w:type="dxa"/>
        </w:trPr>
        <w:tc>
          <w:tcPr>
            <w:tcW w:w="1524" w:type="dxa"/>
            <w:tcBorders>
              <w:top w:val="outset" w:sz="6" w:space="0" w:color="auto"/>
              <w:left w:val="outset" w:sz="6" w:space="0" w:color="auto"/>
              <w:bottom w:val="outset" w:sz="6" w:space="0" w:color="auto"/>
              <w:right w:val="outset" w:sz="6" w:space="0" w:color="auto"/>
            </w:tcBorders>
            <w:vAlign w:val="center"/>
            <w:hideMark/>
          </w:tcPr>
          <w:p w14:paraId="6E8296C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 ESTADOS</w:t>
            </w:r>
          </w:p>
        </w:tc>
        <w:tc>
          <w:tcPr>
            <w:tcW w:w="2388" w:type="dxa"/>
            <w:tcBorders>
              <w:top w:val="outset" w:sz="6" w:space="0" w:color="auto"/>
              <w:left w:val="outset" w:sz="6" w:space="0" w:color="auto"/>
              <w:bottom w:val="outset" w:sz="6" w:space="0" w:color="auto"/>
              <w:right w:val="outset" w:sz="6" w:space="0" w:color="auto"/>
            </w:tcBorders>
            <w:noWrap/>
            <w:vAlign w:val="center"/>
            <w:hideMark/>
          </w:tcPr>
          <w:p w14:paraId="22E07F5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464.538,046</w:t>
            </w:r>
          </w:p>
        </w:tc>
        <w:tc>
          <w:tcPr>
            <w:tcW w:w="3026" w:type="dxa"/>
            <w:tcBorders>
              <w:top w:val="outset" w:sz="6" w:space="0" w:color="auto"/>
              <w:left w:val="outset" w:sz="6" w:space="0" w:color="auto"/>
              <w:bottom w:val="outset" w:sz="6" w:space="0" w:color="auto"/>
              <w:right w:val="outset" w:sz="6" w:space="0" w:color="auto"/>
            </w:tcBorders>
            <w:noWrap/>
            <w:vAlign w:val="center"/>
            <w:hideMark/>
          </w:tcPr>
          <w:p w14:paraId="19829F2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510.388,208</w:t>
            </w:r>
          </w:p>
        </w:tc>
        <w:tc>
          <w:tcPr>
            <w:tcW w:w="2642" w:type="dxa"/>
            <w:tcBorders>
              <w:top w:val="outset" w:sz="6" w:space="0" w:color="auto"/>
              <w:left w:val="outset" w:sz="6" w:space="0" w:color="auto"/>
              <w:bottom w:val="outset" w:sz="6" w:space="0" w:color="auto"/>
              <w:right w:val="outset" w:sz="6" w:space="0" w:color="auto"/>
            </w:tcBorders>
            <w:noWrap/>
            <w:vAlign w:val="center"/>
            <w:hideMark/>
          </w:tcPr>
          <w:p w14:paraId="43204D8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99,92%</w:t>
            </w:r>
          </w:p>
        </w:tc>
      </w:tr>
      <w:tr w:rsidR="0026114A" w:rsidRPr="005432E1" w14:paraId="1B62840B" w14:textId="77777777" w:rsidTr="0054100D">
        <w:trPr>
          <w:tblCellSpacing w:w="0" w:type="dxa"/>
        </w:trPr>
        <w:tc>
          <w:tcPr>
            <w:tcW w:w="1524" w:type="dxa"/>
            <w:tcBorders>
              <w:top w:val="outset" w:sz="6" w:space="0" w:color="auto"/>
              <w:left w:val="outset" w:sz="6" w:space="0" w:color="auto"/>
              <w:bottom w:val="outset" w:sz="6" w:space="0" w:color="auto"/>
              <w:right w:val="outset" w:sz="6" w:space="0" w:color="auto"/>
            </w:tcBorders>
            <w:vAlign w:val="center"/>
            <w:hideMark/>
          </w:tcPr>
          <w:p w14:paraId="543CE91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 MUNICÍPIOS</w:t>
            </w:r>
          </w:p>
        </w:tc>
        <w:tc>
          <w:tcPr>
            <w:tcW w:w="2388" w:type="dxa"/>
            <w:tcBorders>
              <w:top w:val="outset" w:sz="6" w:space="0" w:color="auto"/>
              <w:left w:val="outset" w:sz="6" w:space="0" w:color="auto"/>
              <w:bottom w:val="outset" w:sz="6" w:space="0" w:color="auto"/>
              <w:right w:val="outset" w:sz="6" w:space="0" w:color="auto"/>
            </w:tcBorders>
            <w:noWrap/>
            <w:vAlign w:val="center"/>
            <w:hideMark/>
          </w:tcPr>
          <w:p w14:paraId="3FC5F9C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85.832,686</w:t>
            </w:r>
          </w:p>
        </w:tc>
        <w:tc>
          <w:tcPr>
            <w:tcW w:w="3026" w:type="dxa"/>
            <w:tcBorders>
              <w:top w:val="outset" w:sz="6" w:space="0" w:color="auto"/>
              <w:left w:val="outset" w:sz="6" w:space="0" w:color="auto"/>
              <w:bottom w:val="outset" w:sz="6" w:space="0" w:color="auto"/>
              <w:right w:val="outset" w:sz="6" w:space="0" w:color="auto"/>
            </w:tcBorders>
            <w:noWrap/>
            <w:vAlign w:val="center"/>
            <w:hideMark/>
          </w:tcPr>
          <w:p w14:paraId="290C47D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29.443,458</w:t>
            </w:r>
          </w:p>
        </w:tc>
        <w:tc>
          <w:tcPr>
            <w:tcW w:w="2642" w:type="dxa"/>
            <w:tcBorders>
              <w:top w:val="outset" w:sz="6" w:space="0" w:color="auto"/>
              <w:left w:val="outset" w:sz="6" w:space="0" w:color="auto"/>
              <w:bottom w:val="outset" w:sz="6" w:space="0" w:color="auto"/>
              <w:right w:val="outset" w:sz="6" w:space="0" w:color="auto"/>
            </w:tcBorders>
            <w:noWrap/>
            <w:vAlign w:val="center"/>
            <w:hideMark/>
          </w:tcPr>
          <w:p w14:paraId="572E042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97,85%</w:t>
            </w:r>
          </w:p>
        </w:tc>
      </w:tr>
    </w:tbl>
    <w:p w14:paraId="2D706A19" w14:textId="77777777" w:rsidR="006A51CD" w:rsidRPr="005432E1" w:rsidRDefault="006A51CD" w:rsidP="0001423A">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4CA2FB3A" w14:textId="31F2D1FC" w:rsidR="006A51CD" w:rsidRPr="005432E1" w:rsidRDefault="00BD011E" w:rsidP="006A51CD">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Finalmente, segue na Tabela </w:t>
      </w:r>
      <w:r w:rsidR="00230A15" w:rsidRPr="005432E1">
        <w:rPr>
          <w:rFonts w:asciiTheme="minorHAnsi" w:hAnsiTheme="minorHAnsi"/>
        </w:rPr>
        <w:t>4</w:t>
      </w:r>
      <w:r w:rsidR="0035539C" w:rsidRPr="005432E1">
        <w:rPr>
          <w:rFonts w:asciiTheme="minorHAnsi" w:hAnsiTheme="minorHAnsi"/>
        </w:rPr>
        <w:t>3</w:t>
      </w:r>
      <w:r w:rsidR="00DE2CA7" w:rsidRPr="005432E1">
        <w:rPr>
          <w:rFonts w:asciiTheme="minorHAnsi" w:hAnsiTheme="minorHAnsi"/>
        </w:rPr>
        <w:t xml:space="preserve"> a estimativa dos impactos decorrentes da implementação da LC n</w:t>
      </w:r>
      <w:r w:rsidR="00DE2CA7" w:rsidRPr="005432E1">
        <w:rPr>
          <w:rFonts w:asciiTheme="minorHAnsi" w:hAnsiTheme="minorHAnsi"/>
          <w:vertAlign w:val="superscript"/>
        </w:rPr>
        <w:t>o</w:t>
      </w:r>
      <w:r w:rsidR="00DE2CA7" w:rsidRPr="005432E1">
        <w:rPr>
          <w:rFonts w:asciiTheme="minorHAnsi" w:hAnsiTheme="minorHAnsi"/>
        </w:rPr>
        <w:t xml:space="preserve"> 148/14, conforme informado em junho/2015 à SPOA/MF, para compor a proposta orç</w:t>
      </w:r>
      <w:r w:rsidR="006A51CD" w:rsidRPr="005432E1">
        <w:rPr>
          <w:rFonts w:asciiTheme="minorHAnsi" w:hAnsiTheme="minorHAnsi"/>
        </w:rPr>
        <w:t>amentária do exercício de 2016.</w:t>
      </w:r>
    </w:p>
    <w:p w14:paraId="2979F5D4" w14:textId="77777777" w:rsidR="0001423A" w:rsidRPr="005432E1" w:rsidRDefault="0001423A" w:rsidP="006A51CD">
      <w:pPr>
        <w:spacing w:before="100" w:beforeAutospacing="1" w:after="100" w:afterAutospacing="1"/>
        <w:jc w:val="both"/>
        <w:rPr>
          <w:rFonts w:asciiTheme="minorHAnsi" w:hAnsiTheme="minorHAnsi"/>
        </w:rPr>
      </w:pPr>
    </w:p>
    <w:p w14:paraId="238CB81D" w14:textId="4B6E7B53" w:rsidR="00DE2CA7" w:rsidRPr="005432E1" w:rsidRDefault="00DE2CA7" w:rsidP="006A51CD">
      <w:pPr>
        <w:spacing w:before="100" w:beforeAutospacing="1" w:after="100" w:afterAutospacing="1"/>
        <w:jc w:val="both"/>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35539C" w:rsidRPr="005432E1">
        <w:rPr>
          <w:rFonts w:asciiTheme="minorHAnsi" w:hAnsiTheme="minorHAnsi"/>
          <w:b/>
          <w:bCs/>
        </w:rPr>
        <w:t>3</w:t>
      </w:r>
      <w:r w:rsidRPr="005432E1">
        <w:rPr>
          <w:rFonts w:asciiTheme="minorHAnsi" w:hAnsiTheme="minorHAnsi"/>
          <w:b/>
          <w:bCs/>
        </w:rPr>
        <w:t xml:space="preserve"> - Impactos estimados em 2015 em decorrência dos efeitos da LC nº 148/14 (antes PLC nº 148/14) quanto aos refinanciamentos ao amparo da Lei nº 9.496/97 e MP nº 2.185</w:t>
      </w:r>
      <w:r w:rsidRPr="005432E1">
        <w:rPr>
          <w:rFonts w:asciiTheme="minorHAnsi" w:hAnsiTheme="minorHAnsi"/>
        </w:rPr>
        <w:t xml:space="preserve"> </w:t>
      </w:r>
      <w:r w:rsidR="006A51CD" w:rsidRPr="005432E1">
        <w:rPr>
          <w:rFonts w:asciiTheme="minorHAnsi" w:hAnsiTheme="minorHAnsi"/>
          <w:b/>
          <w:bCs/>
        </w:rPr>
        <w:t>(</w:t>
      </w:r>
      <w:r w:rsidRPr="005432E1">
        <w:rPr>
          <w:rFonts w:asciiTheme="minorHAnsi" w:hAnsiTheme="minorHAnsi"/>
          <w:b/>
          <w:bCs/>
        </w:rPr>
        <w:t>R$ milhões)</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216"/>
        <w:gridCol w:w="1557"/>
        <w:gridCol w:w="2122"/>
        <w:gridCol w:w="1134"/>
        <w:gridCol w:w="1282"/>
        <w:gridCol w:w="1134"/>
      </w:tblGrid>
      <w:tr w:rsidR="0026114A" w:rsidRPr="005432E1" w14:paraId="5AF2E7F5" w14:textId="77777777" w:rsidTr="00DE2CA7">
        <w:trPr>
          <w:tblCellSpacing w:w="0" w:type="dxa"/>
        </w:trPr>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687FF46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PROGRAMA</w:t>
            </w:r>
          </w:p>
        </w:tc>
        <w:tc>
          <w:tcPr>
            <w:tcW w:w="2773" w:type="dxa"/>
            <w:gridSpan w:val="2"/>
            <w:tcBorders>
              <w:top w:val="outset" w:sz="6" w:space="0" w:color="auto"/>
              <w:left w:val="outset" w:sz="6" w:space="0" w:color="auto"/>
              <w:bottom w:val="outset" w:sz="6" w:space="0" w:color="auto"/>
              <w:right w:val="outset" w:sz="6" w:space="0" w:color="auto"/>
            </w:tcBorders>
            <w:vAlign w:val="center"/>
            <w:hideMark/>
          </w:tcPr>
          <w:p w14:paraId="0FD09C7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Proposta Orçamentária de 2015 - Cenário original</w:t>
            </w:r>
          </w:p>
        </w:tc>
        <w:tc>
          <w:tcPr>
            <w:tcW w:w="3256" w:type="dxa"/>
            <w:gridSpan w:val="2"/>
            <w:tcBorders>
              <w:top w:val="outset" w:sz="6" w:space="0" w:color="auto"/>
              <w:left w:val="outset" w:sz="6" w:space="0" w:color="auto"/>
              <w:bottom w:val="outset" w:sz="6" w:space="0" w:color="auto"/>
              <w:right w:val="outset" w:sz="6" w:space="0" w:color="auto"/>
            </w:tcBorders>
            <w:vAlign w:val="center"/>
            <w:hideMark/>
          </w:tcPr>
          <w:p w14:paraId="510E60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Proposta Orçamentária de 2016 - Cenário LC nº 148/14</w:t>
            </w:r>
          </w:p>
        </w:tc>
        <w:tc>
          <w:tcPr>
            <w:tcW w:w="2416" w:type="dxa"/>
            <w:gridSpan w:val="2"/>
            <w:tcBorders>
              <w:top w:val="outset" w:sz="6" w:space="0" w:color="auto"/>
              <w:left w:val="outset" w:sz="6" w:space="0" w:color="auto"/>
              <w:bottom w:val="outset" w:sz="6" w:space="0" w:color="auto"/>
              <w:right w:val="outset" w:sz="6" w:space="0" w:color="auto"/>
            </w:tcBorders>
            <w:vAlign w:val="center"/>
            <w:hideMark/>
          </w:tcPr>
          <w:p w14:paraId="2F90A41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Impactos do PLC 148 sobre o fluxo:</w:t>
            </w:r>
          </w:p>
        </w:tc>
      </w:tr>
      <w:tr w:rsidR="0026114A" w:rsidRPr="005432E1" w14:paraId="225DE309" w14:textId="77777777" w:rsidTr="00DE2CA7">
        <w:trPr>
          <w:trHeight w:val="450"/>
          <w:tblCellSpacing w:w="0" w:type="dxa"/>
        </w:trPr>
        <w:tc>
          <w:tcPr>
            <w:tcW w:w="1470" w:type="dxa"/>
            <w:vMerge/>
            <w:tcBorders>
              <w:top w:val="outset" w:sz="6" w:space="0" w:color="auto"/>
              <w:left w:val="outset" w:sz="6" w:space="0" w:color="auto"/>
              <w:bottom w:val="outset" w:sz="6" w:space="0" w:color="auto"/>
              <w:right w:val="outset" w:sz="6" w:space="0" w:color="auto"/>
            </w:tcBorders>
            <w:vAlign w:val="center"/>
            <w:hideMark/>
          </w:tcPr>
          <w:p w14:paraId="33B97C4B" w14:textId="77777777" w:rsidR="00DE2CA7" w:rsidRPr="005432E1" w:rsidRDefault="00DE2CA7" w:rsidP="00DE2CA7">
            <w:pPr>
              <w:rPr>
                <w:rFonts w:asciiTheme="minorHAnsi" w:hAnsiTheme="minorHAnsi"/>
              </w:rPr>
            </w:pPr>
          </w:p>
        </w:tc>
        <w:tc>
          <w:tcPr>
            <w:tcW w:w="1216" w:type="dxa"/>
            <w:vMerge w:val="restart"/>
            <w:tcBorders>
              <w:top w:val="outset" w:sz="6" w:space="0" w:color="auto"/>
              <w:left w:val="outset" w:sz="6" w:space="0" w:color="auto"/>
              <w:bottom w:val="outset" w:sz="6" w:space="0" w:color="auto"/>
              <w:right w:val="outset" w:sz="6" w:space="0" w:color="auto"/>
            </w:tcBorders>
            <w:vAlign w:val="center"/>
            <w:hideMark/>
          </w:tcPr>
          <w:p w14:paraId="6DE21E5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2016</w:t>
            </w:r>
          </w:p>
        </w:tc>
        <w:tc>
          <w:tcPr>
            <w:tcW w:w="1557" w:type="dxa"/>
            <w:vMerge w:val="restart"/>
            <w:tcBorders>
              <w:top w:val="outset" w:sz="6" w:space="0" w:color="auto"/>
              <w:left w:val="outset" w:sz="6" w:space="0" w:color="auto"/>
              <w:bottom w:val="outset" w:sz="6" w:space="0" w:color="auto"/>
              <w:right w:val="outset" w:sz="6" w:space="0" w:color="auto"/>
            </w:tcBorders>
            <w:vAlign w:val="center"/>
            <w:hideMark/>
          </w:tcPr>
          <w:p w14:paraId="16B3BCD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2017</w:t>
            </w:r>
          </w:p>
        </w:tc>
        <w:tc>
          <w:tcPr>
            <w:tcW w:w="2122" w:type="dxa"/>
            <w:vMerge w:val="restart"/>
            <w:tcBorders>
              <w:top w:val="outset" w:sz="6" w:space="0" w:color="auto"/>
              <w:left w:val="outset" w:sz="6" w:space="0" w:color="auto"/>
              <w:bottom w:val="outset" w:sz="6" w:space="0" w:color="auto"/>
              <w:right w:val="outset" w:sz="6" w:space="0" w:color="auto"/>
            </w:tcBorders>
            <w:vAlign w:val="center"/>
            <w:hideMark/>
          </w:tcPr>
          <w:p w14:paraId="085F481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2016</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4A5E3E2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2017</w:t>
            </w:r>
          </w:p>
        </w:tc>
        <w:tc>
          <w:tcPr>
            <w:tcW w:w="1282" w:type="dxa"/>
            <w:vMerge w:val="restart"/>
            <w:tcBorders>
              <w:top w:val="outset" w:sz="6" w:space="0" w:color="auto"/>
              <w:left w:val="outset" w:sz="6" w:space="0" w:color="auto"/>
              <w:bottom w:val="outset" w:sz="6" w:space="0" w:color="auto"/>
              <w:right w:val="outset" w:sz="6" w:space="0" w:color="auto"/>
            </w:tcBorders>
            <w:vAlign w:val="center"/>
            <w:hideMark/>
          </w:tcPr>
          <w:p w14:paraId="1C8237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2016</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4A90717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Previsão para 2017</w:t>
            </w:r>
          </w:p>
        </w:tc>
      </w:tr>
      <w:tr w:rsidR="0026114A" w:rsidRPr="005432E1" w14:paraId="2EA4E27D" w14:textId="77777777" w:rsidTr="00DE2CA7">
        <w:trPr>
          <w:tblCellSpacing w:w="0" w:type="dxa"/>
        </w:trPr>
        <w:tc>
          <w:tcPr>
            <w:tcW w:w="1470" w:type="dxa"/>
            <w:tcBorders>
              <w:top w:val="outset" w:sz="6" w:space="0" w:color="auto"/>
              <w:left w:val="outset" w:sz="6" w:space="0" w:color="auto"/>
              <w:bottom w:val="outset" w:sz="6" w:space="0" w:color="auto"/>
              <w:right w:val="outset" w:sz="6" w:space="0" w:color="auto"/>
            </w:tcBorders>
            <w:vAlign w:val="center"/>
            <w:hideMark/>
          </w:tcPr>
          <w:p w14:paraId="06DB8CF7" w14:textId="77777777" w:rsidR="00DE2CA7" w:rsidRPr="005432E1" w:rsidRDefault="00DE2CA7" w:rsidP="00DE2CA7">
            <w:pPr>
              <w:spacing w:before="100" w:beforeAutospacing="1" w:after="100" w:afterAutospacing="1"/>
              <w:rPr>
                <w:rFonts w:asciiTheme="minorHAnsi" w:hAnsiTheme="minorHAnsi"/>
              </w:rPr>
            </w:pPr>
          </w:p>
        </w:tc>
        <w:tc>
          <w:tcPr>
            <w:tcW w:w="1216" w:type="dxa"/>
            <w:vMerge/>
            <w:tcBorders>
              <w:top w:val="outset" w:sz="6" w:space="0" w:color="auto"/>
              <w:left w:val="outset" w:sz="6" w:space="0" w:color="auto"/>
              <w:bottom w:val="outset" w:sz="6" w:space="0" w:color="auto"/>
              <w:right w:val="outset" w:sz="6" w:space="0" w:color="auto"/>
            </w:tcBorders>
            <w:vAlign w:val="center"/>
            <w:hideMark/>
          </w:tcPr>
          <w:p w14:paraId="2FBB9827" w14:textId="77777777" w:rsidR="00DE2CA7" w:rsidRPr="005432E1" w:rsidRDefault="00DE2CA7" w:rsidP="00DE2CA7">
            <w:pPr>
              <w:rPr>
                <w:rFonts w:asciiTheme="minorHAnsi" w:hAnsiTheme="minorHAnsi"/>
              </w:rPr>
            </w:pPr>
          </w:p>
        </w:tc>
        <w:tc>
          <w:tcPr>
            <w:tcW w:w="1557" w:type="dxa"/>
            <w:vMerge/>
            <w:tcBorders>
              <w:top w:val="outset" w:sz="6" w:space="0" w:color="auto"/>
              <w:left w:val="outset" w:sz="6" w:space="0" w:color="auto"/>
              <w:bottom w:val="outset" w:sz="6" w:space="0" w:color="auto"/>
              <w:right w:val="outset" w:sz="6" w:space="0" w:color="auto"/>
            </w:tcBorders>
            <w:vAlign w:val="center"/>
            <w:hideMark/>
          </w:tcPr>
          <w:p w14:paraId="4AC8E164" w14:textId="77777777" w:rsidR="00DE2CA7" w:rsidRPr="005432E1" w:rsidRDefault="00DE2CA7" w:rsidP="00DE2CA7">
            <w:pPr>
              <w:rPr>
                <w:rFonts w:asciiTheme="minorHAnsi" w:hAnsiTheme="minorHAnsi"/>
              </w:rPr>
            </w:pPr>
          </w:p>
        </w:tc>
        <w:tc>
          <w:tcPr>
            <w:tcW w:w="2122" w:type="dxa"/>
            <w:vMerge/>
            <w:tcBorders>
              <w:top w:val="outset" w:sz="6" w:space="0" w:color="auto"/>
              <w:left w:val="outset" w:sz="6" w:space="0" w:color="auto"/>
              <w:bottom w:val="outset" w:sz="6" w:space="0" w:color="auto"/>
              <w:right w:val="outset" w:sz="6" w:space="0" w:color="auto"/>
            </w:tcBorders>
            <w:vAlign w:val="center"/>
            <w:hideMark/>
          </w:tcPr>
          <w:p w14:paraId="177B8F46" w14:textId="77777777" w:rsidR="00DE2CA7" w:rsidRPr="005432E1" w:rsidRDefault="00DE2CA7" w:rsidP="00DE2CA7">
            <w:pPr>
              <w:rPr>
                <w:rFonts w:asciiTheme="minorHAnsi" w:hAnsiTheme="minorHAnsi"/>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7A343104" w14:textId="77777777" w:rsidR="00DE2CA7" w:rsidRPr="005432E1" w:rsidRDefault="00DE2CA7" w:rsidP="00DE2CA7">
            <w:pPr>
              <w:rPr>
                <w:rFonts w:asciiTheme="minorHAnsi" w:hAnsiTheme="minorHAnsi"/>
              </w:rPr>
            </w:pPr>
          </w:p>
        </w:tc>
        <w:tc>
          <w:tcPr>
            <w:tcW w:w="1282" w:type="dxa"/>
            <w:vMerge/>
            <w:tcBorders>
              <w:top w:val="outset" w:sz="6" w:space="0" w:color="auto"/>
              <w:left w:val="outset" w:sz="6" w:space="0" w:color="auto"/>
              <w:bottom w:val="outset" w:sz="6" w:space="0" w:color="auto"/>
              <w:right w:val="outset" w:sz="6" w:space="0" w:color="auto"/>
            </w:tcBorders>
            <w:vAlign w:val="center"/>
            <w:hideMark/>
          </w:tcPr>
          <w:p w14:paraId="3F495652" w14:textId="77777777" w:rsidR="00DE2CA7" w:rsidRPr="005432E1" w:rsidRDefault="00DE2CA7" w:rsidP="00DE2CA7">
            <w:pPr>
              <w:rPr>
                <w:rFonts w:asciiTheme="minorHAnsi" w:hAnsiTheme="minorHAnsi"/>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7B8168F8" w14:textId="77777777" w:rsidR="00DE2CA7" w:rsidRPr="005432E1" w:rsidRDefault="00DE2CA7" w:rsidP="00DE2CA7">
            <w:pPr>
              <w:rPr>
                <w:rFonts w:asciiTheme="minorHAnsi" w:hAnsiTheme="minorHAnsi"/>
              </w:rPr>
            </w:pPr>
          </w:p>
        </w:tc>
      </w:tr>
      <w:tr w:rsidR="0026114A" w:rsidRPr="005432E1" w14:paraId="4C179E9F" w14:textId="77777777" w:rsidTr="00DE2CA7">
        <w:trPr>
          <w:tblCellSpacing w:w="0" w:type="dxa"/>
        </w:trPr>
        <w:tc>
          <w:tcPr>
            <w:tcW w:w="1470" w:type="dxa"/>
            <w:tcBorders>
              <w:top w:val="outset" w:sz="6" w:space="0" w:color="auto"/>
              <w:left w:val="outset" w:sz="6" w:space="0" w:color="auto"/>
              <w:bottom w:val="outset" w:sz="6" w:space="0" w:color="auto"/>
              <w:right w:val="outset" w:sz="6" w:space="0" w:color="auto"/>
            </w:tcBorders>
            <w:vAlign w:val="center"/>
            <w:hideMark/>
          </w:tcPr>
          <w:p w14:paraId="06919A9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Nº 9.496/97</w:t>
            </w:r>
          </w:p>
        </w:tc>
        <w:tc>
          <w:tcPr>
            <w:tcW w:w="1216" w:type="dxa"/>
            <w:tcBorders>
              <w:top w:val="outset" w:sz="6" w:space="0" w:color="auto"/>
              <w:left w:val="outset" w:sz="6" w:space="0" w:color="auto"/>
              <w:bottom w:val="outset" w:sz="6" w:space="0" w:color="auto"/>
              <w:right w:val="outset" w:sz="6" w:space="0" w:color="auto"/>
            </w:tcBorders>
            <w:vAlign w:val="center"/>
            <w:hideMark/>
          </w:tcPr>
          <w:p w14:paraId="1AE39F9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34.955,010</w:t>
            </w:r>
          </w:p>
        </w:tc>
        <w:tc>
          <w:tcPr>
            <w:tcW w:w="1557" w:type="dxa"/>
            <w:tcBorders>
              <w:top w:val="outset" w:sz="6" w:space="0" w:color="auto"/>
              <w:left w:val="outset" w:sz="6" w:space="0" w:color="auto"/>
              <w:bottom w:val="outset" w:sz="6" w:space="0" w:color="auto"/>
              <w:right w:val="outset" w:sz="6" w:space="0" w:color="auto"/>
            </w:tcBorders>
            <w:vAlign w:val="center"/>
            <w:hideMark/>
          </w:tcPr>
          <w:p w14:paraId="296F3C4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37.824,377</w:t>
            </w:r>
          </w:p>
        </w:tc>
        <w:tc>
          <w:tcPr>
            <w:tcW w:w="2122" w:type="dxa"/>
            <w:tcBorders>
              <w:top w:val="outset" w:sz="6" w:space="0" w:color="auto"/>
              <w:left w:val="outset" w:sz="6" w:space="0" w:color="auto"/>
              <w:bottom w:val="outset" w:sz="6" w:space="0" w:color="auto"/>
              <w:right w:val="outset" w:sz="6" w:space="0" w:color="auto"/>
            </w:tcBorders>
            <w:vAlign w:val="center"/>
            <w:hideMark/>
          </w:tcPr>
          <w:p w14:paraId="2B692FE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33.473,727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5EF01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36.257,128</w:t>
            </w:r>
          </w:p>
        </w:tc>
        <w:tc>
          <w:tcPr>
            <w:tcW w:w="1282" w:type="dxa"/>
            <w:tcBorders>
              <w:top w:val="outset" w:sz="6" w:space="0" w:color="auto"/>
              <w:left w:val="outset" w:sz="6" w:space="0" w:color="auto"/>
              <w:bottom w:val="outset" w:sz="6" w:space="0" w:color="auto"/>
              <w:right w:val="outset" w:sz="6" w:space="0" w:color="auto"/>
            </w:tcBorders>
            <w:vAlign w:val="center"/>
            <w:hideMark/>
          </w:tcPr>
          <w:p w14:paraId="3E2E111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-1.481,282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851FB0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-1.567,249</w:t>
            </w:r>
          </w:p>
        </w:tc>
      </w:tr>
      <w:tr w:rsidR="0026114A" w:rsidRPr="005432E1" w14:paraId="0955B2F7" w14:textId="77777777" w:rsidTr="00DE2CA7">
        <w:trPr>
          <w:tblCellSpacing w:w="0" w:type="dxa"/>
        </w:trPr>
        <w:tc>
          <w:tcPr>
            <w:tcW w:w="1470" w:type="dxa"/>
            <w:tcBorders>
              <w:top w:val="outset" w:sz="6" w:space="0" w:color="auto"/>
              <w:left w:val="outset" w:sz="6" w:space="0" w:color="auto"/>
              <w:bottom w:val="outset" w:sz="6" w:space="0" w:color="auto"/>
              <w:right w:val="outset" w:sz="6" w:space="0" w:color="auto"/>
            </w:tcBorders>
            <w:vAlign w:val="center"/>
            <w:hideMark/>
          </w:tcPr>
          <w:p w14:paraId="412D0F4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MP Nº 2.185/01</w:t>
            </w:r>
          </w:p>
        </w:tc>
        <w:tc>
          <w:tcPr>
            <w:tcW w:w="1216" w:type="dxa"/>
            <w:tcBorders>
              <w:top w:val="outset" w:sz="6" w:space="0" w:color="auto"/>
              <w:left w:val="outset" w:sz="6" w:space="0" w:color="auto"/>
              <w:bottom w:val="outset" w:sz="6" w:space="0" w:color="auto"/>
              <w:right w:val="outset" w:sz="6" w:space="0" w:color="auto"/>
            </w:tcBorders>
            <w:vAlign w:val="center"/>
            <w:hideMark/>
          </w:tcPr>
          <w:p w14:paraId="78AF141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5.686,902</w:t>
            </w:r>
          </w:p>
        </w:tc>
        <w:tc>
          <w:tcPr>
            <w:tcW w:w="1557" w:type="dxa"/>
            <w:tcBorders>
              <w:top w:val="outset" w:sz="6" w:space="0" w:color="auto"/>
              <w:left w:val="outset" w:sz="6" w:space="0" w:color="auto"/>
              <w:bottom w:val="outset" w:sz="6" w:space="0" w:color="auto"/>
              <w:right w:val="outset" w:sz="6" w:space="0" w:color="auto"/>
            </w:tcBorders>
            <w:vAlign w:val="center"/>
            <w:hideMark/>
          </w:tcPr>
          <w:p w14:paraId="6FA3A52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6.172,131</w:t>
            </w:r>
          </w:p>
        </w:tc>
        <w:tc>
          <w:tcPr>
            <w:tcW w:w="2122" w:type="dxa"/>
            <w:tcBorders>
              <w:top w:val="outset" w:sz="6" w:space="0" w:color="auto"/>
              <w:left w:val="outset" w:sz="6" w:space="0" w:color="auto"/>
              <w:bottom w:val="outset" w:sz="6" w:space="0" w:color="auto"/>
              <w:right w:val="outset" w:sz="6" w:space="0" w:color="auto"/>
            </w:tcBorders>
            <w:vAlign w:val="center"/>
            <w:hideMark/>
          </w:tcPr>
          <w:p w14:paraId="7402C1E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2.696,195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8D659F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2.829,810</w:t>
            </w:r>
          </w:p>
        </w:tc>
        <w:tc>
          <w:tcPr>
            <w:tcW w:w="1282" w:type="dxa"/>
            <w:tcBorders>
              <w:top w:val="outset" w:sz="6" w:space="0" w:color="auto"/>
              <w:left w:val="outset" w:sz="6" w:space="0" w:color="auto"/>
              <w:bottom w:val="outset" w:sz="6" w:space="0" w:color="auto"/>
              <w:right w:val="outset" w:sz="6" w:space="0" w:color="auto"/>
            </w:tcBorders>
            <w:vAlign w:val="center"/>
            <w:hideMark/>
          </w:tcPr>
          <w:p w14:paraId="424653D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-2.990,706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F0B234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-3.342,321</w:t>
            </w:r>
          </w:p>
        </w:tc>
      </w:tr>
    </w:tbl>
    <w:p w14:paraId="37BF627B" w14:textId="77777777" w:rsidR="006A51CD" w:rsidRPr="005432E1" w:rsidRDefault="00DE2CA7" w:rsidP="0001423A">
      <w:pPr>
        <w:spacing w:after="100" w:afterAutospacing="1"/>
        <w:rPr>
          <w:rFonts w:asciiTheme="minorHAnsi" w:hAnsiTheme="minorHAnsi"/>
          <w:sz w:val="20"/>
          <w:szCs w:val="20"/>
        </w:rPr>
      </w:pPr>
      <w:r w:rsidRPr="005432E1">
        <w:rPr>
          <w:rFonts w:asciiTheme="minorHAnsi" w:hAnsiTheme="minorHAnsi"/>
          <w:i/>
          <w:iCs/>
          <w:sz w:val="20"/>
          <w:szCs w:val="20"/>
        </w:rPr>
        <w:t>Obs: Esses valores correspondem a estimativas de recebimentos constantes nas Propostas Orçamentárias enviadas à SPOA/MF pela STN.</w:t>
      </w:r>
      <w:r w:rsidR="006A51CD" w:rsidRPr="005432E1">
        <w:rPr>
          <w:rFonts w:asciiTheme="minorHAnsi" w:hAnsiTheme="minorHAnsi"/>
          <w:i/>
          <w:iCs/>
          <w:sz w:val="20"/>
          <w:szCs w:val="20"/>
        </w:rPr>
        <w:t xml:space="preserve"> </w:t>
      </w:r>
      <w:r w:rsidR="006A51CD" w:rsidRPr="005432E1">
        <w:rPr>
          <w:rFonts w:asciiTheme="minorHAnsi" w:hAnsiTheme="minorHAnsi"/>
          <w:sz w:val="20"/>
          <w:szCs w:val="20"/>
        </w:rPr>
        <w:t>Fonte: COAFI/STN/MF.</w:t>
      </w:r>
    </w:p>
    <w:p w14:paraId="4431DDBA"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Relativamente à materialização dos riscos, em consonância com o descrito no parágrafo acima, destacamos que, com o advento da LC nº 156/16 e das medidas judiciais que a antecederam, os valores recebidos pela União passaram a ser regulados por aquela norma desde o segundo semestre de 2016, não havendo, portanto, no caso dos Estados, mais sentido de se efetuar comparações com a situação vigente sobre a égide da LC nº 148/2014.</w:t>
      </w:r>
    </w:p>
    <w:p w14:paraId="481408A1" w14:textId="5FAFFE83" w:rsid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Por sua vez, quanto aos Municípios, na Tabela </w:t>
      </w:r>
      <w:r w:rsidR="003E1319" w:rsidRPr="005432E1">
        <w:rPr>
          <w:rFonts w:asciiTheme="minorHAnsi" w:hAnsiTheme="minorHAnsi"/>
        </w:rPr>
        <w:t>4</w:t>
      </w:r>
      <w:r w:rsidR="00BB69B5" w:rsidRPr="005432E1">
        <w:rPr>
          <w:rFonts w:asciiTheme="minorHAnsi" w:hAnsiTheme="minorHAnsi"/>
        </w:rPr>
        <w:t>4</w:t>
      </w:r>
      <w:r w:rsidR="00DE2CA7" w:rsidRPr="005432E1">
        <w:rPr>
          <w:rFonts w:asciiTheme="minorHAnsi" w:hAnsiTheme="minorHAnsi"/>
        </w:rPr>
        <w:t xml:space="preserve"> é apresentada a materialização dos impactos decorrentes da referida LC para aqueles entes, em comparação com os riscos estimados anteriormente.</w:t>
      </w:r>
    </w:p>
    <w:p w14:paraId="7DC3D2CF" w14:textId="77777777" w:rsidR="005432E1" w:rsidRDefault="005432E1">
      <w:pPr>
        <w:rPr>
          <w:rFonts w:asciiTheme="minorHAnsi" w:hAnsiTheme="minorHAnsi"/>
        </w:rPr>
      </w:pPr>
      <w:r>
        <w:rPr>
          <w:rFonts w:asciiTheme="minorHAnsi" w:hAnsiTheme="minorHAnsi"/>
        </w:rPr>
        <w:br w:type="page"/>
      </w:r>
    </w:p>
    <w:p w14:paraId="5CD482EF" w14:textId="77777777" w:rsidR="00DE2CA7" w:rsidRPr="005432E1" w:rsidRDefault="00DE2CA7" w:rsidP="00DE2CA7">
      <w:pPr>
        <w:spacing w:before="100" w:beforeAutospacing="1" w:after="100" w:afterAutospacing="1"/>
        <w:jc w:val="both"/>
        <w:rPr>
          <w:rFonts w:asciiTheme="minorHAnsi" w:hAnsiTheme="minorHAnsi"/>
        </w:rPr>
      </w:pPr>
    </w:p>
    <w:p w14:paraId="0568590D" w14:textId="48214EC7"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Tabela 4</w:t>
      </w:r>
      <w:r w:rsidR="00BB69B5" w:rsidRPr="005432E1">
        <w:rPr>
          <w:rFonts w:asciiTheme="minorHAnsi" w:hAnsiTheme="minorHAnsi"/>
          <w:b/>
          <w:bCs/>
        </w:rPr>
        <w:t>4</w:t>
      </w:r>
      <w:r w:rsidRPr="005432E1">
        <w:rPr>
          <w:rFonts w:asciiTheme="minorHAnsi" w:hAnsiTheme="minorHAnsi"/>
          <w:b/>
          <w:bCs/>
        </w:rPr>
        <w:t>: Materialização dos riscos em 2017 - Impactos da LC nº 148/14 (R$ milhões)</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134"/>
        <w:gridCol w:w="1134"/>
        <w:gridCol w:w="1418"/>
        <w:gridCol w:w="2693"/>
        <w:gridCol w:w="1418"/>
      </w:tblGrid>
      <w:tr w:rsidR="0026114A" w:rsidRPr="005432E1" w14:paraId="4C03E152" w14:textId="77777777" w:rsidTr="00DE2CA7">
        <w:trPr>
          <w:tblCellSpacing w:w="0" w:type="dxa"/>
        </w:trPr>
        <w:tc>
          <w:tcPr>
            <w:tcW w:w="8923" w:type="dxa"/>
            <w:gridSpan w:val="6"/>
            <w:tcBorders>
              <w:top w:val="outset" w:sz="6" w:space="0" w:color="auto"/>
              <w:left w:val="outset" w:sz="6" w:space="0" w:color="auto"/>
              <w:bottom w:val="outset" w:sz="6" w:space="0" w:color="auto"/>
              <w:right w:val="outset" w:sz="6" w:space="0" w:color="auto"/>
            </w:tcBorders>
            <w:noWrap/>
            <w:vAlign w:val="center"/>
            <w:hideMark/>
          </w:tcPr>
          <w:p w14:paraId="0F2CFD7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Impacto sobre o fluxo da MP nº 2.185/01 devido à LC nº 148/14 - Municípios</w:t>
            </w:r>
          </w:p>
        </w:tc>
      </w:tr>
      <w:tr w:rsidR="0026114A" w:rsidRPr="005432E1" w14:paraId="49E5B56F" w14:textId="77777777" w:rsidTr="00DE2CA7">
        <w:trPr>
          <w:tblCellSpacing w:w="0" w:type="dxa"/>
        </w:trPr>
        <w:tc>
          <w:tcPr>
            <w:tcW w:w="1126" w:type="dxa"/>
            <w:tcBorders>
              <w:top w:val="outset" w:sz="6" w:space="0" w:color="auto"/>
              <w:left w:val="outset" w:sz="6" w:space="0" w:color="auto"/>
              <w:bottom w:val="outset" w:sz="6" w:space="0" w:color="auto"/>
              <w:right w:val="outset" w:sz="6" w:space="0" w:color="auto"/>
            </w:tcBorders>
            <w:noWrap/>
            <w:vAlign w:val="center"/>
            <w:hideMark/>
          </w:tcPr>
          <w:p w14:paraId="4BE7D7A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Previsto para 2016 (A)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84861A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Verificado em 2016 (B)</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BD8256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Diferença (B-A) (%)</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1E1FCE6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Previsto para 2017 (C)</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453E84D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Verificado em 2017 (D)</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0A7BC9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Diferença (D-C)</w:t>
            </w:r>
          </w:p>
        </w:tc>
      </w:tr>
      <w:tr w:rsidR="0026114A" w:rsidRPr="005432E1" w14:paraId="52307D0A" w14:textId="77777777" w:rsidTr="00DE2CA7">
        <w:trPr>
          <w:tblCellSpacing w:w="0" w:type="dxa"/>
        </w:trPr>
        <w:tc>
          <w:tcPr>
            <w:tcW w:w="1126" w:type="dxa"/>
            <w:tcBorders>
              <w:top w:val="outset" w:sz="6" w:space="0" w:color="auto"/>
              <w:left w:val="outset" w:sz="6" w:space="0" w:color="auto"/>
              <w:bottom w:val="outset" w:sz="6" w:space="0" w:color="auto"/>
              <w:right w:val="outset" w:sz="6" w:space="0" w:color="auto"/>
            </w:tcBorders>
            <w:noWrap/>
            <w:vAlign w:val="center"/>
            <w:hideMark/>
          </w:tcPr>
          <w:p w14:paraId="0C6E3AD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2.990,706</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BD429E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2.222,864</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559C2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-25,7%</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2F7D87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3.423,221</w:t>
            </w:r>
          </w:p>
        </w:tc>
        <w:tc>
          <w:tcPr>
            <w:tcW w:w="2693" w:type="dxa"/>
            <w:tcBorders>
              <w:top w:val="outset" w:sz="6" w:space="0" w:color="auto"/>
              <w:left w:val="outset" w:sz="6" w:space="0" w:color="auto"/>
              <w:bottom w:val="outset" w:sz="6" w:space="0" w:color="auto"/>
              <w:right w:val="outset" w:sz="6" w:space="0" w:color="auto"/>
            </w:tcBorders>
            <w:noWrap/>
            <w:vAlign w:val="center"/>
            <w:hideMark/>
          </w:tcPr>
          <w:p w14:paraId="7DBBCF4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2.297,365</w:t>
            </w:r>
          </w:p>
        </w:tc>
        <w:tc>
          <w:tcPr>
            <w:tcW w:w="1418" w:type="dxa"/>
            <w:tcBorders>
              <w:top w:val="outset" w:sz="6" w:space="0" w:color="auto"/>
              <w:left w:val="outset" w:sz="6" w:space="0" w:color="auto"/>
              <w:bottom w:val="outset" w:sz="6" w:space="0" w:color="auto"/>
              <w:right w:val="outset" w:sz="6" w:space="0" w:color="auto"/>
            </w:tcBorders>
            <w:noWrap/>
            <w:vAlign w:val="center"/>
            <w:hideMark/>
          </w:tcPr>
          <w:p w14:paraId="290C269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-32,9%</w:t>
            </w:r>
          </w:p>
        </w:tc>
      </w:tr>
    </w:tbl>
    <w:p w14:paraId="2939C5D8"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Para o caso da LC n</w:t>
      </w:r>
      <w:r w:rsidR="00DE2CA7" w:rsidRPr="005432E1">
        <w:rPr>
          <w:rFonts w:asciiTheme="minorHAnsi" w:hAnsiTheme="minorHAnsi"/>
          <w:vertAlign w:val="superscript"/>
        </w:rPr>
        <w:t>o</w:t>
      </w:r>
      <w:r w:rsidR="00DE2CA7" w:rsidRPr="005432E1">
        <w:rPr>
          <w:rFonts w:asciiTheme="minorHAnsi" w:hAnsiTheme="minorHAnsi"/>
        </w:rPr>
        <w:t xml:space="preserve"> 148/14, a medida de mitigação do risco aplicada foi o provisionamento em duas contas denominadas “Ajustes de Perdas de Créditos a Curto Prazo - Outros Ajustes de Perda em Empréstimos Concedidos”, uma para Estados e outra para Municípios, nos valores de R$ 907,9 milhões e R$ 491,8 milhões, respectivamente, em linha com o padrão do novo Plano de Contas – PCASP – conforme apresentado anteriormente na Tabela </w:t>
      </w:r>
      <w:r w:rsidR="003E1319" w:rsidRPr="005432E1">
        <w:rPr>
          <w:rFonts w:asciiTheme="minorHAnsi" w:hAnsiTheme="minorHAnsi"/>
        </w:rPr>
        <w:t>39</w:t>
      </w:r>
      <w:r w:rsidR="00DE2CA7" w:rsidRPr="005432E1">
        <w:rPr>
          <w:rFonts w:asciiTheme="minorHAnsi" w:hAnsiTheme="minorHAnsi"/>
        </w:rPr>
        <w:t>.</w:t>
      </w:r>
    </w:p>
    <w:p w14:paraId="2867C7D0"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6</w:t>
      </w:r>
      <w:r w:rsidRPr="005432E1">
        <w:rPr>
          <w:rFonts w:asciiTheme="minorHAnsi" w:hAnsiTheme="minorHAnsi"/>
          <w:b/>
          <w:bCs/>
        </w:rPr>
        <w:t xml:space="preserve">.2) </w:t>
      </w:r>
      <w:r w:rsidR="00DE2CA7" w:rsidRPr="005432E1">
        <w:rPr>
          <w:rFonts w:asciiTheme="minorHAnsi" w:hAnsiTheme="minorHAnsi"/>
          <w:b/>
          <w:bCs/>
        </w:rPr>
        <w:t>Lei Complementar n</w:t>
      </w:r>
      <w:r w:rsidR="00DE2CA7" w:rsidRPr="005432E1">
        <w:rPr>
          <w:rFonts w:asciiTheme="minorHAnsi" w:hAnsiTheme="minorHAnsi"/>
          <w:b/>
          <w:bCs/>
          <w:vertAlign w:val="superscript"/>
        </w:rPr>
        <w:t>o</w:t>
      </w:r>
      <w:r w:rsidR="00DE2CA7" w:rsidRPr="005432E1">
        <w:rPr>
          <w:rFonts w:asciiTheme="minorHAnsi" w:hAnsiTheme="minorHAnsi"/>
          <w:b/>
          <w:bCs/>
        </w:rPr>
        <w:t xml:space="preserve"> 156/16</w:t>
      </w:r>
    </w:p>
    <w:p w14:paraId="30692FF5"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Ao longo do período compreendido entre os meses de abril/2016 e junho/2016, 16 (dezesseis) Estados obtiveram junto ao Supremo Tribunal Federal-STF mandados de segurança que lhes permitiam efetuar os pagamentos devidos na forma da LC nº 148/2014, contudo calculados da forma que entendessem correta, e impediam a União de executar as garantias contratuais em caso de inadimplemento. Em 20/06/2016, a União e os Estados celebraram Acordo Federativo no qual ficou pactuado que se aplicariam às dívidas estaduais, em especial às obrigações daqueles que obtiveram mandados de segurança, as seguintes medidas:</w:t>
      </w:r>
    </w:p>
    <w:p w14:paraId="4E61A916"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Ampliação dos prazos originais para pagamento das dívidas em 240 meses adicionais;</w:t>
      </w:r>
    </w:p>
    <w:p w14:paraId="13A09E17"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Parcelamento em 24 meses, a partir de julho/2016, dos valores devidos e não pagos em razão de liminares concedidas pelo STF;</w:t>
      </w:r>
    </w:p>
    <w:p w14:paraId="13DD9DD1"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Carência integral para os pagamentos compreendidos no período de julho/2016 a dezembro/2016, limitado o desconto concedido a R$ 500 milhões;</w:t>
      </w:r>
    </w:p>
    <w:p w14:paraId="37FC1D03"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Aplicação de descontos decrescentes para os pagamentos compreendidos no período de janeiro/2017 a julho/2018;</w:t>
      </w:r>
    </w:p>
    <w:p w14:paraId="5DF1DDDF"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Incorporação ao saldo principal da dívida dos valores não pagos entre julho/2016 e junho/2018, decorrente da carência integral e parcial, e retomada da amortização integral a partir de julho/2018.</w:t>
      </w:r>
    </w:p>
    <w:p w14:paraId="22D98F6D" w14:textId="4CF66188" w:rsid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O principal impacto decorrente dos mandados de segurança e dos acordos no STF foi a redução da receita referente à Lei n</w:t>
      </w:r>
      <w:r w:rsidR="00DE2CA7" w:rsidRPr="005432E1">
        <w:rPr>
          <w:rFonts w:asciiTheme="minorHAnsi" w:hAnsiTheme="minorHAnsi"/>
          <w:vertAlign w:val="superscript"/>
        </w:rPr>
        <w:t>o</w:t>
      </w:r>
      <w:r w:rsidR="00DE2CA7" w:rsidRPr="005432E1">
        <w:rPr>
          <w:rFonts w:asciiTheme="minorHAnsi" w:hAnsiTheme="minorHAnsi"/>
        </w:rPr>
        <w:t xml:space="preserve"> 9.496/97 prevista para os exercícios de 2016 a 2018. A estimativa dos impactos decorrentes da implementação da LC n</w:t>
      </w:r>
      <w:r w:rsidR="00DE2CA7" w:rsidRPr="005432E1">
        <w:rPr>
          <w:rFonts w:asciiTheme="minorHAnsi" w:hAnsiTheme="minorHAnsi"/>
          <w:vertAlign w:val="superscript"/>
        </w:rPr>
        <w:t>o</w:t>
      </w:r>
      <w:r w:rsidR="00DE2CA7" w:rsidRPr="005432E1">
        <w:rPr>
          <w:rFonts w:asciiTheme="minorHAnsi" w:hAnsiTheme="minorHAnsi"/>
        </w:rPr>
        <w:t xml:space="preserve"> 156/16 (à época, denominado PLP n</w:t>
      </w:r>
      <w:r w:rsidR="00DE2CA7" w:rsidRPr="005432E1">
        <w:rPr>
          <w:rFonts w:asciiTheme="minorHAnsi" w:hAnsiTheme="minorHAnsi"/>
          <w:vertAlign w:val="superscript"/>
        </w:rPr>
        <w:t>o</w:t>
      </w:r>
      <w:r w:rsidR="00DE2CA7" w:rsidRPr="005432E1">
        <w:rPr>
          <w:rFonts w:asciiTheme="minorHAnsi" w:hAnsiTheme="minorHAnsi"/>
        </w:rPr>
        <w:t xml:space="preserve"> 257/16) face aos fluxos projetados com base nas condições da LC n</w:t>
      </w:r>
      <w:r w:rsidR="00DE2CA7" w:rsidRPr="005432E1">
        <w:rPr>
          <w:rFonts w:asciiTheme="minorHAnsi" w:hAnsiTheme="minorHAnsi"/>
          <w:vertAlign w:val="superscript"/>
        </w:rPr>
        <w:t>o</w:t>
      </w:r>
      <w:r w:rsidR="00DE2CA7" w:rsidRPr="005432E1">
        <w:rPr>
          <w:rFonts w:asciiTheme="minorHAnsi" w:hAnsiTheme="minorHAnsi"/>
        </w:rPr>
        <w:t xml:space="preserve"> 148/16, conforme informada em julho/2016 à SPOA/MF, é apresentada na Tabela </w:t>
      </w:r>
      <w:r w:rsidR="003E1319" w:rsidRPr="005432E1">
        <w:rPr>
          <w:rFonts w:asciiTheme="minorHAnsi" w:hAnsiTheme="minorHAnsi"/>
        </w:rPr>
        <w:t>4</w:t>
      </w:r>
      <w:r w:rsidR="00BB69B5" w:rsidRPr="005432E1">
        <w:rPr>
          <w:rFonts w:asciiTheme="minorHAnsi" w:hAnsiTheme="minorHAnsi"/>
        </w:rPr>
        <w:t>5</w:t>
      </w:r>
      <w:r w:rsidR="00DE2CA7" w:rsidRPr="005432E1">
        <w:rPr>
          <w:rFonts w:asciiTheme="minorHAnsi" w:hAnsiTheme="minorHAnsi"/>
        </w:rPr>
        <w:t>:</w:t>
      </w:r>
    </w:p>
    <w:p w14:paraId="23087CE5" w14:textId="77777777" w:rsidR="005432E1" w:rsidRDefault="005432E1">
      <w:pPr>
        <w:rPr>
          <w:rFonts w:asciiTheme="minorHAnsi" w:hAnsiTheme="minorHAnsi"/>
        </w:rPr>
      </w:pPr>
      <w:r>
        <w:rPr>
          <w:rFonts w:asciiTheme="minorHAnsi" w:hAnsiTheme="minorHAnsi"/>
        </w:rPr>
        <w:br w:type="page"/>
      </w:r>
    </w:p>
    <w:p w14:paraId="01379907" w14:textId="77777777" w:rsidR="00DE2CA7" w:rsidRPr="005432E1" w:rsidRDefault="00DE2CA7" w:rsidP="00DE2CA7">
      <w:pPr>
        <w:spacing w:before="100" w:beforeAutospacing="1" w:after="100" w:afterAutospacing="1"/>
        <w:jc w:val="both"/>
        <w:rPr>
          <w:rFonts w:asciiTheme="minorHAnsi" w:hAnsiTheme="minorHAnsi"/>
        </w:rPr>
      </w:pPr>
    </w:p>
    <w:p w14:paraId="0F601328" w14:textId="3A523E77"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BB69B5" w:rsidRPr="005432E1">
        <w:rPr>
          <w:rFonts w:asciiTheme="minorHAnsi" w:hAnsiTheme="minorHAnsi"/>
          <w:b/>
          <w:bCs/>
        </w:rPr>
        <w:t>5</w:t>
      </w:r>
      <w:r w:rsidRPr="005432E1">
        <w:rPr>
          <w:rFonts w:asciiTheme="minorHAnsi" w:hAnsiTheme="minorHAnsi"/>
          <w:b/>
          <w:bCs/>
        </w:rPr>
        <w:t>: Impacto no refinanciamento ao ampar</w:t>
      </w:r>
      <w:r w:rsidR="00886609" w:rsidRPr="005432E1">
        <w:rPr>
          <w:rFonts w:asciiTheme="minorHAnsi" w:hAnsiTheme="minorHAnsi"/>
          <w:b/>
          <w:bCs/>
        </w:rPr>
        <w:t>o da Lei nº 9.496/97 (</w:t>
      </w:r>
      <w:r w:rsidRPr="005432E1">
        <w:rPr>
          <w:rFonts w:asciiTheme="minorHAnsi" w:hAnsiTheme="minorHAnsi"/>
          <w:b/>
          <w:bCs/>
        </w:rPr>
        <w:t>R$ milhões)</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562"/>
        <w:gridCol w:w="2148"/>
        <w:gridCol w:w="2209"/>
      </w:tblGrid>
      <w:tr w:rsidR="0026114A" w:rsidRPr="005432E1" w14:paraId="632FE51D" w14:textId="77777777" w:rsidTr="00DE2CA7">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14:paraId="73CB8EB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CENÁRIOS LC Nº 148/2014 VERSUS PLC Nº 257/2016 </w:t>
            </w:r>
          </w:p>
        </w:tc>
      </w:tr>
      <w:tr w:rsidR="0026114A" w:rsidRPr="005432E1" w14:paraId="478F2FAB"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757E80" w14:textId="77777777" w:rsidR="00DE2CA7" w:rsidRPr="005432E1" w:rsidRDefault="00DE2CA7" w:rsidP="00DE2CA7">
            <w:pPr>
              <w:spacing w:before="100" w:beforeAutospacing="1" w:after="100" w:afterAutospacing="1"/>
              <w:rPr>
                <w:rFonts w:asciiTheme="minorHAnsi" w:hAnsiTheme="minorHAnsi"/>
              </w:rPr>
            </w:pPr>
          </w:p>
        </w:tc>
        <w:tc>
          <w:tcPr>
            <w:tcW w:w="0" w:type="auto"/>
            <w:gridSpan w:val="3"/>
            <w:tcBorders>
              <w:top w:val="outset" w:sz="6" w:space="0" w:color="auto"/>
              <w:left w:val="outset" w:sz="6" w:space="0" w:color="auto"/>
              <w:bottom w:val="outset" w:sz="6" w:space="0" w:color="auto"/>
              <w:right w:val="outset" w:sz="6" w:space="0" w:color="auto"/>
            </w:tcBorders>
            <w:noWrap/>
            <w:vAlign w:val="center"/>
            <w:hideMark/>
          </w:tcPr>
          <w:p w14:paraId="1982BCB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w:t>
            </w:r>
            <w:r w:rsidRPr="005432E1">
              <w:rPr>
                <w:rFonts w:asciiTheme="minorHAnsi" w:hAnsiTheme="minorHAnsi"/>
                <w:b/>
                <w:bCs/>
                <w:vertAlign w:val="superscript"/>
              </w:rPr>
              <w:t>o</w:t>
            </w:r>
            <w:r w:rsidRPr="005432E1">
              <w:rPr>
                <w:rFonts w:asciiTheme="minorHAnsi" w:hAnsiTheme="minorHAnsi"/>
                <w:b/>
                <w:bCs/>
              </w:rPr>
              <w:t xml:space="preserve"> 9.496/97</w:t>
            </w:r>
          </w:p>
        </w:tc>
      </w:tr>
      <w:tr w:rsidR="0026114A" w:rsidRPr="005432E1" w14:paraId="7C667A71"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2495E0" w14:textId="77777777" w:rsidR="00DE2CA7" w:rsidRPr="005432E1" w:rsidRDefault="00DE2CA7" w:rsidP="00DE2CA7">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969BA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LC N</w:t>
            </w:r>
            <w:r w:rsidRPr="005432E1">
              <w:rPr>
                <w:rFonts w:asciiTheme="minorHAnsi" w:hAnsiTheme="minorHAnsi"/>
                <w:b/>
                <w:bCs/>
                <w:vertAlign w:val="superscript"/>
              </w:rPr>
              <w:t>o</w:t>
            </w:r>
            <w:r w:rsidRPr="005432E1">
              <w:rPr>
                <w:rFonts w:asciiTheme="minorHAnsi" w:hAnsiTheme="minorHAnsi"/>
                <w:b/>
                <w:bCs/>
              </w:rPr>
              <w:t xml:space="preserve"> 148/2014 (A)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DE110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LC 156/2016 (B)</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3F748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IMPACTO (A - B)</w:t>
            </w:r>
          </w:p>
        </w:tc>
      </w:tr>
      <w:tr w:rsidR="0026114A" w:rsidRPr="005432E1" w14:paraId="2EE7BC9B"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27436C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2016 (jun a 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5BE7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17.206,656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8BD1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4.609,362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AEE6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12.597,293</w:t>
            </w:r>
          </w:p>
        </w:tc>
      </w:tr>
      <w:tr w:rsidR="0026114A" w:rsidRPr="005432E1" w14:paraId="35374C13"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3B57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8931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36.245,980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10BF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15.021,784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3E3C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21.224,196</w:t>
            </w:r>
          </w:p>
        </w:tc>
      </w:tr>
      <w:tr w:rsidR="0026114A" w:rsidRPr="005432E1" w14:paraId="2C7131B5"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56E408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D794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39.167,435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20E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28.831,531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AEC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10.335,903</w:t>
            </w:r>
          </w:p>
        </w:tc>
      </w:tr>
      <w:tr w:rsidR="0026114A" w:rsidRPr="005432E1" w14:paraId="154994DE"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D8CBAA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27B7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41.318,084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6ED9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32.409,309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60C7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8.908,774</w:t>
            </w:r>
          </w:p>
        </w:tc>
      </w:tr>
      <w:tr w:rsidR="0026114A" w:rsidRPr="005432E1" w14:paraId="64F30DC3" w14:textId="77777777" w:rsidTr="00DE2CA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2E0B56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B34F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133.938,155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AA7D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80.871,987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5B5F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53.066,168</w:t>
            </w:r>
          </w:p>
        </w:tc>
      </w:tr>
    </w:tbl>
    <w:p w14:paraId="5B63D8CA" w14:textId="00331CDF"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Por sua vez, na Tabela </w:t>
      </w:r>
      <w:r w:rsidR="003E1319" w:rsidRPr="005432E1">
        <w:rPr>
          <w:rFonts w:asciiTheme="minorHAnsi" w:hAnsiTheme="minorHAnsi"/>
        </w:rPr>
        <w:t>4</w:t>
      </w:r>
      <w:r w:rsidR="00BB69B5" w:rsidRPr="005432E1">
        <w:rPr>
          <w:rFonts w:asciiTheme="minorHAnsi" w:hAnsiTheme="minorHAnsi"/>
        </w:rPr>
        <w:t>6</w:t>
      </w:r>
      <w:r w:rsidR="00DE2CA7" w:rsidRPr="005432E1">
        <w:rPr>
          <w:rFonts w:asciiTheme="minorHAnsi" w:hAnsiTheme="minorHAnsi"/>
        </w:rPr>
        <w:t xml:space="preserve"> é apresentada a materialização dos impactos decorrentes da referida LC para os Estados, em comparação com os riscos estimados anteriormente.</w:t>
      </w:r>
    </w:p>
    <w:p w14:paraId="2080AD41" w14:textId="43E74EFC"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BB69B5" w:rsidRPr="005432E1">
        <w:rPr>
          <w:rFonts w:asciiTheme="minorHAnsi" w:hAnsiTheme="minorHAnsi"/>
          <w:b/>
          <w:bCs/>
        </w:rPr>
        <w:t>46</w:t>
      </w:r>
      <w:r w:rsidRPr="005432E1">
        <w:rPr>
          <w:rFonts w:asciiTheme="minorHAnsi" w:hAnsiTheme="minorHAnsi"/>
          <w:b/>
          <w:bCs/>
        </w:rPr>
        <w:t>: Materialização dos riscos em 2017 - Impactos da LC nº 156/16 (R$ milhões)</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3"/>
        <w:gridCol w:w="3453"/>
        <w:gridCol w:w="1974"/>
      </w:tblGrid>
      <w:tr w:rsidR="0026114A" w:rsidRPr="005432E1" w14:paraId="5FD4F97B" w14:textId="77777777" w:rsidTr="00DE2CA7">
        <w:trPr>
          <w:tblCellSpacing w:w="0" w:type="dxa"/>
        </w:trPr>
        <w:tc>
          <w:tcPr>
            <w:tcW w:w="0" w:type="auto"/>
            <w:gridSpan w:val="3"/>
            <w:tcBorders>
              <w:top w:val="outset" w:sz="6" w:space="0" w:color="auto"/>
              <w:left w:val="outset" w:sz="6" w:space="0" w:color="auto"/>
              <w:bottom w:val="outset" w:sz="6" w:space="0" w:color="auto"/>
              <w:right w:val="outset" w:sz="6" w:space="0" w:color="auto"/>
            </w:tcBorders>
            <w:noWrap/>
            <w:vAlign w:val="center"/>
            <w:hideMark/>
          </w:tcPr>
          <w:p w14:paraId="0383515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Impacto sobre o fluxo da Lei nº 9.496/97 devido aos efeitos da LC nº 156/16  - Estados</w:t>
            </w:r>
          </w:p>
        </w:tc>
      </w:tr>
      <w:tr w:rsidR="0026114A" w:rsidRPr="005432E1" w14:paraId="29B1CA39"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873D35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Previsto para 2016 - jun a dez (A)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7F09B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Verificado em 2016 - jun a dez (B)</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A4A74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Diferença (B-A) (%)</w:t>
            </w:r>
          </w:p>
        </w:tc>
      </w:tr>
      <w:tr w:rsidR="00DE2CA7" w:rsidRPr="005432E1" w14:paraId="4EBCA405"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4A7C37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12.597,293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02DFD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13.902,993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051D74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10,4%</w:t>
            </w:r>
          </w:p>
        </w:tc>
      </w:tr>
    </w:tbl>
    <w:p w14:paraId="35ED3CDE" w14:textId="77777777" w:rsidR="00DE2CA7" w:rsidRPr="005432E1" w:rsidRDefault="00DE2CA7" w:rsidP="00DE2CA7">
      <w:pPr>
        <w:rPr>
          <w:rFonts w:asciiTheme="minorHAnsi" w:hAnsiTheme="minorHAnsi"/>
          <w:vanish/>
        </w:rPr>
      </w:pP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2"/>
        <w:gridCol w:w="3160"/>
        <w:gridCol w:w="2628"/>
      </w:tblGrid>
      <w:tr w:rsidR="0026114A" w:rsidRPr="005432E1" w14:paraId="11F06596" w14:textId="77777777" w:rsidTr="00DE2CA7">
        <w:trPr>
          <w:tblCellSpacing w:w="0" w:type="dxa"/>
        </w:trPr>
        <w:tc>
          <w:tcPr>
            <w:tcW w:w="0" w:type="auto"/>
            <w:gridSpan w:val="3"/>
            <w:tcBorders>
              <w:top w:val="outset" w:sz="6" w:space="0" w:color="auto"/>
              <w:left w:val="outset" w:sz="6" w:space="0" w:color="auto"/>
              <w:bottom w:val="outset" w:sz="6" w:space="0" w:color="auto"/>
              <w:right w:val="outset" w:sz="6" w:space="0" w:color="auto"/>
            </w:tcBorders>
            <w:noWrap/>
            <w:vAlign w:val="center"/>
            <w:hideMark/>
          </w:tcPr>
          <w:p w14:paraId="6944DD7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Impacto sobre o fluxo da Lei nº 9.496/97 devido aos efeitos da LC nº 156/16  - Estados</w:t>
            </w:r>
          </w:p>
        </w:tc>
      </w:tr>
      <w:tr w:rsidR="0026114A" w:rsidRPr="005432E1" w14:paraId="56D15D01"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E75F90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Previsto para 2017 (C)</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DFF4C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Verificado em 2017 (D)</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0BDA78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Diferença (D-C) (%)</w:t>
            </w:r>
          </w:p>
        </w:tc>
      </w:tr>
      <w:tr w:rsidR="0026114A" w:rsidRPr="005432E1" w14:paraId="66B91110" w14:textId="77777777" w:rsidTr="00DE2CA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8E9E39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21.224,196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FCC740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21.899,625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8C843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3,2%</w:t>
            </w:r>
          </w:p>
        </w:tc>
      </w:tr>
    </w:tbl>
    <w:p w14:paraId="64D07FE8"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Para os impactos decorrentes da aplicação do disposto na LC n</w:t>
      </w:r>
      <w:r w:rsidR="00DE2CA7" w:rsidRPr="005432E1">
        <w:rPr>
          <w:rFonts w:asciiTheme="minorHAnsi" w:hAnsiTheme="minorHAnsi"/>
          <w:vertAlign w:val="superscript"/>
        </w:rPr>
        <w:t>o</w:t>
      </w:r>
      <w:r w:rsidR="00DE2CA7" w:rsidRPr="005432E1">
        <w:rPr>
          <w:rFonts w:asciiTheme="minorHAnsi" w:hAnsiTheme="minorHAnsi"/>
        </w:rPr>
        <w:t xml:space="preserve"> 156/16, as medidas de mitigação do risco não foram aplicadas, visto que as receitas previstas foram reestimadas em face, principalmente, do alongamento das dívidas em 240 meses adicionais.</w:t>
      </w:r>
    </w:p>
    <w:p w14:paraId="2DC7D31B"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b/>
          <w:bCs/>
        </w:rPr>
        <w:t>a.1.</w:t>
      </w:r>
      <w:r w:rsidR="00304CD1" w:rsidRPr="005432E1">
        <w:rPr>
          <w:rFonts w:asciiTheme="minorHAnsi" w:hAnsiTheme="minorHAnsi"/>
          <w:b/>
          <w:bCs/>
        </w:rPr>
        <w:t>6</w:t>
      </w:r>
      <w:r w:rsidRPr="005432E1">
        <w:rPr>
          <w:rFonts w:asciiTheme="minorHAnsi" w:hAnsiTheme="minorHAnsi"/>
          <w:b/>
          <w:bCs/>
        </w:rPr>
        <w:t xml:space="preserve">.3) </w:t>
      </w:r>
      <w:r w:rsidR="00DE2CA7" w:rsidRPr="005432E1">
        <w:rPr>
          <w:rFonts w:asciiTheme="minorHAnsi" w:hAnsiTheme="minorHAnsi"/>
          <w:b/>
          <w:bCs/>
        </w:rPr>
        <w:t>Lei Complementar nº 159/17 – Regime de Recuperação Fiscal</w:t>
      </w:r>
    </w:p>
    <w:p w14:paraId="65FA74E5"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O projeto de Lei que institui o Regime de Recuperação Fiscal para os Estados em situação de grave situação financeira permite, aos entes que aderirem às suas condições, carência integral de até 36 meses nos pagamentos destinados à União, e faculta a concessão de prazo adicional também de até 36 meses, para a recuperação do valor da prestação de forma gradual e linear. Como resultado da carência, estima-se que o impacto decorrente da implementação do Regime de Recuperação Fiscal será de até R$ 37,2 bilhões para os exercícios de 2017, 2018 e 2019, conforme Tabela </w:t>
      </w:r>
      <w:r w:rsidR="003E1319" w:rsidRPr="005432E1">
        <w:rPr>
          <w:rFonts w:asciiTheme="minorHAnsi" w:hAnsiTheme="minorHAnsi"/>
        </w:rPr>
        <w:t>46</w:t>
      </w:r>
      <w:r w:rsidR="00DE2CA7" w:rsidRPr="005432E1">
        <w:rPr>
          <w:rFonts w:asciiTheme="minorHAnsi" w:hAnsiTheme="minorHAnsi"/>
        </w:rPr>
        <w:t>.</w:t>
      </w:r>
    </w:p>
    <w:p w14:paraId="546356F9" w14:textId="1BCDE754"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BB69B5" w:rsidRPr="005432E1">
        <w:rPr>
          <w:rFonts w:asciiTheme="minorHAnsi" w:hAnsiTheme="minorHAnsi"/>
          <w:b/>
          <w:bCs/>
        </w:rPr>
        <w:t>7</w:t>
      </w:r>
      <w:r w:rsidRPr="005432E1">
        <w:rPr>
          <w:rFonts w:asciiTheme="minorHAnsi" w:hAnsiTheme="minorHAnsi"/>
          <w:b/>
          <w:bCs/>
        </w:rPr>
        <w:t xml:space="preserve"> - Estimativa de Impacto da LC 159/17 - Regime de Recuper</w:t>
      </w:r>
      <w:r w:rsidR="00886609" w:rsidRPr="005432E1">
        <w:rPr>
          <w:rFonts w:asciiTheme="minorHAnsi" w:hAnsiTheme="minorHAnsi"/>
          <w:b/>
          <w:bCs/>
        </w:rPr>
        <w:t>ação Fiscal (</w:t>
      </w:r>
      <w:r w:rsidRPr="005432E1">
        <w:rPr>
          <w:rFonts w:asciiTheme="minorHAnsi" w:hAnsiTheme="minorHAnsi"/>
          <w:b/>
          <w:bCs/>
        </w:rPr>
        <w:t>R$ milhões)</w:t>
      </w:r>
    </w:p>
    <w:tbl>
      <w:tblPr>
        <w:tblW w:w="92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62"/>
        <w:gridCol w:w="1225"/>
        <w:gridCol w:w="1275"/>
        <w:gridCol w:w="1276"/>
        <w:gridCol w:w="2347"/>
      </w:tblGrid>
      <w:tr w:rsidR="0026114A" w:rsidRPr="005432E1" w14:paraId="3DECCCD5" w14:textId="77777777" w:rsidTr="00DE2CA7">
        <w:trPr>
          <w:tblCellSpacing w:w="0" w:type="dxa"/>
        </w:trPr>
        <w:tc>
          <w:tcPr>
            <w:tcW w:w="3162" w:type="dxa"/>
            <w:tcBorders>
              <w:top w:val="outset" w:sz="6" w:space="0" w:color="auto"/>
              <w:left w:val="outset" w:sz="6" w:space="0" w:color="auto"/>
              <w:bottom w:val="outset" w:sz="6" w:space="0" w:color="auto"/>
              <w:right w:val="outset" w:sz="6" w:space="0" w:color="auto"/>
            </w:tcBorders>
            <w:vAlign w:val="center"/>
            <w:hideMark/>
          </w:tcPr>
          <w:p w14:paraId="020C69E0" w14:textId="77777777" w:rsidR="00DE2CA7" w:rsidRPr="005432E1" w:rsidRDefault="00DE2CA7" w:rsidP="00DE2CA7">
            <w:pPr>
              <w:spacing w:before="100" w:beforeAutospacing="1" w:after="100" w:afterAutospacing="1"/>
              <w:rPr>
                <w:rFonts w:asciiTheme="minorHAnsi" w:hAnsiTheme="minorHAnsi"/>
              </w:rPr>
            </w:pPr>
          </w:p>
        </w:tc>
        <w:tc>
          <w:tcPr>
            <w:tcW w:w="1225" w:type="dxa"/>
            <w:tcBorders>
              <w:top w:val="outset" w:sz="6" w:space="0" w:color="auto"/>
              <w:left w:val="outset" w:sz="6" w:space="0" w:color="auto"/>
              <w:bottom w:val="outset" w:sz="6" w:space="0" w:color="auto"/>
              <w:right w:val="outset" w:sz="6" w:space="0" w:color="auto"/>
            </w:tcBorders>
            <w:vAlign w:val="center"/>
            <w:hideMark/>
          </w:tcPr>
          <w:p w14:paraId="31465A9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30D3C4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2018</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DCD505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2019</w:t>
            </w:r>
          </w:p>
        </w:tc>
        <w:tc>
          <w:tcPr>
            <w:tcW w:w="2347" w:type="dxa"/>
            <w:tcBorders>
              <w:top w:val="outset" w:sz="6" w:space="0" w:color="auto"/>
              <w:left w:val="outset" w:sz="6" w:space="0" w:color="auto"/>
              <w:bottom w:val="outset" w:sz="6" w:space="0" w:color="auto"/>
              <w:right w:val="outset" w:sz="6" w:space="0" w:color="auto"/>
            </w:tcBorders>
            <w:vAlign w:val="center"/>
            <w:hideMark/>
          </w:tcPr>
          <w:p w14:paraId="28902BC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r>
      <w:tr w:rsidR="0026114A" w:rsidRPr="005432E1" w14:paraId="12F109AD" w14:textId="77777777" w:rsidTr="00DE2CA7">
        <w:trPr>
          <w:tblCellSpacing w:w="0" w:type="dxa"/>
        </w:trPr>
        <w:tc>
          <w:tcPr>
            <w:tcW w:w="3162" w:type="dxa"/>
            <w:tcBorders>
              <w:top w:val="outset" w:sz="6" w:space="0" w:color="auto"/>
              <w:left w:val="outset" w:sz="6" w:space="0" w:color="auto"/>
              <w:bottom w:val="outset" w:sz="6" w:space="0" w:color="auto"/>
              <w:right w:val="outset" w:sz="6" w:space="0" w:color="auto"/>
            </w:tcBorders>
            <w:vAlign w:val="center"/>
            <w:hideMark/>
          </w:tcPr>
          <w:p w14:paraId="407AE92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MINAS GERAIS</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64FA54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-2.307,078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885924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-4.834,764</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748973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-5.331,533</w:t>
            </w:r>
          </w:p>
        </w:tc>
        <w:tc>
          <w:tcPr>
            <w:tcW w:w="2347" w:type="dxa"/>
            <w:tcBorders>
              <w:top w:val="outset" w:sz="6" w:space="0" w:color="auto"/>
              <w:left w:val="outset" w:sz="6" w:space="0" w:color="auto"/>
              <w:bottom w:val="outset" w:sz="6" w:space="0" w:color="auto"/>
              <w:right w:val="outset" w:sz="6" w:space="0" w:color="auto"/>
            </w:tcBorders>
            <w:vAlign w:val="center"/>
            <w:hideMark/>
          </w:tcPr>
          <w:p w14:paraId="76DCE2A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-12.473,376</w:t>
            </w:r>
          </w:p>
        </w:tc>
      </w:tr>
      <w:tr w:rsidR="0026114A" w:rsidRPr="005432E1" w14:paraId="457B13BC" w14:textId="77777777" w:rsidTr="00DE2CA7">
        <w:trPr>
          <w:tblCellSpacing w:w="0" w:type="dxa"/>
        </w:trPr>
        <w:tc>
          <w:tcPr>
            <w:tcW w:w="3162" w:type="dxa"/>
            <w:tcBorders>
              <w:top w:val="outset" w:sz="6" w:space="0" w:color="auto"/>
              <w:left w:val="outset" w:sz="6" w:space="0" w:color="auto"/>
              <w:bottom w:val="outset" w:sz="6" w:space="0" w:color="auto"/>
              <w:right w:val="outset" w:sz="6" w:space="0" w:color="auto"/>
            </w:tcBorders>
            <w:vAlign w:val="center"/>
            <w:hideMark/>
          </w:tcPr>
          <w:p w14:paraId="440CEB0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RIO GRANDE DO SUL</w:t>
            </w:r>
          </w:p>
        </w:tc>
        <w:tc>
          <w:tcPr>
            <w:tcW w:w="1225" w:type="dxa"/>
            <w:tcBorders>
              <w:top w:val="outset" w:sz="6" w:space="0" w:color="auto"/>
              <w:left w:val="outset" w:sz="6" w:space="0" w:color="auto"/>
              <w:bottom w:val="outset" w:sz="6" w:space="0" w:color="auto"/>
              <w:right w:val="outset" w:sz="6" w:space="0" w:color="auto"/>
            </w:tcBorders>
            <w:vAlign w:val="center"/>
            <w:hideMark/>
          </w:tcPr>
          <w:p w14:paraId="3EA0E8F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-1.513,643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E1751B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-3.319,832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FA75DA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-3.656,701</w:t>
            </w:r>
          </w:p>
        </w:tc>
        <w:tc>
          <w:tcPr>
            <w:tcW w:w="2347" w:type="dxa"/>
            <w:tcBorders>
              <w:top w:val="outset" w:sz="6" w:space="0" w:color="auto"/>
              <w:left w:val="outset" w:sz="6" w:space="0" w:color="auto"/>
              <w:bottom w:val="outset" w:sz="6" w:space="0" w:color="auto"/>
              <w:right w:val="outset" w:sz="6" w:space="0" w:color="auto"/>
            </w:tcBorders>
            <w:vAlign w:val="center"/>
            <w:hideMark/>
          </w:tcPr>
          <w:p w14:paraId="72BFDC8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-8.490,176</w:t>
            </w:r>
          </w:p>
        </w:tc>
      </w:tr>
      <w:tr w:rsidR="0026114A" w:rsidRPr="005432E1" w14:paraId="24519B46" w14:textId="77777777" w:rsidTr="00DE2CA7">
        <w:trPr>
          <w:tblCellSpacing w:w="0" w:type="dxa"/>
        </w:trPr>
        <w:tc>
          <w:tcPr>
            <w:tcW w:w="3162" w:type="dxa"/>
            <w:tcBorders>
              <w:top w:val="outset" w:sz="6" w:space="0" w:color="auto"/>
              <w:left w:val="outset" w:sz="6" w:space="0" w:color="auto"/>
              <w:bottom w:val="outset" w:sz="6" w:space="0" w:color="auto"/>
              <w:right w:val="outset" w:sz="6" w:space="0" w:color="auto"/>
            </w:tcBorders>
            <w:vAlign w:val="center"/>
            <w:hideMark/>
          </w:tcPr>
          <w:p w14:paraId="1DB0E93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RIO DE JANEIRO</w:t>
            </w:r>
          </w:p>
        </w:tc>
        <w:tc>
          <w:tcPr>
            <w:tcW w:w="1225" w:type="dxa"/>
            <w:tcBorders>
              <w:top w:val="outset" w:sz="6" w:space="0" w:color="auto"/>
              <w:left w:val="outset" w:sz="6" w:space="0" w:color="auto"/>
              <w:bottom w:val="outset" w:sz="6" w:space="0" w:color="auto"/>
              <w:right w:val="outset" w:sz="6" w:space="0" w:color="auto"/>
            </w:tcBorders>
            <w:vAlign w:val="center"/>
            <w:hideMark/>
          </w:tcPr>
          <w:p w14:paraId="26F0B01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-3.159,357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AA1120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-6.405,492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03DEAB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-6.676,055</w:t>
            </w:r>
          </w:p>
        </w:tc>
        <w:tc>
          <w:tcPr>
            <w:tcW w:w="2347" w:type="dxa"/>
            <w:tcBorders>
              <w:top w:val="outset" w:sz="6" w:space="0" w:color="auto"/>
              <w:left w:val="outset" w:sz="6" w:space="0" w:color="auto"/>
              <w:bottom w:val="outset" w:sz="6" w:space="0" w:color="auto"/>
              <w:right w:val="outset" w:sz="6" w:space="0" w:color="auto"/>
            </w:tcBorders>
            <w:vAlign w:val="center"/>
            <w:hideMark/>
          </w:tcPr>
          <w:p w14:paraId="32633E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-16.240,906</w:t>
            </w:r>
          </w:p>
        </w:tc>
      </w:tr>
      <w:tr w:rsidR="0026114A" w:rsidRPr="005432E1" w14:paraId="5428FDE9" w14:textId="77777777" w:rsidTr="00DE2CA7">
        <w:trPr>
          <w:tblCellSpacing w:w="0" w:type="dxa"/>
        </w:trPr>
        <w:tc>
          <w:tcPr>
            <w:tcW w:w="3162" w:type="dxa"/>
            <w:tcBorders>
              <w:top w:val="outset" w:sz="6" w:space="0" w:color="auto"/>
              <w:left w:val="outset" w:sz="6" w:space="0" w:color="auto"/>
              <w:bottom w:val="outset" w:sz="6" w:space="0" w:color="auto"/>
              <w:right w:val="outset" w:sz="6" w:space="0" w:color="auto"/>
            </w:tcBorders>
            <w:vAlign w:val="center"/>
            <w:hideMark/>
          </w:tcPr>
          <w:p w14:paraId="69BE98A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FF24E4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-6.980,079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DB1C1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-14.560,089</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76A5E0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-15.664,291</w:t>
            </w:r>
          </w:p>
        </w:tc>
        <w:tc>
          <w:tcPr>
            <w:tcW w:w="2347" w:type="dxa"/>
            <w:tcBorders>
              <w:top w:val="outset" w:sz="6" w:space="0" w:color="auto"/>
              <w:left w:val="outset" w:sz="6" w:space="0" w:color="auto"/>
              <w:bottom w:val="outset" w:sz="6" w:space="0" w:color="auto"/>
              <w:right w:val="outset" w:sz="6" w:space="0" w:color="auto"/>
            </w:tcBorders>
            <w:vAlign w:val="center"/>
            <w:hideMark/>
          </w:tcPr>
          <w:p w14:paraId="56A6B2D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-37.204,460</w:t>
            </w:r>
          </w:p>
        </w:tc>
      </w:tr>
    </w:tbl>
    <w:p w14:paraId="43A1B8DF"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Para os impactos decorrentes da aplicação do disposto na LC n</w:t>
      </w:r>
      <w:r w:rsidR="00DE2CA7" w:rsidRPr="005432E1">
        <w:rPr>
          <w:rFonts w:asciiTheme="minorHAnsi" w:hAnsiTheme="minorHAnsi"/>
          <w:vertAlign w:val="superscript"/>
        </w:rPr>
        <w:t>o</w:t>
      </w:r>
      <w:r w:rsidR="00DE2CA7" w:rsidRPr="005432E1">
        <w:rPr>
          <w:rFonts w:asciiTheme="minorHAnsi" w:hAnsiTheme="minorHAnsi"/>
        </w:rPr>
        <w:t xml:space="preserve"> 159/17, as medidas de mitigação do risco não foram aplicadas, visto que as receitas previstas foram reestimadas com base na eventual perspectiva de adesão dos três Estados que constam na Tabela </w:t>
      </w:r>
      <w:r w:rsidR="003E1319" w:rsidRPr="005432E1">
        <w:rPr>
          <w:rFonts w:asciiTheme="minorHAnsi" w:hAnsiTheme="minorHAnsi"/>
        </w:rPr>
        <w:t>46</w:t>
      </w:r>
      <w:r w:rsidR="00DE2CA7" w:rsidRPr="005432E1">
        <w:rPr>
          <w:rFonts w:asciiTheme="minorHAnsi" w:hAnsiTheme="minorHAnsi"/>
        </w:rPr>
        <w:t>.</w:t>
      </w:r>
    </w:p>
    <w:p w14:paraId="2E3E2C10"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Quanto à materialização dos riscos relativos à implementação da referida LC, como apenas o Estado do Rio de Janeiro aderiu ao RRF, no mês de setembro/2017, entendemos ser ainda muito cedo para estimativa da referida materialização de riscos.</w:t>
      </w:r>
    </w:p>
    <w:p w14:paraId="222D2E9E" w14:textId="77777777"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b/>
          <w:bCs/>
        </w:rPr>
        <w:t>Riscos de não cumprimento pelos Estados dos pré-requisitos para adesão às condições da LC nº 156/16 e da LC nº 159/17 – Regime de Recuperação Fiscal</w:t>
      </w:r>
    </w:p>
    <w:p w14:paraId="3A621DD8" w14:textId="77777777"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Um dos pré-requisitos para que os Estados possam aderir às condições da LC nº 156/16 é a desistência das ações judiciais contra a União impetradas junto ao Superior Tribunal Federal – STF. Entretanto, apesar de grande parte dos Estados ter aderido às condições da referida LC no final de 2017, os mesmos dispõem do prazo de dois meses para a desistência das referidas ações judiciais. Caso isso não ocorra, os aditivos firmados com a União devem ser rescindidos, perdendo sua validade, o que implica em aumento dos valores devidos mensalmente pelos Estados. Em situações como essa, os Estados podem entrar com novas ações judiciais, implicando em potencial redução dos recebimentos previstos pela STN.</w:t>
      </w:r>
    </w:p>
    <w:p w14:paraId="611FB505" w14:textId="453031D8" w:rsidR="00DE2CA7" w:rsidRPr="005432E1" w:rsidRDefault="00DE2CA7" w:rsidP="00DE2CA7">
      <w:pPr>
        <w:spacing w:before="100" w:beforeAutospacing="1" w:after="100" w:afterAutospacing="1"/>
        <w:jc w:val="both"/>
        <w:rPr>
          <w:rFonts w:asciiTheme="minorHAnsi" w:hAnsiTheme="minorHAnsi"/>
        </w:rPr>
      </w:pPr>
      <w:r w:rsidRPr="005432E1">
        <w:rPr>
          <w:rFonts w:asciiTheme="minorHAnsi" w:hAnsiTheme="minorHAnsi"/>
        </w:rPr>
        <w:t xml:space="preserve">Na Tabela </w:t>
      </w:r>
      <w:r w:rsidR="003E1319" w:rsidRPr="005432E1">
        <w:rPr>
          <w:rFonts w:asciiTheme="minorHAnsi" w:hAnsiTheme="minorHAnsi"/>
        </w:rPr>
        <w:t>4</w:t>
      </w:r>
      <w:r w:rsidR="00BB69B5" w:rsidRPr="005432E1">
        <w:rPr>
          <w:rFonts w:asciiTheme="minorHAnsi" w:hAnsiTheme="minorHAnsi"/>
        </w:rPr>
        <w:t>8</w:t>
      </w:r>
      <w:r w:rsidRPr="005432E1">
        <w:rPr>
          <w:rFonts w:asciiTheme="minorHAnsi" w:hAnsiTheme="minorHAnsi"/>
        </w:rPr>
        <w:t xml:space="preserve"> </w:t>
      </w:r>
      <w:r w:rsidR="003E1319" w:rsidRPr="005432E1">
        <w:rPr>
          <w:rFonts w:asciiTheme="minorHAnsi" w:hAnsiTheme="minorHAnsi"/>
        </w:rPr>
        <w:t>são ap</w:t>
      </w:r>
      <w:r w:rsidRPr="005432E1">
        <w:rPr>
          <w:rFonts w:asciiTheme="minorHAnsi" w:hAnsiTheme="minorHAnsi"/>
        </w:rPr>
        <w:t>resentad</w:t>
      </w:r>
      <w:r w:rsidR="003E1319" w:rsidRPr="005432E1">
        <w:rPr>
          <w:rFonts w:asciiTheme="minorHAnsi" w:hAnsiTheme="minorHAnsi"/>
        </w:rPr>
        <w:t>os os valores</w:t>
      </w:r>
      <w:r w:rsidRPr="005432E1">
        <w:rPr>
          <w:rFonts w:asciiTheme="minorHAnsi" w:hAnsiTheme="minorHAnsi"/>
        </w:rPr>
        <w:t xml:space="preserve"> resumindo os montantes provisionados no Balanço Geral da União:</w:t>
      </w:r>
    </w:p>
    <w:p w14:paraId="18705A95" w14:textId="64F50B60"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4</w:t>
      </w:r>
      <w:r w:rsidR="00BB69B5" w:rsidRPr="005432E1">
        <w:rPr>
          <w:rFonts w:asciiTheme="minorHAnsi" w:hAnsiTheme="minorHAnsi"/>
          <w:b/>
          <w:bCs/>
        </w:rPr>
        <w:t>8</w:t>
      </w:r>
      <w:r w:rsidRPr="005432E1">
        <w:rPr>
          <w:rFonts w:asciiTheme="minorHAnsi" w:hAnsiTheme="minorHAnsi"/>
          <w:b/>
          <w:bCs/>
        </w:rPr>
        <w:t xml:space="preserve"> - Valores provisionados pela STN no Bal</w:t>
      </w:r>
      <w:r w:rsidR="00C40050" w:rsidRPr="005432E1">
        <w:rPr>
          <w:rFonts w:asciiTheme="minorHAnsi" w:hAnsiTheme="minorHAnsi"/>
          <w:b/>
          <w:bCs/>
        </w:rPr>
        <w:t>anço Geral da União (</w:t>
      </w:r>
      <w:r w:rsidRPr="005432E1">
        <w:rPr>
          <w:rFonts w:asciiTheme="minorHAnsi" w:hAnsiTheme="minorHAnsi"/>
          <w:b/>
          <w:bCs/>
        </w:rPr>
        <w:t>R$ milhões)</w:t>
      </w:r>
    </w:p>
    <w:tbl>
      <w:tblPr>
        <w:tblW w:w="5417" w:type="dxa"/>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5"/>
        <w:gridCol w:w="1396"/>
        <w:gridCol w:w="2096"/>
      </w:tblGrid>
      <w:tr w:rsidR="0026114A" w:rsidRPr="005432E1" w14:paraId="2AE71290" w14:textId="77777777" w:rsidTr="00C40050">
        <w:trPr>
          <w:tblCellSpacing w:w="0" w:type="dxa"/>
        </w:trPr>
        <w:tc>
          <w:tcPr>
            <w:tcW w:w="1985" w:type="dxa"/>
            <w:tcBorders>
              <w:top w:val="outset" w:sz="6" w:space="0" w:color="auto"/>
              <w:left w:val="outset" w:sz="6" w:space="0" w:color="auto"/>
              <w:bottom w:val="outset" w:sz="6" w:space="0" w:color="auto"/>
              <w:right w:val="outset" w:sz="6" w:space="0" w:color="auto"/>
            </w:tcBorders>
            <w:noWrap/>
            <w:vAlign w:val="center"/>
            <w:hideMark/>
          </w:tcPr>
          <w:p w14:paraId="294FD0D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Programa</w:t>
            </w:r>
          </w:p>
        </w:tc>
        <w:tc>
          <w:tcPr>
            <w:tcW w:w="1366" w:type="dxa"/>
            <w:tcBorders>
              <w:top w:val="outset" w:sz="6" w:space="0" w:color="auto"/>
              <w:left w:val="outset" w:sz="6" w:space="0" w:color="auto"/>
              <w:bottom w:val="outset" w:sz="6" w:space="0" w:color="auto"/>
              <w:right w:val="outset" w:sz="6" w:space="0" w:color="auto"/>
            </w:tcBorders>
            <w:noWrap/>
            <w:vAlign w:val="center"/>
            <w:hideMark/>
          </w:tcPr>
          <w:p w14:paraId="760B58E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dez/16</w:t>
            </w:r>
          </w:p>
        </w:tc>
        <w:tc>
          <w:tcPr>
            <w:tcW w:w="2066" w:type="dxa"/>
            <w:tcBorders>
              <w:top w:val="outset" w:sz="6" w:space="0" w:color="auto"/>
              <w:left w:val="outset" w:sz="6" w:space="0" w:color="auto"/>
              <w:bottom w:val="outset" w:sz="6" w:space="0" w:color="auto"/>
              <w:right w:val="outset" w:sz="6" w:space="0" w:color="auto"/>
            </w:tcBorders>
            <w:noWrap/>
            <w:vAlign w:val="center"/>
            <w:hideMark/>
          </w:tcPr>
          <w:p w14:paraId="2C5DF0A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dez/17</w:t>
            </w:r>
          </w:p>
        </w:tc>
      </w:tr>
      <w:tr w:rsidR="0026114A" w:rsidRPr="005432E1" w14:paraId="63E05985" w14:textId="77777777" w:rsidTr="00C40050">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hideMark/>
          </w:tcPr>
          <w:p w14:paraId="7DBFDF7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Ajuste de Perda para Crédito de Liquidação Duvidosa</w:t>
            </w:r>
          </w:p>
        </w:tc>
        <w:tc>
          <w:tcPr>
            <w:tcW w:w="1366" w:type="dxa"/>
            <w:tcBorders>
              <w:top w:val="outset" w:sz="6" w:space="0" w:color="auto"/>
              <w:left w:val="outset" w:sz="6" w:space="0" w:color="auto"/>
              <w:bottom w:val="outset" w:sz="6" w:space="0" w:color="auto"/>
              <w:right w:val="outset" w:sz="6" w:space="0" w:color="auto"/>
            </w:tcBorders>
            <w:noWrap/>
            <w:vAlign w:val="center"/>
            <w:hideMark/>
          </w:tcPr>
          <w:p w14:paraId="44EE0C6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26.734,80</w:t>
            </w:r>
          </w:p>
        </w:tc>
        <w:tc>
          <w:tcPr>
            <w:tcW w:w="2066" w:type="dxa"/>
            <w:tcBorders>
              <w:top w:val="outset" w:sz="6" w:space="0" w:color="auto"/>
              <w:left w:val="outset" w:sz="6" w:space="0" w:color="auto"/>
              <w:bottom w:val="outset" w:sz="6" w:space="0" w:color="auto"/>
              <w:right w:val="outset" w:sz="6" w:space="0" w:color="auto"/>
            </w:tcBorders>
            <w:noWrap/>
            <w:vAlign w:val="center"/>
            <w:hideMark/>
          </w:tcPr>
          <w:p w14:paraId="7B5E188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56.873,02</w:t>
            </w:r>
          </w:p>
        </w:tc>
      </w:tr>
      <w:tr w:rsidR="0026114A" w:rsidRPr="005432E1" w14:paraId="0C0498D0" w14:textId="77777777" w:rsidTr="00C40050">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hideMark/>
          </w:tcPr>
          <w:p w14:paraId="30D7390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Ajuste de Perdas de Empréstimos e Financiamentos concedidos - LC 148/2014</w:t>
            </w:r>
          </w:p>
        </w:tc>
        <w:tc>
          <w:tcPr>
            <w:tcW w:w="1366" w:type="dxa"/>
            <w:tcBorders>
              <w:top w:val="outset" w:sz="6" w:space="0" w:color="auto"/>
              <w:left w:val="outset" w:sz="6" w:space="0" w:color="auto"/>
              <w:bottom w:val="outset" w:sz="6" w:space="0" w:color="auto"/>
              <w:right w:val="outset" w:sz="6" w:space="0" w:color="auto"/>
            </w:tcBorders>
            <w:noWrap/>
            <w:vAlign w:val="center"/>
            <w:hideMark/>
          </w:tcPr>
          <w:p w14:paraId="4BB3A91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10.158,42</w:t>
            </w:r>
          </w:p>
        </w:tc>
        <w:tc>
          <w:tcPr>
            <w:tcW w:w="2066" w:type="dxa"/>
            <w:tcBorders>
              <w:top w:val="outset" w:sz="6" w:space="0" w:color="auto"/>
              <w:left w:val="outset" w:sz="6" w:space="0" w:color="auto"/>
              <w:bottom w:val="outset" w:sz="6" w:space="0" w:color="auto"/>
              <w:right w:val="outset" w:sz="6" w:space="0" w:color="auto"/>
            </w:tcBorders>
            <w:noWrap/>
            <w:vAlign w:val="center"/>
            <w:hideMark/>
          </w:tcPr>
          <w:p w14:paraId="466AD89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1.501,73</w:t>
            </w:r>
          </w:p>
        </w:tc>
      </w:tr>
      <w:tr w:rsidR="0026114A" w:rsidRPr="005432E1" w14:paraId="4C5C3115" w14:textId="77777777" w:rsidTr="00C40050">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hideMark/>
          </w:tcPr>
          <w:p w14:paraId="2767299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Provisão para Riscos Fiscais de Longo Prazo – Lei nº 8.727/1993</w:t>
            </w:r>
          </w:p>
        </w:tc>
        <w:tc>
          <w:tcPr>
            <w:tcW w:w="1366" w:type="dxa"/>
            <w:tcBorders>
              <w:top w:val="outset" w:sz="6" w:space="0" w:color="auto"/>
              <w:left w:val="outset" w:sz="6" w:space="0" w:color="auto"/>
              <w:bottom w:val="outset" w:sz="6" w:space="0" w:color="auto"/>
              <w:right w:val="outset" w:sz="6" w:space="0" w:color="auto"/>
            </w:tcBorders>
            <w:noWrap/>
            <w:vAlign w:val="center"/>
            <w:hideMark/>
          </w:tcPr>
          <w:p w14:paraId="3BB48C3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6.490,01</w:t>
            </w:r>
          </w:p>
        </w:tc>
        <w:tc>
          <w:tcPr>
            <w:tcW w:w="2066" w:type="dxa"/>
            <w:tcBorders>
              <w:top w:val="outset" w:sz="6" w:space="0" w:color="auto"/>
              <w:left w:val="outset" w:sz="6" w:space="0" w:color="auto"/>
              <w:bottom w:val="outset" w:sz="6" w:space="0" w:color="auto"/>
              <w:right w:val="outset" w:sz="6" w:space="0" w:color="auto"/>
            </w:tcBorders>
            <w:noWrap/>
            <w:vAlign w:val="center"/>
            <w:hideMark/>
          </w:tcPr>
          <w:p w14:paraId="18749A9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0,00</w:t>
            </w:r>
          </w:p>
        </w:tc>
      </w:tr>
    </w:tbl>
    <w:p w14:paraId="07D3C760" w14:textId="77777777" w:rsidR="00C40050" w:rsidRPr="005432E1" w:rsidRDefault="00C40050" w:rsidP="0001423A">
      <w:pPr>
        <w:spacing w:after="100" w:afterAutospacing="1"/>
        <w:rPr>
          <w:rFonts w:asciiTheme="minorHAnsi" w:hAnsiTheme="minorHAnsi"/>
          <w:sz w:val="20"/>
          <w:szCs w:val="20"/>
        </w:rPr>
      </w:pPr>
      <w:r w:rsidRPr="005432E1">
        <w:rPr>
          <w:rFonts w:asciiTheme="minorHAnsi" w:hAnsiTheme="minorHAnsi"/>
          <w:sz w:val="20"/>
          <w:szCs w:val="20"/>
        </w:rPr>
        <w:tab/>
      </w:r>
      <w:r w:rsidRPr="005432E1">
        <w:rPr>
          <w:rFonts w:asciiTheme="minorHAnsi" w:hAnsiTheme="minorHAnsi"/>
          <w:sz w:val="20"/>
          <w:szCs w:val="20"/>
        </w:rPr>
        <w:tab/>
      </w:r>
      <w:r w:rsidRPr="005432E1">
        <w:rPr>
          <w:rFonts w:asciiTheme="minorHAnsi" w:hAnsiTheme="minorHAnsi"/>
          <w:sz w:val="20"/>
          <w:szCs w:val="20"/>
        </w:rPr>
        <w:tab/>
        <w:t>Fonte: COAFI/STN/MF.</w:t>
      </w:r>
    </w:p>
    <w:p w14:paraId="2532B164" w14:textId="77777777" w:rsidR="0001423A" w:rsidRPr="005432E1" w:rsidRDefault="0001423A" w:rsidP="0001423A">
      <w:pPr>
        <w:spacing w:after="100" w:afterAutospacing="1"/>
        <w:rPr>
          <w:rFonts w:asciiTheme="minorHAnsi" w:hAnsiTheme="minorHAnsi"/>
          <w:sz w:val="20"/>
          <w:szCs w:val="20"/>
        </w:rPr>
      </w:pPr>
    </w:p>
    <w:p w14:paraId="6294720F" w14:textId="77777777" w:rsidR="00DE2CA7" w:rsidRPr="005432E1" w:rsidRDefault="00DE2CA7" w:rsidP="00DE2CA7">
      <w:pPr>
        <w:numPr>
          <w:ilvl w:val="0"/>
          <w:numId w:val="21"/>
        </w:numPr>
        <w:spacing w:before="100" w:beforeAutospacing="1" w:after="100" w:afterAutospacing="1"/>
        <w:jc w:val="both"/>
        <w:rPr>
          <w:rFonts w:asciiTheme="minorHAnsi" w:hAnsiTheme="minorHAnsi"/>
        </w:rPr>
      </w:pPr>
      <w:r w:rsidRPr="005432E1">
        <w:rPr>
          <w:rFonts w:asciiTheme="minorHAnsi" w:hAnsiTheme="minorHAnsi"/>
          <w:b/>
          <w:bCs/>
        </w:rPr>
        <w:t>Distinção entre os valores de estoque e fluxo apresentados</w:t>
      </w:r>
    </w:p>
    <w:p w14:paraId="73E88E86" w14:textId="64598C0B" w:rsidR="00DE2CA7" w:rsidRPr="005432E1" w:rsidRDefault="000B2753" w:rsidP="00DE2CA7">
      <w:pPr>
        <w:spacing w:before="100" w:beforeAutospacing="1" w:after="100" w:afterAutospacing="1"/>
        <w:jc w:val="both"/>
        <w:rPr>
          <w:rFonts w:asciiTheme="minorHAnsi" w:hAnsiTheme="minorHAnsi"/>
        </w:rPr>
      </w:pPr>
      <w:r w:rsidRPr="005432E1">
        <w:rPr>
          <w:rFonts w:asciiTheme="minorHAnsi" w:hAnsiTheme="minorHAnsi"/>
        </w:rPr>
        <w:tab/>
      </w:r>
      <w:r w:rsidR="00DE2CA7" w:rsidRPr="005432E1">
        <w:rPr>
          <w:rFonts w:asciiTheme="minorHAnsi" w:hAnsiTheme="minorHAnsi"/>
        </w:rPr>
        <w:t xml:space="preserve">Conforme apresentado a seguir, seguem as Tabelas </w:t>
      </w:r>
      <w:r w:rsidR="003E1319" w:rsidRPr="005432E1">
        <w:rPr>
          <w:rFonts w:asciiTheme="minorHAnsi" w:hAnsiTheme="minorHAnsi"/>
        </w:rPr>
        <w:t>4</w:t>
      </w:r>
      <w:r w:rsidR="00BB69B5" w:rsidRPr="005432E1">
        <w:rPr>
          <w:rFonts w:asciiTheme="minorHAnsi" w:hAnsiTheme="minorHAnsi"/>
        </w:rPr>
        <w:t>9</w:t>
      </w:r>
      <w:r w:rsidR="003E1319" w:rsidRPr="005432E1">
        <w:rPr>
          <w:rFonts w:asciiTheme="minorHAnsi" w:hAnsiTheme="minorHAnsi"/>
        </w:rPr>
        <w:t xml:space="preserve"> e </w:t>
      </w:r>
      <w:r w:rsidR="00BB69B5" w:rsidRPr="005432E1">
        <w:rPr>
          <w:rFonts w:asciiTheme="minorHAnsi" w:hAnsiTheme="minorHAnsi"/>
        </w:rPr>
        <w:t>50</w:t>
      </w:r>
      <w:r w:rsidR="00DE2CA7" w:rsidRPr="005432E1">
        <w:rPr>
          <w:rFonts w:asciiTheme="minorHAnsi" w:hAnsiTheme="minorHAnsi"/>
        </w:rPr>
        <w:t xml:space="preserve"> e seus respectivos gráficos discriminando as informações de estoque com posição de 31/12/2017 e 31/12/2016, bem como recebimentos (fluxo) referentes ao exercício de 2017 e 2016 para os créditos geridos pela STN.</w:t>
      </w:r>
    </w:p>
    <w:p w14:paraId="3BB0AC28" w14:textId="5A5E6E91"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BB69B5" w:rsidRPr="005432E1">
        <w:rPr>
          <w:rFonts w:asciiTheme="minorHAnsi" w:hAnsiTheme="minorHAnsi"/>
          <w:b/>
          <w:bCs/>
        </w:rPr>
        <w:t>49</w:t>
      </w:r>
      <w:r w:rsidRPr="005432E1">
        <w:rPr>
          <w:rFonts w:asciiTheme="minorHAnsi" w:hAnsiTheme="minorHAnsi"/>
          <w:b/>
          <w:bCs/>
        </w:rPr>
        <w:t>: Receitas administradas pela STN - Comparação Exercício 2017 versus Exercício 2016 (R$ milhões)</w:t>
      </w:r>
    </w:p>
    <w:tbl>
      <w:tblPr>
        <w:tblW w:w="105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9"/>
        <w:gridCol w:w="1921"/>
        <w:gridCol w:w="1936"/>
        <w:gridCol w:w="1574"/>
      </w:tblGrid>
      <w:tr w:rsidR="0026114A" w:rsidRPr="005432E1" w14:paraId="5CFE9A75" w14:textId="77777777" w:rsidTr="00F82FA1">
        <w:trPr>
          <w:tblCellSpacing w:w="0" w:type="dxa"/>
          <w:jc w:val="center"/>
        </w:trPr>
        <w:tc>
          <w:tcPr>
            <w:tcW w:w="10590" w:type="dxa"/>
            <w:gridSpan w:val="4"/>
            <w:tcBorders>
              <w:top w:val="outset" w:sz="6" w:space="0" w:color="auto"/>
              <w:left w:val="outset" w:sz="6" w:space="0" w:color="auto"/>
              <w:bottom w:val="outset" w:sz="6" w:space="0" w:color="auto"/>
              <w:right w:val="outset" w:sz="6" w:space="0" w:color="auto"/>
            </w:tcBorders>
            <w:noWrap/>
            <w:vAlign w:val="center"/>
            <w:hideMark/>
          </w:tcPr>
          <w:p w14:paraId="03C94F9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RECEITAS SOB GESTÃO DA STN </w:t>
            </w:r>
          </w:p>
        </w:tc>
      </w:tr>
      <w:tr w:rsidR="0026114A" w:rsidRPr="005432E1" w14:paraId="63346BA3"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2E78757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PROGRAMA</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5E3F0C7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dez/17 </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33CE91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dez/16 </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16B61AF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Variação %</w:t>
            </w:r>
          </w:p>
        </w:tc>
      </w:tr>
      <w:tr w:rsidR="0026114A" w:rsidRPr="005432E1" w14:paraId="2284178A"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6D122F1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Nº 9.496/97</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6DA6891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13.982,011</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28E6D0B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14.791,191</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39E1B25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-5,47%</w:t>
            </w:r>
          </w:p>
        </w:tc>
      </w:tr>
      <w:tr w:rsidR="0026114A" w:rsidRPr="005432E1" w14:paraId="3AB54C44"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4087D1B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Nº 8.727/93</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358619E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1.405,986</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749B74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1.715,398</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0AD223D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-18,04%</w:t>
            </w:r>
          </w:p>
        </w:tc>
      </w:tr>
      <w:tr w:rsidR="0026114A" w:rsidRPr="005432E1" w14:paraId="2501DC3B"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583B94C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MP 2.185</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00C7B2D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3.082,717</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0823E6E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2.877,785</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645ED44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7,12%</w:t>
            </w:r>
          </w:p>
        </w:tc>
      </w:tr>
      <w:tr w:rsidR="0026114A" w:rsidRPr="005432E1" w14:paraId="64DE9454"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536A82F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ROYALTIES</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382F657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1.455,968</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0D55873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1.630,604</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253106C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-10,71%</w:t>
            </w:r>
          </w:p>
        </w:tc>
      </w:tr>
      <w:tr w:rsidR="0026114A" w:rsidRPr="005432E1" w14:paraId="58B354FC"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49ED3AA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EMPRÉSTIMO BACEN / BANERJ</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2CEFCDD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442,152</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06B9962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1.406,285</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18C1AA6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-68,56%</w:t>
            </w:r>
          </w:p>
        </w:tc>
      </w:tr>
      <w:tr w:rsidR="0026114A" w:rsidRPr="005432E1" w14:paraId="17956EF0"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72D035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DMLP</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389D221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216,705</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7F324B7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239,406</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4786C08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-9,48%</w:t>
            </w:r>
          </w:p>
        </w:tc>
      </w:tr>
      <w:tr w:rsidR="0026114A" w:rsidRPr="005432E1" w14:paraId="076059E1"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5ACDA9E1"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CARTEIRA DE SANEAMENTO</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1EFAFB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129,997</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1D9014E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141,241</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3B7EB7D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-7,96%</w:t>
            </w:r>
          </w:p>
        </w:tc>
      </w:tr>
      <w:tr w:rsidR="0026114A" w:rsidRPr="005432E1" w14:paraId="1753F629"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1664AFE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PNAFE</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2FBC2BD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51,676</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60EAE6E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122,748</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2EA8A87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-57,90%</w:t>
            </w:r>
          </w:p>
        </w:tc>
      </w:tr>
      <w:tr w:rsidR="0026114A" w:rsidRPr="005432E1" w14:paraId="10E1B7E5"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0B17525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AC. BRASIL-FRANÇA</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18BDDBF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4,119</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46ABA9A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3,889</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42995F1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5,89%</w:t>
            </w:r>
          </w:p>
        </w:tc>
      </w:tr>
      <w:tr w:rsidR="0026114A" w:rsidRPr="005432E1" w14:paraId="64523664"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3E588B0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HONRA DE AVAL - OP. EXTERNA</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65DB812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237,328</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30F5E88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588,832</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64E5F0C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-59,70%</w:t>
            </w:r>
          </w:p>
        </w:tc>
      </w:tr>
      <w:tr w:rsidR="0026114A" w:rsidRPr="005432E1" w14:paraId="453C9B6F"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40FD741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HONRA DE AVAL - OP. INTERNA</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565B876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774,864</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106717C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1.424,906</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5E06C83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-45,62%</w:t>
            </w:r>
          </w:p>
        </w:tc>
      </w:tr>
      <w:tr w:rsidR="0026114A" w:rsidRPr="005432E1" w14:paraId="7416C932" w14:textId="77777777" w:rsidTr="00F82FA1">
        <w:trPr>
          <w:tblCellSpacing w:w="0" w:type="dxa"/>
          <w:jc w:val="center"/>
        </w:trPr>
        <w:tc>
          <w:tcPr>
            <w:tcW w:w="5249" w:type="dxa"/>
            <w:tcBorders>
              <w:top w:val="outset" w:sz="6" w:space="0" w:color="auto"/>
              <w:left w:val="outset" w:sz="6" w:space="0" w:color="auto"/>
              <w:bottom w:val="outset" w:sz="6" w:space="0" w:color="auto"/>
              <w:right w:val="outset" w:sz="6" w:space="0" w:color="auto"/>
            </w:tcBorders>
            <w:noWrap/>
            <w:vAlign w:val="center"/>
            <w:hideMark/>
          </w:tcPr>
          <w:p w14:paraId="4123D1E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1891" w:type="dxa"/>
            <w:tcBorders>
              <w:top w:val="outset" w:sz="6" w:space="0" w:color="auto"/>
              <w:left w:val="outset" w:sz="6" w:space="0" w:color="auto"/>
              <w:bottom w:val="outset" w:sz="6" w:space="0" w:color="auto"/>
              <w:right w:val="outset" w:sz="6" w:space="0" w:color="auto"/>
            </w:tcBorders>
            <w:noWrap/>
            <w:vAlign w:val="center"/>
            <w:hideMark/>
          </w:tcPr>
          <w:p w14:paraId="1638904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21.783,527</w:t>
            </w:r>
          </w:p>
        </w:tc>
        <w:tc>
          <w:tcPr>
            <w:tcW w:w="1906" w:type="dxa"/>
            <w:tcBorders>
              <w:top w:val="outset" w:sz="6" w:space="0" w:color="auto"/>
              <w:left w:val="outset" w:sz="6" w:space="0" w:color="auto"/>
              <w:bottom w:val="outset" w:sz="6" w:space="0" w:color="auto"/>
              <w:right w:val="outset" w:sz="6" w:space="0" w:color="auto"/>
            </w:tcBorders>
            <w:noWrap/>
            <w:vAlign w:val="center"/>
            <w:hideMark/>
          </w:tcPr>
          <w:p w14:paraId="13044D0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24.942,290</w:t>
            </w:r>
          </w:p>
        </w:tc>
        <w:tc>
          <w:tcPr>
            <w:tcW w:w="1544" w:type="dxa"/>
            <w:tcBorders>
              <w:top w:val="outset" w:sz="6" w:space="0" w:color="auto"/>
              <w:left w:val="outset" w:sz="6" w:space="0" w:color="auto"/>
              <w:bottom w:val="outset" w:sz="6" w:space="0" w:color="auto"/>
              <w:right w:val="outset" w:sz="6" w:space="0" w:color="auto"/>
            </w:tcBorders>
            <w:noWrap/>
            <w:vAlign w:val="center"/>
            <w:hideMark/>
          </w:tcPr>
          <w:p w14:paraId="270B35A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-12,66%</w:t>
            </w:r>
          </w:p>
        </w:tc>
      </w:tr>
    </w:tbl>
    <w:p w14:paraId="29316878" w14:textId="77777777" w:rsidR="00F82FA1" w:rsidRPr="005432E1" w:rsidRDefault="00F82FA1" w:rsidP="0001423A">
      <w:pPr>
        <w:spacing w:after="100" w:afterAutospacing="1"/>
        <w:rPr>
          <w:rFonts w:asciiTheme="minorHAnsi" w:hAnsiTheme="minorHAnsi"/>
          <w:sz w:val="20"/>
          <w:szCs w:val="20"/>
        </w:rPr>
      </w:pPr>
      <w:r w:rsidRPr="005432E1">
        <w:rPr>
          <w:rFonts w:asciiTheme="minorHAnsi" w:hAnsiTheme="minorHAnsi"/>
          <w:sz w:val="20"/>
          <w:szCs w:val="20"/>
        </w:rPr>
        <w:t>Fonte: COAFI/STN/MF.</w:t>
      </w:r>
    </w:p>
    <w:p w14:paraId="67818D3F" w14:textId="4FB88FDA" w:rsidR="003E1319" w:rsidRPr="005432E1" w:rsidRDefault="003E1319" w:rsidP="003E1319">
      <w:pPr>
        <w:spacing w:before="100" w:beforeAutospacing="1" w:after="100" w:afterAutospacing="1"/>
        <w:jc w:val="center"/>
        <w:rPr>
          <w:rFonts w:asciiTheme="minorHAnsi" w:hAnsiTheme="minorHAnsi"/>
          <w:b/>
        </w:rPr>
      </w:pPr>
      <w:r w:rsidRPr="005432E1">
        <w:rPr>
          <w:rFonts w:asciiTheme="minorHAnsi" w:hAnsiTheme="minorHAnsi"/>
          <w:b/>
        </w:rPr>
        <w:t xml:space="preserve">Gráfico </w:t>
      </w:r>
      <w:r w:rsidR="0072376F" w:rsidRPr="005432E1">
        <w:rPr>
          <w:rFonts w:asciiTheme="minorHAnsi" w:hAnsiTheme="minorHAnsi"/>
          <w:b/>
        </w:rPr>
        <w:t>7</w:t>
      </w:r>
      <w:r w:rsidRPr="005432E1">
        <w:rPr>
          <w:rFonts w:asciiTheme="minorHAnsi" w:hAnsiTheme="minorHAnsi"/>
          <w:b/>
        </w:rPr>
        <w:t xml:space="preserve"> – Recebimentos referentes aos créditos devidos por Estados e Municípios – Exercício de 2017 - STN</w:t>
      </w:r>
    </w:p>
    <w:p w14:paraId="701498EE" w14:textId="77777777" w:rsidR="007D513F" w:rsidRPr="005432E1" w:rsidRDefault="007D513F" w:rsidP="00DE2CA7">
      <w:pPr>
        <w:rPr>
          <w:rFonts w:asciiTheme="minorHAnsi" w:hAnsiTheme="minorHAnsi"/>
        </w:rPr>
      </w:pPr>
    </w:p>
    <w:p w14:paraId="613BC3A4" w14:textId="77777777" w:rsidR="007D513F" w:rsidRPr="005432E1" w:rsidRDefault="003E1319" w:rsidP="00DE2CA7">
      <w:pPr>
        <w:rPr>
          <w:rFonts w:asciiTheme="minorHAnsi" w:hAnsiTheme="minorHAnsi"/>
        </w:rPr>
      </w:pPr>
      <w:r w:rsidRPr="005432E1">
        <w:rPr>
          <w:rFonts w:asciiTheme="minorHAnsi" w:hAnsiTheme="minorHAnsi"/>
          <w:noProof/>
        </w:rPr>
        <w:drawing>
          <wp:inline distT="0" distB="0" distL="0" distR="0" wp14:anchorId="1A151ACF" wp14:editId="36B23278">
            <wp:extent cx="4445447" cy="2771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56514" cy="2778675"/>
                    </a:xfrm>
                    <a:prstGeom prst="rect">
                      <a:avLst/>
                    </a:prstGeom>
                  </pic:spPr>
                </pic:pic>
              </a:graphicData>
            </a:graphic>
          </wp:inline>
        </w:drawing>
      </w:r>
    </w:p>
    <w:p w14:paraId="67E1EADE" w14:textId="77777777" w:rsidR="0001423A" w:rsidRPr="005432E1" w:rsidRDefault="0001423A" w:rsidP="00DE2CA7">
      <w:pPr>
        <w:rPr>
          <w:rFonts w:asciiTheme="minorHAnsi" w:hAnsiTheme="minorHAnsi"/>
        </w:rPr>
      </w:pPr>
    </w:p>
    <w:p w14:paraId="60FC2FFF" w14:textId="77777777" w:rsidR="0001423A" w:rsidRPr="005432E1" w:rsidRDefault="0001423A" w:rsidP="00DE2CA7">
      <w:pPr>
        <w:rPr>
          <w:rFonts w:asciiTheme="minorHAnsi" w:hAnsiTheme="minorHAnsi"/>
        </w:rPr>
      </w:pPr>
    </w:p>
    <w:p w14:paraId="45CA3250" w14:textId="77777777" w:rsidR="0001423A" w:rsidRPr="005432E1" w:rsidRDefault="0001423A" w:rsidP="00DE2CA7">
      <w:pPr>
        <w:rPr>
          <w:rFonts w:asciiTheme="minorHAnsi" w:hAnsiTheme="minorHAnsi"/>
        </w:rPr>
      </w:pPr>
    </w:p>
    <w:p w14:paraId="78F8F762" w14:textId="17AC1E02" w:rsidR="005432E1" w:rsidRDefault="005432E1">
      <w:pPr>
        <w:rPr>
          <w:rFonts w:asciiTheme="minorHAnsi" w:hAnsiTheme="minorHAnsi"/>
        </w:rPr>
      </w:pPr>
      <w:r>
        <w:rPr>
          <w:rFonts w:asciiTheme="minorHAnsi" w:hAnsiTheme="minorHAnsi"/>
        </w:rPr>
        <w:br w:type="page"/>
      </w:r>
    </w:p>
    <w:p w14:paraId="4107EAC6" w14:textId="77777777" w:rsidR="0001423A" w:rsidRPr="005432E1" w:rsidRDefault="0001423A" w:rsidP="00DE2CA7">
      <w:pPr>
        <w:rPr>
          <w:rFonts w:asciiTheme="minorHAnsi" w:hAnsiTheme="minorHAnsi"/>
        </w:rPr>
      </w:pPr>
    </w:p>
    <w:p w14:paraId="4CCD5B0C" w14:textId="73C49214" w:rsidR="00DE2CA7" w:rsidRPr="005432E1" w:rsidRDefault="00DE2CA7" w:rsidP="00DE2CA7">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BB69B5" w:rsidRPr="005432E1">
        <w:rPr>
          <w:rFonts w:asciiTheme="minorHAnsi" w:hAnsiTheme="minorHAnsi"/>
          <w:b/>
          <w:bCs/>
        </w:rPr>
        <w:t>50</w:t>
      </w:r>
      <w:r w:rsidRPr="005432E1">
        <w:rPr>
          <w:rFonts w:asciiTheme="minorHAnsi" w:hAnsiTheme="minorHAnsi"/>
          <w:b/>
          <w:bCs/>
        </w:rPr>
        <w:t>: Estoque de créditos financeiros junto a Estados e Municípios</w:t>
      </w:r>
      <w:r w:rsidR="00F82FA1" w:rsidRPr="005432E1">
        <w:rPr>
          <w:rFonts w:asciiTheme="minorHAnsi" w:hAnsiTheme="minorHAnsi"/>
          <w:b/>
          <w:bCs/>
        </w:rPr>
        <w:t xml:space="preserve"> administrados pela STN (R$ milhões)</w:t>
      </w:r>
    </w:p>
    <w:tbl>
      <w:tblPr>
        <w:tblW w:w="886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2"/>
        <w:gridCol w:w="2177"/>
        <w:gridCol w:w="2177"/>
        <w:gridCol w:w="1791"/>
      </w:tblGrid>
      <w:tr w:rsidR="0026114A" w:rsidRPr="005432E1" w14:paraId="68682EDD" w14:textId="77777777" w:rsidTr="00F82FA1">
        <w:trPr>
          <w:tblCellSpacing w:w="0" w:type="dxa"/>
          <w:jc w:val="center"/>
        </w:trPr>
        <w:tc>
          <w:tcPr>
            <w:tcW w:w="8867" w:type="dxa"/>
            <w:gridSpan w:val="4"/>
            <w:tcBorders>
              <w:top w:val="outset" w:sz="6" w:space="0" w:color="auto"/>
              <w:left w:val="outset" w:sz="6" w:space="0" w:color="auto"/>
              <w:bottom w:val="outset" w:sz="6" w:space="0" w:color="auto"/>
              <w:right w:val="outset" w:sz="6" w:space="0" w:color="auto"/>
            </w:tcBorders>
            <w:noWrap/>
            <w:vAlign w:val="center"/>
            <w:hideMark/>
          </w:tcPr>
          <w:p w14:paraId="7D2AA77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 xml:space="preserve">EMPRÉSTIMOS E FINANCIAMENTOS - Dezembro/2017 - Dezembro/2016 </w:t>
            </w:r>
          </w:p>
        </w:tc>
      </w:tr>
      <w:tr w:rsidR="0026114A" w:rsidRPr="005432E1" w14:paraId="470F791C"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FDAC6F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PROGRAMA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11285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dez/17 (R$ milhões)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4637D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dez/16 (R$ milhões)</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78D9654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Variação %</w:t>
            </w:r>
          </w:p>
        </w:tc>
      </w:tr>
      <w:tr w:rsidR="0026114A" w:rsidRPr="005432E1" w14:paraId="44789939"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7A60E0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nº 9.496/97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875CB4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510.745,993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A03883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488.083,607</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548D1C0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4,64%</w:t>
            </w:r>
          </w:p>
        </w:tc>
      </w:tr>
      <w:tr w:rsidR="0026114A" w:rsidRPr="005432E1" w14:paraId="3DA15604"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19AFC6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MP nº 2.185/01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D17C9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31.752,968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A68FA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32.364,325</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0CE1630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-1,89%</w:t>
            </w:r>
          </w:p>
        </w:tc>
      </w:tr>
      <w:tr w:rsidR="0026114A" w:rsidRPr="005432E1" w14:paraId="29E011FE"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16DBA0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Lei nº 8.727/93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987ACC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9.735,316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FC850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11.347,150</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6688D1A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-14,20%</w:t>
            </w:r>
          </w:p>
        </w:tc>
      </w:tr>
      <w:tr w:rsidR="0026114A" w:rsidRPr="005432E1" w14:paraId="29EF8ED8"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1F0FB3"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BACEN-BANERJ</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6A9F20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16.851,324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B6287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15.394,838</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273B5318"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9,46%</w:t>
            </w:r>
          </w:p>
        </w:tc>
      </w:tr>
      <w:tr w:rsidR="0026114A" w:rsidRPr="005432E1" w14:paraId="6204C2C5"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647C71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ROYALTIES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AE8AC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2.226,541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0F266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3.404,209</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7140E7A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-34,59%</w:t>
            </w:r>
          </w:p>
        </w:tc>
      </w:tr>
      <w:tr w:rsidR="0026114A" w:rsidRPr="005432E1" w14:paraId="6215D6B4"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B0E13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DMLP</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BC2F0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5.105,746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640C4E"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5.057,173</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02390F8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0,96%</w:t>
            </w:r>
          </w:p>
        </w:tc>
      </w:tr>
      <w:tr w:rsidR="0026114A" w:rsidRPr="005432E1" w14:paraId="316FD90F"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ADAB2B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BNDES-CONTRATO 517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307534D"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13809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0,00</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763A30D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w:t>
            </w:r>
          </w:p>
        </w:tc>
      </w:tr>
      <w:tr w:rsidR="0026114A" w:rsidRPr="005432E1" w14:paraId="18B09A2B"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AE6D62A"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CART. DE SANEAMENTO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4B2C83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546,855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9B7162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621,885</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4FDAD1D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-12,06%</w:t>
            </w:r>
          </w:p>
        </w:tc>
      </w:tr>
      <w:tr w:rsidR="0026114A" w:rsidRPr="005432E1" w14:paraId="0DAB0DC1"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A172987"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PNAFE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A10BF0"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53E59B"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53,637</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339C490C"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-100,00%</w:t>
            </w:r>
          </w:p>
        </w:tc>
      </w:tr>
      <w:tr w:rsidR="0026114A" w:rsidRPr="005432E1" w14:paraId="6339B0FD"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63B6805"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ACORDO BRASIL-FRANÇA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128FE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12,524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26CBE9"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rPr>
              <w:t>14,286</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42697852"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-12,33%</w:t>
            </w:r>
          </w:p>
        </w:tc>
      </w:tr>
      <w:tr w:rsidR="0026114A" w:rsidRPr="005432E1" w14:paraId="5F4DC857" w14:textId="77777777" w:rsidTr="00F82F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747B386"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BEFEC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576.977,271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4230F4"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556.341,113</w:t>
            </w:r>
          </w:p>
        </w:tc>
        <w:tc>
          <w:tcPr>
            <w:tcW w:w="1635" w:type="dxa"/>
            <w:tcBorders>
              <w:top w:val="outset" w:sz="6" w:space="0" w:color="auto"/>
              <w:left w:val="outset" w:sz="6" w:space="0" w:color="auto"/>
              <w:bottom w:val="outset" w:sz="6" w:space="0" w:color="auto"/>
              <w:right w:val="outset" w:sz="6" w:space="0" w:color="auto"/>
            </w:tcBorders>
            <w:noWrap/>
            <w:vAlign w:val="center"/>
            <w:hideMark/>
          </w:tcPr>
          <w:p w14:paraId="0C5CCDBF" w14:textId="77777777" w:rsidR="00DE2CA7" w:rsidRPr="005432E1" w:rsidRDefault="00DE2CA7" w:rsidP="00DE2CA7">
            <w:pPr>
              <w:spacing w:before="100" w:beforeAutospacing="1" w:after="100" w:afterAutospacing="1"/>
              <w:rPr>
                <w:rFonts w:asciiTheme="minorHAnsi" w:hAnsiTheme="minorHAnsi"/>
              </w:rPr>
            </w:pPr>
            <w:r w:rsidRPr="005432E1">
              <w:rPr>
                <w:rFonts w:asciiTheme="minorHAnsi" w:hAnsiTheme="minorHAnsi"/>
                <w:b/>
                <w:bCs/>
              </w:rPr>
              <w:t>3,71%</w:t>
            </w:r>
          </w:p>
        </w:tc>
      </w:tr>
    </w:tbl>
    <w:p w14:paraId="460B9509" w14:textId="77777777" w:rsidR="00F82FA1" w:rsidRPr="005432E1" w:rsidRDefault="00F82FA1" w:rsidP="0001423A">
      <w:pPr>
        <w:spacing w:after="100" w:afterAutospacing="1"/>
        <w:rPr>
          <w:rFonts w:asciiTheme="minorHAnsi" w:hAnsiTheme="minorHAnsi"/>
          <w:sz w:val="20"/>
          <w:szCs w:val="20"/>
        </w:rPr>
      </w:pPr>
      <w:r w:rsidRPr="005432E1">
        <w:rPr>
          <w:rFonts w:asciiTheme="minorHAnsi" w:hAnsiTheme="minorHAnsi"/>
          <w:sz w:val="20"/>
          <w:szCs w:val="20"/>
        </w:rPr>
        <w:tab/>
        <w:t>Fonte: COAFI/STN/MF.</w:t>
      </w:r>
    </w:p>
    <w:p w14:paraId="26761EC8" w14:textId="46552881" w:rsidR="00C82D57" w:rsidRPr="005432E1" w:rsidRDefault="00C82D57" w:rsidP="00C82D57">
      <w:pPr>
        <w:spacing w:before="100" w:beforeAutospacing="1" w:after="100" w:afterAutospacing="1"/>
        <w:jc w:val="center"/>
        <w:rPr>
          <w:rFonts w:asciiTheme="minorHAnsi" w:hAnsiTheme="minorHAnsi"/>
          <w:b/>
        </w:rPr>
      </w:pPr>
      <w:r w:rsidRPr="005432E1">
        <w:rPr>
          <w:rFonts w:asciiTheme="minorHAnsi" w:hAnsiTheme="minorHAnsi"/>
          <w:b/>
        </w:rPr>
        <w:t xml:space="preserve">Gráfico </w:t>
      </w:r>
      <w:r w:rsidR="0072376F" w:rsidRPr="005432E1">
        <w:rPr>
          <w:rFonts w:asciiTheme="minorHAnsi" w:hAnsiTheme="minorHAnsi"/>
          <w:b/>
        </w:rPr>
        <w:t>8</w:t>
      </w:r>
      <w:r w:rsidRPr="005432E1">
        <w:rPr>
          <w:rFonts w:asciiTheme="minorHAnsi" w:hAnsiTheme="minorHAnsi"/>
          <w:b/>
        </w:rPr>
        <w:t xml:space="preserve"> – Distribuição dos créditos junto a Estados e Municípios administrados pela STN – Posição de 31/12/2017</w:t>
      </w:r>
    </w:p>
    <w:p w14:paraId="1C87B401" w14:textId="77777777" w:rsidR="007D513F" w:rsidRPr="005432E1" w:rsidRDefault="00C82D57" w:rsidP="00F82FA1">
      <w:pPr>
        <w:rPr>
          <w:rFonts w:asciiTheme="minorHAnsi" w:hAnsiTheme="minorHAnsi"/>
        </w:rPr>
      </w:pPr>
      <w:r w:rsidRPr="005432E1">
        <w:rPr>
          <w:rFonts w:asciiTheme="minorHAnsi" w:hAnsiTheme="minorHAnsi"/>
          <w:noProof/>
        </w:rPr>
        <w:drawing>
          <wp:inline distT="0" distB="0" distL="0" distR="0" wp14:anchorId="6D46F311" wp14:editId="55E7CC55">
            <wp:extent cx="5362575" cy="2722735"/>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73425" cy="2728244"/>
                    </a:xfrm>
                    <a:prstGeom prst="rect">
                      <a:avLst/>
                    </a:prstGeom>
                  </pic:spPr>
                </pic:pic>
              </a:graphicData>
            </a:graphic>
          </wp:inline>
        </w:drawing>
      </w:r>
    </w:p>
    <w:p w14:paraId="1D113992" w14:textId="77777777" w:rsidR="007D513F" w:rsidRPr="005432E1" w:rsidRDefault="007D513F" w:rsidP="00F82FA1">
      <w:pPr>
        <w:rPr>
          <w:rFonts w:asciiTheme="minorHAnsi" w:hAnsiTheme="minorHAnsi"/>
        </w:rPr>
      </w:pPr>
    </w:p>
    <w:p w14:paraId="38DA5A26" w14:textId="77777777" w:rsidR="007D513F" w:rsidRPr="005432E1" w:rsidRDefault="007D513F" w:rsidP="00F82FA1">
      <w:pPr>
        <w:rPr>
          <w:rFonts w:asciiTheme="minorHAnsi" w:hAnsiTheme="minorHAnsi"/>
        </w:rPr>
      </w:pPr>
    </w:p>
    <w:p w14:paraId="155DB67F" w14:textId="77777777" w:rsidR="0001423A" w:rsidRPr="005432E1" w:rsidRDefault="0001423A" w:rsidP="00F82FA1">
      <w:pPr>
        <w:rPr>
          <w:rFonts w:asciiTheme="minorHAnsi" w:hAnsiTheme="minorHAnsi"/>
        </w:rPr>
      </w:pPr>
    </w:p>
    <w:p w14:paraId="2BC141EB" w14:textId="77777777" w:rsidR="00F82FA1" w:rsidRPr="005432E1" w:rsidRDefault="007D513F" w:rsidP="00F82FA1">
      <w:pPr>
        <w:jc w:val="both"/>
        <w:rPr>
          <w:rFonts w:asciiTheme="minorHAnsi" w:hAnsiTheme="minorHAnsi"/>
        </w:rPr>
      </w:pPr>
      <w:r w:rsidRPr="005432E1">
        <w:rPr>
          <w:rFonts w:asciiTheme="minorHAnsi" w:hAnsiTheme="minorHAnsi"/>
        </w:rPr>
        <w:tab/>
        <w:t>P</w:t>
      </w:r>
      <w:r w:rsidR="00F82FA1" w:rsidRPr="005432E1">
        <w:rPr>
          <w:rFonts w:asciiTheme="minorHAnsi" w:hAnsiTheme="minorHAnsi"/>
        </w:rPr>
        <w:t>elo fato das receitas e despesas desses haveres serem financeiras, o impacto fiscal da realização a maior ou menor em relação ao previsto se dá exclusivamente nos indicadores de endividamento.</w:t>
      </w:r>
    </w:p>
    <w:p w14:paraId="300A8D3E" w14:textId="77777777" w:rsidR="002F5BE0" w:rsidRPr="005432E1" w:rsidRDefault="00DE2CA7" w:rsidP="002F5BE0">
      <w:pPr>
        <w:spacing w:before="100" w:beforeAutospacing="1" w:after="100" w:afterAutospacing="1"/>
        <w:jc w:val="both"/>
        <w:rPr>
          <w:rFonts w:asciiTheme="minorHAnsi" w:hAnsiTheme="minorHAnsi"/>
        </w:rPr>
      </w:pPr>
      <w:r w:rsidRPr="005432E1">
        <w:rPr>
          <w:rFonts w:asciiTheme="minorHAnsi" w:hAnsiTheme="minorHAnsi"/>
          <w:b/>
        </w:rPr>
        <w:t>3.2.5.2</w:t>
      </w:r>
      <w:r w:rsidR="002F5BE0" w:rsidRPr="005432E1">
        <w:rPr>
          <w:rFonts w:asciiTheme="minorHAnsi" w:hAnsiTheme="minorHAnsi"/>
          <w:b/>
        </w:rPr>
        <w:t xml:space="preserve"> </w:t>
      </w:r>
      <w:r w:rsidR="002F5BE0" w:rsidRPr="005432E1">
        <w:rPr>
          <w:rFonts w:asciiTheme="minorHAnsi" w:hAnsiTheme="minorHAnsi"/>
          <w:b/>
          <w:bCs/>
        </w:rPr>
        <w:t>Haveres Financeiros não Relacionados a Entes Federativos</w:t>
      </w:r>
    </w:p>
    <w:p w14:paraId="1FD95832" w14:textId="77777777" w:rsidR="004B1BFE" w:rsidRPr="005432E1" w:rsidRDefault="002F5BE0" w:rsidP="004B1BFE">
      <w:pPr>
        <w:spacing w:before="100" w:beforeAutospacing="1" w:after="100" w:afterAutospacing="1"/>
        <w:jc w:val="both"/>
        <w:rPr>
          <w:rFonts w:asciiTheme="minorHAnsi" w:hAnsiTheme="minorHAnsi"/>
        </w:rPr>
      </w:pPr>
      <w:r w:rsidRPr="005432E1">
        <w:rPr>
          <w:rFonts w:asciiTheme="minorHAnsi" w:hAnsiTheme="minorHAnsi"/>
        </w:rPr>
        <w:tab/>
        <w:t>Os haveres financeiros da União não relacionados a entes federativos podem ser classificados em quatro classes distintas conforme a norma ou ato que lhe deu origem, sendo elas:</w:t>
      </w:r>
    </w:p>
    <w:p w14:paraId="104B1127" w14:textId="77777777" w:rsidR="0001423A" w:rsidRPr="005432E1" w:rsidRDefault="0001423A" w:rsidP="004B1BFE">
      <w:pPr>
        <w:spacing w:before="100" w:beforeAutospacing="1" w:after="100" w:afterAutospacing="1"/>
        <w:jc w:val="both"/>
        <w:rPr>
          <w:rFonts w:asciiTheme="minorHAnsi" w:hAnsiTheme="minorHAnsi"/>
          <w:b/>
          <w:bCs/>
        </w:rPr>
      </w:pPr>
    </w:p>
    <w:p w14:paraId="70193361" w14:textId="77777777" w:rsidR="002F5BE0"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b/>
          <w:bCs/>
        </w:rPr>
        <w:t>(i</w:t>
      </w:r>
      <w:r w:rsidR="002F5BE0" w:rsidRPr="005432E1">
        <w:rPr>
          <w:rFonts w:asciiTheme="minorHAnsi" w:hAnsiTheme="minorHAnsi"/>
          <w:b/>
          <w:bCs/>
        </w:rPr>
        <w:t>) Haveres Originários de Órgãos, Entidades e Empresas Extintas</w:t>
      </w:r>
    </w:p>
    <w:p w14:paraId="11D4F971" w14:textId="77777777" w:rsidR="004B1BFE"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Em cumprimento ao disposto na Lei no 8.029, de 12 de abril de 1990, e Lei nº 11.483, de 31 de maio de 2007, a União deve suceder, nos seus direitos e obrigações, as entidades da Administração Pública Federal que venham a ser extintas ou dissolvidas em decorrência de norma legal, ato administrativo ou contrato. Por conseguinte, parte dos créditos oriundos de empresas extintas são controlados pela STN.</w:t>
      </w:r>
    </w:p>
    <w:p w14:paraId="3272186D" w14:textId="77777777" w:rsidR="002F5BE0"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b/>
          <w:bCs/>
        </w:rPr>
        <w:t>(ii</w:t>
      </w:r>
      <w:r w:rsidR="002F5BE0" w:rsidRPr="005432E1">
        <w:rPr>
          <w:rFonts w:asciiTheme="minorHAnsi" w:hAnsiTheme="minorHAnsi"/>
          <w:b/>
          <w:bCs/>
        </w:rPr>
        <w:t>) Haveres Originários de Operações Estruturadas</w:t>
      </w:r>
    </w:p>
    <w:p w14:paraId="5E1FE629" w14:textId="77777777" w:rsidR="004B1BFE"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Decorrem de operações realizadas entre a União e entidades públicas envolvendo, na maior parte das vezes, a aquisição de créditos mediante emissão de títulos representativos da Dívida Pública Mobiliária Federal.</w:t>
      </w:r>
    </w:p>
    <w:p w14:paraId="08CDA790" w14:textId="77777777" w:rsidR="002F5BE0"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b/>
          <w:bCs/>
        </w:rPr>
        <w:t>(iii</w:t>
      </w:r>
      <w:r w:rsidR="002F5BE0" w:rsidRPr="005432E1">
        <w:rPr>
          <w:rFonts w:asciiTheme="minorHAnsi" w:hAnsiTheme="minorHAnsi"/>
          <w:b/>
          <w:bCs/>
        </w:rPr>
        <w:t>) Haveres Originários de Legislação Específica</w:t>
      </w:r>
    </w:p>
    <w:p w14:paraId="54A1EBAB" w14:textId="77777777" w:rsidR="004B1BFE"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Configura-se como o grupamento de haveres mais relevante tanto em termos de saldo devedor, como no que se refere ao fluxo de arrecadação de juros e principal. Estão caracterizados dentro deste grupo, os contratos derivados de operações do Tesouro Nacional autorizadas em diversas legislações específicas.</w:t>
      </w:r>
    </w:p>
    <w:p w14:paraId="62DAED57" w14:textId="77777777" w:rsidR="002F5BE0" w:rsidRPr="005432E1" w:rsidRDefault="00F45BFA" w:rsidP="004B1BFE">
      <w:pPr>
        <w:spacing w:before="100" w:beforeAutospacing="1" w:after="100" w:afterAutospacing="1"/>
        <w:jc w:val="both"/>
        <w:rPr>
          <w:rFonts w:asciiTheme="minorHAnsi" w:hAnsiTheme="minorHAnsi"/>
        </w:rPr>
      </w:pPr>
      <w:r w:rsidRPr="005432E1">
        <w:rPr>
          <w:rFonts w:asciiTheme="minorHAnsi" w:hAnsiTheme="minorHAnsi"/>
          <w:b/>
          <w:bCs/>
        </w:rPr>
        <w:t>(iv</w:t>
      </w:r>
      <w:r w:rsidR="002F5BE0" w:rsidRPr="005432E1">
        <w:rPr>
          <w:rFonts w:asciiTheme="minorHAnsi" w:hAnsiTheme="minorHAnsi"/>
          <w:b/>
          <w:bCs/>
        </w:rPr>
        <w:t>) Haveres Originários do Crédito Rural</w:t>
      </w:r>
    </w:p>
    <w:p w14:paraId="03D003DE" w14:textId="77777777" w:rsidR="002F5BE0" w:rsidRPr="005432E1" w:rsidRDefault="004948D6"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Estão compreendidos no presente grupo, os haveres oriundos dos seguintes programas de crédito rural:</w:t>
      </w:r>
    </w:p>
    <w:p w14:paraId="5E310648" w14:textId="77777777" w:rsidR="002F5BE0" w:rsidRPr="005432E1" w:rsidRDefault="002F5BE0" w:rsidP="00F82FA1">
      <w:pPr>
        <w:numPr>
          <w:ilvl w:val="0"/>
          <w:numId w:val="22"/>
        </w:numPr>
        <w:tabs>
          <w:tab w:val="left" w:pos="1134"/>
        </w:tabs>
        <w:spacing w:before="100" w:beforeAutospacing="1" w:after="100" w:afterAutospacing="1"/>
        <w:ind w:left="1418" w:hanging="284"/>
        <w:jc w:val="both"/>
        <w:rPr>
          <w:rFonts w:asciiTheme="minorHAnsi" w:hAnsiTheme="minorHAnsi"/>
        </w:rPr>
      </w:pPr>
      <w:r w:rsidRPr="005432E1">
        <w:rPr>
          <w:rFonts w:asciiTheme="minorHAnsi" w:hAnsiTheme="minorHAnsi"/>
          <w:b/>
          <w:bCs/>
        </w:rPr>
        <w:t>Securitização</w:t>
      </w:r>
      <w:r w:rsidRPr="005432E1">
        <w:rPr>
          <w:rFonts w:asciiTheme="minorHAnsi" w:hAnsiTheme="minorHAnsi"/>
        </w:rPr>
        <w:t xml:space="preserve"> - créditos decorrentes de alongamento de dívidas no âmbito da Lei nº 9.138/1995 e da Resolução CMN nº 2.238/96, no valor de até R$ 200 mil por mutuário. Cumpre destacar que, em 2001, com a edição da Medida Provisória nº 2.196-3/2001, a União adquiriu as operações securitizadas que contaram com recursos do BNDES/Finame - Financiamento de Máquinas e Equipamentos. Além disso, foi assumido o risco das referidas operações que eram administradas pelo Banco do Brasil S.A. (BB);</w:t>
      </w:r>
    </w:p>
    <w:p w14:paraId="19CADF8F" w14:textId="77777777" w:rsidR="002F5BE0" w:rsidRPr="005432E1" w:rsidRDefault="002F5BE0" w:rsidP="0058374D">
      <w:pPr>
        <w:numPr>
          <w:ilvl w:val="0"/>
          <w:numId w:val="22"/>
        </w:numPr>
        <w:spacing w:before="100" w:beforeAutospacing="1" w:after="100" w:afterAutospacing="1"/>
        <w:ind w:left="1418" w:hanging="425"/>
        <w:jc w:val="both"/>
        <w:rPr>
          <w:rFonts w:asciiTheme="minorHAnsi" w:hAnsiTheme="minorHAnsi"/>
        </w:rPr>
      </w:pPr>
      <w:r w:rsidRPr="005432E1">
        <w:rPr>
          <w:rFonts w:asciiTheme="minorHAnsi" w:hAnsiTheme="minorHAnsi"/>
          <w:b/>
          <w:bCs/>
        </w:rPr>
        <w:t xml:space="preserve">Programa Especial de Saneamento de Ativos (Pesa) </w:t>
      </w:r>
      <w:r w:rsidRPr="005432E1">
        <w:rPr>
          <w:rFonts w:asciiTheme="minorHAnsi" w:hAnsiTheme="minorHAnsi"/>
        </w:rPr>
        <w:t>- operações oriundas da Resolução CMN nº 2.471/98, que estabeleceu as condições aplicáveis ao alongamento de dívidas originárias do crédito rural acima de R$ 200 mil. Inicialmente, tratava-se tão somente de créditos das instituições financeiras junto aos mutuários. Em 2001, com o advento da Medida Provisória nº 2.196-3/2001, a União adquiriu as operações do Pesa do Banco do Brasil.</w:t>
      </w:r>
    </w:p>
    <w:p w14:paraId="458FEB08" w14:textId="77777777" w:rsidR="005432E1" w:rsidRDefault="005432E1">
      <w:pPr>
        <w:rPr>
          <w:rFonts w:asciiTheme="minorHAnsi" w:hAnsiTheme="minorHAnsi"/>
          <w:b/>
          <w:bCs/>
        </w:rPr>
      </w:pPr>
      <w:r>
        <w:rPr>
          <w:rFonts w:asciiTheme="minorHAnsi" w:hAnsiTheme="minorHAnsi"/>
          <w:b/>
          <w:bCs/>
        </w:rPr>
        <w:br w:type="page"/>
      </w:r>
    </w:p>
    <w:p w14:paraId="16EF3DE7" w14:textId="67C682AC" w:rsidR="002F5BE0" w:rsidRPr="005432E1" w:rsidRDefault="002F5BE0" w:rsidP="002F5BE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5</w:t>
      </w:r>
      <w:r w:rsidR="00BB69B5" w:rsidRPr="005432E1">
        <w:rPr>
          <w:rFonts w:asciiTheme="minorHAnsi" w:hAnsiTheme="minorHAnsi"/>
          <w:b/>
          <w:bCs/>
        </w:rPr>
        <w:t>1</w:t>
      </w:r>
      <w:r w:rsidRPr="005432E1">
        <w:rPr>
          <w:rFonts w:asciiTheme="minorHAnsi" w:hAnsiTheme="minorHAnsi"/>
          <w:b/>
          <w:bCs/>
        </w:rPr>
        <w:t xml:space="preserve"> - Haveres Financeiros não relacionados a entes federativos – Estoque em 2017 e fluxos previst</w:t>
      </w:r>
      <w:r w:rsidR="00D50BF9" w:rsidRPr="005432E1">
        <w:rPr>
          <w:rFonts w:asciiTheme="minorHAnsi" w:hAnsiTheme="minorHAnsi"/>
          <w:b/>
          <w:bCs/>
        </w:rPr>
        <w:t>os para 2018 e 2019 (</w:t>
      </w:r>
      <w:r w:rsidRPr="005432E1">
        <w:rPr>
          <w:rFonts w:asciiTheme="minorHAnsi" w:hAnsiTheme="minorHAnsi"/>
          <w:b/>
          <w:bCs/>
        </w:rPr>
        <w:t>R$ milhões)</w:t>
      </w:r>
    </w:p>
    <w:tbl>
      <w:tblPr>
        <w:tblW w:w="8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244"/>
        <w:gridCol w:w="1341"/>
        <w:gridCol w:w="1791"/>
      </w:tblGrid>
      <w:tr w:rsidR="0026114A" w:rsidRPr="005432E1" w14:paraId="5AF9D004" w14:textId="77777777" w:rsidTr="00A80D8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73268F4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Classe</w:t>
            </w:r>
          </w:p>
        </w:tc>
        <w:tc>
          <w:tcPr>
            <w:tcW w:w="2214" w:type="dxa"/>
            <w:vMerge w:val="restart"/>
            <w:tcBorders>
              <w:top w:val="outset" w:sz="6" w:space="0" w:color="auto"/>
              <w:left w:val="outset" w:sz="6" w:space="0" w:color="auto"/>
              <w:bottom w:val="outset" w:sz="6" w:space="0" w:color="auto"/>
              <w:right w:val="outset" w:sz="6" w:space="0" w:color="auto"/>
            </w:tcBorders>
            <w:noWrap/>
            <w:vAlign w:val="center"/>
            <w:hideMark/>
          </w:tcPr>
          <w:p w14:paraId="2954424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Saldo em 31/12/2017</w:t>
            </w:r>
          </w:p>
        </w:tc>
        <w:tc>
          <w:tcPr>
            <w:tcW w:w="3072" w:type="dxa"/>
            <w:gridSpan w:val="2"/>
            <w:tcBorders>
              <w:top w:val="outset" w:sz="6" w:space="0" w:color="auto"/>
              <w:left w:val="outset" w:sz="6" w:space="0" w:color="auto"/>
              <w:bottom w:val="outset" w:sz="6" w:space="0" w:color="auto"/>
              <w:right w:val="outset" w:sz="6" w:space="0" w:color="auto"/>
            </w:tcBorders>
            <w:noWrap/>
            <w:vAlign w:val="center"/>
            <w:hideMark/>
          </w:tcPr>
          <w:p w14:paraId="207F9EB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Fluxo de recebimentos previsto</w:t>
            </w:r>
          </w:p>
        </w:tc>
      </w:tr>
      <w:tr w:rsidR="0026114A" w:rsidRPr="005432E1" w14:paraId="20F60791" w14:textId="77777777" w:rsidTr="00A80D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DFFFF" w14:textId="77777777" w:rsidR="002F5BE0" w:rsidRPr="005432E1" w:rsidRDefault="002F5BE0" w:rsidP="00A80D84">
            <w:pPr>
              <w:rPr>
                <w:rFonts w:asciiTheme="minorHAnsi" w:hAnsiTheme="minorHAnsi"/>
              </w:rPr>
            </w:pPr>
          </w:p>
        </w:tc>
        <w:tc>
          <w:tcPr>
            <w:tcW w:w="2214" w:type="dxa"/>
            <w:vMerge/>
            <w:tcBorders>
              <w:top w:val="outset" w:sz="6" w:space="0" w:color="auto"/>
              <w:left w:val="outset" w:sz="6" w:space="0" w:color="auto"/>
              <w:bottom w:val="outset" w:sz="6" w:space="0" w:color="auto"/>
              <w:right w:val="outset" w:sz="6" w:space="0" w:color="auto"/>
            </w:tcBorders>
            <w:vAlign w:val="center"/>
            <w:hideMark/>
          </w:tcPr>
          <w:p w14:paraId="7A42AB9B" w14:textId="77777777" w:rsidR="002F5BE0" w:rsidRPr="005432E1" w:rsidRDefault="002F5BE0" w:rsidP="00A80D84">
            <w:pPr>
              <w:rPr>
                <w:rFonts w:asciiTheme="minorHAnsi" w:hAnsiTheme="minorHAnsi"/>
              </w:rPr>
            </w:pP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6ABE4E9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2018</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21D91B3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2019</w:t>
            </w:r>
          </w:p>
        </w:tc>
      </w:tr>
      <w:tr w:rsidR="0026114A" w:rsidRPr="005432E1" w14:paraId="41D11389"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98CFF7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EMPRESAS EXTINTAS</w:t>
            </w:r>
          </w:p>
        </w:tc>
        <w:tc>
          <w:tcPr>
            <w:tcW w:w="2214" w:type="dxa"/>
            <w:tcBorders>
              <w:top w:val="outset" w:sz="6" w:space="0" w:color="auto"/>
              <w:left w:val="outset" w:sz="6" w:space="0" w:color="auto"/>
              <w:bottom w:val="outset" w:sz="6" w:space="0" w:color="auto"/>
              <w:right w:val="outset" w:sz="6" w:space="0" w:color="auto"/>
            </w:tcBorders>
            <w:noWrap/>
            <w:vAlign w:val="center"/>
            <w:hideMark/>
          </w:tcPr>
          <w:p w14:paraId="513093FA"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18,034</w:t>
            </w: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4FA9B64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7,530</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3CC3E26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1,129</w:t>
            </w:r>
          </w:p>
        </w:tc>
      </w:tr>
      <w:tr w:rsidR="0026114A" w:rsidRPr="005432E1" w14:paraId="60EF3CA7"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CE7364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OPERAÇÕES ESTRUTURADAS</w:t>
            </w:r>
          </w:p>
        </w:tc>
        <w:tc>
          <w:tcPr>
            <w:tcW w:w="2214" w:type="dxa"/>
            <w:tcBorders>
              <w:top w:val="outset" w:sz="6" w:space="0" w:color="auto"/>
              <w:left w:val="outset" w:sz="6" w:space="0" w:color="auto"/>
              <w:bottom w:val="outset" w:sz="6" w:space="0" w:color="auto"/>
              <w:right w:val="outset" w:sz="6" w:space="0" w:color="auto"/>
            </w:tcBorders>
            <w:noWrap/>
            <w:vAlign w:val="center"/>
            <w:hideMark/>
          </w:tcPr>
          <w:p w14:paraId="1D191A0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18.285,162</w:t>
            </w: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6708642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5.380,383</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47F6C4F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5.196,058</w:t>
            </w:r>
          </w:p>
        </w:tc>
      </w:tr>
      <w:tr w:rsidR="0026114A" w:rsidRPr="005432E1" w14:paraId="4C82B85F"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4F6B55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LEGISLAÇÃO ESPECÍFICA</w:t>
            </w:r>
          </w:p>
        </w:tc>
        <w:tc>
          <w:tcPr>
            <w:tcW w:w="2214" w:type="dxa"/>
            <w:tcBorders>
              <w:top w:val="outset" w:sz="6" w:space="0" w:color="auto"/>
              <w:left w:val="outset" w:sz="6" w:space="0" w:color="auto"/>
              <w:bottom w:val="outset" w:sz="6" w:space="0" w:color="auto"/>
              <w:right w:val="outset" w:sz="6" w:space="0" w:color="auto"/>
            </w:tcBorders>
            <w:noWrap/>
            <w:vAlign w:val="center"/>
            <w:hideMark/>
          </w:tcPr>
          <w:p w14:paraId="1797F9A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512.894,123</w:t>
            </w: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3C50C80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2.613,136</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0217221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2.628,718</w:t>
            </w:r>
          </w:p>
        </w:tc>
      </w:tr>
      <w:tr w:rsidR="0026114A" w:rsidRPr="005432E1" w14:paraId="59E82E80"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E7F85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HAVERES AGRÍCOLAS</w:t>
            </w:r>
          </w:p>
        </w:tc>
        <w:tc>
          <w:tcPr>
            <w:tcW w:w="2214" w:type="dxa"/>
            <w:tcBorders>
              <w:top w:val="outset" w:sz="6" w:space="0" w:color="auto"/>
              <w:left w:val="outset" w:sz="6" w:space="0" w:color="auto"/>
              <w:bottom w:val="outset" w:sz="6" w:space="0" w:color="auto"/>
              <w:right w:val="outset" w:sz="6" w:space="0" w:color="auto"/>
            </w:tcBorders>
            <w:noWrap/>
            <w:vAlign w:val="center"/>
            <w:hideMark/>
          </w:tcPr>
          <w:p w14:paraId="572E2A2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17.433,873</w:t>
            </w: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21149F4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1.698,279</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2F2FDAC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1.287,432</w:t>
            </w:r>
          </w:p>
        </w:tc>
      </w:tr>
      <w:tr w:rsidR="0026114A" w:rsidRPr="005432E1" w14:paraId="51D9F5C9"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B4CBF2A"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TOTAL</w:t>
            </w:r>
          </w:p>
        </w:tc>
        <w:tc>
          <w:tcPr>
            <w:tcW w:w="2214" w:type="dxa"/>
            <w:tcBorders>
              <w:top w:val="outset" w:sz="6" w:space="0" w:color="auto"/>
              <w:left w:val="outset" w:sz="6" w:space="0" w:color="auto"/>
              <w:bottom w:val="outset" w:sz="6" w:space="0" w:color="auto"/>
              <w:right w:val="outset" w:sz="6" w:space="0" w:color="auto"/>
            </w:tcBorders>
            <w:noWrap/>
            <w:vAlign w:val="center"/>
            <w:hideMark/>
          </w:tcPr>
          <w:p w14:paraId="0A4E7FD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548.631,193</w:t>
            </w:r>
          </w:p>
        </w:tc>
        <w:tc>
          <w:tcPr>
            <w:tcW w:w="1311" w:type="dxa"/>
            <w:tcBorders>
              <w:top w:val="outset" w:sz="6" w:space="0" w:color="auto"/>
              <w:left w:val="outset" w:sz="6" w:space="0" w:color="auto"/>
              <w:bottom w:val="outset" w:sz="6" w:space="0" w:color="auto"/>
              <w:right w:val="outset" w:sz="6" w:space="0" w:color="auto"/>
            </w:tcBorders>
            <w:noWrap/>
            <w:vAlign w:val="center"/>
            <w:hideMark/>
          </w:tcPr>
          <w:p w14:paraId="008BC6F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9.699,329</w:t>
            </w:r>
          </w:p>
        </w:tc>
        <w:tc>
          <w:tcPr>
            <w:tcW w:w="1761" w:type="dxa"/>
            <w:tcBorders>
              <w:top w:val="outset" w:sz="6" w:space="0" w:color="auto"/>
              <w:left w:val="outset" w:sz="6" w:space="0" w:color="auto"/>
              <w:bottom w:val="outset" w:sz="6" w:space="0" w:color="auto"/>
              <w:right w:val="outset" w:sz="6" w:space="0" w:color="auto"/>
            </w:tcBorders>
            <w:noWrap/>
            <w:vAlign w:val="center"/>
            <w:hideMark/>
          </w:tcPr>
          <w:p w14:paraId="0D5D5D8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9.103,852</w:t>
            </w:r>
          </w:p>
        </w:tc>
      </w:tr>
    </w:tbl>
    <w:p w14:paraId="53C8CCA0" w14:textId="77777777" w:rsidR="002F5BE0" w:rsidRPr="005432E1" w:rsidRDefault="003A5EF5" w:rsidP="002F5BE0">
      <w:pPr>
        <w:spacing w:before="100" w:beforeAutospacing="1" w:after="100" w:afterAutospacing="1"/>
        <w:jc w:val="both"/>
        <w:rPr>
          <w:rFonts w:asciiTheme="minorHAnsi" w:hAnsiTheme="minorHAnsi"/>
        </w:rPr>
      </w:pPr>
      <w:r w:rsidRPr="005432E1">
        <w:rPr>
          <w:rFonts w:asciiTheme="minorHAnsi" w:hAnsiTheme="minorHAnsi"/>
          <w:b/>
          <w:bCs/>
        </w:rPr>
        <w:t xml:space="preserve">a.2.1) </w:t>
      </w:r>
      <w:r w:rsidR="002F5BE0" w:rsidRPr="005432E1">
        <w:rPr>
          <w:rFonts w:asciiTheme="minorHAnsi" w:hAnsiTheme="minorHAnsi"/>
          <w:b/>
          <w:bCs/>
        </w:rPr>
        <w:t>Empresas extintas</w:t>
      </w:r>
    </w:p>
    <w:p w14:paraId="595EFFD9" w14:textId="77777777" w:rsidR="002F5BE0" w:rsidRPr="005432E1" w:rsidRDefault="003A5EF5"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Dentre os haveres oriundos de empresas extintas, o único que apresenta um fluxo constante e que, portanto, vem sendo previsto nas Leis Orçamentárias Anuais é o relativo ao extinto Banco Nacional de Crédito Cooperativo – BNCC, cujo saldo em 31/12/2017 era de R$ 18.034.623,44. Esse haver refere-se às operações de créditos, nos programas de Securitização e de PESA, contratadas entre mutuários e o extinto BNCC. Atualmente, esses créditos são de titularidade da União, por sucessão, sendo os créditos administrados pelo BB.</w:t>
      </w:r>
    </w:p>
    <w:p w14:paraId="2C8A0CFD" w14:textId="77777777" w:rsidR="002F5BE0" w:rsidRPr="005432E1" w:rsidRDefault="003A5EF5"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que tange ao risco fiscal é importante destacar que a previsão de recebimentos el</w:t>
      </w:r>
      <w:r w:rsidR="00D50BF9" w:rsidRPr="005432E1">
        <w:rPr>
          <w:rFonts w:asciiTheme="minorHAnsi" w:hAnsiTheme="minorHAnsi"/>
        </w:rPr>
        <w:t>aborada pelo BB e incluída nas L</w:t>
      </w:r>
      <w:r w:rsidR="002F5BE0" w:rsidRPr="005432E1">
        <w:rPr>
          <w:rFonts w:asciiTheme="minorHAnsi" w:hAnsiTheme="minorHAnsi"/>
        </w:rPr>
        <w:t xml:space="preserve">eis </w:t>
      </w:r>
      <w:r w:rsidR="00D50BF9" w:rsidRPr="005432E1">
        <w:rPr>
          <w:rFonts w:asciiTheme="minorHAnsi" w:hAnsiTheme="minorHAnsi"/>
        </w:rPr>
        <w:t>O</w:t>
      </w:r>
      <w:r w:rsidR="002F5BE0" w:rsidRPr="005432E1">
        <w:rPr>
          <w:rFonts w:asciiTheme="minorHAnsi" w:hAnsiTheme="minorHAnsi"/>
        </w:rPr>
        <w:t xml:space="preserve">rçamentárias </w:t>
      </w:r>
      <w:r w:rsidR="00D50BF9" w:rsidRPr="005432E1">
        <w:rPr>
          <w:rFonts w:asciiTheme="minorHAnsi" w:hAnsiTheme="minorHAnsi"/>
        </w:rPr>
        <w:t>A</w:t>
      </w:r>
      <w:r w:rsidR="002F5BE0" w:rsidRPr="005432E1">
        <w:rPr>
          <w:rFonts w:asciiTheme="minorHAnsi" w:hAnsiTheme="minorHAnsi"/>
        </w:rPr>
        <w:t>nuais já contempla a possível inadimplência dos mutuários. Assim, uma vez que os recebimentos dessa classe vêm se comportando de acordo com o modelo preditivo, não se verifica a necessidade de provisionar recursos dessa origem no orçamento de 2019.</w:t>
      </w:r>
    </w:p>
    <w:p w14:paraId="472101A1" w14:textId="77777777" w:rsidR="002F5BE0" w:rsidRPr="005432E1" w:rsidRDefault="003A5EF5"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Importa salientar ainda</w:t>
      </w:r>
      <w:r w:rsidR="00D50BF9" w:rsidRPr="005432E1">
        <w:rPr>
          <w:rFonts w:asciiTheme="minorHAnsi" w:hAnsiTheme="minorHAnsi"/>
        </w:rPr>
        <w:t xml:space="preserve"> que a receita prevista de R$ 7,</w:t>
      </w:r>
      <w:r w:rsidR="002F5BE0" w:rsidRPr="005432E1">
        <w:rPr>
          <w:rFonts w:asciiTheme="minorHAnsi" w:hAnsiTheme="minorHAnsi"/>
        </w:rPr>
        <w:t>5</w:t>
      </w:r>
      <w:r w:rsidR="00D50BF9" w:rsidRPr="005432E1">
        <w:rPr>
          <w:rFonts w:asciiTheme="minorHAnsi" w:hAnsiTheme="minorHAnsi"/>
        </w:rPr>
        <w:t xml:space="preserve"> milhões</w:t>
      </w:r>
      <w:r w:rsidR="002F5BE0" w:rsidRPr="005432E1">
        <w:rPr>
          <w:rFonts w:asciiTheme="minorHAnsi" w:hAnsiTheme="minorHAnsi"/>
        </w:rPr>
        <w:t>, para 2018, e parte da receita prevista de R$ 1,1</w:t>
      </w:r>
      <w:r w:rsidR="00D50BF9" w:rsidRPr="005432E1">
        <w:rPr>
          <w:rFonts w:asciiTheme="minorHAnsi" w:hAnsiTheme="minorHAnsi"/>
        </w:rPr>
        <w:t xml:space="preserve"> milhão</w:t>
      </w:r>
      <w:r w:rsidR="002F5BE0" w:rsidRPr="005432E1">
        <w:rPr>
          <w:rFonts w:asciiTheme="minorHAnsi" w:hAnsiTheme="minorHAnsi"/>
        </w:rPr>
        <w:t>, para o exercício de 2019, diz respeito em parte ao vencimento do principal da dívida, a qual foi garantida em títulos de Certificados do Tesouro Nacional – CTN, adquiridas pelos mutuários na origem dos citados Programas e, dessa forma, tal parcela não apresenta risco de inadimplência.</w:t>
      </w:r>
    </w:p>
    <w:p w14:paraId="58484E69" w14:textId="43AC898C" w:rsidR="002F5BE0" w:rsidRPr="005432E1" w:rsidRDefault="002F5BE0" w:rsidP="002F5BE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BB69B5" w:rsidRPr="005432E1">
        <w:rPr>
          <w:rFonts w:asciiTheme="minorHAnsi" w:hAnsiTheme="minorHAnsi"/>
          <w:b/>
          <w:bCs/>
        </w:rPr>
        <w:t>52</w:t>
      </w:r>
      <w:r w:rsidRPr="005432E1">
        <w:rPr>
          <w:rFonts w:asciiTheme="minorHAnsi" w:hAnsiTheme="minorHAnsi"/>
          <w:b/>
          <w:bCs/>
        </w:rPr>
        <w:t xml:space="preserve"> - Haveres Originados de Empresas Extintas (R$ milhões)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1517"/>
        <w:gridCol w:w="1517"/>
        <w:gridCol w:w="979"/>
        <w:gridCol w:w="2668"/>
        <w:gridCol w:w="1970"/>
      </w:tblGrid>
      <w:tr w:rsidR="0026114A" w:rsidRPr="005432E1" w14:paraId="29D67D12" w14:textId="77777777" w:rsidTr="00A80D8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F4F29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Órgãos extintos</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180AE8D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93481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de Risco Fiscal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42495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Valor de recebimento previsto 2019, após provisão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00563E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Receita Financeiro (F); Primário (P)</w:t>
            </w:r>
          </w:p>
        </w:tc>
      </w:tr>
      <w:tr w:rsidR="0026114A" w:rsidRPr="005432E1" w14:paraId="686725A1" w14:textId="77777777" w:rsidTr="00A80D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88E173" w14:textId="77777777" w:rsidR="002F5BE0" w:rsidRPr="005432E1" w:rsidRDefault="002F5BE0" w:rsidP="00A80D84">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3DBE5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ACC1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5788E"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5EE1BD"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06D6B0" w14:textId="77777777" w:rsidR="002F5BE0" w:rsidRPr="005432E1" w:rsidRDefault="002F5BE0" w:rsidP="00A80D84">
            <w:pPr>
              <w:rPr>
                <w:rFonts w:asciiTheme="minorHAnsi" w:hAnsiTheme="minorHAnsi"/>
              </w:rPr>
            </w:pPr>
          </w:p>
        </w:tc>
      </w:tr>
      <w:tr w:rsidR="0026114A" w:rsidRPr="005432E1" w14:paraId="5FE70ED2"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B8FE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BNCC</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C081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7,530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EB07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4D73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0465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78C1D"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bl>
    <w:p w14:paraId="3E3089C5" w14:textId="77777777" w:rsidR="002F5BE0" w:rsidRPr="005432E1" w:rsidRDefault="002F5BE0" w:rsidP="00530EEF">
      <w:pPr>
        <w:spacing w:after="100" w:afterAutospacing="1"/>
        <w:rPr>
          <w:rFonts w:asciiTheme="minorHAnsi" w:hAnsiTheme="minorHAnsi"/>
          <w:sz w:val="20"/>
          <w:szCs w:val="20"/>
        </w:rPr>
      </w:pPr>
      <w:r w:rsidRPr="005432E1">
        <w:rPr>
          <w:rFonts w:asciiTheme="minorHAnsi" w:hAnsiTheme="minorHAnsi"/>
          <w:sz w:val="20"/>
          <w:szCs w:val="20"/>
        </w:rPr>
        <w:t>Fonte</w:t>
      </w:r>
      <w:r w:rsidRPr="005432E1">
        <w:rPr>
          <w:rFonts w:asciiTheme="minorHAnsi" w:hAnsiTheme="minorHAnsi"/>
          <w:b/>
          <w:bCs/>
          <w:sz w:val="20"/>
          <w:szCs w:val="20"/>
        </w:rPr>
        <w:t>:</w:t>
      </w:r>
      <w:r w:rsidRPr="005432E1">
        <w:rPr>
          <w:rFonts w:asciiTheme="minorHAnsi" w:hAnsiTheme="minorHAnsi"/>
          <w:sz w:val="20"/>
          <w:szCs w:val="20"/>
        </w:rPr>
        <w:t xml:space="preserve"> GERAT/COFIS/STN/MF.</w:t>
      </w:r>
    </w:p>
    <w:p w14:paraId="67223197" w14:textId="77777777" w:rsidR="002F5BE0" w:rsidRPr="005432E1" w:rsidRDefault="001C02B2" w:rsidP="002F5BE0">
      <w:pPr>
        <w:spacing w:before="100" w:beforeAutospacing="1" w:after="100" w:afterAutospacing="1"/>
        <w:jc w:val="both"/>
        <w:rPr>
          <w:rFonts w:asciiTheme="minorHAnsi" w:hAnsiTheme="minorHAnsi"/>
        </w:rPr>
      </w:pPr>
      <w:r w:rsidRPr="005432E1">
        <w:rPr>
          <w:rFonts w:asciiTheme="minorHAnsi" w:hAnsiTheme="minorHAnsi"/>
          <w:b/>
          <w:bCs/>
        </w:rPr>
        <w:t xml:space="preserve">a.2.2) </w:t>
      </w:r>
      <w:r w:rsidR="002F5BE0" w:rsidRPr="005432E1">
        <w:rPr>
          <w:rFonts w:asciiTheme="minorHAnsi" w:hAnsiTheme="minorHAnsi"/>
          <w:b/>
          <w:bCs/>
        </w:rPr>
        <w:t>Operações estruturadas</w:t>
      </w:r>
    </w:p>
    <w:p w14:paraId="25D564B2"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Na segunda classe de ativos, encontram-se os haveres originados de operações estruturadas, cujo saldo devedor é de R$ 18</w:t>
      </w:r>
      <w:r w:rsidR="00D50BF9" w:rsidRPr="005432E1">
        <w:rPr>
          <w:rFonts w:asciiTheme="minorHAnsi" w:hAnsiTheme="minorHAnsi"/>
        </w:rPr>
        <w:t>,3 bilhões</w:t>
      </w:r>
      <w:r w:rsidR="002F5BE0" w:rsidRPr="005432E1">
        <w:rPr>
          <w:rFonts w:asciiTheme="minorHAnsi" w:hAnsiTheme="minorHAnsi"/>
        </w:rPr>
        <w:t>, posição de 31/12/2017. Neste grupo estão os recebíveis originados de operações com as seguintes empresas: (i) Centrais Elétricas Brasileiras – Eletrobrás/Itaipu, saldo devedor de R$ 13</w:t>
      </w:r>
      <w:r w:rsidR="00D50BF9" w:rsidRPr="005432E1">
        <w:rPr>
          <w:rFonts w:asciiTheme="minorHAnsi" w:hAnsiTheme="minorHAnsi"/>
        </w:rPr>
        <w:t>,1 bilhões</w:t>
      </w:r>
      <w:r w:rsidR="002F5BE0" w:rsidRPr="005432E1">
        <w:rPr>
          <w:rFonts w:asciiTheme="minorHAnsi" w:hAnsiTheme="minorHAnsi"/>
        </w:rPr>
        <w:t>; (ii) Companhia Docas do Rio de Janeiro – CDRJ, saldo devedor de R$ 522,7</w:t>
      </w:r>
      <w:r w:rsidR="00D50BF9" w:rsidRPr="005432E1">
        <w:rPr>
          <w:rFonts w:asciiTheme="minorHAnsi" w:hAnsiTheme="minorHAnsi"/>
        </w:rPr>
        <w:t xml:space="preserve"> milhões</w:t>
      </w:r>
      <w:r w:rsidR="002F5BE0" w:rsidRPr="005432E1">
        <w:rPr>
          <w:rFonts w:asciiTheme="minorHAnsi" w:hAnsiTheme="minorHAnsi"/>
        </w:rPr>
        <w:t>; (iii) parcelas de arrendamento da extinta RFFSA, saldo devedor de R$ 4</w:t>
      </w:r>
      <w:r w:rsidR="00D50BF9" w:rsidRPr="005432E1">
        <w:rPr>
          <w:rFonts w:asciiTheme="minorHAnsi" w:hAnsiTheme="minorHAnsi"/>
        </w:rPr>
        <w:t>,</w:t>
      </w:r>
      <w:r w:rsidR="002F5BE0" w:rsidRPr="005432E1">
        <w:rPr>
          <w:rFonts w:asciiTheme="minorHAnsi" w:hAnsiTheme="minorHAnsi"/>
        </w:rPr>
        <w:t>7</w:t>
      </w:r>
      <w:r w:rsidR="00D50BF9" w:rsidRPr="005432E1">
        <w:rPr>
          <w:rFonts w:asciiTheme="minorHAnsi" w:hAnsiTheme="minorHAnsi"/>
        </w:rPr>
        <w:t xml:space="preserve"> bilhões</w:t>
      </w:r>
      <w:r w:rsidR="002F5BE0" w:rsidRPr="005432E1">
        <w:rPr>
          <w:rFonts w:asciiTheme="minorHAnsi" w:hAnsiTheme="minorHAnsi"/>
        </w:rPr>
        <w:t>.</w:t>
      </w:r>
    </w:p>
    <w:p w14:paraId="0684B74A"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O primeiro recebível é um ativo oriundo dos créditos das Centrais Elétricas Brasileiras S.A. - ELETROBRAS com a ITAIPU Binacional, adquiridos pela União, por meio dos Contratos nº 424 e 425, nos termos da Medida Provisória – MPV nº 1.755, atual MPV nº 2.181, de 24.8.01.</w:t>
      </w:r>
    </w:p>
    <w:p w14:paraId="2C785552"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exercício de 2017, verificou-se que houve o reajuste da tarifa de energia, solicitado pela Eletrobrás, e a regularização dos compromissos assumidos, por aquela Empresa com a União, relativos ao exercício de 2016, com correção, a partir de final de março, em duodécimos. Dessa forma, por meio do citado reajuste da tarifa de energia, aquela Empresa buscou garantir as receitas necessárias para honrar o fluxo de pagamentos contratado com a União.</w:t>
      </w:r>
    </w:p>
    <w:p w14:paraId="1F6DF08D"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que diz respeito aos ativos decorrentes das operações junto à Companhia Docas do Rio de Janeiro – CDRJ, esses referem-se aos Contratos de Cessão de Créditos n° 18, de 12</w:t>
      </w:r>
      <w:r w:rsidR="00522E8A" w:rsidRPr="005432E1">
        <w:rPr>
          <w:rFonts w:asciiTheme="minorHAnsi" w:hAnsiTheme="minorHAnsi"/>
        </w:rPr>
        <w:t>/0</w:t>
      </w:r>
      <w:r w:rsidR="002F5BE0" w:rsidRPr="005432E1">
        <w:rPr>
          <w:rFonts w:asciiTheme="minorHAnsi" w:hAnsiTheme="minorHAnsi"/>
        </w:rPr>
        <w:t>5</w:t>
      </w:r>
      <w:r w:rsidR="00522E8A" w:rsidRPr="005432E1">
        <w:rPr>
          <w:rFonts w:asciiTheme="minorHAnsi" w:hAnsiTheme="minorHAnsi"/>
        </w:rPr>
        <w:t>/</w:t>
      </w:r>
      <w:r w:rsidR="002F5BE0" w:rsidRPr="005432E1">
        <w:rPr>
          <w:rFonts w:asciiTheme="minorHAnsi" w:hAnsiTheme="minorHAnsi"/>
        </w:rPr>
        <w:t>2000, e n° 26, de 14</w:t>
      </w:r>
      <w:r w:rsidR="00522E8A" w:rsidRPr="005432E1">
        <w:rPr>
          <w:rFonts w:asciiTheme="minorHAnsi" w:hAnsiTheme="minorHAnsi"/>
        </w:rPr>
        <w:t>/0</w:t>
      </w:r>
      <w:r w:rsidR="002F5BE0" w:rsidRPr="005432E1">
        <w:rPr>
          <w:rFonts w:asciiTheme="minorHAnsi" w:hAnsiTheme="minorHAnsi"/>
        </w:rPr>
        <w:t>9</w:t>
      </w:r>
      <w:r w:rsidR="00522E8A" w:rsidRPr="005432E1">
        <w:rPr>
          <w:rFonts w:asciiTheme="minorHAnsi" w:hAnsiTheme="minorHAnsi"/>
        </w:rPr>
        <w:t>/</w:t>
      </w:r>
      <w:r w:rsidR="002F5BE0" w:rsidRPr="005432E1">
        <w:rPr>
          <w:rFonts w:asciiTheme="minorHAnsi" w:hAnsiTheme="minorHAnsi"/>
        </w:rPr>
        <w:t xml:space="preserve">2000, celebrados com amparo nas MPVs n° 1.985-27, de </w:t>
      </w:r>
      <w:r w:rsidR="00522E8A" w:rsidRPr="005432E1">
        <w:rPr>
          <w:rFonts w:asciiTheme="minorHAnsi" w:hAnsiTheme="minorHAnsi"/>
        </w:rPr>
        <w:t>0</w:t>
      </w:r>
      <w:r w:rsidR="002F5BE0" w:rsidRPr="005432E1">
        <w:rPr>
          <w:rFonts w:asciiTheme="minorHAnsi" w:hAnsiTheme="minorHAnsi"/>
        </w:rPr>
        <w:t>4</w:t>
      </w:r>
      <w:r w:rsidR="00522E8A" w:rsidRPr="005432E1">
        <w:rPr>
          <w:rFonts w:asciiTheme="minorHAnsi" w:hAnsiTheme="minorHAnsi"/>
        </w:rPr>
        <w:t>/0</w:t>
      </w:r>
      <w:r w:rsidR="002F5BE0" w:rsidRPr="005432E1">
        <w:rPr>
          <w:rFonts w:asciiTheme="minorHAnsi" w:hAnsiTheme="minorHAnsi"/>
        </w:rPr>
        <w:t>5</w:t>
      </w:r>
      <w:r w:rsidR="00522E8A" w:rsidRPr="005432E1">
        <w:rPr>
          <w:rFonts w:asciiTheme="minorHAnsi" w:hAnsiTheme="minorHAnsi"/>
        </w:rPr>
        <w:t>/2000, e n° 1.985-31, de 28/0</w:t>
      </w:r>
      <w:r w:rsidR="002F5BE0" w:rsidRPr="005432E1">
        <w:rPr>
          <w:rFonts w:asciiTheme="minorHAnsi" w:hAnsiTheme="minorHAnsi"/>
        </w:rPr>
        <w:t>8</w:t>
      </w:r>
      <w:r w:rsidR="00522E8A" w:rsidRPr="005432E1">
        <w:rPr>
          <w:rFonts w:asciiTheme="minorHAnsi" w:hAnsiTheme="minorHAnsi"/>
        </w:rPr>
        <w:t>/</w:t>
      </w:r>
      <w:r w:rsidR="002F5BE0" w:rsidRPr="005432E1">
        <w:rPr>
          <w:rFonts w:asciiTheme="minorHAnsi" w:hAnsiTheme="minorHAnsi"/>
        </w:rPr>
        <w:t>2000. Por meio desses instrumentos, a CDRJ cedeu à União 268 (duzentas e sessenta e oito) prestações mensais vencíveis entre 2001 e 2023 decorrentes do ajuste para exploração do Terminal de Contêineres I do Porto do Rio de Janeiro, firmado entre a CDRJ e a arrendatária Libra Terminal Rio S.A.</w:t>
      </w:r>
    </w:p>
    <w:p w14:paraId="57B208D1"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Ainda, tais ativos têm amparo no Contrato de Cessão de Créditos s.n., de 28.12.1998, e seu Termo Aditivo, de 09.08.2002, firmados com força na MPV n° 1.755-9, de 14.12.1998, e na MPV nº 2.181-45, de 24.08.2001. Por meio dos referidos contratos, a CDRJ cedeu à União 276 (duzentos e setenta e seis) prestações mensais, com o último vencimento em 01.10.2025, que decorrem de ajuste para exploração do terminal de contêineres do Porto de Sepetiba - TECON I, firmado entre a CDRJ e a arrendatária Sepetiba Tecon S.A.</w:t>
      </w:r>
    </w:p>
    <w:p w14:paraId="64093196"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Considerando a inadimplência observada no exercício de 2017, calcula-se a probabilidade de frustração dessas receitas em 54,23%. Vale ressaltar que esse inadimplemento decorre de questões contratuais da concessão do serviço portuário, sendo a própria CDRJ garantidora do crédito da União. Entretanto, como essa Empresa Pública não vem honrando a garantia prestada, os valores em atraso têm sido encaminhados à Procuradoria-Geral da Fazenda Nacional – PGFN, com vistas a sua inscrição em Dívida Ativa da União – DAU.</w:t>
      </w:r>
    </w:p>
    <w:p w14:paraId="4FC02467"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que diz respeito aos ativos contratados com a extinta RFFSA, aquela Empresa cedeu, antes de sua extinção, à União créditos originários de Contratos de Arrendamento de Bens Vinculados à Prestação de Serviço Público de Transporte Ferroviário.</w:t>
      </w:r>
    </w:p>
    <w:p w14:paraId="19416640"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Quanto ao risco fiscal, deve ser destacado que parte desses recebíveis estão sendo contestados judicialmente pelas arrendatárias. Destarte, para a parcela de recebíveis nessa situação, liminarmente, as mesmas têm sido depositadas em juízo e/ou vem sendo afiançadas por meio de seguro-garantia, sem que, contudo, ocorra o efetivo recolhimento dos valores. Dessa forma, considerando que não há previsão de receita, para o exercício de 2019, quanto à parcela de recebíveis em exame e que existe a possibilidade de decisão judicial desfavorável à União, para a presente situação não há previsão da inclusão dessas receitas na LOA para 2019.</w:t>
      </w:r>
    </w:p>
    <w:p w14:paraId="7CFC6F20" w14:textId="77777777" w:rsidR="002F5BE0" w:rsidRPr="005432E1" w:rsidRDefault="00F06AF0"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Posto isto, no que se refere à parcela dos recebíveis contratados com a extinta RFFSA que apresentam pagamentos regulares, não há necessidade de provisionamentos, considerado o histórico de recolhimentos de exercícios anteriores.</w:t>
      </w:r>
    </w:p>
    <w:p w14:paraId="3A397CA9" w14:textId="77777777" w:rsidR="005432E1" w:rsidRDefault="005432E1">
      <w:pPr>
        <w:rPr>
          <w:rFonts w:asciiTheme="minorHAnsi" w:hAnsiTheme="minorHAnsi"/>
          <w:b/>
          <w:bCs/>
        </w:rPr>
      </w:pPr>
      <w:r>
        <w:rPr>
          <w:rFonts w:asciiTheme="minorHAnsi" w:hAnsiTheme="minorHAnsi"/>
          <w:b/>
          <w:bCs/>
        </w:rPr>
        <w:br w:type="page"/>
      </w:r>
    </w:p>
    <w:p w14:paraId="7B402292" w14:textId="3D3876FC" w:rsidR="002F5BE0" w:rsidRPr="005432E1" w:rsidRDefault="002F5BE0" w:rsidP="002F5BE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5</w:t>
      </w:r>
      <w:r w:rsidR="00BB69B5" w:rsidRPr="005432E1">
        <w:rPr>
          <w:rFonts w:asciiTheme="minorHAnsi" w:hAnsiTheme="minorHAnsi"/>
          <w:b/>
          <w:bCs/>
        </w:rPr>
        <w:t>3</w:t>
      </w:r>
      <w:r w:rsidRPr="005432E1">
        <w:rPr>
          <w:rFonts w:asciiTheme="minorHAnsi" w:hAnsiTheme="minorHAnsi"/>
          <w:b/>
          <w:bCs/>
        </w:rPr>
        <w:t xml:space="preserve"> - Haveres Originados de Operações Estruturadas (R$ milhões)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1517"/>
        <w:gridCol w:w="1517"/>
        <w:gridCol w:w="972"/>
        <w:gridCol w:w="2197"/>
        <w:gridCol w:w="1662"/>
      </w:tblGrid>
      <w:tr w:rsidR="0026114A" w:rsidRPr="005432E1" w14:paraId="1B5AED19"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67B364B" w14:textId="77777777" w:rsidR="002F5BE0" w:rsidRPr="005432E1" w:rsidRDefault="002F5BE0" w:rsidP="00A80D84">
            <w:pPr>
              <w:spacing w:before="100" w:beforeAutospacing="1" w:after="100" w:afterAutospacing="1"/>
              <w:rPr>
                <w:rFonts w:asciiTheme="minorHAnsi" w:hAnsiTheme="minorHAnsi"/>
              </w:rPr>
            </w:pP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1FDED3C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7069A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de Risco Fiscal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91905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2019, após provisão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5A682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Receita Financeira (F); Primária (P)</w:t>
            </w:r>
          </w:p>
        </w:tc>
      </w:tr>
      <w:tr w:rsidR="0026114A" w:rsidRPr="005432E1" w14:paraId="2356C180"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6A9C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Operações estruturadas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B2A8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A6516"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94EF1C"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A5D139"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585F8F" w14:textId="77777777" w:rsidR="002F5BE0" w:rsidRPr="005432E1" w:rsidRDefault="002F5BE0" w:rsidP="00A80D84">
            <w:pPr>
              <w:rPr>
                <w:rFonts w:asciiTheme="minorHAnsi" w:hAnsiTheme="minorHAnsi"/>
              </w:rPr>
            </w:pPr>
          </w:p>
        </w:tc>
      </w:tr>
      <w:tr w:rsidR="0026114A" w:rsidRPr="005432E1" w14:paraId="6C0B6382"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A091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Eletrobrás/Itaipu</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B9D0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4.921,111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4286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4.753,377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ED1D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65A19D"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4.753,377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5E2D1"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2719CFDD"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F56E8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CDRJ</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E3E6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67,937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DF8CD"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68,776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E871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54,23%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4218D8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31,478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EED13"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7598086D"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82296"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RFFSA – Demais contratos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38B0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391,333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9E176"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373,904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B5C3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8FC5BA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373,904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40031"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49105827"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88396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E1AC6"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5.380,383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6044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5.196,058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F1CA5"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b/>
                <w:bCs/>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7A9B4A"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5.158,760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44C4F"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b/>
                <w:bCs/>
              </w:rPr>
              <w:t>-</w:t>
            </w:r>
          </w:p>
        </w:tc>
      </w:tr>
    </w:tbl>
    <w:p w14:paraId="1312A7C3" w14:textId="77777777" w:rsidR="002F5BE0" w:rsidRPr="005432E1" w:rsidRDefault="002F5BE0" w:rsidP="00530EEF">
      <w:pPr>
        <w:spacing w:after="100" w:afterAutospacing="1"/>
        <w:rPr>
          <w:rFonts w:asciiTheme="minorHAnsi" w:hAnsiTheme="minorHAnsi"/>
          <w:sz w:val="20"/>
          <w:szCs w:val="20"/>
        </w:rPr>
      </w:pPr>
      <w:r w:rsidRPr="005432E1">
        <w:rPr>
          <w:rFonts w:asciiTheme="minorHAnsi" w:hAnsiTheme="minorHAnsi"/>
          <w:sz w:val="20"/>
          <w:szCs w:val="20"/>
        </w:rPr>
        <w:t>Fonte: GEATI/COFIS/STN/MF.</w:t>
      </w:r>
    </w:p>
    <w:p w14:paraId="4DBAA447" w14:textId="77777777" w:rsidR="002F5BE0" w:rsidRPr="005432E1" w:rsidRDefault="00C860B7" w:rsidP="002F5BE0">
      <w:pPr>
        <w:spacing w:before="100" w:beforeAutospacing="1" w:after="100" w:afterAutospacing="1"/>
        <w:jc w:val="both"/>
        <w:rPr>
          <w:rFonts w:asciiTheme="minorHAnsi" w:hAnsiTheme="minorHAnsi"/>
        </w:rPr>
      </w:pPr>
      <w:r w:rsidRPr="005432E1">
        <w:rPr>
          <w:rFonts w:asciiTheme="minorHAnsi" w:hAnsiTheme="minorHAnsi"/>
          <w:b/>
          <w:bCs/>
        </w:rPr>
        <w:t xml:space="preserve">a.2.3) </w:t>
      </w:r>
      <w:r w:rsidR="002F5BE0" w:rsidRPr="005432E1">
        <w:rPr>
          <w:rFonts w:asciiTheme="minorHAnsi" w:hAnsiTheme="minorHAnsi"/>
          <w:b/>
          <w:bCs/>
        </w:rPr>
        <w:t>Legislação específica</w:t>
      </w:r>
    </w:p>
    <w:p w14:paraId="0C3D19BA" w14:textId="77777777" w:rsidR="002F5BE0" w:rsidRPr="005432E1" w:rsidRDefault="00C860B7"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Quanto à terceira classe de ativos, que compreende as operações decorrentes de legislação específica, os valores de recebimentos previstos para 2019 são oriundos das seguintes fontes:</w:t>
      </w:r>
    </w:p>
    <w:p w14:paraId="1F10B78F"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(i) Instrumento Elegível a Capital Principal – IECP firmado com o Banco da Amazônia;</w:t>
      </w:r>
    </w:p>
    <w:p w14:paraId="5F5EAB42"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(ii) IECP firmado com o Banco do Brasil;</w:t>
      </w:r>
    </w:p>
    <w:p w14:paraId="4DDCF9AA"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(iii) IECP firmado com o Banco do Nordeste do Brasil;</w:t>
      </w:r>
    </w:p>
    <w:p w14:paraId="3162BDCF"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(iv) Contratos de financiamento e IECPs firmados com o Banco Nacional de Desenvolvimento Econômico e Social – BNDES;</w:t>
      </w:r>
    </w:p>
    <w:p w14:paraId="341879E1"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(v) IECPs firmados com a Caixa Econômica Federal; e</w:t>
      </w:r>
    </w:p>
    <w:p w14:paraId="2A0871C0" w14:textId="77777777" w:rsidR="002F5BE0" w:rsidRPr="005432E1" w:rsidRDefault="002F5BE0" w:rsidP="002F5BE0">
      <w:pPr>
        <w:spacing w:before="100" w:beforeAutospacing="1" w:after="100" w:afterAutospacing="1"/>
        <w:jc w:val="both"/>
        <w:rPr>
          <w:rFonts w:asciiTheme="minorHAnsi" w:hAnsiTheme="minorHAnsi"/>
        </w:rPr>
      </w:pPr>
      <w:r w:rsidRPr="005432E1">
        <w:rPr>
          <w:rFonts w:asciiTheme="minorHAnsi" w:hAnsiTheme="minorHAnsi"/>
        </w:rPr>
        <w:t>(vi) Votos CMN relativo à Itaipu/ANDE.</w:t>
      </w:r>
    </w:p>
    <w:p w14:paraId="21009164" w14:textId="705C4FFA" w:rsidR="005432E1" w:rsidRDefault="00C860B7"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Os instrumentos contratuais em tela não têm apresentado risco de crédito, haja vista que as instituições devedoras possuem situação financeira sólida e um bom histórico de pagamentos. Assim, não se verifica a necessidade de provisionar recursos dessas origens.</w:t>
      </w:r>
    </w:p>
    <w:p w14:paraId="20752CCC" w14:textId="77777777" w:rsidR="005432E1" w:rsidRDefault="005432E1">
      <w:pPr>
        <w:rPr>
          <w:rFonts w:asciiTheme="minorHAnsi" w:hAnsiTheme="minorHAnsi"/>
        </w:rPr>
      </w:pPr>
      <w:r>
        <w:rPr>
          <w:rFonts w:asciiTheme="minorHAnsi" w:hAnsiTheme="minorHAnsi"/>
        </w:rPr>
        <w:br w:type="page"/>
      </w:r>
    </w:p>
    <w:p w14:paraId="4D988CBF" w14:textId="77777777" w:rsidR="002F5BE0" w:rsidRPr="005432E1" w:rsidRDefault="002F5BE0" w:rsidP="002F5BE0">
      <w:pPr>
        <w:spacing w:before="100" w:beforeAutospacing="1" w:after="100" w:afterAutospacing="1"/>
        <w:jc w:val="both"/>
        <w:rPr>
          <w:rFonts w:asciiTheme="minorHAnsi" w:hAnsiTheme="minorHAnsi"/>
        </w:rPr>
      </w:pPr>
    </w:p>
    <w:p w14:paraId="2DD67D79" w14:textId="35BFE2A0" w:rsidR="002F5BE0" w:rsidRPr="005432E1" w:rsidRDefault="002F5BE0" w:rsidP="002F5BE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5</w:t>
      </w:r>
      <w:r w:rsidR="00BB69B5" w:rsidRPr="005432E1">
        <w:rPr>
          <w:rFonts w:asciiTheme="minorHAnsi" w:hAnsiTheme="minorHAnsi"/>
          <w:b/>
          <w:bCs/>
        </w:rPr>
        <w:t>4</w:t>
      </w:r>
      <w:r w:rsidRPr="005432E1">
        <w:rPr>
          <w:rFonts w:asciiTheme="minorHAnsi" w:hAnsiTheme="minorHAnsi"/>
          <w:b/>
          <w:bCs/>
        </w:rPr>
        <w:t xml:space="preserve"> - Operações Decorrentes de Legislação Específica (R$ milhões)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1517"/>
        <w:gridCol w:w="1517"/>
        <w:gridCol w:w="842"/>
        <w:gridCol w:w="2192"/>
        <w:gridCol w:w="1646"/>
      </w:tblGrid>
      <w:tr w:rsidR="0026114A" w:rsidRPr="005432E1" w14:paraId="4F899B93" w14:textId="77777777" w:rsidTr="00A80D8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98642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Legislação específica</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2945D8F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A0940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de Risco Fiscal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5BC1C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Valor de recebimento previsto 2019, após provisão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251AF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Receita Financeira (F); Primária (P)</w:t>
            </w:r>
          </w:p>
        </w:tc>
      </w:tr>
      <w:tr w:rsidR="0026114A" w:rsidRPr="005432E1" w14:paraId="4FFED0A7" w14:textId="77777777" w:rsidTr="00A80D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2248AA" w14:textId="77777777" w:rsidR="002F5BE0" w:rsidRPr="005432E1" w:rsidRDefault="002F5BE0" w:rsidP="00A80D84">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4AA20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70BE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0BEEB"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38E59B"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D59E7" w14:textId="77777777" w:rsidR="002F5BE0" w:rsidRPr="005432E1" w:rsidRDefault="002F5BE0" w:rsidP="00A80D84">
            <w:pPr>
              <w:rPr>
                <w:rFonts w:asciiTheme="minorHAnsi" w:hAnsiTheme="minorHAnsi"/>
              </w:rPr>
            </w:pPr>
          </w:p>
        </w:tc>
      </w:tr>
      <w:tr w:rsidR="0026114A" w:rsidRPr="005432E1" w14:paraId="43D9AE90"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97796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BASA (Banco da Amazônia)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A0D8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66,685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5160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66,685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A262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85FDA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66,685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FFF7F"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42F9806A"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0A94D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BB - Instrumento Elegível a Capital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DD83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84,210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CD8C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84,210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5FEF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44644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84,210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74046"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1FEADB86"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C04B2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BNB (Banco do Nordeste)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11A6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217,716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E8A1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217,716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4F97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93F56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217,716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AEEDF"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10A20A12"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F4568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BNDES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96C3D"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1.760,353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A3428"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1.760,834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FADC3"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D9D366"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1.760,834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EDC9"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54A6C958"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69040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CAIXA - Instrumento Elegível a Capital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CF9FA"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467,959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EDFC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483,060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CE8F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80DF7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483,060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A568B"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51F7A75F"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70D5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Voto CMN – 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66F7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16,210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EBA9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16,210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8F99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5BDB5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16,210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97483"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66F0CD47"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CC2ED"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EC8A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2.613,136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47E3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2.628,718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BE69D"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b/>
                <w:bCs/>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CB09E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2.628,718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88A5C"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w:t>
            </w:r>
          </w:p>
        </w:tc>
      </w:tr>
    </w:tbl>
    <w:p w14:paraId="3EFFFF2D" w14:textId="77777777" w:rsidR="002F5BE0" w:rsidRPr="005432E1" w:rsidRDefault="002F5BE0" w:rsidP="00530EEF">
      <w:pPr>
        <w:spacing w:after="100" w:afterAutospacing="1"/>
        <w:rPr>
          <w:rFonts w:asciiTheme="minorHAnsi" w:hAnsiTheme="minorHAnsi"/>
          <w:sz w:val="20"/>
          <w:szCs w:val="20"/>
        </w:rPr>
      </w:pPr>
      <w:r w:rsidRPr="005432E1">
        <w:rPr>
          <w:rFonts w:asciiTheme="minorHAnsi" w:hAnsiTheme="minorHAnsi"/>
          <w:sz w:val="20"/>
          <w:szCs w:val="20"/>
        </w:rPr>
        <w:t>Fonte: GEATI/COFIS/STN/MF.</w:t>
      </w:r>
    </w:p>
    <w:p w14:paraId="7DED27C7"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b/>
          <w:bCs/>
        </w:rPr>
        <w:t xml:space="preserve">a.2.4) </w:t>
      </w:r>
      <w:r w:rsidR="002F5BE0" w:rsidRPr="005432E1">
        <w:rPr>
          <w:rFonts w:asciiTheme="minorHAnsi" w:hAnsiTheme="minorHAnsi"/>
          <w:b/>
          <w:bCs/>
        </w:rPr>
        <w:t>Haveres agrícolas</w:t>
      </w:r>
    </w:p>
    <w:p w14:paraId="0E1BF39C"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que diz respeito à quarta classe de ativos, que abrangem os haveres agrícolas, destacam-se os valores relativos aos créditos das operações ao amparo do Programa Especial de Saneamento de Ativos – PESA e do Programa de Securitização, ambos autorizados pela Lei nº 9.138/1995.</w:t>
      </w:r>
    </w:p>
    <w:p w14:paraId="615D53F4"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Aproximadamente 80% desses créditos estão sob administração do Banco do Brasil, para acompanhamento, controle e cobrança dos mutuários e posterior repasse à União, sob a gestão da STN.</w:t>
      </w:r>
    </w:p>
    <w:p w14:paraId="546A9EE4"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Cabe informar que, no caso dos citados programas e no que se refere aos recursos operados pelo Banco do Brasil S.A., houve a aquisição e a desoneração do risco, pela União, com amparo na Medida Provisória n° 2.196-3, de 24/</w:t>
      </w:r>
      <w:r w:rsidR="007D3BAC" w:rsidRPr="005432E1">
        <w:rPr>
          <w:rFonts w:asciiTheme="minorHAnsi" w:hAnsiTheme="minorHAnsi"/>
        </w:rPr>
        <w:t>0</w:t>
      </w:r>
      <w:r w:rsidR="002F5BE0" w:rsidRPr="005432E1">
        <w:rPr>
          <w:rFonts w:asciiTheme="minorHAnsi" w:hAnsiTheme="minorHAnsi"/>
        </w:rPr>
        <w:t>8/2001. Dessa forma, para essas operações, quando verificada inadimplência, é realizada a inscrição do débito em Dívida Ativa da União – DAU. Assim, tendo em vista que a gestão dos créditos inscritos em DAU compete à Procuradoria-Geral da Fazenda Nacional – PGFN, tais valores não são previstos, pela STN, como valores de recebimentos previstos para 2019.</w:t>
      </w:r>
    </w:p>
    <w:p w14:paraId="195E7635"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Cumpre ressaltar ainda que, a partir do exercício de 2018, os citados programas tiveram os valores de receita e de despesa ampliados. Tal modificação foi suscitada pela necessidade de se realizar a previsão das despesas e receitas em função do valor bruto, com vistas a aumentar a transparência do gasto público, em linha com o previsto no art. 6º e art 54 da Lei n° 4.320, de 1964.</w:t>
      </w:r>
    </w:p>
    <w:p w14:paraId="57E99FE0"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No entanto, deve ser esclarecido que a citada elevação da receita e da despesa, em igual magnitude, não aponta para uma melhora da situação fiscal, sendo que tão somente explicita no orçamento as subvenções concedidas no caso de créditos adquiridos pela União.</w:t>
      </w:r>
    </w:p>
    <w:p w14:paraId="38A73F4C" w14:textId="77777777" w:rsidR="002F5BE0" w:rsidRPr="005432E1" w:rsidRDefault="00D0256D" w:rsidP="002F5BE0">
      <w:pPr>
        <w:spacing w:before="100" w:beforeAutospacing="1" w:after="100" w:afterAutospacing="1"/>
        <w:jc w:val="both"/>
        <w:rPr>
          <w:rFonts w:asciiTheme="minorHAnsi" w:hAnsiTheme="minorHAnsi"/>
        </w:rPr>
      </w:pPr>
      <w:r w:rsidRPr="005432E1">
        <w:rPr>
          <w:rFonts w:asciiTheme="minorHAnsi" w:hAnsiTheme="minorHAnsi"/>
        </w:rPr>
        <w:tab/>
      </w:r>
      <w:r w:rsidR="002F5BE0" w:rsidRPr="005432E1">
        <w:rPr>
          <w:rFonts w:asciiTheme="minorHAnsi" w:hAnsiTheme="minorHAnsi"/>
        </w:rPr>
        <w:t>Quanto ao risco fiscal, tendo em vista que os recebimentos têm se comportado conforme a previsão apresentada pelo Banco do Brasil e que o valor previsto na Lei orçamentária já exclui o risco de crédito, não se verifica a necessidade de provisionamento adicional para qualquer valor relativo a essa classe.</w:t>
      </w:r>
    </w:p>
    <w:p w14:paraId="0334282C" w14:textId="1D65D6F7" w:rsidR="002F5BE0" w:rsidRPr="005432E1" w:rsidRDefault="002F5BE0" w:rsidP="002F5BE0">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5</w:t>
      </w:r>
      <w:r w:rsidR="00BB69B5" w:rsidRPr="005432E1">
        <w:rPr>
          <w:rFonts w:asciiTheme="minorHAnsi" w:hAnsiTheme="minorHAnsi"/>
          <w:b/>
          <w:bCs/>
        </w:rPr>
        <w:t>5</w:t>
      </w:r>
      <w:r w:rsidRPr="005432E1">
        <w:rPr>
          <w:rFonts w:asciiTheme="minorHAnsi" w:hAnsiTheme="minorHAnsi"/>
          <w:b/>
          <w:bCs/>
        </w:rPr>
        <w:t xml:space="preserve"> - Operações decorrentes de haveres agrícolas (R$ milhões)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517"/>
        <w:gridCol w:w="1517"/>
        <w:gridCol w:w="945"/>
        <w:gridCol w:w="2548"/>
        <w:gridCol w:w="1873"/>
      </w:tblGrid>
      <w:tr w:rsidR="0026114A" w:rsidRPr="005432E1" w14:paraId="530228EB" w14:textId="77777777" w:rsidTr="00A80D8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F5C022"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Haveres rurais</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28D888E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0911B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 de Risco Fiscal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FA02E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Valor de recebimento previsto 2019, após provisão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4D6AA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Receita Financeira (F); Primária (P)</w:t>
            </w:r>
          </w:p>
        </w:tc>
      </w:tr>
      <w:tr w:rsidR="0026114A" w:rsidRPr="005432E1" w14:paraId="01DE7658" w14:textId="77777777" w:rsidTr="00A80D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E89072" w14:textId="77777777" w:rsidR="002F5BE0" w:rsidRPr="005432E1" w:rsidRDefault="002F5BE0" w:rsidP="00A80D84">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FA2D6C"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D5110"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i/>
                <w:iCs/>
              </w:rPr>
              <w:t>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0BC1EE"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1BAFB0" w14:textId="77777777" w:rsidR="002F5BE0" w:rsidRPr="005432E1" w:rsidRDefault="002F5BE0" w:rsidP="00A80D84">
            <w:pPr>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2FBFD0" w14:textId="77777777" w:rsidR="002F5BE0" w:rsidRPr="005432E1" w:rsidRDefault="002F5BE0" w:rsidP="00A80D84">
            <w:pPr>
              <w:rPr>
                <w:rFonts w:asciiTheme="minorHAnsi" w:hAnsiTheme="minorHAnsi"/>
              </w:rPr>
            </w:pPr>
          </w:p>
        </w:tc>
      </w:tr>
      <w:tr w:rsidR="0026114A" w:rsidRPr="005432E1" w14:paraId="522C70D5"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E6EB109"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PESA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8A806A"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703,544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D1A5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345,839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7EEB7"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ADD964"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345,839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9B548"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74EBE12C"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F187E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Securitização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5F676D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994,734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8EC9E"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941,593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482F"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10044D"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rPr>
              <w:t>941,593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1AD8D"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67DCBAFB" w14:textId="77777777" w:rsidTr="00A80D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2A44DB"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8A04061"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1.698,279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D2934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1.287,432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88339" w14:textId="77777777" w:rsidR="002F5BE0" w:rsidRPr="005432E1" w:rsidRDefault="002F5BE0" w:rsidP="00A80D84">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7F14A5" w14:textId="77777777" w:rsidR="002F5BE0" w:rsidRPr="005432E1" w:rsidRDefault="002F5BE0" w:rsidP="00A80D84">
            <w:pPr>
              <w:spacing w:before="100" w:beforeAutospacing="1" w:after="100" w:afterAutospacing="1"/>
              <w:rPr>
                <w:rFonts w:asciiTheme="minorHAnsi" w:hAnsiTheme="minorHAnsi"/>
              </w:rPr>
            </w:pPr>
            <w:r w:rsidRPr="005432E1">
              <w:rPr>
                <w:rFonts w:asciiTheme="minorHAnsi" w:hAnsiTheme="minorHAnsi"/>
                <w:b/>
                <w:bCs/>
              </w:rPr>
              <w:t>1.287,432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7F05B" w14:textId="77777777" w:rsidR="002F5BE0" w:rsidRPr="005432E1" w:rsidRDefault="002F5BE0" w:rsidP="00A80D84">
            <w:pPr>
              <w:spacing w:before="100" w:beforeAutospacing="1" w:after="100" w:afterAutospacing="1"/>
              <w:jc w:val="center"/>
              <w:rPr>
                <w:rFonts w:asciiTheme="minorHAnsi" w:hAnsiTheme="minorHAnsi"/>
              </w:rPr>
            </w:pPr>
            <w:r w:rsidRPr="005432E1">
              <w:rPr>
                <w:rFonts w:asciiTheme="minorHAnsi" w:hAnsiTheme="minorHAnsi"/>
                <w:b/>
                <w:bCs/>
              </w:rPr>
              <w:t>-</w:t>
            </w:r>
          </w:p>
        </w:tc>
      </w:tr>
    </w:tbl>
    <w:p w14:paraId="19FE2CEA" w14:textId="77777777" w:rsidR="006E3D0C" w:rsidRPr="005432E1" w:rsidRDefault="002F5BE0" w:rsidP="00B14BFE">
      <w:pPr>
        <w:spacing w:after="100" w:afterAutospacing="1"/>
        <w:rPr>
          <w:rFonts w:asciiTheme="minorHAnsi" w:hAnsiTheme="minorHAnsi"/>
          <w:sz w:val="20"/>
          <w:szCs w:val="20"/>
        </w:rPr>
      </w:pPr>
      <w:r w:rsidRPr="005432E1">
        <w:rPr>
          <w:rFonts w:asciiTheme="minorHAnsi" w:hAnsiTheme="minorHAnsi"/>
          <w:sz w:val="20"/>
          <w:szCs w:val="20"/>
        </w:rPr>
        <w:t>Fonte: GEATI/COFIS/STN/MF.</w:t>
      </w:r>
    </w:p>
    <w:p w14:paraId="470DDEE8" w14:textId="77777777" w:rsidR="002506FB" w:rsidRPr="005432E1" w:rsidRDefault="006E3D0C" w:rsidP="006E3D0C">
      <w:pPr>
        <w:spacing w:before="100" w:beforeAutospacing="1" w:after="100" w:afterAutospacing="1"/>
        <w:rPr>
          <w:rFonts w:asciiTheme="minorHAnsi" w:hAnsiTheme="minorHAnsi"/>
          <w:sz w:val="20"/>
          <w:szCs w:val="20"/>
        </w:rPr>
      </w:pPr>
      <w:r w:rsidRPr="005432E1">
        <w:rPr>
          <w:rFonts w:asciiTheme="minorHAnsi" w:hAnsiTheme="minorHAnsi"/>
          <w:b/>
        </w:rPr>
        <w:t xml:space="preserve">a.2.5) </w:t>
      </w:r>
      <w:r w:rsidR="002506FB" w:rsidRPr="005432E1">
        <w:rPr>
          <w:rFonts w:asciiTheme="minorHAnsi" w:hAnsiTheme="minorHAnsi"/>
          <w:b/>
          <w:bCs/>
        </w:rPr>
        <w:t>Riscos previstos e efetivamente realizados em 2017</w:t>
      </w:r>
    </w:p>
    <w:p w14:paraId="7A2D3236" w14:textId="77777777" w:rsidR="002506FB" w:rsidRPr="005432E1" w:rsidRDefault="001D7755" w:rsidP="002506FB">
      <w:pPr>
        <w:spacing w:before="100" w:beforeAutospacing="1" w:after="100" w:afterAutospacing="1"/>
        <w:jc w:val="both"/>
        <w:rPr>
          <w:rFonts w:asciiTheme="minorHAnsi" w:hAnsiTheme="minorHAnsi"/>
        </w:rPr>
      </w:pPr>
      <w:r w:rsidRPr="005432E1">
        <w:rPr>
          <w:rFonts w:asciiTheme="minorHAnsi" w:hAnsiTheme="minorHAnsi"/>
        </w:rPr>
        <w:tab/>
      </w:r>
      <w:r w:rsidR="002506FB" w:rsidRPr="005432E1">
        <w:rPr>
          <w:rFonts w:asciiTheme="minorHAnsi" w:hAnsiTheme="minorHAnsi"/>
        </w:rPr>
        <w:t>Para o ano de 2017, foi previsto risco de 0,11% do total das receitas incluídas na Lei Orçamentaria Anual relativamente aos haveres financeiros da União não relacionados a entes federativos.</w:t>
      </w:r>
    </w:p>
    <w:p w14:paraId="32EC29D8" w14:textId="77777777" w:rsidR="002506FB" w:rsidRPr="005432E1" w:rsidRDefault="001D7755" w:rsidP="002506FB">
      <w:pPr>
        <w:spacing w:before="100" w:beforeAutospacing="1" w:after="100" w:afterAutospacing="1"/>
        <w:jc w:val="both"/>
        <w:rPr>
          <w:rFonts w:asciiTheme="minorHAnsi" w:hAnsiTheme="minorHAnsi"/>
        </w:rPr>
      </w:pPr>
      <w:r w:rsidRPr="005432E1">
        <w:rPr>
          <w:rFonts w:asciiTheme="minorHAnsi" w:hAnsiTheme="minorHAnsi"/>
        </w:rPr>
        <w:tab/>
      </w:r>
      <w:r w:rsidR="002506FB" w:rsidRPr="005432E1">
        <w:rPr>
          <w:rFonts w:asciiTheme="minorHAnsi" w:hAnsiTheme="minorHAnsi"/>
        </w:rPr>
        <w:t>Ao comparar os valores previstos e realizados para o exercício de 2017, foi verificado que as variações mais significativas dizem respeito à liquidação antecipada, pelo BNDES, no valor de R$ 50 bilhões em contratos de financiamento que aquele Banco possui com a União, evento que elevou a arrecadação acima da previsão, para o grupo Legislação Específica.</w:t>
      </w:r>
    </w:p>
    <w:p w14:paraId="290E106C" w14:textId="77777777" w:rsidR="002506FB" w:rsidRPr="005432E1" w:rsidRDefault="001D7755" w:rsidP="002506FB">
      <w:pPr>
        <w:spacing w:before="100" w:beforeAutospacing="1" w:after="100" w:afterAutospacing="1"/>
        <w:jc w:val="both"/>
        <w:rPr>
          <w:rFonts w:asciiTheme="minorHAnsi" w:hAnsiTheme="minorHAnsi"/>
        </w:rPr>
      </w:pPr>
      <w:r w:rsidRPr="005432E1">
        <w:rPr>
          <w:rFonts w:asciiTheme="minorHAnsi" w:hAnsiTheme="minorHAnsi"/>
        </w:rPr>
        <w:tab/>
      </w:r>
      <w:r w:rsidR="002506FB" w:rsidRPr="005432E1">
        <w:rPr>
          <w:rFonts w:asciiTheme="minorHAnsi" w:hAnsiTheme="minorHAnsi"/>
        </w:rPr>
        <w:t>Deve ser destacado ainda que, no que diz respeito ao agregado Operações Estruturadas, a receita realizada em 2017 foi 7,24% inferior ao valor previsto, uma vez que esse grupo inclui os ativos da União com Eletrobrás que são atualizados monetariamente pelo dólar, sendo que o mesmo oscilou de R$ 3,9986, em 01</w:t>
      </w:r>
      <w:r w:rsidR="00390EDD" w:rsidRPr="005432E1">
        <w:rPr>
          <w:rFonts w:asciiTheme="minorHAnsi" w:hAnsiTheme="minorHAnsi"/>
        </w:rPr>
        <w:t>/</w:t>
      </w:r>
      <w:r w:rsidR="002506FB" w:rsidRPr="005432E1">
        <w:rPr>
          <w:rFonts w:asciiTheme="minorHAnsi" w:hAnsiTheme="minorHAnsi"/>
        </w:rPr>
        <w:t>02</w:t>
      </w:r>
      <w:r w:rsidR="00390EDD" w:rsidRPr="005432E1">
        <w:rPr>
          <w:rFonts w:asciiTheme="minorHAnsi" w:hAnsiTheme="minorHAnsi"/>
        </w:rPr>
        <w:t>/</w:t>
      </w:r>
      <w:r w:rsidR="002506FB" w:rsidRPr="005432E1">
        <w:rPr>
          <w:rFonts w:asciiTheme="minorHAnsi" w:hAnsiTheme="minorHAnsi"/>
        </w:rPr>
        <w:t>2016, quando da confecção da PLDO 2017, para uma taxa efetiva média de R$ 3,1925, verificada no período de 02</w:t>
      </w:r>
      <w:r w:rsidR="00390EDD" w:rsidRPr="005432E1">
        <w:rPr>
          <w:rFonts w:asciiTheme="minorHAnsi" w:hAnsiTheme="minorHAnsi"/>
        </w:rPr>
        <w:t>/</w:t>
      </w:r>
      <w:r w:rsidR="002506FB" w:rsidRPr="005432E1">
        <w:rPr>
          <w:rFonts w:asciiTheme="minorHAnsi" w:hAnsiTheme="minorHAnsi"/>
        </w:rPr>
        <w:t>01</w:t>
      </w:r>
      <w:r w:rsidR="00390EDD" w:rsidRPr="005432E1">
        <w:rPr>
          <w:rFonts w:asciiTheme="minorHAnsi" w:hAnsiTheme="minorHAnsi"/>
        </w:rPr>
        <w:t>/</w:t>
      </w:r>
      <w:r w:rsidR="002506FB" w:rsidRPr="005432E1">
        <w:rPr>
          <w:rFonts w:asciiTheme="minorHAnsi" w:hAnsiTheme="minorHAnsi"/>
        </w:rPr>
        <w:t>2017 a 29</w:t>
      </w:r>
      <w:r w:rsidR="00390EDD" w:rsidRPr="005432E1">
        <w:rPr>
          <w:rFonts w:asciiTheme="minorHAnsi" w:hAnsiTheme="minorHAnsi"/>
        </w:rPr>
        <w:t>/</w:t>
      </w:r>
      <w:r w:rsidR="002506FB" w:rsidRPr="005432E1">
        <w:rPr>
          <w:rFonts w:asciiTheme="minorHAnsi" w:hAnsiTheme="minorHAnsi"/>
        </w:rPr>
        <w:t>12</w:t>
      </w:r>
      <w:r w:rsidR="00390EDD" w:rsidRPr="005432E1">
        <w:rPr>
          <w:rFonts w:asciiTheme="minorHAnsi" w:hAnsiTheme="minorHAnsi"/>
        </w:rPr>
        <w:t>/</w:t>
      </w:r>
      <w:r w:rsidR="002506FB" w:rsidRPr="005432E1">
        <w:rPr>
          <w:rFonts w:asciiTheme="minorHAnsi" w:hAnsiTheme="minorHAnsi"/>
        </w:rPr>
        <w:t>2017, correspondendo a uma queda de 20,16% no valor da taxa de câmbio.</w:t>
      </w:r>
    </w:p>
    <w:p w14:paraId="1B98C79E" w14:textId="66455538" w:rsidR="005432E1" w:rsidRDefault="001D7755" w:rsidP="002506FB">
      <w:pPr>
        <w:spacing w:before="100" w:beforeAutospacing="1" w:after="100" w:afterAutospacing="1"/>
        <w:jc w:val="both"/>
        <w:rPr>
          <w:rFonts w:asciiTheme="minorHAnsi" w:hAnsiTheme="minorHAnsi"/>
        </w:rPr>
      </w:pPr>
      <w:r w:rsidRPr="005432E1">
        <w:rPr>
          <w:rFonts w:asciiTheme="minorHAnsi" w:hAnsiTheme="minorHAnsi"/>
        </w:rPr>
        <w:tab/>
      </w:r>
      <w:r w:rsidR="002506FB" w:rsidRPr="005432E1">
        <w:rPr>
          <w:rFonts w:asciiTheme="minorHAnsi" w:hAnsiTheme="minorHAnsi"/>
        </w:rPr>
        <w:t>A tabela a seguir compara o valor provisionado com o efetivamente arrecadado no exercício de 2017.</w:t>
      </w:r>
    </w:p>
    <w:p w14:paraId="0CE32841" w14:textId="77777777" w:rsidR="005432E1" w:rsidRDefault="005432E1">
      <w:pPr>
        <w:rPr>
          <w:rFonts w:asciiTheme="minorHAnsi" w:hAnsiTheme="minorHAnsi"/>
        </w:rPr>
      </w:pPr>
      <w:r>
        <w:rPr>
          <w:rFonts w:asciiTheme="minorHAnsi" w:hAnsiTheme="minorHAnsi"/>
        </w:rPr>
        <w:br w:type="page"/>
      </w:r>
    </w:p>
    <w:p w14:paraId="3A80478A" w14:textId="77777777" w:rsidR="002506FB" w:rsidRPr="005432E1" w:rsidRDefault="002506FB" w:rsidP="002506FB">
      <w:pPr>
        <w:spacing w:before="100" w:beforeAutospacing="1" w:after="100" w:afterAutospacing="1"/>
        <w:jc w:val="both"/>
        <w:rPr>
          <w:rFonts w:asciiTheme="minorHAnsi" w:hAnsiTheme="minorHAnsi"/>
        </w:rPr>
      </w:pPr>
    </w:p>
    <w:p w14:paraId="4F2EBDB5" w14:textId="66F4761A" w:rsidR="002506FB" w:rsidRPr="005432E1" w:rsidRDefault="006264C0" w:rsidP="002506FB">
      <w:pPr>
        <w:spacing w:before="100" w:beforeAutospacing="1" w:after="100" w:afterAutospacing="1"/>
        <w:jc w:val="center"/>
        <w:rPr>
          <w:rFonts w:asciiTheme="minorHAnsi" w:hAnsiTheme="minorHAnsi"/>
        </w:rPr>
      </w:pPr>
      <w:r w:rsidRPr="005432E1">
        <w:rPr>
          <w:rFonts w:asciiTheme="minorHAnsi" w:hAnsiTheme="minorHAnsi"/>
          <w:b/>
          <w:bCs/>
        </w:rPr>
        <w:t>Tabela 5</w:t>
      </w:r>
      <w:r w:rsidR="00BB69B5" w:rsidRPr="005432E1">
        <w:rPr>
          <w:rFonts w:asciiTheme="minorHAnsi" w:hAnsiTheme="minorHAnsi"/>
          <w:b/>
          <w:bCs/>
        </w:rPr>
        <w:t>6</w:t>
      </w:r>
      <w:r w:rsidR="002506FB" w:rsidRPr="005432E1">
        <w:rPr>
          <w:rFonts w:asciiTheme="minorHAnsi" w:hAnsiTheme="minorHAnsi"/>
          <w:b/>
          <w:bCs/>
        </w:rPr>
        <w:t xml:space="preserve"> – Comparação do valor provisionado com o efetivamente arrecadado no exercício de 2017 (R$ milhões)</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8"/>
        <w:gridCol w:w="1679"/>
        <w:gridCol w:w="1620"/>
        <w:gridCol w:w="1842"/>
        <w:gridCol w:w="1500"/>
        <w:gridCol w:w="1864"/>
      </w:tblGrid>
      <w:tr w:rsidR="0026114A" w:rsidRPr="005432E1" w14:paraId="58612A8E"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hideMark/>
          </w:tcPr>
          <w:p w14:paraId="4F30A344"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 xml:space="preserve">Agregados </w:t>
            </w:r>
          </w:p>
        </w:tc>
        <w:tc>
          <w:tcPr>
            <w:tcW w:w="1649" w:type="dxa"/>
            <w:tcBorders>
              <w:top w:val="outset" w:sz="6" w:space="0" w:color="auto"/>
              <w:left w:val="outset" w:sz="6" w:space="0" w:color="auto"/>
              <w:bottom w:val="outset" w:sz="6" w:space="0" w:color="auto"/>
              <w:right w:val="outset" w:sz="6" w:space="0" w:color="auto"/>
            </w:tcBorders>
            <w:vAlign w:val="center"/>
            <w:hideMark/>
          </w:tcPr>
          <w:p w14:paraId="17F451BB"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previsto 2017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2F0273D"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 de Inadimplência</w:t>
            </w:r>
          </w:p>
        </w:tc>
        <w:tc>
          <w:tcPr>
            <w:tcW w:w="1812" w:type="dxa"/>
            <w:tcBorders>
              <w:top w:val="outset" w:sz="6" w:space="0" w:color="auto"/>
              <w:left w:val="outset" w:sz="6" w:space="0" w:color="auto"/>
              <w:bottom w:val="outset" w:sz="6" w:space="0" w:color="auto"/>
              <w:right w:val="outset" w:sz="6" w:space="0" w:color="auto"/>
            </w:tcBorders>
            <w:vAlign w:val="center"/>
            <w:hideMark/>
          </w:tcPr>
          <w:p w14:paraId="221DFA6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Valor de recebimento previsto para 2017 após o provisionamento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31BC71C"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 xml:space="preserve">Valor de recebimento Realizado 2017 </w:t>
            </w:r>
          </w:p>
        </w:tc>
        <w:tc>
          <w:tcPr>
            <w:tcW w:w="1834" w:type="dxa"/>
            <w:tcBorders>
              <w:top w:val="outset" w:sz="6" w:space="0" w:color="auto"/>
              <w:left w:val="outset" w:sz="6" w:space="0" w:color="auto"/>
              <w:bottom w:val="outset" w:sz="6" w:space="0" w:color="auto"/>
              <w:right w:val="outset" w:sz="6" w:space="0" w:color="auto"/>
            </w:tcBorders>
            <w:vAlign w:val="center"/>
            <w:hideMark/>
          </w:tcPr>
          <w:p w14:paraId="0BB275E3"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i/>
                <w:iCs/>
              </w:rPr>
              <w:t xml:space="preserve"> Diferença entre o valor após provisionamento e o efetivamente recebido </w:t>
            </w:r>
          </w:p>
        </w:tc>
      </w:tr>
      <w:tr w:rsidR="0026114A" w:rsidRPr="005432E1" w14:paraId="603A86F0"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hideMark/>
          </w:tcPr>
          <w:p w14:paraId="22AA600E"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Empresas Extintas</w:t>
            </w:r>
          </w:p>
        </w:tc>
        <w:tc>
          <w:tcPr>
            <w:tcW w:w="1649" w:type="dxa"/>
            <w:tcBorders>
              <w:top w:val="outset" w:sz="6" w:space="0" w:color="auto"/>
              <w:left w:val="outset" w:sz="6" w:space="0" w:color="auto"/>
              <w:bottom w:val="outset" w:sz="6" w:space="0" w:color="auto"/>
              <w:right w:val="outset" w:sz="6" w:space="0" w:color="auto"/>
            </w:tcBorders>
            <w:vAlign w:val="center"/>
            <w:hideMark/>
          </w:tcPr>
          <w:p w14:paraId="7D33C416"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Sem previsão</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5F67960"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100,0%</w:t>
            </w:r>
          </w:p>
        </w:tc>
        <w:tc>
          <w:tcPr>
            <w:tcW w:w="1812" w:type="dxa"/>
            <w:tcBorders>
              <w:top w:val="outset" w:sz="6" w:space="0" w:color="auto"/>
              <w:left w:val="outset" w:sz="6" w:space="0" w:color="auto"/>
              <w:bottom w:val="outset" w:sz="6" w:space="0" w:color="auto"/>
              <w:right w:val="outset" w:sz="6" w:space="0" w:color="auto"/>
            </w:tcBorders>
            <w:noWrap/>
            <w:vAlign w:val="center"/>
            <w:hideMark/>
          </w:tcPr>
          <w:p w14:paraId="1B9B3B9B"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Sem previsão</w:t>
            </w:r>
          </w:p>
        </w:tc>
        <w:tc>
          <w:tcPr>
            <w:tcW w:w="1470" w:type="dxa"/>
            <w:tcBorders>
              <w:top w:val="outset" w:sz="6" w:space="0" w:color="auto"/>
              <w:left w:val="outset" w:sz="6" w:space="0" w:color="auto"/>
              <w:bottom w:val="outset" w:sz="6" w:space="0" w:color="auto"/>
              <w:right w:val="outset" w:sz="6" w:space="0" w:color="auto"/>
            </w:tcBorders>
            <w:noWrap/>
            <w:vAlign w:val="center"/>
            <w:hideMark/>
          </w:tcPr>
          <w:p w14:paraId="2D4A7A1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0,748</w:t>
            </w:r>
          </w:p>
        </w:tc>
        <w:tc>
          <w:tcPr>
            <w:tcW w:w="1834" w:type="dxa"/>
            <w:tcBorders>
              <w:top w:val="outset" w:sz="6" w:space="0" w:color="auto"/>
              <w:left w:val="outset" w:sz="6" w:space="0" w:color="auto"/>
              <w:bottom w:val="outset" w:sz="6" w:space="0" w:color="auto"/>
              <w:right w:val="outset" w:sz="6" w:space="0" w:color="auto"/>
            </w:tcBorders>
            <w:noWrap/>
            <w:vAlign w:val="center"/>
            <w:hideMark/>
          </w:tcPr>
          <w:p w14:paraId="1D3A4A21"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w:t>
            </w:r>
          </w:p>
        </w:tc>
      </w:tr>
      <w:tr w:rsidR="0026114A" w:rsidRPr="005432E1" w14:paraId="0EE998E9"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hideMark/>
          </w:tcPr>
          <w:p w14:paraId="405792CF"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Operações Estruturadas</w:t>
            </w:r>
          </w:p>
        </w:tc>
        <w:tc>
          <w:tcPr>
            <w:tcW w:w="1649" w:type="dxa"/>
            <w:tcBorders>
              <w:top w:val="outset" w:sz="6" w:space="0" w:color="auto"/>
              <w:left w:val="outset" w:sz="6" w:space="0" w:color="auto"/>
              <w:bottom w:val="outset" w:sz="6" w:space="0" w:color="auto"/>
              <w:right w:val="outset" w:sz="6" w:space="0" w:color="auto"/>
            </w:tcBorders>
            <w:vAlign w:val="center"/>
            <w:hideMark/>
          </w:tcPr>
          <w:p w14:paraId="7AA7DF12"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5.827,292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525A782"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0,35%</w:t>
            </w:r>
          </w:p>
        </w:tc>
        <w:tc>
          <w:tcPr>
            <w:tcW w:w="1812" w:type="dxa"/>
            <w:tcBorders>
              <w:top w:val="outset" w:sz="6" w:space="0" w:color="auto"/>
              <w:left w:val="outset" w:sz="6" w:space="0" w:color="auto"/>
              <w:bottom w:val="outset" w:sz="6" w:space="0" w:color="auto"/>
              <w:right w:val="outset" w:sz="6" w:space="0" w:color="auto"/>
            </w:tcBorders>
            <w:noWrap/>
            <w:vAlign w:val="center"/>
            <w:hideMark/>
          </w:tcPr>
          <w:p w14:paraId="6097E457"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5.806,819</w:t>
            </w:r>
          </w:p>
        </w:tc>
        <w:tc>
          <w:tcPr>
            <w:tcW w:w="1470" w:type="dxa"/>
            <w:tcBorders>
              <w:top w:val="outset" w:sz="6" w:space="0" w:color="auto"/>
              <w:left w:val="outset" w:sz="6" w:space="0" w:color="auto"/>
              <w:bottom w:val="outset" w:sz="6" w:space="0" w:color="auto"/>
              <w:right w:val="outset" w:sz="6" w:space="0" w:color="auto"/>
            </w:tcBorders>
            <w:noWrap/>
            <w:vAlign w:val="center"/>
            <w:hideMark/>
          </w:tcPr>
          <w:p w14:paraId="3E1FCDB3"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5.386,120</w:t>
            </w:r>
          </w:p>
        </w:tc>
        <w:tc>
          <w:tcPr>
            <w:tcW w:w="1834" w:type="dxa"/>
            <w:tcBorders>
              <w:top w:val="outset" w:sz="6" w:space="0" w:color="auto"/>
              <w:left w:val="outset" w:sz="6" w:space="0" w:color="auto"/>
              <w:bottom w:val="outset" w:sz="6" w:space="0" w:color="auto"/>
              <w:right w:val="outset" w:sz="6" w:space="0" w:color="auto"/>
            </w:tcBorders>
            <w:vAlign w:val="center"/>
            <w:hideMark/>
          </w:tcPr>
          <w:p w14:paraId="65231BAD"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-7,24%</w:t>
            </w:r>
          </w:p>
        </w:tc>
      </w:tr>
      <w:tr w:rsidR="0026114A" w:rsidRPr="005432E1" w14:paraId="4BEFB068"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hideMark/>
          </w:tcPr>
          <w:p w14:paraId="329BED0D"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Legislação Específica</w:t>
            </w:r>
          </w:p>
        </w:tc>
        <w:tc>
          <w:tcPr>
            <w:tcW w:w="1649" w:type="dxa"/>
            <w:tcBorders>
              <w:top w:val="outset" w:sz="6" w:space="0" w:color="auto"/>
              <w:left w:val="outset" w:sz="6" w:space="0" w:color="auto"/>
              <w:bottom w:val="outset" w:sz="6" w:space="0" w:color="auto"/>
              <w:right w:val="outset" w:sz="6" w:space="0" w:color="auto"/>
            </w:tcBorders>
            <w:vAlign w:val="center"/>
            <w:hideMark/>
          </w:tcPr>
          <w:p w14:paraId="22E1CD5D"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11.810,178</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B9020C2"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0,0%</w:t>
            </w:r>
          </w:p>
        </w:tc>
        <w:tc>
          <w:tcPr>
            <w:tcW w:w="1812" w:type="dxa"/>
            <w:tcBorders>
              <w:top w:val="outset" w:sz="6" w:space="0" w:color="auto"/>
              <w:left w:val="outset" w:sz="6" w:space="0" w:color="auto"/>
              <w:bottom w:val="outset" w:sz="6" w:space="0" w:color="auto"/>
              <w:right w:val="outset" w:sz="6" w:space="0" w:color="auto"/>
            </w:tcBorders>
            <w:noWrap/>
            <w:vAlign w:val="center"/>
            <w:hideMark/>
          </w:tcPr>
          <w:p w14:paraId="73458040"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11.810,178</w:t>
            </w:r>
          </w:p>
        </w:tc>
        <w:tc>
          <w:tcPr>
            <w:tcW w:w="1470" w:type="dxa"/>
            <w:tcBorders>
              <w:top w:val="outset" w:sz="6" w:space="0" w:color="auto"/>
              <w:left w:val="outset" w:sz="6" w:space="0" w:color="auto"/>
              <w:bottom w:val="outset" w:sz="6" w:space="0" w:color="auto"/>
              <w:right w:val="outset" w:sz="6" w:space="0" w:color="auto"/>
            </w:tcBorders>
            <w:noWrap/>
            <w:vAlign w:val="center"/>
            <w:hideMark/>
          </w:tcPr>
          <w:p w14:paraId="4C5605EB"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53.819,032</w:t>
            </w:r>
          </w:p>
        </w:tc>
        <w:tc>
          <w:tcPr>
            <w:tcW w:w="1834" w:type="dxa"/>
            <w:tcBorders>
              <w:top w:val="outset" w:sz="6" w:space="0" w:color="auto"/>
              <w:left w:val="outset" w:sz="6" w:space="0" w:color="auto"/>
              <w:bottom w:val="outset" w:sz="6" w:space="0" w:color="auto"/>
              <w:right w:val="outset" w:sz="6" w:space="0" w:color="auto"/>
            </w:tcBorders>
            <w:vAlign w:val="center"/>
            <w:hideMark/>
          </w:tcPr>
          <w:p w14:paraId="1B2DED27"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355,70%</w:t>
            </w:r>
          </w:p>
        </w:tc>
      </w:tr>
      <w:tr w:rsidR="0026114A" w:rsidRPr="005432E1" w14:paraId="52AF6DE8"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hideMark/>
          </w:tcPr>
          <w:p w14:paraId="454F6B4F"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Haveres Rurais</w:t>
            </w:r>
          </w:p>
        </w:tc>
        <w:tc>
          <w:tcPr>
            <w:tcW w:w="1649" w:type="dxa"/>
            <w:tcBorders>
              <w:top w:val="outset" w:sz="6" w:space="0" w:color="auto"/>
              <w:left w:val="outset" w:sz="6" w:space="0" w:color="auto"/>
              <w:bottom w:val="outset" w:sz="6" w:space="0" w:color="auto"/>
              <w:right w:val="outset" w:sz="6" w:space="0" w:color="auto"/>
            </w:tcBorders>
            <w:vAlign w:val="center"/>
            <w:hideMark/>
          </w:tcPr>
          <w:p w14:paraId="12D49443"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338,744</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0488AA9"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0,0%</w:t>
            </w:r>
          </w:p>
        </w:tc>
        <w:tc>
          <w:tcPr>
            <w:tcW w:w="1812" w:type="dxa"/>
            <w:tcBorders>
              <w:top w:val="outset" w:sz="6" w:space="0" w:color="auto"/>
              <w:left w:val="outset" w:sz="6" w:space="0" w:color="auto"/>
              <w:bottom w:val="outset" w:sz="6" w:space="0" w:color="auto"/>
              <w:right w:val="outset" w:sz="6" w:space="0" w:color="auto"/>
            </w:tcBorders>
            <w:noWrap/>
            <w:vAlign w:val="center"/>
            <w:hideMark/>
          </w:tcPr>
          <w:p w14:paraId="79FC315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338,744</w:t>
            </w:r>
          </w:p>
        </w:tc>
        <w:tc>
          <w:tcPr>
            <w:tcW w:w="1470" w:type="dxa"/>
            <w:tcBorders>
              <w:top w:val="outset" w:sz="6" w:space="0" w:color="auto"/>
              <w:left w:val="outset" w:sz="6" w:space="0" w:color="auto"/>
              <w:bottom w:val="outset" w:sz="6" w:space="0" w:color="auto"/>
              <w:right w:val="outset" w:sz="6" w:space="0" w:color="auto"/>
            </w:tcBorders>
            <w:noWrap/>
            <w:vAlign w:val="center"/>
            <w:hideMark/>
          </w:tcPr>
          <w:p w14:paraId="5AFD9612"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378,802</w:t>
            </w:r>
          </w:p>
        </w:tc>
        <w:tc>
          <w:tcPr>
            <w:tcW w:w="1834" w:type="dxa"/>
            <w:tcBorders>
              <w:top w:val="outset" w:sz="6" w:space="0" w:color="auto"/>
              <w:left w:val="outset" w:sz="6" w:space="0" w:color="auto"/>
              <w:bottom w:val="outset" w:sz="6" w:space="0" w:color="auto"/>
              <w:right w:val="outset" w:sz="6" w:space="0" w:color="auto"/>
            </w:tcBorders>
            <w:vAlign w:val="center"/>
            <w:hideMark/>
          </w:tcPr>
          <w:p w14:paraId="4D731312"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11,83%</w:t>
            </w:r>
          </w:p>
        </w:tc>
      </w:tr>
      <w:tr w:rsidR="0026114A" w:rsidRPr="005432E1" w14:paraId="18F743FB" w14:textId="77777777" w:rsidTr="00A80D84">
        <w:trPr>
          <w:tblCellSpacing w:w="0" w:type="dxa"/>
        </w:trPr>
        <w:tc>
          <w:tcPr>
            <w:tcW w:w="1418" w:type="dxa"/>
            <w:tcBorders>
              <w:top w:val="outset" w:sz="6" w:space="0" w:color="auto"/>
              <w:left w:val="outset" w:sz="6" w:space="0" w:color="auto"/>
              <w:bottom w:val="outset" w:sz="6" w:space="0" w:color="auto"/>
              <w:right w:val="outset" w:sz="6" w:space="0" w:color="auto"/>
            </w:tcBorders>
            <w:noWrap/>
            <w:vAlign w:val="center"/>
            <w:hideMark/>
          </w:tcPr>
          <w:p w14:paraId="2F184B5A"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TOTAL</w:t>
            </w:r>
          </w:p>
        </w:tc>
        <w:tc>
          <w:tcPr>
            <w:tcW w:w="1649" w:type="dxa"/>
            <w:tcBorders>
              <w:top w:val="outset" w:sz="6" w:space="0" w:color="auto"/>
              <w:left w:val="outset" w:sz="6" w:space="0" w:color="auto"/>
              <w:bottom w:val="outset" w:sz="6" w:space="0" w:color="auto"/>
              <w:right w:val="outset" w:sz="6" w:space="0" w:color="auto"/>
            </w:tcBorders>
            <w:noWrap/>
            <w:vAlign w:val="center"/>
            <w:hideMark/>
          </w:tcPr>
          <w:p w14:paraId="520F8F04"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17.976,215</w:t>
            </w:r>
          </w:p>
        </w:tc>
        <w:tc>
          <w:tcPr>
            <w:tcW w:w="1590" w:type="dxa"/>
            <w:tcBorders>
              <w:top w:val="outset" w:sz="6" w:space="0" w:color="auto"/>
              <w:left w:val="outset" w:sz="6" w:space="0" w:color="auto"/>
              <w:bottom w:val="outset" w:sz="6" w:space="0" w:color="auto"/>
              <w:right w:val="outset" w:sz="6" w:space="0" w:color="auto"/>
            </w:tcBorders>
            <w:noWrap/>
            <w:vAlign w:val="center"/>
            <w:hideMark/>
          </w:tcPr>
          <w:p w14:paraId="39EE65B2" w14:textId="77777777" w:rsidR="002506FB" w:rsidRPr="005432E1" w:rsidRDefault="002506FB" w:rsidP="00A80D84">
            <w:pPr>
              <w:spacing w:before="100" w:beforeAutospacing="1" w:after="100" w:afterAutospacing="1"/>
              <w:rPr>
                <w:rFonts w:asciiTheme="minorHAnsi" w:hAnsiTheme="minorHAnsi"/>
              </w:rPr>
            </w:pPr>
          </w:p>
        </w:tc>
        <w:tc>
          <w:tcPr>
            <w:tcW w:w="1812" w:type="dxa"/>
            <w:tcBorders>
              <w:top w:val="outset" w:sz="6" w:space="0" w:color="auto"/>
              <w:left w:val="outset" w:sz="6" w:space="0" w:color="auto"/>
              <w:bottom w:val="outset" w:sz="6" w:space="0" w:color="auto"/>
              <w:right w:val="outset" w:sz="6" w:space="0" w:color="auto"/>
            </w:tcBorders>
            <w:noWrap/>
            <w:vAlign w:val="center"/>
            <w:hideMark/>
          </w:tcPr>
          <w:p w14:paraId="09C01DF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17.955,742</w:t>
            </w:r>
          </w:p>
        </w:tc>
        <w:tc>
          <w:tcPr>
            <w:tcW w:w="1470" w:type="dxa"/>
            <w:tcBorders>
              <w:top w:val="outset" w:sz="6" w:space="0" w:color="auto"/>
              <w:left w:val="outset" w:sz="6" w:space="0" w:color="auto"/>
              <w:bottom w:val="outset" w:sz="6" w:space="0" w:color="auto"/>
              <w:right w:val="outset" w:sz="6" w:space="0" w:color="auto"/>
            </w:tcBorders>
            <w:noWrap/>
            <w:vAlign w:val="center"/>
            <w:hideMark/>
          </w:tcPr>
          <w:p w14:paraId="2A49EDA3"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59.584,703</w:t>
            </w:r>
          </w:p>
        </w:tc>
        <w:tc>
          <w:tcPr>
            <w:tcW w:w="1834" w:type="dxa"/>
            <w:tcBorders>
              <w:top w:val="outset" w:sz="6" w:space="0" w:color="auto"/>
              <w:left w:val="outset" w:sz="6" w:space="0" w:color="auto"/>
              <w:bottom w:val="outset" w:sz="6" w:space="0" w:color="auto"/>
              <w:right w:val="outset" w:sz="6" w:space="0" w:color="auto"/>
            </w:tcBorders>
            <w:noWrap/>
            <w:vAlign w:val="center"/>
            <w:hideMark/>
          </w:tcPr>
          <w:p w14:paraId="712E5171"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231,84%</w:t>
            </w:r>
          </w:p>
        </w:tc>
      </w:tr>
    </w:tbl>
    <w:p w14:paraId="60F7A543" w14:textId="77777777" w:rsidR="00390EDD" w:rsidRPr="005432E1" w:rsidRDefault="002F5BE0" w:rsidP="00B14BFE">
      <w:pPr>
        <w:spacing w:after="100" w:afterAutospacing="1"/>
        <w:rPr>
          <w:rFonts w:asciiTheme="minorHAnsi" w:hAnsiTheme="minorHAnsi"/>
          <w:sz w:val="20"/>
          <w:szCs w:val="20"/>
        </w:rPr>
      </w:pPr>
      <w:r w:rsidRPr="005432E1">
        <w:rPr>
          <w:rFonts w:asciiTheme="minorHAnsi" w:hAnsiTheme="minorHAnsi"/>
          <w:b/>
        </w:rPr>
        <w:t xml:space="preserve"> </w:t>
      </w:r>
      <w:bookmarkStart w:id="214" w:name="_Toc447189140"/>
      <w:bookmarkStart w:id="215" w:name="_Toc447613114"/>
      <w:r w:rsidR="00390EDD" w:rsidRPr="005432E1">
        <w:rPr>
          <w:rFonts w:asciiTheme="minorHAnsi" w:hAnsiTheme="minorHAnsi"/>
          <w:sz w:val="20"/>
          <w:szCs w:val="20"/>
        </w:rPr>
        <w:t>Fonte: GEATI/COFIS/STN/MF.</w:t>
      </w:r>
    </w:p>
    <w:p w14:paraId="178BD435" w14:textId="77777777" w:rsidR="002506FB" w:rsidRPr="005432E1" w:rsidRDefault="002506FB" w:rsidP="002506FB">
      <w:pPr>
        <w:rPr>
          <w:rFonts w:asciiTheme="minorHAnsi" w:hAnsiTheme="minorHAnsi"/>
          <w:b/>
        </w:rPr>
      </w:pPr>
    </w:p>
    <w:p w14:paraId="6A58B910" w14:textId="77777777" w:rsidR="002506FB" w:rsidRPr="005432E1" w:rsidRDefault="00800025" w:rsidP="002506FB">
      <w:pPr>
        <w:rPr>
          <w:rFonts w:asciiTheme="minorHAnsi" w:hAnsiTheme="minorHAnsi"/>
          <w:b/>
        </w:rPr>
      </w:pPr>
      <w:r w:rsidRPr="005432E1">
        <w:rPr>
          <w:rFonts w:asciiTheme="minorHAnsi" w:hAnsiTheme="minorHAnsi"/>
          <w:b/>
        </w:rPr>
        <w:t>3.2.5</w:t>
      </w:r>
      <w:r w:rsidR="002506FB" w:rsidRPr="005432E1">
        <w:rPr>
          <w:rFonts w:asciiTheme="minorHAnsi" w:hAnsiTheme="minorHAnsi"/>
          <w:b/>
        </w:rPr>
        <w:t xml:space="preserve">.3 </w:t>
      </w:r>
      <w:r w:rsidR="002506FB" w:rsidRPr="005432E1">
        <w:rPr>
          <w:rFonts w:asciiTheme="minorHAnsi" w:hAnsiTheme="minorHAnsi"/>
          <w:b/>
          <w:bCs/>
        </w:rPr>
        <w:t>Haveres decorrentes de Programas Específicos e do Fundo de Financiamento às Exportações – Finex</w:t>
      </w:r>
    </w:p>
    <w:p w14:paraId="68C08369" w14:textId="77777777" w:rsidR="002506FB" w:rsidRPr="005432E1" w:rsidRDefault="002506FB" w:rsidP="002506FB">
      <w:pPr>
        <w:spacing w:before="100" w:beforeAutospacing="1" w:after="100" w:afterAutospacing="1"/>
        <w:jc w:val="both"/>
        <w:rPr>
          <w:rFonts w:asciiTheme="minorHAnsi" w:hAnsiTheme="minorHAnsi"/>
        </w:rPr>
      </w:pPr>
      <w:r w:rsidRPr="005432E1">
        <w:rPr>
          <w:rFonts w:asciiTheme="minorHAnsi" w:hAnsiTheme="minorHAnsi"/>
        </w:rPr>
        <w:tab/>
        <w:t>O programa que apresenta o maior percentual de não recebimento é o de Revitalização de Cooperativas de Produção Agropecuária (RECOOP), com 94%, seguido pelo programa do Fundo de Financiamento às Exportações (FINEX), com 77% e pelo programa de Fortalecimento da Agricultura Familiar (PRONAF), com 32%. Os valores registrados no SIAFI como perdas prováveis têm alto risco de não recebimento e, consequentemente, de inscrição em Dívida Ativa da União-DAU. Para que ocorra a inscrição na DAU, primeiramente, os bancos gestores dos programas tentam regularizar administrativamente a situação inadimplente dos mutuários.  Esgotadas as medidas administrativas, sem sucesso de quitação da dívida, os bancos formalizam o pedido de inscrição em Dívida Ativa da União- DAU. Uma vez aprovada a inscrição pela PGFN, o valor referente à inadimplência é retirado da carteira do Tesouro, ficando a cargo daquela procuradoria o controle e recebimento dos valores referentes aos haveres em litígio.</w:t>
      </w:r>
    </w:p>
    <w:p w14:paraId="3C7E42DD" w14:textId="77777777" w:rsidR="002506FB" w:rsidRPr="005432E1" w:rsidRDefault="002506FB" w:rsidP="002506FB">
      <w:pPr>
        <w:spacing w:before="100" w:beforeAutospacing="1" w:after="100" w:afterAutospacing="1"/>
        <w:jc w:val="both"/>
        <w:rPr>
          <w:rFonts w:asciiTheme="minorHAnsi" w:hAnsiTheme="minorHAnsi"/>
        </w:rPr>
      </w:pPr>
      <w:r w:rsidRPr="005432E1">
        <w:rPr>
          <w:rFonts w:asciiTheme="minorHAnsi" w:hAnsiTheme="minorHAnsi"/>
        </w:rPr>
        <w:tab/>
        <w:t>A natureza do risco é financeira, tendo em vista que o impacto no resultado primário já ocorreu quando foi realizada a operação de financiamento. O risco está relacionado ao não recebimento de empréstimos realizados com recursos da União para programas de recuperação da lavoura cacaueira baiana, fortalecimento de agricultura familiar, incentivos às exportações e de revitalização de cooperativas de produção agropecuária. A operacionalização do programa, bem como o processo de negociação administrativa junto aos inadimplentes, cabem ao banco gestor do programa.</w:t>
      </w:r>
    </w:p>
    <w:p w14:paraId="52D7EB74" w14:textId="77777777" w:rsidR="002506FB" w:rsidRPr="005432E1" w:rsidRDefault="002506FB" w:rsidP="002506FB">
      <w:pPr>
        <w:spacing w:before="100" w:beforeAutospacing="1" w:after="100" w:afterAutospacing="1"/>
        <w:jc w:val="both"/>
        <w:rPr>
          <w:rFonts w:asciiTheme="minorHAnsi" w:hAnsiTheme="minorHAnsi"/>
        </w:rPr>
      </w:pPr>
      <w:r w:rsidRPr="005432E1">
        <w:rPr>
          <w:rFonts w:asciiTheme="minorHAnsi" w:hAnsiTheme="minorHAnsi"/>
        </w:rPr>
        <w:tab/>
        <w:t>Em caso de materialização do risco, representado pelo não pagamento dos empréstimos, os bancos operadores dos programas adotam medidas de mitigação, que são definidas como negociação administrativa. Esgotadas essas ações administrativas, a providência adotada pelo banco é a solicitação de inscrição na DAU.</w:t>
      </w:r>
    </w:p>
    <w:p w14:paraId="4070B2CF" w14:textId="77777777" w:rsidR="002506FB" w:rsidRPr="005432E1" w:rsidRDefault="002506FB" w:rsidP="002506FB">
      <w:pPr>
        <w:spacing w:before="100" w:beforeAutospacing="1" w:after="100" w:afterAutospacing="1"/>
        <w:jc w:val="both"/>
        <w:rPr>
          <w:rFonts w:asciiTheme="minorHAnsi" w:hAnsiTheme="minorHAnsi"/>
        </w:rPr>
      </w:pPr>
      <w:r w:rsidRPr="005432E1">
        <w:rPr>
          <w:rFonts w:asciiTheme="minorHAnsi" w:hAnsiTheme="minorHAnsi"/>
        </w:rPr>
        <w:tab/>
        <w:t>Ademais, vale mencionar os haveres decorrentes dos Programas de Recuperação da Lavoura Cacaueira Baiana (PRLCB), de Fortalecimento da Agricultura Familiar (PRONAF), de Financiamento às Exportações (Proex) e de Revitalização de Cooperativas de Produção Agropecuária (RECOOP), assim como do Fundo de Financiamento às Exportações (Finex), que constam da tabela a seguir:</w:t>
      </w:r>
    </w:p>
    <w:p w14:paraId="3E8877BB" w14:textId="4B63C260" w:rsidR="002506FB" w:rsidRPr="005432E1" w:rsidRDefault="002506FB" w:rsidP="002506FB">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BB69B5" w:rsidRPr="005432E1">
        <w:rPr>
          <w:rFonts w:asciiTheme="minorHAnsi" w:hAnsiTheme="minorHAnsi"/>
          <w:b/>
          <w:bCs/>
        </w:rPr>
        <w:t>57</w:t>
      </w:r>
      <w:r w:rsidRPr="005432E1">
        <w:rPr>
          <w:rFonts w:asciiTheme="minorHAnsi" w:hAnsiTheme="minorHAnsi"/>
          <w:b/>
          <w:bCs/>
        </w:rPr>
        <w:t xml:space="preserve"> - Haveres decorrentes de Programas Específicos e do Finex (R$ milhões)</w:t>
      </w:r>
    </w:p>
    <w:tbl>
      <w:tblPr>
        <w:tblW w:w="8597" w:type="dxa"/>
        <w:tblCellSpacing w:w="0" w:type="dxa"/>
        <w:tblInd w:w="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1275"/>
        <w:gridCol w:w="1363"/>
        <w:gridCol w:w="1875"/>
        <w:gridCol w:w="1965"/>
      </w:tblGrid>
      <w:tr w:rsidR="0026114A" w:rsidRPr="005432E1" w14:paraId="50F9268B"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466142F"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Programa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B20FAFC"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Saldo da Carteira</w:t>
            </w:r>
          </w:p>
        </w:tc>
        <w:tc>
          <w:tcPr>
            <w:tcW w:w="1363" w:type="dxa"/>
            <w:tcBorders>
              <w:top w:val="outset" w:sz="6" w:space="0" w:color="auto"/>
              <w:left w:val="outset" w:sz="6" w:space="0" w:color="auto"/>
              <w:bottom w:val="outset" w:sz="6" w:space="0" w:color="auto"/>
              <w:right w:val="outset" w:sz="6" w:space="0" w:color="auto"/>
            </w:tcBorders>
            <w:vAlign w:val="center"/>
            <w:hideMark/>
          </w:tcPr>
          <w:p w14:paraId="2B4959F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 (risco) de não Recebimento</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80CDFA0"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Saldo após risco</w:t>
            </w:r>
          </w:p>
        </w:tc>
        <w:tc>
          <w:tcPr>
            <w:tcW w:w="1965" w:type="dxa"/>
            <w:tcBorders>
              <w:top w:val="outset" w:sz="6" w:space="0" w:color="auto"/>
              <w:left w:val="outset" w:sz="6" w:space="0" w:color="auto"/>
              <w:bottom w:val="outset" w:sz="6" w:space="0" w:color="auto"/>
              <w:right w:val="outset" w:sz="6" w:space="0" w:color="auto"/>
            </w:tcBorders>
            <w:vAlign w:val="center"/>
            <w:hideMark/>
          </w:tcPr>
          <w:p w14:paraId="60EBCBDF"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 Receita Financeira (F) ou Primária (P)</w:t>
            </w:r>
          </w:p>
        </w:tc>
      </w:tr>
      <w:tr w:rsidR="0026114A" w:rsidRPr="005432E1" w14:paraId="22245952"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14877FE"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CACAU – Programa de Recuperação da Lavoura Cacaueira Baiana - PRLCB</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430086A"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47,544</w:t>
            </w:r>
          </w:p>
        </w:tc>
        <w:tc>
          <w:tcPr>
            <w:tcW w:w="1363" w:type="dxa"/>
            <w:tcBorders>
              <w:top w:val="outset" w:sz="6" w:space="0" w:color="auto"/>
              <w:left w:val="outset" w:sz="6" w:space="0" w:color="auto"/>
              <w:bottom w:val="outset" w:sz="6" w:space="0" w:color="auto"/>
              <w:right w:val="outset" w:sz="6" w:space="0" w:color="auto"/>
            </w:tcBorders>
            <w:vAlign w:val="center"/>
            <w:hideMark/>
          </w:tcPr>
          <w:p w14:paraId="51BFACBD"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100%</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152B8FC"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1D8F6BB9"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45883872"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78372B5"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PRONAF – Programa de Fortalecimento da Agricultura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D47461"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4.074,515</w:t>
            </w:r>
          </w:p>
        </w:tc>
        <w:tc>
          <w:tcPr>
            <w:tcW w:w="1363" w:type="dxa"/>
            <w:tcBorders>
              <w:top w:val="outset" w:sz="6" w:space="0" w:color="auto"/>
              <w:left w:val="outset" w:sz="6" w:space="0" w:color="auto"/>
              <w:bottom w:val="outset" w:sz="6" w:space="0" w:color="auto"/>
              <w:right w:val="outset" w:sz="6" w:space="0" w:color="auto"/>
            </w:tcBorders>
            <w:vAlign w:val="center"/>
            <w:hideMark/>
          </w:tcPr>
          <w:p w14:paraId="498172EC"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32%</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6229EBB"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2.775,502</w:t>
            </w:r>
          </w:p>
        </w:tc>
        <w:tc>
          <w:tcPr>
            <w:tcW w:w="1965" w:type="dxa"/>
            <w:tcBorders>
              <w:top w:val="outset" w:sz="6" w:space="0" w:color="auto"/>
              <w:left w:val="outset" w:sz="6" w:space="0" w:color="auto"/>
              <w:bottom w:val="outset" w:sz="6" w:space="0" w:color="auto"/>
              <w:right w:val="outset" w:sz="6" w:space="0" w:color="auto"/>
            </w:tcBorders>
            <w:vAlign w:val="center"/>
            <w:hideMark/>
          </w:tcPr>
          <w:p w14:paraId="79301AFC"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25DD9077"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5EA53D8"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Subtotal Segmento Rural</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99F448F"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4.122,059</w:t>
            </w:r>
          </w:p>
        </w:tc>
        <w:tc>
          <w:tcPr>
            <w:tcW w:w="1363" w:type="dxa"/>
            <w:tcBorders>
              <w:top w:val="outset" w:sz="6" w:space="0" w:color="auto"/>
              <w:left w:val="outset" w:sz="6" w:space="0" w:color="auto"/>
              <w:bottom w:val="outset" w:sz="6" w:space="0" w:color="auto"/>
              <w:right w:val="outset" w:sz="6" w:space="0" w:color="auto"/>
            </w:tcBorders>
            <w:vAlign w:val="center"/>
            <w:hideMark/>
          </w:tcPr>
          <w:p w14:paraId="4E15F98A"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33%</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C1309EF"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2.775,502</w:t>
            </w:r>
          </w:p>
        </w:tc>
        <w:tc>
          <w:tcPr>
            <w:tcW w:w="1965" w:type="dxa"/>
            <w:tcBorders>
              <w:top w:val="outset" w:sz="6" w:space="0" w:color="auto"/>
              <w:left w:val="outset" w:sz="6" w:space="0" w:color="auto"/>
              <w:bottom w:val="outset" w:sz="6" w:space="0" w:color="auto"/>
              <w:right w:val="outset" w:sz="6" w:space="0" w:color="auto"/>
            </w:tcBorders>
            <w:vAlign w:val="center"/>
            <w:hideMark/>
          </w:tcPr>
          <w:p w14:paraId="4170F7C1"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F</w:t>
            </w:r>
          </w:p>
        </w:tc>
      </w:tr>
      <w:tr w:rsidR="0026114A" w:rsidRPr="005432E1" w14:paraId="4BC6401F"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FFBE78B"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Programa de Financiamento às Exportações – Proex*</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DEE8FD2"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2.024,160</w:t>
            </w:r>
          </w:p>
        </w:tc>
        <w:tc>
          <w:tcPr>
            <w:tcW w:w="1363" w:type="dxa"/>
            <w:tcBorders>
              <w:top w:val="outset" w:sz="6" w:space="0" w:color="auto"/>
              <w:left w:val="outset" w:sz="6" w:space="0" w:color="auto"/>
              <w:bottom w:val="outset" w:sz="6" w:space="0" w:color="auto"/>
              <w:right w:val="outset" w:sz="6" w:space="0" w:color="auto"/>
            </w:tcBorders>
            <w:vAlign w:val="center"/>
            <w:hideMark/>
          </w:tcPr>
          <w:p w14:paraId="04103A58"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6%</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D9AE748"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1.905,531</w:t>
            </w:r>
          </w:p>
        </w:tc>
        <w:tc>
          <w:tcPr>
            <w:tcW w:w="1965" w:type="dxa"/>
            <w:tcBorders>
              <w:top w:val="outset" w:sz="6" w:space="0" w:color="auto"/>
              <w:left w:val="outset" w:sz="6" w:space="0" w:color="auto"/>
              <w:bottom w:val="outset" w:sz="6" w:space="0" w:color="auto"/>
              <w:right w:val="outset" w:sz="6" w:space="0" w:color="auto"/>
            </w:tcBorders>
            <w:vAlign w:val="center"/>
            <w:hideMark/>
          </w:tcPr>
          <w:p w14:paraId="3AA7A087"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4CB8697C"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F96C061"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Fundo de Financiamento às Exportações – Finex*</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55EF7EC"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1.835,284</w:t>
            </w:r>
          </w:p>
        </w:tc>
        <w:tc>
          <w:tcPr>
            <w:tcW w:w="1363" w:type="dxa"/>
            <w:tcBorders>
              <w:top w:val="outset" w:sz="6" w:space="0" w:color="auto"/>
              <w:left w:val="outset" w:sz="6" w:space="0" w:color="auto"/>
              <w:bottom w:val="outset" w:sz="6" w:space="0" w:color="auto"/>
              <w:right w:val="outset" w:sz="6" w:space="0" w:color="auto"/>
            </w:tcBorders>
            <w:vAlign w:val="center"/>
            <w:hideMark/>
          </w:tcPr>
          <w:p w14:paraId="4759D26E"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77%</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BEA9A8E"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427,522</w:t>
            </w:r>
          </w:p>
        </w:tc>
        <w:tc>
          <w:tcPr>
            <w:tcW w:w="1965" w:type="dxa"/>
            <w:tcBorders>
              <w:top w:val="outset" w:sz="6" w:space="0" w:color="auto"/>
              <w:left w:val="outset" w:sz="6" w:space="0" w:color="auto"/>
              <w:bottom w:val="outset" w:sz="6" w:space="0" w:color="auto"/>
              <w:right w:val="outset" w:sz="6" w:space="0" w:color="auto"/>
            </w:tcBorders>
            <w:vAlign w:val="center"/>
            <w:hideMark/>
          </w:tcPr>
          <w:p w14:paraId="52381632"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6B4C6680"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9B39469"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b/>
                <w:bCs/>
              </w:rPr>
              <w:t>Subtotal Fomento às Exportações</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9515C3B"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3.859,444</w:t>
            </w:r>
          </w:p>
        </w:tc>
        <w:tc>
          <w:tcPr>
            <w:tcW w:w="1363" w:type="dxa"/>
            <w:tcBorders>
              <w:top w:val="outset" w:sz="6" w:space="0" w:color="auto"/>
              <w:left w:val="outset" w:sz="6" w:space="0" w:color="auto"/>
              <w:bottom w:val="outset" w:sz="6" w:space="0" w:color="auto"/>
              <w:right w:val="outset" w:sz="6" w:space="0" w:color="auto"/>
            </w:tcBorders>
            <w:vAlign w:val="center"/>
            <w:hideMark/>
          </w:tcPr>
          <w:p w14:paraId="214C2657"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40%</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167A875"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2.333,053</w:t>
            </w:r>
          </w:p>
        </w:tc>
        <w:tc>
          <w:tcPr>
            <w:tcW w:w="1965" w:type="dxa"/>
            <w:tcBorders>
              <w:top w:val="outset" w:sz="6" w:space="0" w:color="auto"/>
              <w:left w:val="outset" w:sz="6" w:space="0" w:color="auto"/>
              <w:bottom w:val="outset" w:sz="6" w:space="0" w:color="auto"/>
              <w:right w:val="outset" w:sz="6" w:space="0" w:color="auto"/>
            </w:tcBorders>
            <w:vAlign w:val="center"/>
            <w:hideMark/>
          </w:tcPr>
          <w:p w14:paraId="00B6439C"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b/>
                <w:bCs/>
              </w:rPr>
              <w:t>F</w:t>
            </w:r>
          </w:p>
        </w:tc>
      </w:tr>
      <w:tr w:rsidR="0026114A" w:rsidRPr="005432E1" w14:paraId="5302AA62" w14:textId="77777777" w:rsidTr="000E1C91">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D0535FE" w14:textId="77777777" w:rsidR="002506FB" w:rsidRPr="005432E1" w:rsidRDefault="002506FB" w:rsidP="00A80D84">
            <w:pPr>
              <w:spacing w:before="100" w:beforeAutospacing="1" w:after="100" w:afterAutospacing="1"/>
              <w:rPr>
                <w:rFonts w:asciiTheme="minorHAnsi" w:hAnsiTheme="minorHAnsi"/>
              </w:rPr>
            </w:pPr>
            <w:r w:rsidRPr="005432E1">
              <w:rPr>
                <w:rFonts w:asciiTheme="minorHAnsi" w:hAnsiTheme="minorHAnsi"/>
              </w:rPr>
              <w:t>RECOOP – Programa de Revitalização de Cooperativas de Produção Agropecuária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BF53BBE"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25,897</w:t>
            </w:r>
          </w:p>
        </w:tc>
        <w:tc>
          <w:tcPr>
            <w:tcW w:w="1363" w:type="dxa"/>
            <w:tcBorders>
              <w:top w:val="outset" w:sz="6" w:space="0" w:color="auto"/>
              <w:left w:val="outset" w:sz="6" w:space="0" w:color="auto"/>
              <w:bottom w:val="outset" w:sz="6" w:space="0" w:color="auto"/>
              <w:right w:val="outset" w:sz="6" w:space="0" w:color="auto"/>
            </w:tcBorders>
            <w:vAlign w:val="center"/>
            <w:hideMark/>
          </w:tcPr>
          <w:p w14:paraId="0A01EC93"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94%</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6DD8352"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1,429</w:t>
            </w:r>
          </w:p>
        </w:tc>
        <w:tc>
          <w:tcPr>
            <w:tcW w:w="1965" w:type="dxa"/>
            <w:tcBorders>
              <w:top w:val="outset" w:sz="6" w:space="0" w:color="auto"/>
              <w:left w:val="outset" w:sz="6" w:space="0" w:color="auto"/>
              <w:bottom w:val="outset" w:sz="6" w:space="0" w:color="auto"/>
              <w:right w:val="outset" w:sz="6" w:space="0" w:color="auto"/>
            </w:tcBorders>
            <w:vAlign w:val="center"/>
            <w:hideMark/>
          </w:tcPr>
          <w:p w14:paraId="7B0391F0" w14:textId="77777777" w:rsidR="002506FB" w:rsidRPr="005432E1" w:rsidRDefault="002506FB" w:rsidP="00A80D84">
            <w:pPr>
              <w:spacing w:before="100" w:beforeAutospacing="1" w:after="100" w:afterAutospacing="1"/>
              <w:jc w:val="center"/>
              <w:rPr>
                <w:rFonts w:asciiTheme="minorHAnsi" w:hAnsiTheme="minorHAnsi"/>
              </w:rPr>
            </w:pPr>
            <w:r w:rsidRPr="005432E1">
              <w:rPr>
                <w:rFonts w:asciiTheme="minorHAnsi" w:hAnsiTheme="minorHAnsi"/>
              </w:rPr>
              <w:t>F</w:t>
            </w:r>
          </w:p>
        </w:tc>
      </w:tr>
    </w:tbl>
    <w:p w14:paraId="284F57BB" w14:textId="77777777" w:rsidR="002506FB" w:rsidRPr="005432E1" w:rsidRDefault="00BD1C9D" w:rsidP="00B14BFE">
      <w:pPr>
        <w:spacing w:after="100" w:afterAutospacing="1"/>
        <w:jc w:val="both"/>
        <w:rPr>
          <w:rFonts w:asciiTheme="minorHAnsi" w:hAnsiTheme="minorHAnsi"/>
          <w:sz w:val="20"/>
          <w:szCs w:val="20"/>
        </w:rPr>
      </w:pPr>
      <w:r w:rsidRPr="005432E1">
        <w:rPr>
          <w:rFonts w:asciiTheme="minorHAnsi" w:hAnsiTheme="minorHAnsi"/>
          <w:sz w:val="20"/>
          <w:szCs w:val="20"/>
        </w:rPr>
        <w:tab/>
      </w:r>
      <w:r w:rsidR="002506FB" w:rsidRPr="005432E1">
        <w:rPr>
          <w:rFonts w:asciiTheme="minorHAnsi" w:hAnsiTheme="minorHAnsi"/>
          <w:sz w:val="20"/>
          <w:szCs w:val="20"/>
        </w:rPr>
        <w:t xml:space="preserve">OBS: * Haver não passível de inscrição em DAU por se tratar de devedores estrangeiros. A cobrança de haver </w:t>
      </w:r>
      <w:r w:rsidRPr="005432E1">
        <w:rPr>
          <w:rFonts w:asciiTheme="minorHAnsi" w:hAnsiTheme="minorHAnsi"/>
          <w:sz w:val="20"/>
          <w:szCs w:val="20"/>
        </w:rPr>
        <w:tab/>
      </w:r>
      <w:r w:rsidR="002506FB" w:rsidRPr="005432E1">
        <w:rPr>
          <w:rFonts w:asciiTheme="minorHAnsi" w:hAnsiTheme="minorHAnsi"/>
          <w:sz w:val="20"/>
          <w:szCs w:val="20"/>
        </w:rPr>
        <w:t xml:space="preserve">de devedores do setor público se dá no âmbito do Comitê de Avaliação de Crédito ao Exterior – COMACE e de </w:t>
      </w:r>
      <w:r w:rsidRPr="005432E1">
        <w:rPr>
          <w:rFonts w:asciiTheme="minorHAnsi" w:hAnsiTheme="minorHAnsi"/>
          <w:sz w:val="20"/>
          <w:szCs w:val="20"/>
        </w:rPr>
        <w:tab/>
      </w:r>
      <w:r w:rsidR="002506FB" w:rsidRPr="005432E1">
        <w:rPr>
          <w:rFonts w:asciiTheme="minorHAnsi" w:hAnsiTheme="minorHAnsi"/>
          <w:sz w:val="20"/>
          <w:szCs w:val="20"/>
        </w:rPr>
        <w:t>devedores do setor privado nos termos da Lei nº 11.281/2006.</w:t>
      </w:r>
    </w:p>
    <w:p w14:paraId="06E56A84" w14:textId="77777777" w:rsidR="002506FB" w:rsidRDefault="00BD1C9D" w:rsidP="002506FB">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ab/>
      </w:r>
      <w:r w:rsidR="002506FB" w:rsidRPr="005432E1">
        <w:rPr>
          <w:rFonts w:asciiTheme="minorHAnsi" w:hAnsiTheme="minorHAnsi"/>
          <w:sz w:val="20"/>
          <w:szCs w:val="20"/>
        </w:rPr>
        <w:t xml:space="preserve">Fonte: COPEC/STN/MF – posição dos saldos devedores e registro contábil das provisões no SIAFI em </w:t>
      </w:r>
      <w:r w:rsidRPr="005432E1">
        <w:rPr>
          <w:rFonts w:asciiTheme="minorHAnsi" w:hAnsiTheme="minorHAnsi"/>
          <w:sz w:val="20"/>
          <w:szCs w:val="20"/>
        </w:rPr>
        <w:tab/>
      </w:r>
      <w:r w:rsidR="002506FB" w:rsidRPr="005432E1">
        <w:rPr>
          <w:rFonts w:asciiTheme="minorHAnsi" w:hAnsiTheme="minorHAnsi"/>
          <w:sz w:val="20"/>
          <w:szCs w:val="20"/>
        </w:rPr>
        <w:t>31/12/2017, com base nos dados enviados pelos Bancos Operadores - com posição em 30/11/2017.</w:t>
      </w:r>
    </w:p>
    <w:p w14:paraId="0594F26E" w14:textId="77777777" w:rsidR="008B7085" w:rsidRPr="005432E1" w:rsidRDefault="008B7085" w:rsidP="008B7085">
      <w:pPr>
        <w:spacing w:before="100" w:beforeAutospacing="1" w:after="100" w:afterAutospacing="1"/>
        <w:jc w:val="center"/>
        <w:rPr>
          <w:rFonts w:asciiTheme="minorHAnsi" w:hAnsiTheme="minorHAnsi"/>
        </w:rPr>
      </w:pPr>
      <w:r w:rsidRPr="005432E1">
        <w:rPr>
          <w:rFonts w:asciiTheme="minorHAnsi" w:hAnsiTheme="minorHAnsi"/>
          <w:b/>
          <w:bCs/>
        </w:rPr>
        <w:t>Tabela 58 – Haveres decorrentes de Programas Específicos – valores previstos (R$ milhões)</w:t>
      </w:r>
    </w:p>
    <w:tbl>
      <w:tblPr>
        <w:tblpPr w:leftFromText="141" w:rightFromText="141" w:vertAnchor="text" w:horzAnchor="margin" w:tblpXSpec="right" w:tblpY="739"/>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1057"/>
        <w:gridCol w:w="1057"/>
        <w:gridCol w:w="865"/>
        <w:gridCol w:w="865"/>
        <w:gridCol w:w="4110"/>
      </w:tblGrid>
      <w:tr w:rsidR="0026114A" w:rsidRPr="005432E1" w14:paraId="10E9991E" w14:textId="77777777" w:rsidTr="000E1C91">
        <w:trPr>
          <w:trHeight w:val="96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340BAB" w14:textId="77777777" w:rsidR="000E1C91" w:rsidRPr="005432E1" w:rsidRDefault="000E1C91" w:rsidP="000E1C91">
            <w:pPr>
              <w:spacing w:before="100" w:beforeAutospacing="1" w:after="100" w:afterAutospacing="1"/>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B05E10"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55577"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CA546"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D4FC4"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2019*</w:t>
            </w:r>
          </w:p>
        </w:tc>
        <w:tc>
          <w:tcPr>
            <w:tcW w:w="4110" w:type="dxa"/>
            <w:vMerge w:val="restart"/>
            <w:tcBorders>
              <w:top w:val="outset" w:sz="6" w:space="0" w:color="auto"/>
              <w:left w:val="outset" w:sz="6" w:space="0" w:color="auto"/>
              <w:bottom w:val="outset" w:sz="6" w:space="0" w:color="auto"/>
              <w:right w:val="outset" w:sz="6" w:space="0" w:color="auto"/>
            </w:tcBorders>
            <w:vAlign w:val="center"/>
            <w:hideMark/>
          </w:tcPr>
          <w:p w14:paraId="0849C3CF"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Impacto Financeiro (F) ou Primário (P)</w:t>
            </w:r>
          </w:p>
        </w:tc>
      </w:tr>
      <w:tr w:rsidR="0026114A" w:rsidRPr="005432E1" w14:paraId="2F1E164D" w14:textId="77777777" w:rsidTr="000E1C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A3E139" w14:textId="77777777" w:rsidR="000E1C91" w:rsidRPr="005432E1" w:rsidRDefault="000E1C91" w:rsidP="000E1C91">
            <w:pPr>
              <w:rPr>
                <w:rFonts w:asciiTheme="minorHAnsi" w:hAnsiTheme="minorHAnsi"/>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0432ED" w14:textId="77777777" w:rsidR="000E1C91" w:rsidRPr="005432E1" w:rsidRDefault="000E1C91" w:rsidP="000E1C91">
            <w:pPr>
              <w:spacing w:before="100" w:beforeAutospacing="1" w:after="100" w:afterAutospacing="1"/>
              <w:rPr>
                <w:rFonts w:asciiTheme="minorHAnsi" w:hAnsi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22AB9A" w14:textId="77777777" w:rsidR="000E1C91" w:rsidRPr="005432E1" w:rsidRDefault="000E1C91" w:rsidP="000E1C91">
            <w:pPr>
              <w:rPr>
                <w:rFonts w:asciiTheme="minorHAnsi" w:hAnsiTheme="minorHAnsi"/>
              </w:rPr>
            </w:pPr>
          </w:p>
        </w:tc>
      </w:tr>
      <w:tr w:rsidR="0026114A" w:rsidRPr="005432E1" w14:paraId="4FA00A21" w14:textId="77777777" w:rsidTr="000E1C91">
        <w:trPr>
          <w:trHeight w:val="3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4A5C45"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PRONAF</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283CE"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330,947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74D47"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104,840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C75A8"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112,603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A9835"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94,397</w:t>
            </w:r>
          </w:p>
        </w:tc>
        <w:tc>
          <w:tcPr>
            <w:tcW w:w="4110" w:type="dxa"/>
            <w:tcBorders>
              <w:top w:val="outset" w:sz="6" w:space="0" w:color="auto"/>
              <w:left w:val="outset" w:sz="6" w:space="0" w:color="auto"/>
              <w:bottom w:val="outset" w:sz="6" w:space="0" w:color="auto"/>
              <w:right w:val="outset" w:sz="6" w:space="0" w:color="auto"/>
            </w:tcBorders>
            <w:vAlign w:val="center"/>
            <w:hideMark/>
          </w:tcPr>
          <w:p w14:paraId="0FDDEB7E" w14:textId="77777777" w:rsidR="000E1C91" w:rsidRPr="005432E1" w:rsidRDefault="000E1C91" w:rsidP="000E1C91">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2A969E18" w14:textId="77777777" w:rsidTr="000E1C91">
        <w:trPr>
          <w:trHeight w:val="3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16729"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RECOOP</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5B33"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20,624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A7C0E"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5,392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61EB2"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0,696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46502"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0</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1D3EF78" w14:textId="77777777" w:rsidR="000E1C91" w:rsidRPr="005432E1" w:rsidRDefault="000E1C91" w:rsidP="000E1C91">
            <w:pPr>
              <w:spacing w:before="100" w:beforeAutospacing="1" w:after="100" w:afterAutospacing="1"/>
              <w:jc w:val="center"/>
              <w:rPr>
                <w:rFonts w:asciiTheme="minorHAnsi" w:hAnsiTheme="minorHAnsi"/>
              </w:rPr>
            </w:pPr>
            <w:r w:rsidRPr="005432E1">
              <w:rPr>
                <w:rFonts w:asciiTheme="minorHAnsi" w:hAnsiTheme="minorHAnsi"/>
              </w:rPr>
              <w:t>F</w:t>
            </w:r>
          </w:p>
        </w:tc>
      </w:tr>
      <w:tr w:rsidR="0026114A" w:rsidRPr="005432E1" w14:paraId="64F3DF7E" w14:textId="77777777" w:rsidTr="000E1C91">
        <w:trPr>
          <w:trHeight w:val="3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BCDD7"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PROEX</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4AA1D"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1.404,553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F01DD"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1.226,120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74145"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907,383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FC093" w14:textId="77777777" w:rsidR="000E1C91" w:rsidRPr="005432E1" w:rsidRDefault="000E1C91" w:rsidP="000E1C91">
            <w:pPr>
              <w:spacing w:before="100" w:beforeAutospacing="1" w:after="100" w:afterAutospacing="1"/>
              <w:rPr>
                <w:rFonts w:asciiTheme="minorHAnsi" w:hAnsiTheme="minorHAnsi"/>
              </w:rPr>
            </w:pPr>
            <w:r w:rsidRPr="005432E1">
              <w:rPr>
                <w:rFonts w:asciiTheme="minorHAnsi" w:hAnsiTheme="minorHAnsi"/>
              </w:rPr>
              <w:t>941,864</w:t>
            </w:r>
          </w:p>
        </w:tc>
        <w:tc>
          <w:tcPr>
            <w:tcW w:w="4110" w:type="dxa"/>
            <w:tcBorders>
              <w:top w:val="outset" w:sz="6" w:space="0" w:color="auto"/>
              <w:left w:val="outset" w:sz="6" w:space="0" w:color="auto"/>
              <w:bottom w:val="outset" w:sz="6" w:space="0" w:color="auto"/>
              <w:right w:val="outset" w:sz="6" w:space="0" w:color="auto"/>
            </w:tcBorders>
            <w:vAlign w:val="center"/>
            <w:hideMark/>
          </w:tcPr>
          <w:p w14:paraId="5D2B65F9" w14:textId="77777777" w:rsidR="000E1C91" w:rsidRPr="005432E1" w:rsidRDefault="000E1C91" w:rsidP="000E1C91">
            <w:pPr>
              <w:spacing w:before="100" w:beforeAutospacing="1" w:after="100" w:afterAutospacing="1"/>
              <w:jc w:val="center"/>
              <w:rPr>
                <w:rFonts w:asciiTheme="minorHAnsi" w:hAnsiTheme="minorHAnsi"/>
              </w:rPr>
            </w:pPr>
            <w:r w:rsidRPr="005432E1">
              <w:rPr>
                <w:rFonts w:asciiTheme="minorHAnsi" w:hAnsiTheme="minorHAnsi"/>
              </w:rPr>
              <w:t>F</w:t>
            </w:r>
          </w:p>
        </w:tc>
      </w:tr>
    </w:tbl>
    <w:p w14:paraId="5D75E897" w14:textId="77777777" w:rsidR="002506FB" w:rsidRPr="005432E1" w:rsidRDefault="000E1C91" w:rsidP="007A28E8">
      <w:pPr>
        <w:spacing w:before="100" w:beforeAutospacing="1" w:after="100" w:afterAutospacing="1"/>
        <w:rPr>
          <w:rFonts w:asciiTheme="minorHAnsi" w:hAnsiTheme="minorHAnsi"/>
          <w:sz w:val="20"/>
          <w:szCs w:val="20"/>
        </w:rPr>
      </w:pPr>
      <w:r w:rsidRPr="005432E1">
        <w:rPr>
          <w:rFonts w:asciiTheme="minorHAnsi" w:hAnsiTheme="minorHAnsi"/>
          <w:sz w:val="20"/>
          <w:szCs w:val="20"/>
        </w:rPr>
        <w:tab/>
      </w:r>
      <w:r w:rsidR="002506FB" w:rsidRPr="005432E1">
        <w:rPr>
          <w:rFonts w:asciiTheme="minorHAnsi" w:hAnsiTheme="minorHAnsi"/>
          <w:sz w:val="20"/>
          <w:szCs w:val="20"/>
        </w:rPr>
        <w:t>*Previsto.</w:t>
      </w:r>
      <w:r w:rsidR="007E50DF" w:rsidRPr="005432E1">
        <w:rPr>
          <w:rFonts w:asciiTheme="minorHAnsi" w:hAnsiTheme="minorHAnsi"/>
          <w:sz w:val="20"/>
          <w:szCs w:val="20"/>
        </w:rPr>
        <w:t xml:space="preserve"> Fonte: COPEC/STN/MF</w:t>
      </w:r>
    </w:p>
    <w:p w14:paraId="0F68DA86" w14:textId="77777777" w:rsidR="003A39C1" w:rsidRPr="005432E1" w:rsidRDefault="003A39C1" w:rsidP="00023C41">
      <w:pPr>
        <w:pStyle w:val="Ttulo3"/>
        <w:numPr>
          <w:ilvl w:val="0"/>
          <w:numId w:val="0"/>
        </w:numPr>
        <w:rPr>
          <w:rFonts w:asciiTheme="minorHAnsi" w:hAnsiTheme="minorHAnsi"/>
          <w:b/>
        </w:rPr>
      </w:pPr>
      <w:bookmarkStart w:id="216" w:name="_Toc511230032"/>
      <w:bookmarkStart w:id="217" w:name="_Toc447613118"/>
      <w:bookmarkEnd w:id="214"/>
      <w:bookmarkEnd w:id="215"/>
      <w:r w:rsidRPr="005432E1">
        <w:rPr>
          <w:rFonts w:asciiTheme="minorHAnsi" w:hAnsiTheme="minorHAnsi"/>
          <w:b/>
        </w:rPr>
        <w:t>3.</w:t>
      </w:r>
      <w:r w:rsidR="00FF7CC4" w:rsidRPr="005432E1">
        <w:rPr>
          <w:rFonts w:asciiTheme="minorHAnsi" w:hAnsiTheme="minorHAnsi"/>
          <w:b/>
        </w:rPr>
        <w:t>3</w:t>
      </w:r>
      <w:r w:rsidRPr="005432E1">
        <w:rPr>
          <w:rFonts w:asciiTheme="minorHAnsi" w:hAnsiTheme="minorHAnsi"/>
          <w:b/>
        </w:rPr>
        <w:tab/>
      </w:r>
      <w:r w:rsidR="00441B36" w:rsidRPr="005432E1">
        <w:rPr>
          <w:rFonts w:asciiTheme="minorHAnsi" w:hAnsiTheme="minorHAnsi"/>
          <w:b/>
        </w:rPr>
        <w:t xml:space="preserve">OUTROS RISCOS </w:t>
      </w:r>
      <w:r w:rsidR="00683274" w:rsidRPr="005432E1">
        <w:rPr>
          <w:rFonts w:asciiTheme="minorHAnsi" w:hAnsiTheme="minorHAnsi"/>
          <w:b/>
        </w:rPr>
        <w:t>ESPECÍFICOS</w:t>
      </w:r>
      <w:bookmarkEnd w:id="216"/>
    </w:p>
    <w:p w14:paraId="44940F36" w14:textId="77777777" w:rsidR="00437A8B" w:rsidRPr="005432E1" w:rsidRDefault="00437A8B" w:rsidP="00800025">
      <w:pPr>
        <w:rPr>
          <w:rFonts w:asciiTheme="minorHAnsi" w:hAnsiTheme="minorHAnsi"/>
          <w:b/>
        </w:rPr>
      </w:pPr>
    </w:p>
    <w:p w14:paraId="7F185DDC" w14:textId="77777777" w:rsidR="00EF18CC" w:rsidRPr="005432E1" w:rsidRDefault="00EF18CC" w:rsidP="00A74E66">
      <w:pPr>
        <w:pStyle w:val="Ttulo3"/>
        <w:numPr>
          <w:ilvl w:val="0"/>
          <w:numId w:val="0"/>
        </w:numPr>
        <w:rPr>
          <w:rFonts w:asciiTheme="minorHAnsi" w:hAnsiTheme="minorHAnsi"/>
          <w:b/>
        </w:rPr>
      </w:pPr>
      <w:bookmarkStart w:id="218" w:name="_Toc511230033"/>
      <w:bookmarkStart w:id="219" w:name="_Toc163298117"/>
      <w:bookmarkStart w:id="220" w:name="_Toc163298232"/>
      <w:bookmarkStart w:id="221" w:name="_Toc163377907"/>
      <w:bookmarkStart w:id="222" w:name="_Toc163535951"/>
      <w:bookmarkStart w:id="223" w:name="_Toc226432540"/>
      <w:bookmarkStart w:id="224" w:name="_Toc226434491"/>
      <w:bookmarkStart w:id="225" w:name="_Toc226434710"/>
      <w:bookmarkStart w:id="226" w:name="_Toc226519721"/>
      <w:bookmarkStart w:id="227" w:name="_Toc226519812"/>
      <w:bookmarkStart w:id="228" w:name="_Toc257728075"/>
      <w:bookmarkStart w:id="229" w:name="_Toc447613119"/>
      <w:r w:rsidRPr="005432E1">
        <w:rPr>
          <w:rFonts w:asciiTheme="minorHAnsi" w:hAnsiTheme="minorHAnsi"/>
          <w:b/>
        </w:rPr>
        <w:t>3.3.1</w:t>
      </w:r>
      <w:r w:rsidRPr="005432E1">
        <w:rPr>
          <w:rFonts w:asciiTheme="minorHAnsi" w:hAnsiTheme="minorHAnsi"/>
          <w:b/>
        </w:rPr>
        <w:tab/>
        <w:t>RISCOS RELATIVOS À ADMINISTRAÇÃO DA DÍVIDA PÚBLICA MOBILIÁRIA</w:t>
      </w:r>
      <w:bookmarkEnd w:id="218"/>
    </w:p>
    <w:p w14:paraId="64D5B98E" w14:textId="77777777" w:rsidR="00EF18CC" w:rsidRPr="005432E1" w:rsidRDefault="00EF18CC" w:rsidP="00EF18CC">
      <w:pPr>
        <w:rPr>
          <w:rFonts w:asciiTheme="minorHAnsi" w:hAnsiTheme="minorHAnsi"/>
          <w:b/>
        </w:rPr>
      </w:pPr>
    </w:p>
    <w:p w14:paraId="763C6781" w14:textId="77777777" w:rsidR="00EF18CC" w:rsidRPr="005432E1" w:rsidRDefault="00EF18CC" w:rsidP="00EF18CC">
      <w:pPr>
        <w:rPr>
          <w:rFonts w:asciiTheme="minorHAnsi" w:hAnsiTheme="minorHAnsi"/>
          <w:b/>
        </w:rPr>
      </w:pPr>
      <w:r w:rsidRPr="005432E1">
        <w:rPr>
          <w:rFonts w:asciiTheme="minorHAnsi" w:hAnsiTheme="minorHAnsi"/>
          <w:b/>
        </w:rPr>
        <w:t>a)</w:t>
      </w:r>
      <w:r w:rsidRPr="005432E1">
        <w:rPr>
          <w:rFonts w:asciiTheme="minorHAnsi" w:hAnsiTheme="minorHAnsi"/>
          <w:b/>
        </w:rPr>
        <w:tab/>
        <w:t>Avaliação dos riscos decorrentes da administração da Dívida Pública</w:t>
      </w:r>
    </w:p>
    <w:bookmarkEnd w:id="219"/>
    <w:bookmarkEnd w:id="220"/>
    <w:bookmarkEnd w:id="221"/>
    <w:bookmarkEnd w:id="222"/>
    <w:bookmarkEnd w:id="223"/>
    <w:bookmarkEnd w:id="224"/>
    <w:bookmarkEnd w:id="225"/>
    <w:bookmarkEnd w:id="226"/>
    <w:bookmarkEnd w:id="227"/>
    <w:bookmarkEnd w:id="228"/>
    <w:bookmarkEnd w:id="229"/>
    <w:p w14:paraId="065BC7C9" w14:textId="77777777" w:rsidR="00FD4365" w:rsidRPr="005432E1" w:rsidRDefault="00FD4365" w:rsidP="00FD4365">
      <w:pPr>
        <w:spacing w:before="120" w:after="120"/>
        <w:jc w:val="both"/>
        <w:rPr>
          <w:rFonts w:asciiTheme="minorHAnsi" w:hAnsiTheme="minorHAnsi"/>
        </w:rPr>
      </w:pPr>
      <w:r w:rsidRPr="005432E1">
        <w:rPr>
          <w:rFonts w:asciiTheme="minorHAnsi" w:hAnsiTheme="minorHAnsi"/>
        </w:rPr>
        <w:tab/>
        <w:t>São dois principais riscos que afetam a administração da Dívida Pública Federal (DPF). O primeiro, o risco de refinanciamento, é consequência do perfil de maturação da dívida. O segundo, risco de mercado, decorre de flutuações nas taxas de juros, de câmbio e de inflação. Tais variações acarretam impactos no orçamento anual, uma vez que alteram o volume de recursos necessários ao pagamento do serviço da dívida, afetando inclusive os orçamentos dos anos posteriores. Esses riscos são especialmente relevantes, pois afetam a relação Dívida Líquida do Setor Público</w:t>
      </w:r>
      <w:r w:rsidR="00713C22" w:rsidRPr="005432E1">
        <w:rPr>
          <w:rFonts w:asciiTheme="minorHAnsi" w:hAnsiTheme="minorHAnsi"/>
        </w:rPr>
        <w:t>/Produto Interno Bruto - DLSP/PIB</w:t>
      </w:r>
      <w:r w:rsidRPr="005432E1">
        <w:rPr>
          <w:rFonts w:asciiTheme="minorHAnsi" w:hAnsiTheme="minorHAnsi"/>
        </w:rPr>
        <w:t xml:space="preserve"> e Dívida Bruta do Gover</w:t>
      </w:r>
      <w:r w:rsidR="00713C22" w:rsidRPr="005432E1">
        <w:rPr>
          <w:rFonts w:asciiTheme="minorHAnsi" w:hAnsiTheme="minorHAnsi"/>
        </w:rPr>
        <w:t>no Geral/Produto Interno Bruto - DBGG/PIB</w:t>
      </w:r>
      <w:r w:rsidRPr="005432E1">
        <w:rPr>
          <w:rFonts w:asciiTheme="minorHAnsi" w:hAnsiTheme="minorHAnsi"/>
        </w:rPr>
        <w:t>, considerados os indicadores mais importantes de endividamento do setor público.</w:t>
      </w:r>
    </w:p>
    <w:p w14:paraId="0A0C30AE" w14:textId="77777777" w:rsidR="00FD4365" w:rsidRPr="005432E1" w:rsidRDefault="00FD4365" w:rsidP="00FD4365">
      <w:pPr>
        <w:spacing w:before="120" w:after="120"/>
        <w:jc w:val="both"/>
        <w:rPr>
          <w:rFonts w:asciiTheme="minorHAnsi" w:hAnsiTheme="minorHAnsi"/>
        </w:rPr>
      </w:pPr>
      <w:r w:rsidRPr="005432E1">
        <w:rPr>
          <w:rFonts w:asciiTheme="minorHAnsi" w:hAnsiTheme="minorHAnsi"/>
        </w:rPr>
        <w:tab/>
        <w:t>O risco de refinanciamento representa a pos</w:t>
      </w:r>
      <w:r w:rsidR="00713C22" w:rsidRPr="005432E1">
        <w:rPr>
          <w:rFonts w:asciiTheme="minorHAnsi" w:hAnsiTheme="minorHAnsi"/>
        </w:rPr>
        <w:t xml:space="preserve">sibilidade de a </w:t>
      </w:r>
      <w:r w:rsidRPr="005432E1">
        <w:rPr>
          <w:rFonts w:asciiTheme="minorHAnsi" w:hAnsiTheme="minorHAnsi"/>
        </w:rPr>
        <w:t xml:space="preserve">STN ter de suportar elevados custos para se financiar no curto prazo ou, no limite, não conseguir captar recursos suficientes para honrar seus vencimentos. O risco de mercado, por sua vez, captura a possibilidade de elevação no estoque nominal da dívida decorrente de alterações nas condições de mercado que afetem os custos dos títulos públicos, tais como as variações nas taxas de </w:t>
      </w:r>
      <w:r w:rsidR="00713C22" w:rsidRPr="005432E1">
        <w:rPr>
          <w:rFonts w:asciiTheme="minorHAnsi" w:hAnsiTheme="minorHAnsi"/>
        </w:rPr>
        <w:t>juros, de câmbio e de inflação. Particularmente, importante para este Anexo de Riscos Fiscais é a análise de sensibilidade da dívida, que mede o possível aumento nos valores de pagamento ou no estoque da Dívida Pública no ano, decorrente de flutuações nas variáveis macroeconômicas.</w:t>
      </w:r>
    </w:p>
    <w:p w14:paraId="10B441B4" w14:textId="77777777" w:rsidR="00EF18CC" w:rsidRPr="005432E1" w:rsidRDefault="00EF18CC" w:rsidP="00FD4365">
      <w:pPr>
        <w:spacing w:before="120" w:after="120"/>
        <w:jc w:val="both"/>
        <w:rPr>
          <w:rFonts w:asciiTheme="minorHAnsi" w:hAnsiTheme="minorHAnsi"/>
        </w:rPr>
      </w:pPr>
    </w:p>
    <w:p w14:paraId="6E495C99" w14:textId="77777777" w:rsidR="00553160" w:rsidRPr="005432E1" w:rsidRDefault="00EF18CC" w:rsidP="006F4AC5">
      <w:pPr>
        <w:spacing w:before="120" w:after="240"/>
        <w:jc w:val="both"/>
        <w:rPr>
          <w:rFonts w:asciiTheme="minorHAnsi" w:hAnsiTheme="minorHAnsi"/>
          <w:b/>
        </w:rPr>
      </w:pPr>
      <w:r w:rsidRPr="005432E1">
        <w:rPr>
          <w:rFonts w:asciiTheme="minorHAnsi" w:hAnsiTheme="minorHAnsi"/>
          <w:b/>
        </w:rPr>
        <w:t>b)</w:t>
      </w:r>
      <w:r w:rsidRPr="005432E1">
        <w:rPr>
          <w:rFonts w:asciiTheme="minorHAnsi" w:hAnsiTheme="minorHAnsi"/>
          <w:b/>
        </w:rPr>
        <w:tab/>
        <w:t>Avaliação dos riscos da Dívida Pública Federal</w:t>
      </w:r>
    </w:p>
    <w:p w14:paraId="0F723AFE" w14:textId="77777777" w:rsidR="00441B36" w:rsidRPr="005432E1" w:rsidRDefault="00441B36" w:rsidP="006F4AC5">
      <w:pPr>
        <w:spacing w:before="120" w:after="240"/>
        <w:jc w:val="both"/>
        <w:rPr>
          <w:rFonts w:asciiTheme="minorHAnsi" w:hAnsiTheme="minorHAnsi"/>
          <w:b/>
        </w:rPr>
      </w:pPr>
      <w:r w:rsidRPr="005432E1">
        <w:rPr>
          <w:rFonts w:asciiTheme="minorHAnsi" w:hAnsiTheme="minorHAnsi"/>
          <w:b/>
        </w:rPr>
        <w:t>Risco de Refinanciamento</w:t>
      </w:r>
    </w:p>
    <w:p w14:paraId="2C4DDAD9" w14:textId="12A8CF90" w:rsidR="008B7085" w:rsidRDefault="00FD4365" w:rsidP="00FD4365">
      <w:pPr>
        <w:spacing w:before="100" w:beforeAutospacing="1" w:after="100" w:afterAutospacing="1"/>
        <w:jc w:val="both"/>
        <w:rPr>
          <w:rFonts w:asciiTheme="minorHAnsi" w:hAnsiTheme="minorHAnsi"/>
        </w:rPr>
      </w:pPr>
      <w:r w:rsidRPr="005432E1">
        <w:rPr>
          <w:rFonts w:asciiTheme="minorHAnsi" w:hAnsiTheme="minorHAnsi"/>
        </w:rPr>
        <w:tab/>
        <w:t>O risco de refinanciamento é consequência do perfil de maturação da dívida. A redução do percentual vincendo em 12 meses é um importante passo para a diminuição desse risco, pois essa métrica indica a proporção do estoque da dívida que deverá ser honrada no curto prazo. Na figura abaixo, pode-se ver que a STN tem trabalhado no sentido de reduzir essa concentração, mantendo esse indicador abaixo de 25%, valor considerado confortável, especialmente quando se leva em consideração a política da STN de manutenção da reserva de liquidez em torno de 6 meses do serviço da dívida.</w:t>
      </w:r>
    </w:p>
    <w:p w14:paraId="712F9097" w14:textId="77777777" w:rsidR="008B7085" w:rsidRDefault="008B7085">
      <w:pPr>
        <w:rPr>
          <w:rFonts w:asciiTheme="minorHAnsi" w:hAnsiTheme="minorHAnsi"/>
        </w:rPr>
      </w:pPr>
      <w:r>
        <w:rPr>
          <w:rFonts w:asciiTheme="minorHAnsi" w:hAnsiTheme="minorHAnsi"/>
        </w:rPr>
        <w:br w:type="page"/>
      </w:r>
    </w:p>
    <w:p w14:paraId="2BA27680" w14:textId="77777777" w:rsidR="00FD4365" w:rsidRPr="005432E1" w:rsidRDefault="00FD4365" w:rsidP="00FD4365">
      <w:pPr>
        <w:spacing w:before="100" w:beforeAutospacing="1" w:after="100" w:afterAutospacing="1"/>
        <w:jc w:val="both"/>
        <w:rPr>
          <w:rFonts w:asciiTheme="minorHAnsi" w:hAnsiTheme="minorHAnsi"/>
        </w:rPr>
      </w:pPr>
    </w:p>
    <w:p w14:paraId="41D16FA1" w14:textId="29D202EE" w:rsidR="00FD4365" w:rsidRPr="005432E1" w:rsidRDefault="00FD4365" w:rsidP="00FD4365">
      <w:pPr>
        <w:spacing w:before="100" w:beforeAutospacing="1" w:after="100" w:afterAutospacing="1"/>
        <w:jc w:val="both"/>
        <w:rPr>
          <w:rFonts w:asciiTheme="minorHAnsi" w:hAnsiTheme="minorHAnsi"/>
          <w:b/>
        </w:rPr>
      </w:pPr>
      <w:r w:rsidRPr="005432E1">
        <w:rPr>
          <w:rFonts w:asciiTheme="minorHAnsi" w:hAnsiTheme="minorHAnsi"/>
        </w:rPr>
        <w:tab/>
      </w:r>
      <w:r w:rsidR="004F08AB" w:rsidRPr="005432E1">
        <w:rPr>
          <w:rFonts w:asciiTheme="minorHAnsi" w:hAnsiTheme="minorHAnsi"/>
          <w:b/>
        </w:rPr>
        <w:t>Gráfico</w:t>
      </w:r>
      <w:r w:rsidR="00441B36" w:rsidRPr="005432E1">
        <w:rPr>
          <w:rFonts w:asciiTheme="minorHAnsi" w:hAnsiTheme="minorHAnsi"/>
          <w:b/>
        </w:rPr>
        <w:t xml:space="preserve"> </w:t>
      </w:r>
      <w:r w:rsidR="0072376F" w:rsidRPr="005432E1">
        <w:rPr>
          <w:rFonts w:asciiTheme="minorHAnsi" w:hAnsiTheme="minorHAnsi"/>
          <w:b/>
        </w:rPr>
        <w:t>9</w:t>
      </w:r>
      <w:r w:rsidR="00441B36" w:rsidRPr="005432E1">
        <w:rPr>
          <w:rFonts w:asciiTheme="minorHAnsi" w:hAnsiTheme="minorHAnsi"/>
          <w:b/>
        </w:rPr>
        <w:t xml:space="preserve"> - DPF Vincenda em 12 Meses</w:t>
      </w:r>
    </w:p>
    <w:p w14:paraId="1AB44131" w14:textId="77777777" w:rsidR="00FD4365" w:rsidRPr="005432E1" w:rsidRDefault="00FD4365" w:rsidP="006F4AC5">
      <w:pPr>
        <w:spacing w:before="120" w:after="120"/>
        <w:jc w:val="center"/>
        <w:rPr>
          <w:rFonts w:asciiTheme="minorHAnsi" w:hAnsiTheme="minorHAnsi"/>
          <w:i/>
          <w:sz w:val="20"/>
        </w:rPr>
      </w:pPr>
      <w:r w:rsidRPr="005432E1">
        <w:rPr>
          <w:rFonts w:asciiTheme="minorHAnsi" w:hAnsiTheme="minorHAnsi"/>
          <w:noProof/>
        </w:rPr>
        <w:drawing>
          <wp:inline distT="0" distB="0" distL="0" distR="0" wp14:anchorId="3896CE24" wp14:editId="0C6F1F30">
            <wp:extent cx="5553075" cy="327660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99822" cy="3304183"/>
                    </a:xfrm>
                    <a:prstGeom prst="rect">
                      <a:avLst/>
                    </a:prstGeom>
                    <a:noFill/>
                  </pic:spPr>
                </pic:pic>
              </a:graphicData>
            </a:graphic>
          </wp:inline>
        </w:drawing>
      </w:r>
    </w:p>
    <w:p w14:paraId="1035B624" w14:textId="77777777" w:rsidR="004E5823" w:rsidRPr="005432E1" w:rsidRDefault="00FD4365" w:rsidP="00B271CF">
      <w:pPr>
        <w:spacing w:before="100" w:beforeAutospacing="1" w:after="100" w:afterAutospacing="1"/>
        <w:rPr>
          <w:rFonts w:asciiTheme="minorHAnsi" w:hAnsiTheme="minorHAnsi"/>
          <w:sz w:val="20"/>
          <w:szCs w:val="20"/>
        </w:rPr>
      </w:pPr>
      <w:r w:rsidRPr="005432E1">
        <w:rPr>
          <w:rFonts w:asciiTheme="minorHAnsi" w:hAnsiTheme="minorHAnsi"/>
          <w:i/>
          <w:iCs/>
          <w:sz w:val="20"/>
          <w:szCs w:val="20"/>
        </w:rPr>
        <w:t>* Projeções com base no PAF 2018; ** Projeções para 2019 com base em um cenário de continuidade do PAF 2018. Fonte: COGEP/STN.</w:t>
      </w:r>
    </w:p>
    <w:p w14:paraId="77994589" w14:textId="77777777" w:rsidR="00B271CF" w:rsidRPr="005432E1" w:rsidRDefault="00B271CF" w:rsidP="00B271CF">
      <w:pPr>
        <w:spacing w:before="100" w:beforeAutospacing="1" w:after="100" w:afterAutospacing="1"/>
        <w:jc w:val="both"/>
        <w:rPr>
          <w:rFonts w:asciiTheme="minorHAnsi" w:hAnsiTheme="minorHAnsi"/>
        </w:rPr>
      </w:pPr>
      <w:r w:rsidRPr="005432E1">
        <w:rPr>
          <w:rFonts w:asciiTheme="minorHAnsi" w:hAnsiTheme="minorHAnsi"/>
        </w:rPr>
        <w:tab/>
        <w:t>A análise da concentração da DPF vincenda em 12 meses apresenta limitação como indicador do risco de refinanciamento, uma vez que não antecipa concentrações de vencimentos em períodos superiores a 12 meses. Dessa forma, a STN tem dado cada vez mais relevância ao acompanhamento da estrutura mais completa de vencimentos. O gráfico seguinte mostra que a redução do percentual vincendo em 12 meses da Dívida Pública tem sido acompanhada por melhor distribuição dos vencimentos nos demais períodos.</w:t>
      </w:r>
    </w:p>
    <w:p w14:paraId="4E0D9D64" w14:textId="77777777" w:rsidR="001F5B5D" w:rsidRPr="005432E1" w:rsidRDefault="001F5B5D" w:rsidP="006F4AC5">
      <w:pPr>
        <w:spacing w:before="120" w:after="120"/>
        <w:jc w:val="both"/>
        <w:rPr>
          <w:rFonts w:asciiTheme="minorHAnsi" w:hAnsiTheme="minorHAnsi"/>
        </w:rPr>
      </w:pPr>
    </w:p>
    <w:p w14:paraId="7B5BF2A5" w14:textId="0BA5C491" w:rsidR="00441B36" w:rsidRPr="005432E1" w:rsidRDefault="001F39FC" w:rsidP="006F4AC5">
      <w:pPr>
        <w:pStyle w:val="Legenda"/>
        <w:keepNext/>
        <w:jc w:val="center"/>
        <w:rPr>
          <w:rFonts w:asciiTheme="minorHAnsi" w:hAnsiTheme="minorHAnsi"/>
          <w:b/>
          <w:i w:val="0"/>
          <w:color w:val="auto"/>
          <w:sz w:val="24"/>
        </w:rPr>
      </w:pPr>
      <w:r w:rsidRPr="005432E1">
        <w:rPr>
          <w:rFonts w:asciiTheme="minorHAnsi" w:hAnsiTheme="minorHAnsi"/>
          <w:b/>
          <w:i w:val="0"/>
          <w:color w:val="auto"/>
          <w:sz w:val="24"/>
        </w:rPr>
        <w:t>Gráfico</w:t>
      </w:r>
      <w:r w:rsidR="00441B36" w:rsidRPr="005432E1">
        <w:rPr>
          <w:rFonts w:asciiTheme="minorHAnsi" w:hAnsiTheme="minorHAnsi"/>
          <w:b/>
          <w:i w:val="0"/>
          <w:color w:val="auto"/>
          <w:sz w:val="24"/>
        </w:rPr>
        <w:t xml:space="preserve"> </w:t>
      </w:r>
      <w:r w:rsidR="0072376F" w:rsidRPr="005432E1">
        <w:rPr>
          <w:rFonts w:asciiTheme="minorHAnsi" w:hAnsiTheme="minorHAnsi"/>
          <w:b/>
          <w:i w:val="0"/>
          <w:color w:val="auto"/>
          <w:sz w:val="24"/>
        </w:rPr>
        <w:t>10</w:t>
      </w:r>
      <w:r w:rsidR="00441B36" w:rsidRPr="005432E1">
        <w:rPr>
          <w:rFonts w:asciiTheme="minorHAnsi" w:hAnsiTheme="minorHAnsi"/>
          <w:b/>
          <w:i w:val="0"/>
          <w:color w:val="auto"/>
          <w:sz w:val="24"/>
        </w:rPr>
        <w:t xml:space="preserve"> - Perfil de vencimentos do estoque da DPF</w:t>
      </w:r>
    </w:p>
    <w:p w14:paraId="1178A4AC" w14:textId="77777777" w:rsidR="00441B36" w:rsidRPr="005432E1" w:rsidRDefault="00B271CF" w:rsidP="006F4AC5">
      <w:pPr>
        <w:spacing w:before="120" w:after="120"/>
        <w:jc w:val="center"/>
        <w:rPr>
          <w:rFonts w:asciiTheme="minorHAnsi" w:hAnsiTheme="minorHAnsi"/>
        </w:rPr>
      </w:pPr>
      <w:r w:rsidRPr="005432E1">
        <w:rPr>
          <w:rFonts w:asciiTheme="minorHAnsi" w:hAnsiTheme="minorHAnsi"/>
          <w:noProof/>
        </w:rPr>
        <w:drawing>
          <wp:inline distT="0" distB="0" distL="0" distR="0" wp14:anchorId="1E0C1B54" wp14:editId="51812368">
            <wp:extent cx="5600699" cy="3333750"/>
            <wp:effectExtent l="0" t="0" r="63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37650" cy="3355745"/>
                    </a:xfrm>
                    <a:prstGeom prst="rect">
                      <a:avLst/>
                    </a:prstGeom>
                    <a:noFill/>
                  </pic:spPr>
                </pic:pic>
              </a:graphicData>
            </a:graphic>
          </wp:inline>
        </w:drawing>
      </w:r>
    </w:p>
    <w:p w14:paraId="5C52105B" w14:textId="77777777" w:rsidR="00B271CF" w:rsidRPr="005432E1" w:rsidRDefault="00B271CF" w:rsidP="00B14BFE">
      <w:pPr>
        <w:spacing w:after="120"/>
        <w:rPr>
          <w:rFonts w:asciiTheme="minorHAnsi" w:hAnsiTheme="minorHAnsi"/>
          <w:i/>
          <w:sz w:val="18"/>
        </w:rPr>
      </w:pPr>
    </w:p>
    <w:p w14:paraId="534A63E6" w14:textId="77777777" w:rsidR="00411EBF" w:rsidRPr="005432E1" w:rsidRDefault="00B271CF" w:rsidP="00B14BFE">
      <w:pPr>
        <w:spacing w:after="100" w:afterAutospacing="1"/>
        <w:rPr>
          <w:rFonts w:asciiTheme="minorHAnsi" w:hAnsiTheme="minorHAnsi"/>
          <w:i/>
          <w:iCs/>
          <w:sz w:val="20"/>
          <w:szCs w:val="20"/>
        </w:rPr>
      </w:pPr>
      <w:r w:rsidRPr="005432E1">
        <w:rPr>
          <w:rFonts w:asciiTheme="minorHAnsi" w:hAnsiTheme="minorHAnsi"/>
          <w:i/>
          <w:iCs/>
        </w:rPr>
        <w:t xml:space="preserve">  </w:t>
      </w:r>
      <w:r w:rsidRPr="005432E1">
        <w:rPr>
          <w:rFonts w:asciiTheme="minorHAnsi" w:hAnsiTheme="minorHAnsi"/>
          <w:i/>
          <w:iCs/>
          <w:sz w:val="20"/>
          <w:szCs w:val="20"/>
        </w:rPr>
        <w:t>* Projeções com base no PAF 2018; ** Projeções para 2019 com base em um cenário de continuidade do PAF 2018. Fonte: COGEP/STN.</w:t>
      </w:r>
      <w:r w:rsidR="00411EBF" w:rsidRPr="005432E1">
        <w:rPr>
          <w:rFonts w:asciiTheme="minorHAnsi" w:hAnsiTheme="minorHAnsi"/>
          <w:i/>
          <w:iCs/>
          <w:sz w:val="20"/>
          <w:szCs w:val="20"/>
        </w:rPr>
        <w:t xml:space="preserve"> </w:t>
      </w:r>
    </w:p>
    <w:p w14:paraId="67E75D85" w14:textId="77777777" w:rsidR="00411EBF" w:rsidRPr="005432E1" w:rsidRDefault="00411EBF" w:rsidP="00411EBF">
      <w:pPr>
        <w:spacing w:before="100" w:beforeAutospacing="1" w:after="100" w:afterAutospacing="1"/>
        <w:rPr>
          <w:rFonts w:asciiTheme="minorHAnsi" w:hAnsiTheme="minorHAnsi"/>
          <w:sz w:val="20"/>
          <w:szCs w:val="20"/>
        </w:rPr>
      </w:pPr>
      <w:r w:rsidRPr="005432E1">
        <w:rPr>
          <w:rFonts w:asciiTheme="minorHAnsi" w:hAnsiTheme="minorHAnsi"/>
          <w:i/>
          <w:iCs/>
          <w:sz w:val="20"/>
          <w:szCs w:val="20"/>
        </w:rPr>
        <w:t>Fonte: COGEP/STN.</w:t>
      </w:r>
    </w:p>
    <w:p w14:paraId="31FBB7E5" w14:textId="77777777" w:rsidR="00441B36" w:rsidRPr="005432E1" w:rsidRDefault="00441B36" w:rsidP="006F4AC5">
      <w:pPr>
        <w:spacing w:before="120" w:after="120"/>
        <w:jc w:val="both"/>
        <w:rPr>
          <w:rFonts w:asciiTheme="minorHAnsi" w:hAnsiTheme="minorHAnsi"/>
          <w:b/>
        </w:rPr>
      </w:pPr>
      <w:r w:rsidRPr="005432E1">
        <w:rPr>
          <w:rFonts w:asciiTheme="minorHAnsi" w:hAnsiTheme="minorHAnsi"/>
          <w:b/>
        </w:rPr>
        <w:t>Risco de Mercado</w:t>
      </w:r>
    </w:p>
    <w:p w14:paraId="20CA9A58" w14:textId="77777777" w:rsidR="00B271CF" w:rsidRPr="005432E1" w:rsidRDefault="00AF1A0E" w:rsidP="00B271CF">
      <w:pPr>
        <w:spacing w:before="100" w:beforeAutospacing="1" w:after="100" w:afterAutospacing="1"/>
        <w:jc w:val="both"/>
        <w:rPr>
          <w:rFonts w:asciiTheme="minorHAnsi" w:hAnsiTheme="minorHAnsi"/>
        </w:rPr>
      </w:pPr>
      <w:r w:rsidRPr="005432E1">
        <w:rPr>
          <w:rFonts w:asciiTheme="minorHAnsi" w:hAnsiTheme="minorHAnsi"/>
        </w:rPr>
        <w:tab/>
      </w:r>
      <w:r w:rsidR="00B271CF" w:rsidRPr="005432E1">
        <w:rPr>
          <w:rFonts w:asciiTheme="minorHAnsi" w:hAnsiTheme="minorHAnsi"/>
        </w:rPr>
        <w:t>A composição da DPF é o indicador mais imediato do risco de mercado, pois seu estoque possui títulos com diferentes características, de acordo com o tipo de remuneração a que estão condicionados.</w:t>
      </w:r>
    </w:p>
    <w:p w14:paraId="178FE6C1" w14:textId="77777777" w:rsidR="00B271CF" w:rsidRPr="005432E1" w:rsidRDefault="00AF1A0E" w:rsidP="00B271CF">
      <w:pPr>
        <w:spacing w:before="100" w:beforeAutospacing="1" w:after="100" w:afterAutospacing="1"/>
        <w:jc w:val="both"/>
        <w:rPr>
          <w:rFonts w:asciiTheme="minorHAnsi" w:hAnsiTheme="minorHAnsi"/>
        </w:rPr>
      </w:pPr>
      <w:r w:rsidRPr="005432E1">
        <w:rPr>
          <w:rFonts w:asciiTheme="minorHAnsi" w:hAnsiTheme="minorHAnsi"/>
        </w:rPr>
        <w:tab/>
      </w:r>
      <w:r w:rsidR="00B271CF" w:rsidRPr="005432E1">
        <w:rPr>
          <w:rFonts w:asciiTheme="minorHAnsi" w:hAnsiTheme="minorHAnsi"/>
        </w:rPr>
        <w:t>Em anos recentes, a estratégia para a composição da dívida optou por tolerar um aumento de participação de títulos remunerados a taxas flutuantes para evitar um custo excessivo atribuído aos títulos prefixados e aos remunerados por índices de preços. Isso porque a emissão de títulos flutuantes teve papel importante no objetivo de alcançar um percentual mínimo de refinanciamento de 100% da DPF. De fato, o volume adicional de emissões de LFT em um período com baixos vencimentos desses títulos gerou um aumento na participação de flutuantes na composição da DPF sem que houvesse, necessariamente, uma menor colocação de títulos prefixados. Este efeito deve ocorrer mais uma vez em 2018, o que tem provocado um recuo temporário na estratégia de substituição dos títulos flutuantes por prefixados ou remunerados por índices de preços.</w:t>
      </w:r>
    </w:p>
    <w:p w14:paraId="06944A37" w14:textId="77777777" w:rsidR="00B271CF" w:rsidRPr="005432E1" w:rsidRDefault="00AF1A0E" w:rsidP="00B271CF">
      <w:pPr>
        <w:spacing w:before="100" w:beforeAutospacing="1" w:after="100" w:afterAutospacing="1"/>
        <w:jc w:val="both"/>
        <w:rPr>
          <w:rFonts w:asciiTheme="minorHAnsi" w:hAnsiTheme="minorHAnsi"/>
        </w:rPr>
      </w:pPr>
      <w:r w:rsidRPr="005432E1">
        <w:rPr>
          <w:rFonts w:asciiTheme="minorHAnsi" w:hAnsiTheme="minorHAnsi"/>
        </w:rPr>
        <w:tab/>
      </w:r>
      <w:r w:rsidR="00B271CF" w:rsidRPr="005432E1">
        <w:rPr>
          <w:rFonts w:asciiTheme="minorHAnsi" w:hAnsiTheme="minorHAnsi"/>
        </w:rPr>
        <w:t>Cabe pontuar que esse resultado reflete movimentos conjunturais, marcados pela recuperação econômica e fiscal em curso, e não implicam alterações das diretrizes observadas pela gestão da DPF para médio e longo prazo. Com a superação dos desafios de curto prazo, espera-se retomar a convergência da composição da DPF em direção à estrutura desejada para a dívida no longo prazo, de modo que os atuais desvios na composição sejam temporários.</w:t>
      </w:r>
    </w:p>
    <w:p w14:paraId="01EFDA21" w14:textId="77777777" w:rsidR="00B271CF" w:rsidRPr="005432E1" w:rsidRDefault="00AF1A0E" w:rsidP="00B271CF">
      <w:pPr>
        <w:spacing w:before="100" w:beforeAutospacing="1" w:after="100" w:afterAutospacing="1"/>
        <w:jc w:val="both"/>
        <w:rPr>
          <w:rFonts w:asciiTheme="minorHAnsi" w:hAnsiTheme="minorHAnsi"/>
        </w:rPr>
      </w:pPr>
      <w:r w:rsidRPr="005432E1">
        <w:rPr>
          <w:rFonts w:asciiTheme="minorHAnsi" w:hAnsiTheme="minorHAnsi"/>
        </w:rPr>
        <w:tab/>
      </w:r>
      <w:r w:rsidR="00B271CF" w:rsidRPr="005432E1">
        <w:rPr>
          <w:rFonts w:asciiTheme="minorHAnsi" w:hAnsiTheme="minorHAnsi"/>
        </w:rPr>
        <w:t>A figura seguinte mostra que a soma das parcelas atreladas a juros prefixados ou indexadas à inflação, após atingir um máximo de 76% da DPF em 2014, deverá cair nos próximos dois anos para valores próximos a 60% da DPF. É um patamar que preserva os esforços realizados no passado recente para o aperfeiçoamento no perfil da dívida, partindo-se de uma base, em 2002, em que apenas 10% da DPF correspondiam a essa parcela menos arriscada. A menor exposição a riscos conquistada ao longo dos últimos anos cria espaço na gestão da dívida para a adoção de uma estratégia de financiamento que privilegia menores custos no curto prazo, mesmo que isso signifique um recuo na participação de títulos prefixados e remunerados por índices de preço no financiamento público.</w:t>
      </w:r>
    </w:p>
    <w:p w14:paraId="698FD5AA" w14:textId="77777777" w:rsidR="00B271CF" w:rsidRPr="005432E1" w:rsidRDefault="00B271CF" w:rsidP="006F4AC5">
      <w:pPr>
        <w:spacing w:before="120" w:after="120"/>
        <w:jc w:val="both"/>
        <w:rPr>
          <w:rFonts w:asciiTheme="minorHAnsi" w:hAnsiTheme="minorHAnsi"/>
          <w:b/>
        </w:rPr>
      </w:pPr>
    </w:p>
    <w:p w14:paraId="4E04C502" w14:textId="55B8045B" w:rsidR="00441B36" w:rsidRPr="005432E1" w:rsidRDefault="0027264B" w:rsidP="006F4AC5">
      <w:pPr>
        <w:pStyle w:val="Legenda"/>
        <w:keepNext/>
        <w:jc w:val="center"/>
        <w:rPr>
          <w:rFonts w:asciiTheme="minorHAnsi" w:hAnsiTheme="minorHAnsi"/>
          <w:b/>
          <w:i w:val="0"/>
          <w:color w:val="auto"/>
          <w:sz w:val="24"/>
        </w:rPr>
      </w:pPr>
      <w:r w:rsidRPr="005432E1">
        <w:rPr>
          <w:rFonts w:asciiTheme="minorHAnsi" w:hAnsiTheme="minorHAnsi"/>
          <w:b/>
          <w:i w:val="0"/>
          <w:color w:val="auto"/>
          <w:sz w:val="24"/>
        </w:rPr>
        <w:t xml:space="preserve">Gráfico </w:t>
      </w:r>
      <w:r w:rsidR="0072376F" w:rsidRPr="005432E1">
        <w:rPr>
          <w:rFonts w:asciiTheme="minorHAnsi" w:hAnsiTheme="minorHAnsi"/>
          <w:b/>
          <w:i w:val="0"/>
          <w:color w:val="auto"/>
          <w:sz w:val="24"/>
        </w:rPr>
        <w:t>11</w:t>
      </w:r>
      <w:r w:rsidR="00441B36" w:rsidRPr="005432E1">
        <w:rPr>
          <w:rFonts w:asciiTheme="minorHAnsi" w:hAnsiTheme="minorHAnsi"/>
          <w:b/>
          <w:i w:val="0"/>
          <w:color w:val="auto"/>
          <w:sz w:val="24"/>
        </w:rPr>
        <w:t xml:space="preserve"> </w:t>
      </w:r>
      <w:r w:rsidRPr="005432E1">
        <w:rPr>
          <w:rFonts w:asciiTheme="minorHAnsi" w:hAnsiTheme="minorHAnsi"/>
          <w:b/>
          <w:i w:val="0"/>
          <w:color w:val="auto"/>
          <w:sz w:val="24"/>
        </w:rPr>
        <w:t xml:space="preserve">- </w:t>
      </w:r>
      <w:r w:rsidR="00441B36" w:rsidRPr="005432E1">
        <w:rPr>
          <w:rFonts w:asciiTheme="minorHAnsi" w:hAnsiTheme="minorHAnsi"/>
          <w:b/>
          <w:i w:val="0"/>
          <w:color w:val="auto"/>
          <w:sz w:val="24"/>
        </w:rPr>
        <w:t>Composição da DPF: Prefixados mais remunerados por índices de preços</w:t>
      </w:r>
    </w:p>
    <w:p w14:paraId="2806BDF0" w14:textId="77777777" w:rsidR="00441B36" w:rsidRPr="005432E1" w:rsidRDefault="00C67982" w:rsidP="006F4AC5">
      <w:pPr>
        <w:spacing w:before="120" w:after="120"/>
        <w:jc w:val="center"/>
        <w:rPr>
          <w:rFonts w:asciiTheme="minorHAnsi" w:hAnsiTheme="minorHAnsi"/>
        </w:rPr>
      </w:pPr>
      <w:r w:rsidRPr="005432E1">
        <w:rPr>
          <w:rFonts w:asciiTheme="minorHAnsi" w:hAnsiTheme="minorHAnsi"/>
          <w:noProof/>
        </w:rPr>
        <w:drawing>
          <wp:inline distT="0" distB="0" distL="0" distR="0" wp14:anchorId="623827F8" wp14:editId="1F62311C">
            <wp:extent cx="5333327" cy="2914650"/>
            <wp:effectExtent l="0" t="0" r="127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4100" cy="2947862"/>
                    </a:xfrm>
                    <a:prstGeom prst="rect">
                      <a:avLst/>
                    </a:prstGeom>
                    <a:noFill/>
                  </pic:spPr>
                </pic:pic>
              </a:graphicData>
            </a:graphic>
          </wp:inline>
        </w:drawing>
      </w:r>
    </w:p>
    <w:p w14:paraId="25B15C5B" w14:textId="77777777" w:rsidR="00C67982" w:rsidRPr="005432E1" w:rsidRDefault="00C67982" w:rsidP="00C67982">
      <w:pPr>
        <w:spacing w:before="100" w:beforeAutospacing="1" w:after="100" w:afterAutospacing="1"/>
        <w:rPr>
          <w:rFonts w:asciiTheme="minorHAnsi" w:hAnsiTheme="minorHAnsi"/>
          <w:i/>
          <w:iCs/>
          <w:sz w:val="20"/>
          <w:szCs w:val="20"/>
        </w:rPr>
      </w:pPr>
      <w:r w:rsidRPr="005432E1">
        <w:rPr>
          <w:rFonts w:asciiTheme="minorHAnsi" w:hAnsiTheme="minorHAnsi"/>
          <w:i/>
          <w:iCs/>
          <w:sz w:val="20"/>
          <w:szCs w:val="20"/>
        </w:rPr>
        <w:t>* Projeções com base no PAF 2018; ** Projeções para 2019 com base em um cenário de continuidade do PAF 2018. Fonte: COGEP/STN.</w:t>
      </w:r>
    </w:p>
    <w:p w14:paraId="2030E36E" w14:textId="77777777" w:rsidR="00B548C1" w:rsidRPr="005432E1" w:rsidRDefault="00F73ED3" w:rsidP="00A74E66">
      <w:pPr>
        <w:pStyle w:val="Ttulo3"/>
        <w:numPr>
          <w:ilvl w:val="0"/>
          <w:numId w:val="0"/>
        </w:numPr>
        <w:rPr>
          <w:rFonts w:asciiTheme="minorHAnsi" w:hAnsiTheme="minorHAnsi"/>
          <w:b/>
        </w:rPr>
      </w:pPr>
      <w:bookmarkStart w:id="230" w:name="_Toc511230034"/>
      <w:r w:rsidRPr="005432E1">
        <w:rPr>
          <w:rFonts w:asciiTheme="minorHAnsi" w:hAnsiTheme="minorHAnsi"/>
          <w:b/>
        </w:rPr>
        <w:t>3.</w:t>
      </w:r>
      <w:r w:rsidR="00FF7CC4" w:rsidRPr="005432E1">
        <w:rPr>
          <w:rFonts w:asciiTheme="minorHAnsi" w:hAnsiTheme="minorHAnsi"/>
          <w:b/>
        </w:rPr>
        <w:t>3</w:t>
      </w:r>
      <w:r w:rsidRPr="005432E1">
        <w:rPr>
          <w:rFonts w:asciiTheme="minorHAnsi" w:hAnsiTheme="minorHAnsi"/>
          <w:b/>
        </w:rPr>
        <w:t>.</w:t>
      </w:r>
      <w:r w:rsidR="00441B36" w:rsidRPr="005432E1">
        <w:rPr>
          <w:rFonts w:asciiTheme="minorHAnsi" w:hAnsiTheme="minorHAnsi"/>
          <w:b/>
        </w:rPr>
        <w:t>2</w:t>
      </w:r>
      <w:r w:rsidRPr="005432E1">
        <w:rPr>
          <w:rFonts w:asciiTheme="minorHAnsi" w:hAnsiTheme="minorHAnsi"/>
          <w:b/>
        </w:rPr>
        <w:t xml:space="preserve">      </w:t>
      </w:r>
      <w:r w:rsidR="00B548C1" w:rsidRPr="005432E1">
        <w:rPr>
          <w:rFonts w:asciiTheme="minorHAnsi" w:hAnsiTheme="minorHAnsi"/>
          <w:b/>
        </w:rPr>
        <w:t xml:space="preserve">RISCOS EM CONCESSÕES E </w:t>
      </w:r>
      <w:r w:rsidR="00D32970" w:rsidRPr="005432E1">
        <w:rPr>
          <w:rFonts w:asciiTheme="minorHAnsi" w:hAnsiTheme="minorHAnsi"/>
          <w:b/>
        </w:rPr>
        <w:t>PARCERIAS PÚBLICO-PRIVADAS (PPP</w:t>
      </w:r>
      <w:r w:rsidR="00B548C1" w:rsidRPr="005432E1">
        <w:rPr>
          <w:rFonts w:asciiTheme="minorHAnsi" w:hAnsiTheme="minorHAnsi"/>
          <w:b/>
        </w:rPr>
        <w:t>s)</w:t>
      </w:r>
      <w:bookmarkEnd w:id="230"/>
    </w:p>
    <w:p w14:paraId="0E91BAAC"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A União, considerando sua administração direta e indireta, possui atualmente um único contrato de PPP, que é o Complexo Data Center contratado por um consórcio formado por Banco do Brasil e Caixa Econômica Federal junto à GBT S/A.</w:t>
      </w:r>
    </w:p>
    <w:p w14:paraId="07B30572"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As empresas estatais envolvidas não são dependentes e os contratos não preveem qualquer tipo de garantia do poder concedente ao concessionário, portanto não existem riscos alocados à União.</w:t>
      </w:r>
    </w:p>
    <w:p w14:paraId="79E4994A"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b/>
          <w:bCs/>
        </w:rPr>
        <w:t>Concessões</w:t>
      </w:r>
    </w:p>
    <w:p w14:paraId="51D99289" w14:textId="77777777" w:rsidR="00B548C1" w:rsidRPr="005432E1" w:rsidRDefault="00B548C1" w:rsidP="00B548C1">
      <w:pPr>
        <w:numPr>
          <w:ilvl w:val="0"/>
          <w:numId w:val="25"/>
        </w:numPr>
        <w:spacing w:before="100" w:beforeAutospacing="1" w:after="100" w:afterAutospacing="1"/>
        <w:jc w:val="both"/>
        <w:rPr>
          <w:rFonts w:asciiTheme="minorHAnsi" w:hAnsiTheme="minorHAnsi"/>
        </w:rPr>
      </w:pPr>
      <w:r w:rsidRPr="005432E1">
        <w:rPr>
          <w:rFonts w:asciiTheme="minorHAnsi" w:hAnsiTheme="minorHAnsi"/>
          <w:b/>
          <w:bCs/>
        </w:rPr>
        <w:t>Ótica das Despesas:</w:t>
      </w:r>
    </w:p>
    <w:p w14:paraId="22D765EB"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Com relação às Concessões de infraestrutura, a prática da União nesses contratos tem sido a de transferência dos riscos mais relevantes para o concessionário, como é o caso dos riscos de construção, de demanda e macroeconômico. Sobre a União normalmente recai a responsabilidade sobre eventos extraordinários, que venham a ser reconhecidos como caso fortuito, força maior ou fato do príncipe. Mesmo nesses casos, o Poder Concedente dispõe de mecanismos de compensação que não causam impacto fiscal, como por exemplo, reajuste tarifário ou dilatação do prazo contratual.</w:t>
      </w:r>
    </w:p>
    <w:p w14:paraId="3C6D9B2C"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Um levantamento foi realizado, em conjunto com Agências Reguladoras, abarcando os contratos de concessão vigentes nos setores de Exploração e Produção de Petróleo e Gás natural; Geração, Transmissão e Distribuição de Energia Elétrica; Aeroportos, Rodovias e Ferrovias. Não foram identificadas obrigações financeiras explícitas ou contingentes deles decorrentes para o período entre os anos de 2019 e 2021.</w:t>
      </w:r>
    </w:p>
    <w:p w14:paraId="53E6C6AB" w14:textId="77777777" w:rsidR="00B548C1" w:rsidRPr="005432E1" w:rsidRDefault="00B548C1" w:rsidP="00B548C1">
      <w:pPr>
        <w:numPr>
          <w:ilvl w:val="0"/>
          <w:numId w:val="26"/>
        </w:numPr>
        <w:spacing w:before="100" w:beforeAutospacing="1" w:after="100" w:afterAutospacing="1"/>
        <w:jc w:val="both"/>
        <w:rPr>
          <w:rFonts w:asciiTheme="minorHAnsi" w:hAnsiTheme="minorHAnsi"/>
        </w:rPr>
      </w:pPr>
      <w:r w:rsidRPr="005432E1">
        <w:rPr>
          <w:rFonts w:asciiTheme="minorHAnsi" w:hAnsiTheme="minorHAnsi"/>
          <w:b/>
          <w:bCs/>
        </w:rPr>
        <w:t>Ótica das Receitas:</w:t>
      </w:r>
    </w:p>
    <w:p w14:paraId="5760663C"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No que tange às projeções de receitas de concessões, os valores arrecadados provêm da obrigação de pagamento de outorga por parte do concessionário, definida em contrato. Parte das receitas advém de contratos vigentes e parte da celebração de novos contratos. Nesse contexto, os principais riscos fiscais decorrem, por um lado, da possibilidade de inadimplência de concessionários com contratos vigentes, e, por outro lado, da não celebração dos novos contratos previstos para aquele período.</w:t>
      </w:r>
    </w:p>
    <w:p w14:paraId="283EFD04"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Em termos de possibilidade de não pagamento de outorgas de concessões vigentes, os fatores de riscos estão relacionados a questionamentos judiciais, pedidos de reequilíbrio econômico–financeiros ou mesmo insolvência do concessionário.</w:t>
      </w:r>
    </w:p>
    <w:p w14:paraId="137D478A"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Já em termos da possibilidade de não realização de leilões previstos, os principais fatores de risco a serem considerados para elaboração da Lei Orçamentária Anual são a exequibilidade do cronograma dos leilões e a ausência de propostas de potenciais interessados (“leilão deserto”). Para mitigar o risco de cronograma é feito monitoramento dos processos e qualquer alteração de estimativa é refletida nas avaliações bimestrais de receitas e despesas primárias. Com relação ao risco de leilão deserto, sua mitigação passa por garantir que haja aderência entre o modelo econômico desenhado e a expectativa do mercado, assim como garantir que a condução do processo licitatório seja feita de maneira a minimizar as incertezas, favorecendo a previsibilidade e transparência.</w:t>
      </w:r>
    </w:p>
    <w:p w14:paraId="482E3EBE" w14:textId="12C7B012"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 xml:space="preserve">A Tabela </w:t>
      </w:r>
      <w:r w:rsidR="006264C0" w:rsidRPr="005432E1">
        <w:rPr>
          <w:rFonts w:asciiTheme="minorHAnsi" w:hAnsiTheme="minorHAnsi"/>
        </w:rPr>
        <w:t>5</w:t>
      </w:r>
      <w:r w:rsidR="004B14A7" w:rsidRPr="005432E1">
        <w:rPr>
          <w:rFonts w:asciiTheme="minorHAnsi" w:hAnsiTheme="minorHAnsi"/>
        </w:rPr>
        <w:t>9</w:t>
      </w:r>
      <w:r w:rsidRPr="005432E1">
        <w:rPr>
          <w:rFonts w:asciiTheme="minorHAnsi" w:hAnsiTheme="minorHAnsi"/>
        </w:rPr>
        <w:t xml:space="preserve"> apresenta o histórico recente de receitas de concessões e permissões. O comparativo entre a projeção constante da Lei Orçamentária e o valor efetivamente arrecadado a cada ano mostra a importância de uma adequada avaliação de riscos de realização dessas receitas.</w:t>
      </w:r>
    </w:p>
    <w:p w14:paraId="3129CF0C" w14:textId="11BA6A66" w:rsidR="00B548C1" w:rsidRPr="005432E1" w:rsidRDefault="00B548C1" w:rsidP="00B548C1">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5</w:t>
      </w:r>
      <w:r w:rsidR="004B14A7" w:rsidRPr="005432E1">
        <w:rPr>
          <w:rFonts w:asciiTheme="minorHAnsi" w:hAnsiTheme="minorHAnsi"/>
          <w:b/>
          <w:bCs/>
        </w:rPr>
        <w:t>9</w:t>
      </w:r>
      <w:r w:rsidRPr="005432E1">
        <w:rPr>
          <w:rFonts w:asciiTheme="minorHAnsi" w:hAnsiTheme="minorHAnsi"/>
          <w:b/>
          <w:bCs/>
        </w:rPr>
        <w:t>: Receita de Concessões</w:t>
      </w:r>
      <w:r w:rsidR="00A3599A" w:rsidRPr="005432E1">
        <w:rPr>
          <w:rFonts w:asciiTheme="minorHAnsi" w:hAnsiTheme="minorHAnsi"/>
          <w:b/>
          <w:bCs/>
        </w:rPr>
        <w:t xml:space="preserve"> </w:t>
      </w:r>
      <w:r w:rsidR="00A3599A" w:rsidRPr="005432E1">
        <w:rPr>
          <w:rFonts w:asciiTheme="minorHAnsi" w:hAnsiTheme="minorHAnsi"/>
        </w:rPr>
        <w:t>(R$ milhões)</w:t>
      </w:r>
    </w:p>
    <w:tbl>
      <w:tblPr>
        <w:tblW w:w="57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238"/>
        <w:gridCol w:w="1238"/>
        <w:gridCol w:w="1238"/>
        <w:gridCol w:w="1521"/>
      </w:tblGrid>
      <w:tr w:rsidR="0026114A" w:rsidRPr="005432E1" w14:paraId="04A5CBB8" w14:textId="77777777" w:rsidTr="00A80D84">
        <w:trPr>
          <w:trHeight w:val="300"/>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BF8D8E6" w14:textId="77777777" w:rsidR="00B548C1" w:rsidRPr="005432E1" w:rsidRDefault="00B548C1" w:rsidP="00A3599A">
            <w:pPr>
              <w:jc w:val="center"/>
              <w:rPr>
                <w:rFonts w:asciiTheme="minorHAnsi" w:hAnsiTheme="minorHAnsi"/>
              </w:rPr>
            </w:pPr>
            <w:r w:rsidRPr="005432E1">
              <w:rPr>
                <w:rFonts w:asciiTheme="minorHAnsi" w:hAnsiTheme="minorHAnsi"/>
              </w:rPr>
              <w:t>Receita de Concessões</w:t>
            </w:r>
          </w:p>
        </w:tc>
      </w:tr>
      <w:tr w:rsidR="0026114A" w:rsidRPr="005432E1" w14:paraId="46E871CA" w14:textId="77777777" w:rsidTr="00A80D84">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85155A" w14:textId="77777777" w:rsidR="00B548C1" w:rsidRPr="005432E1" w:rsidRDefault="00B548C1" w:rsidP="00A80D84">
            <w:pP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9110C8" w14:textId="77777777" w:rsidR="00B548C1" w:rsidRPr="005432E1" w:rsidRDefault="00B548C1" w:rsidP="00A80D84">
            <w:pPr>
              <w:rPr>
                <w:rFonts w:asciiTheme="minorHAnsi" w:hAnsiTheme="minorHAnsi"/>
              </w:rPr>
            </w:pPr>
            <w:r w:rsidRPr="005432E1">
              <w:rPr>
                <w:rFonts w:asciiTheme="minorHAnsi" w:hAnsiTheme="minorHAnsi"/>
              </w:rPr>
              <w:t>PLOA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DC8DD" w14:textId="77777777" w:rsidR="00B548C1" w:rsidRPr="005432E1" w:rsidRDefault="00B548C1" w:rsidP="00A80D84">
            <w:pPr>
              <w:rPr>
                <w:rFonts w:asciiTheme="minorHAnsi" w:hAnsiTheme="minorHAnsi"/>
              </w:rPr>
            </w:pPr>
            <w:r w:rsidRPr="005432E1">
              <w:rPr>
                <w:rFonts w:asciiTheme="minorHAnsi" w:hAnsiTheme="minorHAnsi"/>
              </w:rPr>
              <w:t>LOA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F71AB" w14:textId="77777777" w:rsidR="00B548C1" w:rsidRPr="005432E1" w:rsidRDefault="00B548C1" w:rsidP="00A80D84">
            <w:pPr>
              <w:rPr>
                <w:rFonts w:asciiTheme="minorHAnsi" w:hAnsiTheme="minorHAnsi"/>
              </w:rPr>
            </w:pPr>
            <w:r w:rsidRPr="005432E1">
              <w:rPr>
                <w:rFonts w:asciiTheme="minorHAnsi" w:hAnsiTheme="minorHAnsi"/>
              </w:rPr>
              <w:t>Realizado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88D7B" w14:textId="77777777" w:rsidR="00B548C1" w:rsidRPr="005432E1" w:rsidRDefault="00B548C1" w:rsidP="00A80D84">
            <w:pPr>
              <w:rPr>
                <w:rFonts w:asciiTheme="minorHAnsi" w:hAnsiTheme="minorHAnsi"/>
              </w:rPr>
            </w:pPr>
            <w:r w:rsidRPr="005432E1">
              <w:rPr>
                <w:rFonts w:asciiTheme="minorHAnsi" w:hAnsiTheme="minorHAnsi"/>
              </w:rPr>
              <w:t>Realizado/LOA</w:t>
            </w:r>
          </w:p>
        </w:tc>
      </w:tr>
      <w:tr w:rsidR="0026114A" w:rsidRPr="005432E1" w14:paraId="79E9C1AC" w14:textId="77777777" w:rsidTr="00A80D84">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621E82" w14:textId="77777777" w:rsidR="00B548C1" w:rsidRPr="005432E1" w:rsidRDefault="00B548C1" w:rsidP="00A80D84">
            <w:pPr>
              <w:rPr>
                <w:rFonts w:asciiTheme="minorHAnsi" w:hAnsiTheme="minorHAnsi"/>
              </w:rPr>
            </w:pPr>
            <w:r w:rsidRPr="005432E1">
              <w:rPr>
                <w:rFonts w:asciiTheme="minorHAnsi" w:hAnsiTheme="minorHAnsi"/>
              </w:rPr>
              <w:t>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9500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3.321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0A8A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15.679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24BC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21.111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12372" w14:textId="77777777" w:rsidR="00B548C1" w:rsidRPr="005432E1" w:rsidRDefault="001F01BC" w:rsidP="00A80D84">
            <w:pPr>
              <w:spacing w:before="100" w:beforeAutospacing="1" w:after="100" w:afterAutospacing="1"/>
              <w:rPr>
                <w:rFonts w:asciiTheme="minorHAnsi" w:hAnsiTheme="minorHAnsi"/>
              </w:rPr>
            </w:pPr>
            <w:r w:rsidRPr="005432E1">
              <w:rPr>
                <w:rFonts w:asciiTheme="minorHAnsi" w:hAnsiTheme="minorHAnsi"/>
              </w:rPr>
              <w:t xml:space="preserve">        </w:t>
            </w:r>
            <w:r w:rsidR="00B548C1" w:rsidRPr="005432E1">
              <w:rPr>
                <w:rFonts w:asciiTheme="minorHAnsi" w:hAnsiTheme="minorHAnsi"/>
              </w:rPr>
              <w:t>135%</w:t>
            </w:r>
          </w:p>
        </w:tc>
      </w:tr>
      <w:tr w:rsidR="0026114A" w:rsidRPr="005432E1" w14:paraId="5D32C745" w14:textId="77777777" w:rsidTr="00A80D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B7EE0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356D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9.751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736D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FD3E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8.053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6A95" w14:textId="77777777" w:rsidR="00B548C1" w:rsidRPr="005432E1" w:rsidRDefault="001F01BC" w:rsidP="00A80D84">
            <w:pPr>
              <w:spacing w:before="100" w:beforeAutospacing="1" w:after="100" w:afterAutospacing="1"/>
              <w:rPr>
                <w:rFonts w:asciiTheme="minorHAnsi" w:hAnsiTheme="minorHAnsi"/>
              </w:rPr>
            </w:pPr>
            <w:r w:rsidRPr="005432E1">
              <w:rPr>
                <w:rFonts w:asciiTheme="minorHAnsi" w:hAnsiTheme="minorHAnsi"/>
              </w:rPr>
              <w:t xml:space="preserve">          </w:t>
            </w:r>
            <w:r w:rsidR="00B548C1" w:rsidRPr="005432E1">
              <w:rPr>
                <w:rFonts w:asciiTheme="minorHAnsi" w:hAnsiTheme="minorHAnsi"/>
              </w:rPr>
              <w:t>60%</w:t>
            </w:r>
          </w:p>
        </w:tc>
      </w:tr>
      <w:tr w:rsidR="0026114A" w:rsidRPr="005432E1" w14:paraId="087031FB" w14:textId="77777777" w:rsidTr="00A80D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13868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D729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13.304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1DA8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15.461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8719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5.885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A25FC" w14:textId="77777777" w:rsidR="00B548C1" w:rsidRPr="005432E1" w:rsidRDefault="001F01BC" w:rsidP="00A80D84">
            <w:pPr>
              <w:spacing w:before="100" w:beforeAutospacing="1" w:after="100" w:afterAutospacing="1"/>
              <w:rPr>
                <w:rFonts w:asciiTheme="minorHAnsi" w:hAnsiTheme="minorHAnsi"/>
              </w:rPr>
            </w:pPr>
            <w:r w:rsidRPr="005432E1">
              <w:rPr>
                <w:rFonts w:asciiTheme="minorHAnsi" w:hAnsiTheme="minorHAnsi"/>
              </w:rPr>
              <w:t xml:space="preserve">          </w:t>
            </w:r>
            <w:r w:rsidR="00B548C1" w:rsidRPr="005432E1">
              <w:rPr>
                <w:rFonts w:asciiTheme="minorHAnsi" w:hAnsiTheme="minorHAnsi"/>
              </w:rPr>
              <w:t>38%</w:t>
            </w:r>
          </w:p>
        </w:tc>
      </w:tr>
      <w:tr w:rsidR="0026114A" w:rsidRPr="005432E1" w14:paraId="35AAD32C" w14:textId="77777777" w:rsidTr="00A80D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3A203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269A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10.007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CABD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28.507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97ED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21.931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4FF16" w14:textId="77777777" w:rsidR="00B548C1" w:rsidRPr="005432E1" w:rsidRDefault="001F01BC" w:rsidP="00A80D84">
            <w:pPr>
              <w:spacing w:before="100" w:beforeAutospacing="1" w:after="100" w:afterAutospacing="1"/>
              <w:rPr>
                <w:rFonts w:asciiTheme="minorHAnsi" w:hAnsiTheme="minorHAnsi"/>
              </w:rPr>
            </w:pPr>
            <w:r w:rsidRPr="005432E1">
              <w:rPr>
                <w:rFonts w:asciiTheme="minorHAnsi" w:hAnsiTheme="minorHAnsi"/>
              </w:rPr>
              <w:t xml:space="preserve">          </w:t>
            </w:r>
            <w:r w:rsidR="00B548C1" w:rsidRPr="005432E1">
              <w:rPr>
                <w:rFonts w:asciiTheme="minorHAnsi" w:hAnsiTheme="minorHAnsi"/>
              </w:rPr>
              <w:t>77%</w:t>
            </w:r>
          </w:p>
        </w:tc>
      </w:tr>
      <w:tr w:rsidR="0026114A" w:rsidRPr="005432E1" w14:paraId="1D8BD6C1" w14:textId="77777777" w:rsidTr="00A80D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74133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1920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23.963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BCBD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23.963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F06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32.134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0D4AE" w14:textId="77777777" w:rsidR="00B548C1" w:rsidRPr="005432E1" w:rsidRDefault="001F01BC" w:rsidP="00A80D84">
            <w:pPr>
              <w:spacing w:before="100" w:beforeAutospacing="1" w:after="100" w:afterAutospacing="1"/>
              <w:rPr>
                <w:rFonts w:asciiTheme="minorHAnsi" w:hAnsiTheme="minorHAnsi"/>
              </w:rPr>
            </w:pPr>
            <w:r w:rsidRPr="005432E1">
              <w:rPr>
                <w:rFonts w:asciiTheme="minorHAnsi" w:hAnsiTheme="minorHAnsi"/>
              </w:rPr>
              <w:t xml:space="preserve">        </w:t>
            </w:r>
            <w:r w:rsidR="00B548C1" w:rsidRPr="005432E1">
              <w:rPr>
                <w:rFonts w:asciiTheme="minorHAnsi" w:hAnsiTheme="minorHAnsi"/>
              </w:rPr>
              <w:t>134%</w:t>
            </w:r>
          </w:p>
        </w:tc>
      </w:tr>
    </w:tbl>
    <w:p w14:paraId="18BA5ECB" w14:textId="77777777" w:rsidR="00B548C1" w:rsidRPr="005432E1" w:rsidRDefault="00B548C1" w:rsidP="00B14BFE">
      <w:pPr>
        <w:spacing w:after="100" w:afterAutospacing="1"/>
        <w:rPr>
          <w:rFonts w:asciiTheme="minorHAnsi" w:hAnsiTheme="minorHAnsi"/>
          <w:sz w:val="20"/>
          <w:szCs w:val="20"/>
        </w:rPr>
      </w:pPr>
      <w:r w:rsidRPr="005432E1">
        <w:rPr>
          <w:rFonts w:asciiTheme="minorHAnsi" w:hAnsiTheme="minorHAnsi"/>
        </w:rPr>
        <w:t xml:space="preserve">                       </w:t>
      </w:r>
      <w:r w:rsidR="005571CE" w:rsidRPr="005432E1">
        <w:rPr>
          <w:rFonts w:asciiTheme="minorHAnsi" w:hAnsiTheme="minorHAnsi"/>
        </w:rPr>
        <w:tab/>
      </w:r>
      <w:r w:rsidR="005571CE" w:rsidRPr="005432E1">
        <w:rPr>
          <w:rFonts w:asciiTheme="minorHAnsi" w:hAnsiTheme="minorHAnsi"/>
        </w:rPr>
        <w:tab/>
      </w:r>
      <w:r w:rsidRPr="005432E1">
        <w:rPr>
          <w:rFonts w:asciiTheme="minorHAnsi" w:hAnsiTheme="minorHAnsi"/>
          <w:sz w:val="20"/>
          <w:szCs w:val="20"/>
        </w:rPr>
        <w:t>Fontes: PLOA; LOA; SIAFI</w:t>
      </w:r>
    </w:p>
    <w:p w14:paraId="40D35076" w14:textId="10487C6D" w:rsidR="008B7085" w:rsidRDefault="00B548C1" w:rsidP="00B548C1">
      <w:pPr>
        <w:spacing w:before="100" w:beforeAutospacing="1" w:after="100" w:afterAutospacing="1"/>
        <w:jc w:val="both"/>
        <w:rPr>
          <w:rFonts w:asciiTheme="minorHAnsi" w:hAnsiTheme="minorHAnsi"/>
        </w:rPr>
      </w:pPr>
      <w:r w:rsidRPr="005432E1">
        <w:rPr>
          <w:rFonts w:asciiTheme="minorHAnsi" w:hAnsiTheme="minorHAnsi"/>
        </w:rPr>
        <w:tab/>
        <w:t xml:space="preserve">A Tabela </w:t>
      </w:r>
      <w:r w:rsidR="006264C0" w:rsidRPr="005432E1">
        <w:rPr>
          <w:rFonts w:asciiTheme="minorHAnsi" w:hAnsiTheme="minorHAnsi"/>
        </w:rPr>
        <w:t>59</w:t>
      </w:r>
      <w:r w:rsidRPr="005432E1">
        <w:rPr>
          <w:rFonts w:asciiTheme="minorHAnsi" w:hAnsiTheme="minorHAnsi"/>
        </w:rPr>
        <w:t> decompõe as receitas entre contratos vigentes e novos leilões realizados no período. Como pode ser constatado, as variações entre previsto e realizado estão presentes inclusive nos contratos de concessões vigentes. Dessa forma, a elaboração do PLOA deve observar todos esses fatores de risco de forma abrangente.</w:t>
      </w:r>
    </w:p>
    <w:p w14:paraId="47DA0DE1" w14:textId="77777777" w:rsidR="008B7085" w:rsidRDefault="008B7085">
      <w:pPr>
        <w:rPr>
          <w:rFonts w:asciiTheme="minorHAnsi" w:hAnsiTheme="minorHAnsi"/>
        </w:rPr>
      </w:pPr>
      <w:r>
        <w:rPr>
          <w:rFonts w:asciiTheme="minorHAnsi" w:hAnsiTheme="minorHAnsi"/>
        </w:rPr>
        <w:br w:type="page"/>
      </w:r>
    </w:p>
    <w:p w14:paraId="2A8375BC" w14:textId="77777777" w:rsidR="00B548C1" w:rsidRPr="005432E1" w:rsidRDefault="00B548C1" w:rsidP="00B548C1">
      <w:pPr>
        <w:spacing w:before="100" w:beforeAutospacing="1" w:after="100" w:afterAutospacing="1"/>
        <w:jc w:val="both"/>
        <w:rPr>
          <w:rFonts w:asciiTheme="minorHAnsi" w:hAnsiTheme="minorHAnsi"/>
        </w:rPr>
      </w:pPr>
    </w:p>
    <w:p w14:paraId="05C299FC" w14:textId="379085F3" w:rsidR="00B548C1" w:rsidRPr="005432E1" w:rsidRDefault="00B548C1" w:rsidP="00B548C1">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4B14A7" w:rsidRPr="005432E1">
        <w:rPr>
          <w:rFonts w:asciiTheme="minorHAnsi" w:hAnsiTheme="minorHAnsi"/>
          <w:b/>
          <w:bCs/>
        </w:rPr>
        <w:t>60</w:t>
      </w:r>
      <w:r w:rsidRPr="005432E1">
        <w:rPr>
          <w:rFonts w:asciiTheme="minorHAnsi" w:hAnsiTheme="minorHAnsi"/>
          <w:b/>
          <w:bCs/>
        </w:rPr>
        <w:t>: Receita de Concessões (novas concessões x contratos vigentes)</w:t>
      </w:r>
      <w:r w:rsidR="00A3599A" w:rsidRPr="005432E1">
        <w:rPr>
          <w:rFonts w:asciiTheme="minorHAnsi" w:hAnsiTheme="minorHAnsi"/>
          <w:b/>
          <w:bCs/>
        </w:rPr>
        <w:t xml:space="preserve"> - </w:t>
      </w:r>
      <w:r w:rsidR="00A3599A" w:rsidRPr="005432E1">
        <w:rPr>
          <w:rFonts w:asciiTheme="minorHAnsi" w:hAnsiTheme="minorHAnsi"/>
        </w:rPr>
        <w:t>(R$ milhões)</w:t>
      </w:r>
    </w:p>
    <w:tbl>
      <w:tblPr>
        <w:tblW w:w="7560" w:type="dxa"/>
        <w:tblCellSpacing w:w="0" w:type="dxa"/>
        <w:tblInd w:w="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1395"/>
        <w:gridCol w:w="1154"/>
        <w:gridCol w:w="1154"/>
        <w:gridCol w:w="1268"/>
        <w:gridCol w:w="1911"/>
      </w:tblGrid>
      <w:tr w:rsidR="0026114A" w:rsidRPr="005432E1" w14:paraId="51141C21" w14:textId="77777777" w:rsidTr="00894201">
        <w:trPr>
          <w:trHeight w:val="300"/>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59A073B" w14:textId="77777777" w:rsidR="00B548C1" w:rsidRPr="005432E1" w:rsidRDefault="00B548C1" w:rsidP="00A3599A">
            <w:pPr>
              <w:jc w:val="center"/>
              <w:rPr>
                <w:rFonts w:asciiTheme="minorHAnsi" w:hAnsiTheme="minorHAnsi"/>
              </w:rPr>
            </w:pPr>
            <w:r w:rsidRPr="005432E1">
              <w:rPr>
                <w:rFonts w:asciiTheme="minorHAnsi" w:hAnsiTheme="minorHAnsi"/>
              </w:rPr>
              <w:t xml:space="preserve">Receita de Concessões </w:t>
            </w:r>
          </w:p>
        </w:tc>
      </w:tr>
      <w:tr w:rsidR="0026114A" w:rsidRPr="005432E1" w14:paraId="523A4157" w14:textId="77777777" w:rsidTr="0089420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87F296"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721ABD"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78B1FB" w14:textId="77777777" w:rsidR="00B548C1" w:rsidRPr="005432E1" w:rsidRDefault="00B548C1" w:rsidP="00A80D84">
            <w:pPr>
              <w:jc w:val="center"/>
              <w:rPr>
                <w:rFonts w:asciiTheme="minorHAnsi" w:hAnsiTheme="minorHAnsi"/>
              </w:rPr>
            </w:pPr>
            <w:r w:rsidRPr="005432E1">
              <w:rPr>
                <w:rFonts w:asciiTheme="minorHAnsi" w:hAnsiTheme="minorHAnsi"/>
              </w:rPr>
              <w:t>PLOA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0C4A0" w14:textId="77777777" w:rsidR="00B548C1" w:rsidRPr="005432E1" w:rsidRDefault="00B548C1" w:rsidP="00A80D84">
            <w:pPr>
              <w:jc w:val="center"/>
              <w:rPr>
                <w:rFonts w:asciiTheme="minorHAnsi" w:hAnsiTheme="minorHAnsi"/>
              </w:rPr>
            </w:pPr>
            <w:r w:rsidRPr="005432E1">
              <w:rPr>
                <w:rFonts w:asciiTheme="minorHAnsi" w:hAnsiTheme="minorHAnsi"/>
              </w:rPr>
              <w:t>LOA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3EAD1" w14:textId="77777777" w:rsidR="00B548C1" w:rsidRPr="005432E1" w:rsidRDefault="00B548C1" w:rsidP="00A80D84">
            <w:pPr>
              <w:jc w:val="center"/>
              <w:rPr>
                <w:rFonts w:asciiTheme="minorHAnsi" w:hAnsiTheme="minorHAnsi"/>
              </w:rPr>
            </w:pPr>
            <w:r w:rsidRPr="005432E1">
              <w:rPr>
                <w:rFonts w:asciiTheme="minorHAnsi" w:hAnsiTheme="minorHAnsi"/>
              </w:rPr>
              <w:t>Realizado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32B6" w14:textId="77777777" w:rsidR="00B548C1" w:rsidRPr="005432E1" w:rsidRDefault="00B548C1" w:rsidP="00A80D84">
            <w:pPr>
              <w:jc w:val="center"/>
              <w:rPr>
                <w:rFonts w:asciiTheme="minorHAnsi" w:hAnsiTheme="minorHAnsi"/>
              </w:rPr>
            </w:pPr>
            <w:r w:rsidRPr="005432E1">
              <w:rPr>
                <w:rFonts w:asciiTheme="minorHAnsi" w:hAnsiTheme="minorHAnsi"/>
              </w:rPr>
              <w:t>Realizado/LOA</w:t>
            </w:r>
          </w:p>
        </w:tc>
      </w:tr>
      <w:tr w:rsidR="0026114A" w:rsidRPr="005432E1" w14:paraId="15030B38" w14:textId="77777777" w:rsidTr="00894201">
        <w:trPr>
          <w:trHeight w:val="31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E97C8D" w14:textId="77777777" w:rsidR="00B548C1" w:rsidRPr="005432E1" w:rsidRDefault="00B548C1" w:rsidP="00A80D84">
            <w:pPr>
              <w:jc w:val="center"/>
              <w:rPr>
                <w:rFonts w:asciiTheme="minorHAnsi" w:hAnsiTheme="minorHAnsi"/>
              </w:rPr>
            </w:pPr>
            <w:r w:rsidRPr="005432E1">
              <w:rPr>
                <w:rFonts w:asciiTheme="minorHAnsi" w:hAnsiTheme="minorHAnsi"/>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BEDCF"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Vigentes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F0E11"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3.841,0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834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3.841,0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84A95"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2.976,0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1FF7B"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77%</w:t>
            </w:r>
          </w:p>
        </w:tc>
      </w:tr>
      <w:tr w:rsidR="0026114A" w:rsidRPr="005432E1" w14:paraId="2FEC142E"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D22ECC"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5A1E95"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Novas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3DEC5"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5FE97"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9.610,0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4A439"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CEF7B"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53%</w:t>
            </w:r>
          </w:p>
        </w:tc>
      </w:tr>
      <w:tr w:rsidR="0026114A" w:rsidRPr="005432E1" w14:paraId="1015E0B3"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CF0207"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8D8DCD"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Total 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5C15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9.751,0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73EEE"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13.451,0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63B4E"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8.053,0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DE92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60%</w:t>
            </w:r>
          </w:p>
        </w:tc>
      </w:tr>
      <w:tr w:rsidR="0026114A" w:rsidRPr="005432E1" w14:paraId="69F238DC" w14:textId="77777777" w:rsidTr="008942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59E59B"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A3616"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Vigentes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9CE79"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6.223,0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2C1AF"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6.223,0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D4C96"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5.885,0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FF3A2"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95%</w:t>
            </w:r>
          </w:p>
        </w:tc>
      </w:tr>
      <w:tr w:rsidR="0026114A" w:rsidRPr="005432E1" w14:paraId="2599F4C5"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7C33CE"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DC1E2F"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Novas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EBB53"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7.081,0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55F9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9.238,0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0977F"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097BC"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0%</w:t>
            </w:r>
          </w:p>
        </w:tc>
      </w:tr>
      <w:tr w:rsidR="0026114A" w:rsidRPr="005432E1" w14:paraId="712D2389"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FEB81"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0A87B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Total 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50E6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13.304,0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69C1A"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15.461,0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F4FA3"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5.885,0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EF0EB"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38%</w:t>
            </w:r>
          </w:p>
        </w:tc>
      </w:tr>
      <w:tr w:rsidR="0026114A" w:rsidRPr="005432E1" w14:paraId="55F41078" w14:textId="77777777" w:rsidTr="008942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B93980"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FD1B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Vigentes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D612E"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5.007,0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5D351"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22.007,0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88757"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21.931,0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D084C"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100%</w:t>
            </w:r>
          </w:p>
        </w:tc>
      </w:tr>
      <w:tr w:rsidR="0026114A" w:rsidRPr="005432E1" w14:paraId="49E65A1D"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28A2AA"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F509C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Novas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51612"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C9743"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3E6AB"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4F560"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0%</w:t>
            </w:r>
          </w:p>
        </w:tc>
      </w:tr>
      <w:tr w:rsidR="0026114A" w:rsidRPr="005432E1" w14:paraId="1E208C35"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1BD624"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F2E11F"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Total 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32505"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10.007,0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02AF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28.507,0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C891C"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21.931,0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4F967"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77%</w:t>
            </w:r>
          </w:p>
        </w:tc>
      </w:tr>
      <w:tr w:rsidR="0026114A" w:rsidRPr="005432E1" w14:paraId="436EEE43" w14:textId="77777777" w:rsidTr="008942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AF9209"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259BC"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Vigentes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93B71"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4.735,0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A361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4.735,0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9FA9A"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8.536,0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FD583"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180%</w:t>
            </w:r>
          </w:p>
        </w:tc>
      </w:tr>
      <w:tr w:rsidR="0026114A" w:rsidRPr="005432E1" w14:paraId="30B5B849"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B75AEE"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282717"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Novas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073E6"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19.228,0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B108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19.228,0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5D9F1"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23.598,0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6D6A8"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123%</w:t>
            </w:r>
          </w:p>
        </w:tc>
      </w:tr>
      <w:tr w:rsidR="0026114A" w:rsidRPr="005432E1" w14:paraId="54D0A99E" w14:textId="77777777" w:rsidTr="008942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6B8669" w14:textId="77777777" w:rsidR="00B548C1" w:rsidRPr="005432E1" w:rsidRDefault="00B548C1" w:rsidP="00A80D84">
            <w:pPr>
              <w:jc w:val="center"/>
              <w:rPr>
                <w:rFonts w:asciiTheme="minorHAnsi"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04556"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Total 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0A9E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23.963,0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26BC4"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23.963,0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D132C"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32.134,0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55813" w14:textId="77777777" w:rsidR="00B548C1" w:rsidRPr="005432E1" w:rsidRDefault="00B548C1" w:rsidP="00A80D84">
            <w:pPr>
              <w:spacing w:before="100" w:beforeAutospacing="1" w:after="100" w:afterAutospacing="1"/>
              <w:jc w:val="center"/>
              <w:rPr>
                <w:rFonts w:asciiTheme="minorHAnsi" w:hAnsiTheme="minorHAnsi"/>
              </w:rPr>
            </w:pPr>
            <w:r w:rsidRPr="005432E1">
              <w:rPr>
                <w:rFonts w:asciiTheme="minorHAnsi" w:hAnsiTheme="minorHAnsi"/>
              </w:rPr>
              <w:t>134%</w:t>
            </w:r>
          </w:p>
        </w:tc>
      </w:tr>
    </w:tbl>
    <w:p w14:paraId="6407EEA2" w14:textId="77777777" w:rsidR="00A3599A" w:rsidRPr="005432E1" w:rsidRDefault="00A3599A" w:rsidP="00B14BFE">
      <w:pPr>
        <w:spacing w:after="100" w:afterAutospacing="1"/>
        <w:jc w:val="both"/>
        <w:rPr>
          <w:rFonts w:asciiTheme="minorHAnsi" w:hAnsiTheme="minorHAnsi"/>
          <w:bCs/>
          <w:sz w:val="20"/>
          <w:szCs w:val="20"/>
        </w:rPr>
      </w:pPr>
      <w:r w:rsidRPr="005432E1">
        <w:rPr>
          <w:rFonts w:asciiTheme="minorHAnsi" w:hAnsiTheme="minorHAnsi"/>
          <w:b/>
          <w:bCs/>
          <w:sz w:val="20"/>
          <w:szCs w:val="20"/>
        </w:rPr>
        <w:tab/>
        <w:t xml:space="preserve">      </w:t>
      </w:r>
      <w:r w:rsidRPr="005432E1">
        <w:rPr>
          <w:rFonts w:asciiTheme="minorHAnsi" w:hAnsiTheme="minorHAnsi"/>
          <w:bCs/>
          <w:sz w:val="20"/>
          <w:szCs w:val="20"/>
        </w:rPr>
        <w:t>Fonte: COAPI/STN/MF</w:t>
      </w:r>
    </w:p>
    <w:p w14:paraId="1F5AADB2" w14:textId="77777777" w:rsidR="00B548C1" w:rsidRPr="005432E1" w:rsidRDefault="00B548C1" w:rsidP="00B548C1">
      <w:pPr>
        <w:spacing w:before="100" w:beforeAutospacing="1" w:after="100" w:afterAutospacing="1"/>
        <w:jc w:val="both"/>
        <w:rPr>
          <w:rFonts w:asciiTheme="minorHAnsi" w:hAnsiTheme="minorHAnsi"/>
        </w:rPr>
      </w:pPr>
      <w:r w:rsidRPr="005432E1">
        <w:rPr>
          <w:rFonts w:asciiTheme="minorHAnsi" w:hAnsiTheme="minorHAnsi"/>
          <w:b/>
          <w:bCs/>
        </w:rPr>
        <w:t>Desafios</w:t>
      </w:r>
    </w:p>
    <w:p w14:paraId="74C64E44" w14:textId="77777777" w:rsidR="00B548C1" w:rsidRPr="005432E1" w:rsidRDefault="00264E08" w:rsidP="00B548C1">
      <w:pPr>
        <w:spacing w:before="100" w:beforeAutospacing="1" w:after="100" w:afterAutospacing="1"/>
        <w:jc w:val="both"/>
        <w:rPr>
          <w:rFonts w:asciiTheme="minorHAnsi" w:hAnsiTheme="minorHAnsi"/>
        </w:rPr>
      </w:pPr>
      <w:r w:rsidRPr="005432E1">
        <w:rPr>
          <w:rFonts w:asciiTheme="minorHAnsi" w:hAnsiTheme="minorHAnsi"/>
        </w:rPr>
        <w:tab/>
      </w:r>
      <w:r w:rsidR="00A3599A" w:rsidRPr="005432E1">
        <w:rPr>
          <w:rFonts w:asciiTheme="minorHAnsi" w:hAnsiTheme="minorHAnsi"/>
        </w:rPr>
        <w:t>Como relatado anteriormente, foram realizados diversos avanços na avaliação de riscos em concessões e parcerias público-privadas. No sentido de prosseguir neste processo de aperfeiçoamento, as melhores práticas</w:t>
      </w:r>
      <w:r w:rsidR="00B548C1" w:rsidRPr="005432E1">
        <w:rPr>
          <w:rFonts w:asciiTheme="minorHAnsi" w:hAnsiTheme="minorHAnsi"/>
        </w:rPr>
        <w:t xml:space="preserve"> internacionais, difundidas por organismos multilaterais como o Fundo Monetário Internacional, apontam para</w:t>
      </w:r>
      <w:r w:rsidR="00A3599A" w:rsidRPr="005432E1">
        <w:rPr>
          <w:rFonts w:asciiTheme="minorHAnsi" w:hAnsiTheme="minorHAnsi"/>
        </w:rPr>
        <w:t xml:space="preserve"> outras oportunidades</w:t>
      </w:r>
      <w:r w:rsidR="00B548C1" w:rsidRPr="005432E1">
        <w:rPr>
          <w:rFonts w:asciiTheme="minorHAnsi" w:hAnsiTheme="minorHAnsi"/>
        </w:rPr>
        <w:t xml:space="preserve"> na avaliação de riscos decorrentes de contratos de Concessões e PPPs no Brasil. Ness</w:t>
      </w:r>
      <w:r w:rsidR="00A3599A" w:rsidRPr="005432E1">
        <w:rPr>
          <w:rFonts w:asciiTheme="minorHAnsi" w:hAnsiTheme="minorHAnsi"/>
        </w:rPr>
        <w:t>a linha</w:t>
      </w:r>
      <w:r w:rsidR="00B548C1" w:rsidRPr="005432E1">
        <w:rPr>
          <w:rFonts w:asciiTheme="minorHAnsi" w:hAnsiTheme="minorHAnsi"/>
        </w:rPr>
        <w:t>, é importante avançar nos seguintes quesitos: (i) mapeamento de eventuais riscos assumidos pela União em cada contrato de concessão, com a colaboração das agências reguladoras, especialmente risco de pagamento de indenizações ou reequilíbrio econômico-financeiro, além do risco de frustração de receitas de outorga; (ii) desenvolvimento de metodologia para mensuração e avaliação sistemática desses riscos; (iii) divulgação consolidada da carteira de contratos vigentes de Concessões e PPPs; (iv) diretrizes para alocação de riscos em novos contratos de PPPs e Concessões, de forma alinhada com as restrições fiscais.</w:t>
      </w:r>
    </w:p>
    <w:p w14:paraId="76B58747" w14:textId="23F16982" w:rsidR="008B7085" w:rsidRDefault="00264E08" w:rsidP="00B548C1">
      <w:pPr>
        <w:spacing w:before="100" w:beforeAutospacing="1" w:after="100" w:afterAutospacing="1"/>
        <w:jc w:val="both"/>
        <w:rPr>
          <w:rFonts w:asciiTheme="minorHAnsi" w:hAnsiTheme="minorHAnsi"/>
        </w:rPr>
      </w:pPr>
      <w:r w:rsidRPr="005432E1">
        <w:rPr>
          <w:rFonts w:asciiTheme="minorHAnsi" w:hAnsiTheme="minorHAnsi"/>
        </w:rPr>
        <w:tab/>
      </w:r>
      <w:r w:rsidR="00B548C1" w:rsidRPr="005432E1">
        <w:rPr>
          <w:rFonts w:asciiTheme="minorHAnsi" w:hAnsiTheme="minorHAnsi"/>
        </w:rPr>
        <w:t>Abaixo</w:t>
      </w:r>
      <w:r w:rsidR="00894201" w:rsidRPr="005432E1">
        <w:rPr>
          <w:rFonts w:asciiTheme="minorHAnsi" w:hAnsiTheme="minorHAnsi"/>
        </w:rPr>
        <w:t xml:space="preserve">, a Tabela </w:t>
      </w:r>
      <w:r w:rsidR="008C59CD" w:rsidRPr="005432E1">
        <w:rPr>
          <w:rFonts w:asciiTheme="minorHAnsi" w:hAnsiTheme="minorHAnsi"/>
        </w:rPr>
        <w:t>6</w:t>
      </w:r>
      <w:r w:rsidR="00F95F72" w:rsidRPr="005432E1">
        <w:rPr>
          <w:rFonts w:asciiTheme="minorHAnsi" w:hAnsiTheme="minorHAnsi"/>
        </w:rPr>
        <w:t>1</w:t>
      </w:r>
      <w:r w:rsidR="00894201" w:rsidRPr="005432E1">
        <w:rPr>
          <w:rFonts w:asciiTheme="minorHAnsi" w:hAnsiTheme="minorHAnsi"/>
        </w:rPr>
        <w:t xml:space="preserve"> apresenta</w:t>
      </w:r>
      <w:r w:rsidR="00B548C1" w:rsidRPr="005432E1">
        <w:rPr>
          <w:rFonts w:asciiTheme="minorHAnsi" w:hAnsiTheme="minorHAnsi"/>
        </w:rPr>
        <w:t xml:space="preserve"> informações relativas aos contratos de concessões vigentes dos setores de infraestrutura logística e energética, conforme informações fornecidas pelas respectivas agências reguladoras.</w:t>
      </w:r>
    </w:p>
    <w:p w14:paraId="7F6964C8" w14:textId="77777777" w:rsidR="008B7085" w:rsidRDefault="008B7085">
      <w:pPr>
        <w:rPr>
          <w:rFonts w:asciiTheme="minorHAnsi" w:hAnsiTheme="minorHAnsi"/>
        </w:rPr>
      </w:pPr>
      <w:r>
        <w:rPr>
          <w:rFonts w:asciiTheme="minorHAnsi" w:hAnsiTheme="minorHAnsi"/>
        </w:rPr>
        <w:br w:type="page"/>
      </w:r>
    </w:p>
    <w:p w14:paraId="7F636A49" w14:textId="77777777" w:rsidR="00B548C1" w:rsidRPr="005432E1" w:rsidRDefault="00B548C1" w:rsidP="00B548C1">
      <w:pPr>
        <w:spacing w:before="100" w:beforeAutospacing="1" w:after="100" w:afterAutospacing="1"/>
        <w:jc w:val="both"/>
        <w:rPr>
          <w:rFonts w:asciiTheme="minorHAnsi" w:hAnsiTheme="minorHAnsi"/>
        </w:rPr>
      </w:pPr>
    </w:p>
    <w:p w14:paraId="2D13A34F" w14:textId="586540D4" w:rsidR="00B548C1" w:rsidRPr="005432E1" w:rsidRDefault="00B548C1" w:rsidP="00B548C1">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4B14A7" w:rsidRPr="005432E1">
        <w:rPr>
          <w:rFonts w:asciiTheme="minorHAnsi" w:hAnsiTheme="minorHAnsi"/>
          <w:b/>
          <w:bCs/>
        </w:rPr>
        <w:t>61</w:t>
      </w:r>
      <w:r w:rsidRPr="005432E1">
        <w:rPr>
          <w:rFonts w:asciiTheme="minorHAnsi" w:hAnsiTheme="minorHAnsi"/>
          <w:b/>
          <w:bCs/>
        </w:rPr>
        <w:t>: Contratos de Concessões Vigentes (Infraestrutura logística e energética)</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7"/>
        <w:gridCol w:w="2443"/>
        <w:gridCol w:w="1700"/>
        <w:gridCol w:w="1270"/>
        <w:gridCol w:w="2253"/>
      </w:tblGrid>
      <w:tr w:rsidR="0026114A" w:rsidRPr="005432E1" w14:paraId="772A79F5" w14:textId="77777777" w:rsidTr="004C638A">
        <w:trPr>
          <w:trHeight w:val="1118"/>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56CD28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Setor da Concessão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AD68F0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Objeto do contrato de concessão</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43968D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Dimensão</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977D88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Início Concessão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5BA4D0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Vencimento da Concessão</w:t>
            </w:r>
          </w:p>
        </w:tc>
      </w:tr>
      <w:tr w:rsidR="0026114A" w:rsidRPr="005432E1" w14:paraId="5D2CCED4"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395997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D2D9F5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381 (MG/SP)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A465AB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562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81217D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92936E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06D1A593"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B0785B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AA18A2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101 (RJ)</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23D0D3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320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B31198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5AC1C9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69FFAD4F"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3C9AE4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B2FA44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101/116/376 (SC/PR)</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DBDDA0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405,94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762657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DC143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1CC8780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0A8A62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0FB536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116 (PR/SC)</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4BB6E7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413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58968C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3847D5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1206297F"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1B151B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A99145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116 (PR/SP)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DAE9AF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402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E7C8AA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AE082C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19FDDC21"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172A3E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606F30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393 (RJ)</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3A5C45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969CFA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B507DF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268CA0AC"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AF29E9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8BA5D4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153 (SP)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09901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321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8CEDE6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3372B7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48E76837"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BFCB1E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8431AA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324/116 e BA 526/528 </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1626A2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680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7906E0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2009</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ADA046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2033</w:t>
            </w:r>
          </w:p>
        </w:tc>
      </w:tr>
      <w:tr w:rsidR="0026114A" w:rsidRPr="005432E1" w14:paraId="551CD4DD"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095D16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E9065C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050 (GO/MG)</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49DE7E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436,6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8D6438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EE8D41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2044</w:t>
            </w:r>
          </w:p>
        </w:tc>
      </w:tr>
      <w:tr w:rsidR="0026114A" w:rsidRPr="005432E1" w14:paraId="6F66FEE4"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E1EF4B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49E961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163 (MS)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2F12ED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847,2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99E242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2DDBB4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2037</w:t>
            </w:r>
          </w:p>
        </w:tc>
      </w:tr>
      <w:tr w:rsidR="0026114A" w:rsidRPr="005432E1" w14:paraId="3548F41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D4D581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B38DCC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163 (MT)</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F7B364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850,9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4DF312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16E088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2038</w:t>
            </w:r>
          </w:p>
        </w:tc>
      </w:tr>
      <w:tr w:rsidR="0026114A" w:rsidRPr="005432E1" w14:paraId="5E79B877"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AC8C4D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3332AB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040 (MG/GO/DF)</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CFA8F7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936,8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35D972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87D6AD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2039</w:t>
            </w:r>
          </w:p>
        </w:tc>
      </w:tr>
      <w:tr w:rsidR="0026114A" w:rsidRPr="005432E1" w14:paraId="1246C61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EA683B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517350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101 - Ponte Rio-Niterói</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65A470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13,2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062B5B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5E160A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2045</w:t>
            </w:r>
          </w:p>
        </w:tc>
      </w:tr>
      <w:tr w:rsidR="0026114A" w:rsidRPr="005432E1" w14:paraId="7540FE42"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029F7C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514946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116 (RJ/SP)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18EAD0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402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98FDAE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ECE8E9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2021</w:t>
            </w:r>
          </w:p>
        </w:tc>
      </w:tr>
      <w:tr w:rsidR="0026114A" w:rsidRPr="005432E1" w14:paraId="3B47A3A2"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9672E2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662518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040 (RJ/MG)</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4DE8D3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180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8DB993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B92D6D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2021</w:t>
            </w:r>
          </w:p>
        </w:tc>
      </w:tr>
      <w:tr w:rsidR="0026114A" w:rsidRPr="005432E1" w14:paraId="02C06BB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65D4EE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4A9A21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116 (RJ) Rio - Teresópolis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ABCAEA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142,5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384925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FEEAF1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2021</w:t>
            </w:r>
          </w:p>
        </w:tc>
      </w:tr>
      <w:tr w:rsidR="0026114A" w:rsidRPr="005432E1" w14:paraId="212E89CD"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AF0008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45005D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290/116</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CFDFE8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121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71B261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791030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r>
      <w:tr w:rsidR="0026114A" w:rsidRPr="005432E1" w14:paraId="0103E825"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16937E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C92FFE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116/392</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E70DA7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457,3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A7B2B3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35477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2018</w:t>
            </w:r>
          </w:p>
        </w:tc>
      </w:tr>
      <w:tr w:rsidR="0026114A" w:rsidRPr="005432E1" w14:paraId="132A82F9"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DED783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A2A506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060/153/262 (DF/GO/MG)</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45AF35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1.176,5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0354AA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77D0B6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2035</w:t>
            </w:r>
          </w:p>
        </w:tc>
      </w:tr>
      <w:tr w:rsidR="0026114A" w:rsidRPr="005432E1" w14:paraId="006CE5D3"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0EF525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835A85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153 (GO/TO)</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D8722C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624,8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44E606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DD5DC3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2044</w:t>
            </w:r>
          </w:p>
        </w:tc>
      </w:tr>
      <w:tr w:rsidR="0026114A" w:rsidRPr="005432E1" w14:paraId="4149397E"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CB96E9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Rodovia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0D4BE1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BR 101 (ES/BA)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C8D944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475,9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E7E67C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25FD3B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2039</w:t>
            </w:r>
          </w:p>
        </w:tc>
      </w:tr>
      <w:tr w:rsidR="0026114A" w:rsidRPr="005432E1" w14:paraId="6160DAD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12F6AD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322B2A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Sul RS/SC/PR</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52D078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7.223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B87F70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A1DB97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2026</w:t>
            </w:r>
          </w:p>
        </w:tc>
      </w:tr>
      <w:tr w:rsidR="0026114A" w:rsidRPr="005432E1" w14:paraId="19F99B02"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BB8C81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AE2087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Nordeste</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C6B370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4.295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82A450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8A62C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2027</w:t>
            </w:r>
          </w:p>
        </w:tc>
      </w:tr>
      <w:tr w:rsidR="0026114A" w:rsidRPr="005432E1" w14:paraId="0BB654CE"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7BC5B7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00EBA5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 de Integração Oeste Leste EF-334</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00FF6C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F7AC8D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78DCA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2057</w:t>
            </w:r>
          </w:p>
        </w:tc>
      </w:tr>
      <w:tr w:rsidR="0026114A" w:rsidRPr="005432E1" w14:paraId="58FF63F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CE01DA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CDE800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EFC - Estrada de Ferro Carajás - Vale - Sistema Norte (PA/TO/MA) </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EE3AAF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978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F22DF1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7D6080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2027</w:t>
            </w:r>
          </w:p>
        </w:tc>
      </w:tr>
      <w:tr w:rsidR="0026114A" w:rsidRPr="005432E1" w14:paraId="5B19041C"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8A9D52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6628F9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Oeste PR</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E2B283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248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8B36F3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6BEA6F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2027</w:t>
            </w:r>
          </w:p>
        </w:tc>
      </w:tr>
      <w:tr w:rsidR="0026114A" w:rsidRPr="005432E1" w14:paraId="0440DB9E"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9BF9BF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6CEF48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Estrada de Ferro Vitória a Minas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C878F7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895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796EF7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46C929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2027</w:t>
            </w:r>
          </w:p>
        </w:tc>
      </w:tr>
      <w:tr w:rsidR="0026114A" w:rsidRPr="005432E1" w14:paraId="371DFD99"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735DC6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854D7A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 Centro-Atlântica S.A.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9E2B82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7.223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9C0765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788688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2026</w:t>
            </w:r>
          </w:p>
        </w:tc>
      </w:tr>
      <w:tr w:rsidR="0026114A" w:rsidRPr="005432E1" w14:paraId="3D2B6E09"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4969D2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118322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Norte MS/MG/GO/MT/RO/PA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8487FC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5.228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05A899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1989</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C5D950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2079</w:t>
            </w:r>
          </w:p>
        </w:tc>
      </w:tr>
      <w:tr w:rsidR="0026114A" w:rsidRPr="005432E1" w14:paraId="35FF944B"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6291B1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201610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 Norte Sul</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9F4264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675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66E533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17BD0A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2037</w:t>
            </w:r>
          </w:p>
        </w:tc>
      </w:tr>
      <w:tr w:rsidR="0026114A" w:rsidRPr="005432E1" w14:paraId="51979EFE"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8E8D8F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7D9304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Oeste MS/SP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21E3A3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CABED5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ABD775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2026</w:t>
            </w:r>
          </w:p>
        </w:tc>
      </w:tr>
      <w:tr w:rsidR="0026114A" w:rsidRPr="005432E1" w14:paraId="13D6CA5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0BB493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BF4C61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Trecho Minas SC - Porto Tubarão SC</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860CEB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163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4E6A19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D1DB4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2027</w:t>
            </w:r>
          </w:p>
        </w:tc>
      </w:tr>
      <w:tr w:rsidR="0026114A" w:rsidRPr="005432E1" w14:paraId="07646B28"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21DAD1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785653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Malha Paulista 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3894C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2.055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53BEF4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7565E1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2028</w:t>
            </w:r>
          </w:p>
        </w:tc>
      </w:tr>
      <w:tr w:rsidR="0026114A" w:rsidRPr="005432E1" w14:paraId="58531464"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26F85F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Ferrovia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B743E6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MRS Logística - Malha Sudeste RJ/MG/SP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58B138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1.686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37892F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1996</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3AB93D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2026</w:t>
            </w:r>
          </w:p>
        </w:tc>
      </w:tr>
      <w:tr w:rsidR="0026114A" w:rsidRPr="005432E1" w14:paraId="1531289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6421B2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118139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De São Gonçalo Do Amarante - Asga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3B5383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15.220.146,99 m²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A3A691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2012</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DDDE89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2040</w:t>
            </w:r>
          </w:p>
        </w:tc>
      </w:tr>
      <w:tr w:rsidR="0026114A" w:rsidRPr="005432E1" w14:paraId="387D7DB1"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9EF487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BBB5FF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Juscelino Kubistschek / Brasília - Bsb</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E5C2CD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9.947.560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13105D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2012</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0BA5C8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2037</w:t>
            </w:r>
          </w:p>
        </w:tc>
      </w:tr>
      <w:tr w:rsidR="00FF061A" w:rsidRPr="005432E1" w14:paraId="5A05CA2D" w14:textId="77777777" w:rsidTr="00A80D84">
        <w:trPr>
          <w:trHeight w:val="6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14BBB8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165134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Governador André Franco Montoro / Guarulhos - Gru</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DA1C60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11.905.056,52m²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237446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2012</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D47E41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2032</w:t>
            </w:r>
          </w:p>
        </w:tc>
      </w:tr>
      <w:tr w:rsidR="00FF061A" w:rsidRPr="005432E1" w14:paraId="1183FBAF"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B2A044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5F3E3A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De Campinas / Viracopos - Vcp</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87143C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8.579.300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C42E9E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2012</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E1472C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2042</w:t>
            </w:r>
          </w:p>
        </w:tc>
      </w:tr>
      <w:tr w:rsidR="00FF061A" w:rsidRPr="005432E1" w14:paraId="13C1DB1F"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F5B35A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927042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Do Rio De Janeiro / Galeão - Gig</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8D7A2B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14.462.076,82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389153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CFF288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2039</w:t>
            </w:r>
          </w:p>
        </w:tc>
      </w:tr>
      <w:tr w:rsidR="00FF061A" w:rsidRPr="005432E1" w14:paraId="4B7F2DCC"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EFFEA4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ACBCAF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Tancredo Neves / Confins - Cnf</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735198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15.175.129,34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B22112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4FA258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2044</w:t>
            </w:r>
          </w:p>
        </w:tc>
      </w:tr>
      <w:tr w:rsidR="00FF061A" w:rsidRPr="005432E1" w14:paraId="6F05D574"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90CBEF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9067A4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xml:space="preserve">Aeroporto De Florianópolis /  Hercílio Luz </w:t>
            </w:r>
            <w:r w:rsidR="00CD5649" w:rsidRPr="005432E1">
              <w:rPr>
                <w:rFonts w:asciiTheme="minorHAnsi" w:hAnsiTheme="minorHAnsi"/>
              </w:rPr>
              <w:t>–</w:t>
            </w:r>
            <w:r w:rsidRPr="005432E1">
              <w:rPr>
                <w:rFonts w:asciiTheme="minorHAnsi" w:hAnsiTheme="minorHAnsi"/>
              </w:rPr>
              <w:t xml:space="preserve"> Fln</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88E7F6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4.796.332,01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DBADC2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49B909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2047</w:t>
            </w:r>
          </w:p>
        </w:tc>
      </w:tr>
      <w:tr w:rsidR="00FF061A" w:rsidRPr="005432E1" w14:paraId="18FB917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DDAA79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85D489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Pinto Martins /  Fortaleza - For</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DB5B94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4.550.951,27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F924B3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A5B3B3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2047</w:t>
            </w:r>
          </w:p>
        </w:tc>
      </w:tr>
      <w:tr w:rsidR="00FF061A" w:rsidRPr="005432E1" w14:paraId="6CA9E7C7"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60825A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19A0E1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 Internacional De Porto Alegre - Salgado Filho - Poa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E1BD46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4.236.855,42  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CAFA4B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94FFD0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2042</w:t>
            </w:r>
          </w:p>
        </w:tc>
      </w:tr>
      <w:tr w:rsidR="00FF061A" w:rsidRPr="005432E1" w14:paraId="2E8C768A" w14:textId="77777777" w:rsidTr="00A80D84">
        <w:trPr>
          <w:trHeight w:val="6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D2DA40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Aeroporto</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AFA2ED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xml:space="preserve">Aeroporto Internacional Deputado Luís Eduardo Magalhães / Salvador </w:t>
            </w:r>
            <w:r w:rsidR="00CD5649" w:rsidRPr="005432E1">
              <w:rPr>
                <w:rFonts w:asciiTheme="minorHAnsi" w:hAnsiTheme="minorHAnsi"/>
              </w:rPr>
              <w:t>–</w:t>
            </w:r>
            <w:r w:rsidRPr="005432E1">
              <w:rPr>
                <w:rFonts w:asciiTheme="minorHAnsi" w:hAnsiTheme="minorHAnsi"/>
              </w:rPr>
              <w:t xml:space="preserve"> Ssa</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AE455A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8.248.488,25 m2</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4B60C2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6FE22D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2047</w:t>
            </w:r>
          </w:p>
        </w:tc>
      </w:tr>
      <w:tr w:rsidR="00FF061A" w:rsidRPr="005432E1" w14:paraId="0E45D871"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DAC687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A2FAED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Itumbiara¹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525418C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2.082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F47182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576812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2020</w:t>
            </w:r>
          </w:p>
        </w:tc>
      </w:tr>
      <w:tr w:rsidR="00FF061A" w:rsidRPr="005432E1" w14:paraId="244936D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88D12A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4711AC4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Sobradinho¹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C0B9D5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1.050,3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4A052F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1972</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59AF2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2022</w:t>
            </w:r>
          </w:p>
        </w:tc>
      </w:tr>
      <w:tr w:rsidR="00FF061A" w:rsidRPr="005432E1" w14:paraId="282CA38D"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7C87F3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1C5168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Governador Bento Munhoz da Rocha Neto (Foz do Areia)¹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0FF1A8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1.676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5AA92A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1973</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BC9CF9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2023</w:t>
            </w:r>
          </w:p>
        </w:tc>
      </w:tr>
      <w:tr w:rsidR="00FF061A" w:rsidRPr="005432E1" w14:paraId="0AF97A0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38B22B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BBF1C0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Tucuruí I e II¹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DA1DFD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8.370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6157C5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150271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2024</w:t>
            </w:r>
          </w:p>
        </w:tc>
      </w:tr>
      <w:tr w:rsidR="00FF061A" w:rsidRPr="005432E1" w14:paraId="05E1E1A1"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FCA0C2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540BF7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Emborcação¹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3FFEBBE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1.192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A7C890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1975</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6A1BD2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2025</w:t>
            </w:r>
          </w:p>
        </w:tc>
      </w:tr>
      <w:tr w:rsidR="00FF061A" w:rsidRPr="005432E1" w14:paraId="29999139"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5997EE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CA6649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Porto Primavera (Engº Sérgio Motta)¹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66D0A2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1.540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02B878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0FC496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2028</w:t>
            </w:r>
          </w:p>
        </w:tc>
      </w:tr>
      <w:tr w:rsidR="00FF061A" w:rsidRPr="005432E1" w14:paraId="2487DE97"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364FB2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403803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Governador Ney Aminthas de Barros Braga (Segredo)¹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55A027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1.260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91E46B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1979</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8B6AA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2029</w:t>
            </w:r>
          </w:p>
        </w:tc>
      </w:tr>
      <w:tr w:rsidR="00FF061A" w:rsidRPr="005432E1" w14:paraId="30DD2698"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B7310B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5855D9E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Governador José Richa (Salto Caxias)¹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09487E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1.240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D2F33E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1980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6E66C7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2030</w:t>
            </w:r>
          </w:p>
        </w:tc>
      </w:tr>
      <w:tr w:rsidR="00FF061A" w:rsidRPr="005432E1" w14:paraId="2F00272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F1E629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BBA399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Serra da Mesa¹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24028C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1.275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26A1D3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1981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BF05BD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2039</w:t>
            </w:r>
          </w:p>
        </w:tc>
      </w:tr>
      <w:tr w:rsidR="00FF061A" w:rsidRPr="005432E1" w14:paraId="3B14EC84"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3EB4AD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4A369C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34 contratos - Usinas Hidrelétricas¹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C1EF12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4.911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A1665E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1944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84FDE6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2035</w:t>
            </w:r>
          </w:p>
        </w:tc>
      </w:tr>
      <w:tr w:rsidR="00FF061A" w:rsidRPr="005432E1" w14:paraId="166E0FC2"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CC2538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60B382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Santa Cruz¹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775653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1.000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1DB9BCC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1967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98C4CD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6DA54121"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75F4BF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DF2D97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Presidente Médici  A, B 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88D78A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446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65B8BD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1969</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111A9A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7D5A0083"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7C07F4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EE0B7F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Piratininga¹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7DFE567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390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1482E5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1957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264CB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459A961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0D2A15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B847B4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Camaçari¹</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479D8C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 360 MW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217E90B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1977</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F83929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2017</w:t>
            </w:r>
          </w:p>
        </w:tc>
      </w:tr>
      <w:tr w:rsidR="00FF061A" w:rsidRPr="005432E1" w14:paraId="095CE627"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67C9E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Geração de Energia Hidrelétrica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05CCEDC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30 contratos - Usinas Termelétricas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1CAC56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413 MW</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B04FA8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1968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90B162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2029</w:t>
            </w:r>
          </w:p>
        </w:tc>
      </w:tr>
      <w:tr w:rsidR="00FF061A" w:rsidRPr="005432E1" w14:paraId="01A6B856"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BF62AC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Transmissão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DD4E30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282 contratos Linhas de Transmissão</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B15396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&gt; 72.476 km</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847624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1984</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59148E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2047</w:t>
            </w:r>
          </w:p>
        </w:tc>
      </w:tr>
      <w:tr w:rsidR="00FF061A" w:rsidRPr="005432E1" w14:paraId="6EC16E2B"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3FA7CB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B8FE25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Boa Vista Energia S.A²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9EAB88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CB5472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17709D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2233D5C3"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DAC6B8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AA4B4F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Amazonas Distribuidora de Energia S.A²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0BC01D3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42C74A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884300B"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07BC1E66"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99C636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F9EE7F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Companhia Energática de Alagoas - CEAL²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E35143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55571F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A0332A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102B3B7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56E6D2B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02EC85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Companhia de Eletricidade do Acre - ELETROACRE²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4DC98AB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7DBCD9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66C349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78B90270"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593E75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761EE28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Centrais elétricas de Rondônia S.A - CERON²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19E51A6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0533A93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9F009E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5CB3770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C9F77D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3CC6A983"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Companhia Energética do Piauí - CEPISA²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C61D80A"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0A9BC1E"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2001</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AA2A57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2015</w:t>
            </w:r>
          </w:p>
        </w:tc>
      </w:tr>
      <w:tr w:rsidR="00FF061A" w:rsidRPr="005432E1" w14:paraId="42D9254A" w14:textId="77777777" w:rsidTr="00A80D84">
        <w:trPr>
          <w:trHeight w:val="3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BEA912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20D03D52"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Energisa Tocantins - Distribuidora de Energia S.A.²</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FCD41D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3063A0C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91C042D"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2020</w:t>
            </w:r>
          </w:p>
        </w:tc>
      </w:tr>
      <w:tr w:rsidR="00FF061A" w:rsidRPr="005432E1" w14:paraId="42D0327D"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F7853F0"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Distribuição de Energia Elétrica</w:t>
            </w:r>
          </w:p>
        </w:tc>
        <w:tc>
          <w:tcPr>
            <w:tcW w:w="2444" w:type="dxa"/>
            <w:tcBorders>
              <w:top w:val="outset" w:sz="6" w:space="0" w:color="auto"/>
              <w:left w:val="outset" w:sz="6" w:space="0" w:color="auto"/>
              <w:bottom w:val="outset" w:sz="6" w:space="0" w:color="auto"/>
              <w:right w:val="outset" w:sz="6" w:space="0" w:color="auto"/>
            </w:tcBorders>
            <w:vAlign w:val="center"/>
            <w:hideMark/>
          </w:tcPr>
          <w:p w14:paraId="6638DFA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46 Contratos de concessão</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EE9C03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w:t>
            </w:r>
          </w:p>
        </w:tc>
        <w:tc>
          <w:tcPr>
            <w:tcW w:w="1273" w:type="dxa"/>
            <w:tcBorders>
              <w:top w:val="outset" w:sz="6" w:space="0" w:color="auto"/>
              <w:left w:val="outset" w:sz="6" w:space="0" w:color="auto"/>
              <w:bottom w:val="outset" w:sz="6" w:space="0" w:color="auto"/>
              <w:right w:val="outset" w:sz="6" w:space="0" w:color="auto"/>
            </w:tcBorders>
            <w:vAlign w:val="center"/>
            <w:hideMark/>
          </w:tcPr>
          <w:p w14:paraId="588106E7"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8F2B9D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2045</w:t>
            </w:r>
          </w:p>
        </w:tc>
      </w:tr>
      <w:tr w:rsidR="00FF061A" w:rsidRPr="005432E1" w14:paraId="5E67ABC9"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82DC6E4"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Exploração e Produção de Petróleo e Gás natural</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F33FEBC"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220 Contratos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28C026F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142.687 km²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EA3EC88"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2000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1B60196"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2021</w:t>
            </w:r>
          </w:p>
        </w:tc>
      </w:tr>
      <w:tr w:rsidR="00FF061A" w:rsidRPr="005432E1" w14:paraId="6D31DE1D"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A36251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Exploração e Produção de Petróleo e Gás natural</w:t>
            </w:r>
          </w:p>
        </w:tc>
        <w:tc>
          <w:tcPr>
            <w:tcW w:w="2444" w:type="dxa"/>
            <w:tcBorders>
              <w:top w:val="outset" w:sz="6" w:space="0" w:color="auto"/>
              <w:left w:val="outset" w:sz="6" w:space="0" w:color="auto"/>
              <w:bottom w:val="outset" w:sz="6" w:space="0" w:color="auto"/>
              <w:right w:val="outset" w:sz="6" w:space="0" w:color="auto"/>
            </w:tcBorders>
            <w:vAlign w:val="center"/>
            <w:hideMark/>
          </w:tcPr>
          <w:p w14:paraId="1A3AEDB5"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549 Contratos</w:t>
            </w:r>
          </w:p>
        </w:tc>
        <w:tc>
          <w:tcPr>
            <w:tcW w:w="1669" w:type="dxa"/>
            <w:tcBorders>
              <w:top w:val="outset" w:sz="6" w:space="0" w:color="auto"/>
              <w:left w:val="outset" w:sz="6" w:space="0" w:color="auto"/>
              <w:bottom w:val="outset" w:sz="6" w:space="0" w:color="auto"/>
              <w:right w:val="outset" w:sz="6" w:space="0" w:color="auto"/>
            </w:tcBorders>
            <w:vAlign w:val="center"/>
            <w:hideMark/>
          </w:tcPr>
          <w:p w14:paraId="61BDEB41"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108.688 km²</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DF706C9"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1998</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8CC359F" w14:textId="77777777" w:rsidR="00B548C1" w:rsidRPr="005432E1" w:rsidRDefault="00B548C1" w:rsidP="00A80D84">
            <w:pPr>
              <w:spacing w:before="100" w:beforeAutospacing="1" w:after="100" w:afterAutospacing="1"/>
              <w:rPr>
                <w:rFonts w:asciiTheme="minorHAnsi" w:hAnsiTheme="minorHAnsi"/>
              </w:rPr>
            </w:pPr>
            <w:r w:rsidRPr="005432E1">
              <w:rPr>
                <w:rFonts w:asciiTheme="minorHAnsi" w:hAnsiTheme="minorHAnsi"/>
              </w:rPr>
              <w:t>2044</w:t>
            </w:r>
          </w:p>
        </w:tc>
      </w:tr>
      <w:tr w:rsidR="00ED2DB9" w:rsidRPr="005432E1" w14:paraId="5CFF020A"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2D22F812"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Cessão onerosa de área dentro do porto organizado</w:t>
            </w:r>
          </w:p>
        </w:tc>
        <w:tc>
          <w:tcPr>
            <w:tcW w:w="2444" w:type="dxa"/>
            <w:tcBorders>
              <w:top w:val="outset" w:sz="6" w:space="0" w:color="auto"/>
              <w:left w:val="outset" w:sz="6" w:space="0" w:color="auto"/>
              <w:bottom w:val="outset" w:sz="6" w:space="0" w:color="auto"/>
              <w:right w:val="outset" w:sz="6" w:space="0" w:color="auto"/>
            </w:tcBorders>
            <w:vAlign w:val="center"/>
          </w:tcPr>
          <w:p w14:paraId="319395FE"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22 Contratos</w:t>
            </w:r>
          </w:p>
        </w:tc>
        <w:tc>
          <w:tcPr>
            <w:tcW w:w="1669" w:type="dxa"/>
            <w:tcBorders>
              <w:top w:val="outset" w:sz="6" w:space="0" w:color="auto"/>
              <w:left w:val="outset" w:sz="6" w:space="0" w:color="auto"/>
              <w:bottom w:val="outset" w:sz="6" w:space="0" w:color="auto"/>
              <w:right w:val="outset" w:sz="6" w:space="0" w:color="auto"/>
            </w:tcBorders>
            <w:vAlign w:val="center"/>
          </w:tcPr>
          <w:p w14:paraId="05EE07BF"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506.159 m²</w:t>
            </w:r>
          </w:p>
        </w:tc>
        <w:tc>
          <w:tcPr>
            <w:tcW w:w="1273" w:type="dxa"/>
            <w:tcBorders>
              <w:top w:val="outset" w:sz="6" w:space="0" w:color="auto"/>
              <w:left w:val="outset" w:sz="6" w:space="0" w:color="auto"/>
              <w:bottom w:val="outset" w:sz="6" w:space="0" w:color="auto"/>
              <w:right w:val="outset" w:sz="6" w:space="0" w:color="auto"/>
            </w:tcBorders>
            <w:vAlign w:val="center"/>
          </w:tcPr>
          <w:p w14:paraId="17ABCF08"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1995</w:t>
            </w:r>
          </w:p>
        </w:tc>
        <w:tc>
          <w:tcPr>
            <w:tcW w:w="2268" w:type="dxa"/>
            <w:tcBorders>
              <w:top w:val="outset" w:sz="6" w:space="0" w:color="auto"/>
              <w:left w:val="outset" w:sz="6" w:space="0" w:color="auto"/>
              <w:bottom w:val="outset" w:sz="6" w:space="0" w:color="auto"/>
              <w:right w:val="outset" w:sz="6" w:space="0" w:color="auto"/>
            </w:tcBorders>
            <w:vAlign w:val="center"/>
          </w:tcPr>
          <w:p w14:paraId="35321291"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2021</w:t>
            </w:r>
          </w:p>
        </w:tc>
      </w:tr>
      <w:tr w:rsidR="00ED2DB9" w:rsidRPr="005432E1" w14:paraId="614F0871"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3DFE30C5"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Cessão onerosa de área dentro do porto organizado</w:t>
            </w:r>
          </w:p>
        </w:tc>
        <w:tc>
          <w:tcPr>
            <w:tcW w:w="2444" w:type="dxa"/>
            <w:tcBorders>
              <w:top w:val="outset" w:sz="6" w:space="0" w:color="auto"/>
              <w:left w:val="outset" w:sz="6" w:space="0" w:color="auto"/>
              <w:bottom w:val="outset" w:sz="6" w:space="0" w:color="auto"/>
              <w:right w:val="outset" w:sz="6" w:space="0" w:color="auto"/>
            </w:tcBorders>
            <w:vAlign w:val="center"/>
          </w:tcPr>
          <w:p w14:paraId="5BA1C810"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97 Contratos</w:t>
            </w:r>
          </w:p>
        </w:tc>
        <w:tc>
          <w:tcPr>
            <w:tcW w:w="1669" w:type="dxa"/>
            <w:tcBorders>
              <w:top w:val="outset" w:sz="6" w:space="0" w:color="auto"/>
              <w:left w:val="outset" w:sz="6" w:space="0" w:color="auto"/>
              <w:bottom w:val="outset" w:sz="6" w:space="0" w:color="auto"/>
              <w:right w:val="outset" w:sz="6" w:space="0" w:color="auto"/>
            </w:tcBorders>
            <w:vAlign w:val="center"/>
          </w:tcPr>
          <w:p w14:paraId="6884E720"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9.631.724 m²</w:t>
            </w:r>
          </w:p>
        </w:tc>
        <w:tc>
          <w:tcPr>
            <w:tcW w:w="1273" w:type="dxa"/>
            <w:tcBorders>
              <w:top w:val="outset" w:sz="6" w:space="0" w:color="auto"/>
              <w:left w:val="outset" w:sz="6" w:space="0" w:color="auto"/>
              <w:bottom w:val="outset" w:sz="6" w:space="0" w:color="auto"/>
              <w:right w:val="outset" w:sz="6" w:space="0" w:color="auto"/>
            </w:tcBorders>
            <w:vAlign w:val="center"/>
          </w:tcPr>
          <w:p w14:paraId="4DA3A43F"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1986</w:t>
            </w:r>
          </w:p>
        </w:tc>
        <w:tc>
          <w:tcPr>
            <w:tcW w:w="2268" w:type="dxa"/>
            <w:tcBorders>
              <w:top w:val="outset" w:sz="6" w:space="0" w:color="auto"/>
              <w:left w:val="outset" w:sz="6" w:space="0" w:color="auto"/>
              <w:bottom w:val="outset" w:sz="6" w:space="0" w:color="auto"/>
              <w:right w:val="outset" w:sz="6" w:space="0" w:color="auto"/>
            </w:tcBorders>
            <w:vAlign w:val="center"/>
          </w:tcPr>
          <w:p w14:paraId="19E0D4C3"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2052</w:t>
            </w:r>
          </w:p>
        </w:tc>
      </w:tr>
      <w:tr w:rsidR="00ED2DB9" w:rsidRPr="005432E1" w14:paraId="05FBE1D7" w14:textId="77777777" w:rsidTr="00A80D84">
        <w:trPr>
          <w:trHeight w:val="315"/>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3003BB75"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 xml:space="preserve"> Concessão florestal</w:t>
            </w:r>
          </w:p>
        </w:tc>
        <w:tc>
          <w:tcPr>
            <w:tcW w:w="2444" w:type="dxa"/>
            <w:tcBorders>
              <w:top w:val="outset" w:sz="6" w:space="0" w:color="auto"/>
              <w:left w:val="outset" w:sz="6" w:space="0" w:color="auto"/>
              <w:bottom w:val="outset" w:sz="6" w:space="0" w:color="auto"/>
              <w:right w:val="outset" w:sz="6" w:space="0" w:color="auto"/>
            </w:tcBorders>
            <w:vAlign w:val="center"/>
          </w:tcPr>
          <w:p w14:paraId="1A3B3A45"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17 Contratos</w:t>
            </w:r>
          </w:p>
        </w:tc>
        <w:tc>
          <w:tcPr>
            <w:tcW w:w="1669" w:type="dxa"/>
            <w:tcBorders>
              <w:top w:val="outset" w:sz="6" w:space="0" w:color="auto"/>
              <w:left w:val="outset" w:sz="6" w:space="0" w:color="auto"/>
              <w:bottom w:val="outset" w:sz="6" w:space="0" w:color="auto"/>
              <w:right w:val="outset" w:sz="6" w:space="0" w:color="auto"/>
            </w:tcBorders>
            <w:vAlign w:val="center"/>
          </w:tcPr>
          <w:p w14:paraId="6D371678"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1.018.671 (ha)</w:t>
            </w:r>
          </w:p>
        </w:tc>
        <w:tc>
          <w:tcPr>
            <w:tcW w:w="1273" w:type="dxa"/>
            <w:tcBorders>
              <w:top w:val="outset" w:sz="6" w:space="0" w:color="auto"/>
              <w:left w:val="outset" w:sz="6" w:space="0" w:color="auto"/>
              <w:bottom w:val="outset" w:sz="6" w:space="0" w:color="auto"/>
              <w:right w:val="outset" w:sz="6" w:space="0" w:color="auto"/>
            </w:tcBorders>
            <w:vAlign w:val="center"/>
          </w:tcPr>
          <w:p w14:paraId="7565FCA4"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2008</w:t>
            </w:r>
          </w:p>
        </w:tc>
        <w:tc>
          <w:tcPr>
            <w:tcW w:w="2268" w:type="dxa"/>
            <w:tcBorders>
              <w:top w:val="outset" w:sz="6" w:space="0" w:color="auto"/>
              <w:left w:val="outset" w:sz="6" w:space="0" w:color="auto"/>
              <w:bottom w:val="outset" w:sz="6" w:space="0" w:color="auto"/>
              <w:right w:val="outset" w:sz="6" w:space="0" w:color="auto"/>
            </w:tcBorders>
            <w:vAlign w:val="center"/>
          </w:tcPr>
          <w:p w14:paraId="649A13F1" w14:textId="77777777" w:rsidR="00ED2DB9" w:rsidRPr="005432E1" w:rsidRDefault="00ED2DB9" w:rsidP="00A80D84">
            <w:pPr>
              <w:spacing w:before="100" w:beforeAutospacing="1" w:after="100" w:afterAutospacing="1"/>
              <w:rPr>
                <w:rFonts w:asciiTheme="minorHAnsi" w:hAnsiTheme="minorHAnsi"/>
              </w:rPr>
            </w:pPr>
            <w:r w:rsidRPr="005432E1">
              <w:rPr>
                <w:rFonts w:asciiTheme="minorHAnsi" w:hAnsiTheme="minorHAnsi"/>
              </w:rPr>
              <w:t>2056</w:t>
            </w:r>
          </w:p>
        </w:tc>
      </w:tr>
    </w:tbl>
    <w:p w14:paraId="2B13AE0D" w14:textId="77777777" w:rsidR="00B548C1" w:rsidRPr="005432E1" w:rsidRDefault="00B548C1" w:rsidP="00B14BFE">
      <w:pPr>
        <w:spacing w:after="100" w:afterAutospacing="1"/>
        <w:jc w:val="both"/>
        <w:rPr>
          <w:rFonts w:asciiTheme="minorHAnsi" w:hAnsiTheme="minorHAnsi"/>
          <w:sz w:val="20"/>
          <w:szCs w:val="20"/>
        </w:rPr>
      </w:pPr>
      <w:r w:rsidRPr="005432E1">
        <w:rPr>
          <w:rFonts w:asciiTheme="minorHAnsi" w:hAnsiTheme="minorHAnsi"/>
          <w:sz w:val="20"/>
          <w:szCs w:val="20"/>
        </w:rPr>
        <w:t>¹As hidrelétricas listadas são aquelas que ainda tem contratos de concessão a vencer e não foram objeto de relicitação.</w:t>
      </w:r>
    </w:p>
    <w:p w14:paraId="2D09045D" w14:textId="77777777" w:rsidR="00B548C1" w:rsidRPr="005432E1" w:rsidRDefault="00B548C1" w:rsidP="00B548C1">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² 6(seis) contratos de Distribuição estão vencidos. A continuidade da prestação do serviço foi estabelecida por meio das Portaria de Designação nº 421, 422, 423, 424 e 425, de 03 de agosto 2016, com validade até 31/07/2018.</w:t>
      </w:r>
    </w:p>
    <w:p w14:paraId="4DF91CE1" w14:textId="77777777" w:rsidR="008607BF" w:rsidRPr="005432E1" w:rsidRDefault="008607BF" w:rsidP="00B548C1">
      <w:pPr>
        <w:spacing w:before="100" w:beforeAutospacing="1" w:after="100" w:afterAutospacing="1"/>
        <w:jc w:val="both"/>
        <w:rPr>
          <w:rFonts w:asciiTheme="minorHAnsi" w:hAnsiTheme="minorHAnsi"/>
          <w:sz w:val="20"/>
          <w:szCs w:val="20"/>
        </w:rPr>
      </w:pPr>
      <w:r w:rsidRPr="005432E1">
        <w:rPr>
          <w:rFonts w:asciiTheme="minorHAnsi" w:hAnsiTheme="minorHAnsi"/>
          <w:sz w:val="20"/>
          <w:szCs w:val="20"/>
        </w:rPr>
        <w:t>Fonte: COAPI/STN/MF</w:t>
      </w:r>
    </w:p>
    <w:p w14:paraId="68D5CD4F" w14:textId="77777777" w:rsidR="00860D0D" w:rsidRPr="005432E1" w:rsidRDefault="00441B36" w:rsidP="00A74E66">
      <w:pPr>
        <w:pStyle w:val="Ttulo3"/>
        <w:numPr>
          <w:ilvl w:val="0"/>
          <w:numId w:val="0"/>
        </w:numPr>
        <w:rPr>
          <w:rFonts w:asciiTheme="minorHAnsi" w:hAnsiTheme="minorHAnsi"/>
          <w:b/>
        </w:rPr>
      </w:pPr>
      <w:bookmarkStart w:id="231" w:name="_Toc511230035"/>
      <w:r w:rsidRPr="005432E1">
        <w:rPr>
          <w:rFonts w:asciiTheme="minorHAnsi" w:hAnsiTheme="minorHAnsi"/>
          <w:b/>
        </w:rPr>
        <w:t>3.</w:t>
      </w:r>
      <w:r w:rsidR="00FF7CC4" w:rsidRPr="005432E1">
        <w:rPr>
          <w:rFonts w:asciiTheme="minorHAnsi" w:hAnsiTheme="minorHAnsi"/>
          <w:b/>
        </w:rPr>
        <w:t>3</w:t>
      </w:r>
      <w:r w:rsidRPr="005432E1">
        <w:rPr>
          <w:rFonts w:asciiTheme="minorHAnsi" w:hAnsiTheme="minorHAnsi"/>
          <w:b/>
        </w:rPr>
        <w:t>.3</w:t>
      </w:r>
      <w:r w:rsidRPr="005432E1">
        <w:rPr>
          <w:rFonts w:asciiTheme="minorHAnsi" w:hAnsiTheme="minorHAnsi"/>
          <w:b/>
        </w:rPr>
        <w:tab/>
      </w:r>
      <w:r w:rsidR="00860D0D" w:rsidRPr="005432E1">
        <w:rPr>
          <w:rFonts w:asciiTheme="minorHAnsi" w:hAnsiTheme="minorHAnsi"/>
          <w:b/>
        </w:rPr>
        <w:t>RISCOS REFERENTES ÀS ESTATAIS FEDERAIS</w:t>
      </w:r>
      <w:bookmarkEnd w:id="231"/>
    </w:p>
    <w:p w14:paraId="6D324D47" w14:textId="77777777" w:rsidR="00860D0D" w:rsidRPr="005432E1" w:rsidRDefault="00860D0D" w:rsidP="00860D0D">
      <w:pPr>
        <w:jc w:val="both"/>
        <w:rPr>
          <w:rFonts w:asciiTheme="minorHAnsi" w:hAnsiTheme="minorHAnsi"/>
        </w:rPr>
      </w:pPr>
      <w:r w:rsidRPr="005432E1">
        <w:rPr>
          <w:rFonts w:asciiTheme="minorHAnsi" w:hAnsiTheme="minorHAnsi"/>
        </w:rPr>
        <w:tab/>
      </w:r>
    </w:p>
    <w:p w14:paraId="3DCB871E" w14:textId="77777777" w:rsidR="00860D0D" w:rsidRPr="005432E1" w:rsidRDefault="00860D0D" w:rsidP="00860D0D">
      <w:pPr>
        <w:jc w:val="both"/>
        <w:rPr>
          <w:rFonts w:asciiTheme="minorHAnsi" w:hAnsiTheme="minorHAnsi"/>
        </w:rPr>
      </w:pPr>
      <w:r w:rsidRPr="005432E1">
        <w:rPr>
          <w:rFonts w:asciiTheme="minorHAnsi" w:hAnsiTheme="minorHAnsi"/>
        </w:rPr>
        <w:tab/>
        <w:t>Nesta seção, avaliam-se os riscos de empresas estatais federais que podem ser classificados nos seguintes grupos:</w:t>
      </w:r>
    </w:p>
    <w:p w14:paraId="440B5A26" w14:textId="77777777" w:rsidR="00860D0D" w:rsidRPr="005432E1" w:rsidRDefault="00860D0D" w:rsidP="00860D0D">
      <w:pPr>
        <w:jc w:val="both"/>
        <w:rPr>
          <w:rFonts w:asciiTheme="minorHAnsi" w:hAnsiTheme="minorHAnsi"/>
        </w:rPr>
      </w:pPr>
    </w:p>
    <w:p w14:paraId="028E2BE4" w14:textId="77777777" w:rsidR="00860D0D" w:rsidRPr="005432E1" w:rsidRDefault="00860D0D" w:rsidP="00860D0D">
      <w:pPr>
        <w:pStyle w:val="PargrafodaLista"/>
        <w:numPr>
          <w:ilvl w:val="0"/>
          <w:numId w:val="28"/>
        </w:numPr>
        <w:jc w:val="both"/>
        <w:rPr>
          <w:rFonts w:asciiTheme="minorHAnsi" w:hAnsiTheme="minorHAnsi"/>
        </w:rPr>
      </w:pPr>
      <w:r w:rsidRPr="005432E1">
        <w:rPr>
          <w:rFonts w:asciiTheme="minorHAnsi" w:hAnsiTheme="minorHAnsi"/>
        </w:rPr>
        <w:t>Da avaliação dos aportes de capital em Estatais não Dependentes;</w:t>
      </w:r>
    </w:p>
    <w:p w14:paraId="23367344" w14:textId="77777777" w:rsidR="00860D0D" w:rsidRPr="005432E1" w:rsidRDefault="00860D0D" w:rsidP="00860D0D">
      <w:pPr>
        <w:pStyle w:val="PargrafodaLista"/>
        <w:numPr>
          <w:ilvl w:val="0"/>
          <w:numId w:val="28"/>
        </w:numPr>
        <w:jc w:val="both"/>
        <w:rPr>
          <w:rFonts w:asciiTheme="minorHAnsi" w:hAnsiTheme="minorHAnsi"/>
        </w:rPr>
      </w:pPr>
      <w:r w:rsidRPr="005432E1">
        <w:rPr>
          <w:rFonts w:asciiTheme="minorHAnsi" w:hAnsiTheme="minorHAnsi"/>
        </w:rPr>
        <w:t>Da avaliação das Instituições Financeiras públicas federais;</w:t>
      </w:r>
    </w:p>
    <w:p w14:paraId="7AF0BC56" w14:textId="77777777" w:rsidR="00860D0D" w:rsidRPr="005432E1" w:rsidRDefault="00860D0D" w:rsidP="00860D0D">
      <w:pPr>
        <w:pStyle w:val="PargrafodaLista"/>
        <w:numPr>
          <w:ilvl w:val="0"/>
          <w:numId w:val="28"/>
        </w:numPr>
        <w:jc w:val="both"/>
        <w:rPr>
          <w:rFonts w:asciiTheme="minorHAnsi" w:hAnsiTheme="minorHAnsi"/>
        </w:rPr>
      </w:pPr>
      <w:r w:rsidRPr="005432E1">
        <w:rPr>
          <w:rFonts w:asciiTheme="minorHAnsi" w:hAnsiTheme="minorHAnsi"/>
        </w:rPr>
        <w:t>Do setor não financeiro público federal;</w:t>
      </w:r>
    </w:p>
    <w:p w14:paraId="00762EC6" w14:textId="77777777" w:rsidR="00860D0D" w:rsidRPr="005432E1" w:rsidRDefault="00860D0D" w:rsidP="00860D0D">
      <w:pPr>
        <w:pStyle w:val="PargrafodaLista"/>
        <w:numPr>
          <w:ilvl w:val="0"/>
          <w:numId w:val="28"/>
        </w:numPr>
        <w:jc w:val="both"/>
        <w:rPr>
          <w:rFonts w:asciiTheme="minorHAnsi" w:hAnsiTheme="minorHAnsi"/>
        </w:rPr>
      </w:pPr>
      <w:r w:rsidRPr="005432E1">
        <w:rPr>
          <w:rFonts w:asciiTheme="minorHAnsi" w:hAnsiTheme="minorHAnsi"/>
        </w:rPr>
        <w:t>Das Estatais Federais</w:t>
      </w:r>
    </w:p>
    <w:p w14:paraId="50ED1B66" w14:textId="77777777" w:rsidR="00860D0D" w:rsidRPr="005432E1" w:rsidRDefault="00860D0D" w:rsidP="00860D0D">
      <w:pPr>
        <w:pStyle w:val="PargrafodaLista"/>
        <w:ind w:left="780"/>
        <w:jc w:val="both"/>
        <w:rPr>
          <w:rFonts w:asciiTheme="minorHAnsi" w:hAnsiTheme="minorHAnsi"/>
        </w:rPr>
      </w:pPr>
    </w:p>
    <w:p w14:paraId="3340FE1C" w14:textId="77777777" w:rsidR="00860D0D" w:rsidRPr="005432E1" w:rsidRDefault="00860D0D" w:rsidP="00860D0D">
      <w:pPr>
        <w:pStyle w:val="PargrafodaLista"/>
        <w:ind w:left="0" w:firstLine="780"/>
        <w:jc w:val="both"/>
        <w:rPr>
          <w:rFonts w:asciiTheme="minorHAnsi" w:hAnsiTheme="minorHAnsi"/>
        </w:rPr>
      </w:pPr>
      <w:r w:rsidRPr="005432E1">
        <w:rPr>
          <w:rFonts w:asciiTheme="minorHAnsi" w:hAnsiTheme="minorHAnsi"/>
        </w:rPr>
        <w:t>Os riscos relacionados a empresas estatais federais referem-se principalmente à análise da necessidade de capitalização nas estatais não dependentes, nas instituições financeiras e empresas não financeiras públicas federais, além dos riscos decorrentes da exigência legal de compensação entre as metas do Governo Central e das estatais federais, onde um resultado primário abaixo do esperado implicaria maior esforço sobre o resultado do Tesouro Nacional como um todo. Tratam-se de elementos como aporte de capital, indicadores de alavancagem, receita de dividendos, resultado primário</w:t>
      </w:r>
      <w:r w:rsidR="00276A8F" w:rsidRPr="005432E1">
        <w:rPr>
          <w:rFonts w:asciiTheme="minorHAnsi" w:hAnsiTheme="minorHAnsi"/>
        </w:rPr>
        <w:t>,</w:t>
      </w:r>
      <w:r w:rsidRPr="005432E1">
        <w:rPr>
          <w:rFonts w:asciiTheme="minorHAnsi" w:hAnsiTheme="minorHAnsi"/>
        </w:rPr>
        <w:t xml:space="preserve"> dentre outros.</w:t>
      </w:r>
    </w:p>
    <w:p w14:paraId="5F61463F" w14:textId="77777777" w:rsidR="00860D0D" w:rsidRPr="005432E1" w:rsidRDefault="00860D0D" w:rsidP="00860D0D">
      <w:pPr>
        <w:jc w:val="both"/>
        <w:rPr>
          <w:rFonts w:asciiTheme="minorHAnsi" w:hAnsiTheme="minorHAnsi"/>
        </w:rPr>
      </w:pPr>
    </w:p>
    <w:p w14:paraId="31D0C311" w14:textId="77777777" w:rsidR="00276A8F" w:rsidRPr="005432E1" w:rsidRDefault="00860D0D" w:rsidP="00276A8F">
      <w:pPr>
        <w:spacing w:before="100" w:beforeAutospacing="1" w:after="100" w:afterAutospacing="1"/>
        <w:jc w:val="both"/>
        <w:rPr>
          <w:rFonts w:asciiTheme="minorHAnsi" w:hAnsiTheme="minorHAnsi"/>
          <w:b/>
        </w:rPr>
      </w:pPr>
      <w:r w:rsidRPr="005432E1">
        <w:rPr>
          <w:rFonts w:asciiTheme="minorHAnsi" w:hAnsiTheme="minorHAnsi"/>
          <w:b/>
        </w:rPr>
        <w:t xml:space="preserve">3.3.3.1 </w:t>
      </w:r>
      <w:r w:rsidR="00276A8F" w:rsidRPr="005432E1">
        <w:rPr>
          <w:rFonts w:asciiTheme="minorHAnsi" w:hAnsiTheme="minorHAnsi"/>
          <w:b/>
          <w:bCs/>
        </w:rPr>
        <w:t>Dos aportes de capital em Estatais não Dependentes</w:t>
      </w:r>
      <w:r w:rsidR="00276A8F" w:rsidRPr="005432E1">
        <w:rPr>
          <w:rFonts w:asciiTheme="minorHAnsi" w:hAnsiTheme="minorHAnsi"/>
          <w:b/>
        </w:rPr>
        <w:t> </w:t>
      </w:r>
    </w:p>
    <w:p w14:paraId="30D83765" w14:textId="77777777" w:rsidR="00276A8F" w:rsidRPr="005432E1" w:rsidRDefault="00276A8F" w:rsidP="00276A8F">
      <w:pPr>
        <w:spacing w:before="100" w:beforeAutospacing="1" w:after="100" w:afterAutospacing="1"/>
        <w:jc w:val="both"/>
        <w:rPr>
          <w:rFonts w:asciiTheme="minorHAnsi" w:hAnsiTheme="minorHAnsi"/>
        </w:rPr>
      </w:pPr>
      <w:r w:rsidRPr="005432E1">
        <w:rPr>
          <w:rFonts w:asciiTheme="minorHAnsi" w:hAnsiTheme="minorHAnsi"/>
        </w:rPr>
        <w:tab/>
        <w:t>As capitalizações rotineiras para investimento não são consideradas no cálculo do risco de aporte de capital em empresas estatais, fato que ocorrem anualmente com base em dotações orçamentárias previamente discutidas, principalmente para as companhias Docas e empresas dependentes. O risco referente ao aporte de caráter eventual e não programado para garantir a sustentabilidade financeira ou operacional de empresas estatais não dependentes é o principal item a ser levado em conta.</w:t>
      </w:r>
    </w:p>
    <w:p w14:paraId="71D1FDD2" w14:textId="77777777" w:rsidR="00276A8F" w:rsidRPr="005432E1" w:rsidRDefault="00276A8F" w:rsidP="00276A8F">
      <w:pPr>
        <w:spacing w:before="100" w:beforeAutospacing="1" w:after="100" w:afterAutospacing="1"/>
        <w:jc w:val="both"/>
        <w:rPr>
          <w:rFonts w:asciiTheme="minorHAnsi" w:hAnsiTheme="minorHAnsi"/>
        </w:rPr>
      </w:pPr>
      <w:r w:rsidRPr="005432E1">
        <w:rPr>
          <w:rFonts w:asciiTheme="minorHAnsi" w:hAnsiTheme="minorHAnsi"/>
        </w:rPr>
        <w:tab/>
        <w:t>A análise dos riscos fiscais relacionados à necessidade de capitalização em empresas estatais deve levar em conta as características específicas do setor de atividade econômica em que atua: setor financeiro ou setor produtivo.</w:t>
      </w:r>
    </w:p>
    <w:p w14:paraId="20036338" w14:textId="77777777" w:rsidR="003A39C1" w:rsidRPr="005432E1" w:rsidRDefault="00E134DE" w:rsidP="00DB1CC0">
      <w:pPr>
        <w:rPr>
          <w:rFonts w:asciiTheme="minorHAnsi" w:hAnsiTheme="minorHAnsi"/>
          <w:b/>
        </w:rPr>
      </w:pPr>
      <w:r w:rsidRPr="005432E1">
        <w:rPr>
          <w:rFonts w:asciiTheme="minorHAnsi" w:hAnsiTheme="minorHAnsi"/>
          <w:b/>
        </w:rPr>
        <w:t>3.3.3.2 Da avaliação das Instituições Financeiras Públicas</w:t>
      </w:r>
      <w:r w:rsidR="00DB1CC0" w:rsidRPr="005432E1">
        <w:rPr>
          <w:rFonts w:asciiTheme="minorHAnsi" w:hAnsiTheme="minorHAnsi"/>
          <w:b/>
        </w:rPr>
        <w:t xml:space="preserve"> Federais</w:t>
      </w:r>
      <w:bookmarkEnd w:id="217"/>
    </w:p>
    <w:p w14:paraId="3D020D9F" w14:textId="77777777" w:rsidR="00EF4C8B" w:rsidRPr="005432E1" w:rsidRDefault="00EF4C8B" w:rsidP="00EF4C8B">
      <w:pPr>
        <w:spacing w:before="100" w:beforeAutospacing="1" w:after="100" w:afterAutospacing="1"/>
        <w:jc w:val="both"/>
        <w:rPr>
          <w:rFonts w:asciiTheme="minorHAnsi" w:hAnsiTheme="minorHAnsi"/>
        </w:rPr>
      </w:pPr>
      <w:r w:rsidRPr="005432E1">
        <w:rPr>
          <w:rFonts w:asciiTheme="minorHAnsi" w:hAnsiTheme="minorHAnsi"/>
        </w:rPr>
        <w:tab/>
        <w:t>O risco referente a necessidade de eventual capitalização nas instituições financeiras, em geral, não é relacionado à escassez de caixa (liquidez), mas sim de insuficiência de capital regulatório com a finalidade de cumprir os requisitos dos indicadores de alavancagem (Basileia, Capital Nível I e Capital Principal,). A capitalização necessária a este cumprimento pode ser efetuada com ativos não financeiros (ações de empresas, outros ativos mobiliários), sendo que, nesse caso, não haveria um impacto/risco fiscal direto. A tabela a seguir apresenta o índice mínimo regulatório dos 3 indicadores de capital de Basileia III (já incluídos os adicionais de capital principal de conservação e sistêmico) e seu cronograma de implantação até 2019 (janeiro).</w:t>
      </w:r>
    </w:p>
    <w:p w14:paraId="4196F748" w14:textId="77777777" w:rsidR="00B14BFE" w:rsidRPr="005432E1" w:rsidRDefault="00B14BFE" w:rsidP="00EF4C8B">
      <w:pPr>
        <w:spacing w:before="100" w:beforeAutospacing="1" w:after="100" w:afterAutospacing="1"/>
        <w:jc w:val="center"/>
        <w:rPr>
          <w:rFonts w:asciiTheme="minorHAnsi" w:hAnsiTheme="minorHAnsi"/>
          <w:b/>
          <w:bCs/>
        </w:rPr>
      </w:pPr>
    </w:p>
    <w:p w14:paraId="57996224" w14:textId="77777777" w:rsidR="00B14BFE" w:rsidRPr="005432E1" w:rsidRDefault="00B14BFE" w:rsidP="00EF4C8B">
      <w:pPr>
        <w:spacing w:before="100" w:beforeAutospacing="1" w:after="100" w:afterAutospacing="1"/>
        <w:jc w:val="center"/>
        <w:rPr>
          <w:rFonts w:asciiTheme="minorHAnsi" w:hAnsiTheme="minorHAnsi"/>
          <w:b/>
          <w:bCs/>
        </w:rPr>
      </w:pPr>
    </w:p>
    <w:p w14:paraId="12D16208" w14:textId="00882B64" w:rsidR="00EF4C8B" w:rsidRPr="005432E1" w:rsidRDefault="00EF4C8B" w:rsidP="00EF4C8B">
      <w:pPr>
        <w:spacing w:before="100" w:beforeAutospacing="1" w:after="100" w:afterAutospacing="1"/>
        <w:jc w:val="center"/>
        <w:rPr>
          <w:rFonts w:asciiTheme="minorHAnsi" w:hAnsiTheme="minorHAnsi"/>
        </w:rPr>
      </w:pPr>
      <w:r w:rsidRPr="005432E1">
        <w:rPr>
          <w:rFonts w:asciiTheme="minorHAnsi" w:hAnsiTheme="minorHAnsi"/>
          <w:b/>
          <w:bCs/>
        </w:rPr>
        <w:t>Tabela 6</w:t>
      </w:r>
      <w:r w:rsidR="00714779" w:rsidRPr="005432E1">
        <w:rPr>
          <w:rFonts w:asciiTheme="minorHAnsi" w:hAnsiTheme="minorHAnsi"/>
          <w:b/>
          <w:bCs/>
        </w:rPr>
        <w:t>2</w:t>
      </w:r>
      <w:r w:rsidRPr="005432E1">
        <w:rPr>
          <w:rFonts w:asciiTheme="minorHAnsi" w:hAnsiTheme="minorHAnsi"/>
          <w:b/>
          <w:bCs/>
        </w:rPr>
        <w:t xml:space="preserve"> – Indicadores de Alavancagem</w:t>
      </w:r>
    </w:p>
    <w:tbl>
      <w:tblPr>
        <w:tblW w:w="58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1092"/>
        <w:gridCol w:w="1092"/>
        <w:gridCol w:w="1092"/>
      </w:tblGrid>
      <w:tr w:rsidR="00B2587B" w:rsidRPr="005432E1" w14:paraId="26E1F828"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AA9B8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Indicador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C9274"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B703D"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DB6FE"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2019</w:t>
            </w:r>
          </w:p>
        </w:tc>
      </w:tr>
      <w:tr w:rsidR="00B2587B" w:rsidRPr="005432E1" w14:paraId="7E3318ED"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F9CDC1"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Índ. Basileia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739EF"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10,750%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650F9"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D67C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11,500%</w:t>
            </w:r>
          </w:p>
        </w:tc>
      </w:tr>
      <w:tr w:rsidR="00B2587B" w:rsidRPr="005432E1" w14:paraId="62F03DA4"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5041EC"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Ind. Capital Nível 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DBE1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7,500%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283E0"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8,375%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E417"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9,500%</w:t>
            </w:r>
          </w:p>
        </w:tc>
      </w:tr>
      <w:tr w:rsidR="00EF4C8B" w:rsidRPr="005432E1" w14:paraId="06473187"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799D0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Ind. Capital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94D2A"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20C4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6,875%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D558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8,000%</w:t>
            </w:r>
          </w:p>
        </w:tc>
      </w:tr>
    </w:tbl>
    <w:p w14:paraId="7443C9E7" w14:textId="77777777" w:rsidR="00EF4C8B" w:rsidRPr="005432E1" w:rsidRDefault="00E134DE" w:rsidP="00EF4C8B">
      <w:pPr>
        <w:rPr>
          <w:rFonts w:asciiTheme="minorHAnsi" w:hAnsiTheme="minorHAnsi"/>
          <w:sz w:val="20"/>
          <w:szCs w:val="20"/>
        </w:rPr>
      </w:pPr>
      <w:r w:rsidRPr="005432E1">
        <w:rPr>
          <w:rFonts w:asciiTheme="minorHAnsi" w:hAnsiTheme="minorHAnsi"/>
        </w:rPr>
        <w:tab/>
      </w:r>
      <w:r w:rsidRPr="005432E1">
        <w:rPr>
          <w:rFonts w:asciiTheme="minorHAnsi" w:hAnsiTheme="minorHAnsi"/>
        </w:rPr>
        <w:tab/>
      </w:r>
      <w:r w:rsidRPr="005432E1">
        <w:rPr>
          <w:rFonts w:asciiTheme="minorHAnsi" w:hAnsiTheme="minorHAnsi"/>
        </w:rPr>
        <w:tab/>
      </w:r>
      <w:r w:rsidRPr="005432E1">
        <w:rPr>
          <w:rFonts w:asciiTheme="minorHAnsi" w:hAnsiTheme="minorHAnsi"/>
          <w:sz w:val="20"/>
          <w:szCs w:val="20"/>
        </w:rPr>
        <w:t>Fonte: COPAR/STN/MF</w:t>
      </w:r>
    </w:p>
    <w:p w14:paraId="67A59628" w14:textId="02F54DAF" w:rsidR="00EF4C8B" w:rsidRPr="005432E1" w:rsidRDefault="009146AC" w:rsidP="00EF4C8B">
      <w:pPr>
        <w:spacing w:before="100" w:beforeAutospacing="1" w:after="100" w:afterAutospacing="1"/>
        <w:jc w:val="both"/>
        <w:rPr>
          <w:rFonts w:asciiTheme="minorHAnsi" w:hAnsiTheme="minorHAnsi"/>
        </w:rPr>
      </w:pPr>
      <w:r w:rsidRPr="005432E1">
        <w:rPr>
          <w:rFonts w:asciiTheme="minorHAnsi" w:hAnsiTheme="minorHAnsi"/>
        </w:rPr>
        <w:tab/>
      </w:r>
      <w:r w:rsidR="00EF4C8B" w:rsidRPr="005432E1">
        <w:rPr>
          <w:rFonts w:asciiTheme="minorHAnsi" w:hAnsiTheme="minorHAnsi"/>
        </w:rPr>
        <w:t>A tabela</w:t>
      </w:r>
      <w:r w:rsidR="00714779" w:rsidRPr="005432E1">
        <w:rPr>
          <w:rFonts w:asciiTheme="minorHAnsi" w:hAnsiTheme="minorHAnsi"/>
        </w:rPr>
        <w:t xml:space="preserve"> 63</w:t>
      </w:r>
      <w:r w:rsidR="00EF4C8B" w:rsidRPr="005432E1">
        <w:rPr>
          <w:rFonts w:asciiTheme="minorHAnsi" w:hAnsiTheme="minorHAnsi"/>
        </w:rPr>
        <w:t xml:space="preserve"> apresenta os coeficientes das 5 instituições financeiras federais na posição de setembro de 2017 (último dado disponível quando da elaboração deste texto, publicado em suas demonstrações financeiras trimestrais em meados de novembro/2017).</w:t>
      </w:r>
    </w:p>
    <w:p w14:paraId="567E6475" w14:textId="17B1E874" w:rsidR="00EF4C8B" w:rsidRPr="005432E1" w:rsidRDefault="00EF4C8B" w:rsidP="00EF4C8B">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6</w:t>
      </w:r>
      <w:r w:rsidR="00714779" w:rsidRPr="005432E1">
        <w:rPr>
          <w:rFonts w:asciiTheme="minorHAnsi" w:hAnsiTheme="minorHAnsi"/>
          <w:b/>
          <w:bCs/>
        </w:rPr>
        <w:t>3</w:t>
      </w:r>
      <w:r w:rsidRPr="005432E1">
        <w:rPr>
          <w:rFonts w:asciiTheme="minorHAnsi" w:hAnsiTheme="minorHAnsi"/>
          <w:b/>
          <w:bCs/>
        </w:rPr>
        <w:t xml:space="preserve"> – Indicadores de Alavancagem de Instituições Financeiras</w:t>
      </w:r>
    </w:p>
    <w:tbl>
      <w:tblPr>
        <w:tblW w:w="78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0"/>
        <w:gridCol w:w="1016"/>
        <w:gridCol w:w="1016"/>
        <w:gridCol w:w="1016"/>
        <w:gridCol w:w="1016"/>
        <w:gridCol w:w="1016"/>
      </w:tblGrid>
      <w:tr w:rsidR="00B2587B" w:rsidRPr="005432E1" w14:paraId="74F791BD"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E0B3DF"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Indicador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143E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BNDES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7099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734A0"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CEF</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AD15E"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BNB</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C490"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b/>
                <w:bCs/>
              </w:rPr>
              <w:t>BASA</w:t>
            </w:r>
          </w:p>
        </w:tc>
      </w:tr>
      <w:tr w:rsidR="00B2587B" w:rsidRPr="005432E1" w14:paraId="41C7D85A"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9F0029"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Índ. Basileia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6128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25,90%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121D4"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B8D9F"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4CACE"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50399"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15,50%</w:t>
            </w:r>
          </w:p>
        </w:tc>
      </w:tr>
      <w:tr w:rsidR="00B2587B" w:rsidRPr="005432E1" w14:paraId="2F03097F"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C3D162"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Ind. Capital Nível 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46A87"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7934A"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A33FB"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90391"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B44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15,50%</w:t>
            </w:r>
          </w:p>
        </w:tc>
      </w:tr>
      <w:tr w:rsidR="00B2587B" w:rsidRPr="005432E1" w14:paraId="46A772D4"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9010B9"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Ind. Capital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E5CE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EDFA2"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64243"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8DA48"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AE31C" w14:textId="77777777" w:rsidR="00EF4C8B" w:rsidRPr="005432E1" w:rsidRDefault="00EF4C8B" w:rsidP="00EF18CC">
            <w:pPr>
              <w:spacing w:before="100" w:beforeAutospacing="1" w:after="100" w:afterAutospacing="1"/>
              <w:rPr>
                <w:rFonts w:asciiTheme="minorHAnsi" w:hAnsiTheme="minorHAnsi"/>
              </w:rPr>
            </w:pPr>
            <w:r w:rsidRPr="005432E1">
              <w:rPr>
                <w:rFonts w:asciiTheme="minorHAnsi" w:hAnsiTheme="minorHAnsi"/>
              </w:rPr>
              <w:t>15,50%</w:t>
            </w:r>
          </w:p>
        </w:tc>
      </w:tr>
    </w:tbl>
    <w:p w14:paraId="20ECF7B3" w14:textId="7E8BE8AE" w:rsidR="00EF4C8B" w:rsidRPr="005432E1" w:rsidRDefault="00263650" w:rsidP="007F5E12">
      <w:pPr>
        <w:rPr>
          <w:rFonts w:asciiTheme="minorHAnsi" w:hAnsiTheme="minorHAnsi"/>
          <w:sz w:val="20"/>
          <w:szCs w:val="20"/>
        </w:rPr>
      </w:pPr>
      <w:r w:rsidRPr="005432E1">
        <w:rPr>
          <w:rFonts w:asciiTheme="minorHAnsi" w:hAnsiTheme="minorHAnsi"/>
          <w:sz w:val="20"/>
          <w:szCs w:val="20"/>
        </w:rPr>
        <w:tab/>
      </w:r>
      <w:r w:rsidR="00B14BFE" w:rsidRPr="005432E1">
        <w:rPr>
          <w:rFonts w:asciiTheme="minorHAnsi" w:hAnsiTheme="minorHAnsi"/>
          <w:sz w:val="20"/>
          <w:szCs w:val="20"/>
        </w:rPr>
        <w:t xml:space="preserve">     </w:t>
      </w:r>
      <w:r w:rsidR="00EF4C8B" w:rsidRPr="005432E1">
        <w:rPr>
          <w:rFonts w:asciiTheme="minorHAnsi" w:hAnsiTheme="minorHAnsi"/>
          <w:sz w:val="20"/>
          <w:szCs w:val="20"/>
        </w:rPr>
        <w:t xml:space="preserve">Fonte: Demonstrações Financeiras das Instituições Financeiras, setembro 2017. Tabela de elaboração da </w:t>
      </w:r>
      <w:r w:rsidRPr="005432E1">
        <w:rPr>
          <w:rFonts w:asciiTheme="minorHAnsi" w:hAnsiTheme="minorHAnsi"/>
          <w:sz w:val="20"/>
          <w:szCs w:val="20"/>
        </w:rPr>
        <w:tab/>
      </w:r>
      <w:r w:rsidR="00B14BFE" w:rsidRPr="005432E1">
        <w:rPr>
          <w:rFonts w:asciiTheme="minorHAnsi" w:hAnsiTheme="minorHAnsi"/>
          <w:sz w:val="20"/>
          <w:szCs w:val="20"/>
        </w:rPr>
        <w:t xml:space="preserve">    </w:t>
      </w:r>
      <w:r w:rsidR="00EF4C8B" w:rsidRPr="005432E1">
        <w:rPr>
          <w:rFonts w:asciiTheme="minorHAnsi" w:hAnsiTheme="minorHAnsi"/>
          <w:sz w:val="20"/>
          <w:szCs w:val="20"/>
        </w:rPr>
        <w:t>STN/COPAR.</w:t>
      </w:r>
    </w:p>
    <w:p w14:paraId="3DE748D9" w14:textId="77777777" w:rsidR="00EF4C8B" w:rsidRPr="005432E1" w:rsidRDefault="00EF4C8B" w:rsidP="00EF4C8B">
      <w:pPr>
        <w:spacing w:before="100" w:beforeAutospacing="1" w:after="100" w:afterAutospacing="1"/>
        <w:jc w:val="both"/>
        <w:rPr>
          <w:rFonts w:asciiTheme="minorHAnsi" w:hAnsiTheme="minorHAnsi"/>
        </w:rPr>
      </w:pPr>
      <w:r w:rsidRPr="005432E1">
        <w:rPr>
          <w:rFonts w:asciiTheme="minorHAnsi" w:hAnsiTheme="minorHAnsi"/>
        </w:rPr>
        <w:tab/>
        <w:t xml:space="preserve">Podemos observar que CEF e BNB apresentam atualmente um índice de Capital Nível I muito próximo ao mínimo regulatório a ser requerido em 2019. Caso estas instituições não apresentem resultados </w:t>
      </w:r>
      <w:r w:rsidR="007A371E" w:rsidRPr="005432E1">
        <w:rPr>
          <w:rFonts w:asciiTheme="minorHAnsi" w:hAnsiTheme="minorHAnsi"/>
        </w:rPr>
        <w:t>suficiente</w:t>
      </w:r>
      <w:r w:rsidRPr="005432E1">
        <w:rPr>
          <w:rFonts w:asciiTheme="minorHAnsi" w:hAnsiTheme="minorHAnsi"/>
        </w:rPr>
        <w:t>s, terão dificuldades de cumprir o mínimo regulatório dos indicadores em janeiro de 2019.</w:t>
      </w:r>
    </w:p>
    <w:p w14:paraId="6CE276DC" w14:textId="77777777" w:rsidR="00EF4C8B" w:rsidRPr="005432E1" w:rsidRDefault="009C2480" w:rsidP="00EF4C8B">
      <w:pPr>
        <w:spacing w:before="100" w:beforeAutospacing="1" w:after="100" w:afterAutospacing="1"/>
        <w:jc w:val="both"/>
        <w:rPr>
          <w:rFonts w:asciiTheme="minorHAnsi" w:hAnsiTheme="minorHAnsi"/>
        </w:rPr>
      </w:pPr>
      <w:r w:rsidRPr="005432E1">
        <w:rPr>
          <w:rFonts w:asciiTheme="minorHAnsi" w:hAnsiTheme="minorHAnsi"/>
        </w:rPr>
        <w:tab/>
      </w:r>
      <w:r w:rsidR="00EF4C8B" w:rsidRPr="005432E1">
        <w:rPr>
          <w:rFonts w:asciiTheme="minorHAnsi" w:hAnsiTheme="minorHAnsi"/>
        </w:rPr>
        <w:t>É importante ressaltar que instituições devem manter uma margem de segurança de forma a mitigar eventuais choques ao longo do ano. Tal margem seria praticamente inexistente para o índice de capital de Nível I da CEF, caso o mesmo desempenho desta empresa permaneça o mesmo.</w:t>
      </w:r>
    </w:p>
    <w:p w14:paraId="46F6C172" w14:textId="769327B9" w:rsidR="00EF4C8B" w:rsidRPr="005432E1" w:rsidRDefault="009C2480" w:rsidP="00EF4C8B">
      <w:pPr>
        <w:spacing w:before="100" w:beforeAutospacing="1" w:after="100" w:afterAutospacing="1"/>
        <w:jc w:val="both"/>
        <w:rPr>
          <w:rFonts w:asciiTheme="minorHAnsi" w:hAnsiTheme="minorHAnsi"/>
        </w:rPr>
      </w:pPr>
      <w:r w:rsidRPr="005432E1">
        <w:rPr>
          <w:rFonts w:asciiTheme="minorHAnsi" w:hAnsiTheme="minorHAnsi"/>
        </w:rPr>
        <w:tab/>
      </w:r>
      <w:r w:rsidR="00EF4C8B" w:rsidRPr="005432E1">
        <w:rPr>
          <w:rFonts w:asciiTheme="minorHAnsi" w:hAnsiTheme="minorHAnsi"/>
        </w:rPr>
        <w:t>Em um cenário de desenquadramento da estrutura de capital da companhia, será necessária intervenção do Estado por meio da capitalização, e tal possibilidade é considerada maior no exercício de 2018. Todavia, para manter os indicadores em patamares acima dos mínimos requeridos, as instituições deverão apresentar resultados consistentes vis a vis ao crescimento de suas carteiras de crédito, o que não nos permite descartar riscos de capitalizações também em 2019. Ademais, haveria o risco de não pagamento de dividendo obrigatório</w:t>
      </w:r>
      <w:r w:rsidR="00714779" w:rsidRPr="005432E1">
        <w:rPr>
          <w:rStyle w:val="Refdenotaderodap"/>
          <w:rFonts w:asciiTheme="minorHAnsi" w:hAnsiTheme="minorHAnsi"/>
        </w:rPr>
        <w:footnoteReference w:id="10"/>
      </w:r>
      <w:r w:rsidR="00EF4C8B" w:rsidRPr="005432E1">
        <w:rPr>
          <w:rFonts w:asciiTheme="minorHAnsi" w:hAnsiTheme="minorHAnsi"/>
        </w:rPr>
        <w:t>, considerando que o pagamento está condicionado ao cumprimento dos limites prudenciais. O risco de que a União tenha que realizar algum tipo de aporte de capital a uma instituição financeira em 2019 para que possa cumprir, com segurança, os seus limites operacionais, pode ser considerado médio, considerando um risco alto para o exercício de 2018.</w:t>
      </w:r>
    </w:p>
    <w:p w14:paraId="0367FF12" w14:textId="77777777" w:rsidR="00EF4C8B" w:rsidRPr="005432E1" w:rsidRDefault="009146AC" w:rsidP="00EF4C8B">
      <w:pPr>
        <w:spacing w:before="100" w:beforeAutospacing="1" w:after="100" w:afterAutospacing="1"/>
        <w:jc w:val="both"/>
        <w:rPr>
          <w:rFonts w:asciiTheme="minorHAnsi" w:hAnsiTheme="minorHAnsi"/>
        </w:rPr>
      </w:pPr>
      <w:r w:rsidRPr="005432E1">
        <w:rPr>
          <w:rFonts w:asciiTheme="minorHAnsi" w:hAnsiTheme="minorHAnsi"/>
        </w:rPr>
        <w:tab/>
      </w:r>
      <w:r w:rsidR="00EF4C8B" w:rsidRPr="005432E1">
        <w:rPr>
          <w:rFonts w:asciiTheme="minorHAnsi" w:hAnsiTheme="minorHAnsi"/>
        </w:rPr>
        <w:t>Importante dizer que ações podem ser tomadas para melhorar a situação das instituições citadas, como a restrição de expansão da carteira de crédito (contingenciamento) ou a de captação de dívida subordinada via instrumento elegível a capital complementar (Nível I).</w:t>
      </w:r>
    </w:p>
    <w:p w14:paraId="47B1020C"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b/>
          <w:bCs/>
        </w:rPr>
        <w:t>3</w:t>
      </w:r>
      <w:r w:rsidR="007A371E" w:rsidRPr="005432E1">
        <w:rPr>
          <w:rFonts w:asciiTheme="minorHAnsi" w:hAnsiTheme="minorHAnsi"/>
          <w:b/>
          <w:bCs/>
        </w:rPr>
        <w:t>.3.3.3</w:t>
      </w:r>
      <w:r w:rsidR="007A371E" w:rsidRPr="005432E1">
        <w:rPr>
          <w:rFonts w:asciiTheme="minorHAnsi" w:hAnsiTheme="minorHAnsi"/>
          <w:b/>
          <w:bCs/>
        </w:rPr>
        <w:tab/>
        <w:t>Do setor não financeiro público federal</w:t>
      </w:r>
    </w:p>
    <w:p w14:paraId="6CA85C26"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O risco de capitalização de uma empresa não financeira em geral pode ser observado pela análise da sua situação econômico-financeira, principalmente pelo acompanhamento do desempenho e projeções de seu fluxo de caixa. A deterioração da performance da companhia sem eventuais medidas saneadoras denota que, em algum momento, ela demandará suporte de seu acionista controlador.</w:t>
      </w:r>
    </w:p>
    <w:p w14:paraId="11E41D30"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Há expectativa de que empresas não dependentes enfrentem dificuldades de caixa para 2018 e 2019, com destaque para Eletrobras, Casa da Moeda, Emgea, Correios, Serpro e Companhias Docas. Es</w:t>
      </w:r>
      <w:r w:rsidR="001C504D" w:rsidRPr="005432E1">
        <w:rPr>
          <w:rFonts w:asciiTheme="minorHAnsi" w:hAnsiTheme="minorHAnsi"/>
        </w:rPr>
        <w:t>s</w:t>
      </w:r>
      <w:r w:rsidRPr="005432E1">
        <w:rPr>
          <w:rFonts w:asciiTheme="minorHAnsi" w:hAnsiTheme="minorHAnsi"/>
        </w:rPr>
        <w:t>as empresas vêm adotando medidas de saneamento como programas de demissão voluntária, reestruturações societárias, redução de custos com planos de saúde e outros benefícios, dentre outros. Por isso, o risco de aporte de capital em 2019 destas estatais pode ser considerado baixo.</w:t>
      </w:r>
    </w:p>
    <w:p w14:paraId="774065D1" w14:textId="2D8F1CBF"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Um risco fiscal de maior impacto reside no fato de as empresas controladas pela União não disporem de capacidade de geração de caixa suficiente para suas necessidades e demandarem recursos do Tesouro Nacional para despesas de custeio por mais de um exercício financeiro. Além do impacto fiscal direto dos respectivos valores, neste caso, há o risco de tais empresas sejam reclassificadas e entrem para o rol de estatais dependentes nos termos do art. 2º da Lei Complementar nº 101/2000 (LRF)</w:t>
      </w:r>
      <w:r w:rsidR="00E04E83" w:rsidRPr="005432E1">
        <w:rPr>
          <w:rStyle w:val="Refdenotaderodap"/>
          <w:rFonts w:asciiTheme="minorHAnsi" w:hAnsiTheme="minorHAnsi"/>
        </w:rPr>
        <w:footnoteReference w:id="11"/>
      </w:r>
      <w:r w:rsidRPr="005432E1">
        <w:rPr>
          <w:rFonts w:asciiTheme="minorHAnsi" w:hAnsiTheme="minorHAnsi"/>
        </w:rPr>
        <w:t xml:space="preserve"> e art. 2º da Resolução nº 48/2007</w:t>
      </w:r>
      <w:r w:rsidR="00E04E83" w:rsidRPr="005432E1">
        <w:rPr>
          <w:rStyle w:val="Refdenotaderodap"/>
          <w:rFonts w:asciiTheme="minorHAnsi" w:hAnsiTheme="minorHAnsi"/>
        </w:rPr>
        <w:footnoteReference w:id="12"/>
      </w:r>
      <w:r w:rsidR="00E04E83" w:rsidRPr="005432E1">
        <w:rPr>
          <w:rFonts w:asciiTheme="minorHAnsi" w:hAnsiTheme="minorHAnsi"/>
        </w:rPr>
        <w:t xml:space="preserve"> </w:t>
      </w:r>
      <w:r w:rsidRPr="005432E1">
        <w:rPr>
          <w:rFonts w:asciiTheme="minorHAnsi" w:hAnsiTheme="minorHAnsi"/>
        </w:rPr>
        <w:t>do Senado Federal:</w:t>
      </w:r>
    </w:p>
    <w:p w14:paraId="7C8F09A5"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Assim, no caso de reclassificação de quaisquer empresas como estatais dependentes, o risco fiscal assume proporções de maior complexidade, uma vez que as empresas terão suas programações (totalidade de suas receitas e despesas) incluídas no orçamento fiscal, com impactos significativos especialmente considerando as limitações globais de gastos instituídas nos termos dos arts. nºs 106 a 114 do Ato das Disposições Constitucionais Transitórias da Constituição Federal, introduzidos pela Emenda Constitucional nº 95/2016 (emenda do “teto de gastos”). O risco de que empresas hoje consideradas não dependentes sejam classificadas em 2019 como empresas dependentes pode ser considerado médio.</w:t>
      </w:r>
    </w:p>
    <w:p w14:paraId="1671EF90"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b/>
          <w:bCs/>
        </w:rPr>
        <w:t>3.3.</w:t>
      </w:r>
      <w:r w:rsidR="00867B46" w:rsidRPr="005432E1">
        <w:rPr>
          <w:rFonts w:asciiTheme="minorHAnsi" w:hAnsiTheme="minorHAnsi"/>
          <w:b/>
          <w:bCs/>
        </w:rPr>
        <w:t>3.4</w:t>
      </w:r>
      <w:r w:rsidRPr="005432E1">
        <w:rPr>
          <w:rFonts w:asciiTheme="minorHAnsi" w:hAnsiTheme="minorHAnsi"/>
          <w:b/>
          <w:bCs/>
        </w:rPr>
        <w:tab/>
        <w:t>Das Estatais Federais</w:t>
      </w:r>
      <w:r w:rsidRPr="005432E1">
        <w:rPr>
          <w:rFonts w:asciiTheme="minorHAnsi" w:hAnsiTheme="minorHAnsi"/>
        </w:rPr>
        <w:t> </w:t>
      </w:r>
    </w:p>
    <w:p w14:paraId="2C001B17"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O risco fiscal relacionado às estatais federais reside no fato de a LDO determinar a compensação entre as metas do Governo Central e destas companhias. Uma frustração do resultado primário das estatais implicaria em uma maior necessidade de esforço no resultado do Tesouro Nacional.</w:t>
      </w:r>
    </w:p>
    <w:p w14:paraId="1B1C088A"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Cabe ressaltar que a apuração do resultado pelo critério “acima da linha” é de competência da Secretaria de Coordenação e Governança das Empresas Estatais – SEST e pelo critério “abaixo da linha” é feito pelo BCB, sendo este último o critério oficial para efeito de demonstração do cumprimento das metas.</w:t>
      </w:r>
    </w:p>
    <w:p w14:paraId="1D805F0A"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A tabela a seguir apresenta o histórico do resultado das estatais nos últimos anos.</w:t>
      </w:r>
    </w:p>
    <w:p w14:paraId="60CAD25B" w14:textId="664E8B26" w:rsidR="00D92169" w:rsidRPr="005432E1" w:rsidRDefault="00D92169" w:rsidP="00D92169">
      <w:pPr>
        <w:spacing w:before="100" w:beforeAutospacing="1" w:after="100" w:afterAutospacing="1"/>
        <w:jc w:val="center"/>
        <w:rPr>
          <w:rFonts w:asciiTheme="minorHAnsi" w:hAnsiTheme="minorHAnsi"/>
        </w:rPr>
      </w:pPr>
      <w:r w:rsidRPr="005432E1">
        <w:rPr>
          <w:rFonts w:asciiTheme="minorHAnsi" w:hAnsiTheme="minorHAnsi"/>
          <w:b/>
          <w:bCs/>
        </w:rPr>
        <w:t xml:space="preserve">Tabela </w:t>
      </w:r>
      <w:r w:rsidR="006264C0" w:rsidRPr="005432E1">
        <w:rPr>
          <w:rFonts w:asciiTheme="minorHAnsi" w:hAnsiTheme="minorHAnsi"/>
          <w:b/>
          <w:bCs/>
        </w:rPr>
        <w:t>6</w:t>
      </w:r>
      <w:r w:rsidR="00714779" w:rsidRPr="005432E1">
        <w:rPr>
          <w:rFonts w:asciiTheme="minorHAnsi" w:hAnsiTheme="minorHAnsi"/>
          <w:b/>
          <w:bCs/>
        </w:rPr>
        <w:t>4</w:t>
      </w:r>
      <w:r w:rsidRPr="005432E1">
        <w:rPr>
          <w:rFonts w:asciiTheme="minorHAnsi" w:hAnsiTheme="minorHAnsi"/>
          <w:b/>
          <w:bCs/>
        </w:rPr>
        <w:t xml:space="preserve"> – Resultado Primário das Estatais Federais (Em R$ milhões)</w:t>
      </w:r>
    </w:p>
    <w:tbl>
      <w:tblPr>
        <w:tblW w:w="72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212"/>
        <w:gridCol w:w="5040"/>
      </w:tblGrid>
      <w:tr w:rsidR="00B2587B" w:rsidRPr="005432E1" w14:paraId="697569AB"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FF4D116"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b/>
                <w:bCs/>
              </w:rPr>
              <w:t>ANO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E0625A3"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b/>
                <w:bCs/>
              </w:rPr>
              <w:t>META</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5CDEC697"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b/>
                <w:bCs/>
              </w:rPr>
              <w:t>RESULTADO PRIMÁRIO (abaixo da linha)</w:t>
            </w:r>
          </w:p>
        </w:tc>
      </w:tr>
      <w:tr w:rsidR="00B2587B" w:rsidRPr="005432E1" w14:paraId="6BB955D1"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863A4A7"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B08B37"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6CD969B6"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-623,58</w:t>
            </w:r>
          </w:p>
        </w:tc>
      </w:tr>
      <w:tr w:rsidR="00B2587B" w:rsidRPr="005432E1" w14:paraId="67E86015"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01E16A8"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57FBE1"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1366C035"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579,08</w:t>
            </w:r>
          </w:p>
        </w:tc>
      </w:tr>
      <w:tr w:rsidR="00B2587B" w:rsidRPr="005432E1" w14:paraId="57819F7D"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8BAF39F"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7210D7B"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6A0EDEAE"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-1.055,96</w:t>
            </w:r>
          </w:p>
        </w:tc>
      </w:tr>
      <w:tr w:rsidR="00B2587B" w:rsidRPr="005432E1" w14:paraId="1FB33E91"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2D055EE"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D7D44EF"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39CA4484"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-543,85</w:t>
            </w:r>
          </w:p>
        </w:tc>
      </w:tr>
      <w:tr w:rsidR="00B2587B" w:rsidRPr="005432E1" w14:paraId="495D3A0A"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A740682"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02A8E29"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4B9C61B5"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-2.007,59</w:t>
            </w:r>
          </w:p>
        </w:tc>
      </w:tr>
      <w:tr w:rsidR="00B2587B" w:rsidRPr="005432E1" w14:paraId="164BBBC5"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8870F2"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61A930"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4EA475E5"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-1.728,67</w:t>
            </w:r>
          </w:p>
        </w:tc>
      </w:tr>
      <w:tr w:rsidR="00B2587B" w:rsidRPr="005432E1" w14:paraId="7B468496"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26F256B"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FB6432"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433FA26A"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-835,79</w:t>
            </w:r>
          </w:p>
        </w:tc>
      </w:tr>
      <w:tr w:rsidR="00B2587B" w:rsidRPr="005432E1" w14:paraId="4671E3CC"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B5964A7"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F7745BE"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-3.000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6DBB5327"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-952,27</w:t>
            </w:r>
          </w:p>
        </w:tc>
      </w:tr>
      <w:tr w:rsidR="00B2587B" w:rsidRPr="005432E1" w14:paraId="009BBCAC" w14:textId="77777777" w:rsidTr="00EF18C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A3CE0DA" w14:textId="77777777" w:rsidR="00D92169" w:rsidRPr="005432E1" w:rsidRDefault="00D92169" w:rsidP="00EF18CC">
            <w:pPr>
              <w:spacing w:before="100" w:beforeAutospacing="1" w:after="100" w:afterAutospacing="1"/>
              <w:rPr>
                <w:rFonts w:asciiTheme="minorHAnsi" w:hAnsiTheme="minorHAnsi"/>
              </w:rPr>
            </w:pPr>
            <w:r w:rsidRPr="005432E1">
              <w:rPr>
                <w:rFonts w:asciiTheme="minorHAnsi" w:hAnsiTheme="minorHAnsi"/>
              </w:rPr>
              <w:t>2018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8AD992"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-3.500</w:t>
            </w:r>
          </w:p>
        </w:tc>
        <w:tc>
          <w:tcPr>
            <w:tcW w:w="5010" w:type="dxa"/>
            <w:tcBorders>
              <w:top w:val="outset" w:sz="6" w:space="0" w:color="auto"/>
              <w:left w:val="outset" w:sz="6" w:space="0" w:color="auto"/>
              <w:bottom w:val="outset" w:sz="6" w:space="0" w:color="auto"/>
              <w:right w:val="outset" w:sz="6" w:space="0" w:color="auto"/>
            </w:tcBorders>
            <w:noWrap/>
            <w:vAlign w:val="center"/>
            <w:hideMark/>
          </w:tcPr>
          <w:p w14:paraId="65C98FBA" w14:textId="77777777" w:rsidR="00D92169" w:rsidRPr="005432E1" w:rsidRDefault="00D92169" w:rsidP="00EF18CC">
            <w:pPr>
              <w:spacing w:before="100" w:beforeAutospacing="1" w:after="100" w:afterAutospacing="1"/>
              <w:jc w:val="center"/>
              <w:rPr>
                <w:rFonts w:asciiTheme="minorHAnsi" w:hAnsiTheme="minorHAnsi"/>
              </w:rPr>
            </w:pPr>
            <w:r w:rsidRPr="005432E1">
              <w:rPr>
                <w:rFonts w:asciiTheme="minorHAnsi" w:hAnsiTheme="minorHAnsi"/>
              </w:rPr>
              <w:t>N/D</w:t>
            </w:r>
          </w:p>
        </w:tc>
      </w:tr>
    </w:tbl>
    <w:p w14:paraId="71A1CDC0"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Essas sociedades dependem de suas performances para o cumprimento das estimativas do resultado primário. Eventuais mudanças do cenário econômico ao longo do exercício financeiro podem alterar esse resultado pela conjugação de outras variáveis e suas estratégias de atuação.</w:t>
      </w:r>
    </w:p>
    <w:p w14:paraId="675F3297"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Em razão da diversidade das atividades econômicas envolvidas, não é possível quantificar os riscos possíveis para o exercício de 2019. Pode-se considerar que o risco de discrepância entre o resultado estimado das estatais e o resultado efetivo tende a ser alto.</w:t>
      </w:r>
    </w:p>
    <w:p w14:paraId="4A24A931" w14:textId="77777777" w:rsidR="00D92169" w:rsidRPr="005432E1" w:rsidRDefault="00D92169" w:rsidP="00D92169">
      <w:pPr>
        <w:spacing w:before="100" w:beforeAutospacing="1" w:after="100" w:afterAutospacing="1"/>
        <w:jc w:val="both"/>
        <w:rPr>
          <w:rFonts w:asciiTheme="minorHAnsi" w:hAnsiTheme="minorHAnsi"/>
        </w:rPr>
      </w:pPr>
      <w:r w:rsidRPr="005432E1">
        <w:rPr>
          <w:rFonts w:asciiTheme="minorHAnsi" w:hAnsiTheme="minorHAnsi"/>
        </w:rPr>
        <w:tab/>
        <w:t xml:space="preserve">Ressalte-se que as instituições financeiras federais são excluídas do escopo de apuração do resultado primário das estatais federais, por definição. Excepcionalmente, também vêm sendo excluídas as empresas Petrobras e </w:t>
      </w:r>
      <w:r w:rsidR="0009500A" w:rsidRPr="005432E1">
        <w:rPr>
          <w:rFonts w:asciiTheme="minorHAnsi" w:hAnsiTheme="minorHAnsi"/>
        </w:rPr>
        <w:t>Eletrobrás</w:t>
      </w:r>
      <w:r w:rsidRPr="005432E1">
        <w:rPr>
          <w:rFonts w:asciiTheme="minorHAnsi" w:hAnsiTheme="minorHAnsi"/>
        </w:rPr>
        <w:t>.</w:t>
      </w:r>
    </w:p>
    <w:p w14:paraId="3711FCEA" w14:textId="77777777" w:rsidR="007A371E" w:rsidRPr="005432E1" w:rsidRDefault="007A371E" w:rsidP="007A371E">
      <w:pPr>
        <w:rPr>
          <w:rFonts w:asciiTheme="minorHAnsi" w:hAnsiTheme="minorHAnsi"/>
          <w:b/>
        </w:rPr>
      </w:pPr>
    </w:p>
    <w:p w14:paraId="482066F6" w14:textId="77777777" w:rsidR="007A371E" w:rsidRPr="005432E1" w:rsidRDefault="007A371E" w:rsidP="00A74E66">
      <w:pPr>
        <w:pStyle w:val="Ttulo3"/>
        <w:numPr>
          <w:ilvl w:val="0"/>
          <w:numId w:val="0"/>
        </w:numPr>
        <w:rPr>
          <w:rFonts w:asciiTheme="minorHAnsi" w:hAnsiTheme="minorHAnsi"/>
          <w:b/>
        </w:rPr>
      </w:pPr>
      <w:bookmarkStart w:id="232" w:name="_Toc511230036"/>
      <w:r w:rsidRPr="005432E1">
        <w:rPr>
          <w:rFonts w:asciiTheme="minorHAnsi" w:hAnsiTheme="minorHAnsi"/>
          <w:b/>
        </w:rPr>
        <w:t>3.3.4 R</w:t>
      </w:r>
      <w:r w:rsidR="00E24665" w:rsidRPr="005432E1">
        <w:rPr>
          <w:rFonts w:asciiTheme="minorHAnsi" w:hAnsiTheme="minorHAnsi"/>
          <w:b/>
        </w:rPr>
        <w:t>ESTOS A PAGAR</w:t>
      </w:r>
      <w:bookmarkEnd w:id="232"/>
    </w:p>
    <w:p w14:paraId="1E1ACFEC" w14:textId="77777777" w:rsidR="007A371E" w:rsidRPr="005432E1" w:rsidRDefault="007A371E" w:rsidP="007A371E">
      <w:pPr>
        <w:pStyle w:val="NormalWeb"/>
        <w:ind w:firstLine="708"/>
        <w:jc w:val="both"/>
        <w:rPr>
          <w:rFonts w:asciiTheme="minorHAnsi" w:hAnsiTheme="minorHAnsi" w:cs="Times New Roman"/>
        </w:rPr>
      </w:pPr>
      <w:r w:rsidRPr="005432E1">
        <w:rPr>
          <w:rFonts w:asciiTheme="minorHAnsi" w:hAnsiTheme="minorHAnsi" w:cs="Times New Roman"/>
        </w:rPr>
        <w:t>A despesa pública passa por várias fases: gasto planejado, autorizado, empenhado, liquidado e pago. Quando a despesa é liquidada, significa que o serviço que deu origem a esse gasto já foi efetuado e reconhecido pelo ordenador de despesas, faltando, apenas, o desembolso efetivo do dinheiro. É justamente esse tipo de despesa (liquidada, mas ainda não paga) que dá origem aos Restos a Pagar Processados.</w:t>
      </w:r>
    </w:p>
    <w:p w14:paraId="05A76170" w14:textId="77777777" w:rsidR="007A371E" w:rsidRPr="005432E1" w:rsidRDefault="007A371E" w:rsidP="007A371E">
      <w:pPr>
        <w:pStyle w:val="NormalWeb"/>
        <w:ind w:firstLine="708"/>
        <w:jc w:val="both"/>
        <w:rPr>
          <w:rFonts w:asciiTheme="minorHAnsi" w:hAnsiTheme="minorHAnsi" w:cs="Times New Roman"/>
        </w:rPr>
      </w:pPr>
      <w:r w:rsidRPr="005432E1">
        <w:rPr>
          <w:rFonts w:asciiTheme="minorHAnsi" w:hAnsiTheme="minorHAnsi" w:cs="Times New Roman"/>
        </w:rPr>
        <w:t>Com relação aos Restos a Pagar Não Processados, a despesa foi planejada, autorizada e empenhada, mas o ordenador de despesas ainda não reconheceu a prestação do serviço ou a execução do investimento. Ou seja, ainda não ocorreu liquidação nem pagamento do gasto.</w:t>
      </w:r>
    </w:p>
    <w:p w14:paraId="0151AADB" w14:textId="77777777" w:rsidR="007A371E" w:rsidRPr="005432E1" w:rsidRDefault="007A371E" w:rsidP="007A371E">
      <w:pPr>
        <w:pStyle w:val="NormalWeb"/>
        <w:ind w:firstLine="708"/>
        <w:jc w:val="both"/>
        <w:rPr>
          <w:rFonts w:asciiTheme="minorHAnsi" w:hAnsiTheme="minorHAnsi" w:cs="Times New Roman"/>
        </w:rPr>
      </w:pPr>
      <w:r w:rsidRPr="005432E1">
        <w:rPr>
          <w:rFonts w:asciiTheme="minorHAnsi" w:hAnsiTheme="minorHAnsi" w:cs="Times New Roman"/>
        </w:rPr>
        <w:t>Conceitualmente falando, os restos a pagar não representam risco fiscal, pois são despesas que foram empenhadas ou liquidadas em orçamentos anteriores e, portanto, se transformaram em passivos contabilizados pela administração pública. No entanto, a sua gestão pode comprometer a apuração do resultado primário basicamente de duas formas: primeiro, quando a despesa já foi liquidada e se posterga o pagamento (aumentando os Restos a pagar processados) ou quando ocorre atraso no reconhecimento de um serviço já prestado ao governo ou de um investimento já executado (aumentando os Restos a pagar não processados).</w:t>
      </w:r>
    </w:p>
    <w:p w14:paraId="35144AA2" w14:textId="77777777" w:rsidR="007A371E" w:rsidRPr="005432E1" w:rsidRDefault="007A371E" w:rsidP="007A371E">
      <w:pPr>
        <w:spacing w:before="100" w:beforeAutospacing="1" w:after="100" w:afterAutospacing="1"/>
        <w:jc w:val="both"/>
        <w:rPr>
          <w:rFonts w:asciiTheme="minorHAnsi" w:hAnsiTheme="minorHAnsi"/>
        </w:rPr>
      </w:pPr>
      <w:r w:rsidRPr="005432E1">
        <w:rPr>
          <w:rFonts w:asciiTheme="minorHAnsi" w:hAnsiTheme="minorHAnsi"/>
          <w:sz w:val="22"/>
          <w:szCs w:val="22"/>
        </w:rPr>
        <w:t xml:space="preserve">A Secretaria do Tesouro Nacional informa que </w:t>
      </w:r>
      <w:r w:rsidRPr="005432E1">
        <w:rPr>
          <w:rFonts w:asciiTheme="minorHAnsi" w:hAnsiTheme="minorHAnsi"/>
        </w:rPr>
        <w:t xml:space="preserve">este risco não mais é aplicável, tendo em vista que a Ação relativa ao Ressarcimento a Municípios de Dívidas Contratuais Internas assumidas e refinanciadas pela União (Lei Complementar nº 148, de 2014), não mais está sendo executada com restos a pagar, mas sim com orçamento do próprio exercício, conforme descrito no item a.1.3 - Programa 0905 </w:t>
      </w:r>
      <w:r w:rsidR="001459DB" w:rsidRPr="005432E1">
        <w:rPr>
          <w:rFonts w:asciiTheme="minorHAnsi" w:hAnsiTheme="minorHAnsi"/>
        </w:rPr>
        <w:t>Ação 00PQ.</w:t>
      </w:r>
    </w:p>
    <w:p w14:paraId="667FEFBC" w14:textId="77777777" w:rsidR="00E24665" w:rsidRPr="005432E1" w:rsidRDefault="00E24665" w:rsidP="00A74E66">
      <w:pPr>
        <w:pStyle w:val="Ttulo3"/>
        <w:numPr>
          <w:ilvl w:val="0"/>
          <w:numId w:val="0"/>
        </w:numPr>
        <w:rPr>
          <w:rFonts w:asciiTheme="minorHAnsi" w:hAnsiTheme="minorHAnsi"/>
          <w:b/>
        </w:rPr>
      </w:pPr>
      <w:bookmarkStart w:id="233" w:name="_Toc511230037"/>
      <w:r w:rsidRPr="005432E1">
        <w:rPr>
          <w:rFonts w:asciiTheme="minorHAnsi" w:hAnsiTheme="minorHAnsi"/>
          <w:b/>
        </w:rPr>
        <w:t>3.3.5 FU</w:t>
      </w:r>
      <w:r w:rsidR="00676339" w:rsidRPr="005432E1">
        <w:rPr>
          <w:rFonts w:asciiTheme="minorHAnsi" w:hAnsiTheme="minorHAnsi"/>
          <w:b/>
        </w:rPr>
        <w:t>NDO DE FINANCIAMENTO ESTUDANTIL - FIES</w:t>
      </w:r>
      <w:bookmarkEnd w:id="233"/>
    </w:p>
    <w:p w14:paraId="551CDE31" w14:textId="77777777" w:rsidR="00A66FD5" w:rsidRPr="005432E1" w:rsidRDefault="00A66FD5" w:rsidP="00A66FD5">
      <w:pPr>
        <w:spacing w:before="100" w:beforeAutospacing="1" w:after="100" w:afterAutospacing="1"/>
        <w:jc w:val="both"/>
        <w:rPr>
          <w:rFonts w:asciiTheme="minorHAnsi" w:hAnsiTheme="minorHAnsi"/>
          <w:b/>
        </w:rPr>
      </w:pPr>
      <w:r w:rsidRPr="005432E1">
        <w:rPr>
          <w:rFonts w:asciiTheme="minorHAnsi" w:hAnsiTheme="minorHAnsi"/>
          <w:b/>
        </w:rPr>
        <w:tab/>
      </w:r>
      <w:r w:rsidRPr="005432E1">
        <w:rPr>
          <w:rFonts w:asciiTheme="minorHAnsi" w:hAnsiTheme="minorHAnsi"/>
        </w:rPr>
        <w:t>O Tribunal de Contas da União, nos termos dos Acórdãos nº 3001/2016- TCU-Plenário e nº 539/2017-TCU-Plenário, dentre outros apontamentos, determinou a inclusão do impacto fiscal do FIES no Anexo de Riscos Fiscais da Lei de Diretrizes Orçamentárias, nos seguintes termos:</w:t>
      </w:r>
    </w:p>
    <w:p w14:paraId="4F84ECB2" w14:textId="77777777" w:rsidR="00A66FD5" w:rsidRPr="005432E1" w:rsidRDefault="00A66FD5" w:rsidP="00A66FD5">
      <w:pPr>
        <w:pStyle w:val="Corpodetexto"/>
        <w:spacing w:before="240"/>
        <w:ind w:left="2268" w:right="102"/>
        <w:rPr>
          <w:rFonts w:asciiTheme="minorHAnsi" w:hAnsiTheme="minorHAnsi"/>
          <w:i/>
          <w:iCs/>
          <w:sz w:val="22"/>
          <w:szCs w:val="22"/>
        </w:rPr>
      </w:pPr>
      <w:r w:rsidRPr="005432E1">
        <w:rPr>
          <w:rFonts w:asciiTheme="minorHAnsi" w:hAnsiTheme="minorHAnsi"/>
          <w:i/>
          <w:iCs/>
          <w:sz w:val="22"/>
          <w:szCs w:val="22"/>
        </w:rPr>
        <w:t xml:space="preserve"> “9.4.3.2. quando da elaboração das leis de diretrizes orçamentárias anuais, inclua o Fies em seu Anexo de Riscos Fiscais, com a apresentação, a cada ano, da projeção dos impactos fiscais estimados decorrentes do programa, a curto, médio e longo prazos;”</w:t>
      </w:r>
    </w:p>
    <w:p w14:paraId="39793BE9" w14:textId="77777777" w:rsidR="00A66FD5" w:rsidRPr="005432E1" w:rsidRDefault="00A66FD5" w:rsidP="00A66FD5">
      <w:pPr>
        <w:pStyle w:val="Corpodetexto"/>
        <w:spacing w:before="240"/>
        <w:ind w:right="102" w:firstLine="709"/>
        <w:rPr>
          <w:rFonts w:asciiTheme="minorHAnsi" w:hAnsiTheme="minorHAnsi"/>
          <w:i/>
          <w:iCs/>
          <w:sz w:val="22"/>
          <w:szCs w:val="22"/>
        </w:rPr>
      </w:pPr>
      <w:r w:rsidRPr="005432E1">
        <w:rPr>
          <w:rFonts w:asciiTheme="minorHAnsi" w:hAnsiTheme="minorHAnsi"/>
        </w:rPr>
        <w:t>O Fundo de Financiamento Estudantil (FIES) é um fundo de natureza contábil destinado a financiar a graduação na educação superior de estudantes de menor renda matriculados em cursos superiores não gratuitos e com avaliação positiva nos processos conduzidos pelo Ministério da Educação (MEC). O Programa foi instituído em 1999, pela Medida Provisória nº 1.827, de 27 de maio de 1999, que foi convertida na Lei nº 10.260, de 12 de julho de 2001, alterada recentemente pela Medida Provisória nº 785, de 6 de junho de 2017 e convertida na Lei 13.530, de 7 de dezembro de 2017.</w:t>
      </w:r>
    </w:p>
    <w:p w14:paraId="7AFC2BEA" w14:textId="77777777" w:rsidR="00A66FD5" w:rsidRPr="005432E1" w:rsidRDefault="00A66FD5" w:rsidP="0012671B">
      <w:pPr>
        <w:pStyle w:val="Corpodetexto"/>
        <w:ind w:firstLine="720"/>
        <w:rPr>
          <w:rFonts w:asciiTheme="minorHAnsi" w:hAnsiTheme="minorHAnsi"/>
        </w:rPr>
      </w:pPr>
    </w:p>
    <w:p w14:paraId="372D9AC8"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Em relação ao Risco Fiscal, destaca-se que a Exposição de Motivos Interministerial EMI n° 00037/2017, elaborada por ocasião do envio da Medida Provisória nº 785, de 2017, ao Congresso Nacional, apresentou comentário acerca das três principais causas que podem levar a insustentabilidade fiscal do Fies: (i) risco de crédito, (ii) subsídio implícito e (iii) governança do programa.</w:t>
      </w:r>
    </w:p>
    <w:p w14:paraId="6B97BE59" w14:textId="77777777" w:rsidR="0012671B" w:rsidRPr="005432E1" w:rsidRDefault="0012671B" w:rsidP="0012671B">
      <w:pPr>
        <w:pStyle w:val="Corpodetexto"/>
        <w:ind w:firstLine="720"/>
        <w:rPr>
          <w:rFonts w:asciiTheme="minorHAnsi" w:hAnsiTheme="minorHAnsi"/>
        </w:rPr>
      </w:pPr>
    </w:p>
    <w:p w14:paraId="376E586A"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A concessão de crédito aos estudantes expõe a União ao risco de crédito do Fies, indicador que é monitorado mensalmente. O valor da exposição relativa às operações do Fies, em 31.12.17, é de R$ 85,5 bilhões, sendo que R$ 82,1 bilhões são referentes aos contratos formalizados a partir de 2010</w:t>
      </w:r>
      <w:r w:rsidR="001B0C82" w:rsidRPr="005432E1">
        <w:rPr>
          <w:rFonts w:asciiTheme="minorHAnsi" w:hAnsiTheme="minorHAnsi"/>
        </w:rPr>
        <w:t>, conforme a tabela abaixo:</w:t>
      </w:r>
      <w:r w:rsidRPr="005432E1">
        <w:rPr>
          <w:rFonts w:asciiTheme="minorHAnsi" w:hAnsiTheme="minorHAnsi"/>
        </w:rPr>
        <w:t xml:space="preserve"> </w:t>
      </w:r>
    </w:p>
    <w:p w14:paraId="1F42AC8E" w14:textId="77777777" w:rsidR="0012671B" w:rsidRPr="005432E1" w:rsidRDefault="0012671B" w:rsidP="0012671B">
      <w:pPr>
        <w:pStyle w:val="Corpodetexto"/>
        <w:ind w:firstLine="720"/>
        <w:rPr>
          <w:rFonts w:asciiTheme="minorHAnsi" w:hAnsiTheme="minorHAnsi"/>
        </w:rPr>
      </w:pPr>
    </w:p>
    <w:p w14:paraId="5BE29974" w14:textId="0ACB2B54" w:rsidR="0012671B" w:rsidRPr="005432E1" w:rsidRDefault="004429F4" w:rsidP="001459DB">
      <w:pPr>
        <w:pStyle w:val="Legenda"/>
        <w:rPr>
          <w:rFonts w:asciiTheme="minorHAnsi" w:hAnsiTheme="minorHAnsi"/>
          <w:b/>
          <w:i w:val="0"/>
          <w:color w:val="auto"/>
          <w:sz w:val="24"/>
          <w:szCs w:val="24"/>
        </w:rPr>
      </w:pPr>
      <w:r w:rsidRPr="005432E1">
        <w:rPr>
          <w:rFonts w:asciiTheme="minorHAnsi" w:hAnsiTheme="minorHAnsi"/>
          <w:color w:val="auto"/>
          <w:sz w:val="20"/>
        </w:rPr>
        <w:tab/>
      </w:r>
      <w:r w:rsidRPr="005432E1">
        <w:rPr>
          <w:rFonts w:asciiTheme="minorHAnsi" w:hAnsiTheme="minorHAnsi"/>
          <w:color w:val="auto"/>
          <w:sz w:val="20"/>
        </w:rPr>
        <w:tab/>
      </w:r>
      <w:r w:rsidRPr="005432E1">
        <w:rPr>
          <w:rFonts w:asciiTheme="minorHAnsi" w:hAnsiTheme="minorHAnsi"/>
          <w:color w:val="auto"/>
          <w:sz w:val="20"/>
        </w:rPr>
        <w:tab/>
      </w:r>
      <w:r w:rsidR="006B65D8" w:rsidRPr="005432E1">
        <w:rPr>
          <w:rFonts w:asciiTheme="minorHAnsi" w:hAnsiTheme="minorHAnsi"/>
          <w:b/>
          <w:i w:val="0"/>
          <w:color w:val="auto"/>
          <w:sz w:val="24"/>
          <w:szCs w:val="24"/>
        </w:rPr>
        <w:t>Tabela 6</w:t>
      </w:r>
      <w:r w:rsidR="00D87ABD" w:rsidRPr="005432E1">
        <w:rPr>
          <w:rFonts w:asciiTheme="minorHAnsi" w:hAnsiTheme="minorHAnsi"/>
          <w:b/>
          <w:i w:val="0"/>
          <w:color w:val="auto"/>
          <w:sz w:val="24"/>
          <w:szCs w:val="24"/>
        </w:rPr>
        <w:t>5</w:t>
      </w:r>
      <w:r w:rsidR="0012671B" w:rsidRPr="005432E1">
        <w:rPr>
          <w:rFonts w:asciiTheme="minorHAnsi" w:hAnsiTheme="minorHAnsi"/>
          <w:b/>
          <w:i w:val="0"/>
          <w:color w:val="auto"/>
          <w:sz w:val="24"/>
          <w:szCs w:val="24"/>
        </w:rPr>
        <w:t>: Valores da Dívida por safra de concessão</w:t>
      </w:r>
    </w:p>
    <w:tbl>
      <w:tblPr>
        <w:tblW w:w="4828" w:type="dxa"/>
        <w:jc w:val="center"/>
        <w:tblCellMar>
          <w:left w:w="70" w:type="dxa"/>
          <w:right w:w="70" w:type="dxa"/>
        </w:tblCellMar>
        <w:tblLook w:val="04A0" w:firstRow="1" w:lastRow="0" w:firstColumn="1" w:lastColumn="0" w:noHBand="0" w:noVBand="1"/>
      </w:tblPr>
      <w:tblGrid>
        <w:gridCol w:w="2329"/>
        <w:gridCol w:w="2499"/>
      </w:tblGrid>
      <w:tr w:rsidR="0012671B" w:rsidRPr="005432E1" w14:paraId="5AA1DBFB" w14:textId="77777777" w:rsidTr="0012671B">
        <w:trPr>
          <w:trHeight w:val="247"/>
          <w:jc w:val="center"/>
        </w:trPr>
        <w:tc>
          <w:tcPr>
            <w:tcW w:w="2329" w:type="dxa"/>
            <w:tcBorders>
              <w:top w:val="single" w:sz="12" w:space="0" w:color="auto"/>
              <w:left w:val="nil"/>
              <w:bottom w:val="single" w:sz="4" w:space="0" w:color="auto"/>
              <w:right w:val="nil"/>
            </w:tcBorders>
            <w:shd w:val="clear" w:color="auto" w:fill="auto"/>
            <w:noWrap/>
            <w:vAlign w:val="bottom"/>
            <w:hideMark/>
          </w:tcPr>
          <w:p w14:paraId="1F25D720"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Ano*</w:t>
            </w:r>
          </w:p>
        </w:tc>
        <w:tc>
          <w:tcPr>
            <w:tcW w:w="2499" w:type="dxa"/>
            <w:tcBorders>
              <w:top w:val="single" w:sz="12" w:space="0" w:color="auto"/>
              <w:left w:val="nil"/>
              <w:bottom w:val="single" w:sz="4" w:space="0" w:color="auto"/>
              <w:right w:val="nil"/>
            </w:tcBorders>
            <w:shd w:val="clear" w:color="auto" w:fill="auto"/>
            <w:noWrap/>
            <w:vAlign w:val="bottom"/>
            <w:hideMark/>
          </w:tcPr>
          <w:p w14:paraId="09BAB441"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 xml:space="preserve">Valor da </w:t>
            </w:r>
            <w:r w:rsidR="00534C9A" w:rsidRPr="005432E1">
              <w:rPr>
                <w:rFonts w:asciiTheme="minorHAnsi" w:hAnsiTheme="minorHAnsi"/>
                <w:b/>
                <w:bCs/>
                <w:color w:val="000000"/>
                <w:sz w:val="20"/>
                <w:szCs w:val="20"/>
              </w:rPr>
              <w:t>Dívida</w:t>
            </w:r>
            <w:r w:rsidRPr="005432E1">
              <w:rPr>
                <w:rFonts w:asciiTheme="minorHAnsi" w:hAnsiTheme="minorHAnsi"/>
                <w:b/>
                <w:bCs/>
                <w:color w:val="000000"/>
                <w:sz w:val="20"/>
                <w:szCs w:val="20"/>
              </w:rPr>
              <w:t xml:space="preserve"> A.F</w:t>
            </w:r>
          </w:p>
        </w:tc>
      </w:tr>
      <w:tr w:rsidR="0012671B" w:rsidRPr="005432E1" w14:paraId="6F322FB4"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0E811922"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2010</w:t>
            </w:r>
          </w:p>
        </w:tc>
        <w:tc>
          <w:tcPr>
            <w:tcW w:w="2499" w:type="dxa"/>
            <w:tcBorders>
              <w:top w:val="nil"/>
              <w:left w:val="nil"/>
              <w:bottom w:val="single" w:sz="4" w:space="0" w:color="auto"/>
              <w:right w:val="nil"/>
            </w:tcBorders>
            <w:shd w:val="clear" w:color="auto" w:fill="auto"/>
            <w:noWrap/>
            <w:vAlign w:val="bottom"/>
            <w:hideMark/>
          </w:tcPr>
          <w:p w14:paraId="09ADE4E1"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3.048.297.770,23</w:t>
            </w:r>
          </w:p>
        </w:tc>
      </w:tr>
      <w:tr w:rsidR="0012671B" w:rsidRPr="005432E1" w14:paraId="472E75A6"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735CED6C"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2011</w:t>
            </w:r>
          </w:p>
        </w:tc>
        <w:tc>
          <w:tcPr>
            <w:tcW w:w="2499" w:type="dxa"/>
            <w:tcBorders>
              <w:top w:val="nil"/>
              <w:left w:val="nil"/>
              <w:bottom w:val="single" w:sz="4" w:space="0" w:color="auto"/>
              <w:right w:val="nil"/>
            </w:tcBorders>
            <w:shd w:val="clear" w:color="auto" w:fill="auto"/>
            <w:noWrap/>
            <w:vAlign w:val="bottom"/>
            <w:hideMark/>
          </w:tcPr>
          <w:p w14:paraId="4F0D2AC4"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5.983.595.736,02</w:t>
            </w:r>
          </w:p>
        </w:tc>
      </w:tr>
      <w:tr w:rsidR="0012671B" w:rsidRPr="005432E1" w14:paraId="0AD0AC38"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5C642FFA"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2012</w:t>
            </w:r>
          </w:p>
        </w:tc>
        <w:tc>
          <w:tcPr>
            <w:tcW w:w="2499" w:type="dxa"/>
            <w:tcBorders>
              <w:top w:val="nil"/>
              <w:left w:val="nil"/>
              <w:bottom w:val="single" w:sz="4" w:space="0" w:color="auto"/>
              <w:right w:val="nil"/>
            </w:tcBorders>
            <w:shd w:val="clear" w:color="auto" w:fill="auto"/>
            <w:noWrap/>
            <w:vAlign w:val="bottom"/>
            <w:hideMark/>
          </w:tcPr>
          <w:p w14:paraId="0A917F63"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13.777.255.091,26</w:t>
            </w:r>
          </w:p>
        </w:tc>
      </w:tr>
      <w:tr w:rsidR="0012671B" w:rsidRPr="005432E1" w14:paraId="7636F133"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026B9D1D"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2013</w:t>
            </w:r>
          </w:p>
        </w:tc>
        <w:tc>
          <w:tcPr>
            <w:tcW w:w="2499" w:type="dxa"/>
            <w:tcBorders>
              <w:top w:val="nil"/>
              <w:left w:val="nil"/>
              <w:bottom w:val="single" w:sz="4" w:space="0" w:color="auto"/>
              <w:right w:val="nil"/>
            </w:tcBorders>
            <w:shd w:val="clear" w:color="auto" w:fill="auto"/>
            <w:noWrap/>
            <w:vAlign w:val="bottom"/>
            <w:hideMark/>
          </w:tcPr>
          <w:p w14:paraId="757720EC"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20.420.457.671,97</w:t>
            </w:r>
          </w:p>
        </w:tc>
      </w:tr>
      <w:tr w:rsidR="0012671B" w:rsidRPr="005432E1" w14:paraId="363A4B1F"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34D01ED9"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2014</w:t>
            </w:r>
          </w:p>
        </w:tc>
        <w:tc>
          <w:tcPr>
            <w:tcW w:w="2499" w:type="dxa"/>
            <w:tcBorders>
              <w:top w:val="nil"/>
              <w:left w:val="nil"/>
              <w:bottom w:val="single" w:sz="4" w:space="0" w:color="auto"/>
              <w:right w:val="nil"/>
            </w:tcBorders>
            <w:shd w:val="clear" w:color="auto" w:fill="auto"/>
            <w:noWrap/>
            <w:vAlign w:val="bottom"/>
            <w:hideMark/>
          </w:tcPr>
          <w:p w14:paraId="2F3C4546"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24.885.873.694,16</w:t>
            </w:r>
          </w:p>
        </w:tc>
      </w:tr>
      <w:tr w:rsidR="0012671B" w:rsidRPr="005432E1" w14:paraId="30B04E13"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7560C30B"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2015</w:t>
            </w:r>
          </w:p>
        </w:tc>
        <w:tc>
          <w:tcPr>
            <w:tcW w:w="2499" w:type="dxa"/>
            <w:tcBorders>
              <w:top w:val="nil"/>
              <w:left w:val="nil"/>
              <w:bottom w:val="single" w:sz="4" w:space="0" w:color="auto"/>
              <w:right w:val="nil"/>
            </w:tcBorders>
            <w:shd w:val="clear" w:color="auto" w:fill="auto"/>
            <w:noWrap/>
            <w:vAlign w:val="bottom"/>
            <w:hideMark/>
          </w:tcPr>
          <w:p w14:paraId="1C277496"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9.140.377.719,25</w:t>
            </w:r>
          </w:p>
        </w:tc>
      </w:tr>
      <w:tr w:rsidR="0012671B" w:rsidRPr="005432E1" w14:paraId="0D904AFA"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76AFEF7D"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2016</w:t>
            </w:r>
          </w:p>
        </w:tc>
        <w:tc>
          <w:tcPr>
            <w:tcW w:w="2499" w:type="dxa"/>
            <w:tcBorders>
              <w:top w:val="nil"/>
              <w:left w:val="nil"/>
              <w:bottom w:val="single" w:sz="4" w:space="0" w:color="auto"/>
              <w:right w:val="nil"/>
            </w:tcBorders>
            <w:shd w:val="clear" w:color="auto" w:fill="auto"/>
            <w:noWrap/>
            <w:vAlign w:val="bottom"/>
            <w:hideMark/>
          </w:tcPr>
          <w:p w14:paraId="56837E47"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3.508.403.248,37</w:t>
            </w:r>
          </w:p>
        </w:tc>
      </w:tr>
      <w:tr w:rsidR="0012671B" w:rsidRPr="005432E1" w14:paraId="6891D1B5" w14:textId="77777777" w:rsidTr="0012671B">
        <w:trPr>
          <w:trHeight w:val="235"/>
          <w:jc w:val="center"/>
        </w:trPr>
        <w:tc>
          <w:tcPr>
            <w:tcW w:w="2329" w:type="dxa"/>
            <w:tcBorders>
              <w:top w:val="nil"/>
              <w:left w:val="nil"/>
              <w:bottom w:val="single" w:sz="4" w:space="0" w:color="auto"/>
              <w:right w:val="nil"/>
            </w:tcBorders>
            <w:shd w:val="clear" w:color="auto" w:fill="auto"/>
            <w:noWrap/>
            <w:vAlign w:val="bottom"/>
            <w:hideMark/>
          </w:tcPr>
          <w:p w14:paraId="739922D9" w14:textId="77777777" w:rsidR="0012671B" w:rsidRPr="005432E1" w:rsidRDefault="0012671B" w:rsidP="0012671B">
            <w:pPr>
              <w:jc w:val="center"/>
              <w:rPr>
                <w:rFonts w:asciiTheme="minorHAnsi" w:hAnsiTheme="minorHAnsi"/>
                <w:color w:val="000000"/>
                <w:sz w:val="20"/>
                <w:szCs w:val="20"/>
              </w:rPr>
            </w:pPr>
            <w:r w:rsidRPr="005432E1">
              <w:rPr>
                <w:rFonts w:asciiTheme="minorHAnsi" w:hAnsiTheme="minorHAnsi"/>
                <w:color w:val="000000"/>
                <w:sz w:val="20"/>
                <w:szCs w:val="20"/>
              </w:rPr>
              <w:t>2017</w:t>
            </w:r>
          </w:p>
        </w:tc>
        <w:tc>
          <w:tcPr>
            <w:tcW w:w="2499" w:type="dxa"/>
            <w:tcBorders>
              <w:top w:val="nil"/>
              <w:left w:val="nil"/>
              <w:bottom w:val="single" w:sz="4" w:space="0" w:color="auto"/>
              <w:right w:val="nil"/>
            </w:tcBorders>
            <w:shd w:val="clear" w:color="auto" w:fill="auto"/>
            <w:noWrap/>
            <w:vAlign w:val="bottom"/>
            <w:hideMark/>
          </w:tcPr>
          <w:p w14:paraId="54DACA5A"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1.417.864.779,63</w:t>
            </w:r>
          </w:p>
        </w:tc>
      </w:tr>
      <w:tr w:rsidR="0012671B" w:rsidRPr="005432E1" w14:paraId="12452269" w14:textId="77777777" w:rsidTr="0012671B">
        <w:trPr>
          <w:trHeight w:val="60"/>
          <w:jc w:val="center"/>
        </w:trPr>
        <w:tc>
          <w:tcPr>
            <w:tcW w:w="2329" w:type="dxa"/>
            <w:tcBorders>
              <w:top w:val="nil"/>
              <w:left w:val="nil"/>
              <w:bottom w:val="single" w:sz="12" w:space="0" w:color="auto"/>
              <w:right w:val="nil"/>
            </w:tcBorders>
            <w:shd w:val="clear" w:color="auto" w:fill="auto"/>
            <w:noWrap/>
            <w:vAlign w:val="bottom"/>
            <w:hideMark/>
          </w:tcPr>
          <w:p w14:paraId="3D2705FD"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Total</w:t>
            </w:r>
          </w:p>
        </w:tc>
        <w:tc>
          <w:tcPr>
            <w:tcW w:w="2499" w:type="dxa"/>
            <w:tcBorders>
              <w:top w:val="nil"/>
              <w:left w:val="nil"/>
              <w:bottom w:val="single" w:sz="12" w:space="0" w:color="auto"/>
              <w:right w:val="nil"/>
            </w:tcBorders>
            <w:shd w:val="clear" w:color="auto" w:fill="auto"/>
            <w:noWrap/>
            <w:vAlign w:val="bottom"/>
            <w:hideMark/>
          </w:tcPr>
          <w:p w14:paraId="1D1D90B5" w14:textId="77777777" w:rsidR="0012671B" w:rsidRPr="005432E1" w:rsidRDefault="0012671B" w:rsidP="0012671B">
            <w:pPr>
              <w:jc w:val="right"/>
              <w:rPr>
                <w:rFonts w:asciiTheme="minorHAnsi" w:hAnsiTheme="minorHAnsi"/>
                <w:b/>
                <w:color w:val="000000"/>
                <w:sz w:val="20"/>
                <w:szCs w:val="20"/>
              </w:rPr>
            </w:pPr>
            <w:r w:rsidRPr="005432E1">
              <w:rPr>
                <w:rFonts w:asciiTheme="minorHAnsi" w:hAnsiTheme="minorHAnsi"/>
                <w:b/>
                <w:color w:val="000000"/>
                <w:sz w:val="20"/>
                <w:szCs w:val="20"/>
              </w:rPr>
              <w:t>R$   82.182.125.710,89</w:t>
            </w:r>
          </w:p>
        </w:tc>
      </w:tr>
    </w:tbl>
    <w:p w14:paraId="0145C188" w14:textId="77777777" w:rsidR="0012671B" w:rsidRPr="005432E1" w:rsidRDefault="00BE39A2" w:rsidP="0012671B">
      <w:pPr>
        <w:pStyle w:val="Legenda"/>
        <w:rPr>
          <w:rFonts w:asciiTheme="minorHAnsi" w:eastAsiaTheme="minorHAnsi" w:hAnsiTheme="minorHAnsi"/>
          <w:b/>
          <w:i w:val="0"/>
          <w:iCs w:val="0"/>
          <w:sz w:val="20"/>
          <w:szCs w:val="20"/>
          <w:lang w:eastAsia="en-US"/>
        </w:rPr>
      </w:pPr>
      <w:r w:rsidRPr="005432E1">
        <w:rPr>
          <w:rFonts w:asciiTheme="minorHAnsi" w:eastAsiaTheme="minorHAnsi" w:hAnsiTheme="minorHAnsi"/>
          <w:sz w:val="12"/>
          <w:szCs w:val="12"/>
          <w:lang w:eastAsia="en-US"/>
        </w:rPr>
        <w:tab/>
      </w:r>
      <w:r w:rsidRPr="005432E1">
        <w:rPr>
          <w:rFonts w:asciiTheme="minorHAnsi" w:eastAsiaTheme="minorHAnsi" w:hAnsiTheme="minorHAnsi"/>
          <w:sz w:val="12"/>
          <w:szCs w:val="12"/>
          <w:lang w:eastAsia="en-US"/>
        </w:rPr>
        <w:tab/>
      </w:r>
      <w:r w:rsidRPr="005432E1">
        <w:rPr>
          <w:rFonts w:asciiTheme="minorHAnsi" w:eastAsiaTheme="minorHAnsi" w:hAnsiTheme="minorHAnsi"/>
          <w:sz w:val="12"/>
          <w:szCs w:val="12"/>
          <w:lang w:eastAsia="en-US"/>
        </w:rPr>
        <w:tab/>
      </w:r>
      <w:r w:rsidR="0012671B" w:rsidRPr="005432E1">
        <w:rPr>
          <w:rFonts w:asciiTheme="minorHAnsi" w:eastAsiaTheme="minorHAnsi" w:hAnsiTheme="minorHAnsi"/>
          <w:color w:val="auto"/>
          <w:sz w:val="20"/>
          <w:szCs w:val="20"/>
          <w:lang w:eastAsia="en-US"/>
        </w:rPr>
        <w:t>Fonte: FNDE. Posição 31.12.2017</w:t>
      </w:r>
      <w:r w:rsidRPr="005432E1">
        <w:rPr>
          <w:rFonts w:asciiTheme="minorHAnsi" w:eastAsiaTheme="minorHAnsi" w:hAnsiTheme="minorHAnsi"/>
          <w:color w:val="auto"/>
          <w:sz w:val="20"/>
          <w:szCs w:val="20"/>
          <w:lang w:eastAsia="en-US"/>
        </w:rPr>
        <w:t xml:space="preserve"> </w:t>
      </w:r>
      <w:r w:rsidR="0012671B" w:rsidRPr="005432E1">
        <w:rPr>
          <w:rFonts w:asciiTheme="minorHAnsi" w:eastAsiaTheme="minorHAnsi" w:hAnsiTheme="minorHAnsi"/>
          <w:color w:val="auto"/>
          <w:sz w:val="20"/>
          <w:szCs w:val="20"/>
          <w:lang w:eastAsia="en-US"/>
        </w:rPr>
        <w:t>*contratos assinados a partir de 15.01.2010</w:t>
      </w:r>
    </w:p>
    <w:p w14:paraId="6C1E3866" w14:textId="77777777" w:rsidR="0012671B" w:rsidRPr="005432E1" w:rsidRDefault="0012671B" w:rsidP="0012671B">
      <w:pPr>
        <w:pStyle w:val="Corpodetexto"/>
        <w:rPr>
          <w:rFonts w:asciiTheme="minorHAnsi" w:hAnsiTheme="minorHAnsi"/>
        </w:rPr>
      </w:pPr>
    </w:p>
    <w:p w14:paraId="5E669186" w14:textId="2F49E0AD" w:rsidR="0012671B" w:rsidRPr="005432E1" w:rsidRDefault="0012671B" w:rsidP="0012671B">
      <w:pPr>
        <w:pStyle w:val="Corpodetexto"/>
        <w:ind w:firstLine="720"/>
        <w:rPr>
          <w:rFonts w:asciiTheme="minorHAnsi" w:hAnsiTheme="minorHAnsi"/>
        </w:rPr>
      </w:pPr>
      <w:r w:rsidRPr="005432E1">
        <w:rPr>
          <w:rFonts w:asciiTheme="minorHAnsi" w:hAnsiTheme="minorHAnsi"/>
        </w:rPr>
        <w:t xml:space="preserve">Os contratos de crédito do Fies possuem a particularidade de preverem desembolsos mensais para as instituições de ensino e renovações semestrais mediante os processos de aditamento, na medida em que o estudante avança na conclusão do curso. Em decorrência desse fato, a União submete-se a uma exposição adicional de R$ 37,1 bilhões em recursos contratados ainda por liberar, chegando a uma exposição total de R$ 122,7 bilhões em 31.12.17 (Tabela </w:t>
      </w:r>
      <w:r w:rsidR="00D0207A" w:rsidRPr="005432E1">
        <w:rPr>
          <w:rFonts w:asciiTheme="minorHAnsi" w:hAnsiTheme="minorHAnsi"/>
        </w:rPr>
        <w:t>6</w:t>
      </w:r>
      <w:r w:rsidR="00D87ABD" w:rsidRPr="005432E1">
        <w:rPr>
          <w:rFonts w:asciiTheme="minorHAnsi" w:hAnsiTheme="minorHAnsi"/>
        </w:rPr>
        <w:t>6</w:t>
      </w:r>
      <w:r w:rsidRPr="005432E1">
        <w:rPr>
          <w:rFonts w:asciiTheme="minorHAnsi" w:hAnsiTheme="minorHAnsi"/>
        </w:rPr>
        <w:t>).</w:t>
      </w:r>
    </w:p>
    <w:p w14:paraId="16124BE5" w14:textId="64904D58" w:rsidR="0072376F" w:rsidRPr="005432E1" w:rsidRDefault="00E84A90" w:rsidP="0012671B">
      <w:pPr>
        <w:pStyle w:val="Legenda"/>
        <w:keepNext/>
        <w:rPr>
          <w:rFonts w:asciiTheme="minorHAnsi" w:hAnsiTheme="minorHAnsi"/>
          <w:b/>
          <w:i w:val="0"/>
          <w:color w:val="auto"/>
          <w:sz w:val="24"/>
          <w:szCs w:val="24"/>
        </w:rPr>
      </w:pPr>
      <w:r w:rsidRPr="005432E1">
        <w:rPr>
          <w:rFonts w:asciiTheme="minorHAnsi" w:hAnsiTheme="minorHAnsi"/>
          <w:b/>
          <w:i w:val="0"/>
          <w:color w:val="auto"/>
          <w:sz w:val="24"/>
          <w:szCs w:val="24"/>
        </w:rPr>
        <w:tab/>
      </w:r>
    </w:p>
    <w:p w14:paraId="5FAF929C" w14:textId="403D184D" w:rsidR="0012671B" w:rsidRPr="005432E1" w:rsidRDefault="0072376F" w:rsidP="0012671B">
      <w:pPr>
        <w:pStyle w:val="Legenda"/>
        <w:keepNext/>
        <w:rPr>
          <w:rFonts w:asciiTheme="minorHAnsi" w:hAnsiTheme="minorHAnsi"/>
          <w:b/>
          <w:i w:val="0"/>
          <w:color w:val="auto"/>
          <w:sz w:val="24"/>
          <w:szCs w:val="24"/>
        </w:rPr>
      </w:pP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0012671B" w:rsidRPr="005432E1">
        <w:rPr>
          <w:rFonts w:asciiTheme="minorHAnsi" w:hAnsiTheme="minorHAnsi"/>
          <w:b/>
          <w:i w:val="0"/>
          <w:color w:val="auto"/>
          <w:sz w:val="24"/>
          <w:szCs w:val="24"/>
        </w:rPr>
        <w:t xml:space="preserve">Tabela </w:t>
      </w:r>
      <w:r w:rsidR="006B65D8" w:rsidRPr="005432E1">
        <w:rPr>
          <w:rFonts w:asciiTheme="minorHAnsi" w:hAnsiTheme="minorHAnsi"/>
          <w:b/>
          <w:i w:val="0"/>
          <w:color w:val="auto"/>
          <w:sz w:val="24"/>
          <w:szCs w:val="24"/>
        </w:rPr>
        <w:t>6</w:t>
      </w:r>
      <w:r w:rsidR="00D87ABD" w:rsidRPr="005432E1">
        <w:rPr>
          <w:rFonts w:asciiTheme="minorHAnsi" w:hAnsiTheme="minorHAnsi"/>
          <w:b/>
          <w:i w:val="0"/>
          <w:color w:val="auto"/>
          <w:sz w:val="24"/>
          <w:szCs w:val="24"/>
        </w:rPr>
        <w:t>6</w:t>
      </w:r>
      <w:r w:rsidR="0012671B" w:rsidRPr="005432E1">
        <w:rPr>
          <w:rFonts w:asciiTheme="minorHAnsi" w:hAnsiTheme="minorHAnsi"/>
          <w:b/>
          <w:i w:val="0"/>
          <w:color w:val="auto"/>
          <w:sz w:val="24"/>
          <w:szCs w:val="24"/>
        </w:rPr>
        <w:t>: Exposição ao Risco de Crédito</w:t>
      </w:r>
    </w:p>
    <w:tbl>
      <w:tblPr>
        <w:tblW w:w="9176" w:type="dxa"/>
        <w:jc w:val="center"/>
        <w:tblCellMar>
          <w:left w:w="70" w:type="dxa"/>
          <w:right w:w="70" w:type="dxa"/>
        </w:tblCellMar>
        <w:tblLook w:val="04A0" w:firstRow="1" w:lastRow="0" w:firstColumn="1" w:lastColumn="0" w:noHBand="0" w:noVBand="1"/>
      </w:tblPr>
      <w:tblGrid>
        <w:gridCol w:w="3256"/>
        <w:gridCol w:w="1940"/>
        <w:gridCol w:w="1940"/>
        <w:gridCol w:w="2040"/>
      </w:tblGrid>
      <w:tr w:rsidR="0012671B" w:rsidRPr="005432E1" w14:paraId="69D343E8" w14:textId="77777777" w:rsidTr="0012671B">
        <w:trPr>
          <w:trHeight w:val="330"/>
          <w:jc w:val="center"/>
        </w:trPr>
        <w:tc>
          <w:tcPr>
            <w:tcW w:w="3256" w:type="dxa"/>
            <w:tcBorders>
              <w:top w:val="single" w:sz="12" w:space="0" w:color="auto"/>
              <w:left w:val="nil"/>
              <w:bottom w:val="single" w:sz="8" w:space="0" w:color="auto"/>
              <w:right w:val="nil"/>
            </w:tcBorders>
            <w:shd w:val="clear" w:color="000000" w:fill="FFFFFF"/>
            <w:noWrap/>
            <w:vAlign w:val="center"/>
            <w:hideMark/>
          </w:tcPr>
          <w:p w14:paraId="6D98445C" w14:textId="77777777" w:rsidR="0012671B" w:rsidRPr="005432E1" w:rsidRDefault="0012671B" w:rsidP="0012671B">
            <w:pPr>
              <w:rPr>
                <w:rFonts w:asciiTheme="minorHAnsi" w:hAnsiTheme="minorHAnsi"/>
                <w:b/>
                <w:bCs/>
                <w:color w:val="000000"/>
                <w:sz w:val="20"/>
                <w:szCs w:val="20"/>
              </w:rPr>
            </w:pPr>
            <w:r w:rsidRPr="005432E1">
              <w:rPr>
                <w:rFonts w:asciiTheme="minorHAnsi" w:hAnsiTheme="minorHAnsi"/>
                <w:b/>
                <w:bCs/>
                <w:color w:val="000000"/>
                <w:sz w:val="20"/>
                <w:szCs w:val="20"/>
              </w:rPr>
              <w:t xml:space="preserve">Exposição </w:t>
            </w:r>
          </w:p>
        </w:tc>
        <w:tc>
          <w:tcPr>
            <w:tcW w:w="1940" w:type="dxa"/>
            <w:tcBorders>
              <w:top w:val="single" w:sz="12" w:space="0" w:color="auto"/>
              <w:left w:val="nil"/>
              <w:bottom w:val="single" w:sz="8" w:space="0" w:color="auto"/>
              <w:right w:val="nil"/>
            </w:tcBorders>
            <w:shd w:val="clear" w:color="000000" w:fill="FFFFFF"/>
            <w:noWrap/>
            <w:vAlign w:val="center"/>
            <w:hideMark/>
          </w:tcPr>
          <w:p w14:paraId="05836786"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dez/16</w:t>
            </w:r>
          </w:p>
        </w:tc>
        <w:tc>
          <w:tcPr>
            <w:tcW w:w="1940" w:type="dxa"/>
            <w:tcBorders>
              <w:top w:val="single" w:sz="12" w:space="0" w:color="auto"/>
              <w:left w:val="nil"/>
              <w:bottom w:val="single" w:sz="8" w:space="0" w:color="auto"/>
              <w:right w:val="nil"/>
            </w:tcBorders>
            <w:shd w:val="clear" w:color="000000" w:fill="FFFFFF"/>
            <w:noWrap/>
            <w:vAlign w:val="center"/>
            <w:hideMark/>
          </w:tcPr>
          <w:p w14:paraId="1D273AF3"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jun/16</w:t>
            </w:r>
          </w:p>
        </w:tc>
        <w:tc>
          <w:tcPr>
            <w:tcW w:w="2040" w:type="dxa"/>
            <w:tcBorders>
              <w:top w:val="single" w:sz="12" w:space="0" w:color="auto"/>
              <w:left w:val="nil"/>
              <w:bottom w:val="single" w:sz="8" w:space="0" w:color="auto"/>
              <w:right w:val="nil"/>
            </w:tcBorders>
            <w:shd w:val="clear" w:color="000000" w:fill="FFFFFF"/>
            <w:noWrap/>
            <w:vAlign w:val="center"/>
            <w:hideMark/>
          </w:tcPr>
          <w:p w14:paraId="050D49C2"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dez/17</w:t>
            </w:r>
          </w:p>
        </w:tc>
      </w:tr>
      <w:tr w:rsidR="0012671B" w:rsidRPr="005432E1" w14:paraId="514EF7C4" w14:textId="77777777" w:rsidTr="0012671B">
        <w:trPr>
          <w:trHeight w:val="330"/>
          <w:jc w:val="center"/>
        </w:trPr>
        <w:tc>
          <w:tcPr>
            <w:tcW w:w="3256" w:type="dxa"/>
            <w:tcBorders>
              <w:top w:val="nil"/>
              <w:left w:val="nil"/>
              <w:bottom w:val="single" w:sz="8" w:space="0" w:color="auto"/>
              <w:right w:val="nil"/>
            </w:tcBorders>
            <w:shd w:val="clear" w:color="000000" w:fill="FFFFFF"/>
            <w:noWrap/>
            <w:vAlign w:val="center"/>
            <w:hideMark/>
          </w:tcPr>
          <w:p w14:paraId="68E11078"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Contratos Legados (até 2010)</w:t>
            </w:r>
          </w:p>
        </w:tc>
        <w:tc>
          <w:tcPr>
            <w:tcW w:w="1940" w:type="dxa"/>
            <w:tcBorders>
              <w:top w:val="nil"/>
              <w:left w:val="nil"/>
              <w:bottom w:val="single" w:sz="8" w:space="0" w:color="auto"/>
              <w:right w:val="nil"/>
            </w:tcBorders>
            <w:shd w:val="clear" w:color="auto" w:fill="auto"/>
            <w:noWrap/>
            <w:vAlign w:val="center"/>
            <w:hideMark/>
          </w:tcPr>
          <w:p w14:paraId="1D41A8BB"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3.766.489.650,64</w:t>
            </w:r>
          </w:p>
        </w:tc>
        <w:tc>
          <w:tcPr>
            <w:tcW w:w="1940" w:type="dxa"/>
            <w:tcBorders>
              <w:top w:val="nil"/>
              <w:left w:val="nil"/>
              <w:bottom w:val="single" w:sz="8" w:space="0" w:color="auto"/>
              <w:right w:val="nil"/>
            </w:tcBorders>
            <w:shd w:val="clear" w:color="auto" w:fill="auto"/>
            <w:noWrap/>
            <w:vAlign w:val="center"/>
            <w:hideMark/>
          </w:tcPr>
          <w:p w14:paraId="7AF2DF4D"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3.581.900.346,18</w:t>
            </w:r>
          </w:p>
        </w:tc>
        <w:tc>
          <w:tcPr>
            <w:tcW w:w="2040" w:type="dxa"/>
            <w:tcBorders>
              <w:top w:val="nil"/>
              <w:left w:val="nil"/>
              <w:bottom w:val="single" w:sz="8" w:space="0" w:color="auto"/>
              <w:right w:val="nil"/>
            </w:tcBorders>
            <w:shd w:val="clear" w:color="auto" w:fill="auto"/>
            <w:noWrap/>
            <w:vAlign w:val="center"/>
            <w:hideMark/>
          </w:tcPr>
          <w:p w14:paraId="526D9737"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3.408.407.833,56</w:t>
            </w:r>
          </w:p>
        </w:tc>
      </w:tr>
      <w:tr w:rsidR="0012671B" w:rsidRPr="005432E1" w14:paraId="24DE3952" w14:textId="77777777" w:rsidTr="0012671B">
        <w:trPr>
          <w:trHeight w:val="315"/>
          <w:jc w:val="center"/>
        </w:trPr>
        <w:tc>
          <w:tcPr>
            <w:tcW w:w="3256" w:type="dxa"/>
            <w:tcBorders>
              <w:top w:val="nil"/>
              <w:left w:val="nil"/>
              <w:bottom w:val="single" w:sz="8" w:space="0" w:color="auto"/>
              <w:right w:val="nil"/>
            </w:tcBorders>
            <w:shd w:val="clear" w:color="000000" w:fill="FFFFFF"/>
            <w:noWrap/>
            <w:vAlign w:val="center"/>
            <w:hideMark/>
          </w:tcPr>
          <w:p w14:paraId="5D83EB6D"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Contratos Atuais</w:t>
            </w:r>
          </w:p>
        </w:tc>
        <w:tc>
          <w:tcPr>
            <w:tcW w:w="1940" w:type="dxa"/>
            <w:tcBorders>
              <w:top w:val="nil"/>
              <w:left w:val="nil"/>
              <w:bottom w:val="single" w:sz="8" w:space="0" w:color="auto"/>
              <w:right w:val="nil"/>
            </w:tcBorders>
            <w:shd w:val="clear" w:color="auto" w:fill="auto"/>
            <w:noWrap/>
            <w:vAlign w:val="center"/>
            <w:hideMark/>
          </w:tcPr>
          <w:p w14:paraId="28EB8A8B"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R$ 64.690.685.502,19</w:t>
            </w:r>
          </w:p>
        </w:tc>
        <w:tc>
          <w:tcPr>
            <w:tcW w:w="1940" w:type="dxa"/>
            <w:tcBorders>
              <w:top w:val="nil"/>
              <w:left w:val="nil"/>
              <w:bottom w:val="single" w:sz="8" w:space="0" w:color="auto"/>
              <w:right w:val="nil"/>
            </w:tcBorders>
            <w:shd w:val="clear" w:color="auto" w:fill="auto"/>
            <w:noWrap/>
            <w:vAlign w:val="center"/>
            <w:hideMark/>
          </w:tcPr>
          <w:p w14:paraId="6F2EB715"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R$ 73.767.542.159,17</w:t>
            </w:r>
          </w:p>
        </w:tc>
        <w:tc>
          <w:tcPr>
            <w:tcW w:w="2040" w:type="dxa"/>
            <w:tcBorders>
              <w:top w:val="nil"/>
              <w:left w:val="nil"/>
              <w:bottom w:val="single" w:sz="8" w:space="0" w:color="auto"/>
              <w:right w:val="nil"/>
            </w:tcBorders>
            <w:shd w:val="clear" w:color="auto" w:fill="auto"/>
            <w:noWrap/>
            <w:vAlign w:val="center"/>
            <w:hideMark/>
          </w:tcPr>
          <w:p w14:paraId="6E32907F"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R$ 82.182.125.710,89</w:t>
            </w:r>
          </w:p>
        </w:tc>
      </w:tr>
      <w:tr w:rsidR="0012671B" w:rsidRPr="005432E1" w14:paraId="5B7645A6" w14:textId="77777777" w:rsidTr="0012671B">
        <w:trPr>
          <w:trHeight w:val="315"/>
          <w:jc w:val="center"/>
        </w:trPr>
        <w:tc>
          <w:tcPr>
            <w:tcW w:w="3256" w:type="dxa"/>
            <w:tcBorders>
              <w:top w:val="nil"/>
              <w:left w:val="nil"/>
              <w:bottom w:val="single" w:sz="8" w:space="0" w:color="auto"/>
              <w:right w:val="nil"/>
            </w:tcBorders>
            <w:shd w:val="clear" w:color="000000" w:fill="D9D9D9"/>
            <w:noWrap/>
            <w:vAlign w:val="center"/>
            <w:hideMark/>
          </w:tcPr>
          <w:p w14:paraId="7C49C8E4" w14:textId="77777777" w:rsidR="0012671B" w:rsidRPr="005432E1" w:rsidRDefault="0012671B" w:rsidP="0012671B">
            <w:pPr>
              <w:rPr>
                <w:rFonts w:asciiTheme="minorHAnsi" w:hAnsiTheme="minorHAnsi"/>
                <w:b/>
                <w:bCs/>
                <w:color w:val="000000"/>
                <w:sz w:val="20"/>
                <w:szCs w:val="20"/>
              </w:rPr>
            </w:pPr>
            <w:r w:rsidRPr="005432E1">
              <w:rPr>
                <w:rFonts w:asciiTheme="minorHAnsi" w:hAnsiTheme="minorHAnsi"/>
                <w:b/>
                <w:bCs/>
                <w:color w:val="000000"/>
                <w:sz w:val="20"/>
                <w:szCs w:val="20"/>
              </w:rPr>
              <w:t>Exposição por Valores já Liberados</w:t>
            </w:r>
          </w:p>
        </w:tc>
        <w:tc>
          <w:tcPr>
            <w:tcW w:w="1940" w:type="dxa"/>
            <w:tcBorders>
              <w:top w:val="nil"/>
              <w:left w:val="nil"/>
              <w:bottom w:val="single" w:sz="8" w:space="0" w:color="auto"/>
              <w:right w:val="nil"/>
            </w:tcBorders>
            <w:shd w:val="clear" w:color="000000" w:fill="D9D9D9"/>
            <w:noWrap/>
            <w:vAlign w:val="center"/>
            <w:hideMark/>
          </w:tcPr>
          <w:p w14:paraId="35ACC552"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R$ 68.457.175.152,83</w:t>
            </w:r>
          </w:p>
        </w:tc>
        <w:tc>
          <w:tcPr>
            <w:tcW w:w="1940" w:type="dxa"/>
            <w:tcBorders>
              <w:top w:val="nil"/>
              <w:left w:val="nil"/>
              <w:bottom w:val="single" w:sz="8" w:space="0" w:color="auto"/>
              <w:right w:val="nil"/>
            </w:tcBorders>
            <w:shd w:val="clear" w:color="000000" w:fill="D9D9D9"/>
            <w:noWrap/>
            <w:vAlign w:val="center"/>
            <w:hideMark/>
          </w:tcPr>
          <w:p w14:paraId="401AA33F"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R$ 77.349.442.505,35</w:t>
            </w:r>
          </w:p>
        </w:tc>
        <w:tc>
          <w:tcPr>
            <w:tcW w:w="2040" w:type="dxa"/>
            <w:tcBorders>
              <w:top w:val="nil"/>
              <w:left w:val="nil"/>
              <w:bottom w:val="single" w:sz="8" w:space="0" w:color="auto"/>
              <w:right w:val="nil"/>
            </w:tcBorders>
            <w:shd w:val="clear" w:color="000000" w:fill="D9D9D9"/>
            <w:noWrap/>
            <w:vAlign w:val="center"/>
            <w:hideMark/>
          </w:tcPr>
          <w:p w14:paraId="58F5742A"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R$ 85.590.533.544,45</w:t>
            </w:r>
          </w:p>
        </w:tc>
      </w:tr>
      <w:tr w:rsidR="0012671B" w:rsidRPr="005432E1" w14:paraId="6D29F773" w14:textId="77777777" w:rsidTr="0012671B">
        <w:trPr>
          <w:trHeight w:val="315"/>
          <w:jc w:val="center"/>
        </w:trPr>
        <w:tc>
          <w:tcPr>
            <w:tcW w:w="3256" w:type="dxa"/>
            <w:tcBorders>
              <w:top w:val="nil"/>
              <w:left w:val="nil"/>
              <w:bottom w:val="single" w:sz="8" w:space="0" w:color="auto"/>
              <w:right w:val="nil"/>
            </w:tcBorders>
            <w:shd w:val="clear" w:color="000000" w:fill="FFFFFF"/>
            <w:noWrap/>
            <w:vAlign w:val="center"/>
            <w:hideMark/>
          </w:tcPr>
          <w:p w14:paraId="635ADBB3"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Valores a Liberar (estimativa)</w:t>
            </w:r>
          </w:p>
        </w:tc>
        <w:tc>
          <w:tcPr>
            <w:tcW w:w="1940" w:type="dxa"/>
            <w:tcBorders>
              <w:top w:val="nil"/>
              <w:left w:val="nil"/>
              <w:bottom w:val="single" w:sz="8" w:space="0" w:color="auto"/>
              <w:right w:val="nil"/>
            </w:tcBorders>
            <w:shd w:val="clear" w:color="000000" w:fill="FFFFFF"/>
            <w:noWrap/>
            <w:vAlign w:val="center"/>
            <w:hideMark/>
          </w:tcPr>
          <w:p w14:paraId="2FAB5F89" w14:textId="77777777" w:rsidR="0012671B" w:rsidRPr="005432E1" w:rsidRDefault="0012671B" w:rsidP="0012671B">
            <w:pPr>
              <w:rPr>
                <w:rFonts w:asciiTheme="minorHAnsi" w:hAnsiTheme="minorHAnsi"/>
                <w:color w:val="000000"/>
                <w:sz w:val="20"/>
                <w:szCs w:val="20"/>
              </w:rPr>
            </w:pPr>
          </w:p>
        </w:tc>
        <w:tc>
          <w:tcPr>
            <w:tcW w:w="1940" w:type="dxa"/>
            <w:tcBorders>
              <w:top w:val="nil"/>
              <w:left w:val="nil"/>
              <w:bottom w:val="single" w:sz="8" w:space="0" w:color="auto"/>
              <w:right w:val="nil"/>
            </w:tcBorders>
            <w:shd w:val="clear" w:color="000000" w:fill="FFFFFF"/>
            <w:noWrap/>
            <w:vAlign w:val="center"/>
            <w:hideMark/>
          </w:tcPr>
          <w:p w14:paraId="5C7CC7C2" w14:textId="77777777" w:rsidR="0012671B" w:rsidRPr="005432E1" w:rsidRDefault="0012671B" w:rsidP="0012671B">
            <w:pPr>
              <w:rPr>
                <w:rFonts w:asciiTheme="minorHAnsi" w:hAnsiTheme="minorHAnsi"/>
                <w:color w:val="000000"/>
                <w:sz w:val="20"/>
                <w:szCs w:val="20"/>
              </w:rPr>
            </w:pPr>
          </w:p>
        </w:tc>
        <w:tc>
          <w:tcPr>
            <w:tcW w:w="2040" w:type="dxa"/>
            <w:tcBorders>
              <w:top w:val="nil"/>
              <w:left w:val="nil"/>
              <w:bottom w:val="single" w:sz="8" w:space="0" w:color="auto"/>
              <w:right w:val="nil"/>
            </w:tcBorders>
            <w:shd w:val="clear" w:color="auto" w:fill="auto"/>
            <w:noWrap/>
            <w:vAlign w:val="center"/>
            <w:hideMark/>
          </w:tcPr>
          <w:p w14:paraId="3A085823"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R$ 37.130.191.548,80</w:t>
            </w:r>
          </w:p>
        </w:tc>
      </w:tr>
      <w:tr w:rsidR="0012671B" w:rsidRPr="005432E1" w14:paraId="53BD9CC5" w14:textId="77777777" w:rsidTr="0012671B">
        <w:trPr>
          <w:trHeight w:val="315"/>
          <w:jc w:val="center"/>
        </w:trPr>
        <w:tc>
          <w:tcPr>
            <w:tcW w:w="3256" w:type="dxa"/>
            <w:tcBorders>
              <w:top w:val="nil"/>
              <w:left w:val="nil"/>
              <w:bottom w:val="single" w:sz="8" w:space="0" w:color="auto"/>
              <w:right w:val="nil"/>
            </w:tcBorders>
            <w:shd w:val="clear" w:color="000000" w:fill="D9D9D9"/>
            <w:noWrap/>
            <w:vAlign w:val="center"/>
            <w:hideMark/>
          </w:tcPr>
          <w:p w14:paraId="7E06F494" w14:textId="77777777" w:rsidR="0012671B" w:rsidRPr="005432E1" w:rsidRDefault="0012671B" w:rsidP="0012671B">
            <w:pPr>
              <w:rPr>
                <w:rFonts w:asciiTheme="minorHAnsi" w:hAnsiTheme="minorHAnsi"/>
                <w:b/>
                <w:bCs/>
                <w:color w:val="000000"/>
                <w:sz w:val="20"/>
                <w:szCs w:val="20"/>
              </w:rPr>
            </w:pPr>
            <w:r w:rsidRPr="005432E1">
              <w:rPr>
                <w:rFonts w:asciiTheme="minorHAnsi" w:hAnsiTheme="minorHAnsi"/>
                <w:b/>
                <w:bCs/>
                <w:color w:val="000000"/>
                <w:sz w:val="20"/>
                <w:szCs w:val="20"/>
              </w:rPr>
              <w:t>Exposição Total</w:t>
            </w:r>
          </w:p>
        </w:tc>
        <w:tc>
          <w:tcPr>
            <w:tcW w:w="1940" w:type="dxa"/>
            <w:tcBorders>
              <w:top w:val="nil"/>
              <w:left w:val="nil"/>
              <w:bottom w:val="single" w:sz="8" w:space="0" w:color="auto"/>
              <w:right w:val="nil"/>
            </w:tcBorders>
            <w:shd w:val="clear" w:color="000000" w:fill="D9D9D9"/>
            <w:noWrap/>
            <w:vAlign w:val="center"/>
            <w:hideMark/>
          </w:tcPr>
          <w:p w14:paraId="6BE1D111" w14:textId="77777777" w:rsidR="0012671B" w:rsidRPr="005432E1" w:rsidRDefault="0012671B" w:rsidP="0012671B">
            <w:pPr>
              <w:rPr>
                <w:rFonts w:asciiTheme="minorHAnsi" w:hAnsiTheme="minorHAnsi"/>
                <w:b/>
                <w:bCs/>
                <w:color w:val="000000"/>
                <w:sz w:val="20"/>
                <w:szCs w:val="20"/>
              </w:rPr>
            </w:pPr>
          </w:p>
        </w:tc>
        <w:tc>
          <w:tcPr>
            <w:tcW w:w="1940" w:type="dxa"/>
            <w:tcBorders>
              <w:top w:val="nil"/>
              <w:left w:val="nil"/>
              <w:bottom w:val="single" w:sz="8" w:space="0" w:color="auto"/>
              <w:right w:val="nil"/>
            </w:tcBorders>
            <w:shd w:val="clear" w:color="000000" w:fill="D9D9D9"/>
            <w:noWrap/>
            <w:vAlign w:val="center"/>
          </w:tcPr>
          <w:p w14:paraId="511E6A64" w14:textId="77777777" w:rsidR="0012671B" w:rsidRPr="005432E1" w:rsidRDefault="0012671B" w:rsidP="0012671B">
            <w:pPr>
              <w:rPr>
                <w:rFonts w:asciiTheme="minorHAnsi" w:hAnsiTheme="minorHAnsi"/>
                <w:b/>
                <w:bCs/>
                <w:color w:val="000000"/>
                <w:sz w:val="20"/>
                <w:szCs w:val="20"/>
              </w:rPr>
            </w:pPr>
          </w:p>
        </w:tc>
        <w:tc>
          <w:tcPr>
            <w:tcW w:w="2040" w:type="dxa"/>
            <w:tcBorders>
              <w:top w:val="nil"/>
              <w:left w:val="nil"/>
              <w:bottom w:val="single" w:sz="8" w:space="0" w:color="auto"/>
              <w:right w:val="nil"/>
            </w:tcBorders>
            <w:shd w:val="clear" w:color="000000" w:fill="D9D9D9"/>
            <w:noWrap/>
            <w:vAlign w:val="center"/>
            <w:hideMark/>
          </w:tcPr>
          <w:p w14:paraId="16E469DA"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R$ 122.720.725.093,25</w:t>
            </w:r>
          </w:p>
        </w:tc>
      </w:tr>
    </w:tbl>
    <w:p w14:paraId="2C3423D5" w14:textId="77777777" w:rsidR="0012671B" w:rsidRPr="005432E1" w:rsidRDefault="00E84A90" w:rsidP="0012671B">
      <w:pPr>
        <w:pStyle w:val="Legenda"/>
        <w:rPr>
          <w:rFonts w:asciiTheme="minorHAnsi" w:eastAsiaTheme="minorHAnsi" w:hAnsiTheme="minorHAnsi"/>
          <w:b/>
          <w:i w:val="0"/>
          <w:iCs w:val="0"/>
          <w:color w:val="auto"/>
          <w:sz w:val="20"/>
          <w:szCs w:val="20"/>
          <w:lang w:eastAsia="en-US"/>
        </w:rPr>
      </w:pPr>
      <w:r w:rsidRPr="005432E1">
        <w:rPr>
          <w:rFonts w:asciiTheme="minorHAnsi" w:eastAsiaTheme="minorHAnsi" w:hAnsiTheme="minorHAnsi"/>
          <w:color w:val="auto"/>
          <w:sz w:val="20"/>
          <w:szCs w:val="20"/>
          <w:lang w:eastAsia="en-US"/>
        </w:rPr>
        <w:tab/>
      </w:r>
      <w:r w:rsidR="0012671B" w:rsidRPr="005432E1">
        <w:rPr>
          <w:rFonts w:asciiTheme="minorHAnsi" w:eastAsiaTheme="minorHAnsi" w:hAnsiTheme="minorHAnsi"/>
          <w:color w:val="auto"/>
          <w:sz w:val="20"/>
          <w:szCs w:val="20"/>
          <w:lang w:eastAsia="en-US"/>
        </w:rPr>
        <w:t>Fonte: FNDE. Posição 31.12.2017</w:t>
      </w:r>
    </w:p>
    <w:p w14:paraId="674F7C4A" w14:textId="79F9AC16" w:rsidR="008B7085" w:rsidRDefault="0012671B" w:rsidP="0012671B">
      <w:pPr>
        <w:pStyle w:val="Corpodetexto"/>
        <w:ind w:firstLine="720"/>
        <w:rPr>
          <w:rFonts w:asciiTheme="minorHAnsi" w:hAnsiTheme="minorHAnsi"/>
        </w:rPr>
      </w:pPr>
      <w:r w:rsidRPr="005432E1">
        <w:rPr>
          <w:rFonts w:asciiTheme="minorHAnsi" w:hAnsiTheme="minorHAnsi"/>
        </w:rPr>
        <w:t>Em 31.12.17, os atrasos nos pagamentos, contados a partir de um dia, foram observados em 52,51% dos contratos (1.347.667). Juntos, se considerado o saldo devedor integral desses contratos, respondem por um valor total de R$ 36,2 bilhões, equivalente a 44,16% do total da carteira. O maior volume de operações em atraso se concentra na</w:t>
      </w:r>
      <w:r w:rsidR="001B0C82" w:rsidRPr="005432E1">
        <w:rPr>
          <w:rFonts w:asciiTheme="minorHAnsi" w:hAnsiTheme="minorHAnsi"/>
        </w:rPr>
        <w:t xml:space="preserve"> </w:t>
      </w:r>
      <w:r w:rsidR="00D87ABD" w:rsidRPr="005432E1">
        <w:rPr>
          <w:rFonts w:asciiTheme="minorHAnsi" w:hAnsiTheme="minorHAnsi"/>
        </w:rPr>
        <w:t>faixa de 15 a 30 dias (Tabela 67</w:t>
      </w:r>
      <w:r w:rsidRPr="005432E1">
        <w:rPr>
          <w:rFonts w:asciiTheme="minorHAnsi" w:hAnsiTheme="minorHAnsi"/>
        </w:rPr>
        <w:t>).</w:t>
      </w:r>
    </w:p>
    <w:p w14:paraId="7A4BB48F" w14:textId="77777777" w:rsidR="008B7085" w:rsidRDefault="008B7085">
      <w:pPr>
        <w:rPr>
          <w:rFonts w:asciiTheme="minorHAnsi" w:hAnsiTheme="minorHAnsi"/>
          <w:bCs/>
          <w:szCs w:val="20"/>
        </w:rPr>
      </w:pPr>
      <w:r>
        <w:rPr>
          <w:rFonts w:asciiTheme="minorHAnsi" w:hAnsiTheme="minorHAnsi"/>
        </w:rPr>
        <w:br w:type="page"/>
      </w:r>
    </w:p>
    <w:p w14:paraId="5055786C" w14:textId="77777777" w:rsidR="0012671B" w:rsidRPr="005432E1" w:rsidRDefault="0012671B" w:rsidP="0012671B">
      <w:pPr>
        <w:pStyle w:val="Corpodetexto"/>
        <w:ind w:firstLine="720"/>
        <w:rPr>
          <w:rFonts w:asciiTheme="minorHAnsi" w:hAnsiTheme="minorHAnsi"/>
        </w:rPr>
      </w:pPr>
      <w:bookmarkStart w:id="234" w:name="_GoBack"/>
      <w:bookmarkEnd w:id="234"/>
    </w:p>
    <w:p w14:paraId="6F6021E2" w14:textId="77777777" w:rsidR="0012671B" w:rsidRPr="005432E1" w:rsidRDefault="0012671B" w:rsidP="0012671B">
      <w:pPr>
        <w:pStyle w:val="Corpodetexto"/>
        <w:ind w:firstLine="720"/>
        <w:rPr>
          <w:rFonts w:asciiTheme="minorHAnsi" w:hAnsiTheme="minorHAnsi"/>
        </w:rPr>
      </w:pPr>
    </w:p>
    <w:p w14:paraId="5600D6BB" w14:textId="03E8720F" w:rsidR="0012671B" w:rsidRPr="005432E1" w:rsidRDefault="004429F4" w:rsidP="0012671B">
      <w:pPr>
        <w:pStyle w:val="Legenda"/>
        <w:keepNext/>
        <w:rPr>
          <w:rFonts w:asciiTheme="minorHAnsi" w:hAnsiTheme="minorHAnsi"/>
          <w:b/>
          <w:i w:val="0"/>
          <w:color w:val="auto"/>
          <w:sz w:val="24"/>
          <w:szCs w:val="24"/>
        </w:rPr>
      </w:pPr>
      <w:r w:rsidRPr="005432E1">
        <w:rPr>
          <w:rFonts w:asciiTheme="minorHAnsi" w:hAnsiTheme="minorHAnsi"/>
          <w:sz w:val="20"/>
        </w:rPr>
        <w:tab/>
      </w:r>
      <w:r w:rsidR="00E84A90" w:rsidRPr="005432E1">
        <w:rPr>
          <w:rFonts w:asciiTheme="minorHAnsi" w:hAnsiTheme="minorHAnsi"/>
          <w:sz w:val="20"/>
        </w:rPr>
        <w:tab/>
      </w:r>
      <w:r w:rsidR="00E84A90" w:rsidRPr="005432E1">
        <w:rPr>
          <w:rFonts w:asciiTheme="minorHAnsi" w:hAnsiTheme="minorHAnsi"/>
          <w:sz w:val="20"/>
        </w:rPr>
        <w:tab/>
      </w:r>
      <w:r w:rsidR="00E84A90" w:rsidRPr="005432E1">
        <w:rPr>
          <w:rFonts w:asciiTheme="minorHAnsi" w:hAnsiTheme="minorHAnsi"/>
          <w:b/>
          <w:i w:val="0"/>
          <w:color w:val="auto"/>
          <w:sz w:val="24"/>
          <w:szCs w:val="24"/>
        </w:rPr>
        <w:tab/>
      </w:r>
      <w:r w:rsidR="006B65D8" w:rsidRPr="005432E1">
        <w:rPr>
          <w:rFonts w:asciiTheme="minorHAnsi" w:hAnsiTheme="minorHAnsi"/>
          <w:b/>
          <w:i w:val="0"/>
          <w:color w:val="auto"/>
          <w:sz w:val="24"/>
          <w:szCs w:val="24"/>
        </w:rPr>
        <w:t>Tabela 6</w:t>
      </w:r>
      <w:r w:rsidR="00D87ABD" w:rsidRPr="005432E1">
        <w:rPr>
          <w:rFonts w:asciiTheme="minorHAnsi" w:hAnsiTheme="minorHAnsi"/>
          <w:b/>
          <w:i w:val="0"/>
          <w:color w:val="auto"/>
          <w:sz w:val="24"/>
          <w:szCs w:val="24"/>
        </w:rPr>
        <w:t>7</w:t>
      </w:r>
      <w:r w:rsidR="0012671B" w:rsidRPr="005432E1">
        <w:rPr>
          <w:rFonts w:asciiTheme="minorHAnsi" w:hAnsiTheme="minorHAnsi"/>
          <w:b/>
          <w:i w:val="0"/>
          <w:color w:val="auto"/>
          <w:sz w:val="24"/>
          <w:szCs w:val="24"/>
        </w:rPr>
        <w:t>: Adimplência e atrasos</w:t>
      </w:r>
    </w:p>
    <w:tbl>
      <w:tblPr>
        <w:tblW w:w="8026" w:type="dxa"/>
        <w:jc w:val="center"/>
        <w:tblCellMar>
          <w:left w:w="70" w:type="dxa"/>
          <w:right w:w="70" w:type="dxa"/>
        </w:tblCellMar>
        <w:tblLook w:val="04A0" w:firstRow="1" w:lastRow="0" w:firstColumn="1" w:lastColumn="0" w:noHBand="0" w:noVBand="1"/>
      </w:tblPr>
      <w:tblGrid>
        <w:gridCol w:w="2580"/>
        <w:gridCol w:w="1264"/>
        <w:gridCol w:w="2198"/>
        <w:gridCol w:w="1984"/>
      </w:tblGrid>
      <w:tr w:rsidR="0012671B" w:rsidRPr="005432E1" w14:paraId="23A8D572" w14:textId="77777777" w:rsidTr="0012671B">
        <w:trPr>
          <w:trHeight w:val="330"/>
          <w:jc w:val="center"/>
        </w:trPr>
        <w:tc>
          <w:tcPr>
            <w:tcW w:w="2580" w:type="dxa"/>
            <w:tcBorders>
              <w:top w:val="single" w:sz="12" w:space="0" w:color="auto"/>
              <w:left w:val="nil"/>
              <w:bottom w:val="single" w:sz="12" w:space="0" w:color="auto"/>
              <w:right w:val="nil"/>
            </w:tcBorders>
            <w:shd w:val="clear" w:color="auto" w:fill="auto"/>
            <w:noWrap/>
            <w:vAlign w:val="bottom"/>
            <w:hideMark/>
          </w:tcPr>
          <w:p w14:paraId="793AB90B" w14:textId="77777777" w:rsidR="0012671B" w:rsidRPr="005432E1" w:rsidRDefault="0012671B" w:rsidP="0012671B">
            <w:pPr>
              <w:rPr>
                <w:rFonts w:asciiTheme="minorHAnsi" w:hAnsiTheme="minorHAnsi"/>
                <w:b/>
                <w:bCs/>
                <w:color w:val="000000"/>
                <w:sz w:val="20"/>
              </w:rPr>
            </w:pPr>
            <w:r w:rsidRPr="005432E1">
              <w:rPr>
                <w:rFonts w:asciiTheme="minorHAnsi" w:hAnsiTheme="minorHAnsi"/>
                <w:b/>
                <w:bCs/>
                <w:color w:val="000000"/>
                <w:sz w:val="20"/>
              </w:rPr>
              <w:t>Situação do Contrato</w:t>
            </w:r>
          </w:p>
        </w:tc>
        <w:tc>
          <w:tcPr>
            <w:tcW w:w="1264" w:type="dxa"/>
            <w:tcBorders>
              <w:top w:val="single" w:sz="12" w:space="0" w:color="auto"/>
              <w:left w:val="nil"/>
              <w:bottom w:val="single" w:sz="12" w:space="0" w:color="auto"/>
              <w:right w:val="nil"/>
            </w:tcBorders>
            <w:shd w:val="clear" w:color="auto" w:fill="auto"/>
            <w:noWrap/>
            <w:vAlign w:val="bottom"/>
            <w:hideMark/>
          </w:tcPr>
          <w:p w14:paraId="5CD9D787" w14:textId="77777777" w:rsidR="0012671B" w:rsidRPr="005432E1" w:rsidRDefault="0012671B" w:rsidP="0012671B">
            <w:pPr>
              <w:jc w:val="right"/>
              <w:rPr>
                <w:rFonts w:asciiTheme="minorHAnsi" w:hAnsiTheme="minorHAnsi"/>
                <w:b/>
                <w:bCs/>
                <w:color w:val="000000"/>
                <w:sz w:val="20"/>
              </w:rPr>
            </w:pPr>
            <w:r w:rsidRPr="005432E1">
              <w:rPr>
                <w:rFonts w:asciiTheme="minorHAnsi" w:hAnsiTheme="minorHAnsi"/>
                <w:b/>
                <w:bCs/>
                <w:color w:val="000000"/>
                <w:sz w:val="20"/>
              </w:rPr>
              <w:t>Contratos</w:t>
            </w:r>
          </w:p>
        </w:tc>
        <w:tc>
          <w:tcPr>
            <w:tcW w:w="2198" w:type="dxa"/>
            <w:tcBorders>
              <w:top w:val="single" w:sz="12" w:space="0" w:color="auto"/>
              <w:left w:val="nil"/>
              <w:bottom w:val="single" w:sz="12" w:space="0" w:color="auto"/>
              <w:right w:val="nil"/>
            </w:tcBorders>
            <w:shd w:val="clear" w:color="auto" w:fill="auto"/>
            <w:noWrap/>
            <w:vAlign w:val="bottom"/>
            <w:hideMark/>
          </w:tcPr>
          <w:p w14:paraId="2C2E2BB0" w14:textId="77777777" w:rsidR="0012671B" w:rsidRPr="005432E1" w:rsidRDefault="0012671B" w:rsidP="0012671B">
            <w:pPr>
              <w:jc w:val="right"/>
              <w:rPr>
                <w:rFonts w:asciiTheme="minorHAnsi" w:hAnsiTheme="minorHAnsi"/>
                <w:b/>
                <w:bCs/>
                <w:color w:val="000000"/>
                <w:sz w:val="20"/>
              </w:rPr>
            </w:pPr>
            <w:r w:rsidRPr="005432E1">
              <w:rPr>
                <w:rFonts w:asciiTheme="minorHAnsi" w:hAnsiTheme="minorHAnsi"/>
                <w:b/>
                <w:bCs/>
                <w:color w:val="000000"/>
                <w:sz w:val="20"/>
              </w:rPr>
              <w:t>Valor da Dívida (R$)</w:t>
            </w:r>
          </w:p>
        </w:tc>
        <w:tc>
          <w:tcPr>
            <w:tcW w:w="1984" w:type="dxa"/>
            <w:tcBorders>
              <w:top w:val="single" w:sz="12" w:space="0" w:color="auto"/>
              <w:left w:val="nil"/>
              <w:bottom w:val="single" w:sz="12" w:space="0" w:color="auto"/>
              <w:right w:val="nil"/>
            </w:tcBorders>
            <w:shd w:val="clear" w:color="auto" w:fill="auto"/>
            <w:noWrap/>
            <w:vAlign w:val="bottom"/>
            <w:hideMark/>
          </w:tcPr>
          <w:p w14:paraId="024ECA05" w14:textId="77777777" w:rsidR="0012671B" w:rsidRPr="005432E1" w:rsidRDefault="0012671B" w:rsidP="0012671B">
            <w:pPr>
              <w:jc w:val="right"/>
              <w:rPr>
                <w:rFonts w:asciiTheme="minorHAnsi" w:hAnsiTheme="minorHAnsi"/>
                <w:b/>
                <w:bCs/>
                <w:color w:val="000000"/>
                <w:sz w:val="20"/>
              </w:rPr>
            </w:pPr>
            <w:r w:rsidRPr="005432E1">
              <w:rPr>
                <w:rFonts w:asciiTheme="minorHAnsi" w:hAnsiTheme="minorHAnsi"/>
                <w:b/>
                <w:color w:val="000000"/>
                <w:sz w:val="20"/>
              </w:rPr>
              <w:t>Atraso Médio (dias)</w:t>
            </w:r>
          </w:p>
        </w:tc>
      </w:tr>
      <w:tr w:rsidR="0012671B" w:rsidRPr="005432E1" w14:paraId="669A135E" w14:textId="77777777" w:rsidTr="0012671B">
        <w:trPr>
          <w:trHeight w:val="315"/>
          <w:jc w:val="center"/>
        </w:trPr>
        <w:tc>
          <w:tcPr>
            <w:tcW w:w="2580" w:type="dxa"/>
            <w:tcBorders>
              <w:top w:val="nil"/>
              <w:left w:val="nil"/>
              <w:bottom w:val="single" w:sz="4" w:space="0" w:color="auto"/>
              <w:right w:val="nil"/>
            </w:tcBorders>
            <w:shd w:val="clear" w:color="auto" w:fill="auto"/>
            <w:noWrap/>
            <w:vAlign w:val="bottom"/>
            <w:hideMark/>
          </w:tcPr>
          <w:p w14:paraId="1F112FAA"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Adimplente</w:t>
            </w:r>
          </w:p>
        </w:tc>
        <w:tc>
          <w:tcPr>
            <w:tcW w:w="1264" w:type="dxa"/>
            <w:tcBorders>
              <w:top w:val="nil"/>
              <w:left w:val="nil"/>
              <w:bottom w:val="single" w:sz="4" w:space="0" w:color="auto"/>
              <w:right w:val="nil"/>
            </w:tcBorders>
            <w:shd w:val="clear" w:color="auto" w:fill="auto"/>
            <w:noWrap/>
            <w:vAlign w:val="bottom"/>
            <w:hideMark/>
          </w:tcPr>
          <w:p w14:paraId="715E4E8B"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1.219.011 </w:t>
            </w:r>
          </w:p>
        </w:tc>
        <w:tc>
          <w:tcPr>
            <w:tcW w:w="2198" w:type="dxa"/>
            <w:tcBorders>
              <w:top w:val="nil"/>
              <w:left w:val="nil"/>
              <w:bottom w:val="single" w:sz="4" w:space="0" w:color="auto"/>
              <w:right w:val="nil"/>
            </w:tcBorders>
            <w:shd w:val="clear" w:color="auto" w:fill="auto"/>
            <w:noWrap/>
            <w:vAlign w:val="bottom"/>
            <w:hideMark/>
          </w:tcPr>
          <w:p w14:paraId="49F816C4"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45.887.336.396,63 </w:t>
            </w:r>
          </w:p>
        </w:tc>
        <w:tc>
          <w:tcPr>
            <w:tcW w:w="1984" w:type="dxa"/>
            <w:tcBorders>
              <w:top w:val="nil"/>
              <w:left w:val="nil"/>
              <w:bottom w:val="single" w:sz="4" w:space="0" w:color="auto"/>
              <w:right w:val="nil"/>
            </w:tcBorders>
            <w:shd w:val="clear" w:color="auto" w:fill="auto"/>
            <w:noWrap/>
            <w:vAlign w:val="bottom"/>
            <w:hideMark/>
          </w:tcPr>
          <w:p w14:paraId="4D8E492D"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0,0</w:t>
            </w:r>
          </w:p>
        </w:tc>
      </w:tr>
      <w:tr w:rsidR="0012671B" w:rsidRPr="005432E1" w14:paraId="01C6DD93"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3FE5FD0D"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1 a 14 dias de Atraso</w:t>
            </w:r>
          </w:p>
        </w:tc>
        <w:tc>
          <w:tcPr>
            <w:tcW w:w="1264" w:type="dxa"/>
            <w:tcBorders>
              <w:top w:val="nil"/>
              <w:left w:val="nil"/>
              <w:bottom w:val="single" w:sz="4" w:space="0" w:color="auto"/>
              <w:right w:val="nil"/>
            </w:tcBorders>
            <w:shd w:val="clear" w:color="auto" w:fill="auto"/>
            <w:noWrap/>
            <w:vAlign w:val="bottom"/>
            <w:hideMark/>
          </w:tcPr>
          <w:p w14:paraId="7529B7E2"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92.451 </w:t>
            </w:r>
          </w:p>
        </w:tc>
        <w:tc>
          <w:tcPr>
            <w:tcW w:w="2198" w:type="dxa"/>
            <w:tcBorders>
              <w:top w:val="nil"/>
              <w:left w:val="nil"/>
              <w:bottom w:val="single" w:sz="4" w:space="0" w:color="auto"/>
              <w:right w:val="nil"/>
            </w:tcBorders>
            <w:shd w:val="clear" w:color="auto" w:fill="auto"/>
            <w:noWrap/>
            <w:vAlign w:val="bottom"/>
            <w:hideMark/>
          </w:tcPr>
          <w:p w14:paraId="5C8042F9"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3.442.202.065,11 </w:t>
            </w:r>
          </w:p>
        </w:tc>
        <w:tc>
          <w:tcPr>
            <w:tcW w:w="1984" w:type="dxa"/>
            <w:tcBorders>
              <w:top w:val="nil"/>
              <w:left w:val="nil"/>
              <w:bottom w:val="single" w:sz="4" w:space="0" w:color="auto"/>
              <w:right w:val="nil"/>
            </w:tcBorders>
            <w:shd w:val="clear" w:color="auto" w:fill="auto"/>
            <w:noWrap/>
            <w:vAlign w:val="bottom"/>
            <w:hideMark/>
          </w:tcPr>
          <w:p w14:paraId="3F963D9F"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8,4</w:t>
            </w:r>
          </w:p>
        </w:tc>
      </w:tr>
      <w:tr w:rsidR="0012671B" w:rsidRPr="005432E1" w14:paraId="0A4D0450"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452EF797"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15 a 30 dias de Atraso</w:t>
            </w:r>
          </w:p>
        </w:tc>
        <w:tc>
          <w:tcPr>
            <w:tcW w:w="1264" w:type="dxa"/>
            <w:tcBorders>
              <w:top w:val="nil"/>
              <w:left w:val="nil"/>
              <w:bottom w:val="single" w:sz="4" w:space="0" w:color="auto"/>
              <w:right w:val="nil"/>
            </w:tcBorders>
            <w:shd w:val="clear" w:color="auto" w:fill="auto"/>
            <w:noWrap/>
            <w:vAlign w:val="bottom"/>
            <w:hideMark/>
          </w:tcPr>
          <w:p w14:paraId="35DD359F"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521.435 </w:t>
            </w:r>
          </w:p>
        </w:tc>
        <w:tc>
          <w:tcPr>
            <w:tcW w:w="2198" w:type="dxa"/>
            <w:tcBorders>
              <w:top w:val="nil"/>
              <w:left w:val="nil"/>
              <w:bottom w:val="single" w:sz="4" w:space="0" w:color="auto"/>
              <w:right w:val="nil"/>
            </w:tcBorders>
            <w:shd w:val="clear" w:color="auto" w:fill="auto"/>
            <w:noWrap/>
            <w:vAlign w:val="bottom"/>
            <w:hideMark/>
          </w:tcPr>
          <w:p w14:paraId="025EF679"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17.788.075.565,73 </w:t>
            </w:r>
          </w:p>
        </w:tc>
        <w:tc>
          <w:tcPr>
            <w:tcW w:w="1984" w:type="dxa"/>
            <w:tcBorders>
              <w:top w:val="nil"/>
              <w:left w:val="nil"/>
              <w:bottom w:val="single" w:sz="4" w:space="0" w:color="auto"/>
              <w:right w:val="nil"/>
            </w:tcBorders>
            <w:shd w:val="clear" w:color="auto" w:fill="auto"/>
            <w:noWrap/>
            <w:vAlign w:val="bottom"/>
            <w:hideMark/>
          </w:tcPr>
          <w:p w14:paraId="10222E0B"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22,1</w:t>
            </w:r>
          </w:p>
        </w:tc>
      </w:tr>
      <w:tr w:rsidR="0012671B" w:rsidRPr="005432E1" w14:paraId="0AAB7953"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47AB30E7"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31 a 60 dias de Atraso</w:t>
            </w:r>
          </w:p>
        </w:tc>
        <w:tc>
          <w:tcPr>
            <w:tcW w:w="1264" w:type="dxa"/>
            <w:tcBorders>
              <w:top w:val="nil"/>
              <w:left w:val="nil"/>
              <w:bottom w:val="single" w:sz="4" w:space="0" w:color="auto"/>
              <w:right w:val="nil"/>
            </w:tcBorders>
            <w:shd w:val="clear" w:color="auto" w:fill="auto"/>
            <w:noWrap/>
            <w:vAlign w:val="bottom"/>
            <w:hideMark/>
          </w:tcPr>
          <w:p w14:paraId="0D7FDE78"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13.453 </w:t>
            </w:r>
          </w:p>
        </w:tc>
        <w:tc>
          <w:tcPr>
            <w:tcW w:w="2198" w:type="dxa"/>
            <w:tcBorders>
              <w:top w:val="nil"/>
              <w:left w:val="nil"/>
              <w:bottom w:val="single" w:sz="4" w:space="0" w:color="auto"/>
              <w:right w:val="nil"/>
            </w:tcBorders>
            <w:shd w:val="clear" w:color="auto" w:fill="auto"/>
            <w:noWrap/>
            <w:vAlign w:val="bottom"/>
            <w:hideMark/>
          </w:tcPr>
          <w:p w14:paraId="7D865F2E"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281.460.663,79 </w:t>
            </w:r>
          </w:p>
        </w:tc>
        <w:tc>
          <w:tcPr>
            <w:tcW w:w="1984" w:type="dxa"/>
            <w:tcBorders>
              <w:top w:val="nil"/>
              <w:left w:val="nil"/>
              <w:bottom w:val="single" w:sz="4" w:space="0" w:color="auto"/>
              <w:right w:val="nil"/>
            </w:tcBorders>
            <w:shd w:val="clear" w:color="auto" w:fill="auto"/>
            <w:noWrap/>
            <w:vAlign w:val="bottom"/>
            <w:hideMark/>
          </w:tcPr>
          <w:p w14:paraId="26FE73C1"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45,2</w:t>
            </w:r>
          </w:p>
        </w:tc>
      </w:tr>
      <w:tr w:rsidR="0012671B" w:rsidRPr="005432E1" w14:paraId="5129732B"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6F5A2031"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61 a 90 dias de Atraso</w:t>
            </w:r>
          </w:p>
        </w:tc>
        <w:tc>
          <w:tcPr>
            <w:tcW w:w="1264" w:type="dxa"/>
            <w:tcBorders>
              <w:top w:val="nil"/>
              <w:left w:val="nil"/>
              <w:bottom w:val="single" w:sz="4" w:space="0" w:color="auto"/>
              <w:right w:val="nil"/>
            </w:tcBorders>
            <w:shd w:val="clear" w:color="auto" w:fill="auto"/>
            <w:noWrap/>
            <w:vAlign w:val="bottom"/>
            <w:hideMark/>
          </w:tcPr>
          <w:p w14:paraId="6F91FD18"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8.501 </w:t>
            </w:r>
          </w:p>
        </w:tc>
        <w:tc>
          <w:tcPr>
            <w:tcW w:w="2198" w:type="dxa"/>
            <w:tcBorders>
              <w:top w:val="nil"/>
              <w:left w:val="nil"/>
              <w:bottom w:val="single" w:sz="4" w:space="0" w:color="auto"/>
              <w:right w:val="nil"/>
            </w:tcBorders>
            <w:shd w:val="clear" w:color="auto" w:fill="auto"/>
            <w:noWrap/>
            <w:vAlign w:val="bottom"/>
            <w:hideMark/>
          </w:tcPr>
          <w:p w14:paraId="4EA78751"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174.498.530,75 </w:t>
            </w:r>
          </w:p>
        </w:tc>
        <w:tc>
          <w:tcPr>
            <w:tcW w:w="1984" w:type="dxa"/>
            <w:tcBorders>
              <w:top w:val="nil"/>
              <w:left w:val="nil"/>
              <w:bottom w:val="single" w:sz="4" w:space="0" w:color="auto"/>
              <w:right w:val="nil"/>
            </w:tcBorders>
            <w:shd w:val="clear" w:color="auto" w:fill="auto"/>
            <w:noWrap/>
            <w:vAlign w:val="bottom"/>
            <w:hideMark/>
          </w:tcPr>
          <w:p w14:paraId="0BFF032C"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76,8</w:t>
            </w:r>
          </w:p>
        </w:tc>
      </w:tr>
      <w:tr w:rsidR="0012671B" w:rsidRPr="005432E1" w14:paraId="5845EC41"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3E341DB3"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91 a 180 dias de Atraso</w:t>
            </w:r>
          </w:p>
        </w:tc>
        <w:tc>
          <w:tcPr>
            <w:tcW w:w="1264" w:type="dxa"/>
            <w:tcBorders>
              <w:top w:val="nil"/>
              <w:left w:val="nil"/>
              <w:bottom w:val="single" w:sz="4" w:space="0" w:color="auto"/>
              <w:right w:val="nil"/>
            </w:tcBorders>
            <w:shd w:val="clear" w:color="auto" w:fill="auto"/>
            <w:noWrap/>
            <w:vAlign w:val="bottom"/>
            <w:hideMark/>
          </w:tcPr>
          <w:p w14:paraId="70643723"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163.090 </w:t>
            </w:r>
          </w:p>
        </w:tc>
        <w:tc>
          <w:tcPr>
            <w:tcW w:w="2198" w:type="dxa"/>
            <w:tcBorders>
              <w:top w:val="nil"/>
              <w:left w:val="nil"/>
              <w:bottom w:val="single" w:sz="4" w:space="0" w:color="auto"/>
              <w:right w:val="nil"/>
            </w:tcBorders>
            <w:shd w:val="clear" w:color="auto" w:fill="auto"/>
            <w:noWrap/>
            <w:vAlign w:val="bottom"/>
            <w:hideMark/>
          </w:tcPr>
          <w:p w14:paraId="4FA4351F"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4.936.481.317,39 </w:t>
            </w:r>
          </w:p>
        </w:tc>
        <w:tc>
          <w:tcPr>
            <w:tcW w:w="1984" w:type="dxa"/>
            <w:tcBorders>
              <w:top w:val="nil"/>
              <w:left w:val="nil"/>
              <w:bottom w:val="single" w:sz="4" w:space="0" w:color="auto"/>
              <w:right w:val="nil"/>
            </w:tcBorders>
            <w:shd w:val="clear" w:color="auto" w:fill="auto"/>
            <w:noWrap/>
            <w:vAlign w:val="bottom"/>
            <w:hideMark/>
          </w:tcPr>
          <w:p w14:paraId="6996C664"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135,8</w:t>
            </w:r>
          </w:p>
        </w:tc>
      </w:tr>
      <w:tr w:rsidR="0012671B" w:rsidRPr="005432E1" w14:paraId="5FF1F7C2" w14:textId="77777777" w:rsidTr="0012671B">
        <w:trPr>
          <w:trHeight w:val="300"/>
          <w:jc w:val="center"/>
        </w:trPr>
        <w:tc>
          <w:tcPr>
            <w:tcW w:w="2580" w:type="dxa"/>
            <w:tcBorders>
              <w:top w:val="nil"/>
              <w:left w:val="nil"/>
              <w:bottom w:val="single" w:sz="4" w:space="0" w:color="auto"/>
              <w:right w:val="nil"/>
            </w:tcBorders>
            <w:shd w:val="clear" w:color="auto" w:fill="auto"/>
            <w:noWrap/>
            <w:vAlign w:val="bottom"/>
            <w:hideMark/>
          </w:tcPr>
          <w:p w14:paraId="0D85521B"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181 a 360 dias de Atraso</w:t>
            </w:r>
          </w:p>
        </w:tc>
        <w:tc>
          <w:tcPr>
            <w:tcW w:w="1264" w:type="dxa"/>
            <w:tcBorders>
              <w:top w:val="nil"/>
              <w:left w:val="nil"/>
              <w:bottom w:val="single" w:sz="4" w:space="0" w:color="auto"/>
              <w:right w:val="nil"/>
            </w:tcBorders>
            <w:shd w:val="clear" w:color="auto" w:fill="auto"/>
            <w:noWrap/>
            <w:vAlign w:val="bottom"/>
            <w:hideMark/>
          </w:tcPr>
          <w:p w14:paraId="4EAB9D24"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142.333 </w:t>
            </w:r>
          </w:p>
        </w:tc>
        <w:tc>
          <w:tcPr>
            <w:tcW w:w="2198" w:type="dxa"/>
            <w:tcBorders>
              <w:top w:val="nil"/>
              <w:left w:val="nil"/>
              <w:bottom w:val="single" w:sz="4" w:space="0" w:color="auto"/>
              <w:right w:val="nil"/>
            </w:tcBorders>
            <w:shd w:val="clear" w:color="auto" w:fill="auto"/>
            <w:noWrap/>
            <w:vAlign w:val="bottom"/>
            <w:hideMark/>
          </w:tcPr>
          <w:p w14:paraId="28B844EC"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3.541.092.739,91 </w:t>
            </w:r>
          </w:p>
        </w:tc>
        <w:tc>
          <w:tcPr>
            <w:tcW w:w="1984" w:type="dxa"/>
            <w:tcBorders>
              <w:top w:val="nil"/>
              <w:left w:val="nil"/>
              <w:bottom w:val="single" w:sz="4" w:space="0" w:color="auto"/>
              <w:right w:val="nil"/>
            </w:tcBorders>
            <w:shd w:val="clear" w:color="auto" w:fill="auto"/>
            <w:noWrap/>
            <w:vAlign w:val="bottom"/>
            <w:hideMark/>
          </w:tcPr>
          <w:p w14:paraId="4038D937"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273,0</w:t>
            </w:r>
          </w:p>
        </w:tc>
      </w:tr>
      <w:tr w:rsidR="0012671B" w:rsidRPr="005432E1" w14:paraId="6D52537F" w14:textId="77777777" w:rsidTr="0012671B">
        <w:trPr>
          <w:trHeight w:val="315"/>
          <w:jc w:val="center"/>
        </w:trPr>
        <w:tc>
          <w:tcPr>
            <w:tcW w:w="2580" w:type="dxa"/>
            <w:tcBorders>
              <w:top w:val="nil"/>
              <w:left w:val="nil"/>
              <w:bottom w:val="nil"/>
              <w:right w:val="nil"/>
            </w:tcBorders>
            <w:shd w:val="clear" w:color="auto" w:fill="auto"/>
            <w:noWrap/>
            <w:vAlign w:val="bottom"/>
            <w:hideMark/>
          </w:tcPr>
          <w:p w14:paraId="60BAB314" w14:textId="77777777" w:rsidR="0012671B" w:rsidRPr="005432E1" w:rsidRDefault="0012671B" w:rsidP="0012671B">
            <w:pPr>
              <w:rPr>
                <w:rFonts w:asciiTheme="minorHAnsi" w:hAnsiTheme="minorHAnsi"/>
                <w:color w:val="000000"/>
                <w:sz w:val="20"/>
              </w:rPr>
            </w:pPr>
            <w:r w:rsidRPr="005432E1">
              <w:rPr>
                <w:rFonts w:asciiTheme="minorHAnsi" w:hAnsiTheme="minorHAnsi"/>
                <w:color w:val="000000"/>
                <w:sz w:val="20"/>
              </w:rPr>
              <w:t>&gt; 360 dias de Atraso</w:t>
            </w:r>
          </w:p>
        </w:tc>
        <w:tc>
          <w:tcPr>
            <w:tcW w:w="1264" w:type="dxa"/>
            <w:tcBorders>
              <w:top w:val="nil"/>
              <w:left w:val="nil"/>
              <w:bottom w:val="nil"/>
              <w:right w:val="nil"/>
            </w:tcBorders>
            <w:shd w:val="clear" w:color="auto" w:fill="auto"/>
            <w:noWrap/>
            <w:vAlign w:val="bottom"/>
            <w:hideMark/>
          </w:tcPr>
          <w:p w14:paraId="7574EBCA"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406.404 </w:t>
            </w:r>
          </w:p>
        </w:tc>
        <w:tc>
          <w:tcPr>
            <w:tcW w:w="2198" w:type="dxa"/>
            <w:tcBorders>
              <w:top w:val="nil"/>
              <w:left w:val="nil"/>
              <w:bottom w:val="nil"/>
              <w:right w:val="nil"/>
            </w:tcBorders>
            <w:shd w:val="clear" w:color="auto" w:fill="auto"/>
            <w:noWrap/>
            <w:vAlign w:val="bottom"/>
            <w:hideMark/>
          </w:tcPr>
          <w:p w14:paraId="2186A94F"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6.130.978.431,58 </w:t>
            </w:r>
          </w:p>
        </w:tc>
        <w:tc>
          <w:tcPr>
            <w:tcW w:w="1984" w:type="dxa"/>
            <w:tcBorders>
              <w:top w:val="nil"/>
              <w:left w:val="nil"/>
              <w:bottom w:val="nil"/>
              <w:right w:val="nil"/>
            </w:tcBorders>
            <w:shd w:val="clear" w:color="auto" w:fill="auto"/>
            <w:noWrap/>
            <w:vAlign w:val="bottom"/>
            <w:hideMark/>
          </w:tcPr>
          <w:p w14:paraId="4619F82B"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971,7</w:t>
            </w:r>
          </w:p>
        </w:tc>
      </w:tr>
      <w:tr w:rsidR="0012671B" w:rsidRPr="005432E1" w14:paraId="6A175660" w14:textId="77777777" w:rsidTr="0012671B">
        <w:trPr>
          <w:trHeight w:val="330"/>
          <w:jc w:val="center"/>
        </w:trPr>
        <w:tc>
          <w:tcPr>
            <w:tcW w:w="2580" w:type="dxa"/>
            <w:tcBorders>
              <w:top w:val="single" w:sz="12" w:space="0" w:color="auto"/>
              <w:left w:val="nil"/>
              <w:bottom w:val="single" w:sz="12" w:space="0" w:color="auto"/>
              <w:right w:val="nil"/>
            </w:tcBorders>
            <w:shd w:val="clear" w:color="auto" w:fill="auto"/>
            <w:noWrap/>
            <w:vAlign w:val="bottom"/>
            <w:hideMark/>
          </w:tcPr>
          <w:p w14:paraId="0A5A3317" w14:textId="77777777" w:rsidR="0012671B" w:rsidRPr="005432E1" w:rsidRDefault="0012671B" w:rsidP="0012671B">
            <w:pPr>
              <w:rPr>
                <w:rFonts w:asciiTheme="minorHAnsi" w:hAnsiTheme="minorHAnsi"/>
                <w:b/>
                <w:bCs/>
                <w:color w:val="000000"/>
                <w:sz w:val="20"/>
              </w:rPr>
            </w:pPr>
            <w:r w:rsidRPr="005432E1">
              <w:rPr>
                <w:rFonts w:asciiTheme="minorHAnsi" w:hAnsiTheme="minorHAnsi"/>
                <w:b/>
                <w:bCs/>
                <w:color w:val="000000"/>
                <w:sz w:val="20"/>
              </w:rPr>
              <w:t>Total</w:t>
            </w:r>
          </w:p>
        </w:tc>
        <w:tc>
          <w:tcPr>
            <w:tcW w:w="1264" w:type="dxa"/>
            <w:tcBorders>
              <w:top w:val="single" w:sz="12" w:space="0" w:color="auto"/>
              <w:left w:val="nil"/>
              <w:bottom w:val="single" w:sz="12" w:space="0" w:color="auto"/>
              <w:right w:val="nil"/>
            </w:tcBorders>
            <w:shd w:val="clear" w:color="auto" w:fill="auto"/>
            <w:noWrap/>
            <w:vAlign w:val="bottom"/>
            <w:hideMark/>
          </w:tcPr>
          <w:p w14:paraId="4166A7E3" w14:textId="77777777" w:rsidR="0012671B" w:rsidRPr="005432E1" w:rsidRDefault="0012671B" w:rsidP="0012671B">
            <w:pPr>
              <w:jc w:val="right"/>
              <w:rPr>
                <w:rFonts w:asciiTheme="minorHAnsi" w:hAnsiTheme="minorHAnsi"/>
                <w:b/>
                <w:bCs/>
                <w:color w:val="000000"/>
                <w:sz w:val="20"/>
              </w:rPr>
            </w:pPr>
            <w:r w:rsidRPr="005432E1">
              <w:rPr>
                <w:rFonts w:asciiTheme="minorHAnsi" w:hAnsiTheme="minorHAnsi"/>
                <w:b/>
                <w:bCs/>
                <w:color w:val="000000"/>
                <w:sz w:val="20"/>
              </w:rPr>
              <w:t xml:space="preserve">   2.566.678 </w:t>
            </w:r>
          </w:p>
        </w:tc>
        <w:tc>
          <w:tcPr>
            <w:tcW w:w="2198" w:type="dxa"/>
            <w:tcBorders>
              <w:top w:val="single" w:sz="12" w:space="0" w:color="auto"/>
              <w:left w:val="nil"/>
              <w:bottom w:val="single" w:sz="12" w:space="0" w:color="auto"/>
              <w:right w:val="nil"/>
            </w:tcBorders>
            <w:shd w:val="clear" w:color="auto" w:fill="auto"/>
            <w:noWrap/>
            <w:vAlign w:val="bottom"/>
            <w:hideMark/>
          </w:tcPr>
          <w:p w14:paraId="1A438197" w14:textId="77777777" w:rsidR="0012671B" w:rsidRPr="005432E1" w:rsidRDefault="0012671B" w:rsidP="0012671B">
            <w:pPr>
              <w:jc w:val="right"/>
              <w:rPr>
                <w:rFonts w:asciiTheme="minorHAnsi" w:hAnsiTheme="minorHAnsi"/>
                <w:b/>
                <w:bCs/>
                <w:color w:val="000000"/>
                <w:sz w:val="20"/>
              </w:rPr>
            </w:pPr>
            <w:r w:rsidRPr="005432E1">
              <w:rPr>
                <w:rFonts w:asciiTheme="minorHAnsi" w:hAnsiTheme="minorHAnsi"/>
                <w:b/>
                <w:bCs/>
                <w:color w:val="000000"/>
                <w:sz w:val="20"/>
              </w:rPr>
              <w:t xml:space="preserve">    82.182.125.710,89</w:t>
            </w:r>
          </w:p>
        </w:tc>
        <w:tc>
          <w:tcPr>
            <w:tcW w:w="1984" w:type="dxa"/>
            <w:tcBorders>
              <w:top w:val="single" w:sz="12" w:space="0" w:color="auto"/>
              <w:left w:val="nil"/>
              <w:bottom w:val="single" w:sz="12" w:space="0" w:color="auto"/>
              <w:right w:val="nil"/>
            </w:tcBorders>
            <w:shd w:val="clear" w:color="auto" w:fill="auto"/>
            <w:noWrap/>
            <w:vAlign w:val="bottom"/>
            <w:hideMark/>
          </w:tcPr>
          <w:p w14:paraId="2ACF3454" w14:textId="77777777" w:rsidR="0012671B" w:rsidRPr="005432E1" w:rsidRDefault="0012671B" w:rsidP="0012671B">
            <w:pPr>
              <w:jc w:val="center"/>
              <w:rPr>
                <w:rFonts w:asciiTheme="minorHAnsi" w:hAnsiTheme="minorHAnsi"/>
                <w:b/>
                <w:bCs/>
                <w:color w:val="000000"/>
                <w:sz w:val="20"/>
              </w:rPr>
            </w:pPr>
          </w:p>
        </w:tc>
      </w:tr>
    </w:tbl>
    <w:p w14:paraId="1C59953E" w14:textId="77777777" w:rsidR="0012671B" w:rsidRPr="005432E1" w:rsidRDefault="00882C00" w:rsidP="0012671B">
      <w:pPr>
        <w:pStyle w:val="Legenda"/>
        <w:rPr>
          <w:rFonts w:asciiTheme="minorHAnsi" w:eastAsiaTheme="minorHAnsi" w:hAnsiTheme="minorHAnsi"/>
          <w:b/>
          <w:iCs w:val="0"/>
          <w:color w:val="auto"/>
          <w:sz w:val="20"/>
          <w:szCs w:val="20"/>
          <w:lang w:eastAsia="en-US"/>
        </w:rPr>
      </w:pPr>
      <w:r w:rsidRPr="005432E1">
        <w:rPr>
          <w:rFonts w:asciiTheme="minorHAnsi" w:eastAsiaTheme="minorHAnsi" w:hAnsiTheme="minorHAnsi"/>
          <w:sz w:val="20"/>
          <w:szCs w:val="20"/>
          <w:lang w:eastAsia="en-US"/>
        </w:rPr>
        <w:tab/>
      </w:r>
      <w:r w:rsidR="00E84A90" w:rsidRPr="005432E1">
        <w:rPr>
          <w:rFonts w:asciiTheme="minorHAnsi" w:eastAsiaTheme="minorHAnsi" w:hAnsiTheme="minorHAnsi"/>
          <w:sz w:val="20"/>
          <w:szCs w:val="20"/>
          <w:lang w:eastAsia="en-US"/>
        </w:rPr>
        <w:tab/>
      </w:r>
      <w:r w:rsidR="0012671B" w:rsidRPr="005432E1">
        <w:rPr>
          <w:rFonts w:asciiTheme="minorHAnsi" w:eastAsiaTheme="minorHAnsi" w:hAnsiTheme="minorHAnsi"/>
          <w:color w:val="auto"/>
          <w:sz w:val="20"/>
          <w:szCs w:val="20"/>
          <w:lang w:eastAsia="en-US"/>
        </w:rPr>
        <w:t>Fonte: FNDE. Posição 31.12.2017</w:t>
      </w:r>
      <w:r w:rsidR="00E84A90" w:rsidRPr="005432E1">
        <w:rPr>
          <w:rFonts w:asciiTheme="minorHAnsi" w:eastAsiaTheme="minorHAnsi" w:hAnsiTheme="minorHAnsi"/>
          <w:color w:val="auto"/>
          <w:sz w:val="20"/>
          <w:szCs w:val="20"/>
          <w:lang w:eastAsia="en-US"/>
        </w:rPr>
        <w:t xml:space="preserve">  </w:t>
      </w:r>
      <w:r w:rsidR="0012671B" w:rsidRPr="005432E1">
        <w:rPr>
          <w:rFonts w:asciiTheme="minorHAnsi" w:eastAsiaTheme="minorHAnsi" w:hAnsiTheme="minorHAnsi"/>
          <w:color w:val="auto"/>
          <w:sz w:val="20"/>
          <w:szCs w:val="20"/>
          <w:lang w:eastAsia="en-US"/>
        </w:rPr>
        <w:t>*contratos assinados a partir de 15.01.2010</w:t>
      </w:r>
    </w:p>
    <w:p w14:paraId="33BF225F" w14:textId="77777777" w:rsidR="0012671B" w:rsidRPr="005432E1" w:rsidRDefault="0012671B" w:rsidP="0012671B">
      <w:pPr>
        <w:rPr>
          <w:rFonts w:asciiTheme="minorHAnsi" w:hAnsiTheme="minorHAnsi"/>
        </w:rPr>
      </w:pPr>
    </w:p>
    <w:p w14:paraId="46966EDA"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A inadimplência, calculada a partir da dívida dos estudantes com 90 dias ou mais de atraso, cujos contratos estejam na fase de amortização, alcançou o valor de R$ 3,7 bilhões, representando 33,82% do valor total da dívida na fase de amortização.</w:t>
      </w:r>
    </w:p>
    <w:p w14:paraId="142780F5" w14:textId="77777777" w:rsidR="0012671B" w:rsidRPr="005432E1" w:rsidRDefault="0012671B" w:rsidP="0012671B">
      <w:pPr>
        <w:pStyle w:val="Corpodetexto"/>
        <w:ind w:firstLine="720"/>
        <w:rPr>
          <w:rFonts w:asciiTheme="minorHAnsi" w:hAnsiTheme="minorHAnsi"/>
        </w:rPr>
      </w:pPr>
    </w:p>
    <w:p w14:paraId="4A8AEFB9" w14:textId="076C561D" w:rsidR="0012671B" w:rsidRPr="005432E1" w:rsidRDefault="0012671B" w:rsidP="0012671B">
      <w:pPr>
        <w:pStyle w:val="Corpodetexto"/>
        <w:ind w:firstLine="720"/>
        <w:rPr>
          <w:rFonts w:asciiTheme="minorHAnsi" w:hAnsiTheme="minorHAnsi"/>
        </w:rPr>
      </w:pPr>
      <w:r w:rsidRPr="005432E1">
        <w:rPr>
          <w:rFonts w:asciiTheme="minorHAnsi" w:hAnsiTheme="minorHAnsi"/>
        </w:rPr>
        <w:t xml:space="preserve">Na hipótese de constituir-se uma Provisão para Créditos de Liquidação Duvidosa-PCLD do Fies, considerando, por similaridade, os critérios definidos pela Resolução nº 2.682 do Banco Central do Brasil para a classificação de cada operação de crédito em função dos dias de atraso, desconsiderando o impacto dos instrumentos mitigadores, ter-se-ia um valor total de R$ 11,78 bilhões provisionados no Fies (Tabela </w:t>
      </w:r>
      <w:r w:rsidR="009F5894" w:rsidRPr="005432E1">
        <w:rPr>
          <w:rFonts w:asciiTheme="minorHAnsi" w:hAnsiTheme="minorHAnsi"/>
        </w:rPr>
        <w:t>6</w:t>
      </w:r>
      <w:r w:rsidR="00D87ABD" w:rsidRPr="005432E1">
        <w:rPr>
          <w:rFonts w:asciiTheme="minorHAnsi" w:hAnsiTheme="minorHAnsi"/>
        </w:rPr>
        <w:t>8</w:t>
      </w:r>
      <w:r w:rsidRPr="005432E1">
        <w:rPr>
          <w:rFonts w:asciiTheme="minorHAnsi" w:hAnsiTheme="minorHAnsi"/>
        </w:rPr>
        <w:t>).</w:t>
      </w:r>
    </w:p>
    <w:p w14:paraId="4F1B794D" w14:textId="77777777" w:rsidR="0012671B" w:rsidRPr="005432E1" w:rsidRDefault="0012671B" w:rsidP="0012671B">
      <w:pPr>
        <w:pStyle w:val="Corpodetexto"/>
        <w:ind w:firstLine="720"/>
        <w:rPr>
          <w:rFonts w:asciiTheme="minorHAnsi" w:hAnsiTheme="minorHAnsi"/>
          <w:b/>
          <w:szCs w:val="24"/>
        </w:rPr>
      </w:pPr>
    </w:p>
    <w:p w14:paraId="6C096ACB" w14:textId="62304488" w:rsidR="0012671B" w:rsidRPr="005432E1" w:rsidRDefault="00F408D3" w:rsidP="0012671B">
      <w:pPr>
        <w:pStyle w:val="Legenda"/>
        <w:keepNext/>
        <w:rPr>
          <w:rFonts w:asciiTheme="minorHAnsi" w:hAnsiTheme="minorHAnsi"/>
          <w:b/>
          <w:i w:val="0"/>
          <w:color w:val="auto"/>
          <w:sz w:val="24"/>
          <w:szCs w:val="24"/>
        </w:rPr>
      </w:pP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0012671B" w:rsidRPr="005432E1">
        <w:rPr>
          <w:rFonts w:asciiTheme="minorHAnsi" w:hAnsiTheme="minorHAnsi"/>
          <w:b/>
          <w:i w:val="0"/>
          <w:color w:val="auto"/>
          <w:sz w:val="24"/>
          <w:szCs w:val="24"/>
        </w:rPr>
        <w:t xml:space="preserve">Tabela </w:t>
      </w:r>
      <w:r w:rsidR="006B65D8" w:rsidRPr="005432E1">
        <w:rPr>
          <w:rFonts w:asciiTheme="minorHAnsi" w:hAnsiTheme="minorHAnsi"/>
          <w:b/>
          <w:i w:val="0"/>
          <w:color w:val="auto"/>
          <w:sz w:val="24"/>
          <w:szCs w:val="24"/>
        </w:rPr>
        <w:t>6</w:t>
      </w:r>
      <w:r w:rsidR="00D87ABD" w:rsidRPr="005432E1">
        <w:rPr>
          <w:rFonts w:asciiTheme="minorHAnsi" w:hAnsiTheme="minorHAnsi"/>
          <w:b/>
          <w:i w:val="0"/>
          <w:color w:val="auto"/>
          <w:sz w:val="24"/>
          <w:szCs w:val="24"/>
        </w:rPr>
        <w:t>8</w:t>
      </w:r>
      <w:r w:rsidR="0012671B" w:rsidRPr="005432E1">
        <w:rPr>
          <w:rFonts w:asciiTheme="minorHAnsi" w:hAnsiTheme="minorHAnsi"/>
          <w:b/>
          <w:i w:val="0"/>
          <w:color w:val="auto"/>
          <w:sz w:val="24"/>
          <w:szCs w:val="24"/>
        </w:rPr>
        <w:t>: Perda estimada</w:t>
      </w:r>
    </w:p>
    <w:tbl>
      <w:tblPr>
        <w:tblW w:w="6394" w:type="dxa"/>
        <w:jc w:val="center"/>
        <w:tblCellMar>
          <w:left w:w="70" w:type="dxa"/>
          <w:right w:w="70" w:type="dxa"/>
        </w:tblCellMar>
        <w:tblLook w:val="04A0" w:firstRow="1" w:lastRow="0" w:firstColumn="1" w:lastColumn="0" w:noHBand="0" w:noVBand="1"/>
      </w:tblPr>
      <w:tblGrid>
        <w:gridCol w:w="960"/>
        <w:gridCol w:w="2720"/>
        <w:gridCol w:w="2714"/>
      </w:tblGrid>
      <w:tr w:rsidR="0012671B" w:rsidRPr="005432E1" w14:paraId="2C083CDA" w14:textId="77777777" w:rsidTr="0012671B">
        <w:trPr>
          <w:trHeight w:val="330"/>
          <w:jc w:val="center"/>
        </w:trPr>
        <w:tc>
          <w:tcPr>
            <w:tcW w:w="960" w:type="dxa"/>
            <w:tcBorders>
              <w:top w:val="single" w:sz="12" w:space="0" w:color="auto"/>
              <w:left w:val="nil"/>
              <w:bottom w:val="single" w:sz="12" w:space="0" w:color="auto"/>
              <w:right w:val="nil"/>
            </w:tcBorders>
            <w:shd w:val="clear" w:color="000000" w:fill="FFFFFF"/>
            <w:noWrap/>
            <w:vAlign w:val="center"/>
            <w:hideMark/>
          </w:tcPr>
          <w:p w14:paraId="4052D632"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Rating</w:t>
            </w:r>
          </w:p>
        </w:tc>
        <w:tc>
          <w:tcPr>
            <w:tcW w:w="2720" w:type="dxa"/>
            <w:tcBorders>
              <w:top w:val="single" w:sz="12" w:space="0" w:color="auto"/>
              <w:left w:val="nil"/>
              <w:bottom w:val="single" w:sz="12" w:space="0" w:color="auto"/>
              <w:right w:val="nil"/>
            </w:tcBorders>
            <w:shd w:val="clear" w:color="000000" w:fill="FFFFFF"/>
            <w:noWrap/>
            <w:vAlign w:val="center"/>
            <w:hideMark/>
          </w:tcPr>
          <w:p w14:paraId="44F01E18"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Fator de provisão</w:t>
            </w:r>
          </w:p>
        </w:tc>
        <w:tc>
          <w:tcPr>
            <w:tcW w:w="2714" w:type="dxa"/>
            <w:tcBorders>
              <w:top w:val="single" w:sz="12" w:space="0" w:color="auto"/>
              <w:left w:val="nil"/>
              <w:bottom w:val="single" w:sz="12" w:space="0" w:color="auto"/>
              <w:right w:val="nil"/>
            </w:tcBorders>
            <w:shd w:val="clear" w:color="000000" w:fill="FFFFFF"/>
            <w:noWrap/>
            <w:vAlign w:val="center"/>
            <w:hideMark/>
          </w:tcPr>
          <w:p w14:paraId="4ABF6811"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Valor Provisionado (R$)</w:t>
            </w:r>
          </w:p>
        </w:tc>
      </w:tr>
      <w:tr w:rsidR="0012671B" w:rsidRPr="005432E1" w14:paraId="206C0F07" w14:textId="77777777" w:rsidTr="0012671B">
        <w:trPr>
          <w:trHeight w:val="315"/>
          <w:jc w:val="center"/>
        </w:trPr>
        <w:tc>
          <w:tcPr>
            <w:tcW w:w="960" w:type="dxa"/>
            <w:tcBorders>
              <w:top w:val="single" w:sz="4" w:space="0" w:color="auto"/>
              <w:left w:val="nil"/>
              <w:bottom w:val="single" w:sz="4" w:space="0" w:color="auto"/>
              <w:right w:val="nil"/>
            </w:tcBorders>
            <w:shd w:val="clear" w:color="000000" w:fill="FFFFFF"/>
            <w:noWrap/>
            <w:vAlign w:val="center"/>
            <w:hideMark/>
          </w:tcPr>
          <w:p w14:paraId="53134785"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A</w:t>
            </w:r>
          </w:p>
        </w:tc>
        <w:tc>
          <w:tcPr>
            <w:tcW w:w="2720" w:type="dxa"/>
            <w:tcBorders>
              <w:top w:val="single" w:sz="4" w:space="0" w:color="auto"/>
              <w:left w:val="nil"/>
              <w:bottom w:val="single" w:sz="4" w:space="0" w:color="auto"/>
              <w:right w:val="nil"/>
            </w:tcBorders>
            <w:shd w:val="clear" w:color="000000" w:fill="FFFFFF"/>
            <w:noWrap/>
            <w:vAlign w:val="center"/>
            <w:hideMark/>
          </w:tcPr>
          <w:p w14:paraId="25AB885E"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w:t>
            </w:r>
          </w:p>
        </w:tc>
        <w:tc>
          <w:tcPr>
            <w:tcW w:w="2714" w:type="dxa"/>
            <w:tcBorders>
              <w:top w:val="single" w:sz="4" w:space="0" w:color="auto"/>
              <w:left w:val="nil"/>
              <w:bottom w:val="single" w:sz="4" w:space="0" w:color="auto"/>
              <w:right w:val="nil"/>
            </w:tcBorders>
            <w:shd w:val="clear" w:color="000000" w:fill="FFFFFF"/>
            <w:noWrap/>
            <w:vAlign w:val="center"/>
            <w:hideMark/>
          </w:tcPr>
          <w:p w14:paraId="409B49D4"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17.493.864,32 </w:t>
            </w:r>
          </w:p>
        </w:tc>
      </w:tr>
      <w:tr w:rsidR="0012671B" w:rsidRPr="005432E1" w14:paraId="5943B0C8"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6C893E2E"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AA</w:t>
            </w:r>
          </w:p>
        </w:tc>
        <w:tc>
          <w:tcPr>
            <w:tcW w:w="2720" w:type="dxa"/>
            <w:tcBorders>
              <w:top w:val="nil"/>
              <w:left w:val="nil"/>
              <w:bottom w:val="single" w:sz="4" w:space="0" w:color="auto"/>
              <w:right w:val="nil"/>
            </w:tcBorders>
            <w:shd w:val="clear" w:color="000000" w:fill="FFFFFF"/>
            <w:noWrap/>
            <w:vAlign w:val="center"/>
            <w:hideMark/>
          </w:tcPr>
          <w:p w14:paraId="68236537"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w:t>
            </w:r>
          </w:p>
        </w:tc>
        <w:tc>
          <w:tcPr>
            <w:tcW w:w="2714" w:type="dxa"/>
            <w:tcBorders>
              <w:top w:val="nil"/>
              <w:left w:val="nil"/>
              <w:bottom w:val="single" w:sz="4" w:space="0" w:color="auto"/>
              <w:right w:val="nil"/>
            </w:tcBorders>
            <w:shd w:val="clear" w:color="000000" w:fill="FFFFFF"/>
            <w:noWrap/>
            <w:vAlign w:val="center"/>
            <w:hideMark/>
          </w:tcPr>
          <w:p w14:paraId="30EEEE96"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232.361.672,88 </w:t>
            </w:r>
          </w:p>
        </w:tc>
      </w:tr>
      <w:tr w:rsidR="0012671B" w:rsidRPr="005432E1" w14:paraId="5FF5D043"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14E1BCA7"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B</w:t>
            </w:r>
          </w:p>
        </w:tc>
        <w:tc>
          <w:tcPr>
            <w:tcW w:w="2720" w:type="dxa"/>
            <w:tcBorders>
              <w:top w:val="nil"/>
              <w:left w:val="nil"/>
              <w:bottom w:val="single" w:sz="4" w:space="0" w:color="auto"/>
              <w:right w:val="nil"/>
            </w:tcBorders>
            <w:shd w:val="clear" w:color="000000" w:fill="FFFFFF"/>
            <w:noWrap/>
            <w:vAlign w:val="center"/>
            <w:hideMark/>
          </w:tcPr>
          <w:p w14:paraId="330F1DE6"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w:t>
            </w:r>
          </w:p>
        </w:tc>
        <w:tc>
          <w:tcPr>
            <w:tcW w:w="2714" w:type="dxa"/>
            <w:tcBorders>
              <w:top w:val="nil"/>
              <w:left w:val="nil"/>
              <w:bottom w:val="single" w:sz="4" w:space="0" w:color="auto"/>
              <w:right w:val="nil"/>
            </w:tcBorders>
            <w:shd w:val="clear" w:color="000000" w:fill="FFFFFF"/>
            <w:noWrap/>
            <w:vAlign w:val="center"/>
            <w:hideMark/>
          </w:tcPr>
          <w:p w14:paraId="65FAC21D"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178.395.869,54 </w:t>
            </w:r>
          </w:p>
        </w:tc>
      </w:tr>
      <w:tr w:rsidR="0012671B" w:rsidRPr="005432E1" w14:paraId="7333A2D2"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74439299"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C</w:t>
            </w:r>
          </w:p>
        </w:tc>
        <w:tc>
          <w:tcPr>
            <w:tcW w:w="2720" w:type="dxa"/>
            <w:tcBorders>
              <w:top w:val="nil"/>
              <w:left w:val="nil"/>
              <w:bottom w:val="single" w:sz="4" w:space="0" w:color="auto"/>
              <w:right w:val="nil"/>
            </w:tcBorders>
            <w:shd w:val="clear" w:color="000000" w:fill="FFFFFF"/>
            <w:noWrap/>
            <w:vAlign w:val="center"/>
            <w:hideMark/>
          </w:tcPr>
          <w:p w14:paraId="5F5BE5E0"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3%</w:t>
            </w:r>
          </w:p>
        </w:tc>
        <w:tc>
          <w:tcPr>
            <w:tcW w:w="2714" w:type="dxa"/>
            <w:tcBorders>
              <w:top w:val="nil"/>
              <w:left w:val="nil"/>
              <w:bottom w:val="single" w:sz="4" w:space="0" w:color="auto"/>
              <w:right w:val="nil"/>
            </w:tcBorders>
            <w:shd w:val="clear" w:color="000000" w:fill="FFFFFF"/>
            <w:noWrap/>
            <w:vAlign w:val="center"/>
            <w:hideMark/>
          </w:tcPr>
          <w:p w14:paraId="638EAA99"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9.008.832,04 </w:t>
            </w:r>
          </w:p>
        </w:tc>
      </w:tr>
      <w:tr w:rsidR="0012671B" w:rsidRPr="005432E1" w14:paraId="22758FDA"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1EFA3A11"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D</w:t>
            </w:r>
          </w:p>
        </w:tc>
        <w:tc>
          <w:tcPr>
            <w:tcW w:w="2720" w:type="dxa"/>
            <w:tcBorders>
              <w:top w:val="nil"/>
              <w:left w:val="nil"/>
              <w:bottom w:val="single" w:sz="4" w:space="0" w:color="auto"/>
              <w:right w:val="nil"/>
            </w:tcBorders>
            <w:shd w:val="clear" w:color="000000" w:fill="FFFFFF"/>
            <w:noWrap/>
            <w:vAlign w:val="center"/>
            <w:hideMark/>
          </w:tcPr>
          <w:p w14:paraId="009267AF"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10%</w:t>
            </w:r>
          </w:p>
        </w:tc>
        <w:tc>
          <w:tcPr>
            <w:tcW w:w="2714" w:type="dxa"/>
            <w:tcBorders>
              <w:top w:val="nil"/>
              <w:left w:val="nil"/>
              <w:bottom w:val="single" w:sz="4" w:space="0" w:color="auto"/>
              <w:right w:val="nil"/>
            </w:tcBorders>
            <w:shd w:val="clear" w:color="000000" w:fill="FFFFFF"/>
            <w:noWrap/>
            <w:vAlign w:val="center"/>
            <w:hideMark/>
          </w:tcPr>
          <w:p w14:paraId="0BA05F52"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18.015.456,64 </w:t>
            </w:r>
          </w:p>
        </w:tc>
      </w:tr>
      <w:tr w:rsidR="0012671B" w:rsidRPr="005432E1" w14:paraId="304E760E"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131C72FB"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E</w:t>
            </w:r>
          </w:p>
        </w:tc>
        <w:tc>
          <w:tcPr>
            <w:tcW w:w="2720" w:type="dxa"/>
            <w:tcBorders>
              <w:top w:val="nil"/>
              <w:left w:val="nil"/>
              <w:bottom w:val="single" w:sz="4" w:space="0" w:color="auto"/>
              <w:right w:val="nil"/>
            </w:tcBorders>
            <w:shd w:val="clear" w:color="000000" w:fill="FFFFFF"/>
            <w:noWrap/>
            <w:vAlign w:val="center"/>
            <w:hideMark/>
          </w:tcPr>
          <w:p w14:paraId="4573BBAC"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30%</w:t>
            </w:r>
          </w:p>
        </w:tc>
        <w:tc>
          <w:tcPr>
            <w:tcW w:w="2714" w:type="dxa"/>
            <w:tcBorders>
              <w:top w:val="nil"/>
              <w:left w:val="nil"/>
              <w:bottom w:val="single" w:sz="4" w:space="0" w:color="auto"/>
              <w:right w:val="nil"/>
            </w:tcBorders>
            <w:shd w:val="clear" w:color="000000" w:fill="FFFFFF"/>
            <w:noWrap/>
            <w:vAlign w:val="center"/>
            <w:hideMark/>
          </w:tcPr>
          <w:p w14:paraId="03F38553"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1.387.929.137,68 </w:t>
            </w:r>
          </w:p>
        </w:tc>
      </w:tr>
      <w:tr w:rsidR="0012671B" w:rsidRPr="005432E1" w14:paraId="1BDE4927"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4D13B3B4"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F</w:t>
            </w:r>
          </w:p>
        </w:tc>
        <w:tc>
          <w:tcPr>
            <w:tcW w:w="2720" w:type="dxa"/>
            <w:tcBorders>
              <w:top w:val="nil"/>
              <w:left w:val="nil"/>
              <w:bottom w:val="single" w:sz="4" w:space="0" w:color="auto"/>
              <w:right w:val="nil"/>
            </w:tcBorders>
            <w:shd w:val="clear" w:color="000000" w:fill="FFFFFF"/>
            <w:noWrap/>
            <w:vAlign w:val="center"/>
            <w:hideMark/>
          </w:tcPr>
          <w:p w14:paraId="07E1D836"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50%</w:t>
            </w:r>
          </w:p>
        </w:tc>
        <w:tc>
          <w:tcPr>
            <w:tcW w:w="2714" w:type="dxa"/>
            <w:tcBorders>
              <w:top w:val="nil"/>
              <w:left w:val="nil"/>
              <w:bottom w:val="single" w:sz="4" w:space="0" w:color="auto"/>
              <w:right w:val="nil"/>
            </w:tcBorders>
            <w:shd w:val="clear" w:color="000000" w:fill="FFFFFF"/>
            <w:noWrap/>
            <w:vAlign w:val="center"/>
            <w:hideMark/>
          </w:tcPr>
          <w:p w14:paraId="7E303E98"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56.946.700,98 </w:t>
            </w:r>
          </w:p>
        </w:tc>
      </w:tr>
      <w:tr w:rsidR="0012671B" w:rsidRPr="005432E1" w14:paraId="6240A43E"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39A9216E"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G</w:t>
            </w:r>
          </w:p>
        </w:tc>
        <w:tc>
          <w:tcPr>
            <w:tcW w:w="2720" w:type="dxa"/>
            <w:tcBorders>
              <w:top w:val="nil"/>
              <w:left w:val="nil"/>
              <w:bottom w:val="single" w:sz="4" w:space="0" w:color="auto"/>
              <w:right w:val="nil"/>
            </w:tcBorders>
            <w:shd w:val="clear" w:color="000000" w:fill="FFFFFF"/>
            <w:noWrap/>
            <w:vAlign w:val="center"/>
            <w:hideMark/>
          </w:tcPr>
          <w:p w14:paraId="28743EA5"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70%</w:t>
            </w:r>
          </w:p>
        </w:tc>
        <w:tc>
          <w:tcPr>
            <w:tcW w:w="2714" w:type="dxa"/>
            <w:tcBorders>
              <w:top w:val="nil"/>
              <w:left w:val="nil"/>
              <w:bottom w:val="single" w:sz="4" w:space="0" w:color="auto"/>
              <w:right w:val="nil"/>
            </w:tcBorders>
            <w:shd w:val="clear" w:color="000000" w:fill="FFFFFF"/>
            <w:noWrap/>
            <w:vAlign w:val="center"/>
            <w:hideMark/>
          </w:tcPr>
          <w:p w14:paraId="0E9416F0"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150.617.614,10 </w:t>
            </w:r>
          </w:p>
        </w:tc>
      </w:tr>
      <w:tr w:rsidR="0012671B" w:rsidRPr="005432E1" w14:paraId="2E28C4CB"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64E9BB0F"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H</w:t>
            </w:r>
          </w:p>
        </w:tc>
        <w:tc>
          <w:tcPr>
            <w:tcW w:w="2720" w:type="dxa"/>
            <w:tcBorders>
              <w:top w:val="nil"/>
              <w:left w:val="nil"/>
              <w:bottom w:val="single" w:sz="4" w:space="0" w:color="auto"/>
              <w:right w:val="nil"/>
            </w:tcBorders>
            <w:shd w:val="clear" w:color="000000" w:fill="FFFFFF"/>
            <w:noWrap/>
            <w:vAlign w:val="center"/>
            <w:hideMark/>
          </w:tcPr>
          <w:p w14:paraId="75BA14CC"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100%</w:t>
            </w:r>
          </w:p>
        </w:tc>
        <w:tc>
          <w:tcPr>
            <w:tcW w:w="2714" w:type="dxa"/>
            <w:tcBorders>
              <w:top w:val="nil"/>
              <w:left w:val="nil"/>
              <w:bottom w:val="single" w:sz="4" w:space="0" w:color="auto"/>
              <w:right w:val="nil"/>
            </w:tcBorders>
            <w:shd w:val="clear" w:color="000000" w:fill="FFFFFF"/>
            <w:noWrap/>
            <w:vAlign w:val="center"/>
            <w:hideMark/>
          </w:tcPr>
          <w:p w14:paraId="7EBCDAF4"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3.561.353.013,87 </w:t>
            </w:r>
          </w:p>
        </w:tc>
      </w:tr>
      <w:tr w:rsidR="0012671B" w:rsidRPr="005432E1" w14:paraId="6CA278E9" w14:textId="77777777" w:rsidTr="0012671B">
        <w:trPr>
          <w:trHeight w:val="300"/>
          <w:jc w:val="center"/>
        </w:trPr>
        <w:tc>
          <w:tcPr>
            <w:tcW w:w="960" w:type="dxa"/>
            <w:tcBorders>
              <w:top w:val="nil"/>
              <w:left w:val="nil"/>
              <w:bottom w:val="single" w:sz="4" w:space="0" w:color="auto"/>
              <w:right w:val="nil"/>
            </w:tcBorders>
            <w:shd w:val="clear" w:color="000000" w:fill="FFFFFF"/>
            <w:noWrap/>
            <w:vAlign w:val="center"/>
            <w:hideMark/>
          </w:tcPr>
          <w:p w14:paraId="6D1266DA" w14:textId="77777777" w:rsidR="0012671B" w:rsidRPr="005432E1" w:rsidRDefault="0012671B" w:rsidP="0012671B">
            <w:pPr>
              <w:jc w:val="center"/>
              <w:rPr>
                <w:rFonts w:asciiTheme="minorHAnsi" w:hAnsiTheme="minorHAnsi"/>
                <w:color w:val="000000"/>
                <w:sz w:val="20"/>
              </w:rPr>
            </w:pPr>
            <w:r w:rsidRPr="005432E1">
              <w:rPr>
                <w:rFonts w:asciiTheme="minorHAnsi" w:hAnsiTheme="minorHAnsi"/>
                <w:color w:val="000000"/>
                <w:sz w:val="20"/>
              </w:rPr>
              <w:t>HH</w:t>
            </w:r>
          </w:p>
        </w:tc>
        <w:tc>
          <w:tcPr>
            <w:tcW w:w="2720" w:type="dxa"/>
            <w:tcBorders>
              <w:top w:val="nil"/>
              <w:left w:val="nil"/>
              <w:bottom w:val="single" w:sz="4" w:space="0" w:color="auto"/>
              <w:right w:val="nil"/>
            </w:tcBorders>
            <w:shd w:val="clear" w:color="000000" w:fill="FFFFFF"/>
            <w:noWrap/>
            <w:vAlign w:val="center"/>
            <w:hideMark/>
          </w:tcPr>
          <w:p w14:paraId="7600A17E"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100%</w:t>
            </w:r>
          </w:p>
        </w:tc>
        <w:tc>
          <w:tcPr>
            <w:tcW w:w="2714" w:type="dxa"/>
            <w:tcBorders>
              <w:top w:val="nil"/>
              <w:left w:val="nil"/>
              <w:bottom w:val="single" w:sz="4" w:space="0" w:color="auto"/>
              <w:right w:val="nil"/>
            </w:tcBorders>
            <w:shd w:val="clear" w:color="000000" w:fill="FFFFFF"/>
            <w:noWrap/>
            <w:vAlign w:val="center"/>
            <w:hideMark/>
          </w:tcPr>
          <w:p w14:paraId="114058FC" w14:textId="77777777" w:rsidR="0012671B" w:rsidRPr="005432E1" w:rsidRDefault="0012671B" w:rsidP="0012671B">
            <w:pPr>
              <w:jc w:val="right"/>
              <w:rPr>
                <w:rFonts w:asciiTheme="minorHAnsi" w:hAnsiTheme="minorHAnsi"/>
                <w:color w:val="000000"/>
                <w:sz w:val="20"/>
              </w:rPr>
            </w:pPr>
            <w:r w:rsidRPr="005432E1">
              <w:rPr>
                <w:rFonts w:asciiTheme="minorHAnsi" w:hAnsiTheme="minorHAnsi"/>
                <w:color w:val="000000"/>
                <w:sz w:val="20"/>
              </w:rPr>
              <w:t xml:space="preserve">             6.170.699.531,98 </w:t>
            </w:r>
          </w:p>
        </w:tc>
      </w:tr>
    </w:tbl>
    <w:p w14:paraId="300579C8" w14:textId="77777777" w:rsidR="0012671B" w:rsidRPr="005432E1" w:rsidRDefault="00F408D3" w:rsidP="0012671B">
      <w:pPr>
        <w:pStyle w:val="Legenda"/>
        <w:rPr>
          <w:rFonts w:asciiTheme="minorHAnsi" w:eastAsiaTheme="minorHAnsi" w:hAnsiTheme="minorHAnsi"/>
          <w:b/>
          <w:i w:val="0"/>
          <w:iCs w:val="0"/>
          <w:color w:val="auto"/>
          <w:sz w:val="20"/>
          <w:szCs w:val="20"/>
          <w:lang w:eastAsia="en-US"/>
        </w:rPr>
      </w:pPr>
      <w:r w:rsidRPr="005432E1">
        <w:rPr>
          <w:rFonts w:asciiTheme="minorHAnsi" w:eastAsiaTheme="minorHAnsi" w:hAnsiTheme="minorHAnsi"/>
          <w:sz w:val="12"/>
          <w:szCs w:val="12"/>
          <w:lang w:eastAsia="en-US"/>
        </w:rPr>
        <w:tab/>
      </w:r>
      <w:r w:rsidRPr="005432E1">
        <w:rPr>
          <w:rFonts w:asciiTheme="minorHAnsi" w:eastAsiaTheme="minorHAnsi" w:hAnsiTheme="minorHAnsi"/>
          <w:sz w:val="12"/>
          <w:szCs w:val="12"/>
          <w:lang w:eastAsia="en-US"/>
        </w:rPr>
        <w:tab/>
      </w:r>
      <w:r w:rsidRPr="005432E1">
        <w:rPr>
          <w:rFonts w:asciiTheme="minorHAnsi" w:eastAsiaTheme="minorHAnsi" w:hAnsiTheme="minorHAnsi"/>
          <w:sz w:val="12"/>
          <w:szCs w:val="12"/>
          <w:lang w:eastAsia="en-US"/>
        </w:rPr>
        <w:tab/>
      </w:r>
      <w:r w:rsidR="0012671B" w:rsidRPr="005432E1">
        <w:rPr>
          <w:rFonts w:asciiTheme="minorHAnsi" w:eastAsiaTheme="minorHAnsi" w:hAnsiTheme="minorHAnsi"/>
          <w:color w:val="auto"/>
          <w:sz w:val="20"/>
          <w:szCs w:val="20"/>
          <w:lang w:eastAsia="en-US"/>
        </w:rPr>
        <w:t>Fonte: FNDE. Posição 31.12.2017</w:t>
      </w:r>
    </w:p>
    <w:p w14:paraId="5D1DC04D" w14:textId="77777777" w:rsidR="0012671B" w:rsidRPr="005432E1" w:rsidRDefault="0012671B" w:rsidP="0012671B">
      <w:pPr>
        <w:pStyle w:val="Corpodetexto"/>
        <w:rPr>
          <w:rFonts w:asciiTheme="minorHAnsi" w:hAnsiTheme="minorHAnsi"/>
        </w:rPr>
      </w:pPr>
    </w:p>
    <w:p w14:paraId="59673139"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No entanto, os contratos de crédito do Fies contam com instrumentos mitigadores, como fiança convencional, fiança solidária</w:t>
      </w:r>
      <w:r w:rsidR="00E84A90" w:rsidRPr="005432E1">
        <w:rPr>
          <w:rFonts w:asciiTheme="minorHAnsi" w:hAnsiTheme="minorHAnsi"/>
        </w:rPr>
        <w:t xml:space="preserve"> </w:t>
      </w:r>
      <w:r w:rsidRPr="005432E1">
        <w:rPr>
          <w:rFonts w:asciiTheme="minorHAnsi" w:hAnsiTheme="minorHAnsi"/>
        </w:rPr>
        <w:t>e o Fundo de Garantia de Operações de Crédito Educativo (FGEDUC). Do total de contratos por modalidades de garantias, observa-se que cerca de 67% da carteira do Fies é garantida excl</w:t>
      </w:r>
      <w:r w:rsidR="002E119A" w:rsidRPr="005432E1">
        <w:rPr>
          <w:rFonts w:asciiTheme="minorHAnsi" w:hAnsiTheme="minorHAnsi"/>
        </w:rPr>
        <w:t>usivamente pelo FGEDUC:</w:t>
      </w:r>
      <w:r w:rsidRPr="005432E1">
        <w:rPr>
          <w:rFonts w:asciiTheme="minorHAnsi" w:hAnsiTheme="minorHAnsi"/>
        </w:rPr>
        <w:t xml:space="preserve">  </w:t>
      </w:r>
    </w:p>
    <w:p w14:paraId="66D83D15" w14:textId="77777777" w:rsidR="0012671B" w:rsidRPr="005432E1" w:rsidRDefault="0012671B" w:rsidP="0012671B">
      <w:pPr>
        <w:pStyle w:val="Corpodetexto"/>
        <w:ind w:firstLine="720"/>
        <w:rPr>
          <w:rFonts w:asciiTheme="minorHAnsi" w:hAnsiTheme="minorHAnsi"/>
          <w:b/>
          <w:szCs w:val="24"/>
        </w:rPr>
      </w:pPr>
    </w:p>
    <w:p w14:paraId="10AC459E" w14:textId="5BC2E0FC" w:rsidR="0012671B" w:rsidRPr="005432E1" w:rsidRDefault="00A81DAD" w:rsidP="0012671B">
      <w:pPr>
        <w:pStyle w:val="Legenda"/>
        <w:keepNext/>
        <w:rPr>
          <w:rFonts w:asciiTheme="minorHAnsi" w:hAnsiTheme="minorHAnsi"/>
          <w:b/>
          <w:i w:val="0"/>
          <w:color w:val="auto"/>
          <w:sz w:val="24"/>
          <w:szCs w:val="24"/>
        </w:rPr>
      </w:pP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Pr="005432E1">
        <w:rPr>
          <w:rFonts w:asciiTheme="minorHAnsi" w:hAnsiTheme="minorHAnsi"/>
          <w:b/>
          <w:i w:val="0"/>
          <w:color w:val="auto"/>
          <w:sz w:val="24"/>
          <w:szCs w:val="24"/>
        </w:rPr>
        <w:tab/>
      </w:r>
      <w:r w:rsidR="00882C00" w:rsidRPr="005432E1">
        <w:rPr>
          <w:rFonts w:asciiTheme="minorHAnsi" w:hAnsiTheme="minorHAnsi"/>
          <w:b/>
          <w:i w:val="0"/>
          <w:color w:val="auto"/>
          <w:sz w:val="24"/>
          <w:szCs w:val="24"/>
        </w:rPr>
        <w:tab/>
      </w:r>
      <w:r w:rsidR="0012671B" w:rsidRPr="005432E1">
        <w:rPr>
          <w:rFonts w:asciiTheme="minorHAnsi" w:hAnsiTheme="minorHAnsi"/>
          <w:b/>
          <w:i w:val="0"/>
          <w:color w:val="auto"/>
          <w:sz w:val="24"/>
          <w:szCs w:val="24"/>
        </w:rPr>
        <w:t>Tabela 6</w:t>
      </w:r>
      <w:r w:rsidR="00D87ABD" w:rsidRPr="005432E1">
        <w:rPr>
          <w:rFonts w:asciiTheme="minorHAnsi" w:hAnsiTheme="minorHAnsi"/>
          <w:b/>
          <w:i w:val="0"/>
          <w:color w:val="auto"/>
          <w:sz w:val="24"/>
          <w:szCs w:val="24"/>
        </w:rPr>
        <w:t>9</w:t>
      </w:r>
      <w:r w:rsidR="0012671B" w:rsidRPr="005432E1">
        <w:rPr>
          <w:rFonts w:asciiTheme="minorHAnsi" w:hAnsiTheme="minorHAnsi"/>
          <w:b/>
          <w:i w:val="0"/>
          <w:color w:val="auto"/>
          <w:sz w:val="24"/>
          <w:szCs w:val="24"/>
        </w:rPr>
        <w:t xml:space="preserve"> – Modalidade de Garantia</w:t>
      </w:r>
    </w:p>
    <w:tbl>
      <w:tblPr>
        <w:tblW w:w="8400" w:type="dxa"/>
        <w:jc w:val="center"/>
        <w:tblCellMar>
          <w:left w:w="70" w:type="dxa"/>
          <w:right w:w="70" w:type="dxa"/>
        </w:tblCellMar>
        <w:tblLook w:val="04A0" w:firstRow="1" w:lastRow="0" w:firstColumn="1" w:lastColumn="0" w:noHBand="0" w:noVBand="1"/>
      </w:tblPr>
      <w:tblGrid>
        <w:gridCol w:w="2100"/>
        <w:gridCol w:w="2980"/>
        <w:gridCol w:w="3320"/>
      </w:tblGrid>
      <w:tr w:rsidR="0012671B" w:rsidRPr="005432E1" w14:paraId="1E90E335" w14:textId="77777777" w:rsidTr="0012671B">
        <w:trPr>
          <w:trHeight w:val="345"/>
          <w:jc w:val="center"/>
        </w:trPr>
        <w:tc>
          <w:tcPr>
            <w:tcW w:w="2100" w:type="dxa"/>
            <w:tcBorders>
              <w:top w:val="single" w:sz="12" w:space="0" w:color="auto"/>
              <w:left w:val="nil"/>
              <w:bottom w:val="single" w:sz="12" w:space="0" w:color="auto"/>
              <w:right w:val="nil"/>
            </w:tcBorders>
            <w:shd w:val="clear" w:color="000000" w:fill="FFFFFF"/>
            <w:noWrap/>
            <w:vAlign w:val="center"/>
            <w:hideMark/>
          </w:tcPr>
          <w:p w14:paraId="3BF782F5" w14:textId="77777777" w:rsidR="0012671B" w:rsidRPr="005432E1" w:rsidRDefault="0012671B" w:rsidP="0012671B">
            <w:pPr>
              <w:jc w:val="center"/>
              <w:rPr>
                <w:rFonts w:asciiTheme="minorHAnsi" w:hAnsiTheme="minorHAnsi"/>
                <w:b/>
                <w:bCs/>
                <w:color w:val="000000"/>
                <w:sz w:val="20"/>
                <w:szCs w:val="20"/>
              </w:rPr>
            </w:pPr>
            <w:r w:rsidRPr="005432E1">
              <w:rPr>
                <w:rFonts w:asciiTheme="minorHAnsi" w:hAnsiTheme="minorHAnsi"/>
                <w:b/>
                <w:bCs/>
                <w:color w:val="000000"/>
                <w:sz w:val="20"/>
                <w:szCs w:val="20"/>
              </w:rPr>
              <w:t>Tipo de Garantia</w:t>
            </w:r>
          </w:p>
        </w:tc>
        <w:tc>
          <w:tcPr>
            <w:tcW w:w="2980" w:type="dxa"/>
            <w:tcBorders>
              <w:top w:val="single" w:sz="12" w:space="0" w:color="auto"/>
              <w:left w:val="nil"/>
              <w:bottom w:val="single" w:sz="12" w:space="0" w:color="auto"/>
              <w:right w:val="nil"/>
            </w:tcBorders>
            <w:shd w:val="clear" w:color="000000" w:fill="FFFFFF"/>
            <w:vAlign w:val="center"/>
            <w:hideMark/>
          </w:tcPr>
          <w:p w14:paraId="2167D290"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Contratos</w:t>
            </w:r>
          </w:p>
        </w:tc>
        <w:tc>
          <w:tcPr>
            <w:tcW w:w="3320" w:type="dxa"/>
            <w:tcBorders>
              <w:top w:val="single" w:sz="12" w:space="0" w:color="auto"/>
              <w:left w:val="nil"/>
              <w:bottom w:val="single" w:sz="12" w:space="0" w:color="auto"/>
              <w:right w:val="nil"/>
            </w:tcBorders>
            <w:shd w:val="clear" w:color="000000" w:fill="FFFFFF"/>
            <w:noWrap/>
            <w:vAlign w:val="center"/>
            <w:hideMark/>
          </w:tcPr>
          <w:p w14:paraId="2705A4D2" w14:textId="5E3DF8E4"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 xml:space="preserve">Valor da </w:t>
            </w:r>
            <w:r w:rsidR="00880268" w:rsidRPr="005432E1">
              <w:rPr>
                <w:rFonts w:asciiTheme="minorHAnsi" w:hAnsiTheme="minorHAnsi"/>
                <w:b/>
                <w:bCs/>
                <w:color w:val="000000"/>
                <w:sz w:val="20"/>
                <w:szCs w:val="20"/>
              </w:rPr>
              <w:t>Dívida</w:t>
            </w:r>
            <w:r w:rsidRPr="005432E1">
              <w:rPr>
                <w:rFonts w:asciiTheme="minorHAnsi" w:hAnsiTheme="minorHAnsi"/>
                <w:b/>
                <w:bCs/>
                <w:color w:val="000000"/>
                <w:sz w:val="20"/>
                <w:szCs w:val="20"/>
              </w:rPr>
              <w:t xml:space="preserve"> no AF</w:t>
            </w:r>
          </w:p>
        </w:tc>
      </w:tr>
      <w:tr w:rsidR="0012671B" w:rsidRPr="005432E1" w14:paraId="4B56A73F" w14:textId="77777777" w:rsidTr="0012671B">
        <w:trPr>
          <w:trHeight w:val="330"/>
          <w:jc w:val="center"/>
        </w:trPr>
        <w:tc>
          <w:tcPr>
            <w:tcW w:w="2100" w:type="dxa"/>
            <w:tcBorders>
              <w:top w:val="nil"/>
              <w:left w:val="nil"/>
              <w:bottom w:val="single" w:sz="8" w:space="0" w:color="auto"/>
              <w:right w:val="nil"/>
            </w:tcBorders>
            <w:shd w:val="clear" w:color="auto" w:fill="auto"/>
            <w:noWrap/>
            <w:vAlign w:val="center"/>
            <w:hideMark/>
          </w:tcPr>
          <w:p w14:paraId="376936B4"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FGEDUC</w:t>
            </w:r>
          </w:p>
        </w:tc>
        <w:tc>
          <w:tcPr>
            <w:tcW w:w="2980" w:type="dxa"/>
            <w:tcBorders>
              <w:top w:val="nil"/>
              <w:left w:val="nil"/>
              <w:bottom w:val="single" w:sz="8" w:space="0" w:color="auto"/>
              <w:right w:val="nil"/>
            </w:tcBorders>
            <w:shd w:val="clear" w:color="auto" w:fill="auto"/>
            <w:vAlign w:val="center"/>
            <w:hideMark/>
          </w:tcPr>
          <w:p w14:paraId="5A64780C"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1.723.905 </w:t>
            </w:r>
          </w:p>
        </w:tc>
        <w:tc>
          <w:tcPr>
            <w:tcW w:w="3320" w:type="dxa"/>
            <w:tcBorders>
              <w:top w:val="nil"/>
              <w:left w:val="nil"/>
              <w:bottom w:val="single" w:sz="8" w:space="0" w:color="auto"/>
              <w:right w:val="nil"/>
            </w:tcBorders>
            <w:shd w:val="clear" w:color="auto" w:fill="auto"/>
            <w:noWrap/>
            <w:vAlign w:val="center"/>
            <w:hideMark/>
          </w:tcPr>
          <w:p w14:paraId="5B5E4A56"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47.778.687.464,97 </w:t>
            </w:r>
          </w:p>
        </w:tc>
      </w:tr>
      <w:tr w:rsidR="0012671B" w:rsidRPr="005432E1" w14:paraId="33A95524" w14:textId="77777777" w:rsidTr="0012671B">
        <w:trPr>
          <w:trHeight w:val="315"/>
          <w:jc w:val="center"/>
        </w:trPr>
        <w:tc>
          <w:tcPr>
            <w:tcW w:w="2100" w:type="dxa"/>
            <w:tcBorders>
              <w:top w:val="nil"/>
              <w:left w:val="nil"/>
              <w:bottom w:val="single" w:sz="8" w:space="0" w:color="auto"/>
              <w:right w:val="nil"/>
            </w:tcBorders>
            <w:shd w:val="clear" w:color="auto" w:fill="auto"/>
            <w:noWrap/>
            <w:vAlign w:val="center"/>
            <w:hideMark/>
          </w:tcPr>
          <w:p w14:paraId="565B0C34"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FGEDUC + FIANÇA</w:t>
            </w:r>
          </w:p>
        </w:tc>
        <w:tc>
          <w:tcPr>
            <w:tcW w:w="2980" w:type="dxa"/>
            <w:tcBorders>
              <w:top w:val="nil"/>
              <w:left w:val="nil"/>
              <w:bottom w:val="single" w:sz="8" w:space="0" w:color="auto"/>
              <w:right w:val="nil"/>
            </w:tcBorders>
            <w:shd w:val="clear" w:color="auto" w:fill="auto"/>
            <w:vAlign w:val="center"/>
            <w:hideMark/>
          </w:tcPr>
          <w:p w14:paraId="7DF00B71"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273.404 </w:t>
            </w:r>
          </w:p>
        </w:tc>
        <w:tc>
          <w:tcPr>
            <w:tcW w:w="3320" w:type="dxa"/>
            <w:tcBorders>
              <w:top w:val="nil"/>
              <w:left w:val="nil"/>
              <w:bottom w:val="single" w:sz="8" w:space="0" w:color="auto"/>
              <w:right w:val="nil"/>
            </w:tcBorders>
            <w:shd w:val="clear" w:color="auto" w:fill="auto"/>
            <w:noWrap/>
            <w:vAlign w:val="center"/>
            <w:hideMark/>
          </w:tcPr>
          <w:p w14:paraId="7CF3E51C"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10.101.501.941,70 </w:t>
            </w:r>
          </w:p>
        </w:tc>
      </w:tr>
      <w:tr w:rsidR="0012671B" w:rsidRPr="005432E1" w14:paraId="28869F2C" w14:textId="77777777" w:rsidTr="0012671B">
        <w:trPr>
          <w:trHeight w:val="315"/>
          <w:jc w:val="center"/>
        </w:trPr>
        <w:tc>
          <w:tcPr>
            <w:tcW w:w="2100" w:type="dxa"/>
            <w:tcBorders>
              <w:top w:val="nil"/>
              <w:left w:val="nil"/>
              <w:bottom w:val="single" w:sz="8" w:space="0" w:color="auto"/>
              <w:right w:val="nil"/>
            </w:tcBorders>
            <w:shd w:val="clear" w:color="auto" w:fill="auto"/>
            <w:noWrap/>
            <w:vAlign w:val="center"/>
            <w:hideMark/>
          </w:tcPr>
          <w:p w14:paraId="02340433" w14:textId="77777777" w:rsidR="0012671B" w:rsidRPr="005432E1" w:rsidRDefault="0012671B" w:rsidP="0012671B">
            <w:pPr>
              <w:rPr>
                <w:rFonts w:asciiTheme="minorHAnsi" w:hAnsiTheme="minorHAnsi"/>
                <w:color w:val="000000"/>
                <w:sz w:val="20"/>
                <w:szCs w:val="20"/>
              </w:rPr>
            </w:pPr>
            <w:r w:rsidRPr="005432E1">
              <w:rPr>
                <w:rFonts w:asciiTheme="minorHAnsi" w:hAnsiTheme="minorHAnsi"/>
                <w:color w:val="000000"/>
                <w:sz w:val="20"/>
                <w:szCs w:val="20"/>
              </w:rPr>
              <w:t>FIANÇA</w:t>
            </w:r>
          </w:p>
        </w:tc>
        <w:tc>
          <w:tcPr>
            <w:tcW w:w="2980" w:type="dxa"/>
            <w:tcBorders>
              <w:top w:val="nil"/>
              <w:left w:val="nil"/>
              <w:bottom w:val="single" w:sz="8" w:space="0" w:color="auto"/>
              <w:right w:val="nil"/>
            </w:tcBorders>
            <w:shd w:val="clear" w:color="auto" w:fill="auto"/>
            <w:vAlign w:val="center"/>
            <w:hideMark/>
          </w:tcPr>
          <w:p w14:paraId="2091BBE5"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569.369 </w:t>
            </w:r>
          </w:p>
        </w:tc>
        <w:tc>
          <w:tcPr>
            <w:tcW w:w="3320" w:type="dxa"/>
            <w:tcBorders>
              <w:top w:val="nil"/>
              <w:left w:val="nil"/>
              <w:bottom w:val="single" w:sz="8" w:space="0" w:color="auto"/>
              <w:right w:val="nil"/>
            </w:tcBorders>
            <w:shd w:val="clear" w:color="auto" w:fill="auto"/>
            <w:noWrap/>
            <w:vAlign w:val="center"/>
            <w:hideMark/>
          </w:tcPr>
          <w:p w14:paraId="11E20FD8"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24.301.936.304,22 </w:t>
            </w:r>
          </w:p>
        </w:tc>
      </w:tr>
      <w:tr w:rsidR="0012671B" w:rsidRPr="005432E1" w14:paraId="2CCAA96B" w14:textId="77777777" w:rsidTr="0012671B">
        <w:trPr>
          <w:trHeight w:val="315"/>
          <w:jc w:val="center"/>
        </w:trPr>
        <w:tc>
          <w:tcPr>
            <w:tcW w:w="2100" w:type="dxa"/>
            <w:tcBorders>
              <w:top w:val="nil"/>
              <w:left w:val="nil"/>
              <w:bottom w:val="single" w:sz="8" w:space="0" w:color="auto"/>
              <w:right w:val="nil"/>
            </w:tcBorders>
            <w:shd w:val="clear" w:color="auto" w:fill="auto"/>
            <w:noWrap/>
            <w:vAlign w:val="center"/>
            <w:hideMark/>
          </w:tcPr>
          <w:p w14:paraId="4F951C52" w14:textId="77777777" w:rsidR="0012671B" w:rsidRPr="005432E1" w:rsidRDefault="0012671B" w:rsidP="0012671B">
            <w:pPr>
              <w:rPr>
                <w:rFonts w:asciiTheme="minorHAnsi" w:hAnsiTheme="minorHAnsi"/>
                <w:b/>
                <w:bCs/>
                <w:color w:val="000000"/>
                <w:sz w:val="20"/>
                <w:szCs w:val="20"/>
              </w:rPr>
            </w:pPr>
            <w:r w:rsidRPr="005432E1">
              <w:rPr>
                <w:rFonts w:asciiTheme="minorHAnsi" w:hAnsiTheme="minorHAnsi"/>
                <w:b/>
                <w:bCs/>
                <w:color w:val="000000"/>
                <w:sz w:val="20"/>
                <w:szCs w:val="20"/>
              </w:rPr>
              <w:t>Total Geral</w:t>
            </w:r>
          </w:p>
        </w:tc>
        <w:tc>
          <w:tcPr>
            <w:tcW w:w="2980" w:type="dxa"/>
            <w:tcBorders>
              <w:top w:val="nil"/>
              <w:left w:val="nil"/>
              <w:bottom w:val="single" w:sz="8" w:space="0" w:color="auto"/>
              <w:right w:val="nil"/>
            </w:tcBorders>
            <w:shd w:val="clear" w:color="auto" w:fill="auto"/>
            <w:vAlign w:val="center"/>
            <w:hideMark/>
          </w:tcPr>
          <w:p w14:paraId="266C5E9E"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 xml:space="preserve">                               2.566.678 </w:t>
            </w:r>
          </w:p>
        </w:tc>
        <w:tc>
          <w:tcPr>
            <w:tcW w:w="3320" w:type="dxa"/>
            <w:tcBorders>
              <w:top w:val="nil"/>
              <w:left w:val="nil"/>
              <w:bottom w:val="single" w:sz="8" w:space="0" w:color="auto"/>
              <w:right w:val="nil"/>
            </w:tcBorders>
            <w:shd w:val="clear" w:color="auto" w:fill="auto"/>
            <w:noWrap/>
            <w:vAlign w:val="center"/>
            <w:hideMark/>
          </w:tcPr>
          <w:p w14:paraId="26768B4C" w14:textId="77777777" w:rsidR="0012671B" w:rsidRPr="005432E1" w:rsidRDefault="0012671B" w:rsidP="0012671B">
            <w:pPr>
              <w:jc w:val="right"/>
              <w:rPr>
                <w:rFonts w:asciiTheme="minorHAnsi" w:hAnsiTheme="minorHAnsi"/>
                <w:b/>
                <w:bCs/>
                <w:color w:val="000000"/>
                <w:sz w:val="20"/>
                <w:szCs w:val="20"/>
              </w:rPr>
            </w:pPr>
            <w:r w:rsidRPr="005432E1">
              <w:rPr>
                <w:rFonts w:asciiTheme="minorHAnsi" w:hAnsiTheme="minorHAnsi"/>
                <w:b/>
                <w:bCs/>
                <w:color w:val="000000"/>
                <w:sz w:val="20"/>
                <w:szCs w:val="20"/>
              </w:rPr>
              <w:t xml:space="preserve">                       82.182.125.710,89 </w:t>
            </w:r>
          </w:p>
        </w:tc>
      </w:tr>
    </w:tbl>
    <w:p w14:paraId="75D23A4C" w14:textId="77777777" w:rsidR="0012671B" w:rsidRPr="005432E1" w:rsidRDefault="00F408D3" w:rsidP="0012671B">
      <w:pPr>
        <w:pStyle w:val="Legenda"/>
        <w:rPr>
          <w:rFonts w:asciiTheme="minorHAnsi" w:eastAsiaTheme="minorHAnsi" w:hAnsiTheme="minorHAnsi"/>
          <w:b/>
          <w:i w:val="0"/>
          <w:iCs w:val="0"/>
          <w:color w:val="auto"/>
          <w:sz w:val="20"/>
          <w:szCs w:val="20"/>
          <w:lang w:eastAsia="en-US"/>
        </w:rPr>
      </w:pPr>
      <w:r w:rsidRPr="005432E1">
        <w:rPr>
          <w:rFonts w:asciiTheme="minorHAnsi" w:eastAsiaTheme="minorHAnsi" w:hAnsiTheme="minorHAnsi"/>
          <w:color w:val="auto"/>
          <w:sz w:val="20"/>
          <w:szCs w:val="20"/>
          <w:lang w:eastAsia="en-US"/>
        </w:rPr>
        <w:tab/>
      </w:r>
      <w:r w:rsidR="0012671B" w:rsidRPr="005432E1">
        <w:rPr>
          <w:rFonts w:asciiTheme="minorHAnsi" w:eastAsiaTheme="minorHAnsi" w:hAnsiTheme="minorHAnsi"/>
          <w:color w:val="auto"/>
          <w:sz w:val="20"/>
          <w:szCs w:val="20"/>
          <w:lang w:eastAsia="en-US"/>
        </w:rPr>
        <w:t>Fonte: FNDE. Posição 31.12.2017</w:t>
      </w:r>
    </w:p>
    <w:p w14:paraId="1D1359F1" w14:textId="77777777" w:rsidR="0012671B" w:rsidRPr="005432E1" w:rsidRDefault="0012671B" w:rsidP="0012671B">
      <w:pPr>
        <w:rPr>
          <w:rFonts w:asciiTheme="minorHAnsi" w:eastAsiaTheme="minorHAnsi" w:hAnsiTheme="minorHAnsi"/>
        </w:rPr>
      </w:pPr>
    </w:p>
    <w:p w14:paraId="0A6E2E6C" w14:textId="0A821866" w:rsidR="0012671B" w:rsidRPr="005432E1" w:rsidRDefault="0012671B" w:rsidP="0012671B">
      <w:pPr>
        <w:pStyle w:val="Legenda"/>
        <w:keepNext/>
        <w:ind w:firstLine="720"/>
        <w:jc w:val="both"/>
        <w:rPr>
          <w:rFonts w:asciiTheme="minorHAnsi" w:hAnsiTheme="minorHAnsi"/>
          <w:b/>
          <w:i w:val="0"/>
          <w:color w:val="auto"/>
          <w:sz w:val="24"/>
          <w:szCs w:val="24"/>
          <w:lang w:eastAsia="en-US"/>
        </w:rPr>
      </w:pPr>
      <w:r w:rsidRPr="005432E1">
        <w:rPr>
          <w:rFonts w:asciiTheme="minorHAnsi" w:hAnsiTheme="minorHAnsi"/>
          <w:i w:val="0"/>
          <w:color w:val="auto"/>
          <w:sz w:val="24"/>
          <w:szCs w:val="24"/>
          <w:lang w:eastAsia="en-US"/>
        </w:rPr>
        <w:t xml:space="preserve">De acordo com o art. 21 do Estatuto do FGEDUC, a honra da garantia relativa ao saldo devedor da operação inadimplida, observados os encargos de normalidade do financiamento e o percentual de 80% ou 90%, poderá ser solicitada pelo agente operador do Fies após decorridos 360 (trezentos e sessenta) dias consecutivos da inadimplência verificada a partir da fase de amortização do financiamento. Em 31.12.17, 116.969 contratos apresentam condições passíveis de honra pelo FGEDUC (Tabela </w:t>
      </w:r>
      <w:r w:rsidR="00880268" w:rsidRPr="005432E1">
        <w:rPr>
          <w:rFonts w:asciiTheme="minorHAnsi" w:hAnsiTheme="minorHAnsi"/>
          <w:i w:val="0"/>
          <w:color w:val="auto"/>
          <w:sz w:val="24"/>
          <w:szCs w:val="24"/>
          <w:lang w:eastAsia="en-US"/>
        </w:rPr>
        <w:t>70</w:t>
      </w:r>
      <w:r w:rsidRPr="005432E1">
        <w:rPr>
          <w:rFonts w:asciiTheme="minorHAnsi" w:hAnsiTheme="minorHAnsi"/>
          <w:i w:val="0"/>
          <w:color w:val="auto"/>
          <w:sz w:val="24"/>
          <w:szCs w:val="24"/>
          <w:lang w:eastAsia="en-US"/>
        </w:rPr>
        <w:t>).</w:t>
      </w:r>
    </w:p>
    <w:p w14:paraId="3FF79DBB" w14:textId="3BEEC52A" w:rsidR="0012671B" w:rsidRPr="005432E1" w:rsidRDefault="00A81DAD" w:rsidP="0012671B">
      <w:pPr>
        <w:pStyle w:val="Legenda"/>
        <w:keepNext/>
        <w:rPr>
          <w:rFonts w:asciiTheme="minorHAnsi" w:hAnsiTheme="minorHAnsi"/>
          <w:b/>
          <w:i w:val="0"/>
          <w:sz w:val="24"/>
          <w:szCs w:val="24"/>
        </w:rPr>
      </w:pPr>
      <w:r w:rsidRPr="005432E1">
        <w:rPr>
          <w:rFonts w:asciiTheme="minorHAnsi" w:hAnsiTheme="minorHAnsi"/>
          <w:sz w:val="20"/>
        </w:rPr>
        <w:tab/>
      </w:r>
      <w:r w:rsidRPr="005432E1">
        <w:rPr>
          <w:rFonts w:asciiTheme="minorHAnsi" w:hAnsiTheme="minorHAnsi"/>
          <w:b/>
          <w:i w:val="0"/>
          <w:color w:val="auto"/>
          <w:sz w:val="24"/>
          <w:szCs w:val="24"/>
        </w:rPr>
        <w:tab/>
      </w:r>
      <w:r w:rsidR="0012671B" w:rsidRPr="005432E1">
        <w:rPr>
          <w:rFonts w:asciiTheme="minorHAnsi" w:hAnsiTheme="minorHAnsi"/>
          <w:b/>
          <w:i w:val="0"/>
          <w:color w:val="auto"/>
          <w:sz w:val="24"/>
          <w:szCs w:val="24"/>
        </w:rPr>
        <w:t xml:space="preserve">Tabela </w:t>
      </w:r>
      <w:r w:rsidR="00880268" w:rsidRPr="005432E1">
        <w:rPr>
          <w:rFonts w:asciiTheme="minorHAnsi" w:hAnsiTheme="minorHAnsi"/>
          <w:b/>
          <w:i w:val="0"/>
          <w:color w:val="auto"/>
          <w:sz w:val="24"/>
          <w:szCs w:val="24"/>
        </w:rPr>
        <w:t>70</w:t>
      </w:r>
      <w:r w:rsidR="0012671B" w:rsidRPr="005432E1">
        <w:rPr>
          <w:rFonts w:asciiTheme="minorHAnsi" w:hAnsiTheme="minorHAnsi"/>
          <w:b/>
          <w:i w:val="0"/>
          <w:color w:val="auto"/>
          <w:sz w:val="24"/>
          <w:szCs w:val="24"/>
        </w:rPr>
        <w:t xml:space="preserve"> – FGEDUC - Atrasos superiores a 360 dias na fase de amortização</w:t>
      </w:r>
    </w:p>
    <w:tbl>
      <w:tblPr>
        <w:tblW w:w="8671" w:type="dxa"/>
        <w:jc w:val="center"/>
        <w:tblCellMar>
          <w:left w:w="70" w:type="dxa"/>
          <w:right w:w="70" w:type="dxa"/>
        </w:tblCellMar>
        <w:tblLook w:val="04A0" w:firstRow="1" w:lastRow="0" w:firstColumn="1" w:lastColumn="0" w:noHBand="0" w:noVBand="1"/>
      </w:tblPr>
      <w:tblGrid>
        <w:gridCol w:w="1593"/>
        <w:gridCol w:w="2338"/>
        <w:gridCol w:w="2370"/>
        <w:gridCol w:w="2370"/>
      </w:tblGrid>
      <w:tr w:rsidR="0012671B" w:rsidRPr="005432E1" w14:paraId="5E31803A" w14:textId="77777777" w:rsidTr="0012671B">
        <w:trPr>
          <w:trHeight w:val="274"/>
          <w:jc w:val="center"/>
        </w:trPr>
        <w:tc>
          <w:tcPr>
            <w:tcW w:w="1593" w:type="dxa"/>
            <w:tcBorders>
              <w:top w:val="single" w:sz="12" w:space="0" w:color="auto"/>
              <w:left w:val="nil"/>
              <w:bottom w:val="single" w:sz="12" w:space="0" w:color="auto"/>
              <w:right w:val="single" w:sz="4" w:space="0" w:color="auto"/>
            </w:tcBorders>
            <w:shd w:val="clear" w:color="auto" w:fill="auto"/>
            <w:noWrap/>
            <w:vAlign w:val="bottom"/>
            <w:hideMark/>
          </w:tcPr>
          <w:p w14:paraId="196AE720" w14:textId="77777777" w:rsidR="0012671B" w:rsidRPr="005432E1" w:rsidRDefault="0012671B" w:rsidP="0012671B">
            <w:pPr>
              <w:jc w:val="center"/>
              <w:rPr>
                <w:rFonts w:asciiTheme="minorHAnsi" w:hAnsiTheme="minorHAnsi"/>
                <w:b/>
                <w:bCs/>
                <w:sz w:val="20"/>
                <w:szCs w:val="20"/>
              </w:rPr>
            </w:pPr>
            <w:r w:rsidRPr="005432E1">
              <w:rPr>
                <w:rFonts w:asciiTheme="minorHAnsi" w:hAnsiTheme="minorHAnsi"/>
                <w:b/>
                <w:bCs/>
                <w:sz w:val="20"/>
                <w:szCs w:val="20"/>
              </w:rPr>
              <w:t>FGEDUC</w:t>
            </w:r>
          </w:p>
        </w:tc>
        <w:tc>
          <w:tcPr>
            <w:tcW w:w="2338" w:type="dxa"/>
            <w:tcBorders>
              <w:top w:val="single" w:sz="12" w:space="0" w:color="auto"/>
              <w:left w:val="nil"/>
              <w:bottom w:val="single" w:sz="12" w:space="0" w:color="auto"/>
              <w:right w:val="single" w:sz="4" w:space="0" w:color="auto"/>
            </w:tcBorders>
            <w:shd w:val="clear" w:color="auto" w:fill="auto"/>
            <w:noWrap/>
            <w:vAlign w:val="bottom"/>
            <w:hideMark/>
          </w:tcPr>
          <w:p w14:paraId="35318873" w14:textId="77777777" w:rsidR="0012671B" w:rsidRPr="005432E1" w:rsidRDefault="0012671B" w:rsidP="0012671B">
            <w:pPr>
              <w:jc w:val="center"/>
              <w:rPr>
                <w:rFonts w:asciiTheme="minorHAnsi" w:hAnsiTheme="minorHAnsi"/>
                <w:b/>
                <w:bCs/>
                <w:sz w:val="20"/>
                <w:szCs w:val="20"/>
              </w:rPr>
            </w:pPr>
            <w:r w:rsidRPr="005432E1">
              <w:rPr>
                <w:rFonts w:asciiTheme="minorHAnsi" w:hAnsiTheme="minorHAnsi"/>
                <w:b/>
                <w:bCs/>
                <w:sz w:val="20"/>
                <w:szCs w:val="20"/>
              </w:rPr>
              <w:t>Contratos em atraso</w:t>
            </w:r>
          </w:p>
        </w:tc>
        <w:tc>
          <w:tcPr>
            <w:tcW w:w="2370" w:type="dxa"/>
            <w:tcBorders>
              <w:top w:val="single" w:sz="12" w:space="0" w:color="auto"/>
              <w:left w:val="nil"/>
              <w:bottom w:val="single" w:sz="12" w:space="0" w:color="auto"/>
              <w:right w:val="single" w:sz="4" w:space="0" w:color="auto"/>
            </w:tcBorders>
            <w:shd w:val="clear" w:color="auto" w:fill="auto"/>
            <w:noWrap/>
            <w:vAlign w:val="bottom"/>
            <w:hideMark/>
          </w:tcPr>
          <w:p w14:paraId="484C64BD" w14:textId="77777777" w:rsidR="0012671B" w:rsidRPr="005432E1" w:rsidRDefault="0012671B" w:rsidP="0012671B">
            <w:pPr>
              <w:jc w:val="center"/>
              <w:rPr>
                <w:rFonts w:asciiTheme="minorHAnsi" w:hAnsiTheme="minorHAnsi"/>
                <w:b/>
                <w:bCs/>
                <w:sz w:val="20"/>
                <w:szCs w:val="20"/>
              </w:rPr>
            </w:pPr>
            <w:r w:rsidRPr="005432E1">
              <w:rPr>
                <w:rFonts w:asciiTheme="minorHAnsi" w:hAnsiTheme="minorHAnsi"/>
                <w:b/>
                <w:bCs/>
                <w:sz w:val="20"/>
                <w:szCs w:val="20"/>
              </w:rPr>
              <w:t>Valor da dívida no AF</w:t>
            </w:r>
          </w:p>
        </w:tc>
        <w:tc>
          <w:tcPr>
            <w:tcW w:w="2370" w:type="dxa"/>
            <w:tcBorders>
              <w:top w:val="single" w:sz="12" w:space="0" w:color="auto"/>
              <w:left w:val="nil"/>
              <w:bottom w:val="single" w:sz="12" w:space="0" w:color="auto"/>
              <w:right w:val="nil"/>
            </w:tcBorders>
            <w:shd w:val="clear" w:color="auto" w:fill="auto"/>
            <w:noWrap/>
            <w:vAlign w:val="bottom"/>
            <w:hideMark/>
          </w:tcPr>
          <w:p w14:paraId="35C19302" w14:textId="77777777" w:rsidR="0012671B" w:rsidRPr="005432E1" w:rsidRDefault="0012671B" w:rsidP="0012671B">
            <w:pPr>
              <w:jc w:val="center"/>
              <w:rPr>
                <w:rFonts w:asciiTheme="minorHAnsi" w:hAnsiTheme="minorHAnsi"/>
                <w:b/>
                <w:bCs/>
                <w:sz w:val="20"/>
                <w:szCs w:val="20"/>
              </w:rPr>
            </w:pPr>
            <w:r w:rsidRPr="005432E1">
              <w:rPr>
                <w:rFonts w:asciiTheme="minorHAnsi" w:hAnsiTheme="minorHAnsi"/>
                <w:b/>
                <w:bCs/>
                <w:sz w:val="20"/>
                <w:szCs w:val="20"/>
              </w:rPr>
              <w:t>Valor Garantido</w:t>
            </w:r>
          </w:p>
        </w:tc>
      </w:tr>
      <w:tr w:rsidR="0012671B" w:rsidRPr="005432E1" w14:paraId="27A5FAE6" w14:textId="77777777" w:rsidTr="0012671B">
        <w:trPr>
          <w:trHeight w:val="262"/>
          <w:jc w:val="center"/>
        </w:trPr>
        <w:tc>
          <w:tcPr>
            <w:tcW w:w="1593" w:type="dxa"/>
            <w:tcBorders>
              <w:top w:val="nil"/>
              <w:left w:val="nil"/>
              <w:bottom w:val="single" w:sz="4" w:space="0" w:color="auto"/>
              <w:right w:val="single" w:sz="4" w:space="0" w:color="auto"/>
            </w:tcBorders>
            <w:shd w:val="clear" w:color="auto" w:fill="auto"/>
            <w:noWrap/>
            <w:vAlign w:val="bottom"/>
            <w:hideMark/>
          </w:tcPr>
          <w:p w14:paraId="2C111C5F" w14:textId="77777777" w:rsidR="0012671B" w:rsidRPr="005432E1" w:rsidRDefault="0012671B" w:rsidP="0012671B">
            <w:pPr>
              <w:rPr>
                <w:rFonts w:asciiTheme="minorHAnsi" w:hAnsiTheme="minorHAnsi"/>
                <w:sz w:val="20"/>
                <w:szCs w:val="20"/>
              </w:rPr>
            </w:pPr>
            <w:r w:rsidRPr="005432E1">
              <w:rPr>
                <w:rFonts w:asciiTheme="minorHAnsi" w:hAnsiTheme="minorHAnsi"/>
                <w:sz w:val="20"/>
                <w:szCs w:val="20"/>
              </w:rPr>
              <w:t xml:space="preserve">FGEDUC 80% </w:t>
            </w:r>
          </w:p>
        </w:tc>
        <w:tc>
          <w:tcPr>
            <w:tcW w:w="2338" w:type="dxa"/>
            <w:tcBorders>
              <w:top w:val="nil"/>
              <w:left w:val="nil"/>
              <w:bottom w:val="single" w:sz="4" w:space="0" w:color="auto"/>
              <w:right w:val="single" w:sz="4" w:space="0" w:color="auto"/>
            </w:tcBorders>
            <w:shd w:val="clear" w:color="auto" w:fill="auto"/>
            <w:noWrap/>
            <w:vAlign w:val="bottom"/>
            <w:hideMark/>
          </w:tcPr>
          <w:p w14:paraId="277A202F"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29.636</w:t>
            </w:r>
          </w:p>
        </w:tc>
        <w:tc>
          <w:tcPr>
            <w:tcW w:w="2370" w:type="dxa"/>
            <w:tcBorders>
              <w:top w:val="nil"/>
              <w:left w:val="nil"/>
              <w:bottom w:val="single" w:sz="4" w:space="0" w:color="auto"/>
              <w:right w:val="single" w:sz="4" w:space="0" w:color="auto"/>
            </w:tcBorders>
            <w:shd w:val="clear" w:color="auto" w:fill="auto"/>
            <w:noWrap/>
            <w:vAlign w:val="bottom"/>
            <w:hideMark/>
          </w:tcPr>
          <w:p w14:paraId="13318358"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 xml:space="preserve">  R$ 614.355.805,73</w:t>
            </w:r>
          </w:p>
        </w:tc>
        <w:tc>
          <w:tcPr>
            <w:tcW w:w="2370" w:type="dxa"/>
            <w:tcBorders>
              <w:top w:val="nil"/>
              <w:left w:val="nil"/>
              <w:bottom w:val="single" w:sz="4" w:space="0" w:color="auto"/>
              <w:right w:val="nil"/>
            </w:tcBorders>
            <w:shd w:val="clear" w:color="auto" w:fill="auto"/>
            <w:noWrap/>
            <w:vAlign w:val="bottom"/>
            <w:hideMark/>
          </w:tcPr>
          <w:p w14:paraId="6D887965"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 xml:space="preserve"> R$ 491.484.644,58</w:t>
            </w:r>
          </w:p>
        </w:tc>
      </w:tr>
      <w:tr w:rsidR="0012671B" w:rsidRPr="005432E1" w14:paraId="7BBB1B36" w14:textId="77777777" w:rsidTr="0012671B">
        <w:trPr>
          <w:trHeight w:val="249"/>
          <w:jc w:val="center"/>
        </w:trPr>
        <w:tc>
          <w:tcPr>
            <w:tcW w:w="1593" w:type="dxa"/>
            <w:tcBorders>
              <w:top w:val="nil"/>
              <w:left w:val="nil"/>
              <w:bottom w:val="single" w:sz="4" w:space="0" w:color="auto"/>
              <w:right w:val="single" w:sz="4" w:space="0" w:color="auto"/>
            </w:tcBorders>
            <w:shd w:val="clear" w:color="auto" w:fill="auto"/>
            <w:noWrap/>
            <w:vAlign w:val="bottom"/>
            <w:hideMark/>
          </w:tcPr>
          <w:p w14:paraId="25970FEA" w14:textId="77777777" w:rsidR="0012671B" w:rsidRPr="005432E1" w:rsidRDefault="0012671B" w:rsidP="0012671B">
            <w:pPr>
              <w:rPr>
                <w:rFonts w:asciiTheme="minorHAnsi" w:hAnsiTheme="minorHAnsi"/>
                <w:sz w:val="20"/>
                <w:szCs w:val="20"/>
              </w:rPr>
            </w:pPr>
            <w:r w:rsidRPr="005432E1">
              <w:rPr>
                <w:rFonts w:asciiTheme="minorHAnsi" w:hAnsiTheme="minorHAnsi"/>
                <w:sz w:val="20"/>
                <w:szCs w:val="20"/>
              </w:rPr>
              <w:t>FGEDUC 90%</w:t>
            </w:r>
          </w:p>
        </w:tc>
        <w:tc>
          <w:tcPr>
            <w:tcW w:w="2338" w:type="dxa"/>
            <w:tcBorders>
              <w:top w:val="nil"/>
              <w:left w:val="nil"/>
              <w:bottom w:val="single" w:sz="4" w:space="0" w:color="auto"/>
              <w:right w:val="single" w:sz="4" w:space="0" w:color="auto"/>
            </w:tcBorders>
            <w:shd w:val="clear" w:color="auto" w:fill="auto"/>
            <w:noWrap/>
            <w:vAlign w:val="bottom"/>
            <w:hideMark/>
          </w:tcPr>
          <w:p w14:paraId="2F4A4CFD"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87.333</w:t>
            </w:r>
          </w:p>
        </w:tc>
        <w:tc>
          <w:tcPr>
            <w:tcW w:w="2370" w:type="dxa"/>
            <w:tcBorders>
              <w:top w:val="nil"/>
              <w:left w:val="nil"/>
              <w:bottom w:val="single" w:sz="4" w:space="0" w:color="auto"/>
              <w:right w:val="single" w:sz="4" w:space="0" w:color="auto"/>
            </w:tcBorders>
            <w:shd w:val="clear" w:color="auto" w:fill="auto"/>
            <w:noWrap/>
            <w:vAlign w:val="bottom"/>
            <w:hideMark/>
          </w:tcPr>
          <w:p w14:paraId="50785C9A"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R$ 1.177.322.355,75</w:t>
            </w:r>
          </w:p>
        </w:tc>
        <w:tc>
          <w:tcPr>
            <w:tcW w:w="2370" w:type="dxa"/>
            <w:tcBorders>
              <w:top w:val="nil"/>
              <w:left w:val="nil"/>
              <w:bottom w:val="single" w:sz="4" w:space="0" w:color="auto"/>
              <w:right w:val="nil"/>
            </w:tcBorders>
            <w:shd w:val="clear" w:color="auto" w:fill="auto"/>
            <w:noWrap/>
            <w:vAlign w:val="bottom"/>
            <w:hideMark/>
          </w:tcPr>
          <w:p w14:paraId="34855FDB"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R$ 1.059.590.120,18</w:t>
            </w:r>
          </w:p>
        </w:tc>
      </w:tr>
      <w:tr w:rsidR="0012671B" w:rsidRPr="005432E1" w14:paraId="6F62A0CB" w14:textId="77777777" w:rsidTr="0012671B">
        <w:trPr>
          <w:trHeight w:val="112"/>
          <w:jc w:val="center"/>
        </w:trPr>
        <w:tc>
          <w:tcPr>
            <w:tcW w:w="1593" w:type="dxa"/>
            <w:tcBorders>
              <w:top w:val="nil"/>
              <w:left w:val="nil"/>
              <w:bottom w:val="single" w:sz="12" w:space="0" w:color="auto"/>
              <w:right w:val="single" w:sz="4" w:space="0" w:color="auto"/>
            </w:tcBorders>
            <w:shd w:val="clear" w:color="auto" w:fill="auto"/>
            <w:noWrap/>
            <w:vAlign w:val="bottom"/>
            <w:hideMark/>
          </w:tcPr>
          <w:p w14:paraId="540FF1D5" w14:textId="77777777" w:rsidR="0012671B" w:rsidRPr="005432E1" w:rsidRDefault="0012671B" w:rsidP="0012671B">
            <w:pPr>
              <w:rPr>
                <w:rFonts w:asciiTheme="minorHAnsi" w:hAnsiTheme="minorHAnsi"/>
                <w:sz w:val="20"/>
                <w:szCs w:val="20"/>
              </w:rPr>
            </w:pPr>
            <w:r w:rsidRPr="005432E1">
              <w:rPr>
                <w:rFonts w:asciiTheme="minorHAnsi" w:hAnsiTheme="minorHAnsi"/>
                <w:sz w:val="20"/>
                <w:szCs w:val="20"/>
              </w:rPr>
              <w:t>Total</w:t>
            </w:r>
          </w:p>
        </w:tc>
        <w:tc>
          <w:tcPr>
            <w:tcW w:w="2338" w:type="dxa"/>
            <w:tcBorders>
              <w:top w:val="nil"/>
              <w:left w:val="nil"/>
              <w:bottom w:val="single" w:sz="12" w:space="0" w:color="auto"/>
              <w:right w:val="single" w:sz="4" w:space="0" w:color="auto"/>
            </w:tcBorders>
            <w:shd w:val="clear" w:color="auto" w:fill="auto"/>
            <w:noWrap/>
            <w:vAlign w:val="bottom"/>
            <w:hideMark/>
          </w:tcPr>
          <w:p w14:paraId="02BD651B" w14:textId="77777777" w:rsidR="0012671B" w:rsidRPr="005432E1" w:rsidRDefault="0012671B" w:rsidP="0012671B">
            <w:pPr>
              <w:jc w:val="right"/>
              <w:rPr>
                <w:rFonts w:asciiTheme="minorHAnsi" w:hAnsiTheme="minorHAnsi"/>
                <w:sz w:val="20"/>
                <w:szCs w:val="20"/>
              </w:rPr>
            </w:pPr>
            <w:r w:rsidRPr="005432E1">
              <w:rPr>
                <w:rFonts w:asciiTheme="minorHAnsi" w:hAnsiTheme="minorHAnsi"/>
                <w:sz w:val="20"/>
                <w:szCs w:val="20"/>
              </w:rPr>
              <w:t>116.969</w:t>
            </w:r>
          </w:p>
        </w:tc>
        <w:tc>
          <w:tcPr>
            <w:tcW w:w="2370" w:type="dxa"/>
            <w:tcBorders>
              <w:top w:val="nil"/>
              <w:left w:val="nil"/>
              <w:bottom w:val="single" w:sz="12" w:space="0" w:color="auto"/>
              <w:right w:val="single" w:sz="4" w:space="0" w:color="auto"/>
            </w:tcBorders>
            <w:shd w:val="clear" w:color="auto" w:fill="auto"/>
            <w:noWrap/>
            <w:vAlign w:val="bottom"/>
            <w:hideMark/>
          </w:tcPr>
          <w:p w14:paraId="36DC5F6D"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R$ 1.791.678.161,48</w:t>
            </w:r>
          </w:p>
        </w:tc>
        <w:tc>
          <w:tcPr>
            <w:tcW w:w="2370" w:type="dxa"/>
            <w:tcBorders>
              <w:top w:val="nil"/>
              <w:left w:val="nil"/>
              <w:bottom w:val="single" w:sz="12" w:space="0" w:color="auto"/>
              <w:right w:val="nil"/>
            </w:tcBorders>
            <w:shd w:val="clear" w:color="auto" w:fill="auto"/>
            <w:noWrap/>
            <w:vAlign w:val="bottom"/>
            <w:hideMark/>
          </w:tcPr>
          <w:p w14:paraId="3F45AF4B" w14:textId="77777777" w:rsidR="0012671B" w:rsidRPr="005432E1" w:rsidRDefault="0012671B" w:rsidP="0012671B">
            <w:pPr>
              <w:jc w:val="right"/>
              <w:rPr>
                <w:rFonts w:asciiTheme="minorHAnsi" w:hAnsiTheme="minorHAnsi"/>
                <w:color w:val="000000"/>
                <w:sz w:val="20"/>
                <w:szCs w:val="20"/>
              </w:rPr>
            </w:pPr>
            <w:r w:rsidRPr="005432E1">
              <w:rPr>
                <w:rFonts w:asciiTheme="minorHAnsi" w:hAnsiTheme="minorHAnsi"/>
                <w:color w:val="000000"/>
                <w:sz w:val="20"/>
                <w:szCs w:val="20"/>
              </w:rPr>
              <w:t xml:space="preserve">  R$ 1.551.074.764,76</w:t>
            </w:r>
          </w:p>
        </w:tc>
      </w:tr>
    </w:tbl>
    <w:p w14:paraId="35BF6FB4" w14:textId="77777777" w:rsidR="0012671B" w:rsidRPr="005432E1" w:rsidRDefault="00A81DAD" w:rsidP="0012671B">
      <w:pPr>
        <w:pStyle w:val="Legenda"/>
        <w:rPr>
          <w:rFonts w:asciiTheme="minorHAnsi" w:eastAsiaTheme="minorHAnsi" w:hAnsiTheme="minorHAnsi"/>
          <w:b/>
          <w:i w:val="0"/>
          <w:iCs w:val="0"/>
          <w:sz w:val="20"/>
          <w:szCs w:val="20"/>
          <w:lang w:eastAsia="en-US"/>
        </w:rPr>
      </w:pPr>
      <w:r w:rsidRPr="005432E1">
        <w:rPr>
          <w:rFonts w:asciiTheme="minorHAnsi" w:eastAsiaTheme="minorHAnsi" w:hAnsiTheme="minorHAnsi"/>
          <w:sz w:val="12"/>
          <w:szCs w:val="12"/>
          <w:lang w:eastAsia="en-US"/>
        </w:rPr>
        <w:tab/>
      </w:r>
      <w:r w:rsidR="0012671B" w:rsidRPr="005432E1">
        <w:rPr>
          <w:rFonts w:asciiTheme="minorHAnsi" w:eastAsiaTheme="minorHAnsi" w:hAnsiTheme="minorHAnsi"/>
          <w:color w:val="auto"/>
          <w:sz w:val="20"/>
          <w:szCs w:val="20"/>
          <w:lang w:eastAsia="en-US"/>
        </w:rPr>
        <w:t>Fonte: FNDE. Posição</w:t>
      </w:r>
      <w:r w:rsidR="002E119A" w:rsidRPr="005432E1">
        <w:rPr>
          <w:rFonts w:asciiTheme="minorHAnsi" w:eastAsiaTheme="minorHAnsi" w:hAnsiTheme="minorHAnsi"/>
          <w:color w:val="auto"/>
          <w:sz w:val="20"/>
          <w:szCs w:val="20"/>
          <w:lang w:eastAsia="en-US"/>
        </w:rPr>
        <w:t xml:space="preserve"> </w:t>
      </w:r>
      <w:r w:rsidR="0012671B" w:rsidRPr="005432E1">
        <w:rPr>
          <w:rFonts w:asciiTheme="minorHAnsi" w:eastAsiaTheme="minorHAnsi" w:hAnsiTheme="minorHAnsi"/>
          <w:color w:val="auto"/>
          <w:sz w:val="20"/>
          <w:szCs w:val="20"/>
          <w:lang w:eastAsia="en-US"/>
        </w:rPr>
        <w:t>31.12.2017</w:t>
      </w:r>
    </w:p>
    <w:p w14:paraId="0C2D0BDC" w14:textId="77777777" w:rsidR="0012671B" w:rsidRPr="005432E1" w:rsidRDefault="0012671B" w:rsidP="0012671B">
      <w:pPr>
        <w:pStyle w:val="Corpodetexto"/>
        <w:rPr>
          <w:rFonts w:asciiTheme="minorHAnsi" w:hAnsiTheme="minorHAnsi"/>
        </w:rPr>
      </w:pPr>
    </w:p>
    <w:p w14:paraId="372CA4A1"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Por outro lado, o patrimônio do FGEDUC, em março de 2018, alcançou cerca de R$ 8,8 bilhões, o que, conforme o Estatuto, poderia oferecer garantia para uma carteira de crédito teórica de até R$88 bilhões. Atualmente, a carteira de crédito garantida pelo FGEDUC alcançou o valor total de R$ 57,88 bilhões.</w:t>
      </w:r>
    </w:p>
    <w:p w14:paraId="46B486AF" w14:textId="77777777" w:rsidR="0012671B" w:rsidRPr="005432E1" w:rsidRDefault="0012671B" w:rsidP="0012671B">
      <w:pPr>
        <w:pStyle w:val="Corpodetexto"/>
        <w:rPr>
          <w:rFonts w:asciiTheme="minorHAnsi" w:hAnsiTheme="minorHAnsi"/>
        </w:rPr>
      </w:pPr>
    </w:p>
    <w:p w14:paraId="169FCB62" w14:textId="77777777" w:rsidR="0012671B" w:rsidRPr="005432E1" w:rsidRDefault="0012671B" w:rsidP="0012671B">
      <w:pPr>
        <w:pStyle w:val="Corpodetexto"/>
        <w:rPr>
          <w:rFonts w:asciiTheme="minorHAnsi" w:hAnsiTheme="minorHAnsi"/>
        </w:rPr>
      </w:pPr>
      <w:r w:rsidRPr="005432E1">
        <w:rPr>
          <w:rFonts w:asciiTheme="minorHAnsi" w:hAnsiTheme="minorHAnsi"/>
        </w:rPr>
        <w:tab/>
        <w:t>Por fim, com o intuito de limitar os impactos fiscais do Fies no longo prazo, foi editada a Medica Provisória nº 785, de 6 de julho de 2017, convertida na Lei nº 13.530, de 8 de dezembro de 2017, que promoveu o aperfeiçoamento do programa de financiamento estudantil com foco na sustentabilidade e na melhoria da gestão.</w:t>
      </w:r>
    </w:p>
    <w:p w14:paraId="0B4A1FFC" w14:textId="77777777" w:rsidR="0012671B" w:rsidRPr="005432E1" w:rsidRDefault="0012671B" w:rsidP="0012671B">
      <w:pPr>
        <w:pStyle w:val="Corpodetexto"/>
        <w:ind w:firstLine="720"/>
        <w:rPr>
          <w:rFonts w:asciiTheme="minorHAnsi" w:hAnsiTheme="minorHAnsi"/>
        </w:rPr>
      </w:pPr>
    </w:p>
    <w:p w14:paraId="35B9AE8F"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 xml:space="preserve">Em relação à governança do programa, foi instituído o Comitê Gestor do Fies (Decreto de 19 de setembro de 2017), com competência para definir as diretrizes e prioridades da política de financiamento estudantil, assim como definir os requisitos de concessão, as condições técnicas e operacionais e aprovar o Plano Trienal do Fundo e seus ajustes anuais. </w:t>
      </w:r>
    </w:p>
    <w:p w14:paraId="2F6A7DA4" w14:textId="77777777" w:rsidR="0012671B" w:rsidRPr="005432E1" w:rsidRDefault="0012671B" w:rsidP="0012671B">
      <w:pPr>
        <w:pStyle w:val="Corpodetexto"/>
        <w:ind w:firstLine="720"/>
        <w:rPr>
          <w:rFonts w:asciiTheme="minorHAnsi" w:hAnsiTheme="minorHAnsi"/>
        </w:rPr>
      </w:pPr>
    </w:p>
    <w:p w14:paraId="2362C051"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 xml:space="preserve">Em relação ao risco moral do estudante, desde o segundo semestre de 2015 não é mais possível a concessão de 100% de financiamento dos encargos educacionais com recursos do Fies, em razão da implementação de nova metodologia de cálculo de coparticipação do estudante quando da concessão do financiamento. Com isso, o estudante tem condições de compreender desde a contração que se trata de um programa de financiamento estudantil e não de uma bolsa de estudo. Adicionalmente, essa medida induz o estudante a ficar mais atento às variações ocorridas no valor das mensalidades, uma vez que o valor não financiado deve ser pago com recursos próprios do grupo familiar. </w:t>
      </w:r>
    </w:p>
    <w:p w14:paraId="1E789EB2" w14:textId="77777777" w:rsidR="0012671B" w:rsidRPr="005432E1" w:rsidRDefault="0012671B" w:rsidP="0012671B">
      <w:pPr>
        <w:pStyle w:val="Corpodetexto"/>
        <w:ind w:firstLine="720"/>
        <w:rPr>
          <w:rFonts w:asciiTheme="minorHAnsi" w:hAnsiTheme="minorHAnsi"/>
        </w:rPr>
      </w:pPr>
    </w:p>
    <w:p w14:paraId="146CE025"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A partir de 2018, a oferta de novos financiamentos foi condicionada à adesão das entidades mantenedoras de instituições de ensino ao novo modelo do financiamento estudantil (Novo Fies) e ao Fundo Garantidor do Fies – FG-Fies. Dentre outras, foram implementadas medidas que contribuirão para mitigar o risco fiscal ocasionado até então pelo Fies:</w:t>
      </w:r>
    </w:p>
    <w:p w14:paraId="2FDF97E0"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Ausência de carência após a conclusão do curso;</w:t>
      </w:r>
    </w:p>
    <w:p w14:paraId="2FD23B33"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 xml:space="preserve">Participação das instituições de ensino como cotistas do FG-Fies </w:t>
      </w:r>
    </w:p>
    <w:p w14:paraId="2F35F0AA"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Contribuições para o FG-Fies em percentual proporcional à inadimplência observada na carteira de cada instituição de ensino;</w:t>
      </w:r>
    </w:p>
    <w:p w14:paraId="435E7B21"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Pagamento consignado em folha e vinculado à renda do estudante financiado;</w:t>
      </w:r>
    </w:p>
    <w:p w14:paraId="1AA684DF"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Possibilidade de renegociação do saldo devedor;</w:t>
      </w:r>
    </w:p>
    <w:p w14:paraId="0144175D"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Seguro prestamista para assegurar a liquidação do financiamento no caso de falecimento ou invalidez permanente do estudante financiado; e</w:t>
      </w:r>
    </w:p>
    <w:p w14:paraId="2C40EEAD" w14:textId="77777777" w:rsidR="0012671B" w:rsidRPr="005432E1" w:rsidRDefault="0012671B" w:rsidP="0012671B">
      <w:pPr>
        <w:pStyle w:val="Corpodetexto"/>
        <w:widowControl w:val="0"/>
        <w:numPr>
          <w:ilvl w:val="0"/>
          <w:numId w:val="29"/>
        </w:numPr>
        <w:autoSpaceDE w:val="0"/>
        <w:autoSpaceDN w:val="0"/>
        <w:rPr>
          <w:rFonts w:asciiTheme="minorHAnsi" w:hAnsiTheme="minorHAnsi"/>
        </w:rPr>
      </w:pPr>
      <w:r w:rsidRPr="005432E1">
        <w:rPr>
          <w:rFonts w:asciiTheme="minorHAnsi" w:hAnsiTheme="minorHAnsi"/>
        </w:rPr>
        <w:t>Coparticipação paga pelo estudante diretamente ao Agente Financeiro.</w:t>
      </w:r>
    </w:p>
    <w:p w14:paraId="52113CE9" w14:textId="77777777" w:rsidR="0012671B" w:rsidRPr="005432E1" w:rsidRDefault="0012671B" w:rsidP="0012671B">
      <w:pPr>
        <w:pStyle w:val="Corpodetexto"/>
        <w:rPr>
          <w:rFonts w:asciiTheme="minorHAnsi" w:hAnsiTheme="minorHAnsi"/>
        </w:rPr>
      </w:pPr>
    </w:p>
    <w:p w14:paraId="7A5AA8B8" w14:textId="77777777" w:rsidR="0012671B" w:rsidRPr="005432E1" w:rsidRDefault="0012671B" w:rsidP="0012671B">
      <w:pPr>
        <w:pStyle w:val="Corpodetexto"/>
        <w:ind w:firstLine="720"/>
        <w:rPr>
          <w:rFonts w:asciiTheme="minorHAnsi" w:hAnsiTheme="minorHAnsi"/>
        </w:rPr>
      </w:pPr>
      <w:r w:rsidRPr="005432E1">
        <w:rPr>
          <w:rFonts w:asciiTheme="minorHAnsi" w:hAnsiTheme="minorHAnsi"/>
        </w:rPr>
        <w:t>Ademais, as alterações que buscam atender ao primado da sustentabilidade do Fundo em obediência aos princípios e normativos sobre responsabilidade fiscal, acabam por contemplar indiretamente o objetivo de incremento da contribuição da política pública educacional em debate às metas relativas à educação superior do Plano Nacional de Educação (PNE) 2014-2024, pois, no longo prazo, aquelas tendem a representar retorno de orçamento de forma mais contínua e em maior volume para Fundo, o que, no futuro, poderá proporcionar oferta maior ou igual, garantindo crescimento contínuo e sustentável ao programa.</w:t>
      </w:r>
    </w:p>
    <w:p w14:paraId="03079CEC" w14:textId="77777777" w:rsidR="0012671B" w:rsidRPr="005432E1" w:rsidRDefault="0012671B" w:rsidP="00E24665">
      <w:pPr>
        <w:pStyle w:val="Corpodetexto"/>
        <w:spacing w:before="240"/>
        <w:ind w:right="102" w:firstLine="709"/>
        <w:rPr>
          <w:rFonts w:asciiTheme="minorHAnsi" w:hAnsiTheme="minorHAnsi"/>
          <w:i/>
          <w:iCs/>
          <w:color w:val="FF0000"/>
          <w:sz w:val="22"/>
          <w:szCs w:val="22"/>
        </w:rPr>
      </w:pPr>
    </w:p>
    <w:p w14:paraId="561BC9CC" w14:textId="77777777" w:rsidR="00263076" w:rsidRPr="005432E1" w:rsidRDefault="00263076" w:rsidP="00990AD4">
      <w:pPr>
        <w:pStyle w:val="Ttulo3"/>
        <w:numPr>
          <w:ilvl w:val="0"/>
          <w:numId w:val="0"/>
        </w:numPr>
        <w:rPr>
          <w:rFonts w:asciiTheme="minorHAnsi" w:hAnsiTheme="minorHAnsi" w:cs="Segoe UI"/>
          <w:b/>
          <w:sz w:val="23"/>
          <w:szCs w:val="23"/>
        </w:rPr>
      </w:pPr>
      <w:bookmarkStart w:id="235" w:name="_Toc511230038"/>
      <w:r w:rsidRPr="005432E1">
        <w:rPr>
          <w:rFonts w:asciiTheme="minorHAnsi" w:hAnsiTheme="minorHAnsi"/>
          <w:b/>
        </w:rPr>
        <w:t>3.3.6    RISCOS REFERENTES AO SISTEMA FINANCEIRO NACIONAL</w:t>
      </w:r>
      <w:bookmarkEnd w:id="235"/>
    </w:p>
    <w:p w14:paraId="03197C92" w14:textId="77777777" w:rsidR="00263076" w:rsidRPr="005432E1" w:rsidRDefault="00263076" w:rsidP="00263076">
      <w:pPr>
        <w:shd w:val="clear" w:color="auto" w:fill="FFFFFF"/>
        <w:rPr>
          <w:rFonts w:asciiTheme="minorHAnsi" w:hAnsiTheme="minorHAnsi" w:cs="Segoe UI"/>
          <w:color w:val="212121"/>
          <w:sz w:val="23"/>
          <w:szCs w:val="23"/>
        </w:rPr>
      </w:pPr>
      <w:r w:rsidRPr="005432E1">
        <w:rPr>
          <w:rFonts w:asciiTheme="minorHAnsi" w:hAnsiTheme="minorHAnsi"/>
          <w:b/>
          <w:bCs/>
          <w:color w:val="212121"/>
        </w:rPr>
        <w:t> </w:t>
      </w:r>
    </w:p>
    <w:p w14:paraId="03CC8EE9" w14:textId="77777777" w:rsidR="00263076" w:rsidRPr="005432E1" w:rsidRDefault="00C66566" w:rsidP="00131598">
      <w:pPr>
        <w:shd w:val="clear" w:color="auto" w:fill="FFFFFF"/>
        <w:jc w:val="both"/>
        <w:rPr>
          <w:rFonts w:asciiTheme="minorHAnsi" w:hAnsiTheme="minorHAnsi" w:cs="Segoe UI"/>
          <w:color w:val="212121"/>
          <w:sz w:val="23"/>
          <w:szCs w:val="23"/>
        </w:rPr>
      </w:pPr>
      <w:r w:rsidRPr="005432E1">
        <w:rPr>
          <w:rFonts w:asciiTheme="minorHAnsi" w:hAnsiTheme="minorHAnsi"/>
          <w:color w:val="212121"/>
        </w:rPr>
        <w:tab/>
      </w:r>
      <w:r w:rsidR="00263076" w:rsidRPr="005432E1">
        <w:rPr>
          <w:rFonts w:asciiTheme="minorHAnsi" w:hAnsiTheme="minorHAnsi"/>
          <w:color w:val="212121"/>
        </w:rPr>
        <w:t>O risco</w:t>
      </w:r>
      <w:r w:rsidRPr="005432E1">
        <w:rPr>
          <w:rFonts w:asciiTheme="minorHAnsi" w:hAnsiTheme="minorHAnsi"/>
        </w:rPr>
        <w:t xml:space="preserve"> atinente </w:t>
      </w:r>
      <w:r w:rsidR="00263076" w:rsidRPr="005432E1">
        <w:rPr>
          <w:rFonts w:asciiTheme="minorHAnsi" w:hAnsiTheme="minorHAnsi"/>
          <w:color w:val="212121"/>
        </w:rPr>
        <w:t>ao sistema financeiro nacional</w:t>
      </w:r>
      <w:r w:rsidR="0013607D" w:rsidRPr="005432E1">
        <w:rPr>
          <w:rFonts w:asciiTheme="minorHAnsi" w:hAnsiTheme="minorHAnsi"/>
          <w:color w:val="212121"/>
        </w:rPr>
        <w:t xml:space="preserve"> refere-se </w:t>
      </w:r>
      <w:r w:rsidR="00263076" w:rsidRPr="005432E1">
        <w:rPr>
          <w:rFonts w:asciiTheme="minorHAnsi" w:hAnsiTheme="minorHAnsi"/>
          <w:color w:val="212121"/>
        </w:rPr>
        <w:t>à eventual ocorrência de uma grave crise que enseje o aporte de recursos por parte do Tesouro Nacional a fim de estabilizá-lo.</w:t>
      </w:r>
    </w:p>
    <w:p w14:paraId="59933805" w14:textId="77777777" w:rsidR="00263076" w:rsidRPr="005432E1" w:rsidRDefault="00263076" w:rsidP="00131598">
      <w:pPr>
        <w:shd w:val="clear" w:color="auto" w:fill="FFFFFF"/>
        <w:jc w:val="both"/>
        <w:rPr>
          <w:rFonts w:asciiTheme="minorHAnsi" w:hAnsiTheme="minorHAnsi" w:cs="Segoe UI"/>
          <w:color w:val="212121"/>
          <w:sz w:val="23"/>
          <w:szCs w:val="23"/>
        </w:rPr>
      </w:pPr>
      <w:r w:rsidRPr="005432E1">
        <w:rPr>
          <w:rFonts w:asciiTheme="minorHAnsi" w:hAnsiTheme="minorHAnsi"/>
          <w:color w:val="212121"/>
        </w:rPr>
        <w:t> </w:t>
      </w:r>
    </w:p>
    <w:p w14:paraId="7FD8EB33" w14:textId="77777777" w:rsidR="00263076" w:rsidRPr="005432E1" w:rsidRDefault="00C66566" w:rsidP="00131598">
      <w:pPr>
        <w:shd w:val="clear" w:color="auto" w:fill="FFFFFF"/>
        <w:jc w:val="both"/>
        <w:rPr>
          <w:rFonts w:asciiTheme="minorHAnsi" w:hAnsiTheme="minorHAnsi" w:cs="Segoe UI"/>
          <w:color w:val="212121"/>
          <w:sz w:val="23"/>
          <w:szCs w:val="23"/>
        </w:rPr>
      </w:pPr>
      <w:r w:rsidRPr="005432E1">
        <w:rPr>
          <w:rFonts w:asciiTheme="minorHAnsi" w:hAnsiTheme="minorHAnsi"/>
          <w:color w:val="212121"/>
        </w:rPr>
        <w:tab/>
      </w:r>
      <w:r w:rsidR="00263076" w:rsidRPr="005432E1">
        <w:rPr>
          <w:rFonts w:asciiTheme="minorHAnsi" w:hAnsiTheme="minorHAnsi"/>
          <w:color w:val="212121"/>
        </w:rPr>
        <w:t>Nesse contexto, faz-se necessário acompanhar a estabilidade do sistema a fim de identificar eventuais riscos que, em um cenário de elevado estresse, possam afetar a despesa e/ou o endividamento públicos.</w:t>
      </w:r>
    </w:p>
    <w:p w14:paraId="3FC3FAD0" w14:textId="77777777" w:rsidR="00263076" w:rsidRPr="005432E1" w:rsidRDefault="00263076" w:rsidP="00131598">
      <w:pPr>
        <w:shd w:val="clear" w:color="auto" w:fill="FFFFFF"/>
        <w:jc w:val="both"/>
        <w:rPr>
          <w:rFonts w:asciiTheme="minorHAnsi" w:hAnsiTheme="minorHAnsi" w:cs="Segoe UI"/>
          <w:color w:val="212121"/>
          <w:sz w:val="23"/>
          <w:szCs w:val="23"/>
        </w:rPr>
      </w:pPr>
      <w:r w:rsidRPr="005432E1">
        <w:rPr>
          <w:rFonts w:asciiTheme="minorHAnsi" w:hAnsiTheme="minorHAnsi"/>
          <w:color w:val="212121"/>
        </w:rPr>
        <w:t> </w:t>
      </w:r>
    </w:p>
    <w:p w14:paraId="5C79DDFE" w14:textId="77777777" w:rsidR="00BC4B68" w:rsidRPr="005432E1" w:rsidRDefault="00C66566" w:rsidP="00131598">
      <w:pPr>
        <w:shd w:val="clear" w:color="auto" w:fill="FFFFFF"/>
        <w:jc w:val="both"/>
        <w:rPr>
          <w:rFonts w:asciiTheme="minorHAnsi" w:hAnsiTheme="minorHAnsi"/>
          <w:color w:val="212121"/>
        </w:rPr>
      </w:pPr>
      <w:r w:rsidRPr="005432E1">
        <w:rPr>
          <w:rFonts w:asciiTheme="minorHAnsi" w:hAnsiTheme="minorHAnsi"/>
          <w:color w:val="212121"/>
        </w:rPr>
        <w:tab/>
      </w:r>
      <w:r w:rsidR="00263076" w:rsidRPr="005432E1">
        <w:rPr>
          <w:rFonts w:asciiTheme="minorHAnsi" w:hAnsiTheme="minorHAnsi"/>
          <w:color w:val="212121"/>
        </w:rPr>
        <w:t>As avaliações da liquidez, crédito, rentabilidade, solvência, testes de estresse de capital, da Pesquisa de Estabilidade Financeira e das Infraestruturas do mercado financeiro sistemicamente importantes disponíveis no Relatório de Estabilidade Financeira do Banco Central</w:t>
      </w:r>
      <w:r w:rsidR="003F141B" w:rsidRPr="005432E1">
        <w:rPr>
          <w:rStyle w:val="Refdenotaderodap"/>
          <w:rFonts w:asciiTheme="minorHAnsi" w:hAnsiTheme="minorHAnsi"/>
          <w:color w:val="212121"/>
        </w:rPr>
        <w:footnoteReference w:id="13"/>
      </w:r>
      <w:r w:rsidR="00793D7B" w:rsidRPr="005432E1">
        <w:rPr>
          <w:rFonts w:asciiTheme="minorHAnsi" w:hAnsiTheme="minorHAnsi"/>
          <w:color w:val="212121"/>
        </w:rPr>
        <w:t xml:space="preserve"> </w:t>
      </w:r>
      <w:r w:rsidR="00263076" w:rsidRPr="005432E1">
        <w:rPr>
          <w:rFonts w:asciiTheme="minorHAnsi" w:hAnsiTheme="minorHAnsi"/>
          <w:color w:val="212121"/>
        </w:rPr>
        <w:t>apontam para a inexistência de riscos relevantes que justifiquem eventual aporte de recursos do Tesouro Nacional no sistema.</w:t>
      </w:r>
    </w:p>
    <w:p w14:paraId="3521A343" w14:textId="77777777" w:rsidR="00093FBC" w:rsidRPr="005432E1" w:rsidRDefault="001F2AEB" w:rsidP="00DB1CC0">
      <w:pPr>
        <w:pStyle w:val="Ttulo1"/>
        <w:numPr>
          <w:ilvl w:val="0"/>
          <w:numId w:val="0"/>
        </w:numPr>
        <w:rPr>
          <w:rFonts w:asciiTheme="minorHAnsi" w:hAnsiTheme="minorHAnsi"/>
        </w:rPr>
      </w:pPr>
      <w:bookmarkStart w:id="236" w:name="_Toc510534770"/>
      <w:bookmarkStart w:id="237" w:name="_Toc510535448"/>
      <w:bookmarkStart w:id="238" w:name="_Toc5112300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432E1">
        <w:rPr>
          <w:rFonts w:asciiTheme="minorHAnsi" w:hAnsiTheme="minorHAnsi"/>
        </w:rPr>
        <w:t>4.</w:t>
      </w:r>
      <w:r w:rsidRPr="005432E1">
        <w:rPr>
          <w:rFonts w:asciiTheme="minorHAnsi" w:hAnsiTheme="minorHAnsi"/>
        </w:rPr>
        <w:tab/>
      </w:r>
      <w:r w:rsidR="00DB1CC0" w:rsidRPr="005432E1">
        <w:rPr>
          <w:rFonts w:asciiTheme="minorHAnsi" w:hAnsiTheme="minorHAnsi"/>
        </w:rPr>
        <w:t>G</w:t>
      </w:r>
      <w:r w:rsidR="00A86846" w:rsidRPr="005432E1">
        <w:rPr>
          <w:rFonts w:asciiTheme="minorHAnsi" w:hAnsiTheme="minorHAnsi"/>
        </w:rPr>
        <w:t>ESTÃO DE RISCO</w:t>
      </w:r>
      <w:bookmarkEnd w:id="236"/>
      <w:bookmarkEnd w:id="237"/>
      <w:bookmarkEnd w:id="238"/>
    </w:p>
    <w:p w14:paraId="66810320" w14:textId="77777777" w:rsidR="00DB1CC0" w:rsidRPr="005432E1" w:rsidRDefault="00DB1CC0" w:rsidP="00DB1CC0">
      <w:pPr>
        <w:rPr>
          <w:rFonts w:asciiTheme="minorHAnsi" w:hAnsiTheme="minorHAnsi"/>
          <w:b/>
        </w:rPr>
      </w:pPr>
    </w:p>
    <w:p w14:paraId="7E61CEE5" w14:textId="77777777" w:rsidR="005E2946" w:rsidRPr="005432E1" w:rsidRDefault="007808C9" w:rsidP="006F4AC5">
      <w:pPr>
        <w:spacing w:after="240"/>
        <w:ind w:firstLine="709"/>
        <w:jc w:val="both"/>
        <w:rPr>
          <w:rFonts w:asciiTheme="minorHAnsi" w:hAnsiTheme="minorHAnsi"/>
        </w:rPr>
      </w:pPr>
      <w:r w:rsidRPr="005432E1">
        <w:rPr>
          <w:rFonts w:asciiTheme="minorHAnsi" w:hAnsiTheme="minorHAnsi"/>
        </w:rPr>
        <w:t>A</w:t>
      </w:r>
      <w:r w:rsidR="005E2946" w:rsidRPr="005432E1">
        <w:rPr>
          <w:rFonts w:asciiTheme="minorHAnsi" w:hAnsiTheme="minorHAnsi"/>
        </w:rPr>
        <w:t xml:space="preserve"> gestão de riscos fiscais deve ser composta por seis funções necessárias:</w:t>
      </w:r>
    </w:p>
    <w:p w14:paraId="094B1318"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Identificação do tipo e exposição do risco;</w:t>
      </w:r>
    </w:p>
    <w:p w14:paraId="2028226A"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Mensuração dessa exposição;</w:t>
      </w:r>
    </w:p>
    <w:p w14:paraId="3EBCF3CE"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Estimativa do grau de tolerância das contas públicas;</w:t>
      </w:r>
    </w:p>
    <w:p w14:paraId="71E2019F"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Decisão estratégica sobre as opções para enfrentar os riscos;</w:t>
      </w:r>
    </w:p>
    <w:p w14:paraId="06651E29"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Implementação de condutas de controle;</w:t>
      </w:r>
      <w:r w:rsidR="006D316C" w:rsidRPr="005432E1">
        <w:rPr>
          <w:rFonts w:asciiTheme="minorHAnsi" w:hAnsiTheme="minorHAnsi"/>
        </w:rPr>
        <w:t xml:space="preserve"> e</w:t>
      </w:r>
    </w:p>
    <w:p w14:paraId="7042C5DC" w14:textId="77777777" w:rsidR="005E2946" w:rsidRPr="005432E1" w:rsidRDefault="005E2946" w:rsidP="000965CC">
      <w:pPr>
        <w:numPr>
          <w:ilvl w:val="0"/>
          <w:numId w:val="3"/>
        </w:numPr>
        <w:spacing w:after="240"/>
        <w:jc w:val="both"/>
        <w:rPr>
          <w:rFonts w:asciiTheme="minorHAnsi" w:hAnsiTheme="minorHAnsi"/>
        </w:rPr>
      </w:pPr>
      <w:r w:rsidRPr="005432E1">
        <w:rPr>
          <w:rFonts w:asciiTheme="minorHAnsi" w:hAnsiTheme="minorHAnsi"/>
        </w:rPr>
        <w:t>Monitoramento contínuo da exposição.</w:t>
      </w:r>
    </w:p>
    <w:p w14:paraId="4CAD8740" w14:textId="77777777" w:rsidR="008C3359" w:rsidRPr="005432E1" w:rsidRDefault="008C3359" w:rsidP="006F4AC5">
      <w:pPr>
        <w:autoSpaceDE w:val="0"/>
        <w:autoSpaceDN w:val="0"/>
        <w:adjustRightInd w:val="0"/>
        <w:spacing w:after="240"/>
        <w:jc w:val="both"/>
        <w:rPr>
          <w:rFonts w:asciiTheme="minorHAnsi" w:hAnsiTheme="minorHAnsi"/>
        </w:rPr>
      </w:pPr>
      <w:r w:rsidRPr="005432E1">
        <w:rPr>
          <w:rFonts w:asciiTheme="minorHAnsi" w:hAnsiTheme="minorHAnsi"/>
        </w:rPr>
        <w:tab/>
      </w:r>
      <w:r w:rsidR="00187E1A" w:rsidRPr="005432E1">
        <w:rPr>
          <w:rFonts w:asciiTheme="minorHAnsi" w:hAnsiTheme="minorHAnsi"/>
        </w:rPr>
        <w:t>A gestão de riscos</w:t>
      </w:r>
      <w:r w:rsidR="00081B82" w:rsidRPr="005432E1">
        <w:rPr>
          <w:rFonts w:asciiTheme="minorHAnsi" w:hAnsiTheme="minorHAnsi"/>
        </w:rPr>
        <w:t xml:space="preserve"> </w:t>
      </w:r>
      <w:r w:rsidR="00187E1A" w:rsidRPr="005432E1">
        <w:rPr>
          <w:rFonts w:asciiTheme="minorHAnsi" w:hAnsiTheme="minorHAnsi"/>
        </w:rPr>
        <w:t xml:space="preserve">no âmbito do Governo Federal </w:t>
      </w:r>
      <w:r w:rsidR="00A26BFA" w:rsidRPr="005432E1">
        <w:rPr>
          <w:rFonts w:asciiTheme="minorHAnsi" w:hAnsiTheme="minorHAnsi"/>
        </w:rPr>
        <w:t>tem sido objeto de diversos aprimoramentos, em especial no período recente, muito embora se vislumbrem diversas oportunidade</w:t>
      </w:r>
      <w:r w:rsidR="008344FC" w:rsidRPr="005432E1">
        <w:rPr>
          <w:rFonts w:asciiTheme="minorHAnsi" w:hAnsiTheme="minorHAnsi"/>
        </w:rPr>
        <w:t>s</w:t>
      </w:r>
      <w:r w:rsidR="00A26BFA" w:rsidRPr="005432E1">
        <w:rPr>
          <w:rFonts w:asciiTheme="minorHAnsi" w:hAnsiTheme="minorHAnsi"/>
        </w:rPr>
        <w:t xml:space="preserve"> de melhoria ainda por serem implementadas.</w:t>
      </w:r>
      <w:r w:rsidR="0059051E" w:rsidRPr="005432E1">
        <w:rPr>
          <w:rFonts w:asciiTheme="minorHAnsi" w:hAnsiTheme="minorHAnsi"/>
        </w:rPr>
        <w:t xml:space="preserve"> </w:t>
      </w:r>
      <w:r w:rsidR="00080B94" w:rsidRPr="005432E1">
        <w:rPr>
          <w:rFonts w:asciiTheme="minorHAnsi" w:hAnsiTheme="minorHAnsi"/>
        </w:rPr>
        <w:t xml:space="preserve">O reconhecimento da importância desse tema levou a Secretaria de Orçamento Federal (SOF) do Ministério do Planejamento, </w:t>
      </w:r>
      <w:r w:rsidR="00BC4B68" w:rsidRPr="005432E1">
        <w:rPr>
          <w:rFonts w:asciiTheme="minorHAnsi" w:hAnsiTheme="minorHAnsi"/>
        </w:rPr>
        <w:t>Desenvolvimento</w:t>
      </w:r>
      <w:r w:rsidR="00080B94" w:rsidRPr="005432E1">
        <w:rPr>
          <w:rFonts w:asciiTheme="minorHAnsi" w:hAnsiTheme="minorHAnsi"/>
        </w:rPr>
        <w:t xml:space="preserve"> e Gestão a implementar projeto específico que trata da gestão de riscos no processo de elaboração do Orçamento Geral da União</w:t>
      </w:r>
      <w:r w:rsidR="0082398C" w:rsidRPr="005432E1">
        <w:rPr>
          <w:rFonts w:asciiTheme="minorHAnsi" w:hAnsiTheme="minorHAnsi"/>
        </w:rPr>
        <w:t xml:space="preserve">. O projeto tem duração de </w:t>
      </w:r>
      <w:r w:rsidR="00080B94" w:rsidRPr="005432E1">
        <w:rPr>
          <w:rFonts w:asciiTheme="minorHAnsi" w:hAnsiTheme="minorHAnsi"/>
        </w:rPr>
        <w:t xml:space="preserve">trinta e dois meses </w:t>
      </w:r>
      <w:r w:rsidR="0082398C" w:rsidRPr="005432E1">
        <w:rPr>
          <w:rFonts w:asciiTheme="minorHAnsi" w:hAnsiTheme="minorHAnsi"/>
        </w:rPr>
        <w:t xml:space="preserve">e previsão de término para </w:t>
      </w:r>
      <w:r w:rsidR="00080B94" w:rsidRPr="005432E1">
        <w:rPr>
          <w:rFonts w:asciiTheme="minorHAnsi" w:hAnsiTheme="minorHAnsi"/>
        </w:rPr>
        <w:t>junho/2018.</w:t>
      </w:r>
      <w:r w:rsidRPr="005432E1">
        <w:rPr>
          <w:rFonts w:asciiTheme="minorHAnsi" w:hAnsiTheme="minorHAnsi"/>
        </w:rPr>
        <w:t xml:space="preserve"> </w:t>
      </w:r>
    </w:p>
    <w:p w14:paraId="382A85AE" w14:textId="77777777" w:rsidR="00727529" w:rsidRPr="005432E1" w:rsidRDefault="008C3359" w:rsidP="00C33C94">
      <w:pPr>
        <w:rPr>
          <w:rFonts w:asciiTheme="minorHAnsi" w:hAnsiTheme="minorHAnsi"/>
        </w:rPr>
      </w:pPr>
      <w:r w:rsidRPr="005432E1">
        <w:rPr>
          <w:rFonts w:asciiTheme="minorHAnsi" w:hAnsiTheme="minorHAnsi"/>
        </w:rPr>
        <w:tab/>
        <w:t xml:space="preserve">Na mesma linha, a Secretaria do Tesouro Nacional criou uma equipe dedicada à gestão de riscos fiscais, aprovada no Decreto </w:t>
      </w:r>
      <w:r w:rsidR="006D316C" w:rsidRPr="005432E1">
        <w:rPr>
          <w:rFonts w:asciiTheme="minorHAnsi" w:hAnsiTheme="minorHAnsi"/>
        </w:rPr>
        <w:t xml:space="preserve">nº </w:t>
      </w:r>
      <w:r w:rsidRPr="005432E1">
        <w:rPr>
          <w:rFonts w:asciiTheme="minorHAnsi" w:hAnsiTheme="minorHAnsi"/>
        </w:rPr>
        <w:t>9.003, de 13 de março de 2017, denominada Coordenação-Geral de Planejamento e Riscos Fiscais (COPEF). Uma das atribuições da COPEF é coordenar a avaliação de riscos fiscais, no âmbito da STN, e propor medidas para corrigir desvios capazes de afetar o cumprimento das metas fiscais.</w:t>
      </w:r>
    </w:p>
    <w:p w14:paraId="52573F79" w14:textId="77777777" w:rsidR="004267F5" w:rsidRPr="005432E1" w:rsidRDefault="008C3359" w:rsidP="006F4AC5">
      <w:pPr>
        <w:autoSpaceDE w:val="0"/>
        <w:autoSpaceDN w:val="0"/>
        <w:adjustRightInd w:val="0"/>
        <w:spacing w:after="240"/>
        <w:jc w:val="both"/>
        <w:rPr>
          <w:rFonts w:asciiTheme="minorHAnsi" w:hAnsiTheme="minorHAnsi"/>
        </w:rPr>
      </w:pPr>
      <w:r w:rsidRPr="005432E1">
        <w:rPr>
          <w:rFonts w:asciiTheme="minorHAnsi" w:hAnsiTheme="minorHAnsi"/>
        </w:rPr>
        <w:tab/>
      </w:r>
      <w:r w:rsidR="008502DB" w:rsidRPr="005432E1">
        <w:rPr>
          <w:rFonts w:asciiTheme="minorHAnsi" w:hAnsiTheme="minorHAnsi"/>
        </w:rPr>
        <w:t>Paralelamente, d</w:t>
      </w:r>
      <w:r w:rsidR="0059051E" w:rsidRPr="005432E1">
        <w:rPr>
          <w:rFonts w:asciiTheme="minorHAnsi" w:hAnsiTheme="minorHAnsi"/>
        </w:rPr>
        <w:t xml:space="preserve">o ponto de vista dos mecanismos já implementados </w:t>
      </w:r>
      <w:r w:rsidR="00176D4C" w:rsidRPr="005432E1">
        <w:rPr>
          <w:rFonts w:asciiTheme="minorHAnsi" w:hAnsiTheme="minorHAnsi"/>
        </w:rPr>
        <w:t xml:space="preserve">e </w:t>
      </w:r>
      <w:r w:rsidR="00665879" w:rsidRPr="005432E1">
        <w:rPr>
          <w:rFonts w:asciiTheme="minorHAnsi" w:hAnsiTheme="minorHAnsi"/>
        </w:rPr>
        <w:t>em pleno funcionamento</w:t>
      </w:r>
      <w:r w:rsidR="0059051E" w:rsidRPr="005432E1">
        <w:rPr>
          <w:rFonts w:asciiTheme="minorHAnsi" w:hAnsiTheme="minorHAnsi"/>
        </w:rPr>
        <w:t xml:space="preserve">, </w:t>
      </w:r>
      <w:r w:rsidR="006104B4" w:rsidRPr="005432E1">
        <w:rPr>
          <w:rFonts w:asciiTheme="minorHAnsi" w:hAnsiTheme="minorHAnsi"/>
        </w:rPr>
        <w:t xml:space="preserve">não apenas </w:t>
      </w:r>
      <w:r w:rsidR="0059051E" w:rsidRPr="005432E1">
        <w:rPr>
          <w:rFonts w:asciiTheme="minorHAnsi" w:hAnsiTheme="minorHAnsi"/>
        </w:rPr>
        <w:t xml:space="preserve">o presente </w:t>
      </w:r>
      <w:r w:rsidR="006104B4" w:rsidRPr="005432E1">
        <w:rPr>
          <w:rFonts w:asciiTheme="minorHAnsi" w:hAnsiTheme="minorHAnsi"/>
        </w:rPr>
        <w:t xml:space="preserve">Anexo </w:t>
      </w:r>
      <w:r w:rsidR="0059051E" w:rsidRPr="005432E1">
        <w:rPr>
          <w:rFonts w:asciiTheme="minorHAnsi" w:hAnsiTheme="minorHAnsi"/>
        </w:rPr>
        <w:t xml:space="preserve">à Lei de Diretrizes Orçamentárias </w:t>
      </w:r>
      <w:r w:rsidR="006104B4" w:rsidRPr="005432E1">
        <w:rPr>
          <w:rFonts w:asciiTheme="minorHAnsi" w:hAnsiTheme="minorHAnsi"/>
        </w:rPr>
        <w:t xml:space="preserve">constitui </w:t>
      </w:r>
      <w:r w:rsidR="008502DB" w:rsidRPr="005432E1">
        <w:rPr>
          <w:rFonts w:asciiTheme="minorHAnsi" w:hAnsiTheme="minorHAnsi"/>
        </w:rPr>
        <w:t xml:space="preserve">uma </w:t>
      </w:r>
      <w:r w:rsidR="006104B4" w:rsidRPr="005432E1">
        <w:rPr>
          <w:rFonts w:asciiTheme="minorHAnsi" w:hAnsiTheme="minorHAnsi"/>
        </w:rPr>
        <w:t>ferramenta para o devido gerenciamento de riscos fiscais</w:t>
      </w:r>
      <w:r w:rsidR="00081B82" w:rsidRPr="005432E1">
        <w:rPr>
          <w:rFonts w:asciiTheme="minorHAnsi" w:hAnsiTheme="minorHAnsi"/>
        </w:rPr>
        <w:t>,</w:t>
      </w:r>
      <w:r w:rsidR="006104B4" w:rsidRPr="005432E1">
        <w:rPr>
          <w:rFonts w:asciiTheme="minorHAnsi" w:hAnsiTheme="minorHAnsi"/>
        </w:rPr>
        <w:t xml:space="preserve"> mas</w:t>
      </w:r>
      <w:r w:rsidR="00081B82" w:rsidRPr="005432E1">
        <w:rPr>
          <w:rFonts w:asciiTheme="minorHAnsi" w:hAnsiTheme="minorHAnsi"/>
        </w:rPr>
        <w:t xml:space="preserve"> a própria dinâmica de funcionamento do sistema orçamentário-financeiro </w:t>
      </w:r>
      <w:r w:rsidR="004267F5" w:rsidRPr="005432E1">
        <w:rPr>
          <w:rFonts w:asciiTheme="minorHAnsi" w:hAnsiTheme="minorHAnsi"/>
        </w:rPr>
        <w:t>contempla mecanismos para a devida divulgação, acompanhamento e mitigação desses riscos. Nesse sentido,</w:t>
      </w:r>
      <w:r w:rsidR="006104B4" w:rsidRPr="005432E1">
        <w:rPr>
          <w:rFonts w:asciiTheme="minorHAnsi" w:hAnsiTheme="minorHAnsi"/>
        </w:rPr>
        <w:t xml:space="preserve"> é salutar observar que </w:t>
      </w:r>
      <w:r w:rsidR="00887B1F" w:rsidRPr="005432E1">
        <w:rPr>
          <w:rFonts w:asciiTheme="minorHAnsi" w:hAnsiTheme="minorHAnsi"/>
        </w:rPr>
        <w:t>a Lei Complementar n</w:t>
      </w:r>
      <w:r w:rsidR="00887B1F" w:rsidRPr="005432E1">
        <w:rPr>
          <w:rFonts w:asciiTheme="minorHAnsi" w:hAnsiTheme="minorHAnsi"/>
          <w:sz w:val="26"/>
        </w:rPr>
        <w:t>º</w:t>
      </w:r>
      <w:r w:rsidR="00887B1F" w:rsidRPr="005432E1">
        <w:rPr>
          <w:rFonts w:asciiTheme="minorHAnsi" w:hAnsiTheme="minorHAnsi"/>
        </w:rPr>
        <w:t xml:space="preserve"> 101, de 4 de maio de 2000, prevê o acompanhamento periódico do cumprimento da meta de resultado primário estabelecido na Lei de Diretrizes Orçamentárias</w:t>
      </w:r>
      <w:r w:rsidR="006104B4" w:rsidRPr="005432E1">
        <w:rPr>
          <w:rFonts w:asciiTheme="minorHAnsi" w:hAnsiTheme="minorHAnsi"/>
        </w:rPr>
        <w:t xml:space="preserve"> e, em caso de perturbações no cenário base traçado, </w:t>
      </w:r>
      <w:r w:rsidR="006462AD" w:rsidRPr="005432E1">
        <w:rPr>
          <w:rFonts w:asciiTheme="minorHAnsi" w:hAnsiTheme="minorHAnsi"/>
        </w:rPr>
        <w:t xml:space="preserve">o Governo é obrigado a </w:t>
      </w:r>
      <w:r w:rsidR="00B2268F" w:rsidRPr="005432E1">
        <w:rPr>
          <w:rFonts w:asciiTheme="minorHAnsi" w:hAnsiTheme="minorHAnsi"/>
        </w:rPr>
        <w:t>promover limitações de gastos requeridas para o atingimento da meta.</w:t>
      </w:r>
    </w:p>
    <w:p w14:paraId="782AE7EF" w14:textId="77777777" w:rsidR="006F1365" w:rsidRPr="005432E1" w:rsidRDefault="008C3359" w:rsidP="006F4AC5">
      <w:pPr>
        <w:autoSpaceDE w:val="0"/>
        <w:autoSpaceDN w:val="0"/>
        <w:adjustRightInd w:val="0"/>
        <w:spacing w:after="240"/>
        <w:jc w:val="both"/>
        <w:rPr>
          <w:rFonts w:asciiTheme="minorHAnsi" w:hAnsiTheme="minorHAnsi"/>
        </w:rPr>
      </w:pPr>
      <w:r w:rsidRPr="005432E1">
        <w:rPr>
          <w:rFonts w:asciiTheme="minorHAnsi" w:hAnsiTheme="minorHAnsi"/>
        </w:rPr>
        <w:tab/>
      </w:r>
      <w:r w:rsidR="009F6997" w:rsidRPr="005432E1">
        <w:rPr>
          <w:rFonts w:asciiTheme="minorHAnsi" w:hAnsiTheme="minorHAnsi"/>
        </w:rPr>
        <w:t xml:space="preserve">Por fim, </w:t>
      </w:r>
      <w:r w:rsidR="005161EB" w:rsidRPr="005432E1">
        <w:rPr>
          <w:rFonts w:asciiTheme="minorHAnsi" w:hAnsiTheme="minorHAnsi"/>
        </w:rPr>
        <w:t xml:space="preserve">é relevante apontar que o contínuo aperfeiçoamento da gestão de riscos no âmbito do Governo Federal </w:t>
      </w:r>
      <w:r w:rsidR="00987449" w:rsidRPr="005432E1">
        <w:rPr>
          <w:rFonts w:asciiTheme="minorHAnsi" w:hAnsiTheme="minorHAnsi"/>
        </w:rPr>
        <w:t>com o foco em ações de médio e longo prazos pode viabilizar a adoção sustentável de políticas anticíclicas, na medida em que confere transparência</w:t>
      </w:r>
      <w:r w:rsidR="00CD1B39" w:rsidRPr="005432E1">
        <w:rPr>
          <w:rFonts w:asciiTheme="minorHAnsi" w:hAnsiTheme="minorHAnsi"/>
        </w:rPr>
        <w:t xml:space="preserve"> e legitimidade a tais políticas.</w:t>
      </w:r>
      <w:r w:rsidR="00987449" w:rsidRPr="005432E1">
        <w:rPr>
          <w:rFonts w:asciiTheme="minorHAnsi" w:hAnsiTheme="minorHAnsi"/>
        </w:rPr>
        <w:t xml:space="preserve"> </w:t>
      </w:r>
    </w:p>
    <w:p w14:paraId="2110BA01" w14:textId="36E80F47" w:rsidR="0003287D" w:rsidRPr="005432E1" w:rsidRDefault="00987449" w:rsidP="006F4AC5">
      <w:pPr>
        <w:autoSpaceDE w:val="0"/>
        <w:autoSpaceDN w:val="0"/>
        <w:adjustRightInd w:val="0"/>
        <w:spacing w:after="240"/>
        <w:jc w:val="both"/>
        <w:rPr>
          <w:rFonts w:asciiTheme="minorHAnsi" w:hAnsiTheme="minorHAnsi"/>
        </w:rPr>
      </w:pPr>
      <w:r w:rsidRPr="005432E1">
        <w:rPr>
          <w:rFonts w:asciiTheme="minorHAnsi" w:hAnsiTheme="minorHAnsi"/>
        </w:rPr>
        <w:t xml:space="preserve"> </w:t>
      </w:r>
    </w:p>
    <w:p w14:paraId="19BC8DB6" w14:textId="7F1A2C55" w:rsidR="006C774F" w:rsidRPr="005432E1" w:rsidRDefault="0067164A" w:rsidP="00DB1CC0">
      <w:pPr>
        <w:pStyle w:val="Ttulo1"/>
        <w:numPr>
          <w:ilvl w:val="0"/>
          <w:numId w:val="0"/>
        </w:numPr>
        <w:ind w:left="432" w:hanging="432"/>
        <w:rPr>
          <w:rFonts w:asciiTheme="minorHAnsi" w:hAnsiTheme="minorHAnsi"/>
        </w:rPr>
      </w:pPr>
      <w:bookmarkStart w:id="239" w:name="_Toc510534771"/>
      <w:bookmarkStart w:id="240" w:name="_Toc510535449"/>
      <w:bookmarkStart w:id="241" w:name="_Toc511230040"/>
      <w:r w:rsidRPr="005432E1">
        <w:rPr>
          <w:rFonts w:asciiTheme="minorHAnsi" w:hAnsiTheme="minorHAnsi"/>
        </w:rPr>
        <w:t>5</w:t>
      </w:r>
      <w:r w:rsidR="00BC7DD6" w:rsidRPr="005432E1">
        <w:rPr>
          <w:rFonts w:asciiTheme="minorHAnsi" w:hAnsiTheme="minorHAnsi"/>
        </w:rPr>
        <w:t>.</w:t>
      </w:r>
      <w:r w:rsidR="00BC7DD6" w:rsidRPr="005432E1">
        <w:rPr>
          <w:rFonts w:asciiTheme="minorHAnsi" w:hAnsiTheme="minorHAnsi"/>
        </w:rPr>
        <w:tab/>
      </w:r>
      <w:r w:rsidR="00DB1CC0" w:rsidRPr="005432E1">
        <w:rPr>
          <w:rFonts w:asciiTheme="minorHAnsi" w:hAnsiTheme="minorHAnsi"/>
        </w:rPr>
        <w:t>C</w:t>
      </w:r>
      <w:r w:rsidR="00AD65D5" w:rsidRPr="005432E1">
        <w:rPr>
          <w:rFonts w:asciiTheme="minorHAnsi" w:hAnsiTheme="minorHAnsi"/>
        </w:rPr>
        <w:t>ONSIDERAÇÕES FINAIS</w:t>
      </w:r>
      <w:bookmarkEnd w:id="239"/>
      <w:bookmarkEnd w:id="240"/>
      <w:bookmarkEnd w:id="241"/>
    </w:p>
    <w:p w14:paraId="71952E52" w14:textId="77777777" w:rsidR="008C3359" w:rsidRPr="005432E1" w:rsidRDefault="008C3359" w:rsidP="008C3359">
      <w:pPr>
        <w:rPr>
          <w:rFonts w:asciiTheme="minorHAnsi" w:hAnsiTheme="minorHAnsi"/>
        </w:rPr>
      </w:pPr>
    </w:p>
    <w:p w14:paraId="031EEA44" w14:textId="77777777" w:rsidR="004B0FBA" w:rsidRPr="005432E1" w:rsidRDefault="004B0FBA" w:rsidP="004B0FBA">
      <w:pPr>
        <w:spacing w:after="240"/>
        <w:ind w:firstLine="709"/>
        <w:jc w:val="both"/>
        <w:rPr>
          <w:rFonts w:asciiTheme="minorHAnsi" w:hAnsiTheme="minorHAnsi"/>
        </w:rPr>
      </w:pPr>
      <w:r w:rsidRPr="005432E1">
        <w:rPr>
          <w:rFonts w:asciiTheme="minorHAnsi" w:hAnsiTheme="minorHAnsi"/>
        </w:rPr>
        <w:t>Com o objetivo de prover maior previsibilidade e transparência no planejamento e apuração dos resultados fiscais e dar cumprimento ao estabelecido no art. 4º, § 3º da Lei Complementar no 101, de 4 de ma</w:t>
      </w:r>
      <w:r w:rsidR="00BC4B68" w:rsidRPr="005432E1">
        <w:rPr>
          <w:rFonts w:asciiTheme="minorHAnsi" w:hAnsiTheme="minorHAnsi"/>
        </w:rPr>
        <w:t>io de 2000, este anexo da LDO 2019</w:t>
      </w:r>
      <w:r w:rsidRPr="005432E1">
        <w:rPr>
          <w:rFonts w:asciiTheme="minorHAnsi" w:hAnsiTheme="minorHAnsi"/>
        </w:rPr>
        <w:t xml:space="preserve"> elencou as principais fontes de riscos fiscais para consecução do cenário base determinado no Anexo de Metas da mencionada lei.</w:t>
      </w:r>
    </w:p>
    <w:p w14:paraId="540DEA86" w14:textId="77777777" w:rsidR="004B0FBA" w:rsidRPr="005432E1" w:rsidRDefault="004B0FBA" w:rsidP="004B0FBA">
      <w:pPr>
        <w:spacing w:after="240"/>
        <w:ind w:firstLine="709"/>
        <w:jc w:val="both"/>
        <w:rPr>
          <w:rFonts w:asciiTheme="minorHAnsi" w:hAnsiTheme="minorHAnsi"/>
        </w:rPr>
      </w:pPr>
      <w:r w:rsidRPr="005432E1">
        <w:rPr>
          <w:rFonts w:asciiTheme="minorHAnsi" w:hAnsiTheme="minorHAnsi"/>
        </w:rPr>
        <w:t xml:space="preserve">Este documento tem sido objeto de contínuos aprimoramentos, a fim de prover-lhe maior funcionalidade e efetividade no mapeamento de riscos fiscais. Desde a LDO 2017, foi dada especial atenção para que o documento também seja utilizado como instrumento no Planejamento Fiscal e buscou-se a convergência com padrões internacionais de divulgação de riscos fiscais. </w:t>
      </w:r>
    </w:p>
    <w:p w14:paraId="34EAFCE3" w14:textId="77777777" w:rsidR="004B0FBA" w:rsidRPr="005432E1" w:rsidRDefault="004B0FBA" w:rsidP="004B0FBA">
      <w:pPr>
        <w:spacing w:after="240"/>
        <w:ind w:firstLine="709"/>
        <w:jc w:val="both"/>
        <w:rPr>
          <w:rFonts w:asciiTheme="minorHAnsi" w:hAnsiTheme="minorHAnsi"/>
        </w:rPr>
      </w:pPr>
      <w:r w:rsidRPr="005432E1">
        <w:rPr>
          <w:rFonts w:asciiTheme="minorHAnsi" w:hAnsiTheme="minorHAnsi"/>
        </w:rPr>
        <w:t>Nesse sentido, alguns itens foram realocados em seções com as quais guardam maior afinidade, de modo a tornar a classificação proposta dos riscos fiscais mais transparente. Adicionalmente, a metodologia de estresse dos parâmetros macroeconômicos foi aprimorada, assim como das estimativas das principais variáveis fiscais nos cenários estressados. Relevante destacar que este Ane</w:t>
      </w:r>
      <w:r w:rsidR="00BC4B68" w:rsidRPr="005432E1">
        <w:rPr>
          <w:rFonts w:asciiTheme="minorHAnsi" w:hAnsiTheme="minorHAnsi"/>
        </w:rPr>
        <w:t>xo de Riscos Fiscais da LDO-2019</w:t>
      </w:r>
      <w:r w:rsidRPr="005432E1">
        <w:rPr>
          <w:rFonts w:asciiTheme="minorHAnsi" w:hAnsiTheme="minorHAnsi"/>
        </w:rPr>
        <w:t xml:space="preserve"> é o </w:t>
      </w:r>
      <w:r w:rsidR="00BC4B68" w:rsidRPr="005432E1">
        <w:rPr>
          <w:rFonts w:asciiTheme="minorHAnsi" w:hAnsiTheme="minorHAnsi"/>
        </w:rPr>
        <w:t>segundo</w:t>
      </w:r>
      <w:r w:rsidRPr="005432E1">
        <w:rPr>
          <w:rFonts w:asciiTheme="minorHAnsi" w:hAnsiTheme="minorHAnsi"/>
        </w:rPr>
        <w:t xml:space="preserve"> a conter exercício de estresse que simula simultaneamente receitas, despesas, resultado primário e dívida pública. </w:t>
      </w:r>
    </w:p>
    <w:p w14:paraId="35F451A7" w14:textId="77777777" w:rsidR="002A7711" w:rsidRPr="005432E1" w:rsidRDefault="004B0FBA" w:rsidP="004B0FBA">
      <w:pPr>
        <w:spacing w:after="240"/>
        <w:ind w:firstLine="709"/>
        <w:jc w:val="both"/>
        <w:rPr>
          <w:rFonts w:asciiTheme="minorHAnsi" w:hAnsiTheme="minorHAnsi"/>
          <w:highlight w:val="yellow"/>
        </w:rPr>
      </w:pPr>
      <w:r w:rsidRPr="005432E1">
        <w:rPr>
          <w:rFonts w:asciiTheme="minorHAnsi" w:hAnsiTheme="minorHAnsi"/>
        </w:rPr>
        <w:t>As inovações contidas neste documento refletem o esforço dos Ministérios da Fazenda e do Planejamento, Desenvolvimento e Gestão na realização de uma gestão mais eficiente dos riscos fiscais. Espera-se, com isto, colaborar para aperfeiçoar o planejamento fiscal e dar suporte aos diagnósticos e às ações necessárias para o crescimento econômico.</w:t>
      </w:r>
    </w:p>
    <w:sectPr w:rsidR="002A7711" w:rsidRPr="005432E1" w:rsidSect="00211FAD">
      <w:headerReference w:type="default" r:id="rId29"/>
      <w:footerReference w:type="even" r:id="rId30"/>
      <w:footerReference w:type="default" r:id="rId31"/>
      <w:pgSz w:w="11907" w:h="16840"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58205" w14:textId="77777777" w:rsidR="005432E1" w:rsidRDefault="005432E1">
      <w:r>
        <w:separator/>
      </w:r>
    </w:p>
  </w:endnote>
  <w:endnote w:type="continuationSeparator" w:id="0">
    <w:p w14:paraId="61C487B3" w14:textId="77777777" w:rsidR="005432E1" w:rsidRDefault="005432E1">
      <w:r>
        <w:continuationSeparator/>
      </w:r>
    </w:p>
  </w:endnote>
  <w:endnote w:type="continuationNotice" w:id="1">
    <w:p w14:paraId="23D02D8A" w14:textId="77777777" w:rsidR="005432E1" w:rsidRDefault="0054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1D415" w14:textId="77777777" w:rsidR="005432E1" w:rsidRDefault="005432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1EFD7" w14:textId="77777777" w:rsidR="005432E1" w:rsidRDefault="005432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7EBC" w14:textId="77777777" w:rsidR="005432E1" w:rsidRDefault="005432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0C8C">
      <w:rPr>
        <w:rStyle w:val="Nmerodepgina"/>
        <w:noProof/>
      </w:rPr>
      <w:t>94</w:t>
    </w:r>
    <w:r>
      <w:rPr>
        <w:rStyle w:val="Nmerodepgina"/>
      </w:rPr>
      <w:fldChar w:fldCharType="end"/>
    </w:r>
  </w:p>
  <w:p w14:paraId="77BAF7D1" w14:textId="77777777" w:rsidR="005432E1" w:rsidRDefault="005432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48813" w14:textId="77777777" w:rsidR="005432E1" w:rsidRDefault="005432E1">
      <w:r>
        <w:separator/>
      </w:r>
    </w:p>
  </w:footnote>
  <w:footnote w:type="continuationSeparator" w:id="0">
    <w:p w14:paraId="6D0F46C3" w14:textId="77777777" w:rsidR="005432E1" w:rsidRDefault="005432E1">
      <w:r>
        <w:continuationSeparator/>
      </w:r>
    </w:p>
  </w:footnote>
  <w:footnote w:type="continuationNotice" w:id="1">
    <w:p w14:paraId="79750CC3" w14:textId="77777777" w:rsidR="005432E1" w:rsidRDefault="005432E1"/>
  </w:footnote>
  <w:footnote w:id="2">
    <w:p w14:paraId="6081EA26" w14:textId="77777777" w:rsidR="005432E1" w:rsidRDefault="005432E1">
      <w:pPr>
        <w:pStyle w:val="Textodenotaderodap"/>
      </w:pPr>
      <w:r>
        <w:rPr>
          <w:rStyle w:val="Refdenotaderodap"/>
        </w:rPr>
        <w:footnoteRef/>
      </w:r>
      <w:r>
        <w:t xml:space="preserve"> Valor do Salário Mínimo para 2019 estimado na Grade de Parâmetro de 12 de março de 2018.</w:t>
      </w:r>
    </w:p>
  </w:footnote>
  <w:footnote w:id="3">
    <w:p w14:paraId="73008EB1" w14:textId="77777777" w:rsidR="005432E1" w:rsidRDefault="005432E1" w:rsidP="00FC0C3A">
      <w:pPr>
        <w:pStyle w:val="listacolorida-nfase110"/>
        <w:spacing w:before="120" w:beforeAutospacing="0" w:after="120" w:afterAutospacing="0"/>
        <w:ind w:firstLine="708"/>
        <w:jc w:val="both"/>
        <w:rPr>
          <w:color w:val="000000"/>
          <w:sz w:val="20"/>
          <w:szCs w:val="20"/>
        </w:rPr>
      </w:pPr>
      <w:r w:rsidRPr="003C5A1E">
        <w:rPr>
          <w:rStyle w:val="Refdenotaderodap"/>
        </w:rPr>
        <w:footnoteRef/>
      </w:r>
      <w:r w:rsidRPr="003C5A1E">
        <w:t xml:space="preserve"> </w:t>
      </w:r>
      <w:r w:rsidRPr="005432E1">
        <w:rPr>
          <w:rStyle w:val="apple-style-span"/>
          <w:color w:val="000000"/>
          <w:sz w:val="20"/>
        </w:rPr>
        <w:t>O Benefício de Prestação Continuada (BPC) é um benefício assistencial instituído pela Constituição Federal de 1988 (art. 203, inciso V), garantido no âmbito da proteção social não contributiva da Seguridade Social e regulamentado pela Lei Orgânica da Assistência Social – LOAS, Lei nº 8.742, de 7/12/1993, alterada pelas Leis nº 12.435, de 6/7/2011 e nº 12.470, de 31/08/2011; e pelo Decreto nº 6.214/2007, alterado pelos Decretos 6.564/2008, 7.617/2011 e 8.805/2016. Esse direito também está previsto na Lei Brasileira de Inclusão da Pessoa com Deficiência (Estatuto da Pessoa com Deficiência - Lei nº 13.146, de 6/7/2015) e no Estatuto do Idoso (Lei nº 10.741, de 1/10/2003). Cabe ao Ministério do Desenvolvimento Social – MDS a gestão desse benefício e ao Instituto Nacional do Seguro Social – INSS a sua operacionalização. Por meio do BPC, a Política de Assistência Social garante a transferência mensal de um salário mínimo ao seu público-alvo composto por (i) idoso com 65 (sessenta e cinco) anos ou mais e (ii) pessoa com deficiência, de qualquer idade, com impedimentos de longo prazo (aqueles que produzem efeitos pelo prazo mínimo de 2 (dois) anos, conforme as Leis nº 12.435, de 06/07/2011 e nº 12.470, de 31/08/2011, que alteram a LOAS), de natureza física, mental, intelectual ou sensorial. Além disso, outro critério objetivo de elegibilidade ao BPC é a renda familiar mensal per capita inferior a ¼ (um quarto) do salário-mínimo, conforme definido no art.20, §3º da LOAS</w:t>
      </w:r>
      <w:r w:rsidRPr="005432E1">
        <w:rPr>
          <w:color w:val="000000"/>
          <w:sz w:val="20"/>
        </w:rPr>
        <w:t>.</w:t>
      </w:r>
    </w:p>
    <w:p w14:paraId="59926920" w14:textId="77777777" w:rsidR="005432E1" w:rsidRPr="003C5A1E" w:rsidRDefault="005432E1" w:rsidP="00FC0C3A">
      <w:pPr>
        <w:pStyle w:val="listacolorida-nfase110"/>
        <w:spacing w:before="120" w:beforeAutospacing="0" w:after="120" w:afterAutospacing="0"/>
        <w:ind w:firstLine="708"/>
        <w:jc w:val="both"/>
      </w:pPr>
    </w:p>
  </w:footnote>
  <w:footnote w:id="4">
    <w:p w14:paraId="49E1E6D3" w14:textId="60D7E390" w:rsidR="005432E1" w:rsidRPr="003C5A1E" w:rsidRDefault="005432E1">
      <w:pPr>
        <w:pStyle w:val="Textodenotaderodap"/>
      </w:pPr>
      <w:r>
        <w:tab/>
      </w:r>
      <w:r w:rsidRPr="003C5A1E">
        <w:rPr>
          <w:rStyle w:val="Refdenotaderodap"/>
        </w:rPr>
        <w:footnoteRef/>
      </w:r>
      <w:r w:rsidRPr="003C5A1E">
        <w:t xml:space="preserve"> </w:t>
      </w:r>
      <w:r w:rsidRPr="003C5A1E">
        <w:rPr>
          <w:szCs w:val="20"/>
        </w:rPr>
        <w:t>Trata-se de uma análise estática, onde analisa-se o efeito isolado da variação de apenas uma variável (taxa de câmbio, taxa de juros ou inflação) sobre os indicadores desejados (DPF, Despesa Orçamentária e DLSP). Dessa forma, não são levados em conta os efeitos da alteração de uma variável sobre as outras variáveis. Também não são levados em conta os efeitos da alteração de uma variável sobre outros fatores da economia que poderiam também afetar os indicadores desejados, tais como resultado fiscal, PIB e necessidade líquida de financiamento do setor público</w:t>
      </w:r>
    </w:p>
  </w:footnote>
  <w:footnote w:id="5">
    <w:p w14:paraId="3663F842" w14:textId="415AA748" w:rsidR="005432E1" w:rsidRDefault="005432E1">
      <w:pPr>
        <w:pStyle w:val="Textodenotaderodap"/>
      </w:pPr>
      <w:r>
        <w:rPr>
          <w:rStyle w:val="Refdenotaderodap"/>
        </w:rPr>
        <w:footnoteRef/>
      </w:r>
      <w:r>
        <w:t xml:space="preserve"> </w:t>
      </w:r>
      <w:r w:rsidRPr="008261CF">
        <w:t>Esta análise tem a fragilidade de subestimar os efeitos do aumento do PIB real por não alterar o resultado fiscal em função deste novo PIB, o mesmo raciocínio vale para a redução do PIB real, que não se reflete em um cenário de fiscal mais deteriorado. Entretanto, a análise é importante por mostrar o quão sensível as projeções de dívida são ao crescimento da economia. Fonte COGEP/STN.</w:t>
      </w:r>
    </w:p>
  </w:footnote>
  <w:footnote w:id="6">
    <w:p w14:paraId="776F02CD" w14:textId="77777777" w:rsidR="005432E1" w:rsidRDefault="005432E1" w:rsidP="00BF3235">
      <w:pPr>
        <w:pStyle w:val="Textodenotaderodap"/>
      </w:pPr>
      <w:r>
        <w:rPr>
          <w:rStyle w:val="Refdenotaderodap"/>
        </w:rPr>
        <w:footnoteRef/>
      </w:r>
      <w:r>
        <w:t xml:space="preserve"> A Grade de Parâmetros de 12/03/2018 </w:t>
      </w:r>
      <w:r w:rsidRPr="008E0919">
        <w:t>também foi utilizada para elaboração do cenário base constante no Anexo de Metas Fiscais da PLDO.</w:t>
      </w:r>
    </w:p>
  </w:footnote>
  <w:footnote w:id="7">
    <w:p w14:paraId="78CB5EE4" w14:textId="77777777" w:rsidR="005432E1" w:rsidRDefault="005432E1">
      <w:pPr>
        <w:pStyle w:val="Textodenotaderodap"/>
      </w:pPr>
      <w:r>
        <w:rPr>
          <w:rStyle w:val="Refdenotaderodap"/>
        </w:rPr>
        <w:footnoteRef/>
      </w:r>
      <w:r>
        <w:t xml:space="preserve"> São choques aleatórios extraídos de uma distribuição de probabilidade normal padrão com média igual a zero e desvio-padrão igual a um.</w:t>
      </w:r>
    </w:p>
  </w:footnote>
  <w:footnote w:id="8">
    <w:p w14:paraId="2D044ABD" w14:textId="77777777" w:rsidR="005432E1" w:rsidRDefault="005432E1">
      <w:pPr>
        <w:pStyle w:val="Textodenotaderodap"/>
      </w:pPr>
      <w:r w:rsidRPr="00306D90">
        <w:rPr>
          <w:rStyle w:val="Refdenotaderodap"/>
        </w:rPr>
        <w:footnoteRef/>
      </w:r>
      <w:r w:rsidRPr="00306D90">
        <w:t xml:space="preserve"> O decil 30 foi selecionado pelo fato de ser o decil mais próximo do valor equivalente a um desvio-padrão em relação à média para uma distribuição bicaudal.</w:t>
      </w:r>
      <w:r>
        <w:t xml:space="preserve"> </w:t>
      </w:r>
    </w:p>
  </w:footnote>
  <w:footnote w:id="9">
    <w:p w14:paraId="18B3FC85" w14:textId="77777777" w:rsidR="005432E1" w:rsidRPr="000509F5" w:rsidRDefault="005432E1">
      <w:pPr>
        <w:pStyle w:val="Textodenotaderodap"/>
      </w:pPr>
      <w:r w:rsidRPr="000509F5">
        <w:rPr>
          <w:rStyle w:val="Refdenotaderodap"/>
        </w:rPr>
        <w:footnoteRef/>
      </w:r>
      <w:r w:rsidRPr="000509F5">
        <w:t xml:space="preserve"> Sendo um deles, conforme explicado no parágrafo anterior, selecionado para compor o cenário de estresse.</w:t>
      </w:r>
    </w:p>
  </w:footnote>
  <w:footnote w:id="10">
    <w:p w14:paraId="651319CF" w14:textId="7313F02B" w:rsidR="005432E1" w:rsidRDefault="005432E1">
      <w:pPr>
        <w:pStyle w:val="Textodenotaderodap"/>
      </w:pPr>
      <w:r>
        <w:rPr>
          <w:rStyle w:val="Refdenotaderodap"/>
        </w:rPr>
        <w:footnoteRef/>
      </w:r>
      <w:r w:rsidRPr="00714779">
        <w:t>Conforme o art. nº 16 da Lei nº 12.838, de julho de 2013, a distribuição dos dividendos previstos nos arts. 202 e 203 da Lei no 6.404, de 15 de dezembro de 1976, aos acionistas de instituições financeiras e demais instituições autorizadas a funcionar pelo Banco Central do Brasil fica sujeita ao cumprimento dos requisitos prudenciais estabelecidos pelo CMN.</w:t>
      </w:r>
      <w:r>
        <w:t xml:space="preserve"> </w:t>
      </w:r>
    </w:p>
  </w:footnote>
  <w:footnote w:id="11">
    <w:p w14:paraId="78ED78A2" w14:textId="05CB69B9" w:rsidR="005432E1" w:rsidRDefault="005432E1">
      <w:pPr>
        <w:pStyle w:val="Textodenotaderodap"/>
      </w:pPr>
      <w:r>
        <w:rPr>
          <w:rStyle w:val="Refdenotaderodap"/>
        </w:rPr>
        <w:footnoteRef/>
      </w:r>
      <w:r>
        <w:t xml:space="preserve"> </w:t>
      </w:r>
      <w:r w:rsidRPr="00E04E83">
        <w:t>Conforme o art. nº 2º da Lei Complementar nº 101/2002, entende-se como empresa estatal dependente a empresa controlada que receba do ente controlador recursos financeiros para pagamento de despesas com pessoal ou de custeio em geral ou de capital, excluídos, no último caso, aqueles provenientes de aumento de participação acionária</w:t>
      </w:r>
    </w:p>
    <w:p w14:paraId="5D5C6C46" w14:textId="77777777" w:rsidR="005432E1" w:rsidRDefault="005432E1">
      <w:pPr>
        <w:pStyle w:val="Textodenotaderodap"/>
      </w:pPr>
    </w:p>
  </w:footnote>
  <w:footnote w:id="12">
    <w:p w14:paraId="1E7D7A18" w14:textId="79C03273" w:rsidR="005432E1" w:rsidRDefault="005432E1">
      <w:pPr>
        <w:pStyle w:val="Textodenotaderodap"/>
      </w:pPr>
      <w:r>
        <w:rPr>
          <w:rStyle w:val="Refdenotaderodap"/>
        </w:rPr>
        <w:footnoteRef/>
      </w:r>
      <w:r>
        <w:t xml:space="preserve"> </w:t>
      </w:r>
      <w:r w:rsidRPr="00E04E83">
        <w:t>O art. nº 2 considera a definição de empresa estatal dependente a empresa controlada pela União, que tenha recebido, no exercício anterior, recursos financeiros de seu controlador destinados ao pagamento de despesas com pessoal, de custeio em geral ou de capital, excluídos, neste último caso, aqueles provenientes de aumento de participação acionária, e tenha, no exercício corrente, autorização orçamentária para recebimento de recursos financeiros com idêntica finalidade.</w:t>
      </w:r>
    </w:p>
  </w:footnote>
  <w:footnote w:id="13">
    <w:p w14:paraId="4BEB3536" w14:textId="77777777" w:rsidR="005432E1" w:rsidRDefault="005432E1">
      <w:pPr>
        <w:pStyle w:val="Textodenotaderodap"/>
      </w:pPr>
      <w:r>
        <w:rPr>
          <w:rStyle w:val="Refdenotaderodap"/>
        </w:rPr>
        <w:footnoteRef/>
      </w:r>
      <w:r w:rsidRPr="003F141B">
        <w:t>Banco Central. Relatório de Estabilidade Financeira. Volume 16, Número 2, Outubro/2017. Disponível em http://www.bcb.gov.br/htms/estabilidade/ref/ref.asp?idpai=economia. Consulta realizada em 02/04/2018.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C7F7" w14:textId="77777777" w:rsidR="005432E1" w:rsidRDefault="005432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234ED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242CB3"/>
    <w:multiLevelType w:val="hybridMultilevel"/>
    <w:tmpl w:val="BB623118"/>
    <w:lvl w:ilvl="0" w:tplc="DCF43B10">
      <w:start w:val="1"/>
      <w:numFmt w:val="decimal"/>
      <w:lvlText w:val="%1)"/>
      <w:lvlJc w:val="left"/>
      <w:pPr>
        <w:ind w:left="1069" w:hanging="360"/>
      </w:pPr>
      <w:rPr>
        <w:rFonts w:ascii="Calibri" w:eastAsia="Times New Roman" w:hAnsi="Calibri"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F683C"/>
    <w:multiLevelType w:val="hybridMultilevel"/>
    <w:tmpl w:val="4592867E"/>
    <w:lvl w:ilvl="0" w:tplc="6B702BC8">
      <w:start w:val="7"/>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11910"/>
    <w:multiLevelType w:val="hybridMultilevel"/>
    <w:tmpl w:val="CDCA6672"/>
    <w:lvl w:ilvl="0" w:tplc="52C2480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254498E"/>
    <w:multiLevelType w:val="multilevel"/>
    <w:tmpl w:val="FC5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D4CAE"/>
    <w:multiLevelType w:val="multilevel"/>
    <w:tmpl w:val="0D4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7745E"/>
    <w:multiLevelType w:val="hybridMultilevel"/>
    <w:tmpl w:val="05B41128"/>
    <w:lvl w:ilvl="0" w:tplc="313ADE4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A9600C3"/>
    <w:multiLevelType w:val="multilevel"/>
    <w:tmpl w:val="BE4A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953CE"/>
    <w:multiLevelType w:val="multilevel"/>
    <w:tmpl w:val="98E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70E53"/>
    <w:multiLevelType w:val="multilevel"/>
    <w:tmpl w:val="5698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C11CE"/>
    <w:multiLevelType w:val="multilevel"/>
    <w:tmpl w:val="6B6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B5902"/>
    <w:multiLevelType w:val="multilevel"/>
    <w:tmpl w:val="C8D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A3F87"/>
    <w:multiLevelType w:val="hybridMultilevel"/>
    <w:tmpl w:val="2CF8A3D2"/>
    <w:lvl w:ilvl="0" w:tplc="C68CA21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DF6494D"/>
    <w:multiLevelType w:val="multilevel"/>
    <w:tmpl w:val="A80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B6C4C"/>
    <w:multiLevelType w:val="hybridMultilevel"/>
    <w:tmpl w:val="CCEC3820"/>
    <w:lvl w:ilvl="0" w:tplc="3BCA18E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003245"/>
    <w:multiLevelType w:val="multilevel"/>
    <w:tmpl w:val="631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14F0E"/>
    <w:multiLevelType w:val="multilevel"/>
    <w:tmpl w:val="CC8C8FC4"/>
    <w:lvl w:ilvl="0">
      <w:start w:val="1"/>
      <w:numFmt w:val="decimal"/>
      <w:pStyle w:val="Ttulo1"/>
      <w:lvlText w:val="%1"/>
      <w:lvlJc w:val="left"/>
      <w:pPr>
        <w:ind w:left="432" w:hanging="432"/>
      </w:pPr>
      <w:rPr>
        <w:rFonts w:hint="default"/>
        <w:color w:val="auto"/>
      </w:rPr>
    </w:lvl>
    <w:lvl w:ilvl="1">
      <w:start w:val="1"/>
      <w:numFmt w:val="decimal"/>
      <w:pStyle w:val="Ttulo2"/>
      <w:lvlText w:val="%1.%2"/>
      <w:lvlJc w:val="left"/>
      <w:pPr>
        <w:ind w:left="1002" w:hanging="576"/>
      </w:pPr>
      <w:rPr>
        <w:rFonts w:ascii="Calibri" w:hAnsi="Calibri"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Ttulo3"/>
      <w:lvlText w:val="%1.%2.%3"/>
      <w:lvlJc w:val="left"/>
      <w:pPr>
        <w:ind w:left="0" w:firstLine="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Ttulo4"/>
      <w:lvlText w:val="%1.%2.%3.%4"/>
      <w:lvlJc w:val="left"/>
      <w:pPr>
        <w:ind w:left="1531" w:hanging="1531"/>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561E7E6A"/>
    <w:multiLevelType w:val="multilevel"/>
    <w:tmpl w:val="F3B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E2BA8"/>
    <w:multiLevelType w:val="hybridMultilevel"/>
    <w:tmpl w:val="FA068166"/>
    <w:lvl w:ilvl="0" w:tplc="04160019">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64FB4D09"/>
    <w:multiLevelType w:val="multilevel"/>
    <w:tmpl w:val="266A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71DAA"/>
    <w:multiLevelType w:val="hybridMultilevel"/>
    <w:tmpl w:val="77963BB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6CDD2D59"/>
    <w:multiLevelType w:val="hybridMultilevel"/>
    <w:tmpl w:val="1266406C"/>
    <w:lvl w:ilvl="0" w:tplc="B920B0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9D53D8"/>
    <w:multiLevelType w:val="multilevel"/>
    <w:tmpl w:val="B0B2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A34F3"/>
    <w:multiLevelType w:val="multilevel"/>
    <w:tmpl w:val="A9B4E72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9D11B7"/>
    <w:multiLevelType w:val="multilevel"/>
    <w:tmpl w:val="939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936B3"/>
    <w:multiLevelType w:val="multilevel"/>
    <w:tmpl w:val="4BD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15848"/>
    <w:multiLevelType w:val="multilevel"/>
    <w:tmpl w:val="10A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32ADA"/>
    <w:multiLevelType w:val="hybridMultilevel"/>
    <w:tmpl w:val="9612DCF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DF02DF7"/>
    <w:multiLevelType w:val="multilevel"/>
    <w:tmpl w:val="4C3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0"/>
  </w:num>
  <w:num w:numId="8">
    <w:abstractNumId w:val="27"/>
  </w:num>
  <w:num w:numId="9">
    <w:abstractNumId w:val="10"/>
  </w:num>
  <w:num w:numId="10">
    <w:abstractNumId w:val="11"/>
  </w:num>
  <w:num w:numId="11">
    <w:abstractNumId w:val="4"/>
  </w:num>
  <w:num w:numId="12">
    <w:abstractNumId w:val="7"/>
  </w:num>
  <w:num w:numId="13">
    <w:abstractNumId w:val="15"/>
  </w:num>
  <w:num w:numId="14">
    <w:abstractNumId w:val="26"/>
  </w:num>
  <w:num w:numId="15">
    <w:abstractNumId w:val="14"/>
  </w:num>
  <w:num w:numId="16">
    <w:abstractNumId w:val="23"/>
  </w:num>
  <w:num w:numId="17">
    <w:abstractNumId w:val="5"/>
  </w:num>
  <w:num w:numId="18">
    <w:abstractNumId w:val="19"/>
  </w:num>
  <w:num w:numId="19">
    <w:abstractNumId w:val="28"/>
  </w:num>
  <w:num w:numId="20">
    <w:abstractNumId w:val="25"/>
  </w:num>
  <w:num w:numId="21">
    <w:abstractNumId w:val="13"/>
  </w:num>
  <w:num w:numId="22">
    <w:abstractNumId w:val="9"/>
  </w:num>
  <w:num w:numId="23">
    <w:abstractNumId w:val="17"/>
  </w:num>
  <w:num w:numId="24">
    <w:abstractNumId w:val="22"/>
  </w:num>
  <w:num w:numId="25">
    <w:abstractNumId w:val="24"/>
  </w:num>
  <w:num w:numId="26">
    <w:abstractNumId w:val="8"/>
  </w:num>
  <w:num w:numId="27">
    <w:abstractNumId w:val="21"/>
  </w:num>
  <w:num w:numId="28">
    <w:abstractNumId w:val="20"/>
  </w:num>
  <w:num w:numId="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44"/>
    <w:rsid w:val="000007EF"/>
    <w:rsid w:val="00000E30"/>
    <w:rsid w:val="00001136"/>
    <w:rsid w:val="0000187B"/>
    <w:rsid w:val="00002313"/>
    <w:rsid w:val="00002F6C"/>
    <w:rsid w:val="00003A13"/>
    <w:rsid w:val="0000411F"/>
    <w:rsid w:val="00004583"/>
    <w:rsid w:val="000053EC"/>
    <w:rsid w:val="00005435"/>
    <w:rsid w:val="00005BEE"/>
    <w:rsid w:val="000068D8"/>
    <w:rsid w:val="0000703E"/>
    <w:rsid w:val="00007D58"/>
    <w:rsid w:val="00011400"/>
    <w:rsid w:val="0001176D"/>
    <w:rsid w:val="00011EA7"/>
    <w:rsid w:val="00013715"/>
    <w:rsid w:val="0001423A"/>
    <w:rsid w:val="000142D4"/>
    <w:rsid w:val="00015C10"/>
    <w:rsid w:val="00017EE8"/>
    <w:rsid w:val="00020486"/>
    <w:rsid w:val="000226C1"/>
    <w:rsid w:val="000228C9"/>
    <w:rsid w:val="00023C41"/>
    <w:rsid w:val="000248D0"/>
    <w:rsid w:val="00025322"/>
    <w:rsid w:val="00025809"/>
    <w:rsid w:val="000261F8"/>
    <w:rsid w:val="0002665C"/>
    <w:rsid w:val="00027846"/>
    <w:rsid w:val="00027CE0"/>
    <w:rsid w:val="00027E64"/>
    <w:rsid w:val="000300B3"/>
    <w:rsid w:val="0003057C"/>
    <w:rsid w:val="0003142E"/>
    <w:rsid w:val="000317D3"/>
    <w:rsid w:val="00031805"/>
    <w:rsid w:val="00031D28"/>
    <w:rsid w:val="00031EC4"/>
    <w:rsid w:val="000327B5"/>
    <w:rsid w:val="0003287D"/>
    <w:rsid w:val="00033599"/>
    <w:rsid w:val="00034184"/>
    <w:rsid w:val="00034F5F"/>
    <w:rsid w:val="00036EE5"/>
    <w:rsid w:val="000378BE"/>
    <w:rsid w:val="00037A07"/>
    <w:rsid w:val="00037FBE"/>
    <w:rsid w:val="000408DC"/>
    <w:rsid w:val="00040DCC"/>
    <w:rsid w:val="000411EB"/>
    <w:rsid w:val="00041D53"/>
    <w:rsid w:val="00042053"/>
    <w:rsid w:val="0004297D"/>
    <w:rsid w:val="00043E4F"/>
    <w:rsid w:val="0004654B"/>
    <w:rsid w:val="000467F4"/>
    <w:rsid w:val="0004698C"/>
    <w:rsid w:val="00046C34"/>
    <w:rsid w:val="00047CC2"/>
    <w:rsid w:val="00050326"/>
    <w:rsid w:val="00050372"/>
    <w:rsid w:val="000509F5"/>
    <w:rsid w:val="00050DFB"/>
    <w:rsid w:val="00051903"/>
    <w:rsid w:val="0005224B"/>
    <w:rsid w:val="00052A61"/>
    <w:rsid w:val="00053938"/>
    <w:rsid w:val="00053DAE"/>
    <w:rsid w:val="000546BD"/>
    <w:rsid w:val="00054EA2"/>
    <w:rsid w:val="0005539D"/>
    <w:rsid w:val="00055EFF"/>
    <w:rsid w:val="00056A16"/>
    <w:rsid w:val="00056E9F"/>
    <w:rsid w:val="000571F8"/>
    <w:rsid w:val="000574A6"/>
    <w:rsid w:val="00057C19"/>
    <w:rsid w:val="00057C7B"/>
    <w:rsid w:val="00060C18"/>
    <w:rsid w:val="00060C58"/>
    <w:rsid w:val="000625CA"/>
    <w:rsid w:val="00062E9F"/>
    <w:rsid w:val="00062F86"/>
    <w:rsid w:val="000658D9"/>
    <w:rsid w:val="00066167"/>
    <w:rsid w:val="00066FC1"/>
    <w:rsid w:val="00067B0B"/>
    <w:rsid w:val="00070B7E"/>
    <w:rsid w:val="000716C1"/>
    <w:rsid w:val="000718BF"/>
    <w:rsid w:val="00072445"/>
    <w:rsid w:val="00072637"/>
    <w:rsid w:val="000757A4"/>
    <w:rsid w:val="00075A08"/>
    <w:rsid w:val="000761A6"/>
    <w:rsid w:val="00076F46"/>
    <w:rsid w:val="0007716F"/>
    <w:rsid w:val="00077EFF"/>
    <w:rsid w:val="0008037E"/>
    <w:rsid w:val="00080B94"/>
    <w:rsid w:val="00080C8C"/>
    <w:rsid w:val="00080E68"/>
    <w:rsid w:val="000815A6"/>
    <w:rsid w:val="00081B82"/>
    <w:rsid w:val="00082B79"/>
    <w:rsid w:val="00083C9F"/>
    <w:rsid w:val="0008513D"/>
    <w:rsid w:val="0008681E"/>
    <w:rsid w:val="000871B2"/>
    <w:rsid w:val="00090CB4"/>
    <w:rsid w:val="00092FDD"/>
    <w:rsid w:val="00093078"/>
    <w:rsid w:val="00093240"/>
    <w:rsid w:val="00093885"/>
    <w:rsid w:val="00093FAA"/>
    <w:rsid w:val="00093FBC"/>
    <w:rsid w:val="0009474A"/>
    <w:rsid w:val="0009489D"/>
    <w:rsid w:val="0009500A"/>
    <w:rsid w:val="0009587E"/>
    <w:rsid w:val="000958B3"/>
    <w:rsid w:val="000965CC"/>
    <w:rsid w:val="000966F4"/>
    <w:rsid w:val="00096AF1"/>
    <w:rsid w:val="00097621"/>
    <w:rsid w:val="000A05B2"/>
    <w:rsid w:val="000A0F6C"/>
    <w:rsid w:val="000A14D7"/>
    <w:rsid w:val="000A1C34"/>
    <w:rsid w:val="000A1E34"/>
    <w:rsid w:val="000A2C3E"/>
    <w:rsid w:val="000A304C"/>
    <w:rsid w:val="000A30BE"/>
    <w:rsid w:val="000A3C7C"/>
    <w:rsid w:val="000A4716"/>
    <w:rsid w:val="000A49FA"/>
    <w:rsid w:val="000A54E2"/>
    <w:rsid w:val="000A60D9"/>
    <w:rsid w:val="000A6ED1"/>
    <w:rsid w:val="000A763C"/>
    <w:rsid w:val="000B1737"/>
    <w:rsid w:val="000B2437"/>
    <w:rsid w:val="000B2753"/>
    <w:rsid w:val="000B2909"/>
    <w:rsid w:val="000B4911"/>
    <w:rsid w:val="000B5EBE"/>
    <w:rsid w:val="000B609D"/>
    <w:rsid w:val="000B7FDF"/>
    <w:rsid w:val="000C0FF3"/>
    <w:rsid w:val="000C104B"/>
    <w:rsid w:val="000C25F7"/>
    <w:rsid w:val="000C2678"/>
    <w:rsid w:val="000C28A8"/>
    <w:rsid w:val="000C29FB"/>
    <w:rsid w:val="000C38B1"/>
    <w:rsid w:val="000C3AAA"/>
    <w:rsid w:val="000C4F6F"/>
    <w:rsid w:val="000C55B5"/>
    <w:rsid w:val="000C5900"/>
    <w:rsid w:val="000C7271"/>
    <w:rsid w:val="000D0298"/>
    <w:rsid w:val="000D0A85"/>
    <w:rsid w:val="000D0B5D"/>
    <w:rsid w:val="000D101C"/>
    <w:rsid w:val="000D1FF8"/>
    <w:rsid w:val="000D4788"/>
    <w:rsid w:val="000D4B84"/>
    <w:rsid w:val="000D4C3B"/>
    <w:rsid w:val="000D4E75"/>
    <w:rsid w:val="000D519A"/>
    <w:rsid w:val="000D5D37"/>
    <w:rsid w:val="000D6059"/>
    <w:rsid w:val="000D72FA"/>
    <w:rsid w:val="000E0C94"/>
    <w:rsid w:val="000E191A"/>
    <w:rsid w:val="000E1C91"/>
    <w:rsid w:val="000E1FA5"/>
    <w:rsid w:val="000E31B4"/>
    <w:rsid w:val="000E3A16"/>
    <w:rsid w:val="000E3E81"/>
    <w:rsid w:val="000E58A6"/>
    <w:rsid w:val="000E6278"/>
    <w:rsid w:val="000E6E6C"/>
    <w:rsid w:val="000F08B0"/>
    <w:rsid w:val="000F1360"/>
    <w:rsid w:val="000F1C14"/>
    <w:rsid w:val="000F1F4B"/>
    <w:rsid w:val="000F3136"/>
    <w:rsid w:val="000F35C0"/>
    <w:rsid w:val="000F3901"/>
    <w:rsid w:val="000F6CD1"/>
    <w:rsid w:val="000F7557"/>
    <w:rsid w:val="000F7598"/>
    <w:rsid w:val="000F7C4B"/>
    <w:rsid w:val="0010117F"/>
    <w:rsid w:val="00101484"/>
    <w:rsid w:val="00102659"/>
    <w:rsid w:val="00102E69"/>
    <w:rsid w:val="00104071"/>
    <w:rsid w:val="00104C5A"/>
    <w:rsid w:val="001070B0"/>
    <w:rsid w:val="00107862"/>
    <w:rsid w:val="001127A0"/>
    <w:rsid w:val="00115275"/>
    <w:rsid w:val="00116C2B"/>
    <w:rsid w:val="001171C7"/>
    <w:rsid w:val="00117D0B"/>
    <w:rsid w:val="001209B6"/>
    <w:rsid w:val="00121E41"/>
    <w:rsid w:val="001246AD"/>
    <w:rsid w:val="00124BDD"/>
    <w:rsid w:val="00125753"/>
    <w:rsid w:val="00126172"/>
    <w:rsid w:val="001266DF"/>
    <w:rsid w:val="0012671B"/>
    <w:rsid w:val="001269AF"/>
    <w:rsid w:val="0012733D"/>
    <w:rsid w:val="00127479"/>
    <w:rsid w:val="001275CB"/>
    <w:rsid w:val="00131598"/>
    <w:rsid w:val="00133097"/>
    <w:rsid w:val="00133878"/>
    <w:rsid w:val="00134665"/>
    <w:rsid w:val="0013504B"/>
    <w:rsid w:val="001351F2"/>
    <w:rsid w:val="00135BA7"/>
    <w:rsid w:val="0013607D"/>
    <w:rsid w:val="00137658"/>
    <w:rsid w:val="00137800"/>
    <w:rsid w:val="00141D58"/>
    <w:rsid w:val="00141F56"/>
    <w:rsid w:val="0014248A"/>
    <w:rsid w:val="00142908"/>
    <w:rsid w:val="00143272"/>
    <w:rsid w:val="00143652"/>
    <w:rsid w:val="00143857"/>
    <w:rsid w:val="00143D54"/>
    <w:rsid w:val="00143EC4"/>
    <w:rsid w:val="001450F3"/>
    <w:rsid w:val="001459DB"/>
    <w:rsid w:val="001466C0"/>
    <w:rsid w:val="00151C91"/>
    <w:rsid w:val="00152398"/>
    <w:rsid w:val="00153FE4"/>
    <w:rsid w:val="001546B2"/>
    <w:rsid w:val="00154ABA"/>
    <w:rsid w:val="00155174"/>
    <w:rsid w:val="0015550F"/>
    <w:rsid w:val="0015592D"/>
    <w:rsid w:val="00155A88"/>
    <w:rsid w:val="001562B7"/>
    <w:rsid w:val="00160514"/>
    <w:rsid w:val="0016066D"/>
    <w:rsid w:val="001606A0"/>
    <w:rsid w:val="001613C2"/>
    <w:rsid w:val="0016249C"/>
    <w:rsid w:val="00162CA6"/>
    <w:rsid w:val="00163649"/>
    <w:rsid w:val="0016594B"/>
    <w:rsid w:val="00165973"/>
    <w:rsid w:val="00166C85"/>
    <w:rsid w:val="00167614"/>
    <w:rsid w:val="00167E90"/>
    <w:rsid w:val="0017117B"/>
    <w:rsid w:val="00171A85"/>
    <w:rsid w:val="00171FFA"/>
    <w:rsid w:val="00172654"/>
    <w:rsid w:val="00172E48"/>
    <w:rsid w:val="0017382F"/>
    <w:rsid w:val="00175441"/>
    <w:rsid w:val="00176C2A"/>
    <w:rsid w:val="00176D4C"/>
    <w:rsid w:val="001819B5"/>
    <w:rsid w:val="001824BF"/>
    <w:rsid w:val="001834E7"/>
    <w:rsid w:val="00183D7A"/>
    <w:rsid w:val="00183D9E"/>
    <w:rsid w:val="00183FAB"/>
    <w:rsid w:val="00184327"/>
    <w:rsid w:val="0018498F"/>
    <w:rsid w:val="00186494"/>
    <w:rsid w:val="00186506"/>
    <w:rsid w:val="0018654E"/>
    <w:rsid w:val="00186CD3"/>
    <w:rsid w:val="00186DBC"/>
    <w:rsid w:val="00187E1A"/>
    <w:rsid w:val="00190A1C"/>
    <w:rsid w:val="00191965"/>
    <w:rsid w:val="001920D2"/>
    <w:rsid w:val="00193E8A"/>
    <w:rsid w:val="0019478C"/>
    <w:rsid w:val="001963A1"/>
    <w:rsid w:val="00196A0B"/>
    <w:rsid w:val="0019796A"/>
    <w:rsid w:val="00197B02"/>
    <w:rsid w:val="001A06D3"/>
    <w:rsid w:val="001A19BB"/>
    <w:rsid w:val="001A270C"/>
    <w:rsid w:val="001A2F83"/>
    <w:rsid w:val="001A320E"/>
    <w:rsid w:val="001A43FE"/>
    <w:rsid w:val="001A4CDA"/>
    <w:rsid w:val="001A5640"/>
    <w:rsid w:val="001A5E7D"/>
    <w:rsid w:val="001A6B2D"/>
    <w:rsid w:val="001B03CA"/>
    <w:rsid w:val="001B0629"/>
    <w:rsid w:val="001B06A5"/>
    <w:rsid w:val="001B07EC"/>
    <w:rsid w:val="001B0B7D"/>
    <w:rsid w:val="001B0C82"/>
    <w:rsid w:val="001B148A"/>
    <w:rsid w:val="001B1A23"/>
    <w:rsid w:val="001B2FF1"/>
    <w:rsid w:val="001B3C53"/>
    <w:rsid w:val="001B45EA"/>
    <w:rsid w:val="001B4C8D"/>
    <w:rsid w:val="001B6A52"/>
    <w:rsid w:val="001B6E5D"/>
    <w:rsid w:val="001B6F32"/>
    <w:rsid w:val="001B73ED"/>
    <w:rsid w:val="001B77A9"/>
    <w:rsid w:val="001C02B2"/>
    <w:rsid w:val="001C081B"/>
    <w:rsid w:val="001C12EE"/>
    <w:rsid w:val="001C16C7"/>
    <w:rsid w:val="001C199F"/>
    <w:rsid w:val="001C2EC1"/>
    <w:rsid w:val="001C35C3"/>
    <w:rsid w:val="001C3F9D"/>
    <w:rsid w:val="001C48C2"/>
    <w:rsid w:val="001C4FF3"/>
    <w:rsid w:val="001C504D"/>
    <w:rsid w:val="001C5565"/>
    <w:rsid w:val="001C6A44"/>
    <w:rsid w:val="001C7307"/>
    <w:rsid w:val="001D05A0"/>
    <w:rsid w:val="001D1D00"/>
    <w:rsid w:val="001D2237"/>
    <w:rsid w:val="001D2B48"/>
    <w:rsid w:val="001D2C95"/>
    <w:rsid w:val="001D3C94"/>
    <w:rsid w:val="001D427C"/>
    <w:rsid w:val="001D4438"/>
    <w:rsid w:val="001D5925"/>
    <w:rsid w:val="001D6707"/>
    <w:rsid w:val="001D76C3"/>
    <w:rsid w:val="001D7755"/>
    <w:rsid w:val="001D7E69"/>
    <w:rsid w:val="001E0B0A"/>
    <w:rsid w:val="001E0F20"/>
    <w:rsid w:val="001E1775"/>
    <w:rsid w:val="001E239A"/>
    <w:rsid w:val="001E37EB"/>
    <w:rsid w:val="001E524C"/>
    <w:rsid w:val="001E53D1"/>
    <w:rsid w:val="001E5465"/>
    <w:rsid w:val="001E54FC"/>
    <w:rsid w:val="001E58AA"/>
    <w:rsid w:val="001E6BBF"/>
    <w:rsid w:val="001E6E82"/>
    <w:rsid w:val="001E7F43"/>
    <w:rsid w:val="001F01BC"/>
    <w:rsid w:val="001F0F2D"/>
    <w:rsid w:val="001F151C"/>
    <w:rsid w:val="001F1EDB"/>
    <w:rsid w:val="001F2630"/>
    <w:rsid w:val="001F2AEB"/>
    <w:rsid w:val="001F3195"/>
    <w:rsid w:val="001F39FC"/>
    <w:rsid w:val="001F4A83"/>
    <w:rsid w:val="001F545E"/>
    <w:rsid w:val="001F5B5D"/>
    <w:rsid w:val="001F61A5"/>
    <w:rsid w:val="001F7887"/>
    <w:rsid w:val="001F7ED5"/>
    <w:rsid w:val="00200AC1"/>
    <w:rsid w:val="002033F3"/>
    <w:rsid w:val="00203591"/>
    <w:rsid w:val="00204251"/>
    <w:rsid w:val="002043CC"/>
    <w:rsid w:val="0020460F"/>
    <w:rsid w:val="00204FEF"/>
    <w:rsid w:val="002053AA"/>
    <w:rsid w:val="002054A8"/>
    <w:rsid w:val="00206EC0"/>
    <w:rsid w:val="00210B94"/>
    <w:rsid w:val="002113CF"/>
    <w:rsid w:val="00211914"/>
    <w:rsid w:val="00211FAD"/>
    <w:rsid w:val="00213980"/>
    <w:rsid w:val="002142A5"/>
    <w:rsid w:val="00214A80"/>
    <w:rsid w:val="00215426"/>
    <w:rsid w:val="00215AC4"/>
    <w:rsid w:val="00216EA0"/>
    <w:rsid w:val="002178E9"/>
    <w:rsid w:val="002206CF"/>
    <w:rsid w:val="00220C0B"/>
    <w:rsid w:val="00220C3C"/>
    <w:rsid w:val="00220CB8"/>
    <w:rsid w:val="0022103A"/>
    <w:rsid w:val="0022118B"/>
    <w:rsid w:val="002215E1"/>
    <w:rsid w:val="002228A3"/>
    <w:rsid w:val="002229A4"/>
    <w:rsid w:val="002259CA"/>
    <w:rsid w:val="002260B3"/>
    <w:rsid w:val="00226960"/>
    <w:rsid w:val="002276B7"/>
    <w:rsid w:val="00227A0D"/>
    <w:rsid w:val="00230419"/>
    <w:rsid w:val="00230A15"/>
    <w:rsid w:val="00230ED1"/>
    <w:rsid w:val="0023198D"/>
    <w:rsid w:val="002340CD"/>
    <w:rsid w:val="00234ECE"/>
    <w:rsid w:val="002351B9"/>
    <w:rsid w:val="002367DB"/>
    <w:rsid w:val="00237F25"/>
    <w:rsid w:val="00240166"/>
    <w:rsid w:val="00240C09"/>
    <w:rsid w:val="00241738"/>
    <w:rsid w:val="002431D7"/>
    <w:rsid w:val="00244CC4"/>
    <w:rsid w:val="002453C8"/>
    <w:rsid w:val="00245B53"/>
    <w:rsid w:val="00245DF6"/>
    <w:rsid w:val="002462D2"/>
    <w:rsid w:val="002475EC"/>
    <w:rsid w:val="0025056E"/>
    <w:rsid w:val="002506FB"/>
    <w:rsid w:val="00252C05"/>
    <w:rsid w:val="00252D83"/>
    <w:rsid w:val="00253201"/>
    <w:rsid w:val="0025372D"/>
    <w:rsid w:val="00254913"/>
    <w:rsid w:val="00255ED1"/>
    <w:rsid w:val="00256342"/>
    <w:rsid w:val="00256623"/>
    <w:rsid w:val="002572C3"/>
    <w:rsid w:val="002573BC"/>
    <w:rsid w:val="00260321"/>
    <w:rsid w:val="00260F3B"/>
    <w:rsid w:val="00261032"/>
    <w:rsid w:val="0026114A"/>
    <w:rsid w:val="002611E9"/>
    <w:rsid w:val="002621E0"/>
    <w:rsid w:val="00262D5E"/>
    <w:rsid w:val="00262E7F"/>
    <w:rsid w:val="00263076"/>
    <w:rsid w:val="00263650"/>
    <w:rsid w:val="002641BA"/>
    <w:rsid w:val="00264253"/>
    <w:rsid w:val="00264E08"/>
    <w:rsid w:val="002653FE"/>
    <w:rsid w:val="00265A54"/>
    <w:rsid w:val="00267230"/>
    <w:rsid w:val="0027171B"/>
    <w:rsid w:val="00271E33"/>
    <w:rsid w:val="00272486"/>
    <w:rsid w:val="0027264B"/>
    <w:rsid w:val="002726F3"/>
    <w:rsid w:val="00272760"/>
    <w:rsid w:val="00272E1C"/>
    <w:rsid w:val="00273FC1"/>
    <w:rsid w:val="00274287"/>
    <w:rsid w:val="00274956"/>
    <w:rsid w:val="00275432"/>
    <w:rsid w:val="00276754"/>
    <w:rsid w:val="00276A8F"/>
    <w:rsid w:val="00280590"/>
    <w:rsid w:val="00280B42"/>
    <w:rsid w:val="00280EBD"/>
    <w:rsid w:val="0028198C"/>
    <w:rsid w:val="002835BD"/>
    <w:rsid w:val="00283778"/>
    <w:rsid w:val="00284CD4"/>
    <w:rsid w:val="00285132"/>
    <w:rsid w:val="00285425"/>
    <w:rsid w:val="00285ABB"/>
    <w:rsid w:val="0028644F"/>
    <w:rsid w:val="00286946"/>
    <w:rsid w:val="00286BAF"/>
    <w:rsid w:val="00290527"/>
    <w:rsid w:val="00290996"/>
    <w:rsid w:val="002913DC"/>
    <w:rsid w:val="002920F0"/>
    <w:rsid w:val="0029389B"/>
    <w:rsid w:val="00293A09"/>
    <w:rsid w:val="00294437"/>
    <w:rsid w:val="002945B5"/>
    <w:rsid w:val="002949D7"/>
    <w:rsid w:val="00294D8F"/>
    <w:rsid w:val="00295BA3"/>
    <w:rsid w:val="00296638"/>
    <w:rsid w:val="002968B9"/>
    <w:rsid w:val="0029771C"/>
    <w:rsid w:val="002A27C2"/>
    <w:rsid w:val="002A2AEB"/>
    <w:rsid w:val="002A3839"/>
    <w:rsid w:val="002A4A48"/>
    <w:rsid w:val="002A561C"/>
    <w:rsid w:val="002A5899"/>
    <w:rsid w:val="002A5D52"/>
    <w:rsid w:val="002A5F3A"/>
    <w:rsid w:val="002A6260"/>
    <w:rsid w:val="002A72E3"/>
    <w:rsid w:val="002A7711"/>
    <w:rsid w:val="002B007B"/>
    <w:rsid w:val="002B0CB9"/>
    <w:rsid w:val="002B0E5D"/>
    <w:rsid w:val="002B0F44"/>
    <w:rsid w:val="002B1B49"/>
    <w:rsid w:val="002B24A6"/>
    <w:rsid w:val="002B2BCB"/>
    <w:rsid w:val="002B354D"/>
    <w:rsid w:val="002B48F1"/>
    <w:rsid w:val="002B5138"/>
    <w:rsid w:val="002B77FB"/>
    <w:rsid w:val="002C020A"/>
    <w:rsid w:val="002C032F"/>
    <w:rsid w:val="002C1553"/>
    <w:rsid w:val="002C1972"/>
    <w:rsid w:val="002C2198"/>
    <w:rsid w:val="002C2819"/>
    <w:rsid w:val="002C366A"/>
    <w:rsid w:val="002C5A57"/>
    <w:rsid w:val="002C5F13"/>
    <w:rsid w:val="002C700C"/>
    <w:rsid w:val="002D1670"/>
    <w:rsid w:val="002D16E0"/>
    <w:rsid w:val="002D195D"/>
    <w:rsid w:val="002D231B"/>
    <w:rsid w:val="002D2D7E"/>
    <w:rsid w:val="002D2FBD"/>
    <w:rsid w:val="002D2FF6"/>
    <w:rsid w:val="002D3845"/>
    <w:rsid w:val="002D49BB"/>
    <w:rsid w:val="002D4FC1"/>
    <w:rsid w:val="002D5275"/>
    <w:rsid w:val="002D569E"/>
    <w:rsid w:val="002D6DFD"/>
    <w:rsid w:val="002D7337"/>
    <w:rsid w:val="002E0376"/>
    <w:rsid w:val="002E119A"/>
    <w:rsid w:val="002E1205"/>
    <w:rsid w:val="002E23A9"/>
    <w:rsid w:val="002E338E"/>
    <w:rsid w:val="002E5A8D"/>
    <w:rsid w:val="002E5FC4"/>
    <w:rsid w:val="002E6ABF"/>
    <w:rsid w:val="002E7FD0"/>
    <w:rsid w:val="002F0AE6"/>
    <w:rsid w:val="002F0B00"/>
    <w:rsid w:val="002F253B"/>
    <w:rsid w:val="002F2F3C"/>
    <w:rsid w:val="002F3CDD"/>
    <w:rsid w:val="002F4155"/>
    <w:rsid w:val="002F478C"/>
    <w:rsid w:val="002F5868"/>
    <w:rsid w:val="002F5BE0"/>
    <w:rsid w:val="002F68C1"/>
    <w:rsid w:val="002F71AC"/>
    <w:rsid w:val="002F790D"/>
    <w:rsid w:val="00300640"/>
    <w:rsid w:val="003017E0"/>
    <w:rsid w:val="00301F35"/>
    <w:rsid w:val="0030344D"/>
    <w:rsid w:val="00303481"/>
    <w:rsid w:val="003037B2"/>
    <w:rsid w:val="00304762"/>
    <w:rsid w:val="00304CD1"/>
    <w:rsid w:val="00304FFF"/>
    <w:rsid w:val="003064FC"/>
    <w:rsid w:val="00306D90"/>
    <w:rsid w:val="0030764E"/>
    <w:rsid w:val="00307B80"/>
    <w:rsid w:val="003104AB"/>
    <w:rsid w:val="00312706"/>
    <w:rsid w:val="00313D35"/>
    <w:rsid w:val="00313FB5"/>
    <w:rsid w:val="00314073"/>
    <w:rsid w:val="00314B6A"/>
    <w:rsid w:val="00315BF5"/>
    <w:rsid w:val="003164C8"/>
    <w:rsid w:val="00316707"/>
    <w:rsid w:val="00317060"/>
    <w:rsid w:val="00317DF3"/>
    <w:rsid w:val="0032204E"/>
    <w:rsid w:val="0032285F"/>
    <w:rsid w:val="00322B37"/>
    <w:rsid w:val="00322BBE"/>
    <w:rsid w:val="003230E3"/>
    <w:rsid w:val="00324A81"/>
    <w:rsid w:val="00325917"/>
    <w:rsid w:val="003259C6"/>
    <w:rsid w:val="00325CAF"/>
    <w:rsid w:val="00326C23"/>
    <w:rsid w:val="00331845"/>
    <w:rsid w:val="0033264E"/>
    <w:rsid w:val="00332D58"/>
    <w:rsid w:val="00333120"/>
    <w:rsid w:val="00333294"/>
    <w:rsid w:val="00333BAF"/>
    <w:rsid w:val="00333C0F"/>
    <w:rsid w:val="00334F3B"/>
    <w:rsid w:val="003358EE"/>
    <w:rsid w:val="00335945"/>
    <w:rsid w:val="003364B9"/>
    <w:rsid w:val="00336896"/>
    <w:rsid w:val="00336B52"/>
    <w:rsid w:val="00342013"/>
    <w:rsid w:val="003424BD"/>
    <w:rsid w:val="00344308"/>
    <w:rsid w:val="00344430"/>
    <w:rsid w:val="00344F56"/>
    <w:rsid w:val="003459DE"/>
    <w:rsid w:val="00345F43"/>
    <w:rsid w:val="003460DF"/>
    <w:rsid w:val="00350280"/>
    <w:rsid w:val="0035078B"/>
    <w:rsid w:val="00350984"/>
    <w:rsid w:val="00352429"/>
    <w:rsid w:val="00354BB9"/>
    <w:rsid w:val="0035539C"/>
    <w:rsid w:val="00355D4F"/>
    <w:rsid w:val="00356783"/>
    <w:rsid w:val="00356E9F"/>
    <w:rsid w:val="003578BD"/>
    <w:rsid w:val="00357EC6"/>
    <w:rsid w:val="0036089C"/>
    <w:rsid w:val="00361899"/>
    <w:rsid w:val="003620E8"/>
    <w:rsid w:val="00362E97"/>
    <w:rsid w:val="00363284"/>
    <w:rsid w:val="00363A37"/>
    <w:rsid w:val="00366D65"/>
    <w:rsid w:val="003671A7"/>
    <w:rsid w:val="003678B8"/>
    <w:rsid w:val="00367950"/>
    <w:rsid w:val="00367BE5"/>
    <w:rsid w:val="00367E74"/>
    <w:rsid w:val="00367ECE"/>
    <w:rsid w:val="00370500"/>
    <w:rsid w:val="00371B60"/>
    <w:rsid w:val="003721C6"/>
    <w:rsid w:val="00372F8A"/>
    <w:rsid w:val="00372FF7"/>
    <w:rsid w:val="003744CE"/>
    <w:rsid w:val="00374A7B"/>
    <w:rsid w:val="003758CB"/>
    <w:rsid w:val="003759C8"/>
    <w:rsid w:val="003761FD"/>
    <w:rsid w:val="00376C16"/>
    <w:rsid w:val="00380584"/>
    <w:rsid w:val="003811B8"/>
    <w:rsid w:val="00384590"/>
    <w:rsid w:val="00385843"/>
    <w:rsid w:val="00386A14"/>
    <w:rsid w:val="00386B3D"/>
    <w:rsid w:val="00390EDD"/>
    <w:rsid w:val="00391654"/>
    <w:rsid w:val="00391936"/>
    <w:rsid w:val="00391CB3"/>
    <w:rsid w:val="00392562"/>
    <w:rsid w:val="003926B0"/>
    <w:rsid w:val="00393951"/>
    <w:rsid w:val="00394EBA"/>
    <w:rsid w:val="00395C7D"/>
    <w:rsid w:val="00396A4A"/>
    <w:rsid w:val="00397ADD"/>
    <w:rsid w:val="003A11CA"/>
    <w:rsid w:val="003A1755"/>
    <w:rsid w:val="003A3152"/>
    <w:rsid w:val="003A317A"/>
    <w:rsid w:val="003A3474"/>
    <w:rsid w:val="003A39B8"/>
    <w:rsid w:val="003A39BC"/>
    <w:rsid w:val="003A39C1"/>
    <w:rsid w:val="003A41B5"/>
    <w:rsid w:val="003A4290"/>
    <w:rsid w:val="003A4832"/>
    <w:rsid w:val="003A4FC9"/>
    <w:rsid w:val="003A5EF5"/>
    <w:rsid w:val="003A6DF9"/>
    <w:rsid w:val="003A732C"/>
    <w:rsid w:val="003A7EB9"/>
    <w:rsid w:val="003B0733"/>
    <w:rsid w:val="003B21DD"/>
    <w:rsid w:val="003B2344"/>
    <w:rsid w:val="003B2AB3"/>
    <w:rsid w:val="003B5D95"/>
    <w:rsid w:val="003B5DF2"/>
    <w:rsid w:val="003B662F"/>
    <w:rsid w:val="003B6A7C"/>
    <w:rsid w:val="003B6EDE"/>
    <w:rsid w:val="003C1312"/>
    <w:rsid w:val="003C33F3"/>
    <w:rsid w:val="003C3567"/>
    <w:rsid w:val="003C3BB6"/>
    <w:rsid w:val="003C4013"/>
    <w:rsid w:val="003C414A"/>
    <w:rsid w:val="003C48C8"/>
    <w:rsid w:val="003C559E"/>
    <w:rsid w:val="003C5A1E"/>
    <w:rsid w:val="003C6296"/>
    <w:rsid w:val="003C7EE5"/>
    <w:rsid w:val="003D1280"/>
    <w:rsid w:val="003D1464"/>
    <w:rsid w:val="003D3A76"/>
    <w:rsid w:val="003D3FC3"/>
    <w:rsid w:val="003D4123"/>
    <w:rsid w:val="003D4A73"/>
    <w:rsid w:val="003D4B18"/>
    <w:rsid w:val="003D537B"/>
    <w:rsid w:val="003D597A"/>
    <w:rsid w:val="003D5F34"/>
    <w:rsid w:val="003D6782"/>
    <w:rsid w:val="003E1319"/>
    <w:rsid w:val="003E1F84"/>
    <w:rsid w:val="003E34AC"/>
    <w:rsid w:val="003E371C"/>
    <w:rsid w:val="003E3D77"/>
    <w:rsid w:val="003E43B4"/>
    <w:rsid w:val="003E45DE"/>
    <w:rsid w:val="003E4901"/>
    <w:rsid w:val="003E5D0B"/>
    <w:rsid w:val="003E6710"/>
    <w:rsid w:val="003E6F4B"/>
    <w:rsid w:val="003E70FB"/>
    <w:rsid w:val="003E776E"/>
    <w:rsid w:val="003F0105"/>
    <w:rsid w:val="003F141B"/>
    <w:rsid w:val="003F1E86"/>
    <w:rsid w:val="003F24B3"/>
    <w:rsid w:val="003F3A2A"/>
    <w:rsid w:val="003F6C2F"/>
    <w:rsid w:val="003F6DAB"/>
    <w:rsid w:val="003F6E18"/>
    <w:rsid w:val="003F72B7"/>
    <w:rsid w:val="003F7CA1"/>
    <w:rsid w:val="0040015A"/>
    <w:rsid w:val="00400553"/>
    <w:rsid w:val="004012B1"/>
    <w:rsid w:val="00401B34"/>
    <w:rsid w:val="004033BD"/>
    <w:rsid w:val="00403849"/>
    <w:rsid w:val="00403D34"/>
    <w:rsid w:val="00404E3E"/>
    <w:rsid w:val="004077C7"/>
    <w:rsid w:val="004111AE"/>
    <w:rsid w:val="00411E80"/>
    <w:rsid w:val="00411EBF"/>
    <w:rsid w:val="00412966"/>
    <w:rsid w:val="00413073"/>
    <w:rsid w:val="00413EAF"/>
    <w:rsid w:val="00414A9B"/>
    <w:rsid w:val="004154B5"/>
    <w:rsid w:val="004163C4"/>
    <w:rsid w:val="0041703B"/>
    <w:rsid w:val="00417CE5"/>
    <w:rsid w:val="00420D22"/>
    <w:rsid w:val="004216D2"/>
    <w:rsid w:val="00421F53"/>
    <w:rsid w:val="004224CD"/>
    <w:rsid w:val="00422F22"/>
    <w:rsid w:val="00423ACD"/>
    <w:rsid w:val="004247CF"/>
    <w:rsid w:val="004267E7"/>
    <w:rsid w:val="004267F5"/>
    <w:rsid w:val="00427493"/>
    <w:rsid w:val="0043001C"/>
    <w:rsid w:val="004300F0"/>
    <w:rsid w:val="00430500"/>
    <w:rsid w:val="0043060F"/>
    <w:rsid w:val="004311B2"/>
    <w:rsid w:val="0043121D"/>
    <w:rsid w:val="0043472F"/>
    <w:rsid w:val="00434E7E"/>
    <w:rsid w:val="00435201"/>
    <w:rsid w:val="00435767"/>
    <w:rsid w:val="00435884"/>
    <w:rsid w:val="00435AFE"/>
    <w:rsid w:val="0043642B"/>
    <w:rsid w:val="00436678"/>
    <w:rsid w:val="00437A8B"/>
    <w:rsid w:val="00441B24"/>
    <w:rsid w:val="00441B36"/>
    <w:rsid w:val="00442094"/>
    <w:rsid w:val="0044253E"/>
    <w:rsid w:val="004429F4"/>
    <w:rsid w:val="00442A68"/>
    <w:rsid w:val="00443FA1"/>
    <w:rsid w:val="0044436D"/>
    <w:rsid w:val="00444DED"/>
    <w:rsid w:val="00445041"/>
    <w:rsid w:val="00445A10"/>
    <w:rsid w:val="00445D9C"/>
    <w:rsid w:val="00445F9B"/>
    <w:rsid w:val="004502BE"/>
    <w:rsid w:val="00452080"/>
    <w:rsid w:val="00452F0A"/>
    <w:rsid w:val="00453353"/>
    <w:rsid w:val="00453738"/>
    <w:rsid w:val="00455581"/>
    <w:rsid w:val="00455C84"/>
    <w:rsid w:val="00455E16"/>
    <w:rsid w:val="004604AB"/>
    <w:rsid w:val="004609A8"/>
    <w:rsid w:val="00461E43"/>
    <w:rsid w:val="0046251A"/>
    <w:rsid w:val="00462555"/>
    <w:rsid w:val="004647E9"/>
    <w:rsid w:val="004648F3"/>
    <w:rsid w:val="00465675"/>
    <w:rsid w:val="00467F44"/>
    <w:rsid w:val="0047025D"/>
    <w:rsid w:val="00470652"/>
    <w:rsid w:val="004719B2"/>
    <w:rsid w:val="004719C4"/>
    <w:rsid w:val="00471FE9"/>
    <w:rsid w:val="00472ADC"/>
    <w:rsid w:val="004739A1"/>
    <w:rsid w:val="004756B1"/>
    <w:rsid w:val="00475C2B"/>
    <w:rsid w:val="00476473"/>
    <w:rsid w:val="004814BD"/>
    <w:rsid w:val="0048244A"/>
    <w:rsid w:val="004826D2"/>
    <w:rsid w:val="00482A1E"/>
    <w:rsid w:val="00483A94"/>
    <w:rsid w:val="00484945"/>
    <w:rsid w:val="004855DC"/>
    <w:rsid w:val="004859C9"/>
    <w:rsid w:val="00486479"/>
    <w:rsid w:val="00486C28"/>
    <w:rsid w:val="00487713"/>
    <w:rsid w:val="00487835"/>
    <w:rsid w:val="004905E8"/>
    <w:rsid w:val="00491295"/>
    <w:rsid w:val="00491CC0"/>
    <w:rsid w:val="00491FBD"/>
    <w:rsid w:val="0049257D"/>
    <w:rsid w:val="00492771"/>
    <w:rsid w:val="0049389B"/>
    <w:rsid w:val="00493A91"/>
    <w:rsid w:val="004948D6"/>
    <w:rsid w:val="0049522D"/>
    <w:rsid w:val="00496F2A"/>
    <w:rsid w:val="00497CE4"/>
    <w:rsid w:val="004A01E9"/>
    <w:rsid w:val="004A0629"/>
    <w:rsid w:val="004A1CBD"/>
    <w:rsid w:val="004A2375"/>
    <w:rsid w:val="004A3B3D"/>
    <w:rsid w:val="004A472A"/>
    <w:rsid w:val="004A4BDB"/>
    <w:rsid w:val="004A4F92"/>
    <w:rsid w:val="004A5BF7"/>
    <w:rsid w:val="004A7D5B"/>
    <w:rsid w:val="004B0FBA"/>
    <w:rsid w:val="004B14A7"/>
    <w:rsid w:val="004B175C"/>
    <w:rsid w:val="004B1BFE"/>
    <w:rsid w:val="004B2C2A"/>
    <w:rsid w:val="004B383B"/>
    <w:rsid w:val="004B4990"/>
    <w:rsid w:val="004B6B65"/>
    <w:rsid w:val="004B7A8F"/>
    <w:rsid w:val="004C0A96"/>
    <w:rsid w:val="004C0CF2"/>
    <w:rsid w:val="004C1E76"/>
    <w:rsid w:val="004C2816"/>
    <w:rsid w:val="004C301B"/>
    <w:rsid w:val="004C3179"/>
    <w:rsid w:val="004C4729"/>
    <w:rsid w:val="004C49D5"/>
    <w:rsid w:val="004C4B03"/>
    <w:rsid w:val="004C6161"/>
    <w:rsid w:val="004C638A"/>
    <w:rsid w:val="004C69BC"/>
    <w:rsid w:val="004D0C98"/>
    <w:rsid w:val="004D12A1"/>
    <w:rsid w:val="004D1513"/>
    <w:rsid w:val="004D1F02"/>
    <w:rsid w:val="004D2DC7"/>
    <w:rsid w:val="004D3502"/>
    <w:rsid w:val="004D5363"/>
    <w:rsid w:val="004D7142"/>
    <w:rsid w:val="004D7D5A"/>
    <w:rsid w:val="004E0477"/>
    <w:rsid w:val="004E05F5"/>
    <w:rsid w:val="004E1733"/>
    <w:rsid w:val="004E1A09"/>
    <w:rsid w:val="004E1A2C"/>
    <w:rsid w:val="004E1E4C"/>
    <w:rsid w:val="004E21EA"/>
    <w:rsid w:val="004E25ED"/>
    <w:rsid w:val="004E378D"/>
    <w:rsid w:val="004E3A7B"/>
    <w:rsid w:val="004E3EBC"/>
    <w:rsid w:val="004E5498"/>
    <w:rsid w:val="004E5823"/>
    <w:rsid w:val="004F03CA"/>
    <w:rsid w:val="004F0458"/>
    <w:rsid w:val="004F0654"/>
    <w:rsid w:val="004F08AB"/>
    <w:rsid w:val="004F0EF9"/>
    <w:rsid w:val="004F1974"/>
    <w:rsid w:val="004F25CA"/>
    <w:rsid w:val="004F3564"/>
    <w:rsid w:val="004F446C"/>
    <w:rsid w:val="004F5406"/>
    <w:rsid w:val="004F6919"/>
    <w:rsid w:val="004F739F"/>
    <w:rsid w:val="004F75A2"/>
    <w:rsid w:val="004F7C7D"/>
    <w:rsid w:val="0050038E"/>
    <w:rsid w:val="005017F4"/>
    <w:rsid w:val="00502984"/>
    <w:rsid w:val="0050494B"/>
    <w:rsid w:val="005053DA"/>
    <w:rsid w:val="005055F9"/>
    <w:rsid w:val="00506AAF"/>
    <w:rsid w:val="005071ED"/>
    <w:rsid w:val="00507863"/>
    <w:rsid w:val="00507CE2"/>
    <w:rsid w:val="0051059B"/>
    <w:rsid w:val="00511240"/>
    <w:rsid w:val="00511DA9"/>
    <w:rsid w:val="0051283C"/>
    <w:rsid w:val="00513DEE"/>
    <w:rsid w:val="005161EB"/>
    <w:rsid w:val="00517725"/>
    <w:rsid w:val="00517A38"/>
    <w:rsid w:val="005217D3"/>
    <w:rsid w:val="0052221F"/>
    <w:rsid w:val="00522E8A"/>
    <w:rsid w:val="0052328C"/>
    <w:rsid w:val="005251DE"/>
    <w:rsid w:val="00525B1B"/>
    <w:rsid w:val="00525CBF"/>
    <w:rsid w:val="00526E99"/>
    <w:rsid w:val="00527D27"/>
    <w:rsid w:val="005302C5"/>
    <w:rsid w:val="00530755"/>
    <w:rsid w:val="00530B93"/>
    <w:rsid w:val="00530EEF"/>
    <w:rsid w:val="005316B0"/>
    <w:rsid w:val="0053227A"/>
    <w:rsid w:val="005323B7"/>
    <w:rsid w:val="00533168"/>
    <w:rsid w:val="0053358A"/>
    <w:rsid w:val="005337D4"/>
    <w:rsid w:val="005347B4"/>
    <w:rsid w:val="00534BD9"/>
    <w:rsid w:val="00534C9A"/>
    <w:rsid w:val="00535054"/>
    <w:rsid w:val="005353F9"/>
    <w:rsid w:val="005356DE"/>
    <w:rsid w:val="00535945"/>
    <w:rsid w:val="00535A41"/>
    <w:rsid w:val="005360AE"/>
    <w:rsid w:val="00536137"/>
    <w:rsid w:val="00536B64"/>
    <w:rsid w:val="0054100D"/>
    <w:rsid w:val="00541B4E"/>
    <w:rsid w:val="00541D38"/>
    <w:rsid w:val="00541E49"/>
    <w:rsid w:val="00542863"/>
    <w:rsid w:val="005432E1"/>
    <w:rsid w:val="005436D3"/>
    <w:rsid w:val="00543FEA"/>
    <w:rsid w:val="005479C0"/>
    <w:rsid w:val="005479EE"/>
    <w:rsid w:val="00551415"/>
    <w:rsid w:val="00553160"/>
    <w:rsid w:val="005535DF"/>
    <w:rsid w:val="00554AC3"/>
    <w:rsid w:val="00554C34"/>
    <w:rsid w:val="0055695C"/>
    <w:rsid w:val="00556EFA"/>
    <w:rsid w:val="005571CE"/>
    <w:rsid w:val="0056162F"/>
    <w:rsid w:val="00561AAB"/>
    <w:rsid w:val="005620EE"/>
    <w:rsid w:val="00562AEA"/>
    <w:rsid w:val="00563D0B"/>
    <w:rsid w:val="00564393"/>
    <w:rsid w:val="00564834"/>
    <w:rsid w:val="00564F25"/>
    <w:rsid w:val="00564F30"/>
    <w:rsid w:val="005653C9"/>
    <w:rsid w:val="00565CDB"/>
    <w:rsid w:val="00565E76"/>
    <w:rsid w:val="005669EF"/>
    <w:rsid w:val="00566CCF"/>
    <w:rsid w:val="00566E2B"/>
    <w:rsid w:val="00570A99"/>
    <w:rsid w:val="005712E5"/>
    <w:rsid w:val="0057217A"/>
    <w:rsid w:val="005736E0"/>
    <w:rsid w:val="0057499D"/>
    <w:rsid w:val="00575214"/>
    <w:rsid w:val="0057609F"/>
    <w:rsid w:val="005767D4"/>
    <w:rsid w:val="00577091"/>
    <w:rsid w:val="0057733E"/>
    <w:rsid w:val="00577E5B"/>
    <w:rsid w:val="00577EB2"/>
    <w:rsid w:val="00580917"/>
    <w:rsid w:val="00580B18"/>
    <w:rsid w:val="0058112B"/>
    <w:rsid w:val="00581A4D"/>
    <w:rsid w:val="00581C71"/>
    <w:rsid w:val="00581E7F"/>
    <w:rsid w:val="005821BF"/>
    <w:rsid w:val="00582AF8"/>
    <w:rsid w:val="0058325F"/>
    <w:rsid w:val="0058374D"/>
    <w:rsid w:val="00583C2A"/>
    <w:rsid w:val="00583FDD"/>
    <w:rsid w:val="00585CA6"/>
    <w:rsid w:val="005902D1"/>
    <w:rsid w:val="00590317"/>
    <w:rsid w:val="0059051E"/>
    <w:rsid w:val="00591990"/>
    <w:rsid w:val="00594DC8"/>
    <w:rsid w:val="00597075"/>
    <w:rsid w:val="00597B99"/>
    <w:rsid w:val="00597F36"/>
    <w:rsid w:val="005A1425"/>
    <w:rsid w:val="005A1AA1"/>
    <w:rsid w:val="005A2D26"/>
    <w:rsid w:val="005A6025"/>
    <w:rsid w:val="005A730F"/>
    <w:rsid w:val="005A7477"/>
    <w:rsid w:val="005A7A99"/>
    <w:rsid w:val="005B1147"/>
    <w:rsid w:val="005B1E26"/>
    <w:rsid w:val="005B2453"/>
    <w:rsid w:val="005B2604"/>
    <w:rsid w:val="005B3A61"/>
    <w:rsid w:val="005B497F"/>
    <w:rsid w:val="005B523D"/>
    <w:rsid w:val="005B5A1E"/>
    <w:rsid w:val="005B690C"/>
    <w:rsid w:val="005B6D20"/>
    <w:rsid w:val="005B7A63"/>
    <w:rsid w:val="005C001A"/>
    <w:rsid w:val="005C0305"/>
    <w:rsid w:val="005C223E"/>
    <w:rsid w:val="005C27C7"/>
    <w:rsid w:val="005C362C"/>
    <w:rsid w:val="005C46BB"/>
    <w:rsid w:val="005C4856"/>
    <w:rsid w:val="005C619F"/>
    <w:rsid w:val="005C68F6"/>
    <w:rsid w:val="005C6947"/>
    <w:rsid w:val="005C7F03"/>
    <w:rsid w:val="005D0B2B"/>
    <w:rsid w:val="005D1256"/>
    <w:rsid w:val="005D526F"/>
    <w:rsid w:val="005E0420"/>
    <w:rsid w:val="005E0E16"/>
    <w:rsid w:val="005E1EAE"/>
    <w:rsid w:val="005E2946"/>
    <w:rsid w:val="005E3357"/>
    <w:rsid w:val="005E3381"/>
    <w:rsid w:val="005E3A9E"/>
    <w:rsid w:val="005E5443"/>
    <w:rsid w:val="005E7150"/>
    <w:rsid w:val="005E78D4"/>
    <w:rsid w:val="005E7B99"/>
    <w:rsid w:val="005E7FEB"/>
    <w:rsid w:val="005F049C"/>
    <w:rsid w:val="005F170B"/>
    <w:rsid w:val="005F2FC9"/>
    <w:rsid w:val="005F49AE"/>
    <w:rsid w:val="005F4FFF"/>
    <w:rsid w:val="005F590F"/>
    <w:rsid w:val="005F5FC5"/>
    <w:rsid w:val="005F6B16"/>
    <w:rsid w:val="005F7A85"/>
    <w:rsid w:val="005F7F53"/>
    <w:rsid w:val="00601704"/>
    <w:rsid w:val="0060337A"/>
    <w:rsid w:val="0060423F"/>
    <w:rsid w:val="00605E38"/>
    <w:rsid w:val="006072C9"/>
    <w:rsid w:val="0060769A"/>
    <w:rsid w:val="006104B4"/>
    <w:rsid w:val="00610E57"/>
    <w:rsid w:val="0061157B"/>
    <w:rsid w:val="00611650"/>
    <w:rsid w:val="00612EDB"/>
    <w:rsid w:val="006150C0"/>
    <w:rsid w:val="006151CE"/>
    <w:rsid w:val="0061560D"/>
    <w:rsid w:val="00615734"/>
    <w:rsid w:val="0061636D"/>
    <w:rsid w:val="006163A5"/>
    <w:rsid w:val="006163EB"/>
    <w:rsid w:val="00616884"/>
    <w:rsid w:val="00616F6E"/>
    <w:rsid w:val="00617500"/>
    <w:rsid w:val="00617CC8"/>
    <w:rsid w:val="0062256D"/>
    <w:rsid w:val="00622971"/>
    <w:rsid w:val="00622CB3"/>
    <w:rsid w:val="00622DC8"/>
    <w:rsid w:val="00623825"/>
    <w:rsid w:val="00624515"/>
    <w:rsid w:val="006264C0"/>
    <w:rsid w:val="0062714E"/>
    <w:rsid w:val="00627569"/>
    <w:rsid w:val="00627C1B"/>
    <w:rsid w:val="00630C0A"/>
    <w:rsid w:val="00631D36"/>
    <w:rsid w:val="00634C0A"/>
    <w:rsid w:val="006351B6"/>
    <w:rsid w:val="006356BD"/>
    <w:rsid w:val="00635AC1"/>
    <w:rsid w:val="00636124"/>
    <w:rsid w:val="00636692"/>
    <w:rsid w:val="00636B63"/>
    <w:rsid w:val="006375C5"/>
    <w:rsid w:val="00637713"/>
    <w:rsid w:val="00637943"/>
    <w:rsid w:val="00637964"/>
    <w:rsid w:val="00637F34"/>
    <w:rsid w:val="0064118E"/>
    <w:rsid w:val="0064140C"/>
    <w:rsid w:val="006415D7"/>
    <w:rsid w:val="00641FC4"/>
    <w:rsid w:val="00643F7B"/>
    <w:rsid w:val="00644B6B"/>
    <w:rsid w:val="00645615"/>
    <w:rsid w:val="006462AD"/>
    <w:rsid w:val="00646C59"/>
    <w:rsid w:val="00646C94"/>
    <w:rsid w:val="00646CB6"/>
    <w:rsid w:val="006471FD"/>
    <w:rsid w:val="00650DCB"/>
    <w:rsid w:val="00651D26"/>
    <w:rsid w:val="00652B9C"/>
    <w:rsid w:val="00652C93"/>
    <w:rsid w:val="006530D8"/>
    <w:rsid w:val="00654993"/>
    <w:rsid w:val="00654C39"/>
    <w:rsid w:val="006555A4"/>
    <w:rsid w:val="00655C25"/>
    <w:rsid w:val="006562C4"/>
    <w:rsid w:val="00656B08"/>
    <w:rsid w:val="00656E08"/>
    <w:rsid w:val="006579C5"/>
    <w:rsid w:val="00657CAB"/>
    <w:rsid w:val="00657DB4"/>
    <w:rsid w:val="006601AA"/>
    <w:rsid w:val="00660837"/>
    <w:rsid w:val="00660BA0"/>
    <w:rsid w:val="00660CB8"/>
    <w:rsid w:val="006617E2"/>
    <w:rsid w:val="006621CA"/>
    <w:rsid w:val="006631EA"/>
    <w:rsid w:val="00663944"/>
    <w:rsid w:val="00663F58"/>
    <w:rsid w:val="00664728"/>
    <w:rsid w:val="00665879"/>
    <w:rsid w:val="00665949"/>
    <w:rsid w:val="006659B7"/>
    <w:rsid w:val="006663FA"/>
    <w:rsid w:val="00666603"/>
    <w:rsid w:val="006668E7"/>
    <w:rsid w:val="00670677"/>
    <w:rsid w:val="00671116"/>
    <w:rsid w:val="0067164A"/>
    <w:rsid w:val="00673093"/>
    <w:rsid w:val="00673482"/>
    <w:rsid w:val="00673C6F"/>
    <w:rsid w:val="006740CD"/>
    <w:rsid w:val="00675501"/>
    <w:rsid w:val="00675625"/>
    <w:rsid w:val="0067583E"/>
    <w:rsid w:val="006759DB"/>
    <w:rsid w:val="00676122"/>
    <w:rsid w:val="00676246"/>
    <w:rsid w:val="00676339"/>
    <w:rsid w:val="006805F3"/>
    <w:rsid w:val="00680FBD"/>
    <w:rsid w:val="006815F8"/>
    <w:rsid w:val="00681982"/>
    <w:rsid w:val="00681E18"/>
    <w:rsid w:val="00682059"/>
    <w:rsid w:val="006821D0"/>
    <w:rsid w:val="00682666"/>
    <w:rsid w:val="00682763"/>
    <w:rsid w:val="00683274"/>
    <w:rsid w:val="00683DCC"/>
    <w:rsid w:val="0068453D"/>
    <w:rsid w:val="00684955"/>
    <w:rsid w:val="00685D47"/>
    <w:rsid w:val="006866A8"/>
    <w:rsid w:val="00686A0D"/>
    <w:rsid w:val="00686D24"/>
    <w:rsid w:val="00687F25"/>
    <w:rsid w:val="00690033"/>
    <w:rsid w:val="0069008B"/>
    <w:rsid w:val="0069087C"/>
    <w:rsid w:val="00690EA4"/>
    <w:rsid w:val="00691458"/>
    <w:rsid w:val="006915B4"/>
    <w:rsid w:val="00692EC0"/>
    <w:rsid w:val="006931C0"/>
    <w:rsid w:val="00693953"/>
    <w:rsid w:val="0069427A"/>
    <w:rsid w:val="00696834"/>
    <w:rsid w:val="006A00B9"/>
    <w:rsid w:val="006A09A9"/>
    <w:rsid w:val="006A0C55"/>
    <w:rsid w:val="006A1926"/>
    <w:rsid w:val="006A1DD0"/>
    <w:rsid w:val="006A2399"/>
    <w:rsid w:val="006A3A8E"/>
    <w:rsid w:val="006A51CD"/>
    <w:rsid w:val="006A55D9"/>
    <w:rsid w:val="006A61BD"/>
    <w:rsid w:val="006A628C"/>
    <w:rsid w:val="006A64B0"/>
    <w:rsid w:val="006A6757"/>
    <w:rsid w:val="006A68BF"/>
    <w:rsid w:val="006A6C58"/>
    <w:rsid w:val="006A758B"/>
    <w:rsid w:val="006B16D6"/>
    <w:rsid w:val="006B1B02"/>
    <w:rsid w:val="006B2044"/>
    <w:rsid w:val="006B2890"/>
    <w:rsid w:val="006B569B"/>
    <w:rsid w:val="006B5E3C"/>
    <w:rsid w:val="006B5F11"/>
    <w:rsid w:val="006B65D8"/>
    <w:rsid w:val="006B65F4"/>
    <w:rsid w:val="006C0603"/>
    <w:rsid w:val="006C0F8B"/>
    <w:rsid w:val="006C2674"/>
    <w:rsid w:val="006C27B2"/>
    <w:rsid w:val="006C29F3"/>
    <w:rsid w:val="006C2D5D"/>
    <w:rsid w:val="006C390C"/>
    <w:rsid w:val="006C397A"/>
    <w:rsid w:val="006C3D7F"/>
    <w:rsid w:val="006C47B6"/>
    <w:rsid w:val="006C4C8F"/>
    <w:rsid w:val="006C5003"/>
    <w:rsid w:val="006C72EA"/>
    <w:rsid w:val="006C774F"/>
    <w:rsid w:val="006C7D8D"/>
    <w:rsid w:val="006C7FD8"/>
    <w:rsid w:val="006D02F8"/>
    <w:rsid w:val="006D049F"/>
    <w:rsid w:val="006D0A8A"/>
    <w:rsid w:val="006D1C48"/>
    <w:rsid w:val="006D1F15"/>
    <w:rsid w:val="006D316C"/>
    <w:rsid w:val="006D3E58"/>
    <w:rsid w:val="006D6A5C"/>
    <w:rsid w:val="006D6BD5"/>
    <w:rsid w:val="006D6D1C"/>
    <w:rsid w:val="006D7985"/>
    <w:rsid w:val="006D7A10"/>
    <w:rsid w:val="006E1F7B"/>
    <w:rsid w:val="006E2B7C"/>
    <w:rsid w:val="006E3403"/>
    <w:rsid w:val="006E3D0C"/>
    <w:rsid w:val="006E502D"/>
    <w:rsid w:val="006E7141"/>
    <w:rsid w:val="006E76B2"/>
    <w:rsid w:val="006E7A88"/>
    <w:rsid w:val="006F0110"/>
    <w:rsid w:val="006F0B9E"/>
    <w:rsid w:val="006F10F2"/>
    <w:rsid w:val="006F1365"/>
    <w:rsid w:val="006F16D4"/>
    <w:rsid w:val="006F2D66"/>
    <w:rsid w:val="006F3718"/>
    <w:rsid w:val="006F39FB"/>
    <w:rsid w:val="006F3CF3"/>
    <w:rsid w:val="006F4AC5"/>
    <w:rsid w:val="006F5416"/>
    <w:rsid w:val="006F675F"/>
    <w:rsid w:val="006F6D1E"/>
    <w:rsid w:val="006F7E7F"/>
    <w:rsid w:val="00702A62"/>
    <w:rsid w:val="00702D0F"/>
    <w:rsid w:val="00702D18"/>
    <w:rsid w:val="00703564"/>
    <w:rsid w:val="00704134"/>
    <w:rsid w:val="00704AA0"/>
    <w:rsid w:val="00704BE3"/>
    <w:rsid w:val="00706887"/>
    <w:rsid w:val="0071141B"/>
    <w:rsid w:val="00712E89"/>
    <w:rsid w:val="00712F99"/>
    <w:rsid w:val="00713C22"/>
    <w:rsid w:val="007143F0"/>
    <w:rsid w:val="00714779"/>
    <w:rsid w:val="00714A4D"/>
    <w:rsid w:val="00714C6B"/>
    <w:rsid w:val="00714F56"/>
    <w:rsid w:val="00714F71"/>
    <w:rsid w:val="00715C2A"/>
    <w:rsid w:val="007204B1"/>
    <w:rsid w:val="00721CDE"/>
    <w:rsid w:val="007226D8"/>
    <w:rsid w:val="00723389"/>
    <w:rsid w:val="0072376F"/>
    <w:rsid w:val="007243ED"/>
    <w:rsid w:val="007251FB"/>
    <w:rsid w:val="007257CB"/>
    <w:rsid w:val="00725D74"/>
    <w:rsid w:val="00726462"/>
    <w:rsid w:val="007268E5"/>
    <w:rsid w:val="00726E2A"/>
    <w:rsid w:val="00727529"/>
    <w:rsid w:val="007302B6"/>
    <w:rsid w:val="00730DBF"/>
    <w:rsid w:val="00731681"/>
    <w:rsid w:val="00731AFF"/>
    <w:rsid w:val="00732094"/>
    <w:rsid w:val="00732360"/>
    <w:rsid w:val="007326DE"/>
    <w:rsid w:val="0073511D"/>
    <w:rsid w:val="0073537D"/>
    <w:rsid w:val="007353E4"/>
    <w:rsid w:val="00735989"/>
    <w:rsid w:val="00735D15"/>
    <w:rsid w:val="00736731"/>
    <w:rsid w:val="00736959"/>
    <w:rsid w:val="00740064"/>
    <w:rsid w:val="007411ED"/>
    <w:rsid w:val="00743378"/>
    <w:rsid w:val="00743877"/>
    <w:rsid w:val="00743960"/>
    <w:rsid w:val="00743AB0"/>
    <w:rsid w:val="00743EB2"/>
    <w:rsid w:val="00744346"/>
    <w:rsid w:val="00744CE5"/>
    <w:rsid w:val="00745DE8"/>
    <w:rsid w:val="00746E83"/>
    <w:rsid w:val="0075046C"/>
    <w:rsid w:val="00750FC7"/>
    <w:rsid w:val="0075210F"/>
    <w:rsid w:val="00752A49"/>
    <w:rsid w:val="00752FB1"/>
    <w:rsid w:val="00753B2E"/>
    <w:rsid w:val="00756037"/>
    <w:rsid w:val="007563E7"/>
    <w:rsid w:val="00756D40"/>
    <w:rsid w:val="007570D9"/>
    <w:rsid w:val="007576E6"/>
    <w:rsid w:val="007578DB"/>
    <w:rsid w:val="00757D1D"/>
    <w:rsid w:val="00757D30"/>
    <w:rsid w:val="007600BA"/>
    <w:rsid w:val="00760642"/>
    <w:rsid w:val="00760EB2"/>
    <w:rsid w:val="00760EE6"/>
    <w:rsid w:val="00761A37"/>
    <w:rsid w:val="00761C9B"/>
    <w:rsid w:val="007627F9"/>
    <w:rsid w:val="007635A9"/>
    <w:rsid w:val="00766332"/>
    <w:rsid w:val="00766844"/>
    <w:rsid w:val="00767D20"/>
    <w:rsid w:val="007707C8"/>
    <w:rsid w:val="00770D50"/>
    <w:rsid w:val="00771EA2"/>
    <w:rsid w:val="00772539"/>
    <w:rsid w:val="007744AA"/>
    <w:rsid w:val="007751F8"/>
    <w:rsid w:val="00775839"/>
    <w:rsid w:val="007766C4"/>
    <w:rsid w:val="00776DA4"/>
    <w:rsid w:val="00777195"/>
    <w:rsid w:val="007808C9"/>
    <w:rsid w:val="007811AF"/>
    <w:rsid w:val="00781796"/>
    <w:rsid w:val="00782A83"/>
    <w:rsid w:val="00782FBF"/>
    <w:rsid w:val="00784FAA"/>
    <w:rsid w:val="00785A5E"/>
    <w:rsid w:val="00785BF1"/>
    <w:rsid w:val="00786380"/>
    <w:rsid w:val="0078745A"/>
    <w:rsid w:val="00787814"/>
    <w:rsid w:val="00787890"/>
    <w:rsid w:val="00791538"/>
    <w:rsid w:val="00791708"/>
    <w:rsid w:val="00791AF8"/>
    <w:rsid w:val="00791B44"/>
    <w:rsid w:val="00791FC3"/>
    <w:rsid w:val="00792748"/>
    <w:rsid w:val="00792C5D"/>
    <w:rsid w:val="00793D7B"/>
    <w:rsid w:val="00793D8C"/>
    <w:rsid w:val="00793DC5"/>
    <w:rsid w:val="007946B9"/>
    <w:rsid w:val="007949B4"/>
    <w:rsid w:val="00797199"/>
    <w:rsid w:val="00797CF5"/>
    <w:rsid w:val="00797E54"/>
    <w:rsid w:val="00797F91"/>
    <w:rsid w:val="007A0837"/>
    <w:rsid w:val="007A08E3"/>
    <w:rsid w:val="007A1463"/>
    <w:rsid w:val="007A28E8"/>
    <w:rsid w:val="007A29E6"/>
    <w:rsid w:val="007A2AA0"/>
    <w:rsid w:val="007A371E"/>
    <w:rsid w:val="007A3986"/>
    <w:rsid w:val="007A4D3B"/>
    <w:rsid w:val="007A4E33"/>
    <w:rsid w:val="007A598F"/>
    <w:rsid w:val="007A5BAA"/>
    <w:rsid w:val="007A63A0"/>
    <w:rsid w:val="007A7C31"/>
    <w:rsid w:val="007A7D41"/>
    <w:rsid w:val="007B11F3"/>
    <w:rsid w:val="007B1D12"/>
    <w:rsid w:val="007B2435"/>
    <w:rsid w:val="007B2C50"/>
    <w:rsid w:val="007B3D58"/>
    <w:rsid w:val="007B3D79"/>
    <w:rsid w:val="007B3FCD"/>
    <w:rsid w:val="007B433D"/>
    <w:rsid w:val="007C035A"/>
    <w:rsid w:val="007C168A"/>
    <w:rsid w:val="007C1CAC"/>
    <w:rsid w:val="007C2899"/>
    <w:rsid w:val="007C3454"/>
    <w:rsid w:val="007C3FB2"/>
    <w:rsid w:val="007C4A82"/>
    <w:rsid w:val="007C4F5E"/>
    <w:rsid w:val="007C4FB4"/>
    <w:rsid w:val="007C6019"/>
    <w:rsid w:val="007C6472"/>
    <w:rsid w:val="007C75D5"/>
    <w:rsid w:val="007D0603"/>
    <w:rsid w:val="007D161F"/>
    <w:rsid w:val="007D1E87"/>
    <w:rsid w:val="007D2FBB"/>
    <w:rsid w:val="007D32F0"/>
    <w:rsid w:val="007D3309"/>
    <w:rsid w:val="007D37EC"/>
    <w:rsid w:val="007D3BAC"/>
    <w:rsid w:val="007D40F6"/>
    <w:rsid w:val="007D4819"/>
    <w:rsid w:val="007D4A3A"/>
    <w:rsid w:val="007D4EF0"/>
    <w:rsid w:val="007D513F"/>
    <w:rsid w:val="007D54D2"/>
    <w:rsid w:val="007D58A5"/>
    <w:rsid w:val="007D5AFD"/>
    <w:rsid w:val="007D5DD1"/>
    <w:rsid w:val="007D66B2"/>
    <w:rsid w:val="007D73FC"/>
    <w:rsid w:val="007D7515"/>
    <w:rsid w:val="007D77F8"/>
    <w:rsid w:val="007E0A5A"/>
    <w:rsid w:val="007E0CCC"/>
    <w:rsid w:val="007E1527"/>
    <w:rsid w:val="007E1737"/>
    <w:rsid w:val="007E2028"/>
    <w:rsid w:val="007E26D9"/>
    <w:rsid w:val="007E46DE"/>
    <w:rsid w:val="007E50DF"/>
    <w:rsid w:val="007E7404"/>
    <w:rsid w:val="007E7473"/>
    <w:rsid w:val="007E771A"/>
    <w:rsid w:val="007F01A5"/>
    <w:rsid w:val="007F0EA3"/>
    <w:rsid w:val="007F14FC"/>
    <w:rsid w:val="007F1BF7"/>
    <w:rsid w:val="007F312A"/>
    <w:rsid w:val="007F38AB"/>
    <w:rsid w:val="007F39C6"/>
    <w:rsid w:val="007F3FE2"/>
    <w:rsid w:val="007F415A"/>
    <w:rsid w:val="007F5483"/>
    <w:rsid w:val="007F5E12"/>
    <w:rsid w:val="007F70C0"/>
    <w:rsid w:val="007F731F"/>
    <w:rsid w:val="00800025"/>
    <w:rsid w:val="00801F74"/>
    <w:rsid w:val="00802214"/>
    <w:rsid w:val="0080268B"/>
    <w:rsid w:val="0080282A"/>
    <w:rsid w:val="0080394C"/>
    <w:rsid w:val="0080478D"/>
    <w:rsid w:val="00805101"/>
    <w:rsid w:val="008066C8"/>
    <w:rsid w:val="00806800"/>
    <w:rsid w:val="00806EBF"/>
    <w:rsid w:val="008076B7"/>
    <w:rsid w:val="008115CB"/>
    <w:rsid w:val="008123E4"/>
    <w:rsid w:val="00812A9E"/>
    <w:rsid w:val="00813A68"/>
    <w:rsid w:val="00813C2A"/>
    <w:rsid w:val="00814360"/>
    <w:rsid w:val="00817969"/>
    <w:rsid w:val="00817B0B"/>
    <w:rsid w:val="00820EBB"/>
    <w:rsid w:val="00820EE6"/>
    <w:rsid w:val="00821797"/>
    <w:rsid w:val="008227FD"/>
    <w:rsid w:val="008231DB"/>
    <w:rsid w:val="00823695"/>
    <w:rsid w:val="0082387A"/>
    <w:rsid w:val="0082398C"/>
    <w:rsid w:val="00823B66"/>
    <w:rsid w:val="008261CF"/>
    <w:rsid w:val="00826346"/>
    <w:rsid w:val="0082635F"/>
    <w:rsid w:val="00826568"/>
    <w:rsid w:val="008271CE"/>
    <w:rsid w:val="00827E1E"/>
    <w:rsid w:val="00830261"/>
    <w:rsid w:val="00830466"/>
    <w:rsid w:val="008317F7"/>
    <w:rsid w:val="008323EB"/>
    <w:rsid w:val="00832954"/>
    <w:rsid w:val="00833F1B"/>
    <w:rsid w:val="008341C1"/>
    <w:rsid w:val="008344FC"/>
    <w:rsid w:val="008349F1"/>
    <w:rsid w:val="008351DA"/>
    <w:rsid w:val="008353A1"/>
    <w:rsid w:val="00835516"/>
    <w:rsid w:val="00835A1D"/>
    <w:rsid w:val="00836507"/>
    <w:rsid w:val="0084022E"/>
    <w:rsid w:val="00840EEA"/>
    <w:rsid w:val="008412E7"/>
    <w:rsid w:val="00842298"/>
    <w:rsid w:val="0084317F"/>
    <w:rsid w:val="0084345C"/>
    <w:rsid w:val="00843C5D"/>
    <w:rsid w:val="00844B38"/>
    <w:rsid w:val="00845744"/>
    <w:rsid w:val="008460BC"/>
    <w:rsid w:val="00846A15"/>
    <w:rsid w:val="00847072"/>
    <w:rsid w:val="008476F9"/>
    <w:rsid w:val="008502DB"/>
    <w:rsid w:val="00851AAA"/>
    <w:rsid w:val="00851CBB"/>
    <w:rsid w:val="00853A59"/>
    <w:rsid w:val="00853EC6"/>
    <w:rsid w:val="008547AB"/>
    <w:rsid w:val="00854F00"/>
    <w:rsid w:val="008558A3"/>
    <w:rsid w:val="00855E64"/>
    <w:rsid w:val="008607BF"/>
    <w:rsid w:val="00860D0D"/>
    <w:rsid w:val="008614D5"/>
    <w:rsid w:val="008614ED"/>
    <w:rsid w:val="00861A50"/>
    <w:rsid w:val="00863310"/>
    <w:rsid w:val="008636B9"/>
    <w:rsid w:val="00864533"/>
    <w:rsid w:val="00864BAF"/>
    <w:rsid w:val="00866225"/>
    <w:rsid w:val="008663E1"/>
    <w:rsid w:val="0086699C"/>
    <w:rsid w:val="0086730E"/>
    <w:rsid w:val="00867B46"/>
    <w:rsid w:val="00870DBA"/>
    <w:rsid w:val="00873CBC"/>
    <w:rsid w:val="008758B9"/>
    <w:rsid w:val="00875BF5"/>
    <w:rsid w:val="00876382"/>
    <w:rsid w:val="00876D1D"/>
    <w:rsid w:val="00876D2E"/>
    <w:rsid w:val="0087714F"/>
    <w:rsid w:val="00880268"/>
    <w:rsid w:val="00882C00"/>
    <w:rsid w:val="00884385"/>
    <w:rsid w:val="008852D2"/>
    <w:rsid w:val="00885D2B"/>
    <w:rsid w:val="00886609"/>
    <w:rsid w:val="00887B1F"/>
    <w:rsid w:val="00887CE5"/>
    <w:rsid w:val="00887E2D"/>
    <w:rsid w:val="00887F58"/>
    <w:rsid w:val="0089011D"/>
    <w:rsid w:val="008907BF"/>
    <w:rsid w:val="00893502"/>
    <w:rsid w:val="00893BC3"/>
    <w:rsid w:val="00893DCC"/>
    <w:rsid w:val="00894201"/>
    <w:rsid w:val="00895982"/>
    <w:rsid w:val="00895C70"/>
    <w:rsid w:val="008964DE"/>
    <w:rsid w:val="00896BF6"/>
    <w:rsid w:val="008970DD"/>
    <w:rsid w:val="00897541"/>
    <w:rsid w:val="00897625"/>
    <w:rsid w:val="008A02C1"/>
    <w:rsid w:val="008A0665"/>
    <w:rsid w:val="008A0E11"/>
    <w:rsid w:val="008A1D8D"/>
    <w:rsid w:val="008A24A8"/>
    <w:rsid w:val="008A2BB2"/>
    <w:rsid w:val="008A4196"/>
    <w:rsid w:val="008A4B51"/>
    <w:rsid w:val="008A5481"/>
    <w:rsid w:val="008A5507"/>
    <w:rsid w:val="008A5A33"/>
    <w:rsid w:val="008A64E0"/>
    <w:rsid w:val="008A6566"/>
    <w:rsid w:val="008A7299"/>
    <w:rsid w:val="008B02BD"/>
    <w:rsid w:val="008B071B"/>
    <w:rsid w:val="008B144B"/>
    <w:rsid w:val="008B2033"/>
    <w:rsid w:val="008B26A4"/>
    <w:rsid w:val="008B3E41"/>
    <w:rsid w:val="008B460B"/>
    <w:rsid w:val="008B49E4"/>
    <w:rsid w:val="008B4BC2"/>
    <w:rsid w:val="008B6CDF"/>
    <w:rsid w:val="008B7085"/>
    <w:rsid w:val="008B7986"/>
    <w:rsid w:val="008B7AB1"/>
    <w:rsid w:val="008B7BF2"/>
    <w:rsid w:val="008C17AC"/>
    <w:rsid w:val="008C185E"/>
    <w:rsid w:val="008C1B3A"/>
    <w:rsid w:val="008C264D"/>
    <w:rsid w:val="008C2B1F"/>
    <w:rsid w:val="008C3359"/>
    <w:rsid w:val="008C398D"/>
    <w:rsid w:val="008C3CAF"/>
    <w:rsid w:val="008C4738"/>
    <w:rsid w:val="008C5095"/>
    <w:rsid w:val="008C59CD"/>
    <w:rsid w:val="008C7951"/>
    <w:rsid w:val="008D0589"/>
    <w:rsid w:val="008D10D5"/>
    <w:rsid w:val="008D2C18"/>
    <w:rsid w:val="008D334B"/>
    <w:rsid w:val="008D3D0A"/>
    <w:rsid w:val="008D3DAE"/>
    <w:rsid w:val="008D42F5"/>
    <w:rsid w:val="008D5CBC"/>
    <w:rsid w:val="008D60E0"/>
    <w:rsid w:val="008D7377"/>
    <w:rsid w:val="008E0919"/>
    <w:rsid w:val="008E10E0"/>
    <w:rsid w:val="008E1783"/>
    <w:rsid w:val="008E1FA9"/>
    <w:rsid w:val="008E30B1"/>
    <w:rsid w:val="008E3A1A"/>
    <w:rsid w:val="008E4A53"/>
    <w:rsid w:val="008E4FC7"/>
    <w:rsid w:val="008E59B2"/>
    <w:rsid w:val="008E6110"/>
    <w:rsid w:val="008E647C"/>
    <w:rsid w:val="008E69C4"/>
    <w:rsid w:val="008E6CDF"/>
    <w:rsid w:val="008F08BE"/>
    <w:rsid w:val="008F10F0"/>
    <w:rsid w:val="008F1BFC"/>
    <w:rsid w:val="008F5015"/>
    <w:rsid w:val="008F50D7"/>
    <w:rsid w:val="008F5E7E"/>
    <w:rsid w:val="009002D1"/>
    <w:rsid w:val="00900553"/>
    <w:rsid w:val="00900F75"/>
    <w:rsid w:val="0090153F"/>
    <w:rsid w:val="00903012"/>
    <w:rsid w:val="00903F2E"/>
    <w:rsid w:val="00905BA9"/>
    <w:rsid w:val="0090649B"/>
    <w:rsid w:val="0090783F"/>
    <w:rsid w:val="009106BF"/>
    <w:rsid w:val="00912481"/>
    <w:rsid w:val="00912FB7"/>
    <w:rsid w:val="009136E3"/>
    <w:rsid w:val="00914453"/>
    <w:rsid w:val="009146AC"/>
    <w:rsid w:val="00914C19"/>
    <w:rsid w:val="00914E24"/>
    <w:rsid w:val="00914E6E"/>
    <w:rsid w:val="00914F14"/>
    <w:rsid w:val="009163FB"/>
    <w:rsid w:val="00916641"/>
    <w:rsid w:val="00917670"/>
    <w:rsid w:val="00917BDE"/>
    <w:rsid w:val="00920ABB"/>
    <w:rsid w:val="009213EF"/>
    <w:rsid w:val="0092144C"/>
    <w:rsid w:val="0092208D"/>
    <w:rsid w:val="00922835"/>
    <w:rsid w:val="00924A1C"/>
    <w:rsid w:val="00925B2E"/>
    <w:rsid w:val="00925C70"/>
    <w:rsid w:val="00925CF2"/>
    <w:rsid w:val="00927D95"/>
    <w:rsid w:val="009302C6"/>
    <w:rsid w:val="00931002"/>
    <w:rsid w:val="009320C1"/>
    <w:rsid w:val="0093254B"/>
    <w:rsid w:val="00935370"/>
    <w:rsid w:val="00935384"/>
    <w:rsid w:val="00935605"/>
    <w:rsid w:val="00935FD1"/>
    <w:rsid w:val="00936871"/>
    <w:rsid w:val="00936A41"/>
    <w:rsid w:val="00936B5F"/>
    <w:rsid w:val="00937C97"/>
    <w:rsid w:val="00937EF7"/>
    <w:rsid w:val="009404DA"/>
    <w:rsid w:val="00940FDE"/>
    <w:rsid w:val="009434E9"/>
    <w:rsid w:val="009437C3"/>
    <w:rsid w:val="009439F0"/>
    <w:rsid w:val="00944AAC"/>
    <w:rsid w:val="00944B06"/>
    <w:rsid w:val="009456A9"/>
    <w:rsid w:val="009456BB"/>
    <w:rsid w:val="0094637F"/>
    <w:rsid w:val="0094664B"/>
    <w:rsid w:val="00947339"/>
    <w:rsid w:val="00950150"/>
    <w:rsid w:val="009505B8"/>
    <w:rsid w:val="00950980"/>
    <w:rsid w:val="00952008"/>
    <w:rsid w:val="00952685"/>
    <w:rsid w:val="00953448"/>
    <w:rsid w:val="009535DE"/>
    <w:rsid w:val="00953A88"/>
    <w:rsid w:val="00953F75"/>
    <w:rsid w:val="00954077"/>
    <w:rsid w:val="009540D0"/>
    <w:rsid w:val="0095444C"/>
    <w:rsid w:val="00955246"/>
    <w:rsid w:val="009576CC"/>
    <w:rsid w:val="00960174"/>
    <w:rsid w:val="00960C55"/>
    <w:rsid w:val="0096325A"/>
    <w:rsid w:val="00963698"/>
    <w:rsid w:val="00964F07"/>
    <w:rsid w:val="0096580A"/>
    <w:rsid w:val="00967FD8"/>
    <w:rsid w:val="0097057E"/>
    <w:rsid w:val="00971D09"/>
    <w:rsid w:val="00972EB7"/>
    <w:rsid w:val="00974E53"/>
    <w:rsid w:val="009755A7"/>
    <w:rsid w:val="009762F8"/>
    <w:rsid w:val="0097695B"/>
    <w:rsid w:val="0097734C"/>
    <w:rsid w:val="0098031F"/>
    <w:rsid w:val="0098054F"/>
    <w:rsid w:val="0098184C"/>
    <w:rsid w:val="00981A42"/>
    <w:rsid w:val="00981DB0"/>
    <w:rsid w:val="0098377B"/>
    <w:rsid w:val="009841E1"/>
    <w:rsid w:val="00984771"/>
    <w:rsid w:val="0098498C"/>
    <w:rsid w:val="009857E0"/>
    <w:rsid w:val="0098618C"/>
    <w:rsid w:val="00986A88"/>
    <w:rsid w:val="00987227"/>
    <w:rsid w:val="00987449"/>
    <w:rsid w:val="009903B5"/>
    <w:rsid w:val="00990AD4"/>
    <w:rsid w:val="00990D80"/>
    <w:rsid w:val="0099105A"/>
    <w:rsid w:val="009916EF"/>
    <w:rsid w:val="009921F7"/>
    <w:rsid w:val="00993569"/>
    <w:rsid w:val="00993F11"/>
    <w:rsid w:val="009945D8"/>
    <w:rsid w:val="0099468B"/>
    <w:rsid w:val="00994D16"/>
    <w:rsid w:val="00996547"/>
    <w:rsid w:val="00996F9A"/>
    <w:rsid w:val="009973FF"/>
    <w:rsid w:val="00997925"/>
    <w:rsid w:val="009A0518"/>
    <w:rsid w:val="009A11FC"/>
    <w:rsid w:val="009A216B"/>
    <w:rsid w:val="009A22D5"/>
    <w:rsid w:val="009A24AF"/>
    <w:rsid w:val="009A37D8"/>
    <w:rsid w:val="009A43C0"/>
    <w:rsid w:val="009A4A04"/>
    <w:rsid w:val="009A4E90"/>
    <w:rsid w:val="009A539E"/>
    <w:rsid w:val="009A5C83"/>
    <w:rsid w:val="009A5F6D"/>
    <w:rsid w:val="009A6120"/>
    <w:rsid w:val="009A64D7"/>
    <w:rsid w:val="009A7974"/>
    <w:rsid w:val="009B1121"/>
    <w:rsid w:val="009B28C9"/>
    <w:rsid w:val="009B2A02"/>
    <w:rsid w:val="009B3151"/>
    <w:rsid w:val="009B605F"/>
    <w:rsid w:val="009B7637"/>
    <w:rsid w:val="009C01E0"/>
    <w:rsid w:val="009C14A2"/>
    <w:rsid w:val="009C16E3"/>
    <w:rsid w:val="009C1C4A"/>
    <w:rsid w:val="009C2480"/>
    <w:rsid w:val="009C2A94"/>
    <w:rsid w:val="009C30AE"/>
    <w:rsid w:val="009C3487"/>
    <w:rsid w:val="009C7FD8"/>
    <w:rsid w:val="009D1829"/>
    <w:rsid w:val="009D411D"/>
    <w:rsid w:val="009D42A4"/>
    <w:rsid w:val="009D6A4A"/>
    <w:rsid w:val="009D6E1A"/>
    <w:rsid w:val="009D78E8"/>
    <w:rsid w:val="009E04E3"/>
    <w:rsid w:val="009E0F7C"/>
    <w:rsid w:val="009E1BD1"/>
    <w:rsid w:val="009E1FE1"/>
    <w:rsid w:val="009E2117"/>
    <w:rsid w:val="009E3EAA"/>
    <w:rsid w:val="009E4E7C"/>
    <w:rsid w:val="009E59D4"/>
    <w:rsid w:val="009E6C67"/>
    <w:rsid w:val="009E7045"/>
    <w:rsid w:val="009E7C04"/>
    <w:rsid w:val="009E7DD2"/>
    <w:rsid w:val="009F23AB"/>
    <w:rsid w:val="009F3B80"/>
    <w:rsid w:val="009F438C"/>
    <w:rsid w:val="009F4E7B"/>
    <w:rsid w:val="009F5894"/>
    <w:rsid w:val="009F5FE1"/>
    <w:rsid w:val="009F6245"/>
    <w:rsid w:val="009F6997"/>
    <w:rsid w:val="009F6AD5"/>
    <w:rsid w:val="009F6EF2"/>
    <w:rsid w:val="009F7A0B"/>
    <w:rsid w:val="00A0108B"/>
    <w:rsid w:val="00A0168A"/>
    <w:rsid w:val="00A049A2"/>
    <w:rsid w:val="00A04C05"/>
    <w:rsid w:val="00A0617C"/>
    <w:rsid w:val="00A06C07"/>
    <w:rsid w:val="00A07A5D"/>
    <w:rsid w:val="00A10D83"/>
    <w:rsid w:val="00A1148E"/>
    <w:rsid w:val="00A11758"/>
    <w:rsid w:val="00A118E3"/>
    <w:rsid w:val="00A12B65"/>
    <w:rsid w:val="00A14139"/>
    <w:rsid w:val="00A141EE"/>
    <w:rsid w:val="00A1451E"/>
    <w:rsid w:val="00A14FC4"/>
    <w:rsid w:val="00A14FF7"/>
    <w:rsid w:val="00A150FB"/>
    <w:rsid w:val="00A15637"/>
    <w:rsid w:val="00A16514"/>
    <w:rsid w:val="00A17405"/>
    <w:rsid w:val="00A17739"/>
    <w:rsid w:val="00A17E9D"/>
    <w:rsid w:val="00A20CAF"/>
    <w:rsid w:val="00A212B4"/>
    <w:rsid w:val="00A2231E"/>
    <w:rsid w:val="00A22A80"/>
    <w:rsid w:val="00A23E8F"/>
    <w:rsid w:val="00A248B1"/>
    <w:rsid w:val="00A248DE"/>
    <w:rsid w:val="00A24F6B"/>
    <w:rsid w:val="00A24FFC"/>
    <w:rsid w:val="00A253E4"/>
    <w:rsid w:val="00A25AD7"/>
    <w:rsid w:val="00A26577"/>
    <w:rsid w:val="00A26BFA"/>
    <w:rsid w:val="00A26E57"/>
    <w:rsid w:val="00A27A4C"/>
    <w:rsid w:val="00A27CFB"/>
    <w:rsid w:val="00A27F60"/>
    <w:rsid w:val="00A31D3C"/>
    <w:rsid w:val="00A32123"/>
    <w:rsid w:val="00A32E4B"/>
    <w:rsid w:val="00A33B3D"/>
    <w:rsid w:val="00A3599A"/>
    <w:rsid w:val="00A35D2E"/>
    <w:rsid w:val="00A362F3"/>
    <w:rsid w:val="00A36931"/>
    <w:rsid w:val="00A371B8"/>
    <w:rsid w:val="00A37ACF"/>
    <w:rsid w:val="00A37E25"/>
    <w:rsid w:val="00A40BBC"/>
    <w:rsid w:val="00A41101"/>
    <w:rsid w:val="00A413CB"/>
    <w:rsid w:val="00A41711"/>
    <w:rsid w:val="00A41DBC"/>
    <w:rsid w:val="00A42039"/>
    <w:rsid w:val="00A42E9E"/>
    <w:rsid w:val="00A43ECD"/>
    <w:rsid w:val="00A44E27"/>
    <w:rsid w:val="00A45FB0"/>
    <w:rsid w:val="00A47215"/>
    <w:rsid w:val="00A47283"/>
    <w:rsid w:val="00A50119"/>
    <w:rsid w:val="00A5069C"/>
    <w:rsid w:val="00A506A5"/>
    <w:rsid w:val="00A50851"/>
    <w:rsid w:val="00A50B2D"/>
    <w:rsid w:val="00A51A45"/>
    <w:rsid w:val="00A52549"/>
    <w:rsid w:val="00A52A8A"/>
    <w:rsid w:val="00A53443"/>
    <w:rsid w:val="00A53483"/>
    <w:rsid w:val="00A53CAB"/>
    <w:rsid w:val="00A53F04"/>
    <w:rsid w:val="00A53FEE"/>
    <w:rsid w:val="00A546E4"/>
    <w:rsid w:val="00A5498E"/>
    <w:rsid w:val="00A54CA9"/>
    <w:rsid w:val="00A550F4"/>
    <w:rsid w:val="00A55F2D"/>
    <w:rsid w:val="00A57693"/>
    <w:rsid w:val="00A577B7"/>
    <w:rsid w:val="00A609E2"/>
    <w:rsid w:val="00A60B6C"/>
    <w:rsid w:val="00A60CCA"/>
    <w:rsid w:val="00A612C0"/>
    <w:rsid w:val="00A61E39"/>
    <w:rsid w:val="00A6232A"/>
    <w:rsid w:val="00A627FD"/>
    <w:rsid w:val="00A6395F"/>
    <w:rsid w:val="00A63B84"/>
    <w:rsid w:val="00A63C20"/>
    <w:rsid w:val="00A63C7F"/>
    <w:rsid w:val="00A64F24"/>
    <w:rsid w:val="00A65EFA"/>
    <w:rsid w:val="00A6670E"/>
    <w:rsid w:val="00A66DFB"/>
    <w:rsid w:val="00A66F20"/>
    <w:rsid w:val="00A66FD5"/>
    <w:rsid w:val="00A674CC"/>
    <w:rsid w:val="00A674FC"/>
    <w:rsid w:val="00A7019F"/>
    <w:rsid w:val="00A70843"/>
    <w:rsid w:val="00A72916"/>
    <w:rsid w:val="00A7324E"/>
    <w:rsid w:val="00A74E66"/>
    <w:rsid w:val="00A751A4"/>
    <w:rsid w:val="00A80D84"/>
    <w:rsid w:val="00A81C38"/>
    <w:rsid w:val="00A81DAD"/>
    <w:rsid w:val="00A826F1"/>
    <w:rsid w:val="00A82FE4"/>
    <w:rsid w:val="00A83243"/>
    <w:rsid w:val="00A86846"/>
    <w:rsid w:val="00A86FC1"/>
    <w:rsid w:val="00A87A1F"/>
    <w:rsid w:val="00A90104"/>
    <w:rsid w:val="00A904E3"/>
    <w:rsid w:val="00A9097F"/>
    <w:rsid w:val="00A90C99"/>
    <w:rsid w:val="00A91127"/>
    <w:rsid w:val="00A91BAC"/>
    <w:rsid w:val="00A91DAE"/>
    <w:rsid w:val="00A91FE5"/>
    <w:rsid w:val="00A92408"/>
    <w:rsid w:val="00A929C9"/>
    <w:rsid w:val="00A944BD"/>
    <w:rsid w:val="00A94D58"/>
    <w:rsid w:val="00A95A23"/>
    <w:rsid w:val="00A97E07"/>
    <w:rsid w:val="00AA0977"/>
    <w:rsid w:val="00AA0E89"/>
    <w:rsid w:val="00AA10D7"/>
    <w:rsid w:val="00AA13F2"/>
    <w:rsid w:val="00AA2A86"/>
    <w:rsid w:val="00AA2AF8"/>
    <w:rsid w:val="00AA4319"/>
    <w:rsid w:val="00AA601D"/>
    <w:rsid w:val="00AA687F"/>
    <w:rsid w:val="00AA6FC8"/>
    <w:rsid w:val="00AB04B1"/>
    <w:rsid w:val="00AB0921"/>
    <w:rsid w:val="00AB1F45"/>
    <w:rsid w:val="00AB2EA8"/>
    <w:rsid w:val="00AB4544"/>
    <w:rsid w:val="00AB4859"/>
    <w:rsid w:val="00AB4D23"/>
    <w:rsid w:val="00AB6099"/>
    <w:rsid w:val="00AB698C"/>
    <w:rsid w:val="00AB6CE6"/>
    <w:rsid w:val="00AC038C"/>
    <w:rsid w:val="00AC10AF"/>
    <w:rsid w:val="00AC12ED"/>
    <w:rsid w:val="00AC1490"/>
    <w:rsid w:val="00AC16C8"/>
    <w:rsid w:val="00AC19D9"/>
    <w:rsid w:val="00AC328B"/>
    <w:rsid w:val="00AC41A2"/>
    <w:rsid w:val="00AC4FB4"/>
    <w:rsid w:val="00AC4FDA"/>
    <w:rsid w:val="00AC5625"/>
    <w:rsid w:val="00AC580B"/>
    <w:rsid w:val="00AC5FF3"/>
    <w:rsid w:val="00AC614F"/>
    <w:rsid w:val="00AC7182"/>
    <w:rsid w:val="00AD000C"/>
    <w:rsid w:val="00AD018A"/>
    <w:rsid w:val="00AD0C3F"/>
    <w:rsid w:val="00AD2882"/>
    <w:rsid w:val="00AD3F08"/>
    <w:rsid w:val="00AD4D22"/>
    <w:rsid w:val="00AD64C7"/>
    <w:rsid w:val="00AD65D5"/>
    <w:rsid w:val="00AD782D"/>
    <w:rsid w:val="00AE1B75"/>
    <w:rsid w:val="00AE1D56"/>
    <w:rsid w:val="00AE3AC8"/>
    <w:rsid w:val="00AE443A"/>
    <w:rsid w:val="00AE4A40"/>
    <w:rsid w:val="00AE5951"/>
    <w:rsid w:val="00AE630C"/>
    <w:rsid w:val="00AE6931"/>
    <w:rsid w:val="00AE6F34"/>
    <w:rsid w:val="00AF05F2"/>
    <w:rsid w:val="00AF0AAB"/>
    <w:rsid w:val="00AF1A0E"/>
    <w:rsid w:val="00AF1BB7"/>
    <w:rsid w:val="00AF20E7"/>
    <w:rsid w:val="00AF26B8"/>
    <w:rsid w:val="00AF2721"/>
    <w:rsid w:val="00AF3316"/>
    <w:rsid w:val="00AF3331"/>
    <w:rsid w:val="00AF360C"/>
    <w:rsid w:val="00AF3BF7"/>
    <w:rsid w:val="00AF4036"/>
    <w:rsid w:val="00AF4475"/>
    <w:rsid w:val="00AF5116"/>
    <w:rsid w:val="00AF535E"/>
    <w:rsid w:val="00AF5BFD"/>
    <w:rsid w:val="00AF6E03"/>
    <w:rsid w:val="00AF75D8"/>
    <w:rsid w:val="00B00A1A"/>
    <w:rsid w:val="00B01FF7"/>
    <w:rsid w:val="00B022C7"/>
    <w:rsid w:val="00B02400"/>
    <w:rsid w:val="00B05789"/>
    <w:rsid w:val="00B0578A"/>
    <w:rsid w:val="00B05F79"/>
    <w:rsid w:val="00B07297"/>
    <w:rsid w:val="00B073C4"/>
    <w:rsid w:val="00B07503"/>
    <w:rsid w:val="00B1075E"/>
    <w:rsid w:val="00B10B0C"/>
    <w:rsid w:val="00B11864"/>
    <w:rsid w:val="00B13724"/>
    <w:rsid w:val="00B14A76"/>
    <w:rsid w:val="00B14BFE"/>
    <w:rsid w:val="00B14FC9"/>
    <w:rsid w:val="00B158B8"/>
    <w:rsid w:val="00B16060"/>
    <w:rsid w:val="00B1722D"/>
    <w:rsid w:val="00B17584"/>
    <w:rsid w:val="00B1786A"/>
    <w:rsid w:val="00B17AEE"/>
    <w:rsid w:val="00B216FD"/>
    <w:rsid w:val="00B2268F"/>
    <w:rsid w:val="00B23C96"/>
    <w:rsid w:val="00B2587B"/>
    <w:rsid w:val="00B2663C"/>
    <w:rsid w:val="00B26DBC"/>
    <w:rsid w:val="00B271CF"/>
    <w:rsid w:val="00B309E3"/>
    <w:rsid w:val="00B3122E"/>
    <w:rsid w:val="00B343B7"/>
    <w:rsid w:val="00B346E0"/>
    <w:rsid w:val="00B35FE0"/>
    <w:rsid w:val="00B37BB1"/>
    <w:rsid w:val="00B40213"/>
    <w:rsid w:val="00B40E57"/>
    <w:rsid w:val="00B42FED"/>
    <w:rsid w:val="00B43146"/>
    <w:rsid w:val="00B44AD7"/>
    <w:rsid w:val="00B44D53"/>
    <w:rsid w:val="00B46714"/>
    <w:rsid w:val="00B50C39"/>
    <w:rsid w:val="00B51E7F"/>
    <w:rsid w:val="00B532D6"/>
    <w:rsid w:val="00B53A18"/>
    <w:rsid w:val="00B540A4"/>
    <w:rsid w:val="00B548C1"/>
    <w:rsid w:val="00B555A8"/>
    <w:rsid w:val="00B55E53"/>
    <w:rsid w:val="00B565D3"/>
    <w:rsid w:val="00B565DD"/>
    <w:rsid w:val="00B57492"/>
    <w:rsid w:val="00B61281"/>
    <w:rsid w:val="00B63384"/>
    <w:rsid w:val="00B642BF"/>
    <w:rsid w:val="00B644A7"/>
    <w:rsid w:val="00B651E6"/>
    <w:rsid w:val="00B6564C"/>
    <w:rsid w:val="00B65CBD"/>
    <w:rsid w:val="00B67274"/>
    <w:rsid w:val="00B71857"/>
    <w:rsid w:val="00B719FD"/>
    <w:rsid w:val="00B71C4E"/>
    <w:rsid w:val="00B71CB1"/>
    <w:rsid w:val="00B72CA0"/>
    <w:rsid w:val="00B73C7A"/>
    <w:rsid w:val="00B74ECD"/>
    <w:rsid w:val="00B76B34"/>
    <w:rsid w:val="00B77B4B"/>
    <w:rsid w:val="00B802A1"/>
    <w:rsid w:val="00B81232"/>
    <w:rsid w:val="00B82250"/>
    <w:rsid w:val="00B8625E"/>
    <w:rsid w:val="00B868FD"/>
    <w:rsid w:val="00B86DC9"/>
    <w:rsid w:val="00B876B7"/>
    <w:rsid w:val="00B878BB"/>
    <w:rsid w:val="00B87D01"/>
    <w:rsid w:val="00B90209"/>
    <w:rsid w:val="00B90A02"/>
    <w:rsid w:val="00B90F12"/>
    <w:rsid w:val="00B91CCC"/>
    <w:rsid w:val="00B91D97"/>
    <w:rsid w:val="00B93FC7"/>
    <w:rsid w:val="00B9433B"/>
    <w:rsid w:val="00B94B0B"/>
    <w:rsid w:val="00B952F8"/>
    <w:rsid w:val="00B9556D"/>
    <w:rsid w:val="00B95753"/>
    <w:rsid w:val="00B96451"/>
    <w:rsid w:val="00B9681C"/>
    <w:rsid w:val="00BA02E7"/>
    <w:rsid w:val="00BA093A"/>
    <w:rsid w:val="00BA194C"/>
    <w:rsid w:val="00BA1A84"/>
    <w:rsid w:val="00BA268C"/>
    <w:rsid w:val="00BA350C"/>
    <w:rsid w:val="00BA4ED5"/>
    <w:rsid w:val="00BA50CC"/>
    <w:rsid w:val="00BA588B"/>
    <w:rsid w:val="00BA5FED"/>
    <w:rsid w:val="00BA6426"/>
    <w:rsid w:val="00BA66B3"/>
    <w:rsid w:val="00BA6758"/>
    <w:rsid w:val="00BA6B9F"/>
    <w:rsid w:val="00BA6E47"/>
    <w:rsid w:val="00BA6F16"/>
    <w:rsid w:val="00BA74B3"/>
    <w:rsid w:val="00BA7D40"/>
    <w:rsid w:val="00BB05DB"/>
    <w:rsid w:val="00BB0BCA"/>
    <w:rsid w:val="00BB0CAC"/>
    <w:rsid w:val="00BB1319"/>
    <w:rsid w:val="00BB20CE"/>
    <w:rsid w:val="00BB2A3B"/>
    <w:rsid w:val="00BB37A1"/>
    <w:rsid w:val="00BB3990"/>
    <w:rsid w:val="00BB4958"/>
    <w:rsid w:val="00BB5638"/>
    <w:rsid w:val="00BB5798"/>
    <w:rsid w:val="00BB5CBC"/>
    <w:rsid w:val="00BB5ECF"/>
    <w:rsid w:val="00BB5F0F"/>
    <w:rsid w:val="00BB6555"/>
    <w:rsid w:val="00BB6793"/>
    <w:rsid w:val="00BB69B5"/>
    <w:rsid w:val="00BB7A0C"/>
    <w:rsid w:val="00BB7EAD"/>
    <w:rsid w:val="00BC008F"/>
    <w:rsid w:val="00BC0583"/>
    <w:rsid w:val="00BC061A"/>
    <w:rsid w:val="00BC10DE"/>
    <w:rsid w:val="00BC267C"/>
    <w:rsid w:val="00BC3C17"/>
    <w:rsid w:val="00BC403A"/>
    <w:rsid w:val="00BC48A3"/>
    <w:rsid w:val="00BC4B68"/>
    <w:rsid w:val="00BC51D1"/>
    <w:rsid w:val="00BC55AA"/>
    <w:rsid w:val="00BC55AF"/>
    <w:rsid w:val="00BC61A0"/>
    <w:rsid w:val="00BC632E"/>
    <w:rsid w:val="00BC6793"/>
    <w:rsid w:val="00BC765D"/>
    <w:rsid w:val="00BC7DD6"/>
    <w:rsid w:val="00BD011E"/>
    <w:rsid w:val="00BD0895"/>
    <w:rsid w:val="00BD0A93"/>
    <w:rsid w:val="00BD178B"/>
    <w:rsid w:val="00BD1C9D"/>
    <w:rsid w:val="00BD21A1"/>
    <w:rsid w:val="00BD3067"/>
    <w:rsid w:val="00BD30A4"/>
    <w:rsid w:val="00BD34A2"/>
    <w:rsid w:val="00BD37FB"/>
    <w:rsid w:val="00BD4502"/>
    <w:rsid w:val="00BD45FC"/>
    <w:rsid w:val="00BD4DE7"/>
    <w:rsid w:val="00BD4E8E"/>
    <w:rsid w:val="00BD571D"/>
    <w:rsid w:val="00BD5A1D"/>
    <w:rsid w:val="00BD6B32"/>
    <w:rsid w:val="00BD6E53"/>
    <w:rsid w:val="00BD6EC4"/>
    <w:rsid w:val="00BD70FB"/>
    <w:rsid w:val="00BD7483"/>
    <w:rsid w:val="00BE0C4F"/>
    <w:rsid w:val="00BE0ECE"/>
    <w:rsid w:val="00BE1449"/>
    <w:rsid w:val="00BE1D56"/>
    <w:rsid w:val="00BE2631"/>
    <w:rsid w:val="00BE2799"/>
    <w:rsid w:val="00BE2F6E"/>
    <w:rsid w:val="00BE3072"/>
    <w:rsid w:val="00BE39A2"/>
    <w:rsid w:val="00BE49A0"/>
    <w:rsid w:val="00BF0E92"/>
    <w:rsid w:val="00BF19AA"/>
    <w:rsid w:val="00BF1C99"/>
    <w:rsid w:val="00BF2700"/>
    <w:rsid w:val="00BF2A5A"/>
    <w:rsid w:val="00BF3019"/>
    <w:rsid w:val="00BF30D3"/>
    <w:rsid w:val="00BF3235"/>
    <w:rsid w:val="00BF32B9"/>
    <w:rsid w:val="00BF4518"/>
    <w:rsid w:val="00BF50A7"/>
    <w:rsid w:val="00BF5473"/>
    <w:rsid w:val="00BF5C2F"/>
    <w:rsid w:val="00BF6399"/>
    <w:rsid w:val="00BF7376"/>
    <w:rsid w:val="00BF7A47"/>
    <w:rsid w:val="00C00076"/>
    <w:rsid w:val="00C015AA"/>
    <w:rsid w:val="00C01756"/>
    <w:rsid w:val="00C01FE3"/>
    <w:rsid w:val="00C02330"/>
    <w:rsid w:val="00C023F8"/>
    <w:rsid w:val="00C0346F"/>
    <w:rsid w:val="00C03570"/>
    <w:rsid w:val="00C04481"/>
    <w:rsid w:val="00C04A5F"/>
    <w:rsid w:val="00C05449"/>
    <w:rsid w:val="00C0550B"/>
    <w:rsid w:val="00C0575F"/>
    <w:rsid w:val="00C05A04"/>
    <w:rsid w:val="00C071B6"/>
    <w:rsid w:val="00C075CF"/>
    <w:rsid w:val="00C07CDA"/>
    <w:rsid w:val="00C108A7"/>
    <w:rsid w:val="00C10A79"/>
    <w:rsid w:val="00C119D6"/>
    <w:rsid w:val="00C13504"/>
    <w:rsid w:val="00C13BAD"/>
    <w:rsid w:val="00C151CB"/>
    <w:rsid w:val="00C15821"/>
    <w:rsid w:val="00C15AEB"/>
    <w:rsid w:val="00C15C47"/>
    <w:rsid w:val="00C16437"/>
    <w:rsid w:val="00C164FD"/>
    <w:rsid w:val="00C17449"/>
    <w:rsid w:val="00C1796C"/>
    <w:rsid w:val="00C17A16"/>
    <w:rsid w:val="00C20BE4"/>
    <w:rsid w:val="00C21596"/>
    <w:rsid w:val="00C2166B"/>
    <w:rsid w:val="00C21B0C"/>
    <w:rsid w:val="00C2258B"/>
    <w:rsid w:val="00C22C2C"/>
    <w:rsid w:val="00C22CB8"/>
    <w:rsid w:val="00C230BD"/>
    <w:rsid w:val="00C23F23"/>
    <w:rsid w:val="00C24B4A"/>
    <w:rsid w:val="00C25230"/>
    <w:rsid w:val="00C25C64"/>
    <w:rsid w:val="00C264C0"/>
    <w:rsid w:val="00C26C05"/>
    <w:rsid w:val="00C26E2C"/>
    <w:rsid w:val="00C27C24"/>
    <w:rsid w:val="00C30B06"/>
    <w:rsid w:val="00C30B58"/>
    <w:rsid w:val="00C30C30"/>
    <w:rsid w:val="00C30CBC"/>
    <w:rsid w:val="00C30E67"/>
    <w:rsid w:val="00C31058"/>
    <w:rsid w:val="00C327C9"/>
    <w:rsid w:val="00C33C94"/>
    <w:rsid w:val="00C341EE"/>
    <w:rsid w:val="00C34CFB"/>
    <w:rsid w:val="00C361CE"/>
    <w:rsid w:val="00C3663F"/>
    <w:rsid w:val="00C3758E"/>
    <w:rsid w:val="00C37777"/>
    <w:rsid w:val="00C37906"/>
    <w:rsid w:val="00C37B47"/>
    <w:rsid w:val="00C40050"/>
    <w:rsid w:val="00C4055C"/>
    <w:rsid w:val="00C406E4"/>
    <w:rsid w:val="00C40D8C"/>
    <w:rsid w:val="00C4146E"/>
    <w:rsid w:val="00C42002"/>
    <w:rsid w:val="00C42F50"/>
    <w:rsid w:val="00C43081"/>
    <w:rsid w:val="00C43684"/>
    <w:rsid w:val="00C43FA3"/>
    <w:rsid w:val="00C43FBA"/>
    <w:rsid w:val="00C447DF"/>
    <w:rsid w:val="00C44F22"/>
    <w:rsid w:val="00C46482"/>
    <w:rsid w:val="00C47774"/>
    <w:rsid w:val="00C477AB"/>
    <w:rsid w:val="00C50409"/>
    <w:rsid w:val="00C514B0"/>
    <w:rsid w:val="00C514F0"/>
    <w:rsid w:val="00C51988"/>
    <w:rsid w:val="00C52325"/>
    <w:rsid w:val="00C52364"/>
    <w:rsid w:val="00C539DF"/>
    <w:rsid w:val="00C54E27"/>
    <w:rsid w:val="00C55581"/>
    <w:rsid w:val="00C55FC7"/>
    <w:rsid w:val="00C56482"/>
    <w:rsid w:val="00C57484"/>
    <w:rsid w:val="00C60AB0"/>
    <w:rsid w:val="00C60FD5"/>
    <w:rsid w:val="00C61D9B"/>
    <w:rsid w:val="00C62F30"/>
    <w:rsid w:val="00C6370C"/>
    <w:rsid w:val="00C65589"/>
    <w:rsid w:val="00C66566"/>
    <w:rsid w:val="00C66833"/>
    <w:rsid w:val="00C66FEF"/>
    <w:rsid w:val="00C67875"/>
    <w:rsid w:val="00C6792E"/>
    <w:rsid w:val="00C67982"/>
    <w:rsid w:val="00C67A76"/>
    <w:rsid w:val="00C701B3"/>
    <w:rsid w:val="00C717D9"/>
    <w:rsid w:val="00C72157"/>
    <w:rsid w:val="00C733A9"/>
    <w:rsid w:val="00C73A00"/>
    <w:rsid w:val="00C74014"/>
    <w:rsid w:val="00C7444E"/>
    <w:rsid w:val="00C74CDD"/>
    <w:rsid w:val="00C74FB3"/>
    <w:rsid w:val="00C75821"/>
    <w:rsid w:val="00C774C6"/>
    <w:rsid w:val="00C77F58"/>
    <w:rsid w:val="00C81117"/>
    <w:rsid w:val="00C82D57"/>
    <w:rsid w:val="00C834EE"/>
    <w:rsid w:val="00C836E6"/>
    <w:rsid w:val="00C83F72"/>
    <w:rsid w:val="00C84B2D"/>
    <w:rsid w:val="00C859A9"/>
    <w:rsid w:val="00C85FDE"/>
    <w:rsid w:val="00C860B7"/>
    <w:rsid w:val="00C87A44"/>
    <w:rsid w:val="00C90727"/>
    <w:rsid w:val="00C90C0A"/>
    <w:rsid w:val="00C9198C"/>
    <w:rsid w:val="00C91F4B"/>
    <w:rsid w:val="00C92B05"/>
    <w:rsid w:val="00C9313D"/>
    <w:rsid w:val="00C941C6"/>
    <w:rsid w:val="00C94682"/>
    <w:rsid w:val="00C94903"/>
    <w:rsid w:val="00C95150"/>
    <w:rsid w:val="00C95293"/>
    <w:rsid w:val="00C95CEC"/>
    <w:rsid w:val="00CA0E01"/>
    <w:rsid w:val="00CA2A39"/>
    <w:rsid w:val="00CA31D7"/>
    <w:rsid w:val="00CA3B93"/>
    <w:rsid w:val="00CA3F5E"/>
    <w:rsid w:val="00CA4D53"/>
    <w:rsid w:val="00CA4EA5"/>
    <w:rsid w:val="00CA5643"/>
    <w:rsid w:val="00CA66D5"/>
    <w:rsid w:val="00CA676B"/>
    <w:rsid w:val="00CA6909"/>
    <w:rsid w:val="00CA6CBE"/>
    <w:rsid w:val="00CA6D76"/>
    <w:rsid w:val="00CA6FCF"/>
    <w:rsid w:val="00CA7D3A"/>
    <w:rsid w:val="00CB0656"/>
    <w:rsid w:val="00CB0805"/>
    <w:rsid w:val="00CB0C01"/>
    <w:rsid w:val="00CB0DF7"/>
    <w:rsid w:val="00CB190D"/>
    <w:rsid w:val="00CB1A0D"/>
    <w:rsid w:val="00CB43B6"/>
    <w:rsid w:val="00CB477B"/>
    <w:rsid w:val="00CB5B8B"/>
    <w:rsid w:val="00CB5BCA"/>
    <w:rsid w:val="00CB6285"/>
    <w:rsid w:val="00CB6BB0"/>
    <w:rsid w:val="00CC0FAA"/>
    <w:rsid w:val="00CC11C7"/>
    <w:rsid w:val="00CC3A8C"/>
    <w:rsid w:val="00CC3E12"/>
    <w:rsid w:val="00CC5837"/>
    <w:rsid w:val="00CC6AA3"/>
    <w:rsid w:val="00CC77E7"/>
    <w:rsid w:val="00CD165A"/>
    <w:rsid w:val="00CD1B39"/>
    <w:rsid w:val="00CD1EA0"/>
    <w:rsid w:val="00CD281C"/>
    <w:rsid w:val="00CD2B71"/>
    <w:rsid w:val="00CD2D27"/>
    <w:rsid w:val="00CD2EB1"/>
    <w:rsid w:val="00CD3057"/>
    <w:rsid w:val="00CD3149"/>
    <w:rsid w:val="00CD5649"/>
    <w:rsid w:val="00CD7AB0"/>
    <w:rsid w:val="00CD7CE9"/>
    <w:rsid w:val="00CE0539"/>
    <w:rsid w:val="00CE104F"/>
    <w:rsid w:val="00CE2509"/>
    <w:rsid w:val="00CE5472"/>
    <w:rsid w:val="00CE6862"/>
    <w:rsid w:val="00CE6D03"/>
    <w:rsid w:val="00CF207F"/>
    <w:rsid w:val="00CF2984"/>
    <w:rsid w:val="00CF2A87"/>
    <w:rsid w:val="00CF2B1F"/>
    <w:rsid w:val="00CF39A2"/>
    <w:rsid w:val="00CF4719"/>
    <w:rsid w:val="00CF716E"/>
    <w:rsid w:val="00CF7CDA"/>
    <w:rsid w:val="00D01153"/>
    <w:rsid w:val="00D013DF"/>
    <w:rsid w:val="00D01992"/>
    <w:rsid w:val="00D01A23"/>
    <w:rsid w:val="00D0207A"/>
    <w:rsid w:val="00D0256D"/>
    <w:rsid w:val="00D036C9"/>
    <w:rsid w:val="00D0435E"/>
    <w:rsid w:val="00D07A73"/>
    <w:rsid w:val="00D1144A"/>
    <w:rsid w:val="00D1202A"/>
    <w:rsid w:val="00D129DC"/>
    <w:rsid w:val="00D167D6"/>
    <w:rsid w:val="00D169B5"/>
    <w:rsid w:val="00D16E08"/>
    <w:rsid w:val="00D17919"/>
    <w:rsid w:val="00D17BC3"/>
    <w:rsid w:val="00D17CB3"/>
    <w:rsid w:val="00D22360"/>
    <w:rsid w:val="00D22AED"/>
    <w:rsid w:val="00D22BB2"/>
    <w:rsid w:val="00D22BB9"/>
    <w:rsid w:val="00D23683"/>
    <w:rsid w:val="00D256A6"/>
    <w:rsid w:val="00D268D0"/>
    <w:rsid w:val="00D27396"/>
    <w:rsid w:val="00D274C6"/>
    <w:rsid w:val="00D32970"/>
    <w:rsid w:val="00D33511"/>
    <w:rsid w:val="00D33DB4"/>
    <w:rsid w:val="00D3488D"/>
    <w:rsid w:val="00D34A5F"/>
    <w:rsid w:val="00D3545A"/>
    <w:rsid w:val="00D358E6"/>
    <w:rsid w:val="00D35C0F"/>
    <w:rsid w:val="00D3662F"/>
    <w:rsid w:val="00D3679A"/>
    <w:rsid w:val="00D36E4C"/>
    <w:rsid w:val="00D377BD"/>
    <w:rsid w:val="00D405F8"/>
    <w:rsid w:val="00D407C7"/>
    <w:rsid w:val="00D40E84"/>
    <w:rsid w:val="00D415E0"/>
    <w:rsid w:val="00D42BE1"/>
    <w:rsid w:val="00D42CFA"/>
    <w:rsid w:val="00D435AA"/>
    <w:rsid w:val="00D44608"/>
    <w:rsid w:val="00D44E14"/>
    <w:rsid w:val="00D44EB1"/>
    <w:rsid w:val="00D46036"/>
    <w:rsid w:val="00D46113"/>
    <w:rsid w:val="00D463F2"/>
    <w:rsid w:val="00D505A5"/>
    <w:rsid w:val="00D50649"/>
    <w:rsid w:val="00D508B3"/>
    <w:rsid w:val="00D50BF9"/>
    <w:rsid w:val="00D51AE4"/>
    <w:rsid w:val="00D52618"/>
    <w:rsid w:val="00D533A5"/>
    <w:rsid w:val="00D5345E"/>
    <w:rsid w:val="00D5451D"/>
    <w:rsid w:val="00D54C9C"/>
    <w:rsid w:val="00D54EF3"/>
    <w:rsid w:val="00D55333"/>
    <w:rsid w:val="00D56436"/>
    <w:rsid w:val="00D5673D"/>
    <w:rsid w:val="00D57CDE"/>
    <w:rsid w:val="00D57E83"/>
    <w:rsid w:val="00D60E0F"/>
    <w:rsid w:val="00D6120D"/>
    <w:rsid w:val="00D61ED7"/>
    <w:rsid w:val="00D62621"/>
    <w:rsid w:val="00D64197"/>
    <w:rsid w:val="00D65105"/>
    <w:rsid w:val="00D66927"/>
    <w:rsid w:val="00D66A6A"/>
    <w:rsid w:val="00D678E4"/>
    <w:rsid w:val="00D70E86"/>
    <w:rsid w:val="00D7102D"/>
    <w:rsid w:val="00D71CEA"/>
    <w:rsid w:val="00D73D25"/>
    <w:rsid w:val="00D756DB"/>
    <w:rsid w:val="00D761B7"/>
    <w:rsid w:val="00D82C3A"/>
    <w:rsid w:val="00D82DB1"/>
    <w:rsid w:val="00D836D5"/>
    <w:rsid w:val="00D83EA0"/>
    <w:rsid w:val="00D8489D"/>
    <w:rsid w:val="00D8581F"/>
    <w:rsid w:val="00D86256"/>
    <w:rsid w:val="00D87482"/>
    <w:rsid w:val="00D87610"/>
    <w:rsid w:val="00D87ABD"/>
    <w:rsid w:val="00D87FC9"/>
    <w:rsid w:val="00D90EEB"/>
    <w:rsid w:val="00D916E9"/>
    <w:rsid w:val="00D9191C"/>
    <w:rsid w:val="00D92023"/>
    <w:rsid w:val="00D92169"/>
    <w:rsid w:val="00D92872"/>
    <w:rsid w:val="00D92E50"/>
    <w:rsid w:val="00D94097"/>
    <w:rsid w:val="00D945AF"/>
    <w:rsid w:val="00D953A2"/>
    <w:rsid w:val="00D95A4F"/>
    <w:rsid w:val="00D963EF"/>
    <w:rsid w:val="00D96684"/>
    <w:rsid w:val="00D96E1F"/>
    <w:rsid w:val="00D97B7B"/>
    <w:rsid w:val="00DA026C"/>
    <w:rsid w:val="00DA05F0"/>
    <w:rsid w:val="00DA0B68"/>
    <w:rsid w:val="00DA1A62"/>
    <w:rsid w:val="00DA1D93"/>
    <w:rsid w:val="00DA3E88"/>
    <w:rsid w:val="00DA5558"/>
    <w:rsid w:val="00DA5EE0"/>
    <w:rsid w:val="00DA607E"/>
    <w:rsid w:val="00DA656F"/>
    <w:rsid w:val="00DA6B43"/>
    <w:rsid w:val="00DA786D"/>
    <w:rsid w:val="00DB1835"/>
    <w:rsid w:val="00DB1CC0"/>
    <w:rsid w:val="00DB23FD"/>
    <w:rsid w:val="00DB413A"/>
    <w:rsid w:val="00DB5022"/>
    <w:rsid w:val="00DB542D"/>
    <w:rsid w:val="00DB70AD"/>
    <w:rsid w:val="00DB720E"/>
    <w:rsid w:val="00DB7286"/>
    <w:rsid w:val="00DB77D3"/>
    <w:rsid w:val="00DB7B7E"/>
    <w:rsid w:val="00DC033F"/>
    <w:rsid w:val="00DC102D"/>
    <w:rsid w:val="00DC14A9"/>
    <w:rsid w:val="00DC17B7"/>
    <w:rsid w:val="00DC1BB4"/>
    <w:rsid w:val="00DC20F3"/>
    <w:rsid w:val="00DC3D19"/>
    <w:rsid w:val="00DC3D2A"/>
    <w:rsid w:val="00DC461A"/>
    <w:rsid w:val="00DC50CB"/>
    <w:rsid w:val="00DC56B1"/>
    <w:rsid w:val="00DC57BA"/>
    <w:rsid w:val="00DC5B4E"/>
    <w:rsid w:val="00DC5F97"/>
    <w:rsid w:val="00DC620B"/>
    <w:rsid w:val="00DC6828"/>
    <w:rsid w:val="00DD243B"/>
    <w:rsid w:val="00DD3006"/>
    <w:rsid w:val="00DD3827"/>
    <w:rsid w:val="00DD4144"/>
    <w:rsid w:val="00DD4F2C"/>
    <w:rsid w:val="00DD5852"/>
    <w:rsid w:val="00DD5FDC"/>
    <w:rsid w:val="00DD69E5"/>
    <w:rsid w:val="00DD7575"/>
    <w:rsid w:val="00DE28AD"/>
    <w:rsid w:val="00DE2C70"/>
    <w:rsid w:val="00DE2CA7"/>
    <w:rsid w:val="00DE36BD"/>
    <w:rsid w:val="00DE45AA"/>
    <w:rsid w:val="00DE56CB"/>
    <w:rsid w:val="00DE7ECF"/>
    <w:rsid w:val="00DF03B7"/>
    <w:rsid w:val="00DF0CD3"/>
    <w:rsid w:val="00DF0F69"/>
    <w:rsid w:val="00DF1D04"/>
    <w:rsid w:val="00DF1FED"/>
    <w:rsid w:val="00DF24A7"/>
    <w:rsid w:val="00DF2F76"/>
    <w:rsid w:val="00DF3637"/>
    <w:rsid w:val="00DF48A3"/>
    <w:rsid w:val="00DF49E9"/>
    <w:rsid w:val="00DF4CAD"/>
    <w:rsid w:val="00DF6103"/>
    <w:rsid w:val="00DF7DB9"/>
    <w:rsid w:val="00E0021F"/>
    <w:rsid w:val="00E008D2"/>
    <w:rsid w:val="00E01602"/>
    <w:rsid w:val="00E01B05"/>
    <w:rsid w:val="00E01F59"/>
    <w:rsid w:val="00E04188"/>
    <w:rsid w:val="00E04429"/>
    <w:rsid w:val="00E04E83"/>
    <w:rsid w:val="00E057A1"/>
    <w:rsid w:val="00E0730A"/>
    <w:rsid w:val="00E07ADE"/>
    <w:rsid w:val="00E10F6F"/>
    <w:rsid w:val="00E115D5"/>
    <w:rsid w:val="00E126CB"/>
    <w:rsid w:val="00E134DE"/>
    <w:rsid w:val="00E14E9C"/>
    <w:rsid w:val="00E15B4A"/>
    <w:rsid w:val="00E16446"/>
    <w:rsid w:val="00E20707"/>
    <w:rsid w:val="00E21EC0"/>
    <w:rsid w:val="00E2202F"/>
    <w:rsid w:val="00E22410"/>
    <w:rsid w:val="00E22576"/>
    <w:rsid w:val="00E22E22"/>
    <w:rsid w:val="00E24665"/>
    <w:rsid w:val="00E249E0"/>
    <w:rsid w:val="00E24BE2"/>
    <w:rsid w:val="00E252B7"/>
    <w:rsid w:val="00E257DB"/>
    <w:rsid w:val="00E26136"/>
    <w:rsid w:val="00E264C8"/>
    <w:rsid w:val="00E272A6"/>
    <w:rsid w:val="00E30962"/>
    <w:rsid w:val="00E30DEF"/>
    <w:rsid w:val="00E31E79"/>
    <w:rsid w:val="00E33035"/>
    <w:rsid w:val="00E33EA6"/>
    <w:rsid w:val="00E34934"/>
    <w:rsid w:val="00E371B6"/>
    <w:rsid w:val="00E3769F"/>
    <w:rsid w:val="00E37D49"/>
    <w:rsid w:val="00E4140C"/>
    <w:rsid w:val="00E41DD7"/>
    <w:rsid w:val="00E42354"/>
    <w:rsid w:val="00E43A67"/>
    <w:rsid w:val="00E44437"/>
    <w:rsid w:val="00E44AE9"/>
    <w:rsid w:val="00E44F85"/>
    <w:rsid w:val="00E45353"/>
    <w:rsid w:val="00E4710F"/>
    <w:rsid w:val="00E504CD"/>
    <w:rsid w:val="00E5084B"/>
    <w:rsid w:val="00E50E86"/>
    <w:rsid w:val="00E51362"/>
    <w:rsid w:val="00E51501"/>
    <w:rsid w:val="00E51CE6"/>
    <w:rsid w:val="00E5288A"/>
    <w:rsid w:val="00E52C0E"/>
    <w:rsid w:val="00E53D3A"/>
    <w:rsid w:val="00E53E4A"/>
    <w:rsid w:val="00E55898"/>
    <w:rsid w:val="00E55AD1"/>
    <w:rsid w:val="00E563D8"/>
    <w:rsid w:val="00E57CEE"/>
    <w:rsid w:val="00E60734"/>
    <w:rsid w:val="00E6129B"/>
    <w:rsid w:val="00E62108"/>
    <w:rsid w:val="00E6285F"/>
    <w:rsid w:val="00E6293B"/>
    <w:rsid w:val="00E62E6B"/>
    <w:rsid w:val="00E63CB3"/>
    <w:rsid w:val="00E63D5D"/>
    <w:rsid w:val="00E64CB9"/>
    <w:rsid w:val="00E65023"/>
    <w:rsid w:val="00E65BD6"/>
    <w:rsid w:val="00E71920"/>
    <w:rsid w:val="00E71BA5"/>
    <w:rsid w:val="00E71F0B"/>
    <w:rsid w:val="00E72D0C"/>
    <w:rsid w:val="00E730F1"/>
    <w:rsid w:val="00E73D3B"/>
    <w:rsid w:val="00E747AA"/>
    <w:rsid w:val="00E75C87"/>
    <w:rsid w:val="00E75EEF"/>
    <w:rsid w:val="00E75F7D"/>
    <w:rsid w:val="00E76A26"/>
    <w:rsid w:val="00E76A56"/>
    <w:rsid w:val="00E76E04"/>
    <w:rsid w:val="00E76EF9"/>
    <w:rsid w:val="00E77044"/>
    <w:rsid w:val="00E803DA"/>
    <w:rsid w:val="00E805A7"/>
    <w:rsid w:val="00E816B4"/>
    <w:rsid w:val="00E81D05"/>
    <w:rsid w:val="00E81E34"/>
    <w:rsid w:val="00E83166"/>
    <w:rsid w:val="00E8331B"/>
    <w:rsid w:val="00E844B9"/>
    <w:rsid w:val="00E84981"/>
    <w:rsid w:val="00E84A90"/>
    <w:rsid w:val="00E85152"/>
    <w:rsid w:val="00E85196"/>
    <w:rsid w:val="00E867F6"/>
    <w:rsid w:val="00E8733A"/>
    <w:rsid w:val="00E8776C"/>
    <w:rsid w:val="00E91DDB"/>
    <w:rsid w:val="00E91E77"/>
    <w:rsid w:val="00E92BCE"/>
    <w:rsid w:val="00E939D1"/>
    <w:rsid w:val="00E93AE1"/>
    <w:rsid w:val="00E93DE8"/>
    <w:rsid w:val="00E9532A"/>
    <w:rsid w:val="00E96857"/>
    <w:rsid w:val="00E968D5"/>
    <w:rsid w:val="00E975A2"/>
    <w:rsid w:val="00E97FEA"/>
    <w:rsid w:val="00EA0190"/>
    <w:rsid w:val="00EA1594"/>
    <w:rsid w:val="00EA1FDF"/>
    <w:rsid w:val="00EA23A8"/>
    <w:rsid w:val="00EA313C"/>
    <w:rsid w:val="00EA330D"/>
    <w:rsid w:val="00EA3471"/>
    <w:rsid w:val="00EA375C"/>
    <w:rsid w:val="00EA4B18"/>
    <w:rsid w:val="00EA6215"/>
    <w:rsid w:val="00EA644C"/>
    <w:rsid w:val="00EA6A28"/>
    <w:rsid w:val="00EA6C81"/>
    <w:rsid w:val="00EA6E0B"/>
    <w:rsid w:val="00EA71D6"/>
    <w:rsid w:val="00EA76B6"/>
    <w:rsid w:val="00EA7C7D"/>
    <w:rsid w:val="00EB12DA"/>
    <w:rsid w:val="00EB2EFF"/>
    <w:rsid w:val="00EB3851"/>
    <w:rsid w:val="00EB511B"/>
    <w:rsid w:val="00EB6149"/>
    <w:rsid w:val="00EB618E"/>
    <w:rsid w:val="00EB744E"/>
    <w:rsid w:val="00EC0703"/>
    <w:rsid w:val="00EC1B88"/>
    <w:rsid w:val="00EC2727"/>
    <w:rsid w:val="00EC2D9F"/>
    <w:rsid w:val="00EC2E4E"/>
    <w:rsid w:val="00EC4066"/>
    <w:rsid w:val="00EC4537"/>
    <w:rsid w:val="00EC6C3C"/>
    <w:rsid w:val="00EC6EC1"/>
    <w:rsid w:val="00EC70F4"/>
    <w:rsid w:val="00EC7426"/>
    <w:rsid w:val="00EC7B42"/>
    <w:rsid w:val="00ED0101"/>
    <w:rsid w:val="00ED1394"/>
    <w:rsid w:val="00ED15C0"/>
    <w:rsid w:val="00ED1910"/>
    <w:rsid w:val="00ED1DB8"/>
    <w:rsid w:val="00ED22ED"/>
    <w:rsid w:val="00ED2CB6"/>
    <w:rsid w:val="00ED2DB9"/>
    <w:rsid w:val="00ED3825"/>
    <w:rsid w:val="00ED4657"/>
    <w:rsid w:val="00ED57BF"/>
    <w:rsid w:val="00ED58D0"/>
    <w:rsid w:val="00ED6A89"/>
    <w:rsid w:val="00ED6E17"/>
    <w:rsid w:val="00EE120A"/>
    <w:rsid w:val="00EE1459"/>
    <w:rsid w:val="00EE1A1F"/>
    <w:rsid w:val="00EE2DEE"/>
    <w:rsid w:val="00EE305D"/>
    <w:rsid w:val="00EE39B4"/>
    <w:rsid w:val="00EE3CD7"/>
    <w:rsid w:val="00EE3FA6"/>
    <w:rsid w:val="00EE4664"/>
    <w:rsid w:val="00EE4A17"/>
    <w:rsid w:val="00EE5276"/>
    <w:rsid w:val="00EE5D8A"/>
    <w:rsid w:val="00EE603B"/>
    <w:rsid w:val="00EE6378"/>
    <w:rsid w:val="00EE70F8"/>
    <w:rsid w:val="00EE71FA"/>
    <w:rsid w:val="00EF019D"/>
    <w:rsid w:val="00EF18CC"/>
    <w:rsid w:val="00EF2389"/>
    <w:rsid w:val="00EF3319"/>
    <w:rsid w:val="00EF47F7"/>
    <w:rsid w:val="00EF4C8B"/>
    <w:rsid w:val="00EF4E2E"/>
    <w:rsid w:val="00EF671D"/>
    <w:rsid w:val="00EF694C"/>
    <w:rsid w:val="00EF6E2E"/>
    <w:rsid w:val="00EF71A9"/>
    <w:rsid w:val="00F01033"/>
    <w:rsid w:val="00F025D5"/>
    <w:rsid w:val="00F033F0"/>
    <w:rsid w:val="00F03A93"/>
    <w:rsid w:val="00F03F5D"/>
    <w:rsid w:val="00F03FE6"/>
    <w:rsid w:val="00F04CAB"/>
    <w:rsid w:val="00F04D82"/>
    <w:rsid w:val="00F04DD8"/>
    <w:rsid w:val="00F0533C"/>
    <w:rsid w:val="00F064D5"/>
    <w:rsid w:val="00F06AF0"/>
    <w:rsid w:val="00F0767A"/>
    <w:rsid w:val="00F07D48"/>
    <w:rsid w:val="00F110DD"/>
    <w:rsid w:val="00F11A2D"/>
    <w:rsid w:val="00F121D6"/>
    <w:rsid w:val="00F12317"/>
    <w:rsid w:val="00F1290F"/>
    <w:rsid w:val="00F13C76"/>
    <w:rsid w:val="00F14EAA"/>
    <w:rsid w:val="00F15F55"/>
    <w:rsid w:val="00F16110"/>
    <w:rsid w:val="00F16B96"/>
    <w:rsid w:val="00F17ADD"/>
    <w:rsid w:val="00F206B3"/>
    <w:rsid w:val="00F207C5"/>
    <w:rsid w:val="00F22D1A"/>
    <w:rsid w:val="00F23A8F"/>
    <w:rsid w:val="00F260DE"/>
    <w:rsid w:val="00F2698B"/>
    <w:rsid w:val="00F270D1"/>
    <w:rsid w:val="00F30DE1"/>
    <w:rsid w:val="00F30E0E"/>
    <w:rsid w:val="00F315EC"/>
    <w:rsid w:val="00F316F0"/>
    <w:rsid w:val="00F320AD"/>
    <w:rsid w:val="00F3314E"/>
    <w:rsid w:val="00F342B7"/>
    <w:rsid w:val="00F4001D"/>
    <w:rsid w:val="00F406D8"/>
    <w:rsid w:val="00F408AA"/>
    <w:rsid w:val="00F408D3"/>
    <w:rsid w:val="00F40C18"/>
    <w:rsid w:val="00F4160B"/>
    <w:rsid w:val="00F4203B"/>
    <w:rsid w:val="00F42765"/>
    <w:rsid w:val="00F4288A"/>
    <w:rsid w:val="00F42C48"/>
    <w:rsid w:val="00F439E1"/>
    <w:rsid w:val="00F43BBC"/>
    <w:rsid w:val="00F441F1"/>
    <w:rsid w:val="00F448DB"/>
    <w:rsid w:val="00F44A78"/>
    <w:rsid w:val="00F45BFA"/>
    <w:rsid w:val="00F50D2C"/>
    <w:rsid w:val="00F511C8"/>
    <w:rsid w:val="00F5230F"/>
    <w:rsid w:val="00F53F7B"/>
    <w:rsid w:val="00F54736"/>
    <w:rsid w:val="00F5673F"/>
    <w:rsid w:val="00F575E5"/>
    <w:rsid w:val="00F577DD"/>
    <w:rsid w:val="00F57AED"/>
    <w:rsid w:val="00F57BA1"/>
    <w:rsid w:val="00F600E2"/>
    <w:rsid w:val="00F61F2E"/>
    <w:rsid w:val="00F623CA"/>
    <w:rsid w:val="00F62E6A"/>
    <w:rsid w:val="00F6318F"/>
    <w:rsid w:val="00F63DCB"/>
    <w:rsid w:val="00F646A4"/>
    <w:rsid w:val="00F64B43"/>
    <w:rsid w:val="00F660C7"/>
    <w:rsid w:val="00F66E68"/>
    <w:rsid w:val="00F6761F"/>
    <w:rsid w:val="00F70284"/>
    <w:rsid w:val="00F70BD9"/>
    <w:rsid w:val="00F71ED9"/>
    <w:rsid w:val="00F72D6C"/>
    <w:rsid w:val="00F73ED3"/>
    <w:rsid w:val="00F811CA"/>
    <w:rsid w:val="00F825C4"/>
    <w:rsid w:val="00F82D8D"/>
    <w:rsid w:val="00F82FA1"/>
    <w:rsid w:val="00F832DD"/>
    <w:rsid w:val="00F83812"/>
    <w:rsid w:val="00F83A25"/>
    <w:rsid w:val="00F84407"/>
    <w:rsid w:val="00F85992"/>
    <w:rsid w:val="00F861B5"/>
    <w:rsid w:val="00F86282"/>
    <w:rsid w:val="00F86CDC"/>
    <w:rsid w:val="00F86D49"/>
    <w:rsid w:val="00F87657"/>
    <w:rsid w:val="00F90F64"/>
    <w:rsid w:val="00F9215A"/>
    <w:rsid w:val="00F92972"/>
    <w:rsid w:val="00F93CEC"/>
    <w:rsid w:val="00F95B02"/>
    <w:rsid w:val="00F95C47"/>
    <w:rsid w:val="00F95D11"/>
    <w:rsid w:val="00F95F72"/>
    <w:rsid w:val="00F96872"/>
    <w:rsid w:val="00F96F4C"/>
    <w:rsid w:val="00F97EF3"/>
    <w:rsid w:val="00FA061B"/>
    <w:rsid w:val="00FA18B7"/>
    <w:rsid w:val="00FA1D4F"/>
    <w:rsid w:val="00FA1E83"/>
    <w:rsid w:val="00FA278F"/>
    <w:rsid w:val="00FA34A0"/>
    <w:rsid w:val="00FA3595"/>
    <w:rsid w:val="00FA4B86"/>
    <w:rsid w:val="00FA5264"/>
    <w:rsid w:val="00FA5659"/>
    <w:rsid w:val="00FA61C1"/>
    <w:rsid w:val="00FA64DF"/>
    <w:rsid w:val="00FA6FB2"/>
    <w:rsid w:val="00FA6FCA"/>
    <w:rsid w:val="00FA75C3"/>
    <w:rsid w:val="00FA7861"/>
    <w:rsid w:val="00FB04E9"/>
    <w:rsid w:val="00FB0B3E"/>
    <w:rsid w:val="00FB14D3"/>
    <w:rsid w:val="00FB1CB5"/>
    <w:rsid w:val="00FB1F98"/>
    <w:rsid w:val="00FB3313"/>
    <w:rsid w:val="00FB35D8"/>
    <w:rsid w:val="00FB6237"/>
    <w:rsid w:val="00FB6474"/>
    <w:rsid w:val="00FB64ED"/>
    <w:rsid w:val="00FB6615"/>
    <w:rsid w:val="00FB7253"/>
    <w:rsid w:val="00FB7CC4"/>
    <w:rsid w:val="00FC09F3"/>
    <w:rsid w:val="00FC0C3A"/>
    <w:rsid w:val="00FC0FB6"/>
    <w:rsid w:val="00FC1664"/>
    <w:rsid w:val="00FC166E"/>
    <w:rsid w:val="00FC2F26"/>
    <w:rsid w:val="00FC3091"/>
    <w:rsid w:val="00FC41C0"/>
    <w:rsid w:val="00FC4272"/>
    <w:rsid w:val="00FC4ADC"/>
    <w:rsid w:val="00FC4D4C"/>
    <w:rsid w:val="00FC54C3"/>
    <w:rsid w:val="00FC64C7"/>
    <w:rsid w:val="00FC6C3F"/>
    <w:rsid w:val="00FC76ED"/>
    <w:rsid w:val="00FC7C2A"/>
    <w:rsid w:val="00FD0B62"/>
    <w:rsid w:val="00FD1312"/>
    <w:rsid w:val="00FD17B5"/>
    <w:rsid w:val="00FD181E"/>
    <w:rsid w:val="00FD1B2F"/>
    <w:rsid w:val="00FD1D39"/>
    <w:rsid w:val="00FD249F"/>
    <w:rsid w:val="00FD26EC"/>
    <w:rsid w:val="00FD3D7B"/>
    <w:rsid w:val="00FD4365"/>
    <w:rsid w:val="00FD4447"/>
    <w:rsid w:val="00FD5C6A"/>
    <w:rsid w:val="00FE0AEA"/>
    <w:rsid w:val="00FE13B8"/>
    <w:rsid w:val="00FE208F"/>
    <w:rsid w:val="00FE236E"/>
    <w:rsid w:val="00FE473A"/>
    <w:rsid w:val="00FE4B83"/>
    <w:rsid w:val="00FE4FE1"/>
    <w:rsid w:val="00FE6061"/>
    <w:rsid w:val="00FE6710"/>
    <w:rsid w:val="00FE7FF4"/>
    <w:rsid w:val="00FF061A"/>
    <w:rsid w:val="00FF109D"/>
    <w:rsid w:val="00FF12E4"/>
    <w:rsid w:val="00FF1A1E"/>
    <w:rsid w:val="00FF1DAF"/>
    <w:rsid w:val="00FF1F7F"/>
    <w:rsid w:val="00FF3AB3"/>
    <w:rsid w:val="00FF3AE1"/>
    <w:rsid w:val="00FF4368"/>
    <w:rsid w:val="00FF487F"/>
    <w:rsid w:val="00FF4A08"/>
    <w:rsid w:val="00FF4EF9"/>
    <w:rsid w:val="00FF54A2"/>
    <w:rsid w:val="00FF5FDE"/>
    <w:rsid w:val="00FF7047"/>
    <w:rsid w:val="00FF7A02"/>
    <w:rsid w:val="00FF7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D7809CE"/>
  <w15:docId w15:val="{B51DD3EB-BF5A-4F2B-BF66-38604710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numPr>
        <w:numId w:val="2"/>
      </w:numPr>
      <w:spacing w:before="240"/>
      <w:jc w:val="both"/>
      <w:outlineLvl w:val="0"/>
    </w:pPr>
    <w:rPr>
      <w:b/>
      <w:bCs/>
      <w:sz w:val="28"/>
      <w:szCs w:val="20"/>
    </w:rPr>
  </w:style>
  <w:style w:type="paragraph" w:styleId="Ttulo2">
    <w:name w:val="heading 2"/>
    <w:basedOn w:val="Ttulo1"/>
    <w:next w:val="Normal"/>
    <w:qFormat/>
    <w:rsid w:val="00FD17B5"/>
    <w:pPr>
      <w:numPr>
        <w:ilvl w:val="1"/>
      </w:numPr>
      <w:spacing w:before="0" w:after="240"/>
      <w:outlineLvl w:val="1"/>
    </w:pPr>
    <w:rPr>
      <w:rFonts w:cs="Arial"/>
      <w:bCs w:val="0"/>
      <w:color w:val="000000"/>
    </w:rPr>
  </w:style>
  <w:style w:type="paragraph" w:styleId="Ttulo3">
    <w:name w:val="heading 3"/>
    <w:basedOn w:val="Normal"/>
    <w:next w:val="Normal"/>
    <w:qFormat/>
    <w:rsid w:val="00206EC0"/>
    <w:pPr>
      <w:keepNext/>
      <w:numPr>
        <w:ilvl w:val="2"/>
        <w:numId w:val="2"/>
      </w:numPr>
      <w:outlineLvl w:val="2"/>
    </w:pPr>
    <w:rPr>
      <w:bCs/>
      <w:smallCaps/>
    </w:rPr>
  </w:style>
  <w:style w:type="paragraph" w:styleId="Ttulo4">
    <w:name w:val="heading 4"/>
    <w:basedOn w:val="Normal"/>
    <w:next w:val="Normal"/>
    <w:qFormat/>
    <w:rsid w:val="003164C8"/>
    <w:pPr>
      <w:keepNext/>
      <w:numPr>
        <w:ilvl w:val="3"/>
        <w:numId w:val="2"/>
      </w:numPr>
      <w:jc w:val="both"/>
      <w:outlineLvl w:val="3"/>
    </w:pPr>
    <w:rPr>
      <w:bCs/>
    </w:rPr>
  </w:style>
  <w:style w:type="paragraph" w:styleId="Ttulo5">
    <w:name w:val="heading 5"/>
    <w:basedOn w:val="Normal"/>
    <w:next w:val="Normal"/>
    <w:qFormat/>
    <w:pPr>
      <w:keepNext/>
      <w:numPr>
        <w:ilvl w:val="4"/>
        <w:numId w:val="2"/>
      </w:numPr>
      <w:snapToGrid w:val="0"/>
      <w:spacing w:line="276" w:lineRule="auto"/>
      <w:outlineLvl w:val="4"/>
    </w:pPr>
    <w:rPr>
      <w:rFonts w:ascii="Calibri" w:hAnsi="Calibri"/>
      <w:b/>
      <w:sz w:val="18"/>
      <w:szCs w:val="18"/>
    </w:rPr>
  </w:style>
  <w:style w:type="paragraph" w:styleId="Ttulo6">
    <w:name w:val="heading 6"/>
    <w:aliases w:val="3.2.6.1"/>
    <w:basedOn w:val="Normal"/>
    <w:next w:val="Normal"/>
    <w:qFormat/>
    <w:pPr>
      <w:keepNext/>
      <w:numPr>
        <w:ilvl w:val="5"/>
        <w:numId w:val="2"/>
      </w:numPr>
      <w:jc w:val="both"/>
      <w:outlineLvl w:val="5"/>
    </w:pPr>
    <w:rPr>
      <w:b/>
      <w:bCs/>
      <w:sz w:val="22"/>
      <w:szCs w:val="20"/>
    </w:rPr>
  </w:style>
  <w:style w:type="paragraph" w:styleId="Ttulo7">
    <w:name w:val="heading 7"/>
    <w:basedOn w:val="Normal"/>
    <w:next w:val="Normal"/>
    <w:qFormat/>
    <w:pPr>
      <w:numPr>
        <w:ilvl w:val="6"/>
        <w:numId w:val="2"/>
      </w:numPr>
      <w:spacing w:before="240" w:after="60"/>
      <w:outlineLvl w:val="6"/>
    </w:pPr>
    <w:rPr>
      <w:rFonts w:ascii="Calibri" w:hAnsi="Calibri"/>
    </w:rPr>
  </w:style>
  <w:style w:type="paragraph" w:styleId="Ttulo8">
    <w:name w:val="heading 8"/>
    <w:basedOn w:val="Normal"/>
    <w:next w:val="Normal"/>
    <w:qFormat/>
    <w:pPr>
      <w:keepNext/>
      <w:numPr>
        <w:ilvl w:val="7"/>
        <w:numId w:val="2"/>
      </w:numPr>
      <w:suppressAutoHyphens/>
      <w:autoSpaceDE w:val="0"/>
      <w:spacing w:line="100" w:lineRule="atLeast"/>
      <w:jc w:val="center"/>
      <w:outlineLvl w:val="7"/>
    </w:pPr>
    <w:rPr>
      <w:rFonts w:ascii="Garamond" w:hAnsi="Garamond"/>
      <w:b/>
      <w:bCs/>
      <w:sz w:val="26"/>
      <w:lang w:eastAsia="ar-SA"/>
    </w:rPr>
  </w:style>
  <w:style w:type="paragraph" w:styleId="Ttulo9">
    <w:name w:val="heading 9"/>
    <w:basedOn w:val="Normal"/>
    <w:next w:val="Normal"/>
    <w:qFormat/>
    <w:pPr>
      <w:numPr>
        <w:ilvl w:val="8"/>
        <w:numId w:val="2"/>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PAFG">
    <w:name w:val="título PAFG"/>
    <w:basedOn w:val="Normal"/>
    <w:pPr>
      <w:keepNext/>
      <w:tabs>
        <w:tab w:val="num" w:pos="1080"/>
      </w:tabs>
      <w:spacing w:before="240"/>
      <w:outlineLvl w:val="5"/>
    </w:pPr>
    <w:rPr>
      <w:rFonts w:ascii="Arial" w:hAnsi="Arial" w:cs="Arial"/>
      <w:b/>
      <w:bCs/>
      <w:sz w:val="2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texto10">
    <w:name w:val="texto10"/>
    <w:basedOn w:val="Normal"/>
    <w:pPr>
      <w:spacing w:before="100" w:beforeAutospacing="1" w:after="100" w:afterAutospacing="1"/>
    </w:pPr>
    <w:rPr>
      <w:rFonts w:ascii="Arial Unicode MS" w:eastAsia="Arial Unicode MS" w:hAnsi="Arial Unicode MS" w:cs="Arial Unicode MS"/>
    </w:rPr>
  </w:style>
  <w:style w:type="paragraph" w:styleId="Textodenotaderodap">
    <w:name w:val="footnote text"/>
    <w:basedOn w:val="Normal"/>
    <w:link w:val="TextodenotaderodapChar"/>
    <w:uiPriority w:val="99"/>
    <w:pPr>
      <w:jc w:val="both"/>
    </w:pPr>
    <w:rPr>
      <w:sz w:val="20"/>
    </w:rPr>
  </w:style>
  <w:style w:type="character" w:styleId="Refdenotaderodap">
    <w:name w:val="footnote reference"/>
    <w:uiPriority w:val="99"/>
    <w:rPr>
      <w:vertAlign w:val="superscript"/>
    </w:rPr>
  </w:style>
  <w:style w:type="paragraph" w:styleId="Rodap">
    <w:name w:val="footer"/>
    <w:basedOn w:val="Normal"/>
    <w:semiHidden/>
    <w:pPr>
      <w:tabs>
        <w:tab w:val="center" w:pos="4320"/>
        <w:tab w:val="right" w:pos="8640"/>
      </w:tabs>
      <w:jc w:val="both"/>
    </w:pPr>
    <w:rPr>
      <w:szCs w:val="20"/>
    </w:rPr>
  </w:style>
  <w:style w:type="paragraph" w:styleId="Sumrio1">
    <w:name w:val="toc 1"/>
    <w:basedOn w:val="Normal"/>
    <w:next w:val="Normal"/>
    <w:autoRedefine/>
    <w:uiPriority w:val="39"/>
    <w:qFormat/>
    <w:rsid w:val="00792748"/>
    <w:pPr>
      <w:tabs>
        <w:tab w:val="left" w:pos="880"/>
        <w:tab w:val="right" w:leader="dot" w:pos="9572"/>
      </w:tabs>
      <w:jc w:val="both"/>
    </w:pPr>
    <w:rPr>
      <w:b/>
      <w:bCs/>
      <w:noProof/>
    </w:rPr>
  </w:style>
  <w:style w:type="character" w:styleId="Hyperlink">
    <w:name w:val="Hyperlink"/>
    <w:uiPriority w:val="99"/>
    <w:rPr>
      <w:color w:val="0000FF"/>
      <w:u w:val="single"/>
    </w:rPr>
  </w:style>
  <w:style w:type="paragraph" w:styleId="Sumrio2">
    <w:name w:val="toc 2"/>
    <w:basedOn w:val="Normal"/>
    <w:next w:val="Normal"/>
    <w:autoRedefine/>
    <w:uiPriority w:val="39"/>
    <w:qFormat/>
    <w:rsid w:val="000E3A16"/>
    <w:pPr>
      <w:tabs>
        <w:tab w:val="left" w:pos="880"/>
        <w:tab w:val="right" w:leader="dot" w:pos="9629"/>
      </w:tabs>
    </w:pPr>
    <w:rPr>
      <w:rFonts w:ascii="Calibri" w:hAnsi="Calibri"/>
      <w:smallCaps/>
      <w:noProof/>
    </w:rPr>
  </w:style>
  <w:style w:type="paragraph" w:styleId="Sumrio3">
    <w:name w:val="toc 3"/>
    <w:basedOn w:val="Normal"/>
    <w:next w:val="Normal"/>
    <w:autoRedefine/>
    <w:uiPriority w:val="39"/>
    <w:unhideWhenUsed/>
    <w:qFormat/>
    <w:rsid w:val="00AC16C8"/>
    <w:pPr>
      <w:tabs>
        <w:tab w:val="left" w:pos="880"/>
        <w:tab w:val="right" w:leader="dot" w:pos="9629"/>
      </w:tabs>
      <w:jc w:val="both"/>
    </w:pPr>
    <w:rPr>
      <w:rFonts w:ascii="Calibri" w:hAnsi="Calibri" w:cs="Arial"/>
      <w:b/>
    </w:rPr>
  </w:style>
  <w:style w:type="character" w:styleId="Forte">
    <w:name w:val="Strong"/>
    <w:uiPriority w:val="22"/>
    <w:qFormat/>
    <w:rPr>
      <w:bCs/>
      <w:smallCaps/>
    </w:rPr>
  </w:style>
  <w:style w:type="paragraph" w:styleId="Corpodetexto">
    <w:name w:val="Body Text"/>
    <w:aliases w:val="Corpo de texto Char, Char Char Char Char Char Char, Char Char Char Char Char"/>
    <w:basedOn w:val="Normal"/>
    <w:semiHidden/>
    <w:pPr>
      <w:jc w:val="both"/>
    </w:pPr>
    <w:rPr>
      <w:bCs/>
      <w:szCs w:val="20"/>
    </w:rPr>
  </w:style>
  <w:style w:type="paragraph" w:styleId="Ttulo">
    <w:name w:val="Title"/>
    <w:basedOn w:val="Normal"/>
    <w:qFormat/>
    <w:pPr>
      <w:jc w:val="center"/>
    </w:pPr>
    <w:rPr>
      <w:szCs w:val="20"/>
    </w:rPr>
  </w:style>
  <w:style w:type="paragraph" w:styleId="Corpodetexto2">
    <w:name w:val="Body Text 2"/>
    <w:basedOn w:val="Normal"/>
    <w:semiHidden/>
    <w:pPr>
      <w:jc w:val="both"/>
    </w:pPr>
    <w:rPr>
      <w:rFonts w:ascii="Arial" w:hAnsi="Arial" w:cs="Arial"/>
    </w:rPr>
  </w:style>
  <w:style w:type="paragraph" w:styleId="Recuodecorpodetexto">
    <w:name w:val="Body Text Indent"/>
    <w:basedOn w:val="Normal"/>
    <w:semiHidden/>
    <w:pPr>
      <w:spacing w:before="120"/>
      <w:ind w:firstLine="708"/>
      <w:jc w:val="both"/>
    </w:pPr>
  </w:style>
  <w:style w:type="paragraph" w:styleId="Recuodecorpodetexto2">
    <w:name w:val="Body Text Indent 2"/>
    <w:basedOn w:val="Normal"/>
    <w:semiHidden/>
    <w:pPr>
      <w:ind w:left="360"/>
    </w:pPr>
    <w:rPr>
      <w:b/>
      <w:bCs/>
    </w:rPr>
  </w:style>
  <w:style w:type="paragraph" w:customStyle="1" w:styleId="western">
    <w:name w:val="western"/>
    <w:basedOn w:val="Normal"/>
    <w:pPr>
      <w:spacing w:before="100" w:beforeAutospacing="1"/>
      <w:jc w:val="both"/>
    </w:pPr>
    <w:rPr>
      <w:rFonts w:ascii="Garamond" w:hAnsi="Garamond"/>
      <w:sz w:val="28"/>
      <w:szCs w:val="28"/>
    </w:rPr>
  </w:style>
  <w:style w:type="character" w:customStyle="1" w:styleId="fontsize12px">
    <w:name w:val="fontsize12px"/>
  </w:style>
  <w:style w:type="paragraph" w:customStyle="1" w:styleId="Pargrafo">
    <w:name w:val="Parágrafo"/>
    <w:basedOn w:val="Normal"/>
    <w:pPr>
      <w:suppressAutoHyphens/>
      <w:spacing w:line="360" w:lineRule="auto"/>
      <w:jc w:val="both"/>
    </w:pPr>
    <w:rPr>
      <w:szCs w:val="20"/>
      <w:lang w:eastAsia="ar-SA"/>
    </w:rPr>
  </w:style>
  <w:style w:type="paragraph" w:styleId="Recuodecorpodetexto3">
    <w:name w:val="Body Text Indent 3"/>
    <w:basedOn w:val="Normal"/>
    <w:semiHidden/>
    <w:pPr>
      <w:spacing w:line="360" w:lineRule="auto"/>
      <w:ind w:firstLine="720"/>
      <w:jc w:val="both"/>
    </w:pPr>
    <w:rPr>
      <w:szCs w:val="22"/>
    </w:rPr>
  </w:style>
  <w:style w:type="paragraph" w:styleId="Corpodetexto3">
    <w:name w:val="Body Text 3"/>
    <w:basedOn w:val="Normal"/>
    <w:semiHidden/>
    <w:pPr>
      <w:autoSpaceDE w:val="0"/>
      <w:autoSpaceDN w:val="0"/>
      <w:adjustRightInd w:val="0"/>
      <w:spacing w:line="360" w:lineRule="auto"/>
      <w:ind w:right="119"/>
      <w:jc w:val="both"/>
    </w:pPr>
    <w:rPr>
      <w:szCs w:val="20"/>
    </w:rPr>
  </w:style>
  <w:style w:type="character" w:styleId="Nmerodepgina">
    <w:name w:val="page number"/>
    <w:basedOn w:val="Fontepargpadro"/>
    <w:semiHidden/>
  </w:style>
  <w:style w:type="character" w:customStyle="1" w:styleId="WW8Num3z1">
    <w:name w:val="WW8Num3z1"/>
    <w:rPr>
      <w:rFonts w:ascii="Courier New" w:hAnsi="Courier New"/>
    </w:rPr>
  </w:style>
  <w:style w:type="paragraph" w:customStyle="1" w:styleId="JeffNormal">
    <w:name w:val="Jeff Normal"/>
    <w:basedOn w:val="Normal"/>
    <w:pPr>
      <w:tabs>
        <w:tab w:val="left" w:pos="1701"/>
      </w:tabs>
      <w:suppressAutoHyphens/>
      <w:spacing w:before="120" w:after="120" w:line="312" w:lineRule="auto"/>
      <w:jc w:val="both"/>
    </w:pPr>
    <w:rPr>
      <w:lang w:eastAsia="ar-SA"/>
    </w:rPr>
  </w:style>
  <w:style w:type="paragraph" w:styleId="Sumrio4">
    <w:name w:val="toc 4"/>
    <w:basedOn w:val="Normal"/>
    <w:next w:val="Normal"/>
    <w:autoRedefine/>
    <w:semiHidden/>
    <w:rPr>
      <w:sz w:val="16"/>
      <w:szCs w:val="21"/>
    </w:rPr>
  </w:style>
  <w:style w:type="character" w:styleId="HiperlinkVisitado">
    <w:name w:val="FollowedHyperlink"/>
    <w:uiPriority w:val="99"/>
    <w:semiHidden/>
    <w:rPr>
      <w:color w:val="800080"/>
      <w:u w:val="single"/>
    </w:rPr>
  </w:style>
  <w:style w:type="paragraph" w:styleId="Cabealho">
    <w:name w:val="header"/>
    <w:basedOn w:val="Normal"/>
    <w:semiHidden/>
    <w:pPr>
      <w:tabs>
        <w:tab w:val="center" w:pos="4419"/>
        <w:tab w:val="right" w:pos="8838"/>
      </w:tabs>
    </w:pPr>
    <w:rPr>
      <w:sz w:val="20"/>
      <w:szCs w:val="20"/>
    </w:rPr>
  </w:style>
  <w:style w:type="paragraph" w:styleId="Textoembloco">
    <w:name w:val="Block Text"/>
    <w:basedOn w:val="Normal"/>
    <w:semiHidden/>
    <w:pPr>
      <w:spacing w:before="100" w:beforeAutospacing="1" w:after="100" w:afterAutospacing="1"/>
      <w:ind w:left="480" w:right="18" w:hanging="480"/>
      <w:jc w:val="both"/>
    </w:pPr>
  </w:style>
  <w:style w:type="paragraph" w:customStyle="1" w:styleId="letranivel1">
    <w:name w:val="letra nivel 1"/>
    <w:basedOn w:val="Normal"/>
    <w:qFormat/>
    <w:pPr>
      <w:autoSpaceDE w:val="0"/>
      <w:autoSpaceDN w:val="0"/>
      <w:adjustRightInd w:val="0"/>
    </w:pPr>
    <w:rPr>
      <w:b/>
      <w:bCs/>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rPr>
  </w:style>
  <w:style w:type="character" w:styleId="Refdecomentrio">
    <w:name w:val="annotation reference"/>
    <w:uiPriority w:val="99"/>
    <w:unhideWhenUsed/>
    <w:rPr>
      <w:sz w:val="16"/>
      <w:szCs w:val="16"/>
    </w:rPr>
  </w:style>
  <w:style w:type="paragraph" w:styleId="Textodecomentrio">
    <w:name w:val="annotation text"/>
    <w:basedOn w:val="Normal"/>
    <w:semiHidden/>
    <w:unhideWhenUsed/>
    <w:rPr>
      <w:sz w:val="20"/>
      <w:szCs w:val="20"/>
    </w:rPr>
  </w:style>
  <w:style w:type="character" w:customStyle="1" w:styleId="TextodecomentrioChar">
    <w:name w:val="Texto de comentário Char"/>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AssuntodocomentrioChar">
    <w:name w:val="Assunto do comentário Char"/>
    <w:semiHidden/>
    <w:rPr>
      <w:b/>
      <w:bCs/>
    </w:rPr>
  </w:style>
  <w:style w:type="character" w:customStyle="1" w:styleId="Ttulo7Char">
    <w:name w:val="Título 7 Char"/>
    <w:semiHidden/>
    <w:rPr>
      <w:rFonts w:ascii="Calibri" w:eastAsia="Times New Roman" w:hAnsi="Calibri" w:cs="Times New Roman"/>
      <w:sz w:val="24"/>
      <w:szCs w:val="24"/>
    </w:rPr>
  </w:style>
  <w:style w:type="character" w:customStyle="1" w:styleId="Ttulo9Char">
    <w:name w:val="Título 9 Char"/>
    <w:semiHidden/>
    <w:rPr>
      <w:rFonts w:ascii="Cambria" w:eastAsia="Times New Roman" w:hAnsi="Cambria" w:cs="Times New Roman"/>
      <w:sz w:val="22"/>
      <w:szCs w:val="22"/>
    </w:rPr>
  </w:style>
  <w:style w:type="paragraph" w:customStyle="1" w:styleId="Default">
    <w:name w:val="Default"/>
    <w:rsid w:val="00F600E2"/>
    <w:pPr>
      <w:autoSpaceDE w:val="0"/>
      <w:autoSpaceDN w:val="0"/>
      <w:adjustRightInd w:val="0"/>
    </w:pPr>
    <w:rPr>
      <w:rFonts w:ascii="Arial" w:hAnsi="Arial" w:cs="Arial"/>
      <w:color w:val="000000"/>
      <w:sz w:val="24"/>
      <w:szCs w:val="24"/>
    </w:rPr>
  </w:style>
  <w:style w:type="paragraph" w:customStyle="1" w:styleId="TabeladeGrade31">
    <w:name w:val="Tabela de Grade 31"/>
    <w:basedOn w:val="Ttulo1"/>
    <w:next w:val="Normal"/>
    <w:uiPriority w:val="39"/>
    <w:semiHidden/>
    <w:unhideWhenUsed/>
    <w:qFormat/>
    <w:rsid w:val="0028644F"/>
    <w:pPr>
      <w:keepLines/>
      <w:numPr>
        <w:numId w:val="0"/>
      </w:numPr>
      <w:spacing w:before="480" w:line="276" w:lineRule="auto"/>
      <w:jc w:val="left"/>
      <w:outlineLvl w:val="9"/>
    </w:pPr>
    <w:rPr>
      <w:rFonts w:ascii="Cambria" w:hAnsi="Cambria"/>
      <w:color w:val="365F91"/>
      <w:szCs w:val="28"/>
      <w:lang w:eastAsia="en-US"/>
    </w:rPr>
  </w:style>
  <w:style w:type="paragraph" w:customStyle="1" w:styleId="ListaMdia2-nfase21">
    <w:name w:val="Lista Média 2 - Ênfase 21"/>
    <w:hidden/>
    <w:uiPriority w:val="99"/>
    <w:semiHidden/>
    <w:rsid w:val="000C5900"/>
    <w:rPr>
      <w:sz w:val="24"/>
      <w:szCs w:val="24"/>
    </w:rPr>
  </w:style>
  <w:style w:type="table" w:styleId="Tabelacomgrade">
    <w:name w:val="Table Grid"/>
    <w:basedOn w:val="Tabelanormal"/>
    <w:uiPriority w:val="39"/>
    <w:rsid w:val="00EE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link w:val="GradeMdia1-nfase2Char"/>
    <w:uiPriority w:val="34"/>
    <w:qFormat/>
    <w:rsid w:val="004905E8"/>
    <w:pPr>
      <w:ind w:left="720"/>
      <w:contextualSpacing/>
    </w:pPr>
  </w:style>
  <w:style w:type="paragraph" w:customStyle="1" w:styleId="PAF-notas">
    <w:name w:val="PAF-notas"/>
    <w:basedOn w:val="Textodenotaderodap"/>
    <w:link w:val="PAF-notasChar"/>
    <w:qFormat/>
    <w:rsid w:val="00F87657"/>
    <w:pPr>
      <w:spacing w:after="120"/>
    </w:pPr>
    <w:rPr>
      <w:rFonts w:ascii="Calibri" w:eastAsia="Calibri" w:hAnsi="Calibri"/>
      <w:sz w:val="16"/>
      <w:szCs w:val="16"/>
      <w:lang w:val="x-none" w:eastAsia="en-US"/>
    </w:rPr>
  </w:style>
  <w:style w:type="character" w:customStyle="1" w:styleId="PAF-notasChar">
    <w:name w:val="PAF-notas Char"/>
    <w:link w:val="PAF-notas"/>
    <w:rsid w:val="00F87657"/>
    <w:rPr>
      <w:rFonts w:ascii="Calibri" w:eastAsia="Calibri" w:hAnsi="Calibri" w:cs="Times New Roman"/>
      <w:sz w:val="16"/>
      <w:szCs w:val="16"/>
      <w:lang w:eastAsia="en-US"/>
    </w:rPr>
  </w:style>
  <w:style w:type="paragraph" w:customStyle="1" w:styleId="PAFTexto1">
    <w:name w:val="PAF Texto1"/>
    <w:basedOn w:val="Normal"/>
    <w:link w:val="PAFTexto1Char"/>
    <w:qFormat/>
    <w:rsid w:val="002178E9"/>
    <w:pPr>
      <w:spacing w:after="240" w:line="360" w:lineRule="auto"/>
      <w:jc w:val="both"/>
    </w:pPr>
    <w:rPr>
      <w:rFonts w:ascii="Trebuchet MS" w:eastAsia="Calibri" w:hAnsi="Trebuchet MS"/>
      <w:sz w:val="20"/>
      <w:szCs w:val="20"/>
      <w:lang w:val="x-none" w:eastAsia="en-US"/>
    </w:rPr>
  </w:style>
  <w:style w:type="character" w:customStyle="1" w:styleId="PAFTexto1Char">
    <w:name w:val="PAF Texto1 Char"/>
    <w:link w:val="PAFTexto1"/>
    <w:rsid w:val="002178E9"/>
    <w:rPr>
      <w:rFonts w:ascii="Trebuchet MS" w:eastAsia="Calibri" w:hAnsi="Trebuchet MS"/>
      <w:lang w:eastAsia="en-US"/>
    </w:rPr>
  </w:style>
  <w:style w:type="paragraph" w:customStyle="1" w:styleId="Texto1">
    <w:name w:val="Texto 1"/>
    <w:basedOn w:val="Normal"/>
    <w:link w:val="Texto1Char"/>
    <w:qFormat/>
    <w:rsid w:val="00B26DBC"/>
    <w:pPr>
      <w:autoSpaceDE w:val="0"/>
      <w:autoSpaceDN w:val="0"/>
      <w:adjustRightInd w:val="0"/>
      <w:spacing w:before="120" w:after="240" w:line="360" w:lineRule="auto"/>
      <w:jc w:val="both"/>
    </w:pPr>
  </w:style>
  <w:style w:type="character" w:customStyle="1" w:styleId="Texto1Char">
    <w:name w:val="Texto 1 Char"/>
    <w:link w:val="Texto1"/>
    <w:rsid w:val="00B26DBC"/>
    <w:rPr>
      <w:sz w:val="24"/>
      <w:szCs w:val="24"/>
    </w:rPr>
  </w:style>
  <w:style w:type="character" w:customStyle="1" w:styleId="GradeMdia1-nfase2Char">
    <w:name w:val="Grade Média 1 - Ênfase 2 Char"/>
    <w:link w:val="GradeMdia1-nfase21"/>
    <w:uiPriority w:val="34"/>
    <w:rsid w:val="00AE1B75"/>
    <w:rPr>
      <w:sz w:val="24"/>
      <w:szCs w:val="24"/>
    </w:rPr>
  </w:style>
  <w:style w:type="paragraph" w:customStyle="1" w:styleId="Tabela1">
    <w:name w:val="Tabela 1"/>
    <w:basedOn w:val="Texto1"/>
    <w:link w:val="Tabela1Char"/>
    <w:qFormat/>
    <w:rsid w:val="0030344D"/>
    <w:pPr>
      <w:tabs>
        <w:tab w:val="left" w:pos="851"/>
      </w:tabs>
      <w:jc w:val="center"/>
    </w:pPr>
    <w:rPr>
      <w:b/>
    </w:rPr>
  </w:style>
  <w:style w:type="character" w:customStyle="1" w:styleId="Tabela1Char">
    <w:name w:val="Tabela 1 Char"/>
    <w:link w:val="Tabela1"/>
    <w:rsid w:val="0030344D"/>
    <w:rPr>
      <w:b/>
      <w:sz w:val="24"/>
      <w:szCs w:val="24"/>
    </w:rPr>
  </w:style>
  <w:style w:type="character" w:customStyle="1" w:styleId="TextodenotaderodapChar">
    <w:name w:val="Texto de nota de rodapé Char"/>
    <w:link w:val="Textodenotaderodap"/>
    <w:uiPriority w:val="99"/>
    <w:rsid w:val="004154B5"/>
    <w:rPr>
      <w:szCs w:val="24"/>
    </w:rPr>
  </w:style>
  <w:style w:type="paragraph" w:customStyle="1" w:styleId="CartaN">
    <w:name w:val="Carta_N"/>
    <w:basedOn w:val="Normal"/>
    <w:rsid w:val="003E3D77"/>
    <w:pPr>
      <w:widowControl w:val="0"/>
      <w:tabs>
        <w:tab w:val="left" w:pos="5387"/>
      </w:tabs>
      <w:spacing w:before="1200"/>
    </w:pPr>
    <w:rPr>
      <w:szCs w:val="20"/>
    </w:rPr>
  </w:style>
  <w:style w:type="character" w:customStyle="1" w:styleId="apple-style-span">
    <w:name w:val="apple-style-span"/>
    <w:rsid w:val="003E3D77"/>
  </w:style>
  <w:style w:type="table" w:customStyle="1" w:styleId="TabeladeGradeClara1">
    <w:name w:val="Tabela de Grade Clara1"/>
    <w:basedOn w:val="Tabelanormal"/>
    <w:uiPriority w:val="40"/>
    <w:rsid w:val="00C66FEF"/>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aColorida-nfase11">
    <w:name w:val="Lista Colorida - Ênfase 11"/>
    <w:basedOn w:val="Normal"/>
    <w:uiPriority w:val="34"/>
    <w:qFormat/>
    <w:rsid w:val="00403D34"/>
    <w:pPr>
      <w:spacing w:after="100" w:afterAutospacing="1" w:line="276" w:lineRule="auto"/>
      <w:ind w:left="720" w:firstLine="709"/>
      <w:contextualSpacing/>
    </w:pPr>
    <w:rPr>
      <w:rFonts w:ascii="Calibri" w:eastAsia="Calibri" w:hAnsi="Calibri"/>
      <w:sz w:val="22"/>
      <w:szCs w:val="22"/>
      <w:lang w:eastAsia="en-US"/>
    </w:rPr>
  </w:style>
  <w:style w:type="character" w:customStyle="1" w:styleId="apple-converted-space">
    <w:name w:val="apple-converted-space"/>
    <w:rsid w:val="00525B1B"/>
  </w:style>
  <w:style w:type="character" w:styleId="nfase">
    <w:name w:val="Emphasis"/>
    <w:uiPriority w:val="20"/>
    <w:qFormat/>
    <w:rsid w:val="00525B1B"/>
    <w:rPr>
      <w:i/>
      <w:iCs/>
    </w:rPr>
  </w:style>
  <w:style w:type="character" w:customStyle="1" w:styleId="highlight">
    <w:name w:val="highlight"/>
    <w:rsid w:val="005C0305"/>
  </w:style>
  <w:style w:type="paragraph" w:styleId="PargrafodaLista">
    <w:name w:val="List Paragraph"/>
    <w:basedOn w:val="Normal"/>
    <w:link w:val="PargrafodaListaChar"/>
    <w:uiPriority w:val="34"/>
    <w:qFormat/>
    <w:rsid w:val="0075046C"/>
    <w:pPr>
      <w:ind w:left="720"/>
      <w:contextualSpacing/>
    </w:pPr>
  </w:style>
  <w:style w:type="paragraph" w:styleId="CabealhodoSumrio">
    <w:name w:val="TOC Heading"/>
    <w:basedOn w:val="Ttulo1"/>
    <w:next w:val="Normal"/>
    <w:uiPriority w:val="39"/>
    <w:unhideWhenUsed/>
    <w:qFormat/>
    <w:rsid w:val="00E81D05"/>
    <w:pPr>
      <w:keepLines/>
      <w:numPr>
        <w:numId w:val="0"/>
      </w:numPr>
      <w:spacing w:line="259" w:lineRule="auto"/>
      <w:jc w:val="left"/>
      <w:outlineLvl w:val="9"/>
    </w:pPr>
    <w:rPr>
      <w:rFonts w:ascii="Calibri Light" w:hAnsi="Calibri Light"/>
      <w:b w:val="0"/>
      <w:bCs w:val="0"/>
      <w:color w:val="2E74B5"/>
      <w:sz w:val="32"/>
      <w:szCs w:val="32"/>
    </w:rPr>
  </w:style>
  <w:style w:type="paragraph" w:customStyle="1" w:styleId="listacolorida-nfase110">
    <w:name w:val="listacolorida-nfase11"/>
    <w:basedOn w:val="Normal"/>
    <w:rsid w:val="00D3679A"/>
    <w:pPr>
      <w:spacing w:before="100" w:beforeAutospacing="1" w:after="100" w:afterAutospacing="1"/>
    </w:pPr>
    <w:rPr>
      <w:rFonts w:eastAsia="Calibri"/>
    </w:rPr>
  </w:style>
  <w:style w:type="paragraph" w:styleId="Textodenotadefim">
    <w:name w:val="endnote text"/>
    <w:basedOn w:val="Normal"/>
    <w:link w:val="TextodenotadefimChar"/>
    <w:uiPriority w:val="99"/>
    <w:semiHidden/>
    <w:unhideWhenUsed/>
    <w:rsid w:val="00996547"/>
    <w:rPr>
      <w:sz w:val="20"/>
      <w:szCs w:val="20"/>
    </w:rPr>
  </w:style>
  <w:style w:type="character" w:customStyle="1" w:styleId="TextodenotadefimChar">
    <w:name w:val="Texto de nota de fim Char"/>
    <w:basedOn w:val="Fontepargpadro"/>
    <w:link w:val="Textodenotadefim"/>
    <w:uiPriority w:val="99"/>
    <w:semiHidden/>
    <w:rsid w:val="00996547"/>
  </w:style>
  <w:style w:type="character" w:styleId="Refdenotadefim">
    <w:name w:val="endnote reference"/>
    <w:uiPriority w:val="99"/>
    <w:semiHidden/>
    <w:unhideWhenUsed/>
    <w:rsid w:val="00996547"/>
    <w:rPr>
      <w:vertAlign w:val="superscript"/>
    </w:rPr>
  </w:style>
  <w:style w:type="character" w:customStyle="1" w:styleId="PargrafodaListaChar">
    <w:name w:val="Parágrafo da Lista Char"/>
    <w:basedOn w:val="Fontepargpadro"/>
    <w:link w:val="PargrafodaLista"/>
    <w:uiPriority w:val="34"/>
    <w:rsid w:val="00E975A2"/>
    <w:rPr>
      <w:sz w:val="24"/>
      <w:szCs w:val="24"/>
    </w:rPr>
  </w:style>
  <w:style w:type="paragraph" w:styleId="Commarcadores">
    <w:name w:val="List Bullet"/>
    <w:basedOn w:val="Normal"/>
    <w:uiPriority w:val="99"/>
    <w:unhideWhenUsed/>
    <w:rsid w:val="00541D38"/>
    <w:pPr>
      <w:numPr>
        <w:numId w:val="7"/>
      </w:numPr>
      <w:contextualSpacing/>
    </w:pPr>
  </w:style>
  <w:style w:type="paragraph" w:styleId="Legenda">
    <w:name w:val="caption"/>
    <w:basedOn w:val="Normal"/>
    <w:next w:val="Normal"/>
    <w:uiPriority w:val="35"/>
    <w:unhideWhenUsed/>
    <w:qFormat/>
    <w:rsid w:val="00D52618"/>
    <w:pPr>
      <w:spacing w:after="200"/>
    </w:pPr>
    <w:rPr>
      <w:rFonts w:ascii="Arial" w:hAnsi="Arial"/>
      <w:i/>
      <w:iCs/>
      <w:color w:val="44546A" w:themeColor="text2"/>
      <w:sz w:val="18"/>
      <w:szCs w:val="18"/>
    </w:rPr>
  </w:style>
  <w:style w:type="table" w:customStyle="1" w:styleId="TabeladeGradeClara2">
    <w:name w:val="Tabela de Grade Clara2"/>
    <w:basedOn w:val="Tabelanormal"/>
    <w:uiPriority w:val="40"/>
    <w:rsid w:val="00D953A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11">
    <w:name w:val="A11"/>
    <w:uiPriority w:val="99"/>
    <w:rsid w:val="002276B7"/>
    <w:rPr>
      <w:rFonts w:cs="Calibri"/>
      <w:color w:val="000000"/>
      <w:sz w:val="12"/>
      <w:szCs w:val="12"/>
    </w:rPr>
  </w:style>
  <w:style w:type="character" w:customStyle="1" w:styleId="fontstyle01">
    <w:name w:val="fontstyle01"/>
    <w:basedOn w:val="Fontepargpadro"/>
    <w:rsid w:val="006150C0"/>
    <w:rPr>
      <w:rFonts w:ascii="Arial-BoldMT" w:hAnsi="Arial-BoldMT" w:hint="default"/>
      <w:b/>
      <w:bCs/>
      <w:i w:val="0"/>
      <w:iCs w:val="0"/>
      <w:color w:val="000000"/>
      <w:sz w:val="26"/>
      <w:szCs w:val="26"/>
    </w:rPr>
  </w:style>
  <w:style w:type="character" w:customStyle="1" w:styleId="fontstyle21">
    <w:name w:val="fontstyle21"/>
    <w:basedOn w:val="Fontepargpadro"/>
    <w:rsid w:val="006150C0"/>
    <w:rPr>
      <w:rFonts w:ascii="ArialMT" w:hAnsi="ArialMT" w:hint="default"/>
      <w:b w:val="0"/>
      <w:bCs w:val="0"/>
      <w:i w:val="0"/>
      <w:iCs w:val="0"/>
      <w:color w:val="000000"/>
      <w:sz w:val="26"/>
      <w:szCs w:val="26"/>
    </w:rPr>
  </w:style>
  <w:style w:type="character" w:customStyle="1" w:styleId="fontstyle31">
    <w:name w:val="fontstyle31"/>
    <w:basedOn w:val="Fontepargpadro"/>
    <w:rsid w:val="006150C0"/>
    <w:rPr>
      <w:rFonts w:ascii="TimesNewRomanPS-BoldMT" w:hAnsi="TimesNewRomanPS-BoldMT" w:hint="default"/>
      <w:b/>
      <w:bCs/>
      <w:i w:val="0"/>
      <w:iCs w:val="0"/>
      <w:color w:val="000000"/>
      <w:sz w:val="26"/>
      <w:szCs w:val="26"/>
    </w:rPr>
  </w:style>
  <w:style w:type="character" w:customStyle="1" w:styleId="fontstyle41">
    <w:name w:val="fontstyle41"/>
    <w:basedOn w:val="Fontepargpadro"/>
    <w:rsid w:val="006150C0"/>
    <w:rPr>
      <w:rFonts w:ascii="TimesNewRomanPSMT" w:hAnsi="TimesNewRomanPSMT" w:hint="default"/>
      <w:b w:val="0"/>
      <w:bCs w:val="0"/>
      <w:i w:val="0"/>
      <w:iCs w:val="0"/>
      <w:color w:val="000000"/>
      <w:sz w:val="26"/>
      <w:szCs w:val="26"/>
    </w:rPr>
  </w:style>
  <w:style w:type="paragraph" w:customStyle="1" w:styleId="textofundocinzamaiusculasnegrito">
    <w:name w:val="texto_fundo_cinza_maiusculas_negrito"/>
    <w:basedOn w:val="Normal"/>
    <w:rsid w:val="00652B9C"/>
    <w:pPr>
      <w:spacing w:before="100" w:beforeAutospacing="1" w:after="100" w:afterAutospacing="1"/>
    </w:pPr>
  </w:style>
  <w:style w:type="paragraph" w:customStyle="1" w:styleId="itemnivel1">
    <w:name w:val="item_nivel1"/>
    <w:basedOn w:val="Normal"/>
    <w:rsid w:val="00652B9C"/>
    <w:pPr>
      <w:spacing w:before="100" w:beforeAutospacing="1" w:after="100" w:afterAutospacing="1"/>
    </w:pPr>
  </w:style>
  <w:style w:type="paragraph" w:customStyle="1" w:styleId="itemnivel2">
    <w:name w:val="item_nivel2"/>
    <w:basedOn w:val="Normal"/>
    <w:rsid w:val="00652B9C"/>
    <w:pPr>
      <w:spacing w:before="100" w:beforeAutospacing="1" w:after="100" w:afterAutospacing="1"/>
    </w:pPr>
  </w:style>
  <w:style w:type="paragraph" w:customStyle="1" w:styleId="textojustificado">
    <w:name w:val="texto_justificado"/>
    <w:basedOn w:val="Normal"/>
    <w:rsid w:val="00652B9C"/>
    <w:pPr>
      <w:spacing w:before="100" w:beforeAutospacing="1" w:after="100" w:afterAutospacing="1"/>
    </w:pPr>
  </w:style>
  <w:style w:type="paragraph" w:customStyle="1" w:styleId="itemnivel3">
    <w:name w:val="item_nivel3"/>
    <w:basedOn w:val="Normal"/>
    <w:rsid w:val="00652B9C"/>
    <w:pPr>
      <w:spacing w:before="100" w:beforeAutospacing="1" w:after="100" w:afterAutospacing="1"/>
    </w:pPr>
  </w:style>
  <w:style w:type="paragraph" w:customStyle="1" w:styleId="tabelatitulo10">
    <w:name w:val="tabela_titulo_10"/>
    <w:basedOn w:val="Normal"/>
    <w:rsid w:val="00652B9C"/>
    <w:pPr>
      <w:spacing w:before="100" w:beforeAutospacing="1" w:after="100" w:afterAutospacing="1"/>
    </w:pPr>
  </w:style>
  <w:style w:type="paragraph" w:customStyle="1" w:styleId="tabelatextocentralizado">
    <w:name w:val="tabela_texto_centralizado"/>
    <w:basedOn w:val="Normal"/>
    <w:rsid w:val="00652B9C"/>
    <w:pPr>
      <w:spacing w:before="100" w:beforeAutospacing="1" w:after="100" w:afterAutospacing="1"/>
    </w:pPr>
  </w:style>
  <w:style w:type="paragraph" w:customStyle="1" w:styleId="notarodapealinhadoesquerda">
    <w:name w:val="nota_rodape_alinhado_esquerda"/>
    <w:basedOn w:val="Normal"/>
    <w:rsid w:val="00652B9C"/>
    <w:pPr>
      <w:spacing w:before="100" w:beforeAutospacing="1" w:after="100" w:afterAutospacing="1"/>
    </w:pPr>
  </w:style>
  <w:style w:type="paragraph" w:customStyle="1" w:styleId="textocentralizado12">
    <w:name w:val="texto_centralizado_12"/>
    <w:basedOn w:val="Normal"/>
    <w:rsid w:val="00652B9C"/>
    <w:pPr>
      <w:spacing w:before="100" w:beforeAutospacing="1" w:after="100" w:afterAutospacing="1"/>
    </w:pPr>
  </w:style>
  <w:style w:type="paragraph" w:customStyle="1" w:styleId="itemnivel4">
    <w:name w:val="item_nivel4"/>
    <w:basedOn w:val="Normal"/>
    <w:rsid w:val="00652B9C"/>
    <w:pPr>
      <w:spacing w:before="100" w:beforeAutospacing="1" w:after="100" w:afterAutospacing="1"/>
    </w:pPr>
  </w:style>
  <w:style w:type="paragraph" w:customStyle="1" w:styleId="textocentralizado10">
    <w:name w:val="texto_centralizado_10"/>
    <w:basedOn w:val="Normal"/>
    <w:rsid w:val="00652B9C"/>
    <w:pPr>
      <w:spacing w:before="100" w:beforeAutospacing="1" w:after="100" w:afterAutospacing="1"/>
    </w:pPr>
  </w:style>
  <w:style w:type="paragraph" w:customStyle="1" w:styleId="tabelatextoalinhadoesquerda">
    <w:name w:val="tabela_texto_alinhado_esquerda"/>
    <w:basedOn w:val="Normal"/>
    <w:rsid w:val="00652B9C"/>
    <w:pPr>
      <w:spacing w:before="100" w:beforeAutospacing="1" w:after="100" w:afterAutospacing="1"/>
    </w:pPr>
  </w:style>
  <w:style w:type="paragraph" w:customStyle="1" w:styleId="textoalinhadoesquerdaespacamentosimples">
    <w:name w:val="texto_alinhado_esquerda_espacamento_simples"/>
    <w:basedOn w:val="Normal"/>
    <w:rsid w:val="00652B9C"/>
    <w:pPr>
      <w:spacing w:before="100" w:beforeAutospacing="1" w:after="100" w:afterAutospacing="1"/>
    </w:pPr>
  </w:style>
  <w:style w:type="paragraph" w:customStyle="1" w:styleId="tabelatextojustificado">
    <w:name w:val="tabela_texto_justificado"/>
    <w:basedOn w:val="Normal"/>
    <w:rsid w:val="00652B9C"/>
    <w:pPr>
      <w:spacing w:before="100" w:beforeAutospacing="1" w:after="100" w:afterAutospacing="1"/>
    </w:pPr>
  </w:style>
  <w:style w:type="paragraph" w:customStyle="1" w:styleId="textojustificadorecuoprimeiralinha">
    <w:name w:val="texto_justificado_recuo_primeira_linha"/>
    <w:basedOn w:val="Normal"/>
    <w:rsid w:val="00652B9C"/>
    <w:pPr>
      <w:spacing w:before="100" w:beforeAutospacing="1" w:after="100" w:afterAutospacing="1"/>
    </w:pPr>
  </w:style>
  <w:style w:type="paragraph" w:customStyle="1" w:styleId="cabecalhoalinhadoesquerda">
    <w:name w:val="cabecalho_alinhado_esquerda"/>
    <w:basedOn w:val="Normal"/>
    <w:rsid w:val="00652B9C"/>
    <w:pPr>
      <w:spacing w:before="100" w:beforeAutospacing="1" w:after="100" w:afterAutospacing="1"/>
    </w:pPr>
  </w:style>
  <w:style w:type="paragraph" w:styleId="Reviso">
    <w:name w:val="Revision"/>
    <w:hidden/>
    <w:uiPriority w:val="99"/>
    <w:semiHidden/>
    <w:rsid w:val="00470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494">
      <w:bodyDiv w:val="1"/>
      <w:marLeft w:val="0"/>
      <w:marRight w:val="0"/>
      <w:marTop w:val="0"/>
      <w:marBottom w:val="0"/>
      <w:divBdr>
        <w:top w:val="none" w:sz="0" w:space="0" w:color="auto"/>
        <w:left w:val="none" w:sz="0" w:space="0" w:color="auto"/>
        <w:bottom w:val="none" w:sz="0" w:space="0" w:color="auto"/>
        <w:right w:val="none" w:sz="0" w:space="0" w:color="auto"/>
      </w:divBdr>
    </w:div>
    <w:div w:id="35667710">
      <w:bodyDiv w:val="1"/>
      <w:marLeft w:val="0"/>
      <w:marRight w:val="0"/>
      <w:marTop w:val="0"/>
      <w:marBottom w:val="0"/>
      <w:divBdr>
        <w:top w:val="none" w:sz="0" w:space="0" w:color="auto"/>
        <w:left w:val="none" w:sz="0" w:space="0" w:color="auto"/>
        <w:bottom w:val="none" w:sz="0" w:space="0" w:color="auto"/>
        <w:right w:val="none" w:sz="0" w:space="0" w:color="auto"/>
      </w:divBdr>
    </w:div>
    <w:div w:id="131296071">
      <w:bodyDiv w:val="1"/>
      <w:marLeft w:val="0"/>
      <w:marRight w:val="0"/>
      <w:marTop w:val="0"/>
      <w:marBottom w:val="0"/>
      <w:divBdr>
        <w:top w:val="none" w:sz="0" w:space="0" w:color="auto"/>
        <w:left w:val="none" w:sz="0" w:space="0" w:color="auto"/>
        <w:bottom w:val="none" w:sz="0" w:space="0" w:color="auto"/>
        <w:right w:val="none" w:sz="0" w:space="0" w:color="auto"/>
      </w:divBdr>
    </w:div>
    <w:div w:id="194930499">
      <w:bodyDiv w:val="1"/>
      <w:marLeft w:val="0"/>
      <w:marRight w:val="0"/>
      <w:marTop w:val="0"/>
      <w:marBottom w:val="0"/>
      <w:divBdr>
        <w:top w:val="none" w:sz="0" w:space="0" w:color="auto"/>
        <w:left w:val="none" w:sz="0" w:space="0" w:color="auto"/>
        <w:bottom w:val="none" w:sz="0" w:space="0" w:color="auto"/>
        <w:right w:val="none" w:sz="0" w:space="0" w:color="auto"/>
      </w:divBdr>
    </w:div>
    <w:div w:id="242615034">
      <w:bodyDiv w:val="1"/>
      <w:marLeft w:val="0"/>
      <w:marRight w:val="0"/>
      <w:marTop w:val="0"/>
      <w:marBottom w:val="0"/>
      <w:divBdr>
        <w:top w:val="none" w:sz="0" w:space="0" w:color="auto"/>
        <w:left w:val="none" w:sz="0" w:space="0" w:color="auto"/>
        <w:bottom w:val="none" w:sz="0" w:space="0" w:color="auto"/>
        <w:right w:val="none" w:sz="0" w:space="0" w:color="auto"/>
      </w:divBdr>
    </w:div>
    <w:div w:id="305934299">
      <w:bodyDiv w:val="1"/>
      <w:marLeft w:val="0"/>
      <w:marRight w:val="0"/>
      <w:marTop w:val="0"/>
      <w:marBottom w:val="0"/>
      <w:divBdr>
        <w:top w:val="none" w:sz="0" w:space="0" w:color="auto"/>
        <w:left w:val="none" w:sz="0" w:space="0" w:color="auto"/>
        <w:bottom w:val="none" w:sz="0" w:space="0" w:color="auto"/>
        <w:right w:val="none" w:sz="0" w:space="0" w:color="auto"/>
      </w:divBdr>
    </w:div>
    <w:div w:id="393234850">
      <w:bodyDiv w:val="1"/>
      <w:marLeft w:val="0"/>
      <w:marRight w:val="0"/>
      <w:marTop w:val="0"/>
      <w:marBottom w:val="0"/>
      <w:divBdr>
        <w:top w:val="none" w:sz="0" w:space="0" w:color="auto"/>
        <w:left w:val="none" w:sz="0" w:space="0" w:color="auto"/>
        <w:bottom w:val="none" w:sz="0" w:space="0" w:color="auto"/>
        <w:right w:val="none" w:sz="0" w:space="0" w:color="auto"/>
      </w:divBdr>
    </w:div>
    <w:div w:id="447551329">
      <w:bodyDiv w:val="1"/>
      <w:marLeft w:val="0"/>
      <w:marRight w:val="0"/>
      <w:marTop w:val="0"/>
      <w:marBottom w:val="0"/>
      <w:divBdr>
        <w:top w:val="none" w:sz="0" w:space="0" w:color="auto"/>
        <w:left w:val="none" w:sz="0" w:space="0" w:color="auto"/>
        <w:bottom w:val="none" w:sz="0" w:space="0" w:color="auto"/>
        <w:right w:val="none" w:sz="0" w:space="0" w:color="auto"/>
      </w:divBdr>
    </w:div>
    <w:div w:id="473372923">
      <w:bodyDiv w:val="1"/>
      <w:marLeft w:val="0"/>
      <w:marRight w:val="0"/>
      <w:marTop w:val="0"/>
      <w:marBottom w:val="0"/>
      <w:divBdr>
        <w:top w:val="none" w:sz="0" w:space="0" w:color="auto"/>
        <w:left w:val="none" w:sz="0" w:space="0" w:color="auto"/>
        <w:bottom w:val="none" w:sz="0" w:space="0" w:color="auto"/>
        <w:right w:val="none" w:sz="0" w:space="0" w:color="auto"/>
      </w:divBdr>
    </w:div>
    <w:div w:id="490557766">
      <w:bodyDiv w:val="1"/>
      <w:marLeft w:val="0"/>
      <w:marRight w:val="0"/>
      <w:marTop w:val="0"/>
      <w:marBottom w:val="0"/>
      <w:divBdr>
        <w:top w:val="none" w:sz="0" w:space="0" w:color="auto"/>
        <w:left w:val="none" w:sz="0" w:space="0" w:color="auto"/>
        <w:bottom w:val="none" w:sz="0" w:space="0" w:color="auto"/>
        <w:right w:val="none" w:sz="0" w:space="0" w:color="auto"/>
      </w:divBdr>
      <w:divsChild>
        <w:div w:id="2029330251">
          <w:marLeft w:val="0"/>
          <w:marRight w:val="0"/>
          <w:marTop w:val="0"/>
          <w:marBottom w:val="0"/>
          <w:divBdr>
            <w:top w:val="none" w:sz="0" w:space="0" w:color="auto"/>
            <w:left w:val="none" w:sz="0" w:space="0" w:color="auto"/>
            <w:bottom w:val="none" w:sz="0" w:space="0" w:color="auto"/>
            <w:right w:val="none" w:sz="0" w:space="0" w:color="auto"/>
          </w:divBdr>
        </w:div>
        <w:div w:id="97872429">
          <w:marLeft w:val="0"/>
          <w:marRight w:val="0"/>
          <w:marTop w:val="0"/>
          <w:marBottom w:val="0"/>
          <w:divBdr>
            <w:top w:val="none" w:sz="0" w:space="0" w:color="auto"/>
            <w:left w:val="none" w:sz="0" w:space="0" w:color="auto"/>
            <w:bottom w:val="none" w:sz="0" w:space="0" w:color="auto"/>
            <w:right w:val="none" w:sz="0" w:space="0" w:color="auto"/>
          </w:divBdr>
        </w:div>
        <w:div w:id="1606571650">
          <w:marLeft w:val="0"/>
          <w:marRight w:val="0"/>
          <w:marTop w:val="0"/>
          <w:marBottom w:val="0"/>
          <w:divBdr>
            <w:top w:val="none" w:sz="0" w:space="0" w:color="auto"/>
            <w:left w:val="none" w:sz="0" w:space="0" w:color="auto"/>
            <w:bottom w:val="none" w:sz="0" w:space="0" w:color="auto"/>
            <w:right w:val="none" w:sz="0" w:space="0" w:color="auto"/>
          </w:divBdr>
        </w:div>
        <w:div w:id="1699161194">
          <w:marLeft w:val="0"/>
          <w:marRight w:val="0"/>
          <w:marTop w:val="0"/>
          <w:marBottom w:val="0"/>
          <w:divBdr>
            <w:top w:val="none" w:sz="0" w:space="0" w:color="auto"/>
            <w:left w:val="none" w:sz="0" w:space="0" w:color="auto"/>
            <w:bottom w:val="none" w:sz="0" w:space="0" w:color="auto"/>
            <w:right w:val="none" w:sz="0" w:space="0" w:color="auto"/>
          </w:divBdr>
        </w:div>
        <w:div w:id="433598929">
          <w:marLeft w:val="0"/>
          <w:marRight w:val="0"/>
          <w:marTop w:val="0"/>
          <w:marBottom w:val="0"/>
          <w:divBdr>
            <w:top w:val="none" w:sz="0" w:space="0" w:color="auto"/>
            <w:left w:val="none" w:sz="0" w:space="0" w:color="auto"/>
            <w:bottom w:val="none" w:sz="0" w:space="0" w:color="auto"/>
            <w:right w:val="none" w:sz="0" w:space="0" w:color="auto"/>
          </w:divBdr>
        </w:div>
        <w:div w:id="611547326">
          <w:marLeft w:val="0"/>
          <w:marRight w:val="0"/>
          <w:marTop w:val="0"/>
          <w:marBottom w:val="0"/>
          <w:divBdr>
            <w:top w:val="none" w:sz="0" w:space="0" w:color="auto"/>
            <w:left w:val="none" w:sz="0" w:space="0" w:color="auto"/>
            <w:bottom w:val="none" w:sz="0" w:space="0" w:color="auto"/>
            <w:right w:val="none" w:sz="0" w:space="0" w:color="auto"/>
          </w:divBdr>
        </w:div>
        <w:div w:id="705368028">
          <w:marLeft w:val="0"/>
          <w:marRight w:val="0"/>
          <w:marTop w:val="0"/>
          <w:marBottom w:val="0"/>
          <w:divBdr>
            <w:top w:val="none" w:sz="0" w:space="0" w:color="auto"/>
            <w:left w:val="none" w:sz="0" w:space="0" w:color="auto"/>
            <w:bottom w:val="none" w:sz="0" w:space="0" w:color="auto"/>
            <w:right w:val="none" w:sz="0" w:space="0" w:color="auto"/>
          </w:divBdr>
        </w:div>
        <w:div w:id="1799883064">
          <w:marLeft w:val="0"/>
          <w:marRight w:val="0"/>
          <w:marTop w:val="0"/>
          <w:marBottom w:val="0"/>
          <w:divBdr>
            <w:top w:val="none" w:sz="0" w:space="0" w:color="auto"/>
            <w:left w:val="none" w:sz="0" w:space="0" w:color="auto"/>
            <w:bottom w:val="none" w:sz="0" w:space="0" w:color="auto"/>
            <w:right w:val="none" w:sz="0" w:space="0" w:color="auto"/>
          </w:divBdr>
        </w:div>
        <w:div w:id="574052626">
          <w:marLeft w:val="0"/>
          <w:marRight w:val="0"/>
          <w:marTop w:val="0"/>
          <w:marBottom w:val="0"/>
          <w:divBdr>
            <w:top w:val="none" w:sz="0" w:space="0" w:color="auto"/>
            <w:left w:val="none" w:sz="0" w:space="0" w:color="auto"/>
            <w:bottom w:val="none" w:sz="0" w:space="0" w:color="auto"/>
            <w:right w:val="none" w:sz="0" w:space="0" w:color="auto"/>
          </w:divBdr>
        </w:div>
      </w:divsChild>
    </w:div>
    <w:div w:id="524752393">
      <w:bodyDiv w:val="1"/>
      <w:marLeft w:val="0"/>
      <w:marRight w:val="0"/>
      <w:marTop w:val="0"/>
      <w:marBottom w:val="0"/>
      <w:divBdr>
        <w:top w:val="none" w:sz="0" w:space="0" w:color="auto"/>
        <w:left w:val="none" w:sz="0" w:space="0" w:color="auto"/>
        <w:bottom w:val="none" w:sz="0" w:space="0" w:color="auto"/>
        <w:right w:val="none" w:sz="0" w:space="0" w:color="auto"/>
      </w:divBdr>
    </w:div>
    <w:div w:id="646206205">
      <w:bodyDiv w:val="1"/>
      <w:marLeft w:val="0"/>
      <w:marRight w:val="0"/>
      <w:marTop w:val="0"/>
      <w:marBottom w:val="0"/>
      <w:divBdr>
        <w:top w:val="none" w:sz="0" w:space="0" w:color="auto"/>
        <w:left w:val="none" w:sz="0" w:space="0" w:color="auto"/>
        <w:bottom w:val="none" w:sz="0" w:space="0" w:color="auto"/>
        <w:right w:val="none" w:sz="0" w:space="0" w:color="auto"/>
      </w:divBdr>
      <w:divsChild>
        <w:div w:id="7100162">
          <w:marLeft w:val="0"/>
          <w:marRight w:val="0"/>
          <w:marTop w:val="0"/>
          <w:marBottom w:val="0"/>
          <w:divBdr>
            <w:top w:val="none" w:sz="0" w:space="0" w:color="auto"/>
            <w:left w:val="none" w:sz="0" w:space="0" w:color="auto"/>
            <w:bottom w:val="none" w:sz="0" w:space="0" w:color="auto"/>
            <w:right w:val="none" w:sz="0" w:space="0" w:color="auto"/>
          </w:divBdr>
        </w:div>
        <w:div w:id="11536805">
          <w:marLeft w:val="0"/>
          <w:marRight w:val="0"/>
          <w:marTop w:val="0"/>
          <w:marBottom w:val="0"/>
          <w:divBdr>
            <w:top w:val="none" w:sz="0" w:space="0" w:color="auto"/>
            <w:left w:val="none" w:sz="0" w:space="0" w:color="auto"/>
            <w:bottom w:val="none" w:sz="0" w:space="0" w:color="auto"/>
            <w:right w:val="none" w:sz="0" w:space="0" w:color="auto"/>
          </w:divBdr>
        </w:div>
        <w:div w:id="66802200">
          <w:marLeft w:val="0"/>
          <w:marRight w:val="0"/>
          <w:marTop w:val="0"/>
          <w:marBottom w:val="0"/>
          <w:divBdr>
            <w:top w:val="none" w:sz="0" w:space="0" w:color="auto"/>
            <w:left w:val="none" w:sz="0" w:space="0" w:color="auto"/>
            <w:bottom w:val="none" w:sz="0" w:space="0" w:color="auto"/>
            <w:right w:val="none" w:sz="0" w:space="0" w:color="auto"/>
          </w:divBdr>
        </w:div>
        <w:div w:id="100615094">
          <w:marLeft w:val="0"/>
          <w:marRight w:val="0"/>
          <w:marTop w:val="0"/>
          <w:marBottom w:val="0"/>
          <w:divBdr>
            <w:top w:val="none" w:sz="0" w:space="0" w:color="auto"/>
            <w:left w:val="none" w:sz="0" w:space="0" w:color="auto"/>
            <w:bottom w:val="none" w:sz="0" w:space="0" w:color="auto"/>
            <w:right w:val="none" w:sz="0" w:space="0" w:color="auto"/>
          </w:divBdr>
        </w:div>
        <w:div w:id="105542360">
          <w:marLeft w:val="0"/>
          <w:marRight w:val="0"/>
          <w:marTop w:val="0"/>
          <w:marBottom w:val="0"/>
          <w:divBdr>
            <w:top w:val="none" w:sz="0" w:space="0" w:color="auto"/>
            <w:left w:val="none" w:sz="0" w:space="0" w:color="auto"/>
            <w:bottom w:val="none" w:sz="0" w:space="0" w:color="auto"/>
            <w:right w:val="none" w:sz="0" w:space="0" w:color="auto"/>
          </w:divBdr>
        </w:div>
        <w:div w:id="226959587">
          <w:marLeft w:val="0"/>
          <w:marRight w:val="0"/>
          <w:marTop w:val="0"/>
          <w:marBottom w:val="0"/>
          <w:divBdr>
            <w:top w:val="none" w:sz="0" w:space="0" w:color="auto"/>
            <w:left w:val="none" w:sz="0" w:space="0" w:color="auto"/>
            <w:bottom w:val="none" w:sz="0" w:space="0" w:color="auto"/>
            <w:right w:val="none" w:sz="0" w:space="0" w:color="auto"/>
          </w:divBdr>
        </w:div>
        <w:div w:id="237331260">
          <w:marLeft w:val="0"/>
          <w:marRight w:val="0"/>
          <w:marTop w:val="0"/>
          <w:marBottom w:val="0"/>
          <w:divBdr>
            <w:top w:val="none" w:sz="0" w:space="0" w:color="auto"/>
            <w:left w:val="none" w:sz="0" w:space="0" w:color="auto"/>
            <w:bottom w:val="none" w:sz="0" w:space="0" w:color="auto"/>
            <w:right w:val="none" w:sz="0" w:space="0" w:color="auto"/>
          </w:divBdr>
        </w:div>
        <w:div w:id="237862873">
          <w:marLeft w:val="0"/>
          <w:marRight w:val="0"/>
          <w:marTop w:val="0"/>
          <w:marBottom w:val="0"/>
          <w:divBdr>
            <w:top w:val="none" w:sz="0" w:space="0" w:color="auto"/>
            <w:left w:val="none" w:sz="0" w:space="0" w:color="auto"/>
            <w:bottom w:val="none" w:sz="0" w:space="0" w:color="auto"/>
            <w:right w:val="none" w:sz="0" w:space="0" w:color="auto"/>
          </w:divBdr>
        </w:div>
        <w:div w:id="259145439">
          <w:marLeft w:val="0"/>
          <w:marRight w:val="0"/>
          <w:marTop w:val="0"/>
          <w:marBottom w:val="0"/>
          <w:divBdr>
            <w:top w:val="none" w:sz="0" w:space="0" w:color="auto"/>
            <w:left w:val="none" w:sz="0" w:space="0" w:color="auto"/>
            <w:bottom w:val="none" w:sz="0" w:space="0" w:color="auto"/>
            <w:right w:val="none" w:sz="0" w:space="0" w:color="auto"/>
          </w:divBdr>
        </w:div>
        <w:div w:id="266542791">
          <w:marLeft w:val="0"/>
          <w:marRight w:val="0"/>
          <w:marTop w:val="0"/>
          <w:marBottom w:val="0"/>
          <w:divBdr>
            <w:top w:val="none" w:sz="0" w:space="0" w:color="auto"/>
            <w:left w:val="none" w:sz="0" w:space="0" w:color="auto"/>
            <w:bottom w:val="none" w:sz="0" w:space="0" w:color="auto"/>
            <w:right w:val="none" w:sz="0" w:space="0" w:color="auto"/>
          </w:divBdr>
        </w:div>
        <w:div w:id="274142119">
          <w:marLeft w:val="0"/>
          <w:marRight w:val="0"/>
          <w:marTop w:val="0"/>
          <w:marBottom w:val="0"/>
          <w:divBdr>
            <w:top w:val="none" w:sz="0" w:space="0" w:color="auto"/>
            <w:left w:val="none" w:sz="0" w:space="0" w:color="auto"/>
            <w:bottom w:val="none" w:sz="0" w:space="0" w:color="auto"/>
            <w:right w:val="none" w:sz="0" w:space="0" w:color="auto"/>
          </w:divBdr>
        </w:div>
        <w:div w:id="300044560">
          <w:marLeft w:val="0"/>
          <w:marRight w:val="0"/>
          <w:marTop w:val="0"/>
          <w:marBottom w:val="0"/>
          <w:divBdr>
            <w:top w:val="none" w:sz="0" w:space="0" w:color="auto"/>
            <w:left w:val="none" w:sz="0" w:space="0" w:color="auto"/>
            <w:bottom w:val="none" w:sz="0" w:space="0" w:color="auto"/>
            <w:right w:val="none" w:sz="0" w:space="0" w:color="auto"/>
          </w:divBdr>
        </w:div>
        <w:div w:id="310525775">
          <w:marLeft w:val="0"/>
          <w:marRight w:val="0"/>
          <w:marTop w:val="0"/>
          <w:marBottom w:val="0"/>
          <w:divBdr>
            <w:top w:val="none" w:sz="0" w:space="0" w:color="auto"/>
            <w:left w:val="none" w:sz="0" w:space="0" w:color="auto"/>
            <w:bottom w:val="none" w:sz="0" w:space="0" w:color="auto"/>
            <w:right w:val="none" w:sz="0" w:space="0" w:color="auto"/>
          </w:divBdr>
        </w:div>
        <w:div w:id="322663424">
          <w:marLeft w:val="0"/>
          <w:marRight w:val="0"/>
          <w:marTop w:val="0"/>
          <w:marBottom w:val="0"/>
          <w:divBdr>
            <w:top w:val="none" w:sz="0" w:space="0" w:color="auto"/>
            <w:left w:val="none" w:sz="0" w:space="0" w:color="auto"/>
            <w:bottom w:val="none" w:sz="0" w:space="0" w:color="auto"/>
            <w:right w:val="none" w:sz="0" w:space="0" w:color="auto"/>
          </w:divBdr>
        </w:div>
        <w:div w:id="398359216">
          <w:marLeft w:val="0"/>
          <w:marRight w:val="0"/>
          <w:marTop w:val="0"/>
          <w:marBottom w:val="0"/>
          <w:divBdr>
            <w:top w:val="none" w:sz="0" w:space="0" w:color="auto"/>
            <w:left w:val="none" w:sz="0" w:space="0" w:color="auto"/>
            <w:bottom w:val="none" w:sz="0" w:space="0" w:color="auto"/>
            <w:right w:val="none" w:sz="0" w:space="0" w:color="auto"/>
          </w:divBdr>
        </w:div>
        <w:div w:id="400250099">
          <w:marLeft w:val="0"/>
          <w:marRight w:val="0"/>
          <w:marTop w:val="0"/>
          <w:marBottom w:val="0"/>
          <w:divBdr>
            <w:top w:val="none" w:sz="0" w:space="0" w:color="auto"/>
            <w:left w:val="none" w:sz="0" w:space="0" w:color="auto"/>
            <w:bottom w:val="none" w:sz="0" w:space="0" w:color="auto"/>
            <w:right w:val="none" w:sz="0" w:space="0" w:color="auto"/>
          </w:divBdr>
        </w:div>
        <w:div w:id="440104021">
          <w:marLeft w:val="0"/>
          <w:marRight w:val="0"/>
          <w:marTop w:val="0"/>
          <w:marBottom w:val="0"/>
          <w:divBdr>
            <w:top w:val="none" w:sz="0" w:space="0" w:color="auto"/>
            <w:left w:val="none" w:sz="0" w:space="0" w:color="auto"/>
            <w:bottom w:val="none" w:sz="0" w:space="0" w:color="auto"/>
            <w:right w:val="none" w:sz="0" w:space="0" w:color="auto"/>
          </w:divBdr>
        </w:div>
        <w:div w:id="453671342">
          <w:marLeft w:val="0"/>
          <w:marRight w:val="0"/>
          <w:marTop w:val="0"/>
          <w:marBottom w:val="0"/>
          <w:divBdr>
            <w:top w:val="none" w:sz="0" w:space="0" w:color="auto"/>
            <w:left w:val="none" w:sz="0" w:space="0" w:color="auto"/>
            <w:bottom w:val="none" w:sz="0" w:space="0" w:color="auto"/>
            <w:right w:val="none" w:sz="0" w:space="0" w:color="auto"/>
          </w:divBdr>
        </w:div>
        <w:div w:id="475996946">
          <w:marLeft w:val="0"/>
          <w:marRight w:val="0"/>
          <w:marTop w:val="0"/>
          <w:marBottom w:val="0"/>
          <w:divBdr>
            <w:top w:val="none" w:sz="0" w:space="0" w:color="auto"/>
            <w:left w:val="none" w:sz="0" w:space="0" w:color="auto"/>
            <w:bottom w:val="none" w:sz="0" w:space="0" w:color="auto"/>
            <w:right w:val="none" w:sz="0" w:space="0" w:color="auto"/>
          </w:divBdr>
        </w:div>
        <w:div w:id="545681160">
          <w:marLeft w:val="0"/>
          <w:marRight w:val="0"/>
          <w:marTop w:val="0"/>
          <w:marBottom w:val="0"/>
          <w:divBdr>
            <w:top w:val="none" w:sz="0" w:space="0" w:color="auto"/>
            <w:left w:val="none" w:sz="0" w:space="0" w:color="auto"/>
            <w:bottom w:val="none" w:sz="0" w:space="0" w:color="auto"/>
            <w:right w:val="none" w:sz="0" w:space="0" w:color="auto"/>
          </w:divBdr>
        </w:div>
        <w:div w:id="638194191">
          <w:marLeft w:val="0"/>
          <w:marRight w:val="0"/>
          <w:marTop w:val="0"/>
          <w:marBottom w:val="0"/>
          <w:divBdr>
            <w:top w:val="none" w:sz="0" w:space="0" w:color="auto"/>
            <w:left w:val="none" w:sz="0" w:space="0" w:color="auto"/>
            <w:bottom w:val="none" w:sz="0" w:space="0" w:color="auto"/>
            <w:right w:val="none" w:sz="0" w:space="0" w:color="auto"/>
          </w:divBdr>
        </w:div>
        <w:div w:id="683626160">
          <w:marLeft w:val="0"/>
          <w:marRight w:val="0"/>
          <w:marTop w:val="0"/>
          <w:marBottom w:val="0"/>
          <w:divBdr>
            <w:top w:val="none" w:sz="0" w:space="0" w:color="auto"/>
            <w:left w:val="none" w:sz="0" w:space="0" w:color="auto"/>
            <w:bottom w:val="none" w:sz="0" w:space="0" w:color="auto"/>
            <w:right w:val="none" w:sz="0" w:space="0" w:color="auto"/>
          </w:divBdr>
        </w:div>
        <w:div w:id="739866688">
          <w:marLeft w:val="0"/>
          <w:marRight w:val="0"/>
          <w:marTop w:val="0"/>
          <w:marBottom w:val="0"/>
          <w:divBdr>
            <w:top w:val="none" w:sz="0" w:space="0" w:color="auto"/>
            <w:left w:val="none" w:sz="0" w:space="0" w:color="auto"/>
            <w:bottom w:val="none" w:sz="0" w:space="0" w:color="auto"/>
            <w:right w:val="none" w:sz="0" w:space="0" w:color="auto"/>
          </w:divBdr>
        </w:div>
        <w:div w:id="776951216">
          <w:marLeft w:val="0"/>
          <w:marRight w:val="0"/>
          <w:marTop w:val="0"/>
          <w:marBottom w:val="0"/>
          <w:divBdr>
            <w:top w:val="none" w:sz="0" w:space="0" w:color="auto"/>
            <w:left w:val="none" w:sz="0" w:space="0" w:color="auto"/>
            <w:bottom w:val="none" w:sz="0" w:space="0" w:color="auto"/>
            <w:right w:val="none" w:sz="0" w:space="0" w:color="auto"/>
          </w:divBdr>
        </w:div>
        <w:div w:id="798569533">
          <w:marLeft w:val="0"/>
          <w:marRight w:val="0"/>
          <w:marTop w:val="0"/>
          <w:marBottom w:val="0"/>
          <w:divBdr>
            <w:top w:val="none" w:sz="0" w:space="0" w:color="auto"/>
            <w:left w:val="none" w:sz="0" w:space="0" w:color="auto"/>
            <w:bottom w:val="none" w:sz="0" w:space="0" w:color="auto"/>
            <w:right w:val="none" w:sz="0" w:space="0" w:color="auto"/>
          </w:divBdr>
        </w:div>
        <w:div w:id="830021839">
          <w:marLeft w:val="0"/>
          <w:marRight w:val="0"/>
          <w:marTop w:val="0"/>
          <w:marBottom w:val="0"/>
          <w:divBdr>
            <w:top w:val="none" w:sz="0" w:space="0" w:color="auto"/>
            <w:left w:val="none" w:sz="0" w:space="0" w:color="auto"/>
            <w:bottom w:val="none" w:sz="0" w:space="0" w:color="auto"/>
            <w:right w:val="none" w:sz="0" w:space="0" w:color="auto"/>
          </w:divBdr>
        </w:div>
        <w:div w:id="834881361">
          <w:marLeft w:val="0"/>
          <w:marRight w:val="0"/>
          <w:marTop w:val="0"/>
          <w:marBottom w:val="0"/>
          <w:divBdr>
            <w:top w:val="none" w:sz="0" w:space="0" w:color="auto"/>
            <w:left w:val="none" w:sz="0" w:space="0" w:color="auto"/>
            <w:bottom w:val="none" w:sz="0" w:space="0" w:color="auto"/>
            <w:right w:val="none" w:sz="0" w:space="0" w:color="auto"/>
          </w:divBdr>
        </w:div>
        <w:div w:id="865555899">
          <w:marLeft w:val="0"/>
          <w:marRight w:val="0"/>
          <w:marTop w:val="0"/>
          <w:marBottom w:val="0"/>
          <w:divBdr>
            <w:top w:val="none" w:sz="0" w:space="0" w:color="auto"/>
            <w:left w:val="none" w:sz="0" w:space="0" w:color="auto"/>
            <w:bottom w:val="none" w:sz="0" w:space="0" w:color="auto"/>
            <w:right w:val="none" w:sz="0" w:space="0" w:color="auto"/>
          </w:divBdr>
        </w:div>
        <w:div w:id="933049983">
          <w:marLeft w:val="0"/>
          <w:marRight w:val="0"/>
          <w:marTop w:val="0"/>
          <w:marBottom w:val="0"/>
          <w:divBdr>
            <w:top w:val="none" w:sz="0" w:space="0" w:color="auto"/>
            <w:left w:val="none" w:sz="0" w:space="0" w:color="auto"/>
            <w:bottom w:val="none" w:sz="0" w:space="0" w:color="auto"/>
            <w:right w:val="none" w:sz="0" w:space="0" w:color="auto"/>
          </w:divBdr>
        </w:div>
        <w:div w:id="977147265">
          <w:marLeft w:val="0"/>
          <w:marRight w:val="0"/>
          <w:marTop w:val="0"/>
          <w:marBottom w:val="0"/>
          <w:divBdr>
            <w:top w:val="none" w:sz="0" w:space="0" w:color="auto"/>
            <w:left w:val="none" w:sz="0" w:space="0" w:color="auto"/>
            <w:bottom w:val="none" w:sz="0" w:space="0" w:color="auto"/>
            <w:right w:val="none" w:sz="0" w:space="0" w:color="auto"/>
          </w:divBdr>
        </w:div>
        <w:div w:id="1020351773">
          <w:marLeft w:val="0"/>
          <w:marRight w:val="0"/>
          <w:marTop w:val="0"/>
          <w:marBottom w:val="0"/>
          <w:divBdr>
            <w:top w:val="none" w:sz="0" w:space="0" w:color="auto"/>
            <w:left w:val="none" w:sz="0" w:space="0" w:color="auto"/>
            <w:bottom w:val="none" w:sz="0" w:space="0" w:color="auto"/>
            <w:right w:val="none" w:sz="0" w:space="0" w:color="auto"/>
          </w:divBdr>
        </w:div>
        <w:div w:id="1042048921">
          <w:marLeft w:val="0"/>
          <w:marRight w:val="0"/>
          <w:marTop w:val="0"/>
          <w:marBottom w:val="0"/>
          <w:divBdr>
            <w:top w:val="none" w:sz="0" w:space="0" w:color="auto"/>
            <w:left w:val="none" w:sz="0" w:space="0" w:color="auto"/>
            <w:bottom w:val="none" w:sz="0" w:space="0" w:color="auto"/>
            <w:right w:val="none" w:sz="0" w:space="0" w:color="auto"/>
          </w:divBdr>
        </w:div>
        <w:div w:id="1063337819">
          <w:marLeft w:val="0"/>
          <w:marRight w:val="0"/>
          <w:marTop w:val="0"/>
          <w:marBottom w:val="0"/>
          <w:divBdr>
            <w:top w:val="none" w:sz="0" w:space="0" w:color="auto"/>
            <w:left w:val="none" w:sz="0" w:space="0" w:color="auto"/>
            <w:bottom w:val="none" w:sz="0" w:space="0" w:color="auto"/>
            <w:right w:val="none" w:sz="0" w:space="0" w:color="auto"/>
          </w:divBdr>
        </w:div>
        <w:div w:id="1185707653">
          <w:marLeft w:val="0"/>
          <w:marRight w:val="0"/>
          <w:marTop w:val="0"/>
          <w:marBottom w:val="0"/>
          <w:divBdr>
            <w:top w:val="none" w:sz="0" w:space="0" w:color="auto"/>
            <w:left w:val="none" w:sz="0" w:space="0" w:color="auto"/>
            <w:bottom w:val="none" w:sz="0" w:space="0" w:color="auto"/>
            <w:right w:val="none" w:sz="0" w:space="0" w:color="auto"/>
          </w:divBdr>
        </w:div>
        <w:div w:id="1200630830">
          <w:marLeft w:val="0"/>
          <w:marRight w:val="0"/>
          <w:marTop w:val="0"/>
          <w:marBottom w:val="0"/>
          <w:divBdr>
            <w:top w:val="none" w:sz="0" w:space="0" w:color="auto"/>
            <w:left w:val="none" w:sz="0" w:space="0" w:color="auto"/>
            <w:bottom w:val="none" w:sz="0" w:space="0" w:color="auto"/>
            <w:right w:val="none" w:sz="0" w:space="0" w:color="auto"/>
          </w:divBdr>
        </w:div>
        <w:div w:id="1223374035">
          <w:marLeft w:val="0"/>
          <w:marRight w:val="0"/>
          <w:marTop w:val="0"/>
          <w:marBottom w:val="0"/>
          <w:divBdr>
            <w:top w:val="none" w:sz="0" w:space="0" w:color="auto"/>
            <w:left w:val="none" w:sz="0" w:space="0" w:color="auto"/>
            <w:bottom w:val="none" w:sz="0" w:space="0" w:color="auto"/>
            <w:right w:val="none" w:sz="0" w:space="0" w:color="auto"/>
          </w:divBdr>
        </w:div>
        <w:div w:id="1238007075">
          <w:marLeft w:val="0"/>
          <w:marRight w:val="0"/>
          <w:marTop w:val="0"/>
          <w:marBottom w:val="0"/>
          <w:divBdr>
            <w:top w:val="none" w:sz="0" w:space="0" w:color="auto"/>
            <w:left w:val="none" w:sz="0" w:space="0" w:color="auto"/>
            <w:bottom w:val="none" w:sz="0" w:space="0" w:color="auto"/>
            <w:right w:val="none" w:sz="0" w:space="0" w:color="auto"/>
          </w:divBdr>
        </w:div>
        <w:div w:id="1320499281">
          <w:marLeft w:val="0"/>
          <w:marRight w:val="0"/>
          <w:marTop w:val="0"/>
          <w:marBottom w:val="0"/>
          <w:divBdr>
            <w:top w:val="none" w:sz="0" w:space="0" w:color="auto"/>
            <w:left w:val="none" w:sz="0" w:space="0" w:color="auto"/>
            <w:bottom w:val="none" w:sz="0" w:space="0" w:color="auto"/>
            <w:right w:val="none" w:sz="0" w:space="0" w:color="auto"/>
          </w:divBdr>
        </w:div>
        <w:div w:id="1327435557">
          <w:marLeft w:val="0"/>
          <w:marRight w:val="0"/>
          <w:marTop w:val="0"/>
          <w:marBottom w:val="0"/>
          <w:divBdr>
            <w:top w:val="none" w:sz="0" w:space="0" w:color="auto"/>
            <w:left w:val="none" w:sz="0" w:space="0" w:color="auto"/>
            <w:bottom w:val="none" w:sz="0" w:space="0" w:color="auto"/>
            <w:right w:val="none" w:sz="0" w:space="0" w:color="auto"/>
          </w:divBdr>
        </w:div>
        <w:div w:id="1344629347">
          <w:marLeft w:val="0"/>
          <w:marRight w:val="0"/>
          <w:marTop w:val="0"/>
          <w:marBottom w:val="0"/>
          <w:divBdr>
            <w:top w:val="none" w:sz="0" w:space="0" w:color="auto"/>
            <w:left w:val="none" w:sz="0" w:space="0" w:color="auto"/>
            <w:bottom w:val="none" w:sz="0" w:space="0" w:color="auto"/>
            <w:right w:val="none" w:sz="0" w:space="0" w:color="auto"/>
          </w:divBdr>
        </w:div>
        <w:div w:id="1398746049">
          <w:marLeft w:val="0"/>
          <w:marRight w:val="0"/>
          <w:marTop w:val="0"/>
          <w:marBottom w:val="0"/>
          <w:divBdr>
            <w:top w:val="none" w:sz="0" w:space="0" w:color="auto"/>
            <w:left w:val="none" w:sz="0" w:space="0" w:color="auto"/>
            <w:bottom w:val="none" w:sz="0" w:space="0" w:color="auto"/>
            <w:right w:val="none" w:sz="0" w:space="0" w:color="auto"/>
          </w:divBdr>
        </w:div>
        <w:div w:id="1499420622">
          <w:marLeft w:val="0"/>
          <w:marRight w:val="0"/>
          <w:marTop w:val="0"/>
          <w:marBottom w:val="0"/>
          <w:divBdr>
            <w:top w:val="none" w:sz="0" w:space="0" w:color="auto"/>
            <w:left w:val="none" w:sz="0" w:space="0" w:color="auto"/>
            <w:bottom w:val="none" w:sz="0" w:space="0" w:color="auto"/>
            <w:right w:val="none" w:sz="0" w:space="0" w:color="auto"/>
          </w:divBdr>
        </w:div>
        <w:div w:id="1520198522">
          <w:marLeft w:val="0"/>
          <w:marRight w:val="0"/>
          <w:marTop w:val="0"/>
          <w:marBottom w:val="0"/>
          <w:divBdr>
            <w:top w:val="none" w:sz="0" w:space="0" w:color="auto"/>
            <w:left w:val="none" w:sz="0" w:space="0" w:color="auto"/>
            <w:bottom w:val="none" w:sz="0" w:space="0" w:color="auto"/>
            <w:right w:val="none" w:sz="0" w:space="0" w:color="auto"/>
          </w:divBdr>
        </w:div>
        <w:div w:id="1533496650">
          <w:marLeft w:val="0"/>
          <w:marRight w:val="0"/>
          <w:marTop w:val="0"/>
          <w:marBottom w:val="0"/>
          <w:divBdr>
            <w:top w:val="none" w:sz="0" w:space="0" w:color="auto"/>
            <w:left w:val="none" w:sz="0" w:space="0" w:color="auto"/>
            <w:bottom w:val="none" w:sz="0" w:space="0" w:color="auto"/>
            <w:right w:val="none" w:sz="0" w:space="0" w:color="auto"/>
          </w:divBdr>
        </w:div>
        <w:div w:id="1565027553">
          <w:marLeft w:val="0"/>
          <w:marRight w:val="0"/>
          <w:marTop w:val="0"/>
          <w:marBottom w:val="0"/>
          <w:divBdr>
            <w:top w:val="none" w:sz="0" w:space="0" w:color="auto"/>
            <w:left w:val="none" w:sz="0" w:space="0" w:color="auto"/>
            <w:bottom w:val="none" w:sz="0" w:space="0" w:color="auto"/>
            <w:right w:val="none" w:sz="0" w:space="0" w:color="auto"/>
          </w:divBdr>
        </w:div>
        <w:div w:id="1610821936">
          <w:marLeft w:val="0"/>
          <w:marRight w:val="0"/>
          <w:marTop w:val="0"/>
          <w:marBottom w:val="0"/>
          <w:divBdr>
            <w:top w:val="none" w:sz="0" w:space="0" w:color="auto"/>
            <w:left w:val="none" w:sz="0" w:space="0" w:color="auto"/>
            <w:bottom w:val="none" w:sz="0" w:space="0" w:color="auto"/>
            <w:right w:val="none" w:sz="0" w:space="0" w:color="auto"/>
          </w:divBdr>
        </w:div>
        <w:div w:id="1640457677">
          <w:marLeft w:val="0"/>
          <w:marRight w:val="0"/>
          <w:marTop w:val="0"/>
          <w:marBottom w:val="0"/>
          <w:divBdr>
            <w:top w:val="none" w:sz="0" w:space="0" w:color="auto"/>
            <w:left w:val="none" w:sz="0" w:space="0" w:color="auto"/>
            <w:bottom w:val="none" w:sz="0" w:space="0" w:color="auto"/>
            <w:right w:val="none" w:sz="0" w:space="0" w:color="auto"/>
          </w:divBdr>
        </w:div>
        <w:div w:id="1640761282">
          <w:marLeft w:val="0"/>
          <w:marRight w:val="0"/>
          <w:marTop w:val="0"/>
          <w:marBottom w:val="0"/>
          <w:divBdr>
            <w:top w:val="none" w:sz="0" w:space="0" w:color="auto"/>
            <w:left w:val="none" w:sz="0" w:space="0" w:color="auto"/>
            <w:bottom w:val="none" w:sz="0" w:space="0" w:color="auto"/>
            <w:right w:val="none" w:sz="0" w:space="0" w:color="auto"/>
          </w:divBdr>
        </w:div>
        <w:div w:id="1649894053">
          <w:marLeft w:val="0"/>
          <w:marRight w:val="0"/>
          <w:marTop w:val="0"/>
          <w:marBottom w:val="0"/>
          <w:divBdr>
            <w:top w:val="none" w:sz="0" w:space="0" w:color="auto"/>
            <w:left w:val="none" w:sz="0" w:space="0" w:color="auto"/>
            <w:bottom w:val="none" w:sz="0" w:space="0" w:color="auto"/>
            <w:right w:val="none" w:sz="0" w:space="0" w:color="auto"/>
          </w:divBdr>
        </w:div>
        <w:div w:id="1654945263">
          <w:marLeft w:val="0"/>
          <w:marRight w:val="0"/>
          <w:marTop w:val="0"/>
          <w:marBottom w:val="0"/>
          <w:divBdr>
            <w:top w:val="none" w:sz="0" w:space="0" w:color="auto"/>
            <w:left w:val="none" w:sz="0" w:space="0" w:color="auto"/>
            <w:bottom w:val="none" w:sz="0" w:space="0" w:color="auto"/>
            <w:right w:val="none" w:sz="0" w:space="0" w:color="auto"/>
          </w:divBdr>
        </w:div>
        <w:div w:id="1703049658">
          <w:marLeft w:val="0"/>
          <w:marRight w:val="0"/>
          <w:marTop w:val="0"/>
          <w:marBottom w:val="0"/>
          <w:divBdr>
            <w:top w:val="none" w:sz="0" w:space="0" w:color="auto"/>
            <w:left w:val="none" w:sz="0" w:space="0" w:color="auto"/>
            <w:bottom w:val="none" w:sz="0" w:space="0" w:color="auto"/>
            <w:right w:val="none" w:sz="0" w:space="0" w:color="auto"/>
          </w:divBdr>
        </w:div>
        <w:div w:id="1741516232">
          <w:marLeft w:val="0"/>
          <w:marRight w:val="0"/>
          <w:marTop w:val="0"/>
          <w:marBottom w:val="0"/>
          <w:divBdr>
            <w:top w:val="none" w:sz="0" w:space="0" w:color="auto"/>
            <w:left w:val="none" w:sz="0" w:space="0" w:color="auto"/>
            <w:bottom w:val="none" w:sz="0" w:space="0" w:color="auto"/>
            <w:right w:val="none" w:sz="0" w:space="0" w:color="auto"/>
          </w:divBdr>
        </w:div>
        <w:div w:id="1755735853">
          <w:marLeft w:val="0"/>
          <w:marRight w:val="0"/>
          <w:marTop w:val="0"/>
          <w:marBottom w:val="0"/>
          <w:divBdr>
            <w:top w:val="none" w:sz="0" w:space="0" w:color="auto"/>
            <w:left w:val="none" w:sz="0" w:space="0" w:color="auto"/>
            <w:bottom w:val="none" w:sz="0" w:space="0" w:color="auto"/>
            <w:right w:val="none" w:sz="0" w:space="0" w:color="auto"/>
          </w:divBdr>
        </w:div>
        <w:div w:id="1771582883">
          <w:marLeft w:val="0"/>
          <w:marRight w:val="0"/>
          <w:marTop w:val="0"/>
          <w:marBottom w:val="0"/>
          <w:divBdr>
            <w:top w:val="none" w:sz="0" w:space="0" w:color="auto"/>
            <w:left w:val="none" w:sz="0" w:space="0" w:color="auto"/>
            <w:bottom w:val="none" w:sz="0" w:space="0" w:color="auto"/>
            <w:right w:val="none" w:sz="0" w:space="0" w:color="auto"/>
          </w:divBdr>
        </w:div>
        <w:div w:id="1832022017">
          <w:marLeft w:val="0"/>
          <w:marRight w:val="0"/>
          <w:marTop w:val="0"/>
          <w:marBottom w:val="0"/>
          <w:divBdr>
            <w:top w:val="none" w:sz="0" w:space="0" w:color="auto"/>
            <w:left w:val="none" w:sz="0" w:space="0" w:color="auto"/>
            <w:bottom w:val="none" w:sz="0" w:space="0" w:color="auto"/>
            <w:right w:val="none" w:sz="0" w:space="0" w:color="auto"/>
          </w:divBdr>
        </w:div>
        <w:div w:id="1865290406">
          <w:marLeft w:val="0"/>
          <w:marRight w:val="0"/>
          <w:marTop w:val="0"/>
          <w:marBottom w:val="0"/>
          <w:divBdr>
            <w:top w:val="none" w:sz="0" w:space="0" w:color="auto"/>
            <w:left w:val="none" w:sz="0" w:space="0" w:color="auto"/>
            <w:bottom w:val="none" w:sz="0" w:space="0" w:color="auto"/>
            <w:right w:val="none" w:sz="0" w:space="0" w:color="auto"/>
          </w:divBdr>
        </w:div>
        <w:div w:id="1869175826">
          <w:marLeft w:val="0"/>
          <w:marRight w:val="0"/>
          <w:marTop w:val="0"/>
          <w:marBottom w:val="0"/>
          <w:divBdr>
            <w:top w:val="none" w:sz="0" w:space="0" w:color="auto"/>
            <w:left w:val="none" w:sz="0" w:space="0" w:color="auto"/>
            <w:bottom w:val="none" w:sz="0" w:space="0" w:color="auto"/>
            <w:right w:val="none" w:sz="0" w:space="0" w:color="auto"/>
          </w:divBdr>
        </w:div>
        <w:div w:id="1875652255">
          <w:marLeft w:val="0"/>
          <w:marRight w:val="0"/>
          <w:marTop w:val="0"/>
          <w:marBottom w:val="0"/>
          <w:divBdr>
            <w:top w:val="none" w:sz="0" w:space="0" w:color="auto"/>
            <w:left w:val="none" w:sz="0" w:space="0" w:color="auto"/>
            <w:bottom w:val="none" w:sz="0" w:space="0" w:color="auto"/>
            <w:right w:val="none" w:sz="0" w:space="0" w:color="auto"/>
          </w:divBdr>
        </w:div>
        <w:div w:id="1922257837">
          <w:marLeft w:val="0"/>
          <w:marRight w:val="0"/>
          <w:marTop w:val="0"/>
          <w:marBottom w:val="0"/>
          <w:divBdr>
            <w:top w:val="none" w:sz="0" w:space="0" w:color="auto"/>
            <w:left w:val="none" w:sz="0" w:space="0" w:color="auto"/>
            <w:bottom w:val="none" w:sz="0" w:space="0" w:color="auto"/>
            <w:right w:val="none" w:sz="0" w:space="0" w:color="auto"/>
          </w:divBdr>
        </w:div>
        <w:div w:id="1933080129">
          <w:marLeft w:val="0"/>
          <w:marRight w:val="0"/>
          <w:marTop w:val="0"/>
          <w:marBottom w:val="0"/>
          <w:divBdr>
            <w:top w:val="none" w:sz="0" w:space="0" w:color="auto"/>
            <w:left w:val="none" w:sz="0" w:space="0" w:color="auto"/>
            <w:bottom w:val="none" w:sz="0" w:space="0" w:color="auto"/>
            <w:right w:val="none" w:sz="0" w:space="0" w:color="auto"/>
          </w:divBdr>
        </w:div>
        <w:div w:id="2037148151">
          <w:marLeft w:val="0"/>
          <w:marRight w:val="0"/>
          <w:marTop w:val="0"/>
          <w:marBottom w:val="0"/>
          <w:divBdr>
            <w:top w:val="none" w:sz="0" w:space="0" w:color="auto"/>
            <w:left w:val="none" w:sz="0" w:space="0" w:color="auto"/>
            <w:bottom w:val="none" w:sz="0" w:space="0" w:color="auto"/>
            <w:right w:val="none" w:sz="0" w:space="0" w:color="auto"/>
          </w:divBdr>
        </w:div>
        <w:div w:id="2053112017">
          <w:marLeft w:val="0"/>
          <w:marRight w:val="0"/>
          <w:marTop w:val="0"/>
          <w:marBottom w:val="0"/>
          <w:divBdr>
            <w:top w:val="none" w:sz="0" w:space="0" w:color="auto"/>
            <w:left w:val="none" w:sz="0" w:space="0" w:color="auto"/>
            <w:bottom w:val="none" w:sz="0" w:space="0" w:color="auto"/>
            <w:right w:val="none" w:sz="0" w:space="0" w:color="auto"/>
          </w:divBdr>
        </w:div>
        <w:div w:id="2056276944">
          <w:marLeft w:val="0"/>
          <w:marRight w:val="0"/>
          <w:marTop w:val="0"/>
          <w:marBottom w:val="0"/>
          <w:divBdr>
            <w:top w:val="none" w:sz="0" w:space="0" w:color="auto"/>
            <w:left w:val="none" w:sz="0" w:space="0" w:color="auto"/>
            <w:bottom w:val="none" w:sz="0" w:space="0" w:color="auto"/>
            <w:right w:val="none" w:sz="0" w:space="0" w:color="auto"/>
          </w:divBdr>
        </w:div>
        <w:div w:id="2090499036">
          <w:marLeft w:val="0"/>
          <w:marRight w:val="0"/>
          <w:marTop w:val="0"/>
          <w:marBottom w:val="0"/>
          <w:divBdr>
            <w:top w:val="none" w:sz="0" w:space="0" w:color="auto"/>
            <w:left w:val="none" w:sz="0" w:space="0" w:color="auto"/>
            <w:bottom w:val="none" w:sz="0" w:space="0" w:color="auto"/>
            <w:right w:val="none" w:sz="0" w:space="0" w:color="auto"/>
          </w:divBdr>
        </w:div>
        <w:div w:id="2127578086">
          <w:marLeft w:val="0"/>
          <w:marRight w:val="0"/>
          <w:marTop w:val="0"/>
          <w:marBottom w:val="0"/>
          <w:divBdr>
            <w:top w:val="none" w:sz="0" w:space="0" w:color="auto"/>
            <w:left w:val="none" w:sz="0" w:space="0" w:color="auto"/>
            <w:bottom w:val="none" w:sz="0" w:space="0" w:color="auto"/>
            <w:right w:val="none" w:sz="0" w:space="0" w:color="auto"/>
          </w:divBdr>
        </w:div>
        <w:div w:id="2142644884">
          <w:marLeft w:val="0"/>
          <w:marRight w:val="0"/>
          <w:marTop w:val="0"/>
          <w:marBottom w:val="0"/>
          <w:divBdr>
            <w:top w:val="none" w:sz="0" w:space="0" w:color="auto"/>
            <w:left w:val="none" w:sz="0" w:space="0" w:color="auto"/>
            <w:bottom w:val="none" w:sz="0" w:space="0" w:color="auto"/>
            <w:right w:val="none" w:sz="0" w:space="0" w:color="auto"/>
          </w:divBdr>
        </w:div>
      </w:divsChild>
    </w:div>
    <w:div w:id="678044842">
      <w:bodyDiv w:val="1"/>
      <w:marLeft w:val="0"/>
      <w:marRight w:val="0"/>
      <w:marTop w:val="0"/>
      <w:marBottom w:val="0"/>
      <w:divBdr>
        <w:top w:val="none" w:sz="0" w:space="0" w:color="auto"/>
        <w:left w:val="none" w:sz="0" w:space="0" w:color="auto"/>
        <w:bottom w:val="none" w:sz="0" w:space="0" w:color="auto"/>
        <w:right w:val="none" w:sz="0" w:space="0" w:color="auto"/>
      </w:divBdr>
    </w:div>
    <w:div w:id="705178230">
      <w:bodyDiv w:val="1"/>
      <w:marLeft w:val="0"/>
      <w:marRight w:val="0"/>
      <w:marTop w:val="0"/>
      <w:marBottom w:val="0"/>
      <w:divBdr>
        <w:top w:val="none" w:sz="0" w:space="0" w:color="auto"/>
        <w:left w:val="none" w:sz="0" w:space="0" w:color="auto"/>
        <w:bottom w:val="none" w:sz="0" w:space="0" w:color="auto"/>
        <w:right w:val="none" w:sz="0" w:space="0" w:color="auto"/>
      </w:divBdr>
    </w:div>
    <w:div w:id="722752389">
      <w:bodyDiv w:val="1"/>
      <w:marLeft w:val="0"/>
      <w:marRight w:val="0"/>
      <w:marTop w:val="0"/>
      <w:marBottom w:val="0"/>
      <w:divBdr>
        <w:top w:val="none" w:sz="0" w:space="0" w:color="auto"/>
        <w:left w:val="none" w:sz="0" w:space="0" w:color="auto"/>
        <w:bottom w:val="none" w:sz="0" w:space="0" w:color="auto"/>
        <w:right w:val="none" w:sz="0" w:space="0" w:color="auto"/>
      </w:divBdr>
    </w:div>
    <w:div w:id="728260653">
      <w:bodyDiv w:val="1"/>
      <w:marLeft w:val="0"/>
      <w:marRight w:val="0"/>
      <w:marTop w:val="0"/>
      <w:marBottom w:val="0"/>
      <w:divBdr>
        <w:top w:val="none" w:sz="0" w:space="0" w:color="auto"/>
        <w:left w:val="none" w:sz="0" w:space="0" w:color="auto"/>
        <w:bottom w:val="none" w:sz="0" w:space="0" w:color="auto"/>
        <w:right w:val="none" w:sz="0" w:space="0" w:color="auto"/>
      </w:divBdr>
    </w:div>
    <w:div w:id="735129364">
      <w:bodyDiv w:val="1"/>
      <w:marLeft w:val="0"/>
      <w:marRight w:val="0"/>
      <w:marTop w:val="0"/>
      <w:marBottom w:val="0"/>
      <w:divBdr>
        <w:top w:val="none" w:sz="0" w:space="0" w:color="auto"/>
        <w:left w:val="none" w:sz="0" w:space="0" w:color="auto"/>
        <w:bottom w:val="none" w:sz="0" w:space="0" w:color="auto"/>
        <w:right w:val="none" w:sz="0" w:space="0" w:color="auto"/>
      </w:divBdr>
    </w:div>
    <w:div w:id="753092769">
      <w:bodyDiv w:val="1"/>
      <w:marLeft w:val="0"/>
      <w:marRight w:val="0"/>
      <w:marTop w:val="0"/>
      <w:marBottom w:val="0"/>
      <w:divBdr>
        <w:top w:val="none" w:sz="0" w:space="0" w:color="auto"/>
        <w:left w:val="none" w:sz="0" w:space="0" w:color="auto"/>
        <w:bottom w:val="none" w:sz="0" w:space="0" w:color="auto"/>
        <w:right w:val="none" w:sz="0" w:space="0" w:color="auto"/>
      </w:divBdr>
    </w:div>
    <w:div w:id="796022587">
      <w:bodyDiv w:val="1"/>
      <w:marLeft w:val="0"/>
      <w:marRight w:val="0"/>
      <w:marTop w:val="0"/>
      <w:marBottom w:val="0"/>
      <w:divBdr>
        <w:top w:val="none" w:sz="0" w:space="0" w:color="auto"/>
        <w:left w:val="none" w:sz="0" w:space="0" w:color="auto"/>
        <w:bottom w:val="none" w:sz="0" w:space="0" w:color="auto"/>
        <w:right w:val="none" w:sz="0" w:space="0" w:color="auto"/>
      </w:divBdr>
    </w:div>
    <w:div w:id="820463360">
      <w:bodyDiv w:val="1"/>
      <w:marLeft w:val="0"/>
      <w:marRight w:val="0"/>
      <w:marTop w:val="0"/>
      <w:marBottom w:val="0"/>
      <w:divBdr>
        <w:top w:val="none" w:sz="0" w:space="0" w:color="auto"/>
        <w:left w:val="none" w:sz="0" w:space="0" w:color="auto"/>
        <w:bottom w:val="none" w:sz="0" w:space="0" w:color="auto"/>
        <w:right w:val="none" w:sz="0" w:space="0" w:color="auto"/>
      </w:divBdr>
      <w:divsChild>
        <w:div w:id="356318">
          <w:marLeft w:val="0"/>
          <w:marRight w:val="0"/>
          <w:marTop w:val="0"/>
          <w:marBottom w:val="0"/>
          <w:divBdr>
            <w:top w:val="none" w:sz="0" w:space="0" w:color="auto"/>
            <w:left w:val="none" w:sz="0" w:space="0" w:color="auto"/>
            <w:bottom w:val="none" w:sz="0" w:space="0" w:color="auto"/>
            <w:right w:val="none" w:sz="0" w:space="0" w:color="auto"/>
          </w:divBdr>
        </w:div>
        <w:div w:id="7610669">
          <w:marLeft w:val="0"/>
          <w:marRight w:val="0"/>
          <w:marTop w:val="0"/>
          <w:marBottom w:val="0"/>
          <w:divBdr>
            <w:top w:val="none" w:sz="0" w:space="0" w:color="auto"/>
            <w:left w:val="none" w:sz="0" w:space="0" w:color="auto"/>
            <w:bottom w:val="none" w:sz="0" w:space="0" w:color="auto"/>
            <w:right w:val="none" w:sz="0" w:space="0" w:color="auto"/>
          </w:divBdr>
        </w:div>
        <w:div w:id="32465846">
          <w:marLeft w:val="0"/>
          <w:marRight w:val="0"/>
          <w:marTop w:val="0"/>
          <w:marBottom w:val="0"/>
          <w:divBdr>
            <w:top w:val="none" w:sz="0" w:space="0" w:color="auto"/>
            <w:left w:val="none" w:sz="0" w:space="0" w:color="auto"/>
            <w:bottom w:val="none" w:sz="0" w:space="0" w:color="auto"/>
            <w:right w:val="none" w:sz="0" w:space="0" w:color="auto"/>
          </w:divBdr>
        </w:div>
        <w:div w:id="98527889">
          <w:marLeft w:val="0"/>
          <w:marRight w:val="0"/>
          <w:marTop w:val="0"/>
          <w:marBottom w:val="0"/>
          <w:divBdr>
            <w:top w:val="none" w:sz="0" w:space="0" w:color="auto"/>
            <w:left w:val="none" w:sz="0" w:space="0" w:color="auto"/>
            <w:bottom w:val="none" w:sz="0" w:space="0" w:color="auto"/>
            <w:right w:val="none" w:sz="0" w:space="0" w:color="auto"/>
          </w:divBdr>
        </w:div>
        <w:div w:id="189539861">
          <w:marLeft w:val="0"/>
          <w:marRight w:val="0"/>
          <w:marTop w:val="0"/>
          <w:marBottom w:val="0"/>
          <w:divBdr>
            <w:top w:val="none" w:sz="0" w:space="0" w:color="auto"/>
            <w:left w:val="none" w:sz="0" w:space="0" w:color="auto"/>
            <w:bottom w:val="none" w:sz="0" w:space="0" w:color="auto"/>
            <w:right w:val="none" w:sz="0" w:space="0" w:color="auto"/>
          </w:divBdr>
        </w:div>
        <w:div w:id="201988684">
          <w:marLeft w:val="0"/>
          <w:marRight w:val="0"/>
          <w:marTop w:val="0"/>
          <w:marBottom w:val="0"/>
          <w:divBdr>
            <w:top w:val="none" w:sz="0" w:space="0" w:color="auto"/>
            <w:left w:val="none" w:sz="0" w:space="0" w:color="auto"/>
            <w:bottom w:val="none" w:sz="0" w:space="0" w:color="auto"/>
            <w:right w:val="none" w:sz="0" w:space="0" w:color="auto"/>
          </w:divBdr>
        </w:div>
        <w:div w:id="210388864">
          <w:marLeft w:val="0"/>
          <w:marRight w:val="0"/>
          <w:marTop w:val="0"/>
          <w:marBottom w:val="0"/>
          <w:divBdr>
            <w:top w:val="none" w:sz="0" w:space="0" w:color="auto"/>
            <w:left w:val="none" w:sz="0" w:space="0" w:color="auto"/>
            <w:bottom w:val="none" w:sz="0" w:space="0" w:color="auto"/>
            <w:right w:val="none" w:sz="0" w:space="0" w:color="auto"/>
          </w:divBdr>
        </w:div>
        <w:div w:id="213322607">
          <w:marLeft w:val="0"/>
          <w:marRight w:val="0"/>
          <w:marTop w:val="0"/>
          <w:marBottom w:val="0"/>
          <w:divBdr>
            <w:top w:val="none" w:sz="0" w:space="0" w:color="auto"/>
            <w:left w:val="none" w:sz="0" w:space="0" w:color="auto"/>
            <w:bottom w:val="none" w:sz="0" w:space="0" w:color="auto"/>
            <w:right w:val="none" w:sz="0" w:space="0" w:color="auto"/>
          </w:divBdr>
        </w:div>
        <w:div w:id="307785465">
          <w:marLeft w:val="0"/>
          <w:marRight w:val="0"/>
          <w:marTop w:val="0"/>
          <w:marBottom w:val="0"/>
          <w:divBdr>
            <w:top w:val="none" w:sz="0" w:space="0" w:color="auto"/>
            <w:left w:val="none" w:sz="0" w:space="0" w:color="auto"/>
            <w:bottom w:val="none" w:sz="0" w:space="0" w:color="auto"/>
            <w:right w:val="none" w:sz="0" w:space="0" w:color="auto"/>
          </w:divBdr>
        </w:div>
        <w:div w:id="386345902">
          <w:marLeft w:val="0"/>
          <w:marRight w:val="0"/>
          <w:marTop w:val="0"/>
          <w:marBottom w:val="0"/>
          <w:divBdr>
            <w:top w:val="none" w:sz="0" w:space="0" w:color="auto"/>
            <w:left w:val="none" w:sz="0" w:space="0" w:color="auto"/>
            <w:bottom w:val="none" w:sz="0" w:space="0" w:color="auto"/>
            <w:right w:val="none" w:sz="0" w:space="0" w:color="auto"/>
          </w:divBdr>
        </w:div>
        <w:div w:id="426072887">
          <w:marLeft w:val="0"/>
          <w:marRight w:val="0"/>
          <w:marTop w:val="0"/>
          <w:marBottom w:val="0"/>
          <w:divBdr>
            <w:top w:val="none" w:sz="0" w:space="0" w:color="auto"/>
            <w:left w:val="none" w:sz="0" w:space="0" w:color="auto"/>
            <w:bottom w:val="none" w:sz="0" w:space="0" w:color="auto"/>
            <w:right w:val="none" w:sz="0" w:space="0" w:color="auto"/>
          </w:divBdr>
        </w:div>
        <w:div w:id="436213452">
          <w:marLeft w:val="0"/>
          <w:marRight w:val="0"/>
          <w:marTop w:val="0"/>
          <w:marBottom w:val="0"/>
          <w:divBdr>
            <w:top w:val="none" w:sz="0" w:space="0" w:color="auto"/>
            <w:left w:val="none" w:sz="0" w:space="0" w:color="auto"/>
            <w:bottom w:val="none" w:sz="0" w:space="0" w:color="auto"/>
            <w:right w:val="none" w:sz="0" w:space="0" w:color="auto"/>
          </w:divBdr>
        </w:div>
        <w:div w:id="443771282">
          <w:marLeft w:val="0"/>
          <w:marRight w:val="0"/>
          <w:marTop w:val="0"/>
          <w:marBottom w:val="0"/>
          <w:divBdr>
            <w:top w:val="none" w:sz="0" w:space="0" w:color="auto"/>
            <w:left w:val="none" w:sz="0" w:space="0" w:color="auto"/>
            <w:bottom w:val="none" w:sz="0" w:space="0" w:color="auto"/>
            <w:right w:val="none" w:sz="0" w:space="0" w:color="auto"/>
          </w:divBdr>
        </w:div>
        <w:div w:id="476337012">
          <w:marLeft w:val="0"/>
          <w:marRight w:val="0"/>
          <w:marTop w:val="0"/>
          <w:marBottom w:val="0"/>
          <w:divBdr>
            <w:top w:val="none" w:sz="0" w:space="0" w:color="auto"/>
            <w:left w:val="none" w:sz="0" w:space="0" w:color="auto"/>
            <w:bottom w:val="none" w:sz="0" w:space="0" w:color="auto"/>
            <w:right w:val="none" w:sz="0" w:space="0" w:color="auto"/>
          </w:divBdr>
        </w:div>
        <w:div w:id="499008012">
          <w:marLeft w:val="0"/>
          <w:marRight w:val="0"/>
          <w:marTop w:val="0"/>
          <w:marBottom w:val="0"/>
          <w:divBdr>
            <w:top w:val="none" w:sz="0" w:space="0" w:color="auto"/>
            <w:left w:val="none" w:sz="0" w:space="0" w:color="auto"/>
            <w:bottom w:val="none" w:sz="0" w:space="0" w:color="auto"/>
            <w:right w:val="none" w:sz="0" w:space="0" w:color="auto"/>
          </w:divBdr>
        </w:div>
        <w:div w:id="508764314">
          <w:marLeft w:val="0"/>
          <w:marRight w:val="0"/>
          <w:marTop w:val="0"/>
          <w:marBottom w:val="0"/>
          <w:divBdr>
            <w:top w:val="none" w:sz="0" w:space="0" w:color="auto"/>
            <w:left w:val="none" w:sz="0" w:space="0" w:color="auto"/>
            <w:bottom w:val="none" w:sz="0" w:space="0" w:color="auto"/>
            <w:right w:val="none" w:sz="0" w:space="0" w:color="auto"/>
          </w:divBdr>
        </w:div>
        <w:div w:id="598172869">
          <w:marLeft w:val="0"/>
          <w:marRight w:val="0"/>
          <w:marTop w:val="0"/>
          <w:marBottom w:val="0"/>
          <w:divBdr>
            <w:top w:val="none" w:sz="0" w:space="0" w:color="auto"/>
            <w:left w:val="none" w:sz="0" w:space="0" w:color="auto"/>
            <w:bottom w:val="none" w:sz="0" w:space="0" w:color="auto"/>
            <w:right w:val="none" w:sz="0" w:space="0" w:color="auto"/>
          </w:divBdr>
        </w:div>
        <w:div w:id="602539264">
          <w:marLeft w:val="0"/>
          <w:marRight w:val="0"/>
          <w:marTop w:val="0"/>
          <w:marBottom w:val="0"/>
          <w:divBdr>
            <w:top w:val="none" w:sz="0" w:space="0" w:color="auto"/>
            <w:left w:val="none" w:sz="0" w:space="0" w:color="auto"/>
            <w:bottom w:val="none" w:sz="0" w:space="0" w:color="auto"/>
            <w:right w:val="none" w:sz="0" w:space="0" w:color="auto"/>
          </w:divBdr>
        </w:div>
        <w:div w:id="609119803">
          <w:marLeft w:val="0"/>
          <w:marRight w:val="0"/>
          <w:marTop w:val="0"/>
          <w:marBottom w:val="0"/>
          <w:divBdr>
            <w:top w:val="none" w:sz="0" w:space="0" w:color="auto"/>
            <w:left w:val="none" w:sz="0" w:space="0" w:color="auto"/>
            <w:bottom w:val="none" w:sz="0" w:space="0" w:color="auto"/>
            <w:right w:val="none" w:sz="0" w:space="0" w:color="auto"/>
          </w:divBdr>
        </w:div>
        <w:div w:id="624046822">
          <w:marLeft w:val="0"/>
          <w:marRight w:val="0"/>
          <w:marTop w:val="0"/>
          <w:marBottom w:val="0"/>
          <w:divBdr>
            <w:top w:val="none" w:sz="0" w:space="0" w:color="auto"/>
            <w:left w:val="none" w:sz="0" w:space="0" w:color="auto"/>
            <w:bottom w:val="none" w:sz="0" w:space="0" w:color="auto"/>
            <w:right w:val="none" w:sz="0" w:space="0" w:color="auto"/>
          </w:divBdr>
        </w:div>
        <w:div w:id="683287317">
          <w:marLeft w:val="0"/>
          <w:marRight w:val="0"/>
          <w:marTop w:val="0"/>
          <w:marBottom w:val="0"/>
          <w:divBdr>
            <w:top w:val="none" w:sz="0" w:space="0" w:color="auto"/>
            <w:left w:val="none" w:sz="0" w:space="0" w:color="auto"/>
            <w:bottom w:val="none" w:sz="0" w:space="0" w:color="auto"/>
            <w:right w:val="none" w:sz="0" w:space="0" w:color="auto"/>
          </w:divBdr>
        </w:div>
        <w:div w:id="683900417">
          <w:marLeft w:val="0"/>
          <w:marRight w:val="0"/>
          <w:marTop w:val="0"/>
          <w:marBottom w:val="0"/>
          <w:divBdr>
            <w:top w:val="none" w:sz="0" w:space="0" w:color="auto"/>
            <w:left w:val="none" w:sz="0" w:space="0" w:color="auto"/>
            <w:bottom w:val="none" w:sz="0" w:space="0" w:color="auto"/>
            <w:right w:val="none" w:sz="0" w:space="0" w:color="auto"/>
          </w:divBdr>
        </w:div>
        <w:div w:id="693455400">
          <w:marLeft w:val="0"/>
          <w:marRight w:val="0"/>
          <w:marTop w:val="0"/>
          <w:marBottom w:val="0"/>
          <w:divBdr>
            <w:top w:val="none" w:sz="0" w:space="0" w:color="auto"/>
            <w:left w:val="none" w:sz="0" w:space="0" w:color="auto"/>
            <w:bottom w:val="none" w:sz="0" w:space="0" w:color="auto"/>
            <w:right w:val="none" w:sz="0" w:space="0" w:color="auto"/>
          </w:divBdr>
        </w:div>
        <w:div w:id="733770810">
          <w:marLeft w:val="0"/>
          <w:marRight w:val="0"/>
          <w:marTop w:val="0"/>
          <w:marBottom w:val="0"/>
          <w:divBdr>
            <w:top w:val="none" w:sz="0" w:space="0" w:color="auto"/>
            <w:left w:val="none" w:sz="0" w:space="0" w:color="auto"/>
            <w:bottom w:val="none" w:sz="0" w:space="0" w:color="auto"/>
            <w:right w:val="none" w:sz="0" w:space="0" w:color="auto"/>
          </w:divBdr>
        </w:div>
        <w:div w:id="744644241">
          <w:marLeft w:val="0"/>
          <w:marRight w:val="0"/>
          <w:marTop w:val="0"/>
          <w:marBottom w:val="0"/>
          <w:divBdr>
            <w:top w:val="none" w:sz="0" w:space="0" w:color="auto"/>
            <w:left w:val="none" w:sz="0" w:space="0" w:color="auto"/>
            <w:bottom w:val="none" w:sz="0" w:space="0" w:color="auto"/>
            <w:right w:val="none" w:sz="0" w:space="0" w:color="auto"/>
          </w:divBdr>
        </w:div>
        <w:div w:id="751581247">
          <w:marLeft w:val="0"/>
          <w:marRight w:val="0"/>
          <w:marTop w:val="0"/>
          <w:marBottom w:val="0"/>
          <w:divBdr>
            <w:top w:val="none" w:sz="0" w:space="0" w:color="auto"/>
            <w:left w:val="none" w:sz="0" w:space="0" w:color="auto"/>
            <w:bottom w:val="none" w:sz="0" w:space="0" w:color="auto"/>
            <w:right w:val="none" w:sz="0" w:space="0" w:color="auto"/>
          </w:divBdr>
        </w:div>
        <w:div w:id="772359308">
          <w:marLeft w:val="0"/>
          <w:marRight w:val="0"/>
          <w:marTop w:val="0"/>
          <w:marBottom w:val="0"/>
          <w:divBdr>
            <w:top w:val="none" w:sz="0" w:space="0" w:color="auto"/>
            <w:left w:val="none" w:sz="0" w:space="0" w:color="auto"/>
            <w:bottom w:val="none" w:sz="0" w:space="0" w:color="auto"/>
            <w:right w:val="none" w:sz="0" w:space="0" w:color="auto"/>
          </w:divBdr>
        </w:div>
        <w:div w:id="798500642">
          <w:marLeft w:val="0"/>
          <w:marRight w:val="0"/>
          <w:marTop w:val="0"/>
          <w:marBottom w:val="0"/>
          <w:divBdr>
            <w:top w:val="none" w:sz="0" w:space="0" w:color="auto"/>
            <w:left w:val="none" w:sz="0" w:space="0" w:color="auto"/>
            <w:bottom w:val="none" w:sz="0" w:space="0" w:color="auto"/>
            <w:right w:val="none" w:sz="0" w:space="0" w:color="auto"/>
          </w:divBdr>
        </w:div>
        <w:div w:id="804081658">
          <w:marLeft w:val="0"/>
          <w:marRight w:val="0"/>
          <w:marTop w:val="0"/>
          <w:marBottom w:val="0"/>
          <w:divBdr>
            <w:top w:val="none" w:sz="0" w:space="0" w:color="auto"/>
            <w:left w:val="none" w:sz="0" w:space="0" w:color="auto"/>
            <w:bottom w:val="none" w:sz="0" w:space="0" w:color="auto"/>
            <w:right w:val="none" w:sz="0" w:space="0" w:color="auto"/>
          </w:divBdr>
        </w:div>
        <w:div w:id="807481239">
          <w:marLeft w:val="0"/>
          <w:marRight w:val="0"/>
          <w:marTop w:val="0"/>
          <w:marBottom w:val="0"/>
          <w:divBdr>
            <w:top w:val="none" w:sz="0" w:space="0" w:color="auto"/>
            <w:left w:val="none" w:sz="0" w:space="0" w:color="auto"/>
            <w:bottom w:val="none" w:sz="0" w:space="0" w:color="auto"/>
            <w:right w:val="none" w:sz="0" w:space="0" w:color="auto"/>
          </w:divBdr>
        </w:div>
        <w:div w:id="849024306">
          <w:marLeft w:val="0"/>
          <w:marRight w:val="0"/>
          <w:marTop w:val="0"/>
          <w:marBottom w:val="0"/>
          <w:divBdr>
            <w:top w:val="none" w:sz="0" w:space="0" w:color="auto"/>
            <w:left w:val="none" w:sz="0" w:space="0" w:color="auto"/>
            <w:bottom w:val="none" w:sz="0" w:space="0" w:color="auto"/>
            <w:right w:val="none" w:sz="0" w:space="0" w:color="auto"/>
          </w:divBdr>
        </w:div>
        <w:div w:id="875581367">
          <w:marLeft w:val="0"/>
          <w:marRight w:val="0"/>
          <w:marTop w:val="0"/>
          <w:marBottom w:val="0"/>
          <w:divBdr>
            <w:top w:val="none" w:sz="0" w:space="0" w:color="auto"/>
            <w:left w:val="none" w:sz="0" w:space="0" w:color="auto"/>
            <w:bottom w:val="none" w:sz="0" w:space="0" w:color="auto"/>
            <w:right w:val="none" w:sz="0" w:space="0" w:color="auto"/>
          </w:divBdr>
        </w:div>
        <w:div w:id="911349364">
          <w:marLeft w:val="0"/>
          <w:marRight w:val="0"/>
          <w:marTop w:val="0"/>
          <w:marBottom w:val="0"/>
          <w:divBdr>
            <w:top w:val="none" w:sz="0" w:space="0" w:color="auto"/>
            <w:left w:val="none" w:sz="0" w:space="0" w:color="auto"/>
            <w:bottom w:val="none" w:sz="0" w:space="0" w:color="auto"/>
            <w:right w:val="none" w:sz="0" w:space="0" w:color="auto"/>
          </w:divBdr>
        </w:div>
        <w:div w:id="913855455">
          <w:marLeft w:val="0"/>
          <w:marRight w:val="0"/>
          <w:marTop w:val="0"/>
          <w:marBottom w:val="0"/>
          <w:divBdr>
            <w:top w:val="none" w:sz="0" w:space="0" w:color="auto"/>
            <w:left w:val="none" w:sz="0" w:space="0" w:color="auto"/>
            <w:bottom w:val="none" w:sz="0" w:space="0" w:color="auto"/>
            <w:right w:val="none" w:sz="0" w:space="0" w:color="auto"/>
          </w:divBdr>
        </w:div>
        <w:div w:id="968512733">
          <w:marLeft w:val="0"/>
          <w:marRight w:val="0"/>
          <w:marTop w:val="0"/>
          <w:marBottom w:val="0"/>
          <w:divBdr>
            <w:top w:val="none" w:sz="0" w:space="0" w:color="auto"/>
            <w:left w:val="none" w:sz="0" w:space="0" w:color="auto"/>
            <w:bottom w:val="none" w:sz="0" w:space="0" w:color="auto"/>
            <w:right w:val="none" w:sz="0" w:space="0" w:color="auto"/>
          </w:divBdr>
        </w:div>
        <w:div w:id="982657849">
          <w:marLeft w:val="0"/>
          <w:marRight w:val="0"/>
          <w:marTop w:val="0"/>
          <w:marBottom w:val="0"/>
          <w:divBdr>
            <w:top w:val="none" w:sz="0" w:space="0" w:color="auto"/>
            <w:left w:val="none" w:sz="0" w:space="0" w:color="auto"/>
            <w:bottom w:val="none" w:sz="0" w:space="0" w:color="auto"/>
            <w:right w:val="none" w:sz="0" w:space="0" w:color="auto"/>
          </w:divBdr>
        </w:div>
        <w:div w:id="1046372313">
          <w:marLeft w:val="0"/>
          <w:marRight w:val="0"/>
          <w:marTop w:val="0"/>
          <w:marBottom w:val="0"/>
          <w:divBdr>
            <w:top w:val="none" w:sz="0" w:space="0" w:color="auto"/>
            <w:left w:val="none" w:sz="0" w:space="0" w:color="auto"/>
            <w:bottom w:val="none" w:sz="0" w:space="0" w:color="auto"/>
            <w:right w:val="none" w:sz="0" w:space="0" w:color="auto"/>
          </w:divBdr>
        </w:div>
        <w:div w:id="1055395686">
          <w:marLeft w:val="0"/>
          <w:marRight w:val="0"/>
          <w:marTop w:val="0"/>
          <w:marBottom w:val="0"/>
          <w:divBdr>
            <w:top w:val="none" w:sz="0" w:space="0" w:color="auto"/>
            <w:left w:val="none" w:sz="0" w:space="0" w:color="auto"/>
            <w:bottom w:val="none" w:sz="0" w:space="0" w:color="auto"/>
            <w:right w:val="none" w:sz="0" w:space="0" w:color="auto"/>
          </w:divBdr>
        </w:div>
        <w:div w:id="1064255124">
          <w:marLeft w:val="0"/>
          <w:marRight w:val="0"/>
          <w:marTop w:val="0"/>
          <w:marBottom w:val="0"/>
          <w:divBdr>
            <w:top w:val="none" w:sz="0" w:space="0" w:color="auto"/>
            <w:left w:val="none" w:sz="0" w:space="0" w:color="auto"/>
            <w:bottom w:val="none" w:sz="0" w:space="0" w:color="auto"/>
            <w:right w:val="none" w:sz="0" w:space="0" w:color="auto"/>
          </w:divBdr>
        </w:div>
        <w:div w:id="1080912132">
          <w:marLeft w:val="0"/>
          <w:marRight w:val="0"/>
          <w:marTop w:val="0"/>
          <w:marBottom w:val="0"/>
          <w:divBdr>
            <w:top w:val="none" w:sz="0" w:space="0" w:color="auto"/>
            <w:left w:val="none" w:sz="0" w:space="0" w:color="auto"/>
            <w:bottom w:val="none" w:sz="0" w:space="0" w:color="auto"/>
            <w:right w:val="none" w:sz="0" w:space="0" w:color="auto"/>
          </w:divBdr>
        </w:div>
        <w:div w:id="1100107473">
          <w:marLeft w:val="0"/>
          <w:marRight w:val="0"/>
          <w:marTop w:val="0"/>
          <w:marBottom w:val="0"/>
          <w:divBdr>
            <w:top w:val="none" w:sz="0" w:space="0" w:color="auto"/>
            <w:left w:val="none" w:sz="0" w:space="0" w:color="auto"/>
            <w:bottom w:val="none" w:sz="0" w:space="0" w:color="auto"/>
            <w:right w:val="none" w:sz="0" w:space="0" w:color="auto"/>
          </w:divBdr>
        </w:div>
        <w:div w:id="1145926774">
          <w:marLeft w:val="0"/>
          <w:marRight w:val="0"/>
          <w:marTop w:val="0"/>
          <w:marBottom w:val="0"/>
          <w:divBdr>
            <w:top w:val="none" w:sz="0" w:space="0" w:color="auto"/>
            <w:left w:val="none" w:sz="0" w:space="0" w:color="auto"/>
            <w:bottom w:val="none" w:sz="0" w:space="0" w:color="auto"/>
            <w:right w:val="none" w:sz="0" w:space="0" w:color="auto"/>
          </w:divBdr>
        </w:div>
        <w:div w:id="1208302878">
          <w:marLeft w:val="0"/>
          <w:marRight w:val="0"/>
          <w:marTop w:val="0"/>
          <w:marBottom w:val="0"/>
          <w:divBdr>
            <w:top w:val="none" w:sz="0" w:space="0" w:color="auto"/>
            <w:left w:val="none" w:sz="0" w:space="0" w:color="auto"/>
            <w:bottom w:val="none" w:sz="0" w:space="0" w:color="auto"/>
            <w:right w:val="none" w:sz="0" w:space="0" w:color="auto"/>
          </w:divBdr>
        </w:div>
        <w:div w:id="1222331114">
          <w:marLeft w:val="0"/>
          <w:marRight w:val="0"/>
          <w:marTop w:val="0"/>
          <w:marBottom w:val="0"/>
          <w:divBdr>
            <w:top w:val="none" w:sz="0" w:space="0" w:color="auto"/>
            <w:left w:val="none" w:sz="0" w:space="0" w:color="auto"/>
            <w:bottom w:val="none" w:sz="0" w:space="0" w:color="auto"/>
            <w:right w:val="none" w:sz="0" w:space="0" w:color="auto"/>
          </w:divBdr>
        </w:div>
        <w:div w:id="1265115596">
          <w:marLeft w:val="0"/>
          <w:marRight w:val="0"/>
          <w:marTop w:val="0"/>
          <w:marBottom w:val="0"/>
          <w:divBdr>
            <w:top w:val="none" w:sz="0" w:space="0" w:color="auto"/>
            <w:left w:val="none" w:sz="0" w:space="0" w:color="auto"/>
            <w:bottom w:val="none" w:sz="0" w:space="0" w:color="auto"/>
            <w:right w:val="none" w:sz="0" w:space="0" w:color="auto"/>
          </w:divBdr>
        </w:div>
        <w:div w:id="1268612792">
          <w:marLeft w:val="0"/>
          <w:marRight w:val="0"/>
          <w:marTop w:val="0"/>
          <w:marBottom w:val="0"/>
          <w:divBdr>
            <w:top w:val="none" w:sz="0" w:space="0" w:color="auto"/>
            <w:left w:val="none" w:sz="0" w:space="0" w:color="auto"/>
            <w:bottom w:val="none" w:sz="0" w:space="0" w:color="auto"/>
            <w:right w:val="none" w:sz="0" w:space="0" w:color="auto"/>
          </w:divBdr>
        </w:div>
        <w:div w:id="1278104504">
          <w:marLeft w:val="0"/>
          <w:marRight w:val="0"/>
          <w:marTop w:val="0"/>
          <w:marBottom w:val="0"/>
          <w:divBdr>
            <w:top w:val="none" w:sz="0" w:space="0" w:color="auto"/>
            <w:left w:val="none" w:sz="0" w:space="0" w:color="auto"/>
            <w:bottom w:val="none" w:sz="0" w:space="0" w:color="auto"/>
            <w:right w:val="none" w:sz="0" w:space="0" w:color="auto"/>
          </w:divBdr>
        </w:div>
        <w:div w:id="1295022504">
          <w:marLeft w:val="0"/>
          <w:marRight w:val="0"/>
          <w:marTop w:val="0"/>
          <w:marBottom w:val="0"/>
          <w:divBdr>
            <w:top w:val="none" w:sz="0" w:space="0" w:color="auto"/>
            <w:left w:val="none" w:sz="0" w:space="0" w:color="auto"/>
            <w:bottom w:val="none" w:sz="0" w:space="0" w:color="auto"/>
            <w:right w:val="none" w:sz="0" w:space="0" w:color="auto"/>
          </w:divBdr>
        </w:div>
        <w:div w:id="1295409574">
          <w:marLeft w:val="0"/>
          <w:marRight w:val="0"/>
          <w:marTop w:val="0"/>
          <w:marBottom w:val="0"/>
          <w:divBdr>
            <w:top w:val="none" w:sz="0" w:space="0" w:color="auto"/>
            <w:left w:val="none" w:sz="0" w:space="0" w:color="auto"/>
            <w:bottom w:val="none" w:sz="0" w:space="0" w:color="auto"/>
            <w:right w:val="none" w:sz="0" w:space="0" w:color="auto"/>
          </w:divBdr>
        </w:div>
        <w:div w:id="1304002512">
          <w:marLeft w:val="0"/>
          <w:marRight w:val="0"/>
          <w:marTop w:val="0"/>
          <w:marBottom w:val="0"/>
          <w:divBdr>
            <w:top w:val="none" w:sz="0" w:space="0" w:color="auto"/>
            <w:left w:val="none" w:sz="0" w:space="0" w:color="auto"/>
            <w:bottom w:val="none" w:sz="0" w:space="0" w:color="auto"/>
            <w:right w:val="none" w:sz="0" w:space="0" w:color="auto"/>
          </w:divBdr>
        </w:div>
        <w:div w:id="1339431108">
          <w:marLeft w:val="0"/>
          <w:marRight w:val="0"/>
          <w:marTop w:val="0"/>
          <w:marBottom w:val="0"/>
          <w:divBdr>
            <w:top w:val="none" w:sz="0" w:space="0" w:color="auto"/>
            <w:left w:val="none" w:sz="0" w:space="0" w:color="auto"/>
            <w:bottom w:val="none" w:sz="0" w:space="0" w:color="auto"/>
            <w:right w:val="none" w:sz="0" w:space="0" w:color="auto"/>
          </w:divBdr>
        </w:div>
        <w:div w:id="1343434836">
          <w:marLeft w:val="0"/>
          <w:marRight w:val="0"/>
          <w:marTop w:val="0"/>
          <w:marBottom w:val="0"/>
          <w:divBdr>
            <w:top w:val="none" w:sz="0" w:space="0" w:color="auto"/>
            <w:left w:val="none" w:sz="0" w:space="0" w:color="auto"/>
            <w:bottom w:val="none" w:sz="0" w:space="0" w:color="auto"/>
            <w:right w:val="none" w:sz="0" w:space="0" w:color="auto"/>
          </w:divBdr>
        </w:div>
        <w:div w:id="1360623705">
          <w:marLeft w:val="0"/>
          <w:marRight w:val="0"/>
          <w:marTop w:val="0"/>
          <w:marBottom w:val="0"/>
          <w:divBdr>
            <w:top w:val="none" w:sz="0" w:space="0" w:color="auto"/>
            <w:left w:val="none" w:sz="0" w:space="0" w:color="auto"/>
            <w:bottom w:val="none" w:sz="0" w:space="0" w:color="auto"/>
            <w:right w:val="none" w:sz="0" w:space="0" w:color="auto"/>
          </w:divBdr>
        </w:div>
        <w:div w:id="1380934948">
          <w:marLeft w:val="0"/>
          <w:marRight w:val="0"/>
          <w:marTop w:val="0"/>
          <w:marBottom w:val="0"/>
          <w:divBdr>
            <w:top w:val="none" w:sz="0" w:space="0" w:color="auto"/>
            <w:left w:val="none" w:sz="0" w:space="0" w:color="auto"/>
            <w:bottom w:val="none" w:sz="0" w:space="0" w:color="auto"/>
            <w:right w:val="none" w:sz="0" w:space="0" w:color="auto"/>
          </w:divBdr>
        </w:div>
        <w:div w:id="1388530320">
          <w:marLeft w:val="0"/>
          <w:marRight w:val="0"/>
          <w:marTop w:val="0"/>
          <w:marBottom w:val="0"/>
          <w:divBdr>
            <w:top w:val="none" w:sz="0" w:space="0" w:color="auto"/>
            <w:left w:val="none" w:sz="0" w:space="0" w:color="auto"/>
            <w:bottom w:val="none" w:sz="0" w:space="0" w:color="auto"/>
            <w:right w:val="none" w:sz="0" w:space="0" w:color="auto"/>
          </w:divBdr>
        </w:div>
        <w:div w:id="1420248688">
          <w:marLeft w:val="0"/>
          <w:marRight w:val="0"/>
          <w:marTop w:val="0"/>
          <w:marBottom w:val="0"/>
          <w:divBdr>
            <w:top w:val="none" w:sz="0" w:space="0" w:color="auto"/>
            <w:left w:val="none" w:sz="0" w:space="0" w:color="auto"/>
            <w:bottom w:val="none" w:sz="0" w:space="0" w:color="auto"/>
            <w:right w:val="none" w:sz="0" w:space="0" w:color="auto"/>
          </w:divBdr>
        </w:div>
        <w:div w:id="1449158876">
          <w:marLeft w:val="0"/>
          <w:marRight w:val="0"/>
          <w:marTop w:val="0"/>
          <w:marBottom w:val="0"/>
          <w:divBdr>
            <w:top w:val="none" w:sz="0" w:space="0" w:color="auto"/>
            <w:left w:val="none" w:sz="0" w:space="0" w:color="auto"/>
            <w:bottom w:val="none" w:sz="0" w:space="0" w:color="auto"/>
            <w:right w:val="none" w:sz="0" w:space="0" w:color="auto"/>
          </w:divBdr>
        </w:div>
        <w:div w:id="1476144944">
          <w:marLeft w:val="0"/>
          <w:marRight w:val="0"/>
          <w:marTop w:val="0"/>
          <w:marBottom w:val="0"/>
          <w:divBdr>
            <w:top w:val="none" w:sz="0" w:space="0" w:color="auto"/>
            <w:left w:val="none" w:sz="0" w:space="0" w:color="auto"/>
            <w:bottom w:val="none" w:sz="0" w:space="0" w:color="auto"/>
            <w:right w:val="none" w:sz="0" w:space="0" w:color="auto"/>
          </w:divBdr>
        </w:div>
        <w:div w:id="1483353894">
          <w:marLeft w:val="0"/>
          <w:marRight w:val="0"/>
          <w:marTop w:val="0"/>
          <w:marBottom w:val="0"/>
          <w:divBdr>
            <w:top w:val="none" w:sz="0" w:space="0" w:color="auto"/>
            <w:left w:val="none" w:sz="0" w:space="0" w:color="auto"/>
            <w:bottom w:val="none" w:sz="0" w:space="0" w:color="auto"/>
            <w:right w:val="none" w:sz="0" w:space="0" w:color="auto"/>
          </w:divBdr>
        </w:div>
        <w:div w:id="1495029139">
          <w:marLeft w:val="0"/>
          <w:marRight w:val="0"/>
          <w:marTop w:val="0"/>
          <w:marBottom w:val="0"/>
          <w:divBdr>
            <w:top w:val="none" w:sz="0" w:space="0" w:color="auto"/>
            <w:left w:val="none" w:sz="0" w:space="0" w:color="auto"/>
            <w:bottom w:val="none" w:sz="0" w:space="0" w:color="auto"/>
            <w:right w:val="none" w:sz="0" w:space="0" w:color="auto"/>
          </w:divBdr>
        </w:div>
        <w:div w:id="1535119896">
          <w:marLeft w:val="0"/>
          <w:marRight w:val="0"/>
          <w:marTop w:val="0"/>
          <w:marBottom w:val="0"/>
          <w:divBdr>
            <w:top w:val="none" w:sz="0" w:space="0" w:color="auto"/>
            <w:left w:val="none" w:sz="0" w:space="0" w:color="auto"/>
            <w:bottom w:val="none" w:sz="0" w:space="0" w:color="auto"/>
            <w:right w:val="none" w:sz="0" w:space="0" w:color="auto"/>
          </w:divBdr>
        </w:div>
        <w:div w:id="1549104451">
          <w:marLeft w:val="0"/>
          <w:marRight w:val="0"/>
          <w:marTop w:val="0"/>
          <w:marBottom w:val="0"/>
          <w:divBdr>
            <w:top w:val="none" w:sz="0" w:space="0" w:color="auto"/>
            <w:left w:val="none" w:sz="0" w:space="0" w:color="auto"/>
            <w:bottom w:val="none" w:sz="0" w:space="0" w:color="auto"/>
            <w:right w:val="none" w:sz="0" w:space="0" w:color="auto"/>
          </w:divBdr>
        </w:div>
        <w:div w:id="1559441514">
          <w:marLeft w:val="0"/>
          <w:marRight w:val="0"/>
          <w:marTop w:val="0"/>
          <w:marBottom w:val="0"/>
          <w:divBdr>
            <w:top w:val="none" w:sz="0" w:space="0" w:color="auto"/>
            <w:left w:val="none" w:sz="0" w:space="0" w:color="auto"/>
            <w:bottom w:val="none" w:sz="0" w:space="0" w:color="auto"/>
            <w:right w:val="none" w:sz="0" w:space="0" w:color="auto"/>
          </w:divBdr>
        </w:div>
        <w:div w:id="1564370496">
          <w:marLeft w:val="0"/>
          <w:marRight w:val="0"/>
          <w:marTop w:val="0"/>
          <w:marBottom w:val="0"/>
          <w:divBdr>
            <w:top w:val="none" w:sz="0" w:space="0" w:color="auto"/>
            <w:left w:val="none" w:sz="0" w:space="0" w:color="auto"/>
            <w:bottom w:val="none" w:sz="0" w:space="0" w:color="auto"/>
            <w:right w:val="none" w:sz="0" w:space="0" w:color="auto"/>
          </w:divBdr>
        </w:div>
        <w:div w:id="1589537981">
          <w:marLeft w:val="0"/>
          <w:marRight w:val="0"/>
          <w:marTop w:val="0"/>
          <w:marBottom w:val="0"/>
          <w:divBdr>
            <w:top w:val="none" w:sz="0" w:space="0" w:color="auto"/>
            <w:left w:val="none" w:sz="0" w:space="0" w:color="auto"/>
            <w:bottom w:val="none" w:sz="0" w:space="0" w:color="auto"/>
            <w:right w:val="none" w:sz="0" w:space="0" w:color="auto"/>
          </w:divBdr>
        </w:div>
        <w:div w:id="1599095588">
          <w:marLeft w:val="0"/>
          <w:marRight w:val="0"/>
          <w:marTop w:val="0"/>
          <w:marBottom w:val="0"/>
          <w:divBdr>
            <w:top w:val="none" w:sz="0" w:space="0" w:color="auto"/>
            <w:left w:val="none" w:sz="0" w:space="0" w:color="auto"/>
            <w:bottom w:val="none" w:sz="0" w:space="0" w:color="auto"/>
            <w:right w:val="none" w:sz="0" w:space="0" w:color="auto"/>
          </w:divBdr>
        </w:div>
        <w:div w:id="1604721651">
          <w:marLeft w:val="0"/>
          <w:marRight w:val="0"/>
          <w:marTop w:val="0"/>
          <w:marBottom w:val="0"/>
          <w:divBdr>
            <w:top w:val="none" w:sz="0" w:space="0" w:color="auto"/>
            <w:left w:val="none" w:sz="0" w:space="0" w:color="auto"/>
            <w:bottom w:val="none" w:sz="0" w:space="0" w:color="auto"/>
            <w:right w:val="none" w:sz="0" w:space="0" w:color="auto"/>
          </w:divBdr>
        </w:div>
        <w:div w:id="1628974005">
          <w:marLeft w:val="0"/>
          <w:marRight w:val="0"/>
          <w:marTop w:val="0"/>
          <w:marBottom w:val="0"/>
          <w:divBdr>
            <w:top w:val="none" w:sz="0" w:space="0" w:color="auto"/>
            <w:left w:val="none" w:sz="0" w:space="0" w:color="auto"/>
            <w:bottom w:val="none" w:sz="0" w:space="0" w:color="auto"/>
            <w:right w:val="none" w:sz="0" w:space="0" w:color="auto"/>
          </w:divBdr>
        </w:div>
        <w:div w:id="1667784942">
          <w:marLeft w:val="0"/>
          <w:marRight w:val="0"/>
          <w:marTop w:val="0"/>
          <w:marBottom w:val="0"/>
          <w:divBdr>
            <w:top w:val="none" w:sz="0" w:space="0" w:color="auto"/>
            <w:left w:val="none" w:sz="0" w:space="0" w:color="auto"/>
            <w:bottom w:val="none" w:sz="0" w:space="0" w:color="auto"/>
            <w:right w:val="none" w:sz="0" w:space="0" w:color="auto"/>
          </w:divBdr>
        </w:div>
        <w:div w:id="1699161182">
          <w:marLeft w:val="0"/>
          <w:marRight w:val="0"/>
          <w:marTop w:val="0"/>
          <w:marBottom w:val="0"/>
          <w:divBdr>
            <w:top w:val="none" w:sz="0" w:space="0" w:color="auto"/>
            <w:left w:val="none" w:sz="0" w:space="0" w:color="auto"/>
            <w:bottom w:val="none" w:sz="0" w:space="0" w:color="auto"/>
            <w:right w:val="none" w:sz="0" w:space="0" w:color="auto"/>
          </w:divBdr>
        </w:div>
        <w:div w:id="1700811296">
          <w:marLeft w:val="0"/>
          <w:marRight w:val="0"/>
          <w:marTop w:val="0"/>
          <w:marBottom w:val="0"/>
          <w:divBdr>
            <w:top w:val="none" w:sz="0" w:space="0" w:color="auto"/>
            <w:left w:val="none" w:sz="0" w:space="0" w:color="auto"/>
            <w:bottom w:val="none" w:sz="0" w:space="0" w:color="auto"/>
            <w:right w:val="none" w:sz="0" w:space="0" w:color="auto"/>
          </w:divBdr>
        </w:div>
        <w:div w:id="1702972687">
          <w:marLeft w:val="0"/>
          <w:marRight w:val="0"/>
          <w:marTop w:val="0"/>
          <w:marBottom w:val="0"/>
          <w:divBdr>
            <w:top w:val="none" w:sz="0" w:space="0" w:color="auto"/>
            <w:left w:val="none" w:sz="0" w:space="0" w:color="auto"/>
            <w:bottom w:val="none" w:sz="0" w:space="0" w:color="auto"/>
            <w:right w:val="none" w:sz="0" w:space="0" w:color="auto"/>
          </w:divBdr>
        </w:div>
        <w:div w:id="1780103066">
          <w:marLeft w:val="0"/>
          <w:marRight w:val="0"/>
          <w:marTop w:val="0"/>
          <w:marBottom w:val="0"/>
          <w:divBdr>
            <w:top w:val="none" w:sz="0" w:space="0" w:color="auto"/>
            <w:left w:val="none" w:sz="0" w:space="0" w:color="auto"/>
            <w:bottom w:val="none" w:sz="0" w:space="0" w:color="auto"/>
            <w:right w:val="none" w:sz="0" w:space="0" w:color="auto"/>
          </w:divBdr>
        </w:div>
        <w:div w:id="1805077268">
          <w:marLeft w:val="0"/>
          <w:marRight w:val="0"/>
          <w:marTop w:val="0"/>
          <w:marBottom w:val="0"/>
          <w:divBdr>
            <w:top w:val="none" w:sz="0" w:space="0" w:color="auto"/>
            <w:left w:val="none" w:sz="0" w:space="0" w:color="auto"/>
            <w:bottom w:val="none" w:sz="0" w:space="0" w:color="auto"/>
            <w:right w:val="none" w:sz="0" w:space="0" w:color="auto"/>
          </w:divBdr>
        </w:div>
        <w:div w:id="1822118797">
          <w:marLeft w:val="0"/>
          <w:marRight w:val="0"/>
          <w:marTop w:val="0"/>
          <w:marBottom w:val="0"/>
          <w:divBdr>
            <w:top w:val="none" w:sz="0" w:space="0" w:color="auto"/>
            <w:left w:val="none" w:sz="0" w:space="0" w:color="auto"/>
            <w:bottom w:val="none" w:sz="0" w:space="0" w:color="auto"/>
            <w:right w:val="none" w:sz="0" w:space="0" w:color="auto"/>
          </w:divBdr>
        </w:div>
        <w:div w:id="1860587550">
          <w:marLeft w:val="0"/>
          <w:marRight w:val="0"/>
          <w:marTop w:val="0"/>
          <w:marBottom w:val="0"/>
          <w:divBdr>
            <w:top w:val="none" w:sz="0" w:space="0" w:color="auto"/>
            <w:left w:val="none" w:sz="0" w:space="0" w:color="auto"/>
            <w:bottom w:val="none" w:sz="0" w:space="0" w:color="auto"/>
            <w:right w:val="none" w:sz="0" w:space="0" w:color="auto"/>
          </w:divBdr>
        </w:div>
        <w:div w:id="1879396320">
          <w:marLeft w:val="0"/>
          <w:marRight w:val="0"/>
          <w:marTop w:val="0"/>
          <w:marBottom w:val="0"/>
          <w:divBdr>
            <w:top w:val="none" w:sz="0" w:space="0" w:color="auto"/>
            <w:left w:val="none" w:sz="0" w:space="0" w:color="auto"/>
            <w:bottom w:val="none" w:sz="0" w:space="0" w:color="auto"/>
            <w:right w:val="none" w:sz="0" w:space="0" w:color="auto"/>
          </w:divBdr>
        </w:div>
        <w:div w:id="1880773471">
          <w:marLeft w:val="0"/>
          <w:marRight w:val="0"/>
          <w:marTop w:val="0"/>
          <w:marBottom w:val="0"/>
          <w:divBdr>
            <w:top w:val="none" w:sz="0" w:space="0" w:color="auto"/>
            <w:left w:val="none" w:sz="0" w:space="0" w:color="auto"/>
            <w:bottom w:val="none" w:sz="0" w:space="0" w:color="auto"/>
            <w:right w:val="none" w:sz="0" w:space="0" w:color="auto"/>
          </w:divBdr>
        </w:div>
        <w:div w:id="1921056971">
          <w:marLeft w:val="0"/>
          <w:marRight w:val="0"/>
          <w:marTop w:val="0"/>
          <w:marBottom w:val="0"/>
          <w:divBdr>
            <w:top w:val="none" w:sz="0" w:space="0" w:color="auto"/>
            <w:left w:val="none" w:sz="0" w:space="0" w:color="auto"/>
            <w:bottom w:val="none" w:sz="0" w:space="0" w:color="auto"/>
            <w:right w:val="none" w:sz="0" w:space="0" w:color="auto"/>
          </w:divBdr>
        </w:div>
        <w:div w:id="1940796037">
          <w:marLeft w:val="0"/>
          <w:marRight w:val="0"/>
          <w:marTop w:val="0"/>
          <w:marBottom w:val="0"/>
          <w:divBdr>
            <w:top w:val="none" w:sz="0" w:space="0" w:color="auto"/>
            <w:left w:val="none" w:sz="0" w:space="0" w:color="auto"/>
            <w:bottom w:val="none" w:sz="0" w:space="0" w:color="auto"/>
            <w:right w:val="none" w:sz="0" w:space="0" w:color="auto"/>
          </w:divBdr>
        </w:div>
        <w:div w:id="1979798256">
          <w:marLeft w:val="0"/>
          <w:marRight w:val="0"/>
          <w:marTop w:val="0"/>
          <w:marBottom w:val="0"/>
          <w:divBdr>
            <w:top w:val="none" w:sz="0" w:space="0" w:color="auto"/>
            <w:left w:val="none" w:sz="0" w:space="0" w:color="auto"/>
            <w:bottom w:val="none" w:sz="0" w:space="0" w:color="auto"/>
            <w:right w:val="none" w:sz="0" w:space="0" w:color="auto"/>
          </w:divBdr>
        </w:div>
        <w:div w:id="1985160758">
          <w:marLeft w:val="0"/>
          <w:marRight w:val="0"/>
          <w:marTop w:val="0"/>
          <w:marBottom w:val="0"/>
          <w:divBdr>
            <w:top w:val="none" w:sz="0" w:space="0" w:color="auto"/>
            <w:left w:val="none" w:sz="0" w:space="0" w:color="auto"/>
            <w:bottom w:val="none" w:sz="0" w:space="0" w:color="auto"/>
            <w:right w:val="none" w:sz="0" w:space="0" w:color="auto"/>
          </w:divBdr>
        </w:div>
        <w:div w:id="1985893543">
          <w:marLeft w:val="0"/>
          <w:marRight w:val="0"/>
          <w:marTop w:val="0"/>
          <w:marBottom w:val="0"/>
          <w:divBdr>
            <w:top w:val="none" w:sz="0" w:space="0" w:color="auto"/>
            <w:left w:val="none" w:sz="0" w:space="0" w:color="auto"/>
            <w:bottom w:val="none" w:sz="0" w:space="0" w:color="auto"/>
            <w:right w:val="none" w:sz="0" w:space="0" w:color="auto"/>
          </w:divBdr>
        </w:div>
        <w:div w:id="2046058943">
          <w:marLeft w:val="0"/>
          <w:marRight w:val="0"/>
          <w:marTop w:val="0"/>
          <w:marBottom w:val="0"/>
          <w:divBdr>
            <w:top w:val="none" w:sz="0" w:space="0" w:color="auto"/>
            <w:left w:val="none" w:sz="0" w:space="0" w:color="auto"/>
            <w:bottom w:val="none" w:sz="0" w:space="0" w:color="auto"/>
            <w:right w:val="none" w:sz="0" w:space="0" w:color="auto"/>
          </w:divBdr>
        </w:div>
        <w:div w:id="2065059209">
          <w:marLeft w:val="0"/>
          <w:marRight w:val="0"/>
          <w:marTop w:val="0"/>
          <w:marBottom w:val="0"/>
          <w:divBdr>
            <w:top w:val="none" w:sz="0" w:space="0" w:color="auto"/>
            <w:left w:val="none" w:sz="0" w:space="0" w:color="auto"/>
            <w:bottom w:val="none" w:sz="0" w:space="0" w:color="auto"/>
            <w:right w:val="none" w:sz="0" w:space="0" w:color="auto"/>
          </w:divBdr>
        </w:div>
        <w:div w:id="2067488053">
          <w:marLeft w:val="0"/>
          <w:marRight w:val="0"/>
          <w:marTop w:val="0"/>
          <w:marBottom w:val="0"/>
          <w:divBdr>
            <w:top w:val="none" w:sz="0" w:space="0" w:color="auto"/>
            <w:left w:val="none" w:sz="0" w:space="0" w:color="auto"/>
            <w:bottom w:val="none" w:sz="0" w:space="0" w:color="auto"/>
            <w:right w:val="none" w:sz="0" w:space="0" w:color="auto"/>
          </w:divBdr>
        </w:div>
        <w:div w:id="2130319678">
          <w:marLeft w:val="0"/>
          <w:marRight w:val="0"/>
          <w:marTop w:val="0"/>
          <w:marBottom w:val="0"/>
          <w:divBdr>
            <w:top w:val="none" w:sz="0" w:space="0" w:color="auto"/>
            <w:left w:val="none" w:sz="0" w:space="0" w:color="auto"/>
            <w:bottom w:val="none" w:sz="0" w:space="0" w:color="auto"/>
            <w:right w:val="none" w:sz="0" w:space="0" w:color="auto"/>
          </w:divBdr>
        </w:div>
        <w:div w:id="2136949280">
          <w:marLeft w:val="0"/>
          <w:marRight w:val="0"/>
          <w:marTop w:val="0"/>
          <w:marBottom w:val="0"/>
          <w:divBdr>
            <w:top w:val="none" w:sz="0" w:space="0" w:color="auto"/>
            <w:left w:val="none" w:sz="0" w:space="0" w:color="auto"/>
            <w:bottom w:val="none" w:sz="0" w:space="0" w:color="auto"/>
            <w:right w:val="none" w:sz="0" w:space="0" w:color="auto"/>
          </w:divBdr>
        </w:div>
      </w:divsChild>
    </w:div>
    <w:div w:id="872158477">
      <w:bodyDiv w:val="1"/>
      <w:marLeft w:val="0"/>
      <w:marRight w:val="0"/>
      <w:marTop w:val="0"/>
      <w:marBottom w:val="0"/>
      <w:divBdr>
        <w:top w:val="none" w:sz="0" w:space="0" w:color="auto"/>
        <w:left w:val="none" w:sz="0" w:space="0" w:color="auto"/>
        <w:bottom w:val="none" w:sz="0" w:space="0" w:color="auto"/>
        <w:right w:val="none" w:sz="0" w:space="0" w:color="auto"/>
      </w:divBdr>
    </w:div>
    <w:div w:id="877165562">
      <w:bodyDiv w:val="1"/>
      <w:marLeft w:val="0"/>
      <w:marRight w:val="0"/>
      <w:marTop w:val="0"/>
      <w:marBottom w:val="0"/>
      <w:divBdr>
        <w:top w:val="none" w:sz="0" w:space="0" w:color="auto"/>
        <w:left w:val="none" w:sz="0" w:space="0" w:color="auto"/>
        <w:bottom w:val="none" w:sz="0" w:space="0" w:color="auto"/>
        <w:right w:val="none" w:sz="0" w:space="0" w:color="auto"/>
      </w:divBdr>
    </w:div>
    <w:div w:id="973481256">
      <w:bodyDiv w:val="1"/>
      <w:marLeft w:val="0"/>
      <w:marRight w:val="0"/>
      <w:marTop w:val="0"/>
      <w:marBottom w:val="0"/>
      <w:divBdr>
        <w:top w:val="none" w:sz="0" w:space="0" w:color="auto"/>
        <w:left w:val="none" w:sz="0" w:space="0" w:color="auto"/>
        <w:bottom w:val="none" w:sz="0" w:space="0" w:color="auto"/>
        <w:right w:val="none" w:sz="0" w:space="0" w:color="auto"/>
      </w:divBdr>
    </w:div>
    <w:div w:id="1009873681">
      <w:bodyDiv w:val="1"/>
      <w:marLeft w:val="0"/>
      <w:marRight w:val="0"/>
      <w:marTop w:val="0"/>
      <w:marBottom w:val="0"/>
      <w:divBdr>
        <w:top w:val="none" w:sz="0" w:space="0" w:color="auto"/>
        <w:left w:val="none" w:sz="0" w:space="0" w:color="auto"/>
        <w:bottom w:val="none" w:sz="0" w:space="0" w:color="auto"/>
        <w:right w:val="none" w:sz="0" w:space="0" w:color="auto"/>
      </w:divBdr>
    </w:div>
    <w:div w:id="1106803531">
      <w:bodyDiv w:val="1"/>
      <w:marLeft w:val="0"/>
      <w:marRight w:val="0"/>
      <w:marTop w:val="0"/>
      <w:marBottom w:val="0"/>
      <w:divBdr>
        <w:top w:val="none" w:sz="0" w:space="0" w:color="auto"/>
        <w:left w:val="none" w:sz="0" w:space="0" w:color="auto"/>
        <w:bottom w:val="none" w:sz="0" w:space="0" w:color="auto"/>
        <w:right w:val="none" w:sz="0" w:space="0" w:color="auto"/>
      </w:divBdr>
    </w:div>
    <w:div w:id="1135760452">
      <w:bodyDiv w:val="1"/>
      <w:marLeft w:val="0"/>
      <w:marRight w:val="0"/>
      <w:marTop w:val="0"/>
      <w:marBottom w:val="0"/>
      <w:divBdr>
        <w:top w:val="none" w:sz="0" w:space="0" w:color="auto"/>
        <w:left w:val="none" w:sz="0" w:space="0" w:color="auto"/>
        <w:bottom w:val="none" w:sz="0" w:space="0" w:color="auto"/>
        <w:right w:val="none" w:sz="0" w:space="0" w:color="auto"/>
      </w:divBdr>
    </w:div>
    <w:div w:id="1154494924">
      <w:bodyDiv w:val="1"/>
      <w:marLeft w:val="0"/>
      <w:marRight w:val="0"/>
      <w:marTop w:val="0"/>
      <w:marBottom w:val="0"/>
      <w:divBdr>
        <w:top w:val="none" w:sz="0" w:space="0" w:color="auto"/>
        <w:left w:val="none" w:sz="0" w:space="0" w:color="auto"/>
        <w:bottom w:val="none" w:sz="0" w:space="0" w:color="auto"/>
        <w:right w:val="none" w:sz="0" w:space="0" w:color="auto"/>
      </w:divBdr>
    </w:div>
    <w:div w:id="1234775965">
      <w:bodyDiv w:val="1"/>
      <w:marLeft w:val="0"/>
      <w:marRight w:val="0"/>
      <w:marTop w:val="0"/>
      <w:marBottom w:val="0"/>
      <w:divBdr>
        <w:top w:val="none" w:sz="0" w:space="0" w:color="auto"/>
        <w:left w:val="none" w:sz="0" w:space="0" w:color="auto"/>
        <w:bottom w:val="none" w:sz="0" w:space="0" w:color="auto"/>
        <w:right w:val="none" w:sz="0" w:space="0" w:color="auto"/>
      </w:divBdr>
    </w:div>
    <w:div w:id="1283994758">
      <w:bodyDiv w:val="1"/>
      <w:marLeft w:val="0"/>
      <w:marRight w:val="0"/>
      <w:marTop w:val="0"/>
      <w:marBottom w:val="0"/>
      <w:divBdr>
        <w:top w:val="none" w:sz="0" w:space="0" w:color="auto"/>
        <w:left w:val="none" w:sz="0" w:space="0" w:color="auto"/>
        <w:bottom w:val="none" w:sz="0" w:space="0" w:color="auto"/>
        <w:right w:val="none" w:sz="0" w:space="0" w:color="auto"/>
      </w:divBdr>
    </w:div>
    <w:div w:id="1311132710">
      <w:bodyDiv w:val="1"/>
      <w:marLeft w:val="0"/>
      <w:marRight w:val="0"/>
      <w:marTop w:val="0"/>
      <w:marBottom w:val="0"/>
      <w:divBdr>
        <w:top w:val="none" w:sz="0" w:space="0" w:color="auto"/>
        <w:left w:val="none" w:sz="0" w:space="0" w:color="auto"/>
        <w:bottom w:val="none" w:sz="0" w:space="0" w:color="auto"/>
        <w:right w:val="none" w:sz="0" w:space="0" w:color="auto"/>
      </w:divBdr>
    </w:div>
    <w:div w:id="1315837910">
      <w:bodyDiv w:val="1"/>
      <w:marLeft w:val="0"/>
      <w:marRight w:val="0"/>
      <w:marTop w:val="0"/>
      <w:marBottom w:val="0"/>
      <w:divBdr>
        <w:top w:val="none" w:sz="0" w:space="0" w:color="auto"/>
        <w:left w:val="none" w:sz="0" w:space="0" w:color="auto"/>
        <w:bottom w:val="none" w:sz="0" w:space="0" w:color="auto"/>
        <w:right w:val="none" w:sz="0" w:space="0" w:color="auto"/>
      </w:divBdr>
    </w:div>
    <w:div w:id="1363476687">
      <w:bodyDiv w:val="1"/>
      <w:marLeft w:val="0"/>
      <w:marRight w:val="0"/>
      <w:marTop w:val="0"/>
      <w:marBottom w:val="0"/>
      <w:divBdr>
        <w:top w:val="none" w:sz="0" w:space="0" w:color="auto"/>
        <w:left w:val="none" w:sz="0" w:space="0" w:color="auto"/>
        <w:bottom w:val="none" w:sz="0" w:space="0" w:color="auto"/>
        <w:right w:val="none" w:sz="0" w:space="0" w:color="auto"/>
      </w:divBdr>
    </w:div>
    <w:div w:id="1364137272">
      <w:bodyDiv w:val="1"/>
      <w:marLeft w:val="0"/>
      <w:marRight w:val="0"/>
      <w:marTop w:val="0"/>
      <w:marBottom w:val="0"/>
      <w:divBdr>
        <w:top w:val="none" w:sz="0" w:space="0" w:color="auto"/>
        <w:left w:val="none" w:sz="0" w:space="0" w:color="auto"/>
        <w:bottom w:val="none" w:sz="0" w:space="0" w:color="auto"/>
        <w:right w:val="none" w:sz="0" w:space="0" w:color="auto"/>
      </w:divBdr>
      <w:divsChild>
        <w:div w:id="346056757">
          <w:marLeft w:val="0"/>
          <w:marRight w:val="0"/>
          <w:marTop w:val="0"/>
          <w:marBottom w:val="0"/>
          <w:divBdr>
            <w:top w:val="none" w:sz="0" w:space="0" w:color="auto"/>
            <w:left w:val="none" w:sz="0" w:space="0" w:color="auto"/>
            <w:bottom w:val="none" w:sz="0" w:space="0" w:color="auto"/>
            <w:right w:val="none" w:sz="0" w:space="0" w:color="auto"/>
          </w:divBdr>
        </w:div>
        <w:div w:id="380978041">
          <w:marLeft w:val="0"/>
          <w:marRight w:val="0"/>
          <w:marTop w:val="0"/>
          <w:marBottom w:val="0"/>
          <w:divBdr>
            <w:top w:val="none" w:sz="0" w:space="0" w:color="auto"/>
            <w:left w:val="none" w:sz="0" w:space="0" w:color="auto"/>
            <w:bottom w:val="none" w:sz="0" w:space="0" w:color="auto"/>
            <w:right w:val="none" w:sz="0" w:space="0" w:color="auto"/>
          </w:divBdr>
        </w:div>
        <w:div w:id="817380145">
          <w:marLeft w:val="0"/>
          <w:marRight w:val="0"/>
          <w:marTop w:val="0"/>
          <w:marBottom w:val="0"/>
          <w:divBdr>
            <w:top w:val="none" w:sz="0" w:space="0" w:color="auto"/>
            <w:left w:val="none" w:sz="0" w:space="0" w:color="auto"/>
            <w:bottom w:val="none" w:sz="0" w:space="0" w:color="auto"/>
            <w:right w:val="none" w:sz="0" w:space="0" w:color="auto"/>
          </w:divBdr>
        </w:div>
        <w:div w:id="1402369947">
          <w:marLeft w:val="0"/>
          <w:marRight w:val="0"/>
          <w:marTop w:val="0"/>
          <w:marBottom w:val="0"/>
          <w:divBdr>
            <w:top w:val="none" w:sz="0" w:space="0" w:color="auto"/>
            <w:left w:val="none" w:sz="0" w:space="0" w:color="auto"/>
            <w:bottom w:val="none" w:sz="0" w:space="0" w:color="auto"/>
            <w:right w:val="none" w:sz="0" w:space="0" w:color="auto"/>
          </w:divBdr>
        </w:div>
        <w:div w:id="1642348821">
          <w:marLeft w:val="0"/>
          <w:marRight w:val="0"/>
          <w:marTop w:val="0"/>
          <w:marBottom w:val="0"/>
          <w:divBdr>
            <w:top w:val="none" w:sz="0" w:space="0" w:color="auto"/>
            <w:left w:val="none" w:sz="0" w:space="0" w:color="auto"/>
            <w:bottom w:val="none" w:sz="0" w:space="0" w:color="auto"/>
            <w:right w:val="none" w:sz="0" w:space="0" w:color="auto"/>
          </w:divBdr>
        </w:div>
      </w:divsChild>
    </w:div>
    <w:div w:id="1367023133">
      <w:bodyDiv w:val="1"/>
      <w:marLeft w:val="0"/>
      <w:marRight w:val="0"/>
      <w:marTop w:val="0"/>
      <w:marBottom w:val="0"/>
      <w:divBdr>
        <w:top w:val="none" w:sz="0" w:space="0" w:color="auto"/>
        <w:left w:val="none" w:sz="0" w:space="0" w:color="auto"/>
        <w:bottom w:val="none" w:sz="0" w:space="0" w:color="auto"/>
        <w:right w:val="none" w:sz="0" w:space="0" w:color="auto"/>
      </w:divBdr>
    </w:div>
    <w:div w:id="1479763871">
      <w:bodyDiv w:val="1"/>
      <w:marLeft w:val="0"/>
      <w:marRight w:val="0"/>
      <w:marTop w:val="0"/>
      <w:marBottom w:val="0"/>
      <w:divBdr>
        <w:top w:val="none" w:sz="0" w:space="0" w:color="auto"/>
        <w:left w:val="none" w:sz="0" w:space="0" w:color="auto"/>
        <w:bottom w:val="none" w:sz="0" w:space="0" w:color="auto"/>
        <w:right w:val="none" w:sz="0" w:space="0" w:color="auto"/>
      </w:divBdr>
    </w:div>
    <w:div w:id="1513884710">
      <w:bodyDiv w:val="1"/>
      <w:marLeft w:val="0"/>
      <w:marRight w:val="0"/>
      <w:marTop w:val="0"/>
      <w:marBottom w:val="0"/>
      <w:divBdr>
        <w:top w:val="none" w:sz="0" w:space="0" w:color="auto"/>
        <w:left w:val="none" w:sz="0" w:space="0" w:color="auto"/>
        <w:bottom w:val="none" w:sz="0" w:space="0" w:color="auto"/>
        <w:right w:val="none" w:sz="0" w:space="0" w:color="auto"/>
      </w:divBdr>
    </w:div>
    <w:div w:id="1548836898">
      <w:bodyDiv w:val="1"/>
      <w:marLeft w:val="0"/>
      <w:marRight w:val="0"/>
      <w:marTop w:val="0"/>
      <w:marBottom w:val="0"/>
      <w:divBdr>
        <w:top w:val="none" w:sz="0" w:space="0" w:color="auto"/>
        <w:left w:val="none" w:sz="0" w:space="0" w:color="auto"/>
        <w:bottom w:val="none" w:sz="0" w:space="0" w:color="auto"/>
        <w:right w:val="none" w:sz="0" w:space="0" w:color="auto"/>
      </w:divBdr>
    </w:div>
    <w:div w:id="1590508559">
      <w:bodyDiv w:val="1"/>
      <w:marLeft w:val="0"/>
      <w:marRight w:val="0"/>
      <w:marTop w:val="0"/>
      <w:marBottom w:val="0"/>
      <w:divBdr>
        <w:top w:val="none" w:sz="0" w:space="0" w:color="auto"/>
        <w:left w:val="none" w:sz="0" w:space="0" w:color="auto"/>
        <w:bottom w:val="none" w:sz="0" w:space="0" w:color="auto"/>
        <w:right w:val="none" w:sz="0" w:space="0" w:color="auto"/>
      </w:divBdr>
    </w:div>
    <w:div w:id="1734161166">
      <w:bodyDiv w:val="1"/>
      <w:marLeft w:val="0"/>
      <w:marRight w:val="0"/>
      <w:marTop w:val="0"/>
      <w:marBottom w:val="0"/>
      <w:divBdr>
        <w:top w:val="none" w:sz="0" w:space="0" w:color="auto"/>
        <w:left w:val="none" w:sz="0" w:space="0" w:color="auto"/>
        <w:bottom w:val="none" w:sz="0" w:space="0" w:color="auto"/>
        <w:right w:val="none" w:sz="0" w:space="0" w:color="auto"/>
      </w:divBdr>
    </w:div>
    <w:div w:id="1749426383">
      <w:bodyDiv w:val="1"/>
      <w:marLeft w:val="0"/>
      <w:marRight w:val="0"/>
      <w:marTop w:val="0"/>
      <w:marBottom w:val="0"/>
      <w:divBdr>
        <w:top w:val="none" w:sz="0" w:space="0" w:color="auto"/>
        <w:left w:val="none" w:sz="0" w:space="0" w:color="auto"/>
        <w:bottom w:val="none" w:sz="0" w:space="0" w:color="auto"/>
        <w:right w:val="none" w:sz="0" w:space="0" w:color="auto"/>
      </w:divBdr>
    </w:div>
    <w:div w:id="1752771851">
      <w:bodyDiv w:val="1"/>
      <w:marLeft w:val="0"/>
      <w:marRight w:val="0"/>
      <w:marTop w:val="0"/>
      <w:marBottom w:val="0"/>
      <w:divBdr>
        <w:top w:val="none" w:sz="0" w:space="0" w:color="auto"/>
        <w:left w:val="none" w:sz="0" w:space="0" w:color="auto"/>
        <w:bottom w:val="none" w:sz="0" w:space="0" w:color="auto"/>
        <w:right w:val="none" w:sz="0" w:space="0" w:color="auto"/>
      </w:divBdr>
    </w:div>
    <w:div w:id="1827739340">
      <w:bodyDiv w:val="1"/>
      <w:marLeft w:val="0"/>
      <w:marRight w:val="0"/>
      <w:marTop w:val="0"/>
      <w:marBottom w:val="0"/>
      <w:divBdr>
        <w:top w:val="none" w:sz="0" w:space="0" w:color="auto"/>
        <w:left w:val="none" w:sz="0" w:space="0" w:color="auto"/>
        <w:bottom w:val="none" w:sz="0" w:space="0" w:color="auto"/>
        <w:right w:val="none" w:sz="0" w:space="0" w:color="auto"/>
      </w:divBdr>
    </w:div>
    <w:div w:id="1851136869">
      <w:bodyDiv w:val="1"/>
      <w:marLeft w:val="0"/>
      <w:marRight w:val="0"/>
      <w:marTop w:val="0"/>
      <w:marBottom w:val="0"/>
      <w:divBdr>
        <w:top w:val="none" w:sz="0" w:space="0" w:color="auto"/>
        <w:left w:val="none" w:sz="0" w:space="0" w:color="auto"/>
        <w:bottom w:val="none" w:sz="0" w:space="0" w:color="auto"/>
        <w:right w:val="none" w:sz="0" w:space="0" w:color="auto"/>
      </w:divBdr>
    </w:div>
    <w:div w:id="21207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6.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8.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tesouro.fazenda.gov.br/documents/10180/541691/Relat%C3%B3rio+Quadrimestral+de+Garantias+-+2%C2%BA%20Quadrimestre+2016/cbc08962-e8d7-451d-aaa1-da2a3e8f406e" TargetMode="External"/><Relationship Id="rId28" Type="http://schemas.openxmlformats.org/officeDocument/2006/relationships/image" Target="media/image14.png"/><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hyperlink" Target="https://sahem.tesouro.gov.br/sahem/public/consultar_cam.jsf" TargetMode="External"/><Relationship Id="rId27" Type="http://schemas.openxmlformats.org/officeDocument/2006/relationships/image" Target="media/image13.pn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06706120650\Downloads\Fan_Chart_ARF%202019_v2%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6706120650\Downloads\Fan_Chart_ARF%202019_v2%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6706120650\Downloads\Fan_Chart_ARF%202019_v2%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06706120650\Downloads\Fan_Chart_ARF%202019_v2%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06706120650\Downloads\Fan_Chart_ARF%202019_v2%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'[Fan_Chart_ARF 2019_v2 (1).xlsx]Receitas (Líquida)'!$M$1</c:f>
              <c:strCache>
                <c:ptCount val="1"/>
                <c:pt idx="0">
                  <c:v>Percentil_10</c:v>
                </c:pt>
              </c:strCache>
            </c:strRef>
          </c:tx>
          <c:spPr>
            <a:noFill/>
            <a:ln>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(Líquida)'!$M$2:$M$7</c:f>
              <c:numCache>
                <c:formatCode>_-* #,##0_-;\-* #,##0_-;_-* "-"??_-;_-@_-</c:formatCode>
                <c:ptCount val="6"/>
                <c:pt idx="0">
                  <c:v>1088117.5636596419</c:v>
                </c:pt>
                <c:pt idx="1">
                  <c:v>1154606.8323863433</c:v>
                </c:pt>
                <c:pt idx="2">
                  <c:v>1182766.7539936849</c:v>
                </c:pt>
                <c:pt idx="3">
                  <c:v>1214461.2880448485</c:v>
                </c:pt>
                <c:pt idx="4">
                  <c:v>1250469.1740475381</c:v>
                </c:pt>
                <c:pt idx="5">
                  <c:v>1274080.7595022274</c:v>
                </c:pt>
              </c:numCache>
            </c:numRef>
          </c:val>
        </c:ser>
        <c:ser>
          <c:idx val="1"/>
          <c:order val="1"/>
          <c:tx>
            <c:strRef>
              <c:f>'[Fan_Chart_ARF 2019_v2 (1).xlsx]Receitas (Líquida)'!$N$1</c:f>
              <c:strCache>
                <c:ptCount val="1"/>
                <c:pt idx="0">
                  <c:v>Percentil_20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(Líquida)'!$N$2:$N$7</c:f>
              <c:numCache>
                <c:formatCode>_-* #,##0_-;\-* #,##0_-;_-* "-"??_-;_-@_-</c:formatCode>
                <c:ptCount val="6"/>
                <c:pt idx="0">
                  <c:v>0</c:v>
                </c:pt>
                <c:pt idx="1">
                  <c:v>0</c:v>
                </c:pt>
                <c:pt idx="2">
                  <c:v>9584.8700981731527</c:v>
                </c:pt>
                <c:pt idx="3">
                  <c:v>20640.274054440204</c:v>
                </c:pt>
                <c:pt idx="4">
                  <c:v>39621.604950490408</c:v>
                </c:pt>
                <c:pt idx="5">
                  <c:v>62680.971377202775</c:v>
                </c:pt>
              </c:numCache>
            </c:numRef>
          </c:val>
        </c:ser>
        <c:ser>
          <c:idx val="2"/>
          <c:order val="2"/>
          <c:tx>
            <c:strRef>
              <c:f>'[Fan_Chart_ARF 2019_v2 (1).xlsx]Receitas (Líquida)'!$O$1</c:f>
              <c:strCache>
                <c:ptCount val="1"/>
                <c:pt idx="0">
                  <c:v>Percentil_30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(Líquida)'!$O$2:$O$7</c:f>
              <c:numCache>
                <c:formatCode>_-* #,##0_-;\-* #,##0_-;_-* "-"??_-;_-@_-</c:formatCode>
                <c:ptCount val="6"/>
                <c:pt idx="0">
                  <c:v>0</c:v>
                </c:pt>
                <c:pt idx="1">
                  <c:v>0</c:v>
                </c:pt>
                <c:pt idx="2">
                  <c:v>6739.0077837964054</c:v>
                </c:pt>
                <c:pt idx="3">
                  <c:v>15166.774458904751</c:v>
                </c:pt>
                <c:pt idx="4">
                  <c:v>29373.759896813193</c:v>
                </c:pt>
                <c:pt idx="5">
                  <c:v>46615.284208066296</c:v>
                </c:pt>
              </c:numCache>
            </c:numRef>
          </c:val>
        </c:ser>
        <c:ser>
          <c:idx val="3"/>
          <c:order val="3"/>
          <c:tx>
            <c:strRef>
              <c:f>'[Fan_Chart_ARF 2019_v2 (1).xlsx]Receitas (Líquida)'!$P$1</c:f>
              <c:strCache>
                <c:ptCount val="1"/>
                <c:pt idx="0">
                  <c:v>Percentil_40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(Líquida)'!$P$2:$P$7</c:f>
              <c:numCache>
                <c:formatCode>_-* #,##0_-;\-* #,##0_-;_-* "-"??_-;_-@_-</c:formatCode>
                <c:ptCount val="6"/>
                <c:pt idx="0">
                  <c:v>0</c:v>
                </c:pt>
                <c:pt idx="1">
                  <c:v>0</c:v>
                </c:pt>
                <c:pt idx="2">
                  <c:v>6012.7216818339657</c:v>
                </c:pt>
                <c:pt idx="3">
                  <c:v>13314.839213952422</c:v>
                </c:pt>
                <c:pt idx="4">
                  <c:v>25835.079708000645</c:v>
                </c:pt>
                <c:pt idx="5">
                  <c:v>41497.495051302947</c:v>
                </c:pt>
              </c:numCache>
            </c:numRef>
          </c:val>
        </c:ser>
        <c:ser>
          <c:idx val="4"/>
          <c:order val="4"/>
          <c:tx>
            <c:strRef>
              <c:f>'[Fan_Chart_ARF 2019_v2 (1).xlsx]Receitas (Líquida)'!$Q$1</c:f>
              <c:strCache>
                <c:ptCount val="1"/>
                <c:pt idx="0">
                  <c:v>Percentil_60</c:v>
                </c:pt>
              </c:strCache>
            </c:strRef>
          </c:tx>
          <c:spPr>
            <a:solidFill>
              <a:schemeClr val="accent1">
                <a:lumMod val="75000"/>
                <a:alpha val="75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(Líquida)'!$Q$2:$Q$7</c:f>
              <c:numCache>
                <c:formatCode>_-* #,##0_-;\-* #,##0_-;_-* "-"??_-;_-@_-</c:formatCode>
                <c:ptCount val="6"/>
                <c:pt idx="0">
                  <c:v>0</c:v>
                </c:pt>
                <c:pt idx="1">
                  <c:v>0</c:v>
                </c:pt>
                <c:pt idx="2">
                  <c:v>11988.716181512224</c:v>
                </c:pt>
                <c:pt idx="3">
                  <c:v>23753.485595023958</c:v>
                </c:pt>
                <c:pt idx="4">
                  <c:v>47754.324777988018</c:v>
                </c:pt>
                <c:pt idx="5">
                  <c:v>78477.974882806651</c:v>
                </c:pt>
              </c:numCache>
            </c:numRef>
          </c:val>
        </c:ser>
        <c:ser>
          <c:idx val="5"/>
          <c:order val="5"/>
          <c:tx>
            <c:strRef>
              <c:f>'[Fan_Chart_ARF 2019_v2 (1).xlsx]Receitas (Líquida)'!$R$1</c:f>
              <c:strCache>
                <c:ptCount val="1"/>
                <c:pt idx="0">
                  <c:v>Percentil_70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(Líquida)'!$R$2:$R$7</c:f>
              <c:numCache>
                <c:formatCode>_-* #,##0_-;\-* #,##0_-;_-* "-"??_-;_-@_-</c:formatCode>
                <c:ptCount val="6"/>
                <c:pt idx="0">
                  <c:v>0</c:v>
                </c:pt>
                <c:pt idx="1">
                  <c:v>0</c:v>
                </c:pt>
                <c:pt idx="2">
                  <c:v>6300.8141470588744</c:v>
                </c:pt>
                <c:pt idx="3">
                  <c:v>12263.54280426167</c:v>
                </c:pt>
                <c:pt idx="4">
                  <c:v>25296.068656297866</c:v>
                </c:pt>
                <c:pt idx="5">
                  <c:v>42366.46259372565</c:v>
                </c:pt>
              </c:numCache>
            </c:numRef>
          </c:val>
        </c:ser>
        <c:ser>
          <c:idx val="6"/>
          <c:order val="6"/>
          <c:tx>
            <c:strRef>
              <c:f>'[Fan_Chart_ARF 2019_v2 (1).xlsx]Receitas (Líquida)'!$S$1</c:f>
              <c:strCache>
                <c:ptCount val="1"/>
                <c:pt idx="0">
                  <c:v>Percentil_80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(Líquida)'!$S$2:$S$7</c:f>
              <c:numCache>
                <c:formatCode>_-* #,##0_-;\-* #,##0_-;_-* "-"??_-;_-@_-</c:formatCode>
                <c:ptCount val="6"/>
                <c:pt idx="0">
                  <c:v>0</c:v>
                </c:pt>
                <c:pt idx="1">
                  <c:v>0</c:v>
                </c:pt>
                <c:pt idx="2">
                  <c:v>7517.2489774066489</c:v>
                </c:pt>
                <c:pt idx="3">
                  <c:v>14650.715731856413</c:v>
                </c:pt>
                <c:pt idx="4">
                  <c:v>30167.315099996049</c:v>
                </c:pt>
                <c:pt idx="5">
                  <c:v>51008.335623147897</c:v>
                </c:pt>
              </c:numCache>
            </c:numRef>
          </c:val>
        </c:ser>
        <c:ser>
          <c:idx val="7"/>
          <c:order val="7"/>
          <c:tx>
            <c:strRef>
              <c:f>'[Fan_Chart_ARF 2019_v2 (1).xlsx]Receitas (Líquida)'!$T$1</c:f>
              <c:strCache>
                <c:ptCount val="1"/>
                <c:pt idx="0">
                  <c:v>Percentil_90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(Líquida)'!$T$2:$T$7</c:f>
              <c:numCache>
                <c:formatCode>_-* #,##0_-;\-* #,##0_-;_-* "-"??_-;_-@_-</c:formatCode>
                <c:ptCount val="6"/>
                <c:pt idx="0">
                  <c:v>0</c:v>
                </c:pt>
                <c:pt idx="1">
                  <c:v>0</c:v>
                </c:pt>
                <c:pt idx="2">
                  <c:v>10374.922064385843</c:v>
                </c:pt>
                <c:pt idx="3">
                  <c:v>20053.954823965672</c:v>
                </c:pt>
                <c:pt idx="4">
                  <c:v>42764.985555132851</c:v>
                </c:pt>
                <c:pt idx="5">
                  <c:v>72706.35129641369</c:v>
                </c:pt>
              </c:numCache>
            </c:numRef>
          </c:val>
        </c:ser>
        <c:dLbls>
          <c:showLegendKey val="0"/>
          <c:showVal val="0"/>
          <c:showCatName val="0"/>
          <c:showSerName val="0"/>
          <c:showPercent val="0"/>
          <c:showBubbleSize val="0"/>
        </c:dLbls>
        <c:axId val="1019579616"/>
        <c:axId val="1019585600"/>
      </c:areaChart>
      <c:lineChart>
        <c:grouping val="standard"/>
        <c:varyColors val="0"/>
        <c:ser>
          <c:idx val="8"/>
          <c:order val="8"/>
          <c:tx>
            <c:strRef>
              <c:f>'[Fan_Chart_ARF 2019_v2 (1).xlsx]Receitas (Líquida)'!$U$1</c:f>
              <c:strCache>
                <c:ptCount val="1"/>
                <c:pt idx="0">
                  <c:v>Grade</c:v>
                </c:pt>
              </c:strCache>
            </c:strRef>
          </c:tx>
          <c:spPr>
            <a:ln w="28575" cap="rnd">
              <a:solidFill>
                <a:schemeClr val="accent3">
                  <a:lumMod val="60000"/>
                </a:schemeClr>
              </a:solidFill>
              <a:round/>
            </a:ln>
            <a:effectLst/>
          </c:spPr>
          <c:marker>
            <c:symbol val="none"/>
          </c:marke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(1).xlsx]Receitas (Líquida)'!$U$2:$U$7</c:f>
              <c:numCache>
                <c:formatCode>_-* #,##0_-;\-* #,##0_-;_-* "-"??_-;_-@_-</c:formatCode>
                <c:ptCount val="6"/>
                <c:pt idx="0">
                  <c:v>1088117.5636596419</c:v>
                </c:pt>
                <c:pt idx="1">
                  <c:v>1154606.8323863433</c:v>
                </c:pt>
                <c:pt idx="2">
                  <c:v>1213800.6738049965</c:v>
                </c:pt>
                <c:pt idx="3">
                  <c:v>1276924.3327021082</c:v>
                </c:pt>
                <c:pt idx="4">
                  <c:v>1371682.2853970379</c:v>
                </c:pt>
                <c:pt idx="5">
                  <c:v>1467356.8712868993</c:v>
                </c:pt>
              </c:numCache>
            </c:numRef>
          </c:val>
          <c:smooth val="0"/>
        </c:ser>
        <c:dLbls>
          <c:showLegendKey val="0"/>
          <c:showVal val="0"/>
          <c:showCatName val="0"/>
          <c:showSerName val="0"/>
          <c:showPercent val="0"/>
          <c:showBubbleSize val="0"/>
        </c:dLbls>
        <c:marker val="1"/>
        <c:smooth val="0"/>
        <c:axId val="1019579616"/>
        <c:axId val="1019585600"/>
      </c:lineChart>
      <c:catAx>
        <c:axId val="1019579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85600"/>
        <c:crosses val="autoZero"/>
        <c:auto val="1"/>
        <c:lblAlgn val="ctr"/>
        <c:lblOffset val="100"/>
        <c:noMultiLvlLbl val="0"/>
      </c:catAx>
      <c:valAx>
        <c:axId val="1019585600"/>
        <c:scaling>
          <c:orientation val="minMax"/>
          <c:max val="1700000.0000000002"/>
          <c:min val="10000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R$ milhões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7961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'[Fan_Chart_ARF 2019_v2 (1).xlsx]Receitas (Líquida)'!$M$1</c:f>
              <c:strCache>
                <c:ptCount val="1"/>
                <c:pt idx="0">
                  <c:v>Percentil_10</c:v>
                </c:pt>
              </c:strCache>
            </c:strRef>
          </c:tx>
          <c:spPr>
            <a:noFill/>
            <a:ln>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(1).xlsx]Despesas'!$M$2:$M$7</c:f>
              <c:numCache>
                <c:formatCode>_-* #,##0_-;\-* #,##0_-;_-* "-"??_-;_-@_-</c:formatCode>
                <c:ptCount val="6"/>
                <c:pt idx="0">
                  <c:v>1249415.5088939569</c:v>
                </c:pt>
                <c:pt idx="1">
                  <c:v>1279007.7634744609</c:v>
                </c:pt>
                <c:pt idx="2">
                  <c:v>1373907.4261493979</c:v>
                </c:pt>
                <c:pt idx="3">
                  <c:v>1404770.732001611</c:v>
                </c:pt>
                <c:pt idx="4">
                  <c:v>1452467.8737434957</c:v>
                </c:pt>
                <c:pt idx="5">
                  <c:v>1486933.6287522698</c:v>
                </c:pt>
              </c:numCache>
            </c:numRef>
          </c:val>
        </c:ser>
        <c:ser>
          <c:idx val="1"/>
          <c:order val="1"/>
          <c:tx>
            <c:strRef>
              <c:f>'[Fan_Chart_ARF 2019_v2 (1).xlsx]Receitas (Líquida)'!$N$1</c:f>
              <c:strCache>
                <c:ptCount val="1"/>
                <c:pt idx="0">
                  <c:v>Percentil_20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(1).xlsx]Despesas'!$N$2:$N$7</c:f>
              <c:numCache>
                <c:formatCode>_-* #,##0_-;\-* #,##0_-;_-* "-"??_-;_-@_-</c:formatCode>
                <c:ptCount val="6"/>
                <c:pt idx="0">
                  <c:v>0</c:v>
                </c:pt>
                <c:pt idx="1">
                  <c:v>0</c:v>
                </c:pt>
                <c:pt idx="2">
                  <c:v>127.44241546164267</c:v>
                </c:pt>
                <c:pt idx="3">
                  <c:v>3788.0545090720989</c:v>
                </c:pt>
                <c:pt idx="4">
                  <c:v>9920.7118669636548</c:v>
                </c:pt>
                <c:pt idx="5">
                  <c:v>17119.802165362518</c:v>
                </c:pt>
              </c:numCache>
            </c:numRef>
          </c:val>
        </c:ser>
        <c:ser>
          <c:idx val="2"/>
          <c:order val="2"/>
          <c:tx>
            <c:strRef>
              <c:f>'[Fan_Chart_ARF 2019_v2 (1).xlsx]Receitas (Líquida)'!$O$1</c:f>
              <c:strCache>
                <c:ptCount val="1"/>
                <c:pt idx="0">
                  <c:v>Percentil_30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(1).xlsx]Despesas'!$O$2:$O$7</c:f>
              <c:numCache>
                <c:formatCode>_-* #,##0_-;\-* #,##0_-;_-* "-"??_-;_-@_-</c:formatCode>
                <c:ptCount val="6"/>
                <c:pt idx="0">
                  <c:v>0</c:v>
                </c:pt>
                <c:pt idx="1">
                  <c:v>0</c:v>
                </c:pt>
                <c:pt idx="2">
                  <c:v>89.60035473597236</c:v>
                </c:pt>
                <c:pt idx="3">
                  <c:v>2666.5092311785556</c:v>
                </c:pt>
                <c:pt idx="4">
                  <c:v>7145.8747945781797</c:v>
                </c:pt>
                <c:pt idx="5">
                  <c:v>12324.975149732782</c:v>
                </c:pt>
              </c:numCache>
            </c:numRef>
          </c:val>
        </c:ser>
        <c:ser>
          <c:idx val="3"/>
          <c:order val="3"/>
          <c:tx>
            <c:strRef>
              <c:f>'[Fan_Chart_ARF 2019_v2 (1).xlsx]Receitas (Líquida)'!$P$1</c:f>
              <c:strCache>
                <c:ptCount val="1"/>
                <c:pt idx="0">
                  <c:v>Percentil_40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(1).xlsx]Despesas'!$P$2:$P$7</c:f>
              <c:numCache>
                <c:formatCode>_-* #,##0_-;\-* #,##0_-;_-* "-"??_-;_-@_-</c:formatCode>
                <c:ptCount val="6"/>
                <c:pt idx="0">
                  <c:v>0</c:v>
                </c:pt>
                <c:pt idx="1">
                  <c:v>0</c:v>
                </c:pt>
                <c:pt idx="2">
                  <c:v>79.430563622619957</c:v>
                </c:pt>
                <c:pt idx="3">
                  <c:v>2373.0443936171941</c:v>
                </c:pt>
                <c:pt idx="4">
                  <c:v>6275.1460322854109</c:v>
                </c:pt>
                <c:pt idx="5">
                  <c:v>10792.503072875552</c:v>
                </c:pt>
              </c:numCache>
            </c:numRef>
          </c:val>
        </c:ser>
        <c:ser>
          <c:idx val="4"/>
          <c:order val="4"/>
          <c:tx>
            <c:strRef>
              <c:f>'[Fan_Chart_ARF 2019_v2 (1).xlsx]Receitas (Líquida)'!$Q$1</c:f>
              <c:strCache>
                <c:ptCount val="1"/>
                <c:pt idx="0">
                  <c:v>Percentil_60</c:v>
                </c:pt>
              </c:strCache>
            </c:strRef>
          </c:tx>
          <c:spPr>
            <a:solidFill>
              <a:schemeClr val="accent1">
                <a:lumMod val="75000"/>
                <a:alpha val="75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(1).xlsx]Despesas'!$Q$2:$Q$7</c:f>
              <c:numCache>
                <c:formatCode>_-* #,##0_-;\-* #,##0_-;_-* "-"??_-;_-@_-</c:formatCode>
                <c:ptCount val="6"/>
                <c:pt idx="0">
                  <c:v>0</c:v>
                </c:pt>
                <c:pt idx="1">
                  <c:v>0</c:v>
                </c:pt>
                <c:pt idx="2">
                  <c:v>153.17380313179456</c:v>
                </c:pt>
                <c:pt idx="3">
                  <c:v>4554.8036188760307</c:v>
                </c:pt>
                <c:pt idx="4">
                  <c:v>11807.936326705618</c:v>
                </c:pt>
                <c:pt idx="5">
                  <c:v>20208.103340047877</c:v>
                </c:pt>
              </c:numCache>
            </c:numRef>
          </c:val>
        </c:ser>
        <c:ser>
          <c:idx val="5"/>
          <c:order val="5"/>
          <c:tx>
            <c:strRef>
              <c:f>'[Fan_Chart_ARF 2019_v2 (1).xlsx]Receitas (Líquida)'!$R$1</c:f>
              <c:strCache>
                <c:ptCount val="1"/>
                <c:pt idx="0">
                  <c:v>Percentil_70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(1).xlsx]Despesas'!$R$2:$R$7</c:f>
              <c:numCache>
                <c:formatCode>_-* #,##0_-;\-* #,##0_-;_-* "-"??_-;_-@_-</c:formatCode>
                <c:ptCount val="6"/>
                <c:pt idx="0">
                  <c:v>0</c:v>
                </c:pt>
                <c:pt idx="1">
                  <c:v>0</c:v>
                </c:pt>
                <c:pt idx="2">
                  <c:v>77.410161321051419</c:v>
                </c:pt>
                <c:pt idx="3">
                  <c:v>2303.2800300293602</c:v>
                </c:pt>
                <c:pt idx="4">
                  <c:v>5977.7387249863241</c:v>
                </c:pt>
                <c:pt idx="5">
                  <c:v>17747.459009722807</c:v>
                </c:pt>
              </c:numCache>
            </c:numRef>
          </c:val>
        </c:ser>
        <c:ser>
          <c:idx val="6"/>
          <c:order val="6"/>
          <c:tx>
            <c:strRef>
              <c:f>'[Fan_Chart_ARF 2019_v2 (1).xlsx]Receitas (Líquida)'!$S$1</c:f>
              <c:strCache>
                <c:ptCount val="1"/>
                <c:pt idx="0">
                  <c:v>Percentil_80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(1).xlsx]Despesas'!$S$2:$S$7</c:f>
              <c:numCache>
                <c:formatCode>_-* #,##0_-;\-* #,##0_-;_-* "-"??_-;_-@_-</c:formatCode>
                <c:ptCount val="6"/>
                <c:pt idx="0">
                  <c:v>0</c:v>
                </c:pt>
                <c:pt idx="1">
                  <c:v>0</c:v>
                </c:pt>
                <c:pt idx="2">
                  <c:v>91.958398886257783</c:v>
                </c:pt>
                <c:pt idx="3">
                  <c:v>2741.983988776803</c:v>
                </c:pt>
                <c:pt idx="4">
                  <c:v>7521.9439250070136</c:v>
                </c:pt>
                <c:pt idx="5">
                  <c:v>21595.721910134191</c:v>
                </c:pt>
              </c:numCache>
            </c:numRef>
          </c:val>
        </c:ser>
        <c:ser>
          <c:idx val="7"/>
          <c:order val="7"/>
          <c:tx>
            <c:strRef>
              <c:f>'[Fan_Chart_ARF 2019_v2 (1).xlsx]Receitas (Líquida)'!$T$1</c:f>
              <c:strCache>
                <c:ptCount val="1"/>
                <c:pt idx="0">
                  <c:v>Percentil_90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(1).xlsx]Despesas'!$T$2:$T$7</c:f>
              <c:numCache>
                <c:formatCode>_-* #,##0_-;\-* #,##0_-;_-* "-"??_-;_-@_-</c:formatCode>
                <c:ptCount val="6"/>
                <c:pt idx="0">
                  <c:v>0</c:v>
                </c:pt>
                <c:pt idx="1">
                  <c:v>0</c:v>
                </c:pt>
                <c:pt idx="2">
                  <c:v>127.89758455101401</c:v>
                </c:pt>
                <c:pt idx="3">
                  <c:v>3819.2864143110346</c:v>
                </c:pt>
                <c:pt idx="4">
                  <c:v>10199.602535458514</c:v>
                </c:pt>
                <c:pt idx="5">
                  <c:v>30758.311293241335</c:v>
                </c:pt>
              </c:numCache>
            </c:numRef>
          </c:val>
        </c:ser>
        <c:dLbls>
          <c:showLegendKey val="0"/>
          <c:showVal val="0"/>
          <c:showCatName val="0"/>
          <c:showSerName val="0"/>
          <c:showPercent val="0"/>
          <c:showBubbleSize val="0"/>
        </c:dLbls>
        <c:axId val="1019576352"/>
        <c:axId val="1019582336"/>
      </c:areaChart>
      <c:lineChart>
        <c:grouping val="standard"/>
        <c:varyColors val="0"/>
        <c:ser>
          <c:idx val="8"/>
          <c:order val="8"/>
          <c:tx>
            <c:strRef>
              <c:f>'[Fan_Chart_ARF 2019_v2 (1).xlsx]Receitas (Líquida)'!$U$1</c:f>
              <c:strCache>
                <c:ptCount val="1"/>
                <c:pt idx="0">
                  <c:v>Grade</c:v>
                </c:pt>
              </c:strCache>
            </c:strRef>
          </c:tx>
          <c:spPr>
            <a:ln w="28575" cap="rnd">
              <a:solidFill>
                <a:schemeClr val="accent3">
                  <a:lumMod val="60000"/>
                </a:schemeClr>
              </a:solidFill>
              <a:round/>
            </a:ln>
            <a:effectLst/>
          </c:spPr>
          <c:marker>
            <c:symbol val="none"/>
          </c:marke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(1).xlsx]Despesas'!$U$2:$U$7</c:f>
              <c:numCache>
                <c:formatCode>_-* #,##0_-;\-* #,##0_-;_-* "-"??_-;_-@_-</c:formatCode>
                <c:ptCount val="6"/>
                <c:pt idx="0">
                  <c:v>1249415.5088939569</c:v>
                </c:pt>
                <c:pt idx="1">
                  <c:v>1279007.7634744609</c:v>
                </c:pt>
                <c:pt idx="2">
                  <c:v>1374295.8898696604</c:v>
                </c:pt>
                <c:pt idx="3">
                  <c:v>1415924.3097555826</c:v>
                </c:pt>
                <c:pt idx="4">
                  <c:v>1481682.2853970386</c:v>
                </c:pt>
                <c:pt idx="5">
                  <c:v>1537357.0221047304</c:v>
                </c:pt>
              </c:numCache>
            </c:numRef>
          </c:val>
          <c:smooth val="0"/>
        </c:ser>
        <c:dLbls>
          <c:showLegendKey val="0"/>
          <c:showVal val="0"/>
          <c:showCatName val="0"/>
          <c:showSerName val="0"/>
          <c:showPercent val="0"/>
          <c:showBubbleSize val="0"/>
        </c:dLbls>
        <c:marker val="1"/>
        <c:smooth val="0"/>
        <c:axId val="1019576352"/>
        <c:axId val="1019582336"/>
      </c:lineChart>
      <c:catAx>
        <c:axId val="1019576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82336"/>
        <c:crosses val="autoZero"/>
        <c:auto val="1"/>
        <c:lblAlgn val="ctr"/>
        <c:lblOffset val="100"/>
        <c:noMultiLvlLbl val="0"/>
      </c:catAx>
      <c:valAx>
        <c:axId val="1019582336"/>
        <c:scaling>
          <c:orientation val="minMax"/>
          <c:max val="1700000.0000000002"/>
          <c:min val="12000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R$</a:t>
                </a:r>
                <a:r>
                  <a:rPr lang="pt-BR" baseline="0"/>
                  <a:t> milhões</a:t>
                </a:r>
                <a:endParaRPr lang="pt-B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763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'[Fan_Chart_ARF 2019_v2 (1).xlsx]Receitas (Líquida)'!$M$1</c:f>
              <c:strCache>
                <c:ptCount val="1"/>
                <c:pt idx="0">
                  <c:v>Percentil_10</c:v>
                </c:pt>
              </c:strCache>
            </c:strRef>
          </c:tx>
          <c:spPr>
            <a:noFill/>
            <a:ln>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PIB)'!$M$2:$M$7</c:f>
              <c:numCache>
                <c:formatCode>0%</c:formatCode>
                <c:ptCount val="6"/>
                <c:pt idx="0">
                  <c:v>-2.5738097098762399E-2</c:v>
                </c:pt>
                <c:pt idx="1">
                  <c:v>-1.8963729266161279E-2</c:v>
                </c:pt>
                <c:pt idx="2">
                  <c:v>-2.8045421193810576E-2</c:v>
                </c:pt>
                <c:pt idx="3">
                  <c:v>-2.6862120389799016E-2</c:v>
                </c:pt>
                <c:pt idx="4">
                  <c:v>-2.763296369578944E-2</c:v>
                </c:pt>
                <c:pt idx="5">
                  <c:v>-2.8334387979170764E-2</c:v>
                </c:pt>
              </c:numCache>
            </c:numRef>
          </c:val>
        </c:ser>
        <c:ser>
          <c:idx val="1"/>
          <c:order val="1"/>
          <c:tx>
            <c:strRef>
              <c:f>'[Fan_Chart_ARF 2019_v2 (1).xlsx]Receitas (Líquida)'!$N$1</c:f>
              <c:strCache>
                <c:ptCount val="1"/>
                <c:pt idx="0">
                  <c:v>Percentil_20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PIB)'!$N$2:$N$7</c:f>
              <c:numCache>
                <c:formatCode>0%</c:formatCode>
                <c:ptCount val="6"/>
                <c:pt idx="0">
                  <c:v>0</c:v>
                </c:pt>
                <c:pt idx="1">
                  <c:v>0</c:v>
                </c:pt>
                <c:pt idx="2">
                  <c:v>1.6439507908853068E-3</c:v>
                </c:pt>
                <c:pt idx="3">
                  <c:v>2.9021715022097203E-3</c:v>
                </c:pt>
                <c:pt idx="4">
                  <c:v>4.8515788916436813E-3</c:v>
                </c:pt>
                <c:pt idx="5">
                  <c:v>7.1065869016412389E-3</c:v>
                </c:pt>
              </c:numCache>
            </c:numRef>
          </c:val>
        </c:ser>
        <c:ser>
          <c:idx val="2"/>
          <c:order val="2"/>
          <c:tx>
            <c:strRef>
              <c:f>'[Fan_Chart_ARF 2019_v2 (1).xlsx]Receitas (Líquida)'!$O$1</c:f>
              <c:strCache>
                <c:ptCount val="1"/>
                <c:pt idx="0">
                  <c:v>Percentil_30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PIB)'!$O$2:$O$7</c:f>
              <c:numCache>
                <c:formatCode>0%</c:formatCode>
                <c:ptCount val="6"/>
                <c:pt idx="0">
                  <c:v>0</c:v>
                </c:pt>
                <c:pt idx="1">
                  <c:v>0</c:v>
                </c:pt>
                <c:pt idx="2">
                  <c:v>1.1371912908219942E-3</c:v>
                </c:pt>
                <c:pt idx="3">
                  <c:v>2.0719712410962876E-3</c:v>
                </c:pt>
                <c:pt idx="4">
                  <c:v>3.4239901146709377E-3</c:v>
                </c:pt>
                <c:pt idx="5">
                  <c:v>4.9306440249351977E-3</c:v>
                </c:pt>
              </c:numCache>
            </c:numRef>
          </c:val>
        </c:ser>
        <c:ser>
          <c:idx val="3"/>
          <c:order val="3"/>
          <c:tx>
            <c:strRef>
              <c:f>'[Fan_Chart_ARF 2019_v2 (1).xlsx]Receitas (Líquida)'!$P$1</c:f>
              <c:strCache>
                <c:ptCount val="1"/>
                <c:pt idx="0">
                  <c:v>Percentil_40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PIB)'!$P$2:$P$7</c:f>
              <c:numCache>
                <c:formatCode>0%</c:formatCode>
                <c:ptCount val="6"/>
                <c:pt idx="0">
                  <c:v>0</c:v>
                </c:pt>
                <c:pt idx="1">
                  <c:v>0</c:v>
                </c:pt>
                <c:pt idx="2">
                  <c:v>1.0010717097203199E-3</c:v>
                </c:pt>
                <c:pt idx="3">
                  <c:v>1.766729679104944E-3</c:v>
                </c:pt>
                <c:pt idx="4">
                  <c:v>2.8830449217781308E-3</c:v>
                </c:pt>
                <c:pt idx="5">
                  <c:v>4.1360192771574822E-3</c:v>
                </c:pt>
              </c:numCache>
            </c:numRef>
          </c:val>
        </c:ser>
        <c:ser>
          <c:idx val="4"/>
          <c:order val="4"/>
          <c:tx>
            <c:strRef>
              <c:f>'[Fan_Chart_ARF 2019_v2 (1).xlsx]Receitas (Líquida)'!$Q$1</c:f>
              <c:strCache>
                <c:ptCount val="1"/>
                <c:pt idx="0">
                  <c:v>Percentil_60</c:v>
                </c:pt>
              </c:strCache>
            </c:strRef>
          </c:tx>
          <c:spPr>
            <a:solidFill>
              <a:schemeClr val="accent1">
                <a:lumMod val="75000"/>
                <a:alpha val="75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PIB)'!$Q$2:$Q$7</c:f>
              <c:numCache>
                <c:formatCode>0%</c:formatCode>
                <c:ptCount val="6"/>
                <c:pt idx="0">
                  <c:v>0</c:v>
                </c:pt>
                <c:pt idx="1">
                  <c:v>0</c:v>
                </c:pt>
                <c:pt idx="2">
                  <c:v>1.953455745694041E-3</c:v>
                </c:pt>
                <c:pt idx="3">
                  <c:v>3.0158492905072512E-3</c:v>
                </c:pt>
                <c:pt idx="4">
                  <c:v>5.0111255433059887E-3</c:v>
                </c:pt>
                <c:pt idx="5">
                  <c:v>7.212777923540613E-3</c:v>
                </c:pt>
              </c:numCache>
            </c:numRef>
          </c:val>
        </c:ser>
        <c:ser>
          <c:idx val="5"/>
          <c:order val="5"/>
          <c:tx>
            <c:strRef>
              <c:f>'[Fan_Chart_ARF 2019_v2 (1).xlsx]Receitas (Líquida)'!$R$1</c:f>
              <c:strCache>
                <c:ptCount val="1"/>
                <c:pt idx="0">
                  <c:v>Percentil_70</c:v>
                </c:pt>
              </c:strCache>
            </c:strRef>
          </c:tx>
          <c:spPr>
            <a:solidFill>
              <a:schemeClr val="accent1">
                <a:lumMod val="60000"/>
                <a:lumOff val="4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PIB)'!$R$2:$R$7</c:f>
              <c:numCache>
                <c:formatCode>0%</c:formatCode>
                <c:ptCount val="6"/>
                <c:pt idx="0">
                  <c:v>0</c:v>
                </c:pt>
                <c:pt idx="1">
                  <c:v>0</c:v>
                </c:pt>
                <c:pt idx="2">
                  <c:v>1.0047756111507822E-3</c:v>
                </c:pt>
                <c:pt idx="3">
                  <c:v>1.508062367759886E-3</c:v>
                </c:pt>
                <c:pt idx="4">
                  <c:v>2.5296370629004795E-3</c:v>
                </c:pt>
                <c:pt idx="5">
                  <c:v>2.8302355479241812E-3</c:v>
                </c:pt>
              </c:numCache>
            </c:numRef>
          </c:val>
        </c:ser>
        <c:ser>
          <c:idx val="6"/>
          <c:order val="6"/>
          <c:tx>
            <c:strRef>
              <c:f>'[Fan_Chart_ARF 2019_v2 (1).xlsx]Receitas (Líquida)'!$S$1</c:f>
              <c:strCache>
                <c:ptCount val="1"/>
                <c:pt idx="0">
                  <c:v>Percentil_80</c:v>
                </c:pt>
              </c:strCache>
            </c:strRef>
          </c:tx>
          <c:spPr>
            <a:solidFill>
              <a:schemeClr val="accent1">
                <a:lumMod val="40000"/>
                <a:lumOff val="6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PIB)'!$S$2:$S$7</c:f>
              <c:numCache>
                <c:formatCode>0%</c:formatCode>
                <c:ptCount val="6"/>
                <c:pt idx="0">
                  <c:v>0</c:v>
                </c:pt>
                <c:pt idx="1">
                  <c:v>0</c:v>
                </c:pt>
                <c:pt idx="2">
                  <c:v>1.183477273544141E-3</c:v>
                </c:pt>
                <c:pt idx="3">
                  <c:v>1.7499158681414644E-3</c:v>
                </c:pt>
                <c:pt idx="4">
                  <c:v>2.8400941260284468E-3</c:v>
                </c:pt>
                <c:pt idx="5">
                  <c:v>3.1730161658962692E-3</c:v>
                </c:pt>
              </c:numCache>
            </c:numRef>
          </c:val>
        </c:ser>
        <c:ser>
          <c:idx val="7"/>
          <c:order val="7"/>
          <c:tx>
            <c:strRef>
              <c:f>'[Fan_Chart_ARF 2019_v2 (1).xlsx]Receitas (Líquida)'!$T$1</c:f>
              <c:strCache>
                <c:ptCount val="1"/>
                <c:pt idx="0">
                  <c:v>Percentil_90</c:v>
                </c:pt>
              </c:strCache>
            </c:strRef>
          </c:tx>
          <c:spPr>
            <a:solidFill>
              <a:schemeClr val="accent1">
                <a:lumMod val="20000"/>
                <a:lumOff val="80000"/>
              </a:schemeClr>
            </a:solidFill>
            <a:ln w="25400">
              <a:noFill/>
            </a:ln>
            <a:effectLst/>
          </c:spP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PIB)'!$T$2:$T$7</c:f>
              <c:numCache>
                <c:formatCode>0%</c:formatCode>
                <c:ptCount val="6"/>
                <c:pt idx="0">
                  <c:v>0</c:v>
                </c:pt>
                <c:pt idx="1">
                  <c:v>0</c:v>
                </c:pt>
                <c:pt idx="2">
                  <c:v>1.608837195522652E-3</c:v>
                </c:pt>
                <c:pt idx="3">
                  <c:v>2.3076533424992805E-3</c:v>
                </c:pt>
                <c:pt idx="4">
                  <c:v>3.849630110450464E-3</c:v>
                </c:pt>
                <c:pt idx="5">
                  <c:v>4.1692608953622663E-3</c:v>
                </c:pt>
              </c:numCache>
            </c:numRef>
          </c:val>
        </c:ser>
        <c:dLbls>
          <c:showLegendKey val="0"/>
          <c:showVal val="0"/>
          <c:showCatName val="0"/>
          <c:showSerName val="0"/>
          <c:showPercent val="0"/>
          <c:showBubbleSize val="0"/>
        </c:dLbls>
        <c:axId val="1019577440"/>
        <c:axId val="1019586688"/>
      </c:areaChart>
      <c:lineChart>
        <c:grouping val="standard"/>
        <c:varyColors val="0"/>
        <c:ser>
          <c:idx val="8"/>
          <c:order val="8"/>
          <c:tx>
            <c:strRef>
              <c:f>'[Fan_Chart_ARF 2019_v2 (1).xlsx]Receitas (Líquida)'!$U$1</c:f>
              <c:strCache>
                <c:ptCount val="1"/>
                <c:pt idx="0">
                  <c:v>Grade</c:v>
                </c:pt>
              </c:strCache>
            </c:strRef>
          </c:tx>
          <c:spPr>
            <a:ln w="28575" cap="rnd">
              <a:solidFill>
                <a:schemeClr val="accent3">
                  <a:lumMod val="60000"/>
                </a:schemeClr>
              </a:solidFill>
              <a:round/>
            </a:ln>
            <a:effectLst/>
          </c:spPr>
          <c:marker>
            <c:symbol val="none"/>
          </c:marker>
          <c:cat>
            <c:numRef>
              <c:f>'[Fan_Chart_ARF 2019_v2 (1).xlsx]Receitas (Líquida)'!$L$2:$L$7</c:f>
              <c:numCache>
                <c:formatCode>General</c:formatCode>
                <c:ptCount val="6"/>
                <c:pt idx="0">
                  <c:v>2016</c:v>
                </c:pt>
                <c:pt idx="1">
                  <c:v>2017</c:v>
                </c:pt>
                <c:pt idx="2">
                  <c:v>2018</c:v>
                </c:pt>
                <c:pt idx="3">
                  <c:v>2019</c:v>
                </c:pt>
                <c:pt idx="4">
                  <c:v>2020</c:v>
                </c:pt>
                <c:pt idx="5">
                  <c:v>2021</c:v>
                </c:pt>
              </c:numCache>
            </c:numRef>
          </c:cat>
          <c:val>
            <c:numRef>
              <c:f>'[Fan_Chart_ARF 2019_v2 (1).xlsx]Superávit Primário GC (% PIB)'!$U$2:$U$7</c:f>
              <c:numCache>
                <c:formatCode>0%</c:formatCode>
                <c:ptCount val="6"/>
                <c:pt idx="0">
                  <c:v>-2.5738097098762399E-2</c:v>
                </c:pt>
                <c:pt idx="1">
                  <c:v>-1.8963729266161279E-2</c:v>
                </c:pt>
                <c:pt idx="2">
                  <c:v>-2.2896250622189418E-2</c:v>
                </c:pt>
                <c:pt idx="3">
                  <c:v>-1.8412220537870568E-2</c:v>
                </c:pt>
                <c:pt idx="4">
                  <c:v>-1.360384511445095E-2</c:v>
                </c:pt>
                <c:pt idx="5">
                  <c:v>-8.0838181827258132E-3</c:v>
                </c:pt>
              </c:numCache>
            </c:numRef>
          </c:val>
          <c:smooth val="0"/>
        </c:ser>
        <c:dLbls>
          <c:showLegendKey val="0"/>
          <c:showVal val="0"/>
          <c:showCatName val="0"/>
          <c:showSerName val="0"/>
          <c:showPercent val="0"/>
          <c:showBubbleSize val="0"/>
        </c:dLbls>
        <c:marker val="1"/>
        <c:smooth val="0"/>
        <c:axId val="1019577440"/>
        <c:axId val="1019586688"/>
      </c:lineChart>
      <c:catAx>
        <c:axId val="1019577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86688"/>
        <c:crosses val="autoZero"/>
        <c:auto val="1"/>
        <c:lblAlgn val="ctr"/>
        <c:lblOffset val="100"/>
        <c:noMultiLvlLbl val="0"/>
      </c:catAx>
      <c:valAx>
        <c:axId val="1019586688"/>
        <c:scaling>
          <c:orientation val="minMax"/>
          <c:max val="2.0000000000000004E-2"/>
          <c:min val="-4.0000000000000008E-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 PIB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7744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'[Fan_Chart_ARF 2019_v2 (1).xlsx]Receitas (Líquida)'!$M$1</c:f>
              <c:strCache>
                <c:ptCount val="1"/>
                <c:pt idx="0">
                  <c:v>Percentil_10</c:v>
                </c:pt>
              </c:strCache>
            </c:strRef>
          </c:tx>
          <c:spPr>
            <a:noFill/>
            <a:ln>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PIB)'!$M$2:$M$7</c:f>
              <c:numCache>
                <c:formatCode>0%</c:formatCode>
                <c:ptCount val="6"/>
                <c:pt idx="0">
                  <c:v>0.46218376321053045</c:v>
                </c:pt>
                <c:pt idx="1">
                  <c:v>0.51569710602852958</c:v>
                </c:pt>
                <c:pt idx="2">
                  <c:v>0.5750102931355151</c:v>
                </c:pt>
                <c:pt idx="3">
                  <c:v>0.62119694690845928</c:v>
                </c:pt>
                <c:pt idx="4">
                  <c:v>0.6699410294213205</c:v>
                </c:pt>
                <c:pt idx="5">
                  <c:v>0.71994315658885444</c:v>
                </c:pt>
              </c:numCache>
            </c:numRef>
          </c:val>
        </c:ser>
        <c:ser>
          <c:idx val="1"/>
          <c:order val="1"/>
          <c:tx>
            <c:strRef>
              <c:f>'[Fan_Chart_ARF 2019_v2 (1).xlsx]Receitas (Líquida)'!$N$1</c:f>
              <c:strCache>
                <c:ptCount val="1"/>
                <c:pt idx="0">
                  <c:v>Percentil_20</c:v>
                </c:pt>
              </c:strCache>
            </c:strRef>
          </c:tx>
          <c:spPr>
            <a:solidFill>
              <a:schemeClr val="accent1">
                <a:lumMod val="20000"/>
                <a:lumOff val="8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PIB)'!$N$2:$N$7</c:f>
              <c:numCache>
                <c:formatCode>0%</c:formatCode>
                <c:ptCount val="6"/>
                <c:pt idx="0">
                  <c:v>0</c:v>
                </c:pt>
                <c:pt idx="1">
                  <c:v>0</c:v>
                </c:pt>
                <c:pt idx="2">
                  <c:v>-5.2740757212973444E-3</c:v>
                </c:pt>
                <c:pt idx="3">
                  <c:v>-1.0926148590906126E-2</c:v>
                </c:pt>
                <c:pt idx="4">
                  <c:v>-1.7549775881810836E-2</c:v>
                </c:pt>
                <c:pt idx="5">
                  <c:v>-2.6051937534548042E-2</c:v>
                </c:pt>
              </c:numCache>
            </c:numRef>
          </c:val>
        </c:ser>
        <c:ser>
          <c:idx val="2"/>
          <c:order val="2"/>
          <c:tx>
            <c:strRef>
              <c:f>'[Fan_Chart_ARF 2019_v2 (1).xlsx]Receitas (Líquida)'!$O$1</c:f>
              <c:strCache>
                <c:ptCount val="1"/>
                <c:pt idx="0">
                  <c:v>Percentil_30</c:v>
                </c:pt>
              </c:strCache>
            </c:strRef>
          </c:tx>
          <c:spPr>
            <a:solidFill>
              <a:schemeClr val="accent1">
                <a:lumMod val="40000"/>
                <a:lumOff val="6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PIB)'!$O$2:$O$7</c:f>
              <c:numCache>
                <c:formatCode>0%</c:formatCode>
                <c:ptCount val="6"/>
                <c:pt idx="0">
                  <c:v>0</c:v>
                </c:pt>
                <c:pt idx="1">
                  <c:v>0</c:v>
                </c:pt>
                <c:pt idx="2">
                  <c:v>-3.6362627919013235E-3</c:v>
                </c:pt>
                <c:pt idx="3">
                  <c:v>-7.7906025472989082E-3</c:v>
                </c:pt>
                <c:pt idx="4">
                  <c:v>-1.2501255549998813E-2</c:v>
                </c:pt>
                <c:pt idx="5">
                  <c:v>-1.8684396058349373E-2</c:v>
                </c:pt>
              </c:numCache>
            </c:numRef>
          </c:val>
        </c:ser>
        <c:ser>
          <c:idx val="3"/>
          <c:order val="3"/>
          <c:tx>
            <c:strRef>
              <c:f>'[Fan_Chart_ARF 2019_v2 (1).xlsx]Receitas (Líquida)'!$P$1</c:f>
              <c:strCache>
                <c:ptCount val="1"/>
                <c:pt idx="0">
                  <c:v>Percentil_40</c:v>
                </c:pt>
              </c:strCache>
            </c:strRef>
          </c:tx>
          <c:spPr>
            <a:solidFill>
              <a:schemeClr val="accent1">
                <a:lumMod val="60000"/>
                <a:lumOff val="4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PIB)'!$P$2:$P$7</c:f>
              <c:numCache>
                <c:formatCode>0%</c:formatCode>
                <c:ptCount val="6"/>
                <c:pt idx="0">
                  <c:v>0</c:v>
                </c:pt>
                <c:pt idx="1">
                  <c:v>0</c:v>
                </c:pt>
                <c:pt idx="2">
                  <c:v>-3.2110794393908071E-3</c:v>
                </c:pt>
                <c:pt idx="3">
                  <c:v>-6.8181797918148712E-3</c:v>
                </c:pt>
                <c:pt idx="4">
                  <c:v>-1.0966001867662167E-2</c:v>
                </c:pt>
                <c:pt idx="5">
                  <c:v>-1.6138071751544136E-2</c:v>
                </c:pt>
              </c:numCache>
            </c:numRef>
          </c:val>
        </c:ser>
        <c:ser>
          <c:idx val="4"/>
          <c:order val="4"/>
          <c:tx>
            <c:strRef>
              <c:f>'[Fan_Chart_ARF 2019_v2 (1).xlsx]Receitas (Líquida)'!$Q$1</c:f>
              <c:strCache>
                <c:ptCount val="1"/>
                <c:pt idx="0">
                  <c:v>Percentil_60</c:v>
                </c:pt>
              </c:strCache>
            </c:strRef>
          </c:tx>
          <c:spPr>
            <a:solidFill>
              <a:schemeClr val="accent1">
                <a:lumMod val="75000"/>
                <a:alpha val="75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PIB)'!$Q$2:$Q$7</c:f>
              <c:numCache>
                <c:formatCode>0%</c:formatCode>
                <c:ptCount val="6"/>
                <c:pt idx="0">
                  <c:v>0</c:v>
                </c:pt>
                <c:pt idx="1">
                  <c:v>0</c:v>
                </c:pt>
                <c:pt idx="2">
                  <c:v>-5.852058865189691E-3</c:v>
                </c:pt>
                <c:pt idx="3">
                  <c:v>-1.2215306418359884E-2</c:v>
                </c:pt>
                <c:pt idx="4">
                  <c:v>-1.9827944894155958E-2</c:v>
                </c:pt>
                <c:pt idx="5">
                  <c:v>-2.8578193549382847E-2</c:v>
                </c:pt>
              </c:numCache>
            </c:numRef>
          </c:val>
        </c:ser>
        <c:ser>
          <c:idx val="5"/>
          <c:order val="5"/>
          <c:tx>
            <c:strRef>
              <c:f>'[Fan_Chart_ARF 2019_v2 (1).xlsx]Receitas (Líquida)'!$R$1</c:f>
              <c:strCache>
                <c:ptCount val="1"/>
                <c:pt idx="0">
                  <c:v>Percentil_70</c:v>
                </c:pt>
              </c:strCache>
            </c:strRef>
          </c:tx>
          <c:spPr>
            <a:solidFill>
              <a:schemeClr val="accent1">
                <a:lumMod val="60000"/>
                <a:lumOff val="4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PIB)'!$R$2:$R$7</c:f>
              <c:numCache>
                <c:formatCode>0%</c:formatCode>
                <c:ptCount val="6"/>
                <c:pt idx="0">
                  <c:v>0</c:v>
                </c:pt>
                <c:pt idx="1">
                  <c:v>0</c:v>
                </c:pt>
                <c:pt idx="2">
                  <c:v>-2.7916771329837831E-3</c:v>
                </c:pt>
                <c:pt idx="3">
                  <c:v>-5.9889594017465964E-3</c:v>
                </c:pt>
                <c:pt idx="4">
                  <c:v>-9.7042925131780589E-3</c:v>
                </c:pt>
                <c:pt idx="5">
                  <c:v>-1.3581505994640919E-2</c:v>
                </c:pt>
              </c:numCache>
            </c:numRef>
          </c:val>
        </c:ser>
        <c:ser>
          <c:idx val="6"/>
          <c:order val="6"/>
          <c:tx>
            <c:strRef>
              <c:f>'[Fan_Chart_ARF 2019_v2 (1).xlsx]Receitas (Líquida)'!$S$1</c:f>
              <c:strCache>
                <c:ptCount val="1"/>
                <c:pt idx="0">
                  <c:v>Percentil_80</c:v>
                </c:pt>
              </c:strCache>
            </c:strRef>
          </c:tx>
          <c:spPr>
            <a:solidFill>
              <a:schemeClr val="accent1">
                <a:lumMod val="40000"/>
                <a:lumOff val="6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PIB)'!$S$2:$S$7</c:f>
              <c:numCache>
                <c:formatCode>0%</c:formatCode>
                <c:ptCount val="6"/>
                <c:pt idx="0">
                  <c:v>0</c:v>
                </c:pt>
                <c:pt idx="1">
                  <c:v>0</c:v>
                </c:pt>
                <c:pt idx="2">
                  <c:v>-3.2859605705860551E-3</c:v>
                </c:pt>
                <c:pt idx="3">
                  <c:v>-6.8062265577095715E-3</c:v>
                </c:pt>
                <c:pt idx="4">
                  <c:v>-1.1169177219794602E-2</c:v>
                </c:pt>
                <c:pt idx="5">
                  <c:v>-1.5544452814455711E-2</c:v>
                </c:pt>
              </c:numCache>
            </c:numRef>
          </c:val>
        </c:ser>
        <c:ser>
          <c:idx val="7"/>
          <c:order val="7"/>
          <c:tx>
            <c:strRef>
              <c:f>'[Fan_Chart_ARF 2019_v2 (1).xlsx]Receitas (Líquida)'!$T$1</c:f>
              <c:strCache>
                <c:ptCount val="1"/>
                <c:pt idx="0">
                  <c:v>Percentil_90</c:v>
                </c:pt>
              </c:strCache>
            </c:strRef>
          </c:tx>
          <c:spPr>
            <a:solidFill>
              <a:schemeClr val="accent1">
                <a:lumMod val="20000"/>
                <a:lumOff val="80000"/>
              </a:schemeClr>
            </a:solidFill>
            <a:ln w="25400">
              <a:noFill/>
            </a:ln>
            <a:effectLst/>
          </c:spPr>
          <c:cat>
            <c:numRef>
              <c:f>'[Fan_Chart_ARF 2019_v2 (1).xlsx]DLSP (% PIB)'!$L$2:$L$7</c:f>
              <c:numCache>
                <c:formatCode>General</c:formatCode>
                <c:ptCount val="6"/>
                <c:pt idx="0">
                  <c:v>2016</c:v>
                </c:pt>
                <c:pt idx="1">
                  <c:v>2017</c:v>
                </c:pt>
                <c:pt idx="2">
                  <c:v>2018</c:v>
                </c:pt>
                <c:pt idx="3">
                  <c:v>2019</c:v>
                </c:pt>
                <c:pt idx="4">
                  <c:v>2020</c:v>
                </c:pt>
                <c:pt idx="5">
                  <c:v>2021</c:v>
                </c:pt>
              </c:numCache>
            </c:numRef>
          </c:cat>
          <c:val>
            <c:numRef>
              <c:f>'[Fan_Chart_ARF 2019_v2 (1).xlsx]DLSP (% PIB)'!$T$2:$T$7</c:f>
              <c:numCache>
                <c:formatCode>0%</c:formatCode>
                <c:ptCount val="6"/>
                <c:pt idx="0">
                  <c:v>0</c:v>
                </c:pt>
                <c:pt idx="1">
                  <c:v>0</c:v>
                </c:pt>
                <c:pt idx="2">
                  <c:v>-4.5003440770495784E-3</c:v>
                </c:pt>
                <c:pt idx="3">
                  <c:v>-9.1567497484503768E-3</c:v>
                </c:pt>
                <c:pt idx="4">
                  <c:v>-1.4818482912964281E-2</c:v>
                </c:pt>
                <c:pt idx="5">
                  <c:v>-2.0520385673611807E-2</c:v>
                </c:pt>
              </c:numCache>
            </c:numRef>
          </c:val>
        </c:ser>
        <c:dLbls>
          <c:showLegendKey val="0"/>
          <c:showVal val="0"/>
          <c:showCatName val="0"/>
          <c:showSerName val="0"/>
          <c:showPercent val="0"/>
          <c:showBubbleSize val="0"/>
        </c:dLbls>
        <c:axId val="1019573632"/>
        <c:axId val="1019574176"/>
      </c:areaChart>
      <c:lineChart>
        <c:grouping val="standard"/>
        <c:varyColors val="0"/>
        <c:ser>
          <c:idx val="8"/>
          <c:order val="8"/>
          <c:tx>
            <c:strRef>
              <c:f>'[Fan_Chart_ARF 2019_v2 (1).xlsx]Receitas (Líquida)'!$U$1</c:f>
              <c:strCache>
                <c:ptCount val="1"/>
                <c:pt idx="0">
                  <c:v>Grade</c:v>
                </c:pt>
              </c:strCache>
            </c:strRef>
          </c:tx>
          <c:spPr>
            <a:ln w="28575" cap="rnd">
              <a:solidFill>
                <a:schemeClr val="accent3">
                  <a:lumMod val="60000"/>
                </a:schemeClr>
              </a:solidFill>
              <a:round/>
            </a:ln>
            <a:effectLst/>
          </c:spPr>
          <c:marker>
            <c:symbol val="none"/>
          </c:marker>
          <c:cat>
            <c:numRef>
              <c:f>'[Fan_Chart_ARF 2019_v2 (1).xlsx]Receitas (Líquida)'!$L$2:$L$6</c:f>
              <c:numCache>
                <c:formatCode>General</c:formatCode>
                <c:ptCount val="5"/>
                <c:pt idx="0">
                  <c:v>2016</c:v>
                </c:pt>
                <c:pt idx="1">
                  <c:v>2017</c:v>
                </c:pt>
                <c:pt idx="2">
                  <c:v>2018</c:v>
                </c:pt>
                <c:pt idx="3">
                  <c:v>2019</c:v>
                </c:pt>
                <c:pt idx="4">
                  <c:v>2020</c:v>
                </c:pt>
              </c:numCache>
            </c:numRef>
          </c:cat>
          <c:val>
            <c:numRef>
              <c:f>'[Fan_Chart_ARF 2019_v2 (1).xlsx]DLSP (% PIB)'!$U$2:$U$7</c:f>
              <c:numCache>
                <c:formatCode>0%</c:formatCode>
                <c:ptCount val="6"/>
                <c:pt idx="0">
                  <c:v>0.46218376321053045</c:v>
                </c:pt>
                <c:pt idx="1">
                  <c:v>0.51569710602852958</c:v>
                </c:pt>
                <c:pt idx="2">
                  <c:v>0.55978573422708688</c:v>
                </c:pt>
                <c:pt idx="3">
                  <c:v>0.58898119880328625</c:v>
                </c:pt>
                <c:pt idx="4">
                  <c:v>0.61782771909794876</c:v>
                </c:pt>
                <c:pt idx="5">
                  <c:v>0.64278434506243576</c:v>
                </c:pt>
              </c:numCache>
            </c:numRef>
          </c:val>
          <c:smooth val="0"/>
        </c:ser>
        <c:dLbls>
          <c:showLegendKey val="0"/>
          <c:showVal val="0"/>
          <c:showCatName val="0"/>
          <c:showSerName val="0"/>
          <c:showPercent val="0"/>
          <c:showBubbleSize val="0"/>
        </c:dLbls>
        <c:marker val="1"/>
        <c:smooth val="0"/>
        <c:axId val="1019573632"/>
        <c:axId val="1019574176"/>
      </c:lineChart>
      <c:catAx>
        <c:axId val="1019573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74176"/>
        <c:crosses val="autoZero"/>
        <c:auto val="1"/>
        <c:lblAlgn val="ctr"/>
        <c:lblOffset val="100"/>
        <c:noMultiLvlLbl val="0"/>
      </c:catAx>
      <c:valAx>
        <c:axId val="1019574176"/>
        <c:scaling>
          <c:orientation val="minMax"/>
          <c:min val="0.4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957363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'[Fan_Chart_ARF 2019_v2 (1).xlsx]Receitas (Líquida)'!$M$1</c:f>
              <c:strCache>
                <c:ptCount val="1"/>
                <c:pt idx="0">
                  <c:v>Percentil_10</c:v>
                </c:pt>
              </c:strCache>
            </c:strRef>
          </c:tx>
          <c:spPr>
            <a:noFill/>
            <a:ln>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PIB)'!$M$2:$M$7</c:f>
              <c:numCache>
                <c:formatCode>0%</c:formatCode>
                <c:ptCount val="6"/>
                <c:pt idx="0">
                  <c:v>0.69952501201869721</c:v>
                </c:pt>
                <c:pt idx="1">
                  <c:v>0.74004920688974185</c:v>
                </c:pt>
                <c:pt idx="2">
                  <c:v>0.77863926208860912</c:v>
                </c:pt>
                <c:pt idx="3">
                  <c:v>0.82375907877157506</c:v>
                </c:pt>
                <c:pt idx="4">
                  <c:v>0.87097144228522061</c:v>
                </c:pt>
                <c:pt idx="5">
                  <c:v>0.91801247637014727</c:v>
                </c:pt>
              </c:numCache>
            </c:numRef>
          </c:val>
        </c:ser>
        <c:ser>
          <c:idx val="1"/>
          <c:order val="1"/>
          <c:tx>
            <c:strRef>
              <c:f>'[Fan_Chart_ARF 2019_v2 (1).xlsx]Receitas (Líquida)'!$N$1</c:f>
              <c:strCache>
                <c:ptCount val="1"/>
                <c:pt idx="0">
                  <c:v>Percentil_20</c:v>
                </c:pt>
              </c:strCache>
            </c:strRef>
          </c:tx>
          <c:spPr>
            <a:solidFill>
              <a:schemeClr val="accent1">
                <a:lumMod val="20000"/>
                <a:lumOff val="8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PIB)'!$N$2:$N$7</c:f>
              <c:numCache>
                <c:formatCode>0%</c:formatCode>
                <c:ptCount val="6"/>
                <c:pt idx="0">
                  <c:v>0</c:v>
                </c:pt>
                <c:pt idx="1">
                  <c:v>0</c:v>
                </c:pt>
                <c:pt idx="2">
                  <c:v>-7.5208470272547512E-3</c:v>
                </c:pt>
                <c:pt idx="3">
                  <c:v>-1.5894642694925465E-2</c:v>
                </c:pt>
                <c:pt idx="4">
                  <c:v>-2.5192227690459146E-2</c:v>
                </c:pt>
                <c:pt idx="5">
                  <c:v>-3.6436835413532043E-2</c:v>
                </c:pt>
              </c:numCache>
            </c:numRef>
          </c:val>
        </c:ser>
        <c:ser>
          <c:idx val="2"/>
          <c:order val="2"/>
          <c:tx>
            <c:strRef>
              <c:f>'[Fan_Chart_ARF 2019_v2 (1).xlsx]Receitas (Líquida)'!$O$1</c:f>
              <c:strCache>
                <c:ptCount val="1"/>
                <c:pt idx="0">
                  <c:v>Percentil_30</c:v>
                </c:pt>
              </c:strCache>
            </c:strRef>
          </c:tx>
          <c:spPr>
            <a:solidFill>
              <a:schemeClr val="accent1">
                <a:lumMod val="40000"/>
                <a:lumOff val="6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PIB)'!$O$2:$O$7</c:f>
              <c:numCache>
                <c:formatCode>0%</c:formatCode>
                <c:ptCount val="6"/>
                <c:pt idx="0">
                  <c:v>0</c:v>
                </c:pt>
                <c:pt idx="1">
                  <c:v>0</c:v>
                </c:pt>
                <c:pt idx="2">
                  <c:v>-5.1865491131597441E-3</c:v>
                </c:pt>
                <c:pt idx="3">
                  <c:v>-1.1313336128500495E-2</c:v>
                </c:pt>
                <c:pt idx="4">
                  <c:v>-1.7863592788362692E-2</c:v>
                </c:pt>
                <c:pt idx="5">
                  <c:v>-2.5938016862725566E-2</c:v>
                </c:pt>
              </c:numCache>
            </c:numRef>
          </c:val>
        </c:ser>
        <c:ser>
          <c:idx val="3"/>
          <c:order val="3"/>
          <c:tx>
            <c:strRef>
              <c:f>'[Fan_Chart_ARF 2019_v2 (1).xlsx]Receitas (Líquida)'!$P$1</c:f>
              <c:strCache>
                <c:ptCount val="1"/>
                <c:pt idx="0">
                  <c:v>Percentil_40</c:v>
                </c:pt>
              </c:strCache>
            </c:strRef>
          </c:tx>
          <c:spPr>
            <a:solidFill>
              <a:schemeClr val="accent1">
                <a:lumMod val="60000"/>
                <a:lumOff val="4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PIB)'!$P$2:$P$7</c:f>
              <c:numCache>
                <c:formatCode>0%</c:formatCode>
                <c:ptCount val="6"/>
                <c:pt idx="0">
                  <c:v>0</c:v>
                </c:pt>
                <c:pt idx="1">
                  <c:v>0</c:v>
                </c:pt>
                <c:pt idx="2">
                  <c:v>-4.5749602707241266E-3</c:v>
                </c:pt>
                <c:pt idx="3">
                  <c:v>-9.8695304013119989E-3</c:v>
                </c:pt>
                <c:pt idx="4">
                  <c:v>-1.5558940905473939E-2</c:v>
                </c:pt>
                <c:pt idx="5">
                  <c:v>-2.2256008654482295E-2</c:v>
                </c:pt>
              </c:numCache>
            </c:numRef>
          </c:val>
        </c:ser>
        <c:ser>
          <c:idx val="4"/>
          <c:order val="4"/>
          <c:tx>
            <c:strRef>
              <c:f>'[Fan_Chart_ARF 2019_v2 (1).xlsx]Receitas (Líquida)'!$Q$1</c:f>
              <c:strCache>
                <c:ptCount val="1"/>
                <c:pt idx="0">
                  <c:v>Percentil_60</c:v>
                </c:pt>
              </c:strCache>
            </c:strRef>
          </c:tx>
          <c:spPr>
            <a:solidFill>
              <a:schemeClr val="accent1">
                <a:lumMod val="75000"/>
                <a:alpha val="75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PIB)'!$Q$2:$Q$7</c:f>
              <c:numCache>
                <c:formatCode>0%</c:formatCode>
                <c:ptCount val="6"/>
                <c:pt idx="0">
                  <c:v>0</c:v>
                </c:pt>
                <c:pt idx="1">
                  <c:v>0</c:v>
                </c:pt>
                <c:pt idx="2">
                  <c:v>-8.4533934674410061E-3</c:v>
                </c:pt>
                <c:pt idx="3">
                  <c:v>-1.7783816044223522E-2</c:v>
                </c:pt>
                <c:pt idx="4">
                  <c:v>-2.8227739873052493E-2</c:v>
                </c:pt>
                <c:pt idx="5">
                  <c:v>-3.9530065744809328E-2</c:v>
                </c:pt>
              </c:numCache>
            </c:numRef>
          </c:val>
        </c:ser>
        <c:ser>
          <c:idx val="5"/>
          <c:order val="5"/>
          <c:tx>
            <c:strRef>
              <c:f>'[Fan_Chart_ARF 2019_v2 (1).xlsx]Receitas (Líquida)'!$R$1</c:f>
              <c:strCache>
                <c:ptCount val="1"/>
                <c:pt idx="0">
                  <c:v>Percentil_70</c:v>
                </c:pt>
              </c:strCache>
            </c:strRef>
          </c:tx>
          <c:spPr>
            <a:solidFill>
              <a:schemeClr val="accent1">
                <a:lumMod val="60000"/>
                <a:lumOff val="4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PIB)'!$R$2:$R$7</c:f>
              <c:numCache>
                <c:formatCode>0%</c:formatCode>
                <c:ptCount val="6"/>
                <c:pt idx="0">
                  <c:v>0</c:v>
                </c:pt>
                <c:pt idx="1">
                  <c:v>0</c:v>
                </c:pt>
                <c:pt idx="2">
                  <c:v>-4.092188603587843E-3</c:v>
                </c:pt>
                <c:pt idx="3">
                  <c:v>-8.7988987229635773E-3</c:v>
                </c:pt>
                <c:pt idx="4">
                  <c:v>-1.3889658206940103E-2</c:v>
                </c:pt>
                <c:pt idx="5">
                  <c:v>-1.9092381098038569E-2</c:v>
                </c:pt>
              </c:numCache>
            </c:numRef>
          </c:val>
        </c:ser>
        <c:ser>
          <c:idx val="6"/>
          <c:order val="6"/>
          <c:tx>
            <c:strRef>
              <c:f>'[Fan_Chart_ARF 2019_v2 (1).xlsx]Receitas (Líquida)'!$S$1</c:f>
              <c:strCache>
                <c:ptCount val="1"/>
                <c:pt idx="0">
                  <c:v>Percentil_80</c:v>
                </c:pt>
              </c:strCache>
            </c:strRef>
          </c:tx>
          <c:spPr>
            <a:solidFill>
              <a:schemeClr val="accent1">
                <a:lumMod val="40000"/>
                <a:lumOff val="6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PIB)'!$S$2:$S$7</c:f>
              <c:numCache>
                <c:formatCode>0%</c:formatCode>
                <c:ptCount val="6"/>
                <c:pt idx="0">
                  <c:v>0</c:v>
                </c:pt>
                <c:pt idx="1">
                  <c:v>0</c:v>
                </c:pt>
                <c:pt idx="2">
                  <c:v>-4.815032460099733E-3</c:v>
                </c:pt>
                <c:pt idx="3">
                  <c:v>-1.0053851850183593E-2</c:v>
                </c:pt>
                <c:pt idx="4">
                  <c:v>-1.6027606483568713E-2</c:v>
                </c:pt>
                <c:pt idx="5">
                  <c:v>-2.1845794064703106E-2</c:v>
                </c:pt>
              </c:numCache>
            </c:numRef>
          </c:val>
        </c:ser>
        <c:ser>
          <c:idx val="7"/>
          <c:order val="7"/>
          <c:tx>
            <c:strRef>
              <c:f>'[Fan_Chart_ARF 2019_v2 (1).xlsx]Receitas (Líquida)'!$T$1</c:f>
              <c:strCache>
                <c:ptCount val="1"/>
                <c:pt idx="0">
                  <c:v>Percentil_90</c:v>
                </c:pt>
              </c:strCache>
            </c:strRef>
          </c:tx>
          <c:spPr>
            <a:solidFill>
              <a:schemeClr val="accent1">
                <a:lumMod val="20000"/>
                <a:lumOff val="80000"/>
              </a:schemeClr>
            </a:solidFill>
            <a:ln w="25400">
              <a:noFill/>
            </a:ln>
            <a:effectLst/>
          </c:spPr>
          <c:cat>
            <c:numRef>
              <c:f>'[Fan_Chart_ARF 2019_v2 (1).xlsx]DBGG (% PIB)'!$L$2:$L$7</c:f>
              <c:numCache>
                <c:formatCode>General</c:formatCode>
                <c:ptCount val="6"/>
                <c:pt idx="0">
                  <c:v>2016</c:v>
                </c:pt>
                <c:pt idx="1">
                  <c:v>2017</c:v>
                </c:pt>
                <c:pt idx="2">
                  <c:v>2018</c:v>
                </c:pt>
                <c:pt idx="3">
                  <c:v>2019</c:v>
                </c:pt>
                <c:pt idx="4">
                  <c:v>2020</c:v>
                </c:pt>
                <c:pt idx="5">
                  <c:v>2021</c:v>
                </c:pt>
              </c:numCache>
            </c:numRef>
          </c:cat>
          <c:val>
            <c:numRef>
              <c:f>'[Fan_Chart_ARF 2019_v2 (1).xlsx]DBGG (% PIB)'!$T$2:$T$7</c:f>
              <c:numCache>
                <c:formatCode>0%</c:formatCode>
                <c:ptCount val="6"/>
                <c:pt idx="0">
                  <c:v>0</c:v>
                </c:pt>
                <c:pt idx="1">
                  <c:v>0</c:v>
                </c:pt>
                <c:pt idx="2">
                  <c:v>-6.5999127911384736E-3</c:v>
                </c:pt>
                <c:pt idx="3">
                  <c:v>-1.3516950983257003E-2</c:v>
                </c:pt>
                <c:pt idx="4">
                  <c:v>-2.1315096405157163E-2</c:v>
                </c:pt>
                <c:pt idx="5">
                  <c:v>-2.8836122101030925E-2</c:v>
                </c:pt>
              </c:numCache>
            </c:numRef>
          </c:val>
        </c:ser>
        <c:dLbls>
          <c:showLegendKey val="0"/>
          <c:showVal val="0"/>
          <c:showCatName val="0"/>
          <c:showSerName val="0"/>
          <c:showPercent val="0"/>
          <c:showBubbleSize val="0"/>
        </c:dLbls>
        <c:axId val="1020981968"/>
        <c:axId val="1020994480"/>
      </c:areaChart>
      <c:lineChart>
        <c:grouping val="standard"/>
        <c:varyColors val="0"/>
        <c:ser>
          <c:idx val="8"/>
          <c:order val="8"/>
          <c:tx>
            <c:strRef>
              <c:f>'[Fan_Chart_ARF 2019_v2 (1).xlsx]Receitas (Líquida)'!$U$1</c:f>
              <c:strCache>
                <c:ptCount val="1"/>
                <c:pt idx="0">
                  <c:v>Grade</c:v>
                </c:pt>
              </c:strCache>
            </c:strRef>
          </c:tx>
          <c:spPr>
            <a:ln w="28575" cap="rnd">
              <a:solidFill>
                <a:schemeClr val="accent3">
                  <a:lumMod val="60000"/>
                </a:schemeClr>
              </a:solidFill>
              <a:round/>
            </a:ln>
            <a:effectLst/>
          </c:spPr>
          <c:marker>
            <c:symbol val="none"/>
          </c:marker>
          <c:cat>
            <c:numRef>
              <c:f>'[Fan_Chart_ARF 2019_v2 (1).xlsx]Receitas (Líquida)'!$L$2:$L$6</c:f>
              <c:numCache>
                <c:formatCode>General</c:formatCode>
                <c:ptCount val="5"/>
                <c:pt idx="0">
                  <c:v>2016</c:v>
                </c:pt>
                <c:pt idx="1">
                  <c:v>2017</c:v>
                </c:pt>
                <c:pt idx="2">
                  <c:v>2018</c:v>
                </c:pt>
                <c:pt idx="3">
                  <c:v>2019</c:v>
                </c:pt>
                <c:pt idx="4">
                  <c:v>2020</c:v>
                </c:pt>
              </c:numCache>
            </c:numRef>
          </c:cat>
          <c:val>
            <c:numRef>
              <c:f>'[Fan_Chart_ARF 2019_v2 (1).xlsx]DBGG (% PIB)'!$U$2:$U$7</c:f>
              <c:numCache>
                <c:formatCode>0%</c:formatCode>
                <c:ptCount val="6"/>
                <c:pt idx="0">
                  <c:v>0.69952501201869721</c:v>
                </c:pt>
                <c:pt idx="1">
                  <c:v>0.74004920688974185</c:v>
                </c:pt>
                <c:pt idx="2">
                  <c:v>0.75693903874583612</c:v>
                </c:pt>
                <c:pt idx="3">
                  <c:v>0.77727690088249668</c:v>
                </c:pt>
                <c:pt idx="4">
                  <c:v>0.79699131731653206</c:v>
                </c:pt>
                <c:pt idx="5">
                  <c:v>0.81137635396730345</c:v>
                </c:pt>
              </c:numCache>
            </c:numRef>
          </c:val>
          <c:smooth val="0"/>
        </c:ser>
        <c:dLbls>
          <c:showLegendKey val="0"/>
          <c:showVal val="0"/>
          <c:showCatName val="0"/>
          <c:showSerName val="0"/>
          <c:showPercent val="0"/>
          <c:showBubbleSize val="0"/>
        </c:dLbls>
        <c:marker val="1"/>
        <c:smooth val="0"/>
        <c:axId val="1020981968"/>
        <c:axId val="1020994480"/>
      </c:lineChart>
      <c:catAx>
        <c:axId val="1020981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0994480"/>
        <c:crosses val="autoZero"/>
        <c:auto val="1"/>
        <c:lblAlgn val="ctr"/>
        <c:lblOffset val="100"/>
        <c:noMultiLvlLbl val="0"/>
      </c:catAx>
      <c:valAx>
        <c:axId val="1020994480"/>
        <c:scaling>
          <c:orientation val="minMax"/>
          <c:min val="0.6500000000000001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 PIB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098196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FA6C5-89F0-4600-AE18-ECD026D94835}">
  <ds:schemaRefs>
    <ds:schemaRef ds:uri="http://schemas.openxmlformats.org/officeDocument/2006/bibliography"/>
  </ds:schemaRefs>
</ds:datastoreItem>
</file>

<file path=customXml/itemProps2.xml><?xml version="1.0" encoding="utf-8"?>
<ds:datastoreItem xmlns:ds="http://schemas.openxmlformats.org/officeDocument/2006/customXml" ds:itemID="{46C8718B-A62B-491B-9FBD-7F7F507F2CCB}"/>
</file>

<file path=customXml/itemProps3.xml><?xml version="1.0" encoding="utf-8"?>
<ds:datastoreItem xmlns:ds="http://schemas.openxmlformats.org/officeDocument/2006/customXml" ds:itemID="{1C187EDF-CF9E-408B-B15B-8621C1810074}"/>
</file>

<file path=docProps/app.xml><?xml version="1.0" encoding="utf-8"?>
<Properties xmlns="http://schemas.openxmlformats.org/officeDocument/2006/extended-properties" xmlns:vt="http://schemas.openxmlformats.org/officeDocument/2006/docPropsVTypes">
  <Template>Normal.dotm</Template>
  <TotalTime>1</TotalTime>
  <Pages>94</Pages>
  <Words>32410</Words>
  <Characters>188282</Characters>
  <Application>Microsoft Office Word</Application>
  <DocSecurity>0</DocSecurity>
  <Lines>1569</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VI</vt:lpstr>
      <vt:lpstr>Anexo VI</vt:lpstr>
    </vt:vector>
  </TitlesOfParts>
  <Company>MPOG</Company>
  <LinksUpToDate>false</LinksUpToDate>
  <CharactersWithSpaces>220252</CharactersWithSpaces>
  <SharedDoc>false</SharedDoc>
  <HLinks>
    <vt:vector size="42" baseType="variant">
      <vt:variant>
        <vt:i4>1179699</vt:i4>
      </vt:variant>
      <vt:variant>
        <vt:i4>26</vt:i4>
      </vt:variant>
      <vt:variant>
        <vt:i4>0</vt:i4>
      </vt:variant>
      <vt:variant>
        <vt:i4>5</vt:i4>
      </vt:variant>
      <vt:variant>
        <vt:lpwstr/>
      </vt:variant>
      <vt:variant>
        <vt:lpwstr>_Toc447613142</vt:lpwstr>
      </vt:variant>
      <vt:variant>
        <vt:i4>1179699</vt:i4>
      </vt:variant>
      <vt:variant>
        <vt:i4>20</vt:i4>
      </vt:variant>
      <vt:variant>
        <vt:i4>0</vt:i4>
      </vt:variant>
      <vt:variant>
        <vt:i4>5</vt:i4>
      </vt:variant>
      <vt:variant>
        <vt:lpwstr/>
      </vt:variant>
      <vt:variant>
        <vt:lpwstr>_Toc447613141</vt:lpwstr>
      </vt:variant>
      <vt:variant>
        <vt:i4>1507379</vt:i4>
      </vt:variant>
      <vt:variant>
        <vt:i4>14</vt:i4>
      </vt:variant>
      <vt:variant>
        <vt:i4>0</vt:i4>
      </vt:variant>
      <vt:variant>
        <vt:i4>5</vt:i4>
      </vt:variant>
      <vt:variant>
        <vt:lpwstr/>
      </vt:variant>
      <vt:variant>
        <vt:lpwstr>_Toc447613113</vt:lpwstr>
      </vt:variant>
      <vt:variant>
        <vt:i4>1441843</vt:i4>
      </vt:variant>
      <vt:variant>
        <vt:i4>8</vt:i4>
      </vt:variant>
      <vt:variant>
        <vt:i4>0</vt:i4>
      </vt:variant>
      <vt:variant>
        <vt:i4>5</vt:i4>
      </vt:variant>
      <vt:variant>
        <vt:lpwstr/>
      </vt:variant>
      <vt:variant>
        <vt:lpwstr>_Toc447613108</vt:lpwstr>
      </vt:variant>
      <vt:variant>
        <vt:i4>1441843</vt:i4>
      </vt:variant>
      <vt:variant>
        <vt:i4>2</vt:i4>
      </vt:variant>
      <vt:variant>
        <vt:i4>0</vt:i4>
      </vt:variant>
      <vt:variant>
        <vt:i4>5</vt:i4>
      </vt:variant>
      <vt:variant>
        <vt:lpwstr/>
      </vt:variant>
      <vt:variant>
        <vt:lpwstr>_Toc447613107</vt:lpwstr>
      </vt:variant>
      <vt:variant>
        <vt:i4>2228302</vt:i4>
      </vt:variant>
      <vt:variant>
        <vt:i4>3</vt:i4>
      </vt:variant>
      <vt:variant>
        <vt:i4>0</vt:i4>
      </vt:variant>
      <vt:variant>
        <vt:i4>5</vt:i4>
      </vt:variant>
      <vt:variant>
        <vt:lpwstr>http://www.planalto.gov.br/ccivil_03/leis/l10150.htm</vt:lpwstr>
      </vt:variant>
      <vt:variant>
        <vt:lpwstr/>
      </vt:variant>
      <vt:variant>
        <vt:i4>7405608</vt:i4>
      </vt:variant>
      <vt:variant>
        <vt:i4>0</vt:i4>
      </vt:variant>
      <vt:variant>
        <vt:i4>0</vt:i4>
      </vt:variant>
      <vt:variant>
        <vt:i4>5</vt:i4>
      </vt:variant>
      <vt:variant>
        <vt:lpwstr>http://www.bcb.gov.br/nor/basileia/Regulacao-Prudencial.asp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dc:title>
  <dc:subject/>
  <dc:creator>laira.lage</dc:creator>
  <cp:keywords/>
  <dc:description/>
  <cp:lastModifiedBy>Luciana Duarte Bhering de Carvalho</cp:lastModifiedBy>
  <cp:revision>2</cp:revision>
  <cp:lastPrinted>2018-04-11T19:00:00Z</cp:lastPrinted>
  <dcterms:created xsi:type="dcterms:W3CDTF">2018-04-11T22:47:00Z</dcterms:created>
  <dcterms:modified xsi:type="dcterms:W3CDTF">2018-04-11T22:47:00Z</dcterms:modified>
</cp:coreProperties>
</file>