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B7" w:rsidRPr="00C322C0" w:rsidRDefault="001545B7" w:rsidP="001545B7">
      <w:pPr>
        <w:pStyle w:val="Ttulo"/>
        <w:rPr>
          <w:rFonts w:asciiTheme="minorHAnsi" w:hAnsiTheme="minorHAnsi" w:cstheme="minorHAnsi"/>
        </w:rPr>
      </w:pPr>
      <w:r w:rsidRPr="00C322C0">
        <w:rPr>
          <w:rFonts w:asciiTheme="minorHAnsi" w:hAnsiTheme="minorHAnsi" w:cstheme="minorHAnsi"/>
        </w:rPr>
        <w:t>Anexo IV</w:t>
      </w:r>
    </w:p>
    <w:p w:rsidR="001545B7" w:rsidRPr="00C322C0" w:rsidRDefault="001545B7" w:rsidP="001545B7">
      <w:pPr>
        <w:pStyle w:val="Ttulo"/>
        <w:rPr>
          <w:rFonts w:asciiTheme="minorHAnsi" w:hAnsiTheme="minorHAnsi" w:cstheme="minorHAnsi"/>
        </w:rPr>
      </w:pPr>
      <w:r w:rsidRPr="00C322C0">
        <w:rPr>
          <w:rFonts w:asciiTheme="minorHAnsi" w:hAnsiTheme="minorHAnsi" w:cstheme="minorHAnsi"/>
        </w:rPr>
        <w:t>Metas Fiscais</w:t>
      </w:r>
    </w:p>
    <w:p w:rsidR="001545B7" w:rsidRPr="00C322C0" w:rsidRDefault="001545B7" w:rsidP="001545B7">
      <w:pPr>
        <w:pStyle w:val="Ttulo"/>
        <w:rPr>
          <w:rFonts w:asciiTheme="minorHAnsi" w:hAnsiTheme="minorHAnsi" w:cstheme="minorHAnsi"/>
        </w:rPr>
      </w:pPr>
      <w:r w:rsidRPr="00C322C0">
        <w:rPr>
          <w:rFonts w:asciiTheme="minorHAnsi" w:hAnsiTheme="minorHAnsi" w:cstheme="minorHAnsi"/>
        </w:rPr>
        <w:t xml:space="preserve">IV.1 Anexo de Metas Fiscais Anuais </w:t>
      </w:r>
    </w:p>
    <w:p w:rsidR="001545B7" w:rsidRPr="00C322C0" w:rsidRDefault="001545B7" w:rsidP="001545B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(Art. 4</w:t>
      </w:r>
      <w:r w:rsidRPr="00C322C0">
        <w:rPr>
          <w:rFonts w:cstheme="minorHAnsi"/>
          <w:sz w:val="24"/>
          <w:szCs w:val="24"/>
          <w:u w:val="single"/>
          <w:vertAlign w:val="superscript"/>
        </w:rPr>
        <w:t>o</w:t>
      </w:r>
      <w:r w:rsidRPr="00C322C0">
        <w:rPr>
          <w:rFonts w:cstheme="minorHAnsi"/>
          <w:sz w:val="24"/>
          <w:szCs w:val="24"/>
        </w:rPr>
        <w:t xml:space="preserve">, </w:t>
      </w:r>
      <w:r w:rsidR="00050A8E" w:rsidRPr="00C322C0">
        <w:rPr>
          <w:rFonts w:cstheme="minorHAnsi"/>
          <w:sz w:val="24"/>
          <w:szCs w:val="24"/>
        </w:rPr>
        <w:t>§ 1º</w:t>
      </w:r>
      <w:r w:rsidR="008E675B" w:rsidRPr="00C322C0">
        <w:rPr>
          <w:rFonts w:cstheme="minorHAnsi"/>
          <w:sz w:val="24"/>
          <w:szCs w:val="24"/>
        </w:rPr>
        <w:t xml:space="preserve"> </w:t>
      </w:r>
      <w:r w:rsidRPr="00C322C0">
        <w:rPr>
          <w:rFonts w:cstheme="minorHAnsi"/>
          <w:sz w:val="24"/>
          <w:szCs w:val="24"/>
        </w:rPr>
        <w:t>da Lei Complementar n</w:t>
      </w:r>
      <w:r w:rsidRPr="00C322C0">
        <w:rPr>
          <w:rFonts w:cstheme="minorHAnsi"/>
          <w:sz w:val="24"/>
          <w:szCs w:val="24"/>
          <w:u w:val="single"/>
          <w:vertAlign w:val="superscript"/>
        </w:rPr>
        <w:t>o</w:t>
      </w:r>
      <w:r w:rsidRPr="00C322C0">
        <w:rPr>
          <w:rFonts w:cstheme="minorHAnsi"/>
          <w:sz w:val="24"/>
          <w:szCs w:val="24"/>
        </w:rPr>
        <w:t xml:space="preserve"> 101, de 4 de maio de 2000)</w:t>
      </w:r>
    </w:p>
    <w:p w:rsidR="00850631" w:rsidRPr="00C322C0" w:rsidRDefault="00850631" w:rsidP="00850631">
      <w:pPr>
        <w:pStyle w:val="PargrafodaLista"/>
        <w:spacing w:after="120"/>
        <w:jc w:val="both"/>
        <w:rPr>
          <w:rFonts w:asciiTheme="minorHAnsi" w:hAnsiTheme="minorHAnsi" w:cstheme="minorHAnsi"/>
          <w:b/>
        </w:rPr>
      </w:pPr>
    </w:p>
    <w:p w:rsidR="00BB40C5" w:rsidRPr="00C322C0" w:rsidRDefault="00BB40C5" w:rsidP="004F7B57">
      <w:pPr>
        <w:pStyle w:val="PargrafodaList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 w:rsidRPr="00C322C0">
        <w:rPr>
          <w:rFonts w:asciiTheme="minorHAnsi" w:hAnsiTheme="minorHAnsi" w:cstheme="minorHAnsi"/>
          <w:b/>
        </w:rPr>
        <w:t>Do estabelecimento da meta de resultado primário</w:t>
      </w:r>
    </w:p>
    <w:p w:rsidR="00652C41" w:rsidRPr="00C322C0" w:rsidRDefault="00BE32C1" w:rsidP="00652C41">
      <w:pPr>
        <w:spacing w:after="120"/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O estabelecimento de metas anuais de resultado primário para o exercício a que se refere a LDO e os dois subsequentes, requisito introduzido pela Lei Complementar nº 101, de 4 de maio de 2000, Lei de Responsabilidade Fiscal – LRF, considera a estimativa de receitas e despesas primárias aderentes às normas vigentes e às ações adequadas à estratégia da política fiscal.</w:t>
      </w:r>
    </w:p>
    <w:p w:rsidR="00652C41" w:rsidRPr="00C322C0" w:rsidRDefault="00BE32C1" w:rsidP="00946804">
      <w:pPr>
        <w:spacing w:after="120"/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Para o ano de 201</w:t>
      </w:r>
      <w:r w:rsidR="00E52CAE" w:rsidRPr="00C322C0">
        <w:rPr>
          <w:rFonts w:cstheme="minorHAnsi"/>
          <w:sz w:val="24"/>
          <w:szCs w:val="24"/>
        </w:rPr>
        <w:t>9</w:t>
      </w:r>
      <w:r w:rsidRPr="00C322C0">
        <w:rPr>
          <w:rFonts w:cstheme="minorHAnsi"/>
          <w:sz w:val="24"/>
          <w:szCs w:val="24"/>
        </w:rPr>
        <w:t xml:space="preserve">, fica estabelecido como meta de resultado primário do Setor Público o déficit de R$ </w:t>
      </w:r>
      <w:r w:rsidR="00954033" w:rsidRPr="00C322C0">
        <w:rPr>
          <w:rFonts w:cstheme="minorHAnsi"/>
          <w:sz w:val="24"/>
          <w:szCs w:val="24"/>
        </w:rPr>
        <w:t>132,0</w:t>
      </w:r>
      <w:r w:rsidRPr="00C322C0">
        <w:rPr>
          <w:rFonts w:cstheme="minorHAnsi"/>
          <w:sz w:val="24"/>
          <w:szCs w:val="24"/>
        </w:rPr>
        <w:t xml:space="preserve"> bilhões, equivalente a </w:t>
      </w:r>
      <w:r w:rsidR="00954033" w:rsidRPr="00C322C0">
        <w:rPr>
          <w:rFonts w:cstheme="minorHAnsi"/>
          <w:sz w:val="24"/>
          <w:szCs w:val="24"/>
        </w:rPr>
        <w:t>1,75</w:t>
      </w:r>
      <w:r w:rsidRPr="00C322C0">
        <w:rPr>
          <w:rFonts w:cstheme="minorHAnsi"/>
          <w:sz w:val="24"/>
          <w:szCs w:val="24"/>
        </w:rPr>
        <w:t xml:space="preserve">% do Produto Interno Bruto (PIB) estimado para o ano. A meta decompõe-se da seguinte forma: déficit de R$ </w:t>
      </w:r>
      <w:r w:rsidR="00954033" w:rsidRPr="00C322C0">
        <w:rPr>
          <w:rFonts w:cstheme="minorHAnsi"/>
          <w:sz w:val="24"/>
          <w:szCs w:val="24"/>
        </w:rPr>
        <w:t>139,0</w:t>
      </w:r>
      <w:r w:rsidRPr="00C322C0">
        <w:rPr>
          <w:rFonts w:cstheme="minorHAnsi"/>
          <w:sz w:val="24"/>
          <w:szCs w:val="24"/>
        </w:rPr>
        <w:t xml:space="preserve"> bilhões do Governo Central, déficit de R$ </w:t>
      </w:r>
      <w:r w:rsidR="00954033" w:rsidRPr="00C322C0">
        <w:rPr>
          <w:rFonts w:cstheme="minorHAnsi"/>
          <w:sz w:val="24"/>
          <w:szCs w:val="24"/>
        </w:rPr>
        <w:t>3,5</w:t>
      </w:r>
      <w:r w:rsidRPr="00C322C0">
        <w:rPr>
          <w:rFonts w:cstheme="minorHAnsi"/>
          <w:sz w:val="24"/>
          <w:szCs w:val="24"/>
        </w:rPr>
        <w:t xml:space="preserve"> bilhões das estatais federais e superávit de R$ </w:t>
      </w:r>
      <w:r w:rsidR="00954033" w:rsidRPr="00C322C0">
        <w:rPr>
          <w:rFonts w:cstheme="minorHAnsi"/>
          <w:sz w:val="24"/>
          <w:szCs w:val="24"/>
        </w:rPr>
        <w:t>10,5</w:t>
      </w:r>
      <w:r w:rsidR="00D34A11" w:rsidRPr="00C322C0">
        <w:rPr>
          <w:rFonts w:cstheme="minorHAnsi"/>
          <w:sz w:val="24"/>
          <w:szCs w:val="24"/>
        </w:rPr>
        <w:t xml:space="preserve"> bilhões</w:t>
      </w:r>
      <w:r w:rsidRPr="00C322C0">
        <w:rPr>
          <w:rFonts w:cstheme="minorHAnsi"/>
          <w:sz w:val="24"/>
          <w:szCs w:val="24"/>
        </w:rPr>
        <w:t xml:space="preserve"> de estados e municípios.</w:t>
      </w:r>
    </w:p>
    <w:p w:rsidR="002806EC" w:rsidRPr="00C322C0" w:rsidRDefault="00BE32C1" w:rsidP="00946804">
      <w:pPr>
        <w:spacing w:after="120"/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Para os anos de 20</w:t>
      </w:r>
      <w:r w:rsidR="00E52CAE" w:rsidRPr="00C322C0">
        <w:rPr>
          <w:rFonts w:cstheme="minorHAnsi"/>
          <w:sz w:val="24"/>
          <w:szCs w:val="24"/>
        </w:rPr>
        <w:t>20</w:t>
      </w:r>
      <w:r w:rsidRPr="00C322C0">
        <w:rPr>
          <w:rFonts w:cstheme="minorHAnsi"/>
          <w:sz w:val="24"/>
          <w:szCs w:val="24"/>
        </w:rPr>
        <w:t xml:space="preserve"> e 202</w:t>
      </w:r>
      <w:r w:rsidR="00E52CAE" w:rsidRPr="00C322C0">
        <w:rPr>
          <w:rFonts w:cstheme="minorHAnsi"/>
          <w:sz w:val="24"/>
          <w:szCs w:val="24"/>
        </w:rPr>
        <w:t>1</w:t>
      </w:r>
      <w:r w:rsidRPr="00C322C0">
        <w:rPr>
          <w:rFonts w:cstheme="minorHAnsi"/>
          <w:sz w:val="24"/>
          <w:szCs w:val="24"/>
        </w:rPr>
        <w:t xml:space="preserve">, as metas indicadas de resultado primário do Setor Público são de déficit de R$ </w:t>
      </w:r>
      <w:r w:rsidR="00954033" w:rsidRPr="00C322C0">
        <w:rPr>
          <w:rFonts w:cstheme="minorHAnsi"/>
          <w:sz w:val="24"/>
          <w:szCs w:val="24"/>
        </w:rPr>
        <w:t>99,7</w:t>
      </w:r>
      <w:r w:rsidRPr="00C322C0">
        <w:rPr>
          <w:rFonts w:cstheme="minorHAnsi"/>
          <w:sz w:val="24"/>
          <w:szCs w:val="24"/>
        </w:rPr>
        <w:t xml:space="preserve"> bilhões e R$ </w:t>
      </w:r>
      <w:r w:rsidR="00954033" w:rsidRPr="00C322C0">
        <w:rPr>
          <w:rFonts w:cstheme="minorHAnsi"/>
          <w:sz w:val="24"/>
          <w:szCs w:val="24"/>
        </w:rPr>
        <w:t>56,5</w:t>
      </w:r>
      <w:r w:rsidRPr="00C322C0">
        <w:rPr>
          <w:rFonts w:cstheme="minorHAnsi"/>
          <w:sz w:val="24"/>
          <w:szCs w:val="24"/>
        </w:rPr>
        <w:t xml:space="preserve"> bilhões, respectivamente, o equivalente a </w:t>
      </w:r>
      <w:r w:rsidR="00954033" w:rsidRPr="00C322C0">
        <w:rPr>
          <w:rFonts w:cstheme="minorHAnsi"/>
          <w:sz w:val="24"/>
          <w:szCs w:val="24"/>
        </w:rPr>
        <w:t>1,23</w:t>
      </w:r>
      <w:r w:rsidRPr="00C322C0">
        <w:rPr>
          <w:rFonts w:cstheme="minorHAnsi"/>
          <w:sz w:val="24"/>
          <w:szCs w:val="24"/>
        </w:rPr>
        <w:t xml:space="preserve">% e </w:t>
      </w:r>
      <w:r w:rsidR="00954033" w:rsidRPr="00C322C0">
        <w:rPr>
          <w:rFonts w:cstheme="minorHAnsi"/>
          <w:sz w:val="24"/>
          <w:szCs w:val="24"/>
        </w:rPr>
        <w:t>0,65</w:t>
      </w:r>
      <w:r w:rsidRPr="00C322C0">
        <w:rPr>
          <w:rFonts w:cstheme="minorHAnsi"/>
          <w:sz w:val="24"/>
          <w:szCs w:val="24"/>
        </w:rPr>
        <w:t>% do PIB.</w:t>
      </w:r>
    </w:p>
    <w:p w:rsidR="00BE32C1" w:rsidRPr="00C322C0" w:rsidRDefault="00BE32C1" w:rsidP="00BE32C1">
      <w:pPr>
        <w:pStyle w:val="PargrafodaLista"/>
        <w:spacing w:after="120"/>
        <w:jc w:val="both"/>
        <w:rPr>
          <w:rFonts w:asciiTheme="minorHAnsi" w:hAnsiTheme="minorHAnsi" w:cstheme="minorHAnsi"/>
          <w:b/>
        </w:rPr>
      </w:pPr>
    </w:p>
    <w:p w:rsidR="00613605" w:rsidRPr="00C322C0" w:rsidRDefault="00613605" w:rsidP="00613605">
      <w:pPr>
        <w:pStyle w:val="PargrafodaList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 w:rsidRPr="00C322C0">
        <w:rPr>
          <w:rFonts w:asciiTheme="minorHAnsi" w:hAnsiTheme="minorHAnsi" w:cstheme="minorHAnsi"/>
          <w:b/>
        </w:rPr>
        <w:t>Da base legal</w:t>
      </w:r>
    </w:p>
    <w:p w:rsidR="001421D3" w:rsidRPr="00C322C0" w:rsidRDefault="00082B4F" w:rsidP="00082B4F">
      <w:pPr>
        <w:spacing w:after="120"/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 xml:space="preserve">A Lei Complementar nº 101, de 4 de maio de 2000, Lei de Responsabilidade Fiscal - LRF, dispõe no § 1º do </w:t>
      </w:r>
      <w:r w:rsidR="008F607D" w:rsidRPr="00C322C0">
        <w:rPr>
          <w:rFonts w:cstheme="minorHAnsi"/>
          <w:sz w:val="24"/>
          <w:szCs w:val="24"/>
        </w:rPr>
        <w:t xml:space="preserve">art. </w:t>
      </w:r>
      <w:r w:rsidRPr="00C322C0">
        <w:rPr>
          <w:rFonts w:cstheme="minorHAnsi"/>
          <w:sz w:val="24"/>
          <w:szCs w:val="24"/>
        </w:rPr>
        <w:t xml:space="preserve">4º que </w:t>
      </w:r>
      <w:r w:rsidR="0008216A" w:rsidRPr="00C322C0">
        <w:rPr>
          <w:rFonts w:cstheme="minorHAnsi"/>
          <w:sz w:val="24"/>
          <w:szCs w:val="24"/>
        </w:rPr>
        <w:t>integrará o projeto de lei de diretrizes orçamentárias Anexo de Metas Fiscais, em que serão estabelecidas metas anuais, em valores correntes e constantes, relativas a receitas, despesas, resultados nominal e primário e montante da dívida pública, para o exercício a que se referirem e para os dois seguintes.</w:t>
      </w:r>
    </w:p>
    <w:p w:rsidR="00E61274" w:rsidRPr="00C322C0" w:rsidRDefault="00E61274" w:rsidP="00613605">
      <w:pPr>
        <w:spacing w:after="120"/>
        <w:jc w:val="both"/>
        <w:rPr>
          <w:rFonts w:cstheme="minorHAnsi"/>
          <w:sz w:val="24"/>
          <w:szCs w:val="24"/>
        </w:rPr>
      </w:pPr>
    </w:p>
    <w:p w:rsidR="003D75E1" w:rsidRPr="00C322C0" w:rsidRDefault="00E61274" w:rsidP="00534CF7">
      <w:pPr>
        <w:pStyle w:val="PargrafodaList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 w:rsidRPr="00C322C0">
        <w:rPr>
          <w:rFonts w:asciiTheme="minorHAnsi" w:hAnsiTheme="minorHAnsi" w:cstheme="minorHAnsi"/>
          <w:b/>
        </w:rPr>
        <w:t>Da conjuntura</w:t>
      </w:r>
      <w:r w:rsidR="007A3A30" w:rsidRPr="00C322C0">
        <w:rPr>
          <w:rFonts w:asciiTheme="minorHAnsi" w:hAnsiTheme="minorHAnsi" w:cstheme="minorHAnsi"/>
          <w:b/>
        </w:rPr>
        <w:t xml:space="preserve"> </w:t>
      </w:r>
    </w:p>
    <w:p w:rsidR="00CE72F5" w:rsidRPr="00C322C0" w:rsidRDefault="00CE72F5" w:rsidP="00CE72F5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 xml:space="preserve">As perspectivas para o cenário econômico internacional no período 2019 a 2021 são positivas, com crescimento mundial estimado de 3,9% em 2018 (WEO/FMI de janeiro/2018). O cenário atual contempla uma elevação gradual da taxa de juros dos EUA, em resposta a um aumento igualmente gradual nos núcleos de inflação e salários. De modo semelhante, é contemplada também elevação gradual de juros na Zona do Euro, em linha com o avanço nas taxas de crescimento e de inflação. </w:t>
      </w:r>
    </w:p>
    <w:p w:rsidR="00CE72F5" w:rsidRPr="00C322C0" w:rsidRDefault="00CE72F5" w:rsidP="00CE72F5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 xml:space="preserve">Todavia, esse cenário embute riscos. Um cenário de crescimento sincronizado entre estas economias em conjuntura com pouca capacidade de reação por parte da oferta poderia levar a uma pressão mais aprofundada no mercado de trabalho, com efeitos mais contundentes sobre o ritmo de elevação de juros e, por conseguinte, sobre o ritmo de crescimento do resto do mundo. Some-se a isto o risco de uma amplificação da guerra comercial entre EUA e China. Um desempenho econômico chinês abaixo do </w:t>
      </w:r>
      <w:r w:rsidRPr="00C322C0">
        <w:rPr>
          <w:rFonts w:cstheme="minorHAnsi"/>
          <w:bCs/>
          <w:sz w:val="24"/>
          <w:szCs w:val="24"/>
        </w:rPr>
        <w:lastRenderedPageBreak/>
        <w:t>esperado teria ramificações importantes para o crescimento global, com efeitos relevantes para o Brasil, sendo aquele país um importante parceiro comercial.</w:t>
      </w:r>
    </w:p>
    <w:p w:rsidR="00C24DE7" w:rsidRPr="00C322C0" w:rsidRDefault="00CE72F5" w:rsidP="006A1BE1">
      <w:pPr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No cenário doméstico, o</w:t>
      </w:r>
      <w:r w:rsidR="00C24DE7" w:rsidRPr="00C322C0">
        <w:rPr>
          <w:rFonts w:cstheme="minorHAnsi"/>
          <w:sz w:val="24"/>
          <w:szCs w:val="24"/>
        </w:rPr>
        <w:t xml:space="preserve"> ano de 2017 marcou o fim </w:t>
      </w:r>
      <w:r w:rsidR="00F732AD" w:rsidRPr="00C322C0">
        <w:rPr>
          <w:rFonts w:cstheme="minorHAnsi"/>
          <w:sz w:val="24"/>
          <w:szCs w:val="24"/>
        </w:rPr>
        <w:t>d</w:t>
      </w:r>
      <w:r w:rsidR="00C322B3" w:rsidRPr="00C322C0">
        <w:rPr>
          <w:rFonts w:cstheme="minorHAnsi"/>
          <w:sz w:val="24"/>
          <w:szCs w:val="24"/>
        </w:rPr>
        <w:t>a</w:t>
      </w:r>
      <w:r w:rsidR="00C24DE7" w:rsidRPr="00C322C0">
        <w:rPr>
          <w:rFonts w:cstheme="minorHAnsi"/>
          <w:sz w:val="24"/>
          <w:szCs w:val="24"/>
        </w:rPr>
        <w:t xml:space="preserve"> </w:t>
      </w:r>
      <w:r w:rsidR="00BB0739" w:rsidRPr="00C322C0">
        <w:rPr>
          <w:rFonts w:cstheme="minorHAnsi"/>
          <w:sz w:val="24"/>
          <w:szCs w:val="24"/>
        </w:rPr>
        <w:t>profunda</w:t>
      </w:r>
      <w:r w:rsidR="00C24DE7" w:rsidRPr="00C322C0">
        <w:rPr>
          <w:rFonts w:cstheme="minorHAnsi"/>
          <w:sz w:val="24"/>
          <w:szCs w:val="24"/>
        </w:rPr>
        <w:t xml:space="preserve"> recess</w:t>
      </w:r>
      <w:r w:rsidR="00C322B3" w:rsidRPr="00C322C0">
        <w:rPr>
          <w:rFonts w:cstheme="minorHAnsi"/>
          <w:sz w:val="24"/>
          <w:szCs w:val="24"/>
        </w:rPr>
        <w:t xml:space="preserve">ão </w:t>
      </w:r>
      <w:r w:rsidR="008F607D" w:rsidRPr="00C322C0">
        <w:rPr>
          <w:rFonts w:cstheme="minorHAnsi"/>
          <w:sz w:val="24"/>
          <w:szCs w:val="24"/>
        </w:rPr>
        <w:t>iniciada em meados de 2014</w:t>
      </w:r>
      <w:r w:rsidR="00C24DE7" w:rsidRPr="00C322C0">
        <w:rPr>
          <w:rFonts w:cstheme="minorHAnsi"/>
          <w:sz w:val="24"/>
          <w:szCs w:val="24"/>
        </w:rPr>
        <w:t xml:space="preserve">. O PIB </w:t>
      </w:r>
      <w:r w:rsidR="00521EE1" w:rsidRPr="00C322C0">
        <w:rPr>
          <w:rFonts w:cstheme="minorHAnsi"/>
          <w:sz w:val="24"/>
          <w:szCs w:val="24"/>
        </w:rPr>
        <w:t>elevou-se</w:t>
      </w:r>
      <w:r w:rsidR="00272153" w:rsidRPr="00C322C0">
        <w:rPr>
          <w:rFonts w:cstheme="minorHAnsi"/>
          <w:sz w:val="24"/>
          <w:szCs w:val="24"/>
        </w:rPr>
        <w:t xml:space="preserve"> em 1,0% em termos reais</w:t>
      </w:r>
      <w:r w:rsidR="00C24DE7" w:rsidRPr="00C322C0">
        <w:rPr>
          <w:rFonts w:cstheme="minorHAnsi"/>
          <w:sz w:val="24"/>
          <w:szCs w:val="24"/>
        </w:rPr>
        <w:t>,</w:t>
      </w:r>
      <w:r w:rsidR="00C32B42" w:rsidRPr="00C322C0">
        <w:rPr>
          <w:rFonts w:cstheme="minorHAnsi"/>
          <w:sz w:val="24"/>
          <w:szCs w:val="24"/>
        </w:rPr>
        <w:t xml:space="preserve"> interrompendo uma sequência de </w:t>
      </w:r>
      <w:r w:rsidR="00523DE3" w:rsidRPr="00C322C0">
        <w:rPr>
          <w:rFonts w:cstheme="minorHAnsi"/>
          <w:sz w:val="24"/>
          <w:szCs w:val="24"/>
        </w:rPr>
        <w:t>2 anos</w:t>
      </w:r>
      <w:r w:rsidR="00C32B42" w:rsidRPr="00C322C0">
        <w:rPr>
          <w:rFonts w:cstheme="minorHAnsi"/>
          <w:sz w:val="24"/>
          <w:szCs w:val="24"/>
        </w:rPr>
        <w:t xml:space="preserve"> de retração, </w:t>
      </w:r>
      <w:r w:rsidR="00C24DE7" w:rsidRPr="00C322C0">
        <w:rPr>
          <w:rFonts w:cstheme="minorHAnsi"/>
          <w:sz w:val="24"/>
          <w:szCs w:val="24"/>
        </w:rPr>
        <w:t>ao passo que a inflação desacelerou e o desemprego e os juros registraram queda. O ano fechou com a inflação de 2,9</w:t>
      </w:r>
      <w:r w:rsidR="00F732AD" w:rsidRPr="00C322C0">
        <w:rPr>
          <w:rFonts w:cstheme="minorHAnsi"/>
          <w:sz w:val="24"/>
          <w:szCs w:val="24"/>
        </w:rPr>
        <w:t>5</w:t>
      </w:r>
      <w:r w:rsidR="00C24DE7" w:rsidRPr="00C322C0">
        <w:rPr>
          <w:rFonts w:cstheme="minorHAnsi"/>
          <w:sz w:val="24"/>
          <w:szCs w:val="24"/>
        </w:rPr>
        <w:t xml:space="preserve">% a.a (IPCA) e com taxa de juros básica da economia de </w:t>
      </w:r>
      <w:r w:rsidR="00272153" w:rsidRPr="00C322C0">
        <w:rPr>
          <w:rFonts w:cstheme="minorHAnsi"/>
          <w:sz w:val="24"/>
          <w:szCs w:val="24"/>
        </w:rPr>
        <w:t>7,0</w:t>
      </w:r>
      <w:r w:rsidR="00C24DE7" w:rsidRPr="00C322C0">
        <w:rPr>
          <w:rFonts w:cstheme="minorHAnsi"/>
          <w:sz w:val="24"/>
          <w:szCs w:val="24"/>
        </w:rPr>
        <w:t>% a.a</w:t>
      </w:r>
      <w:r w:rsidR="00C322C0">
        <w:rPr>
          <w:rFonts w:cstheme="minorHAnsi"/>
          <w:sz w:val="24"/>
          <w:szCs w:val="24"/>
        </w:rPr>
        <w:t>.</w:t>
      </w:r>
      <w:r w:rsidR="00C24DE7" w:rsidRPr="00C322C0">
        <w:rPr>
          <w:rFonts w:cstheme="minorHAnsi"/>
          <w:sz w:val="24"/>
          <w:szCs w:val="24"/>
        </w:rPr>
        <w:t xml:space="preserve"> (Meta Sistema Especial de Liquidação e de Custódia – Selic), patamar mais baixo de </w:t>
      </w:r>
      <w:r w:rsidR="00C24DE7" w:rsidRPr="00620887">
        <w:rPr>
          <w:rFonts w:cstheme="minorHAnsi"/>
          <w:sz w:val="24"/>
          <w:szCs w:val="24"/>
        </w:rPr>
        <w:t>juros</w:t>
      </w:r>
      <w:r w:rsidR="00620887" w:rsidRPr="00620887">
        <w:rPr>
          <w:rFonts w:cstheme="minorHAnsi"/>
          <w:sz w:val="24"/>
          <w:szCs w:val="24"/>
        </w:rPr>
        <w:t>, até então, do período de vigência do Regime de Metas para a Inflação iniciado em 1999</w:t>
      </w:r>
      <w:r w:rsidR="00C24DE7" w:rsidRPr="00620887">
        <w:rPr>
          <w:rFonts w:cstheme="minorHAnsi"/>
          <w:sz w:val="24"/>
          <w:szCs w:val="24"/>
        </w:rPr>
        <w:t>.</w:t>
      </w:r>
      <w:r w:rsidR="00523DE3" w:rsidRPr="00620887">
        <w:rPr>
          <w:rFonts w:cstheme="minorHAnsi"/>
          <w:sz w:val="24"/>
          <w:szCs w:val="24"/>
        </w:rPr>
        <w:t xml:space="preserve"> </w:t>
      </w:r>
      <w:r w:rsidR="00D64316" w:rsidRPr="00620887">
        <w:rPr>
          <w:rFonts w:cstheme="minorHAnsi"/>
          <w:sz w:val="24"/>
          <w:szCs w:val="24"/>
        </w:rPr>
        <w:t>Esse cenário</w:t>
      </w:r>
      <w:r w:rsidR="00D64316" w:rsidRPr="00C322C0">
        <w:rPr>
          <w:rFonts w:cstheme="minorHAnsi"/>
          <w:sz w:val="24"/>
          <w:szCs w:val="24"/>
        </w:rPr>
        <w:t xml:space="preserve"> mantém-se</w:t>
      </w:r>
      <w:r w:rsidR="00523DE3" w:rsidRPr="00C322C0">
        <w:rPr>
          <w:rFonts w:cstheme="minorHAnsi"/>
          <w:sz w:val="24"/>
          <w:szCs w:val="24"/>
        </w:rPr>
        <w:t xml:space="preserve"> neste 1º trimestre </w:t>
      </w:r>
      <w:r w:rsidR="00620887">
        <w:rPr>
          <w:rFonts w:cstheme="minorHAnsi"/>
          <w:sz w:val="24"/>
          <w:szCs w:val="24"/>
        </w:rPr>
        <w:t xml:space="preserve">de </w:t>
      </w:r>
      <w:r w:rsidR="00523DE3" w:rsidRPr="00C322C0">
        <w:rPr>
          <w:rFonts w:cstheme="minorHAnsi"/>
          <w:sz w:val="24"/>
          <w:szCs w:val="24"/>
        </w:rPr>
        <w:t xml:space="preserve">2018, com o IPCA registrando </w:t>
      </w:r>
      <w:r w:rsidR="00D34A11" w:rsidRPr="00C322C0">
        <w:rPr>
          <w:rFonts w:cstheme="minorHAnsi"/>
          <w:sz w:val="24"/>
          <w:szCs w:val="24"/>
        </w:rPr>
        <w:t>2,</w:t>
      </w:r>
      <w:r w:rsidR="00620887">
        <w:rPr>
          <w:rFonts w:cstheme="minorHAnsi"/>
          <w:sz w:val="24"/>
          <w:szCs w:val="24"/>
        </w:rPr>
        <w:t>68</w:t>
      </w:r>
      <w:r w:rsidR="00523DE3" w:rsidRPr="00C322C0">
        <w:rPr>
          <w:rFonts w:cstheme="minorHAnsi"/>
          <w:sz w:val="24"/>
          <w:szCs w:val="24"/>
        </w:rPr>
        <w:t>%</w:t>
      </w:r>
      <w:r w:rsidR="006A1BE1" w:rsidRPr="00C322C0">
        <w:rPr>
          <w:rFonts w:cstheme="minorHAnsi"/>
          <w:sz w:val="24"/>
          <w:szCs w:val="24"/>
        </w:rPr>
        <w:t xml:space="preserve"> a.a.</w:t>
      </w:r>
      <w:r w:rsidR="00523DE3" w:rsidRPr="00C322C0">
        <w:rPr>
          <w:rFonts w:cstheme="minorHAnsi"/>
          <w:sz w:val="24"/>
          <w:szCs w:val="24"/>
        </w:rPr>
        <w:t xml:space="preserve"> em 12 meses até </w:t>
      </w:r>
      <w:r w:rsidR="00D34A11" w:rsidRPr="00C322C0">
        <w:rPr>
          <w:rFonts w:cstheme="minorHAnsi"/>
          <w:sz w:val="24"/>
          <w:szCs w:val="24"/>
        </w:rPr>
        <w:t>março</w:t>
      </w:r>
      <w:r w:rsidR="00523DE3" w:rsidRPr="00C322C0">
        <w:rPr>
          <w:rFonts w:cstheme="minorHAnsi"/>
          <w:sz w:val="24"/>
          <w:szCs w:val="24"/>
        </w:rPr>
        <w:t xml:space="preserve"> e a taxa Selic reduzida para 6,5%</w:t>
      </w:r>
      <w:r w:rsidR="00050A8E" w:rsidRPr="00C322C0">
        <w:rPr>
          <w:rFonts w:cstheme="minorHAnsi"/>
          <w:sz w:val="24"/>
          <w:szCs w:val="24"/>
        </w:rPr>
        <w:t xml:space="preserve"> a.a.</w:t>
      </w:r>
      <w:r w:rsidR="00523DE3" w:rsidRPr="00C322C0">
        <w:rPr>
          <w:rFonts w:cstheme="minorHAnsi"/>
          <w:sz w:val="24"/>
          <w:szCs w:val="24"/>
        </w:rPr>
        <w:t xml:space="preserve"> na reunião do Co</w:t>
      </w:r>
      <w:r w:rsidR="00C322B3" w:rsidRPr="00C322C0">
        <w:rPr>
          <w:rFonts w:cstheme="minorHAnsi"/>
          <w:sz w:val="24"/>
          <w:szCs w:val="24"/>
        </w:rPr>
        <w:t xml:space="preserve">mitê de Política Monetária (COPOM) </w:t>
      </w:r>
      <w:r w:rsidR="00523DE3" w:rsidRPr="00C322C0">
        <w:rPr>
          <w:rFonts w:cstheme="minorHAnsi"/>
          <w:sz w:val="24"/>
          <w:szCs w:val="24"/>
        </w:rPr>
        <w:t>de</w:t>
      </w:r>
      <w:r w:rsidR="00B60239" w:rsidRPr="00C322C0">
        <w:rPr>
          <w:rFonts w:cstheme="minorHAnsi"/>
          <w:sz w:val="24"/>
          <w:szCs w:val="24"/>
        </w:rPr>
        <w:t xml:space="preserve"> 21 de março. </w:t>
      </w:r>
      <w:r w:rsidR="00C24DE7" w:rsidRPr="00C322C0">
        <w:rPr>
          <w:rFonts w:cstheme="minorHAnsi"/>
          <w:sz w:val="24"/>
          <w:szCs w:val="24"/>
        </w:rPr>
        <w:t xml:space="preserve">As condições de sustentabilidade externa continuam fortes, com superávits recordes da balança comercial e </w:t>
      </w:r>
      <w:r w:rsidR="006A1BE1" w:rsidRPr="00C322C0">
        <w:rPr>
          <w:rFonts w:cstheme="minorHAnsi"/>
          <w:sz w:val="24"/>
          <w:szCs w:val="24"/>
        </w:rPr>
        <w:t xml:space="preserve">manutenção da </w:t>
      </w:r>
      <w:r w:rsidR="00C24DE7" w:rsidRPr="00C322C0">
        <w:rPr>
          <w:rFonts w:cstheme="minorHAnsi"/>
          <w:sz w:val="24"/>
          <w:szCs w:val="24"/>
        </w:rPr>
        <w:t>atratividade do País ao investimento estrangeiro.</w:t>
      </w:r>
    </w:p>
    <w:p w:rsidR="00DF352B" w:rsidRPr="00C322C0" w:rsidRDefault="00FD2471" w:rsidP="00FD2471">
      <w:pPr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Os resultados positivos auferidos pela economia decorrem diretamente das mudanças na diretriz da política econômica iniciadas em maio de 2016</w:t>
      </w:r>
      <w:r w:rsidR="00915AF7" w:rsidRPr="00C322C0">
        <w:rPr>
          <w:rFonts w:cstheme="minorHAnsi"/>
          <w:sz w:val="24"/>
          <w:szCs w:val="24"/>
        </w:rPr>
        <w:t>, desde quando f</w:t>
      </w:r>
      <w:r w:rsidR="00267236" w:rsidRPr="00C322C0">
        <w:rPr>
          <w:rFonts w:cstheme="minorHAnsi"/>
          <w:sz w:val="24"/>
          <w:szCs w:val="24"/>
        </w:rPr>
        <w:t>oi apresentada uma</w:t>
      </w:r>
      <w:r w:rsidRPr="00C322C0">
        <w:rPr>
          <w:rFonts w:cstheme="minorHAnsi"/>
          <w:sz w:val="24"/>
          <w:szCs w:val="24"/>
        </w:rPr>
        <w:t xml:space="preserve"> agenda abrangente para restaurar a confiança na economia brasileira,</w:t>
      </w:r>
      <w:r w:rsidR="00DF352B" w:rsidRPr="00C322C0">
        <w:rPr>
          <w:rFonts w:cstheme="minorHAnsi"/>
          <w:sz w:val="24"/>
          <w:szCs w:val="24"/>
        </w:rPr>
        <w:t xml:space="preserve"> que incluiu reformas estruturais </w:t>
      </w:r>
      <w:r w:rsidR="004273B4" w:rsidRPr="00C322C0">
        <w:rPr>
          <w:rFonts w:cstheme="minorHAnsi"/>
          <w:sz w:val="24"/>
          <w:szCs w:val="24"/>
        </w:rPr>
        <w:t>visando</w:t>
      </w:r>
      <w:r w:rsidR="00DF352B" w:rsidRPr="00C322C0">
        <w:rPr>
          <w:rFonts w:cstheme="minorHAnsi"/>
          <w:sz w:val="24"/>
          <w:szCs w:val="24"/>
        </w:rPr>
        <w:t xml:space="preserve"> ao equilíbrio fiscal, medidas administrativas que permitem ganhos de eficiência e modernização do Estado, além da revisão de políticas públicas e as mudanças nos quadros legais regulatórios e de infraestrutura. </w:t>
      </w:r>
    </w:p>
    <w:p w:rsidR="00DF352B" w:rsidRPr="00C322C0" w:rsidRDefault="00DF352B" w:rsidP="00DF352B">
      <w:pPr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 xml:space="preserve">A agenda de reformas também resgatou a confiança dos agentes econômicos. O </w:t>
      </w:r>
      <w:r w:rsidRPr="00C322C0">
        <w:rPr>
          <w:rFonts w:cstheme="minorHAnsi"/>
          <w:i/>
          <w:iCs/>
          <w:sz w:val="24"/>
          <w:szCs w:val="24"/>
        </w:rPr>
        <w:t>Credit Default Swap</w:t>
      </w:r>
      <w:r w:rsidRPr="00C322C0">
        <w:rPr>
          <w:rFonts w:cstheme="minorHAnsi"/>
          <w:sz w:val="24"/>
          <w:szCs w:val="24"/>
        </w:rPr>
        <w:t xml:space="preserve"> (CDS) de cinco anos recuou dos 507 pontos registrados em janeiro de 2016 para 162 pontos-base em dezembro de 2017. Atualmente, já está em patamar comparável aos registrados no período em que a economia obteve a avaliação de grau de investimento (entre abril de 2008 e setembro de 2015), em torno dos 170 pontos. Na mesma direção, a taxa de câmbio média, que alcançou R$/US$ 4,05, em janeiro de 2016, registrou, em dezembro de 2017, R$/US$ 3,29.</w:t>
      </w:r>
    </w:p>
    <w:p w:rsidR="00CF3384" w:rsidRPr="00C322C0" w:rsidRDefault="00366CF9" w:rsidP="00322FA7">
      <w:pPr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Dentre as reformas estruturais implementadas</w:t>
      </w:r>
      <w:r w:rsidR="002F0838" w:rsidRPr="00C322C0">
        <w:rPr>
          <w:rFonts w:cstheme="minorHAnsi"/>
          <w:sz w:val="24"/>
          <w:szCs w:val="24"/>
        </w:rPr>
        <w:t xml:space="preserve">, </w:t>
      </w:r>
      <w:r w:rsidR="0018297F" w:rsidRPr="00C322C0">
        <w:rPr>
          <w:rFonts w:cstheme="minorHAnsi"/>
          <w:sz w:val="24"/>
          <w:szCs w:val="24"/>
        </w:rPr>
        <w:t>são exemplos</w:t>
      </w:r>
      <w:r w:rsidRPr="00C322C0">
        <w:rPr>
          <w:rFonts w:cstheme="minorHAnsi"/>
          <w:sz w:val="24"/>
          <w:szCs w:val="24"/>
        </w:rPr>
        <w:t xml:space="preserve">: (i) a </w:t>
      </w:r>
      <w:r w:rsidR="00CF3384" w:rsidRPr="00C322C0">
        <w:rPr>
          <w:rFonts w:cstheme="minorHAnsi"/>
          <w:sz w:val="24"/>
          <w:szCs w:val="24"/>
        </w:rPr>
        <w:t>Emenda Constitucional nº 95</w:t>
      </w:r>
      <w:r w:rsidRPr="00C322C0">
        <w:rPr>
          <w:rFonts w:cstheme="minorHAnsi"/>
          <w:sz w:val="24"/>
          <w:szCs w:val="24"/>
        </w:rPr>
        <w:t>/</w:t>
      </w:r>
      <w:r w:rsidR="00CF3384" w:rsidRPr="00C322C0">
        <w:rPr>
          <w:rFonts w:cstheme="minorHAnsi"/>
          <w:sz w:val="24"/>
          <w:szCs w:val="24"/>
        </w:rPr>
        <w:t>2016, responsável por criar o Novo Regime Fiscal</w:t>
      </w:r>
      <w:r w:rsidR="00620887">
        <w:rPr>
          <w:rFonts w:cstheme="minorHAnsi"/>
          <w:sz w:val="24"/>
          <w:szCs w:val="24"/>
        </w:rPr>
        <w:t>,</w:t>
      </w:r>
      <w:r w:rsidRPr="00C322C0">
        <w:rPr>
          <w:rFonts w:cstheme="minorHAnsi"/>
          <w:sz w:val="24"/>
          <w:szCs w:val="24"/>
        </w:rPr>
        <w:t xml:space="preserve"> que</w:t>
      </w:r>
      <w:r w:rsidR="00CF3384" w:rsidRPr="00C322C0">
        <w:rPr>
          <w:rFonts w:cstheme="minorHAnsi"/>
          <w:sz w:val="24"/>
          <w:szCs w:val="24"/>
        </w:rPr>
        <w:t xml:space="preserve"> limita</w:t>
      </w:r>
      <w:r w:rsidRPr="00C322C0">
        <w:rPr>
          <w:rFonts w:cstheme="minorHAnsi"/>
          <w:sz w:val="24"/>
          <w:szCs w:val="24"/>
        </w:rPr>
        <w:t xml:space="preserve"> </w:t>
      </w:r>
      <w:r w:rsidR="00CF3384" w:rsidRPr="00C322C0">
        <w:rPr>
          <w:rFonts w:cstheme="minorHAnsi"/>
          <w:sz w:val="24"/>
          <w:szCs w:val="24"/>
        </w:rPr>
        <w:t xml:space="preserve">o crescimento </w:t>
      </w:r>
      <w:r w:rsidRPr="00C322C0">
        <w:rPr>
          <w:rFonts w:cstheme="minorHAnsi"/>
          <w:sz w:val="24"/>
          <w:szCs w:val="24"/>
        </w:rPr>
        <w:t>d</w:t>
      </w:r>
      <w:r w:rsidR="00CF3384" w:rsidRPr="00C322C0">
        <w:rPr>
          <w:rFonts w:cstheme="minorHAnsi"/>
          <w:sz w:val="24"/>
          <w:szCs w:val="24"/>
        </w:rPr>
        <w:t>o gasto público</w:t>
      </w:r>
      <w:r w:rsidRPr="00C322C0">
        <w:rPr>
          <w:rFonts w:cstheme="minorHAnsi"/>
          <w:sz w:val="24"/>
          <w:szCs w:val="24"/>
        </w:rPr>
        <w:t>;</w:t>
      </w:r>
      <w:r w:rsidR="00322FA7" w:rsidRPr="00C322C0">
        <w:rPr>
          <w:rFonts w:cstheme="minorHAnsi"/>
          <w:sz w:val="24"/>
          <w:szCs w:val="24"/>
        </w:rPr>
        <w:t xml:space="preserve"> (ii) a Reforma Trabalhista </w:t>
      </w:r>
      <w:r w:rsidR="006A0B99" w:rsidRPr="00C322C0">
        <w:rPr>
          <w:rFonts w:cstheme="minorHAnsi"/>
          <w:sz w:val="24"/>
          <w:szCs w:val="24"/>
        </w:rPr>
        <w:t xml:space="preserve">– </w:t>
      </w:r>
      <w:r w:rsidR="00322FA7" w:rsidRPr="00C322C0">
        <w:rPr>
          <w:rFonts w:cstheme="minorHAnsi"/>
          <w:sz w:val="24"/>
          <w:szCs w:val="24"/>
        </w:rPr>
        <w:t xml:space="preserve">Lei </w:t>
      </w:r>
      <w:r w:rsidR="00C322B3" w:rsidRPr="00C322C0">
        <w:rPr>
          <w:rFonts w:cstheme="minorHAnsi"/>
          <w:sz w:val="24"/>
          <w:szCs w:val="24"/>
        </w:rPr>
        <w:t xml:space="preserve">nº </w:t>
      </w:r>
      <w:r w:rsidR="00322FA7" w:rsidRPr="00C322C0">
        <w:rPr>
          <w:rFonts w:cstheme="minorHAnsi"/>
          <w:sz w:val="24"/>
          <w:szCs w:val="24"/>
        </w:rPr>
        <w:t>13.467/2017</w:t>
      </w:r>
      <w:r w:rsidR="00C322B3" w:rsidRPr="00C322C0">
        <w:rPr>
          <w:rFonts w:cstheme="minorHAnsi"/>
          <w:sz w:val="24"/>
          <w:szCs w:val="24"/>
        </w:rPr>
        <w:t xml:space="preserve">, </w:t>
      </w:r>
      <w:r w:rsidR="00322FA7" w:rsidRPr="00C322C0">
        <w:rPr>
          <w:rFonts w:cstheme="minorHAnsi"/>
          <w:sz w:val="24"/>
          <w:szCs w:val="24"/>
        </w:rPr>
        <w:t>que</w:t>
      </w:r>
      <w:r w:rsidR="00B160BB" w:rsidRPr="00C322C0">
        <w:rPr>
          <w:rFonts w:cstheme="minorHAnsi"/>
          <w:sz w:val="24"/>
          <w:szCs w:val="24"/>
        </w:rPr>
        <w:t xml:space="preserve"> admitiu  flexibilização dos acordos trabalhistas e</w:t>
      </w:r>
      <w:r w:rsidR="00322FA7" w:rsidRPr="00C322C0">
        <w:rPr>
          <w:rFonts w:cstheme="minorHAnsi"/>
          <w:sz w:val="24"/>
          <w:szCs w:val="24"/>
        </w:rPr>
        <w:t xml:space="preserve"> </w:t>
      </w:r>
      <w:r w:rsidR="004273B4" w:rsidRPr="00C322C0">
        <w:rPr>
          <w:rFonts w:cstheme="minorHAnsi"/>
          <w:sz w:val="24"/>
          <w:szCs w:val="24"/>
        </w:rPr>
        <w:t xml:space="preserve">tornou </w:t>
      </w:r>
      <w:r w:rsidR="00322FA7" w:rsidRPr="00C322C0">
        <w:rPr>
          <w:rFonts w:cstheme="minorHAnsi"/>
          <w:sz w:val="24"/>
          <w:szCs w:val="24"/>
        </w:rPr>
        <w:t xml:space="preserve">a legislação brasileira </w:t>
      </w:r>
      <w:r w:rsidR="00B160BB" w:rsidRPr="00C322C0">
        <w:rPr>
          <w:rFonts w:cstheme="minorHAnsi"/>
          <w:sz w:val="24"/>
          <w:szCs w:val="24"/>
        </w:rPr>
        <w:t>mais aderente ao desenvolvimento do mercado de trabalho e à maior empregabilidade</w:t>
      </w:r>
      <w:r w:rsidR="00322FA7" w:rsidRPr="00C322C0">
        <w:rPr>
          <w:rFonts w:cstheme="minorHAnsi"/>
          <w:sz w:val="24"/>
          <w:szCs w:val="24"/>
        </w:rPr>
        <w:t xml:space="preserve">; </w:t>
      </w:r>
      <w:r w:rsidRPr="00C322C0">
        <w:rPr>
          <w:rFonts w:cstheme="minorHAnsi"/>
          <w:sz w:val="24"/>
          <w:szCs w:val="24"/>
        </w:rPr>
        <w:t>(</w:t>
      </w:r>
      <w:r w:rsidR="00322FA7" w:rsidRPr="00C322C0">
        <w:rPr>
          <w:rFonts w:cstheme="minorHAnsi"/>
          <w:sz w:val="24"/>
          <w:szCs w:val="24"/>
        </w:rPr>
        <w:t>i</w:t>
      </w:r>
      <w:r w:rsidRPr="00C322C0">
        <w:rPr>
          <w:rFonts w:cstheme="minorHAnsi"/>
          <w:sz w:val="24"/>
          <w:szCs w:val="24"/>
        </w:rPr>
        <w:t>ii) a Taxa de Longo Prazo (TLP)</w:t>
      </w:r>
      <w:r w:rsidR="00B44BD7" w:rsidRPr="00C322C0">
        <w:rPr>
          <w:rFonts w:cstheme="minorHAnsi"/>
          <w:sz w:val="24"/>
          <w:szCs w:val="24"/>
        </w:rPr>
        <w:t xml:space="preserve"> instituída pela Lei </w:t>
      </w:r>
      <w:r w:rsidR="00C322B3" w:rsidRPr="00C322C0">
        <w:rPr>
          <w:rFonts w:cstheme="minorHAnsi"/>
          <w:sz w:val="24"/>
          <w:szCs w:val="24"/>
        </w:rPr>
        <w:t xml:space="preserve">nº </w:t>
      </w:r>
      <w:r w:rsidR="00B44BD7" w:rsidRPr="00C322C0">
        <w:rPr>
          <w:rFonts w:cstheme="minorHAnsi"/>
          <w:sz w:val="24"/>
          <w:szCs w:val="24"/>
        </w:rPr>
        <w:t>13.483/2017</w:t>
      </w:r>
      <w:r w:rsidRPr="00C322C0">
        <w:rPr>
          <w:rFonts w:cstheme="minorHAnsi"/>
          <w:sz w:val="24"/>
          <w:szCs w:val="24"/>
        </w:rPr>
        <w:t xml:space="preserve">, que substituiu a Taxa de Juros de Longo Prazo (TJLP) como referência das operações de crédito do Banco Nacional de Desenvolvimento Econômico e Social (BNDES), </w:t>
      </w:r>
      <w:r w:rsidR="00D979D4" w:rsidRPr="00C322C0">
        <w:rPr>
          <w:rFonts w:cstheme="minorHAnsi"/>
          <w:sz w:val="24"/>
          <w:szCs w:val="24"/>
        </w:rPr>
        <w:t>aumentando a eficácia da política monetária e reduzindo o gasto público com a equalização de taxas de juros; (i</w:t>
      </w:r>
      <w:r w:rsidR="00322FA7" w:rsidRPr="00C322C0">
        <w:rPr>
          <w:rFonts w:cstheme="minorHAnsi"/>
          <w:sz w:val="24"/>
          <w:szCs w:val="24"/>
        </w:rPr>
        <w:t>v</w:t>
      </w:r>
      <w:r w:rsidR="00D979D4" w:rsidRPr="00C322C0">
        <w:rPr>
          <w:rFonts w:cstheme="minorHAnsi"/>
          <w:sz w:val="24"/>
          <w:szCs w:val="24"/>
        </w:rPr>
        <w:t xml:space="preserve">) </w:t>
      </w:r>
      <w:r w:rsidR="002F0838" w:rsidRPr="00C322C0">
        <w:rPr>
          <w:rFonts w:cstheme="minorHAnsi"/>
          <w:sz w:val="24"/>
          <w:szCs w:val="24"/>
        </w:rPr>
        <w:t xml:space="preserve"> a Lei nº 13.530/2017, que altera a legislação do FIES com o objetivo de aumentar a eficiência e a sustentabilidade fiscal do </w:t>
      </w:r>
      <w:r w:rsidR="006A0B99" w:rsidRPr="00C322C0">
        <w:rPr>
          <w:rFonts w:cstheme="minorHAnsi"/>
          <w:sz w:val="24"/>
          <w:szCs w:val="24"/>
        </w:rPr>
        <w:t>p</w:t>
      </w:r>
      <w:r w:rsidR="002F0838" w:rsidRPr="00C322C0">
        <w:rPr>
          <w:rFonts w:cstheme="minorHAnsi"/>
          <w:sz w:val="24"/>
          <w:szCs w:val="24"/>
        </w:rPr>
        <w:t xml:space="preserve">rograma, principalmente por meio da redução do risco de crédito, do redesenho de incentivos para diminuir a inadimplência e do </w:t>
      </w:r>
      <w:r w:rsidR="002F0838" w:rsidRPr="00C322C0">
        <w:rPr>
          <w:rFonts w:cstheme="minorHAnsi"/>
          <w:sz w:val="24"/>
          <w:szCs w:val="24"/>
        </w:rPr>
        <w:lastRenderedPageBreak/>
        <w:t>aprimoramento da governança</w:t>
      </w:r>
      <w:r w:rsidR="00322FA7" w:rsidRPr="00C322C0">
        <w:rPr>
          <w:rFonts w:cstheme="minorHAnsi"/>
          <w:sz w:val="24"/>
          <w:szCs w:val="24"/>
        </w:rPr>
        <w:t xml:space="preserve">; </w:t>
      </w:r>
      <w:r w:rsidR="006A0B99" w:rsidRPr="00C322C0">
        <w:rPr>
          <w:rFonts w:cstheme="minorHAnsi"/>
          <w:sz w:val="24"/>
          <w:szCs w:val="24"/>
        </w:rPr>
        <w:t xml:space="preserve">e </w:t>
      </w:r>
      <w:r w:rsidR="00322FA7" w:rsidRPr="00C322C0">
        <w:rPr>
          <w:rFonts w:cstheme="minorHAnsi"/>
          <w:sz w:val="24"/>
          <w:szCs w:val="24"/>
        </w:rPr>
        <w:t>(</w:t>
      </w:r>
      <w:r w:rsidR="002F0838" w:rsidRPr="00C322C0">
        <w:rPr>
          <w:rFonts w:cstheme="minorHAnsi"/>
          <w:sz w:val="24"/>
          <w:szCs w:val="24"/>
        </w:rPr>
        <w:t>v)</w:t>
      </w:r>
      <w:r w:rsidR="00B44BD7" w:rsidRPr="00C322C0">
        <w:rPr>
          <w:rFonts w:cstheme="minorHAnsi"/>
          <w:sz w:val="24"/>
          <w:szCs w:val="24"/>
        </w:rPr>
        <w:t xml:space="preserve"> </w:t>
      </w:r>
      <w:r w:rsidR="00F61BD2" w:rsidRPr="00C322C0">
        <w:rPr>
          <w:rFonts w:cstheme="minorHAnsi"/>
          <w:sz w:val="24"/>
          <w:szCs w:val="24"/>
        </w:rPr>
        <w:t xml:space="preserve">a Lei </w:t>
      </w:r>
      <w:r w:rsidR="006A0B99" w:rsidRPr="00C322C0">
        <w:rPr>
          <w:rFonts w:cstheme="minorHAnsi"/>
          <w:sz w:val="24"/>
          <w:szCs w:val="24"/>
        </w:rPr>
        <w:t xml:space="preserve">nº </w:t>
      </w:r>
      <w:r w:rsidR="00F61BD2" w:rsidRPr="00C322C0">
        <w:rPr>
          <w:rFonts w:cstheme="minorHAnsi"/>
          <w:sz w:val="24"/>
          <w:szCs w:val="24"/>
        </w:rPr>
        <w:t xml:space="preserve">13.429/2017, que normatizou a terceirização no </w:t>
      </w:r>
      <w:r w:rsidR="006A0B99" w:rsidRPr="00C322C0">
        <w:rPr>
          <w:rFonts w:cstheme="minorHAnsi"/>
          <w:sz w:val="24"/>
          <w:szCs w:val="24"/>
        </w:rPr>
        <w:t>P</w:t>
      </w:r>
      <w:r w:rsidR="00F61BD2" w:rsidRPr="00C322C0">
        <w:rPr>
          <w:rFonts w:cstheme="minorHAnsi"/>
          <w:sz w:val="24"/>
          <w:szCs w:val="24"/>
        </w:rPr>
        <w:t>aís</w:t>
      </w:r>
      <w:r w:rsidR="006A0B99" w:rsidRPr="00C322C0">
        <w:rPr>
          <w:rFonts w:cstheme="minorHAnsi"/>
          <w:sz w:val="24"/>
          <w:szCs w:val="24"/>
        </w:rPr>
        <w:t>; dentre outras</w:t>
      </w:r>
      <w:r w:rsidR="00F61BD2" w:rsidRPr="00C322C0">
        <w:rPr>
          <w:rFonts w:cstheme="minorHAnsi"/>
          <w:sz w:val="24"/>
          <w:szCs w:val="24"/>
        </w:rPr>
        <w:t xml:space="preserve">. </w:t>
      </w:r>
    </w:p>
    <w:p w:rsidR="00F61BD2" w:rsidRPr="00713AD6" w:rsidRDefault="00F61BD2" w:rsidP="00322FA7">
      <w:pPr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 xml:space="preserve">Outro aspecto de relevância foi o aperfeiçoamento de marcos regulatórios, ampliando a atratividade para investimentos </w:t>
      </w:r>
      <w:r w:rsidR="006A0B99" w:rsidRPr="00C322C0">
        <w:rPr>
          <w:rFonts w:cstheme="minorHAnsi"/>
          <w:sz w:val="24"/>
          <w:szCs w:val="24"/>
        </w:rPr>
        <w:t xml:space="preserve">do setor privado </w:t>
      </w:r>
      <w:r w:rsidRPr="00C322C0">
        <w:rPr>
          <w:rFonts w:cstheme="minorHAnsi"/>
          <w:sz w:val="24"/>
          <w:szCs w:val="24"/>
        </w:rPr>
        <w:t xml:space="preserve">em vários setores. Em especial, cabe ressaltar: </w:t>
      </w:r>
      <w:r w:rsidR="00DA052C" w:rsidRPr="00C322C0">
        <w:rPr>
          <w:rFonts w:cstheme="minorHAnsi"/>
          <w:sz w:val="24"/>
          <w:szCs w:val="24"/>
        </w:rPr>
        <w:t xml:space="preserve">(i) </w:t>
      </w:r>
      <w:r w:rsidRPr="00C322C0">
        <w:rPr>
          <w:rFonts w:cstheme="minorHAnsi"/>
          <w:sz w:val="24"/>
          <w:szCs w:val="24"/>
        </w:rPr>
        <w:t xml:space="preserve">a Resolução CNPE nº 07/2017, que reduziu as exigências e simplificou as regras de conteúdo local para o setor de petróleo e gás; </w:t>
      </w:r>
      <w:r w:rsidR="00DA052C" w:rsidRPr="00C322C0">
        <w:rPr>
          <w:rFonts w:cstheme="minorHAnsi"/>
          <w:sz w:val="24"/>
          <w:szCs w:val="24"/>
        </w:rPr>
        <w:t xml:space="preserve">(ii) </w:t>
      </w:r>
      <w:r w:rsidRPr="00C322C0">
        <w:rPr>
          <w:rFonts w:cstheme="minorHAnsi"/>
          <w:sz w:val="24"/>
          <w:szCs w:val="24"/>
        </w:rPr>
        <w:t xml:space="preserve">a Revisão da Lei do Pré-sal, </w:t>
      </w:r>
      <w:r w:rsidR="00DA052C" w:rsidRPr="00C322C0">
        <w:rPr>
          <w:rFonts w:cstheme="minorHAnsi"/>
          <w:sz w:val="24"/>
          <w:szCs w:val="24"/>
        </w:rPr>
        <w:t xml:space="preserve">que desobrigou </w:t>
      </w:r>
      <w:r w:rsidRPr="00C322C0">
        <w:rPr>
          <w:rFonts w:cstheme="minorHAnsi"/>
          <w:sz w:val="24"/>
          <w:szCs w:val="24"/>
        </w:rPr>
        <w:t xml:space="preserve">a Petrobras de participar de todos os consórcios de exploração; </w:t>
      </w:r>
      <w:r w:rsidR="00DA052C" w:rsidRPr="00C322C0">
        <w:rPr>
          <w:rFonts w:cstheme="minorHAnsi"/>
          <w:sz w:val="24"/>
          <w:szCs w:val="24"/>
        </w:rPr>
        <w:t xml:space="preserve">(iii) </w:t>
      </w:r>
      <w:r w:rsidRPr="00C322C0">
        <w:rPr>
          <w:rFonts w:cstheme="minorHAnsi"/>
          <w:sz w:val="24"/>
          <w:szCs w:val="24"/>
        </w:rPr>
        <w:t>a criação da Agência Nacional de Mineração (ANM), com funções de regulação e fiscalização do setor, em substituição ao Departamento Nacional de Produção M</w:t>
      </w:r>
      <w:r w:rsidR="00713AD6">
        <w:rPr>
          <w:rFonts w:cstheme="minorHAnsi"/>
          <w:sz w:val="24"/>
          <w:szCs w:val="24"/>
        </w:rPr>
        <w:t>ineral (DNPM), que será extinto</w:t>
      </w:r>
      <w:r w:rsidR="00713AD6">
        <w:rPr>
          <w:rFonts w:ascii="Times New Roman" w:hAnsi="Times New Roman" w:cs="Times New Roman"/>
          <w:sz w:val="24"/>
          <w:szCs w:val="24"/>
        </w:rPr>
        <w:t xml:space="preserve">; </w:t>
      </w:r>
      <w:r w:rsidR="00713AD6" w:rsidRPr="00713AD6">
        <w:rPr>
          <w:rFonts w:cstheme="minorHAnsi"/>
          <w:sz w:val="24"/>
          <w:szCs w:val="24"/>
        </w:rPr>
        <w:t>e (iv) a modernização das regras sobre alienação fiduciária por  meio da Lei 13.465/2017, que define valor mínimo em leilão, prazo de averbação e de pagamento de parcelas vencidas, além de incluir a possibilidade de intimação via terceiros e reduzir fatores que incitam a anulação do processo.</w:t>
      </w:r>
    </w:p>
    <w:p w:rsidR="00A37091" w:rsidRPr="00713AD6" w:rsidRDefault="00D32FBD" w:rsidP="00322FA7">
      <w:pPr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 xml:space="preserve">Também merecem destaque diversas medidas de modernização da gestão e redução de custo para Estado </w:t>
      </w:r>
      <w:r w:rsidR="00F61BD2" w:rsidRPr="00C322C0">
        <w:rPr>
          <w:rFonts w:cstheme="minorHAnsi"/>
          <w:sz w:val="24"/>
          <w:szCs w:val="24"/>
        </w:rPr>
        <w:t>em 2017</w:t>
      </w:r>
      <w:r w:rsidRPr="00C322C0">
        <w:rPr>
          <w:rFonts w:cstheme="minorHAnsi"/>
          <w:sz w:val="24"/>
          <w:szCs w:val="24"/>
        </w:rPr>
        <w:t xml:space="preserve">: </w:t>
      </w:r>
      <w:r w:rsidR="00285B3D" w:rsidRPr="00C322C0">
        <w:rPr>
          <w:rFonts w:cstheme="minorHAnsi"/>
          <w:sz w:val="24"/>
          <w:szCs w:val="24"/>
        </w:rPr>
        <w:t xml:space="preserve">(i) </w:t>
      </w:r>
      <w:r w:rsidRPr="00C322C0">
        <w:rPr>
          <w:rFonts w:cstheme="minorHAnsi"/>
          <w:sz w:val="24"/>
          <w:szCs w:val="24"/>
        </w:rPr>
        <w:t xml:space="preserve">a </w:t>
      </w:r>
      <w:r w:rsidR="00713AD6">
        <w:rPr>
          <w:rFonts w:cstheme="minorHAnsi"/>
          <w:sz w:val="24"/>
          <w:szCs w:val="24"/>
        </w:rPr>
        <w:t>queda</w:t>
      </w:r>
      <w:r w:rsidRPr="00C322C0">
        <w:rPr>
          <w:rFonts w:cstheme="minorHAnsi"/>
          <w:sz w:val="24"/>
          <w:szCs w:val="24"/>
        </w:rPr>
        <w:t xml:space="preserve">, em termos reais, de </w:t>
      </w:r>
      <w:r w:rsidR="00680D09" w:rsidRPr="00C322C0">
        <w:rPr>
          <w:rFonts w:cstheme="minorHAnsi"/>
          <w:sz w:val="24"/>
          <w:szCs w:val="24"/>
        </w:rPr>
        <w:t>1,1%</w:t>
      </w:r>
      <w:r w:rsidRPr="00C322C0">
        <w:rPr>
          <w:rFonts w:cstheme="minorHAnsi"/>
          <w:sz w:val="24"/>
          <w:szCs w:val="24"/>
        </w:rPr>
        <w:t xml:space="preserve"> das despes</w:t>
      </w:r>
      <w:r w:rsidR="00680D09" w:rsidRPr="00C322C0">
        <w:rPr>
          <w:rFonts w:cstheme="minorHAnsi"/>
          <w:sz w:val="24"/>
          <w:szCs w:val="24"/>
        </w:rPr>
        <w:t xml:space="preserve">as de custeio administrativo em </w:t>
      </w:r>
      <w:r w:rsidRPr="00C322C0">
        <w:rPr>
          <w:rFonts w:cstheme="minorHAnsi"/>
          <w:sz w:val="24"/>
          <w:szCs w:val="24"/>
        </w:rPr>
        <w:t>2017</w:t>
      </w:r>
      <w:r w:rsidR="00680D09" w:rsidRPr="00C322C0">
        <w:rPr>
          <w:rFonts w:cstheme="minorHAnsi"/>
          <w:sz w:val="24"/>
          <w:szCs w:val="24"/>
        </w:rPr>
        <w:t xml:space="preserve">, em relação ao </w:t>
      </w:r>
      <w:r w:rsidRPr="00C322C0">
        <w:rPr>
          <w:rFonts w:cstheme="minorHAnsi"/>
          <w:sz w:val="24"/>
          <w:szCs w:val="24"/>
        </w:rPr>
        <w:t xml:space="preserve">ano anterior; </w:t>
      </w:r>
      <w:r w:rsidR="00285B3D" w:rsidRPr="00C322C0">
        <w:rPr>
          <w:rFonts w:cstheme="minorHAnsi"/>
          <w:sz w:val="24"/>
          <w:szCs w:val="24"/>
        </w:rPr>
        <w:t>(</w:t>
      </w:r>
      <w:r w:rsidR="00285B3D" w:rsidRPr="00713AD6">
        <w:rPr>
          <w:rFonts w:cstheme="minorHAnsi"/>
          <w:sz w:val="24"/>
          <w:szCs w:val="24"/>
        </w:rPr>
        <w:t xml:space="preserve">ii) </w:t>
      </w:r>
      <w:r w:rsidRPr="00713AD6">
        <w:rPr>
          <w:rFonts w:cstheme="minorHAnsi"/>
          <w:sz w:val="24"/>
          <w:szCs w:val="24"/>
        </w:rPr>
        <w:t xml:space="preserve">a redução no quadro de pessoal efetivo das </w:t>
      </w:r>
      <w:r w:rsidR="00963CFF" w:rsidRPr="00713AD6">
        <w:rPr>
          <w:rFonts w:cstheme="minorHAnsi"/>
          <w:sz w:val="24"/>
          <w:szCs w:val="24"/>
        </w:rPr>
        <w:t xml:space="preserve">empresas </w:t>
      </w:r>
      <w:r w:rsidRPr="00713AD6">
        <w:rPr>
          <w:rFonts w:cstheme="minorHAnsi"/>
          <w:sz w:val="24"/>
          <w:szCs w:val="24"/>
        </w:rPr>
        <w:t xml:space="preserve">estatais em mais de </w:t>
      </w:r>
      <w:r w:rsidR="00F61BD2" w:rsidRPr="00713AD6">
        <w:rPr>
          <w:rFonts w:cstheme="minorHAnsi"/>
          <w:sz w:val="24"/>
          <w:szCs w:val="24"/>
        </w:rPr>
        <w:t xml:space="preserve">28 </w:t>
      </w:r>
      <w:r w:rsidRPr="00713AD6">
        <w:rPr>
          <w:rFonts w:cstheme="minorHAnsi"/>
          <w:sz w:val="24"/>
          <w:szCs w:val="24"/>
        </w:rPr>
        <w:t>mil</w:t>
      </w:r>
      <w:r w:rsidR="00963CFF" w:rsidRPr="00713AD6">
        <w:rPr>
          <w:rFonts w:cstheme="minorHAnsi"/>
          <w:sz w:val="24"/>
          <w:szCs w:val="24"/>
        </w:rPr>
        <w:t xml:space="preserve"> </w:t>
      </w:r>
      <w:r w:rsidRPr="00713AD6">
        <w:rPr>
          <w:rFonts w:cstheme="minorHAnsi"/>
          <w:sz w:val="24"/>
          <w:szCs w:val="24"/>
        </w:rPr>
        <w:t>colaboradores</w:t>
      </w:r>
      <w:r w:rsidR="00713AD6" w:rsidRPr="00713AD6">
        <w:rPr>
          <w:rFonts w:cstheme="minorHAnsi"/>
          <w:sz w:val="24"/>
          <w:szCs w:val="24"/>
        </w:rPr>
        <w:t xml:space="preserve"> (de um total de cerca de 51 mil empregados entre o final de 2015 e o primeiro trimestre de 2018)</w:t>
      </w:r>
      <w:r w:rsidRPr="00713AD6">
        <w:rPr>
          <w:rFonts w:cstheme="minorHAnsi"/>
          <w:sz w:val="24"/>
          <w:szCs w:val="24"/>
        </w:rPr>
        <w:t xml:space="preserve">; </w:t>
      </w:r>
      <w:r w:rsidR="00285B3D" w:rsidRPr="00713AD6">
        <w:rPr>
          <w:rFonts w:cstheme="minorHAnsi"/>
          <w:sz w:val="24"/>
          <w:szCs w:val="24"/>
        </w:rPr>
        <w:t xml:space="preserve">(iii) </w:t>
      </w:r>
      <w:r w:rsidRPr="00713AD6">
        <w:rPr>
          <w:rFonts w:cstheme="minorHAnsi"/>
          <w:sz w:val="24"/>
          <w:szCs w:val="24"/>
        </w:rPr>
        <w:t>a publicização do Painel de Preços, que confere maior transparência e controle</w:t>
      </w:r>
      <w:r w:rsidRPr="00C322C0">
        <w:rPr>
          <w:rFonts w:cstheme="minorHAnsi"/>
          <w:sz w:val="24"/>
          <w:szCs w:val="24"/>
        </w:rPr>
        <w:t xml:space="preserve"> às compras públicas;</w:t>
      </w:r>
      <w:r w:rsidR="00285B3D" w:rsidRPr="00C322C0">
        <w:rPr>
          <w:rFonts w:cstheme="minorHAnsi"/>
          <w:sz w:val="24"/>
          <w:szCs w:val="24"/>
        </w:rPr>
        <w:t xml:space="preserve"> (iv)</w:t>
      </w:r>
      <w:r w:rsidRPr="00C322C0">
        <w:rPr>
          <w:rFonts w:cstheme="minorHAnsi"/>
          <w:sz w:val="24"/>
          <w:szCs w:val="24"/>
        </w:rPr>
        <w:t xml:space="preserve"> o aperfeiçoamento do sistema de transferências voluntárias para maior transparência, governança e gestão de risco (Rede Siconv, Painel Siconv, Siconv Cidadão); </w:t>
      </w:r>
      <w:r w:rsidR="00285B3D" w:rsidRPr="00C322C0">
        <w:rPr>
          <w:rFonts w:cstheme="minorHAnsi"/>
          <w:sz w:val="24"/>
          <w:szCs w:val="24"/>
        </w:rPr>
        <w:t xml:space="preserve">(v) </w:t>
      </w:r>
      <w:r w:rsidRPr="00C322C0">
        <w:rPr>
          <w:rFonts w:cstheme="minorHAnsi"/>
          <w:sz w:val="24"/>
          <w:szCs w:val="24"/>
        </w:rPr>
        <w:t xml:space="preserve">o Programa Nacional de Regularização Fundiária, com vistas à simplificação do processo; </w:t>
      </w:r>
      <w:r w:rsidR="00820911" w:rsidRPr="00C322C0">
        <w:rPr>
          <w:rFonts w:cstheme="minorHAnsi"/>
          <w:sz w:val="24"/>
          <w:szCs w:val="24"/>
        </w:rPr>
        <w:t xml:space="preserve">(vi) </w:t>
      </w:r>
      <w:r w:rsidRPr="00C322C0">
        <w:rPr>
          <w:rFonts w:cstheme="minorHAnsi"/>
          <w:sz w:val="24"/>
          <w:szCs w:val="24"/>
        </w:rPr>
        <w:t xml:space="preserve">o SPUnet </w:t>
      </w:r>
      <w:r w:rsidR="006A0B99" w:rsidRPr="00C322C0">
        <w:rPr>
          <w:rFonts w:cstheme="minorHAnsi"/>
          <w:sz w:val="24"/>
          <w:szCs w:val="24"/>
        </w:rPr>
        <w:t xml:space="preserve">– </w:t>
      </w:r>
      <w:r w:rsidRPr="00C322C0">
        <w:rPr>
          <w:rFonts w:cstheme="minorHAnsi"/>
          <w:sz w:val="24"/>
          <w:szCs w:val="24"/>
        </w:rPr>
        <w:t xml:space="preserve">Sistema de Gestão Integrada dos Imóveis Públicos Federais; e, finalmente, </w:t>
      </w:r>
      <w:r w:rsidR="00DA052C" w:rsidRPr="00C322C0">
        <w:rPr>
          <w:rFonts w:cstheme="minorHAnsi"/>
          <w:sz w:val="24"/>
          <w:szCs w:val="24"/>
        </w:rPr>
        <w:t>(vi</w:t>
      </w:r>
      <w:r w:rsidR="00820911" w:rsidRPr="00C322C0">
        <w:rPr>
          <w:rFonts w:cstheme="minorHAnsi"/>
          <w:sz w:val="24"/>
          <w:szCs w:val="24"/>
        </w:rPr>
        <w:t>i</w:t>
      </w:r>
      <w:r w:rsidR="00DA052C" w:rsidRPr="00C322C0">
        <w:rPr>
          <w:rFonts w:cstheme="minorHAnsi"/>
          <w:sz w:val="24"/>
          <w:szCs w:val="24"/>
        </w:rPr>
        <w:t xml:space="preserve">) </w:t>
      </w:r>
      <w:r w:rsidRPr="00C322C0">
        <w:rPr>
          <w:rFonts w:cstheme="minorHAnsi"/>
          <w:sz w:val="24"/>
          <w:szCs w:val="24"/>
        </w:rPr>
        <w:t xml:space="preserve">a continuação da alienação de imóveis </w:t>
      </w:r>
      <w:r w:rsidRPr="00713AD6">
        <w:rPr>
          <w:rFonts w:cstheme="minorHAnsi"/>
          <w:sz w:val="24"/>
          <w:szCs w:val="24"/>
        </w:rPr>
        <w:t xml:space="preserve">da União, </w:t>
      </w:r>
      <w:r w:rsidR="00713AD6" w:rsidRPr="00713AD6">
        <w:rPr>
          <w:rFonts w:cstheme="minorHAnsi"/>
          <w:sz w:val="24"/>
          <w:szCs w:val="24"/>
        </w:rPr>
        <w:t>que gerou R$ 55,7 milhões em 2017. Além disto, cabe mencionar projetos de simplificação tributária, como a nova fase do Sistema Público de Escrituração Digital (Sped), que simplifica o cumprimento das obrigações acessórias e amplia a eficiência do compartilhamento de informações entre os fiscos; a Simplificação de Obrigações Tributárias Acessórias, com o intuito de reduzir as mais de 30 declarações regionais, que possuem alto nível de redundância; a regulamentação de um padrão nacional para a Nota Fiscal de Serviços Eletrônica; e o Portal Único do Comércio Exterior como único ponto de entrada para encaminhamento de documentos ou dados exigidos para importação, exportação ou trânsito de bens.</w:t>
      </w:r>
    </w:p>
    <w:p w:rsidR="00E20707" w:rsidRPr="00C322C0" w:rsidRDefault="00F61BD2" w:rsidP="0099618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A</w:t>
      </w:r>
      <w:r w:rsidR="00E20707" w:rsidRPr="00C322C0">
        <w:rPr>
          <w:rFonts w:cstheme="minorHAnsi"/>
          <w:sz w:val="24"/>
          <w:szCs w:val="24"/>
        </w:rPr>
        <w:t xml:space="preserve"> rápida queda da inflação</w:t>
      </w:r>
      <w:r w:rsidR="002131DE" w:rsidRPr="00C322C0">
        <w:rPr>
          <w:rFonts w:cstheme="minorHAnsi"/>
          <w:sz w:val="24"/>
          <w:szCs w:val="24"/>
        </w:rPr>
        <w:t xml:space="preserve"> </w:t>
      </w:r>
      <w:r w:rsidR="00E20707" w:rsidRPr="00C322C0">
        <w:rPr>
          <w:rFonts w:cstheme="minorHAnsi"/>
          <w:sz w:val="24"/>
          <w:szCs w:val="24"/>
        </w:rPr>
        <w:t>elevou o poder de compra da população</w:t>
      </w:r>
      <w:r w:rsidR="00C2306C" w:rsidRPr="00C322C0">
        <w:rPr>
          <w:rFonts w:cstheme="minorHAnsi"/>
          <w:sz w:val="24"/>
          <w:szCs w:val="24"/>
        </w:rPr>
        <w:t>, reforçado também pelo</w:t>
      </w:r>
      <w:r w:rsidR="00E20707" w:rsidRPr="00C322C0">
        <w:rPr>
          <w:rFonts w:cstheme="minorHAnsi"/>
          <w:sz w:val="24"/>
          <w:szCs w:val="24"/>
        </w:rPr>
        <w:t xml:space="preserve">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>aumento de</w:t>
      </w:r>
      <w:r w:rsidR="00E20707" w:rsidRPr="00C322C0">
        <w:rPr>
          <w:rFonts w:cstheme="minorHAnsi"/>
          <w:color w:val="000000" w:themeColor="text1"/>
          <w:sz w:val="24"/>
          <w:szCs w:val="24"/>
        </w:rPr>
        <w:t xml:space="preserve"> renda e a redução do endividamento das famílias, ocorrido nos últimos dois anos</w:t>
      </w:r>
      <w:r w:rsidR="00996184" w:rsidRPr="00C322C0">
        <w:rPr>
          <w:rFonts w:cstheme="minorHAnsi"/>
          <w:color w:val="000000" w:themeColor="text1"/>
          <w:sz w:val="24"/>
          <w:szCs w:val="24"/>
        </w:rPr>
        <w:t>. Ess</w:t>
      </w:r>
      <w:r w:rsidR="002131DE" w:rsidRPr="00C322C0">
        <w:rPr>
          <w:rFonts w:cstheme="minorHAnsi"/>
          <w:color w:val="000000" w:themeColor="text1"/>
          <w:sz w:val="24"/>
          <w:szCs w:val="24"/>
        </w:rPr>
        <w:t>e</w:t>
      </w:r>
      <w:r w:rsidR="00996184" w:rsidRPr="00C322C0">
        <w:rPr>
          <w:rFonts w:cstheme="minorHAnsi"/>
          <w:color w:val="000000" w:themeColor="text1"/>
          <w:sz w:val="24"/>
          <w:szCs w:val="24"/>
        </w:rPr>
        <w:t xml:space="preserve"> movimento contou com o auxílio da </w:t>
      </w:r>
      <w:r w:rsidR="00151A43" w:rsidRPr="00C322C0">
        <w:rPr>
          <w:rFonts w:cstheme="minorHAnsi"/>
          <w:color w:val="000000" w:themeColor="text1"/>
          <w:sz w:val="24"/>
          <w:szCs w:val="24"/>
        </w:rPr>
        <w:t xml:space="preserve">facilitação do acesso a recursos do Fundo de Garantia do Tempo de Serviço (FGTS), que injetou R$ 44 bilhões na economia </w:t>
      </w:r>
      <w:r w:rsidR="0036495E" w:rsidRPr="00C322C0">
        <w:rPr>
          <w:rFonts w:cstheme="minorHAnsi"/>
          <w:color w:val="000000" w:themeColor="text1"/>
          <w:sz w:val="24"/>
          <w:szCs w:val="24"/>
        </w:rPr>
        <w:t xml:space="preserve">por meio do saque de contas inativas </w:t>
      </w:r>
      <w:r w:rsidR="00151A43" w:rsidRPr="00C322C0">
        <w:rPr>
          <w:rFonts w:cstheme="minorHAnsi"/>
          <w:color w:val="000000" w:themeColor="text1"/>
          <w:sz w:val="24"/>
          <w:szCs w:val="24"/>
        </w:rPr>
        <w:t>e atendeu a 26 milhões de beneficiários em 2017. Outra medida foi a antecipação do saque do Programa Integração Social/Programa de Formação do Patrimônio do Servidor Público (PIS/Pasep) para cotistas idosos</w:t>
      </w:r>
      <w:r w:rsidR="002131DE" w:rsidRPr="00C322C0">
        <w:rPr>
          <w:rFonts w:cstheme="minorHAnsi"/>
          <w:color w:val="000000" w:themeColor="text1"/>
          <w:sz w:val="24"/>
          <w:szCs w:val="24"/>
        </w:rPr>
        <w:t xml:space="preserve">, </w:t>
      </w:r>
      <w:r w:rsidR="00151A43" w:rsidRPr="00C322C0">
        <w:rPr>
          <w:rFonts w:cstheme="minorHAnsi"/>
          <w:color w:val="000000" w:themeColor="text1"/>
          <w:sz w:val="24"/>
          <w:szCs w:val="24"/>
        </w:rPr>
        <w:t xml:space="preserve">que </w:t>
      </w:r>
      <w:r w:rsidR="00151A43" w:rsidRPr="00C322C0">
        <w:rPr>
          <w:rFonts w:cstheme="minorHAnsi"/>
          <w:color w:val="000000" w:themeColor="text1"/>
          <w:sz w:val="24"/>
          <w:szCs w:val="24"/>
        </w:rPr>
        <w:lastRenderedPageBreak/>
        <w:t>liberou cerca de R$ 2,2 bilhões e beneficiou 1,6 milhão de pessoas em 2017 e tem potencial para liberar mais R$ 21,4 bilhões para 10,9 milhões de beneficiários em 2018.</w:t>
      </w:r>
    </w:p>
    <w:p w:rsidR="00F61BD2" w:rsidRPr="00C322C0" w:rsidRDefault="00F61BD2" w:rsidP="0099618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>Além do equilíbrio fiscal</w:t>
      </w:r>
      <w:r w:rsidR="00713AD6">
        <w:rPr>
          <w:rFonts w:cstheme="minorHAnsi"/>
          <w:color w:val="000000" w:themeColor="text1"/>
          <w:sz w:val="24"/>
          <w:szCs w:val="24"/>
        </w:rPr>
        <w:t>,</w:t>
      </w:r>
      <w:r w:rsidR="00713AD6" w:rsidRPr="0071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AD6" w:rsidRPr="00713AD6">
        <w:rPr>
          <w:rFonts w:cstheme="minorHAnsi"/>
          <w:color w:val="000000" w:themeColor="text1"/>
          <w:sz w:val="24"/>
          <w:szCs w:val="24"/>
        </w:rPr>
        <w:t>a atual orientação da política econômica brasileira visa</w:t>
      </w:r>
      <w:r w:rsidR="0071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</w:t>
      </w:r>
      <w:r w:rsidR="00020785" w:rsidRPr="00C322C0">
        <w:rPr>
          <w:rFonts w:cstheme="minorHAnsi"/>
          <w:color w:val="000000" w:themeColor="text1"/>
          <w:sz w:val="24"/>
          <w:szCs w:val="24"/>
        </w:rPr>
        <w:t xml:space="preserve">robustecer a recuperação econômica, que já vem ocorrendo de </w:t>
      </w:r>
      <w:r w:rsidRPr="00C322C0">
        <w:rPr>
          <w:rFonts w:cstheme="minorHAnsi"/>
          <w:color w:val="000000" w:themeColor="text1"/>
          <w:sz w:val="24"/>
          <w:szCs w:val="24"/>
        </w:rPr>
        <w:t>forma gradual, aumentando a taxa de investimento, a intensidade de capital por trabalhador e a produtividade. Para este fim, o Governo expandiu e melhorou o programa de concessões e, assim, estabeleceu um impulso adicional ao crescimento. O Programa Avançar Parcerias aborda i</w:t>
      </w:r>
      <w:r w:rsidR="00C322C0">
        <w:rPr>
          <w:rFonts w:cstheme="minorHAnsi"/>
          <w:color w:val="000000" w:themeColor="text1"/>
          <w:sz w:val="24"/>
          <w:szCs w:val="24"/>
        </w:rPr>
        <w:t xml:space="preserve">nvestimentos privados viáveis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em infraestrutura e outros projetos considerados prioritários pelo governo federal. O Programa também seleciona ativos públicos para venda, a fim de reduzir os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dispêndios </w:t>
      </w:r>
      <w:r w:rsidRPr="00C322C0">
        <w:rPr>
          <w:rFonts w:cstheme="minorHAnsi"/>
          <w:color w:val="000000" w:themeColor="text1"/>
          <w:sz w:val="24"/>
          <w:szCs w:val="24"/>
        </w:rPr>
        <w:t>públicos com gastos correntes e garantir uma gestão de ativos mais eficiente. Do portfólio total de 175 projetos, 71 já foram concluídos, sendo 68 projetos em 2017. Dentre estes, cabe destacar</w:t>
      </w:r>
      <w:r w:rsidR="00D14AEC" w:rsidRPr="00C322C0">
        <w:rPr>
          <w:rFonts w:cstheme="minorHAnsi"/>
          <w:color w:val="000000" w:themeColor="text1"/>
          <w:sz w:val="24"/>
          <w:szCs w:val="24"/>
        </w:rPr>
        <w:t>: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(i)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a 4ª Rodada de Licitações de Áreas com Acumulações Marginais;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(ii)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a 14ª Rodada de Licitações de Blocos Exploratórios de Petróleo e Gás Natural sob o regime de concessão;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(iii)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as 2ª e 3ª Rodada de licitações sob o regime de partilha de produção (Pré-Sal);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(iv)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a Concessão de 4 Usinas Hidrelétricas;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(v)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a Desestatização da CELG-D;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(vi)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a concessão de 4 aeroportos;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>(vii) os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leilões de portos</w:t>
      </w:r>
      <w:r w:rsidR="00D14AEC" w:rsidRPr="00C322C0">
        <w:rPr>
          <w:rFonts w:cstheme="minorHAnsi"/>
          <w:color w:val="000000" w:themeColor="text1"/>
          <w:sz w:val="24"/>
          <w:szCs w:val="24"/>
        </w:rPr>
        <w:t>; e (viii)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</w:t>
      </w:r>
      <w:r w:rsidR="00D14AEC" w:rsidRPr="00C322C0">
        <w:rPr>
          <w:rFonts w:cstheme="minorHAnsi"/>
          <w:color w:val="000000" w:themeColor="text1"/>
          <w:sz w:val="24"/>
          <w:szCs w:val="24"/>
        </w:rPr>
        <w:t xml:space="preserve">as </w:t>
      </w:r>
      <w:r w:rsidRPr="00C322C0">
        <w:rPr>
          <w:rFonts w:cstheme="minorHAnsi"/>
          <w:color w:val="000000" w:themeColor="text1"/>
          <w:sz w:val="24"/>
          <w:szCs w:val="24"/>
        </w:rPr>
        <w:t>concessões de 46 linhas de transmissão elétrica. No total, os projetos geraram receita de cerca de R$ 28 bilhões em bônus de assinatura e investimentos esperados de cerca de R$ 142 bilhões. Os 104 projetos em desenvolvimento, por sua vez, representam investimentos futuros da ordem de R$ 134 bilhões.</w:t>
      </w:r>
    </w:p>
    <w:p w:rsidR="007A3A30" w:rsidRPr="00C322C0" w:rsidRDefault="007A3A30" w:rsidP="00D14AEC">
      <w:pPr>
        <w:pStyle w:val="PargrafodaList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color w:val="000000" w:themeColor="text1"/>
        </w:rPr>
      </w:pPr>
      <w:r w:rsidRPr="00C322C0">
        <w:rPr>
          <w:rFonts w:asciiTheme="minorHAnsi" w:hAnsiTheme="minorHAnsi" w:cstheme="minorHAnsi"/>
          <w:b/>
          <w:color w:val="000000" w:themeColor="text1"/>
        </w:rPr>
        <w:t>D</w:t>
      </w:r>
      <w:r w:rsidR="00115124" w:rsidRPr="00C322C0">
        <w:rPr>
          <w:rFonts w:asciiTheme="minorHAnsi" w:hAnsiTheme="minorHAnsi" w:cstheme="minorHAnsi"/>
          <w:b/>
          <w:color w:val="000000" w:themeColor="text1"/>
        </w:rPr>
        <w:t>a</w:t>
      </w:r>
      <w:r w:rsidR="002F74BD" w:rsidRPr="00C322C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54033" w:rsidRPr="00C322C0">
        <w:rPr>
          <w:rFonts w:asciiTheme="minorHAnsi" w:hAnsiTheme="minorHAnsi" w:cstheme="minorHAnsi"/>
          <w:b/>
          <w:color w:val="000000" w:themeColor="text1"/>
        </w:rPr>
        <w:t>estratégia da política fiscal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>Garantir a solidez dos fundamentos da economia é uma condição necessária para que o país possa traçar qualquer estratégia de desenvolvimento sustentável. No âmbito da política fiscal, esse fundamento é assegurado quando os resultados fiscais do setor público são suficientes para garantir a sustentabilidade da sua dívida pública no lon</w:t>
      </w:r>
      <w:r w:rsidR="00A86E82" w:rsidRPr="00C322C0">
        <w:rPr>
          <w:rFonts w:cstheme="minorHAnsi"/>
          <w:color w:val="000000" w:themeColor="text1"/>
          <w:sz w:val="24"/>
          <w:szCs w:val="24"/>
        </w:rPr>
        <w:t>go prazo. Ou seja, quando há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sinalização de que o governo possa honrar suas obrigações ao longo do tempo.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 xml:space="preserve">Desde 2012, o resultado fiscal alcançado pelo setor público não </w:t>
      </w:r>
      <w:r w:rsidR="00D34A11" w:rsidRPr="00C322C0">
        <w:rPr>
          <w:rFonts w:cstheme="minorHAnsi"/>
          <w:color w:val="000000" w:themeColor="text1"/>
          <w:sz w:val="24"/>
          <w:szCs w:val="24"/>
        </w:rPr>
        <w:t>atinge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o requerido para estabilizar a dívida pública, refletindo o desequilíbrio estrutural entre as despesas públicas e suas fontes de financiamento. Esta tendência foi agravada em razão do arrefecimento da atividade econômica, observado entre 2013 e 2016, e da rigidez orçamentária com o excesso de vinculações e pela expansão de despesas obrigatórias como proporção da despesa total. Nesse curto período, a dívida bruta apresentou uma forte ascensão de 51,5% do PIB em 2013 para 70% do PIB ao final de 2016.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 xml:space="preserve">A mudança na diretriz da política econômica, observada a partir de meados de 2016, focou </w:t>
      </w:r>
      <w:r w:rsidR="00713AD6">
        <w:rPr>
          <w:rFonts w:cstheme="minorHAnsi"/>
          <w:color w:val="000000" w:themeColor="text1"/>
          <w:sz w:val="24"/>
          <w:szCs w:val="24"/>
        </w:rPr>
        <w:t>em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reestabelecer as condições de sustentabilidade das contas públicas, por meio de um processo de consolidação fiscal, assim como uma agenda de reformas microeconômicas </w:t>
      </w:r>
      <w:r w:rsidR="00D34A11" w:rsidRPr="00C322C0">
        <w:rPr>
          <w:rFonts w:cstheme="minorHAnsi"/>
          <w:color w:val="000000" w:themeColor="text1"/>
          <w:sz w:val="24"/>
          <w:szCs w:val="24"/>
        </w:rPr>
        <w:t>com foco em aumento de produtividade e na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melhoria do ambiente de negócios. </w:t>
      </w:r>
    </w:p>
    <w:p w:rsidR="00713AD6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 xml:space="preserve">O processo de consolidação fiscal foi liderado pelo estabelecimento do </w:t>
      </w:r>
      <w:r w:rsidR="00713AD6">
        <w:rPr>
          <w:rFonts w:cstheme="minorHAnsi"/>
          <w:color w:val="000000" w:themeColor="text1"/>
          <w:sz w:val="24"/>
          <w:szCs w:val="24"/>
        </w:rPr>
        <w:t>N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ovo </w:t>
      </w:r>
      <w:r w:rsidR="00713AD6">
        <w:rPr>
          <w:rFonts w:cstheme="minorHAnsi"/>
          <w:color w:val="000000" w:themeColor="text1"/>
          <w:sz w:val="24"/>
          <w:szCs w:val="24"/>
        </w:rPr>
        <w:t>R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egime </w:t>
      </w:r>
      <w:r w:rsidR="00713AD6">
        <w:rPr>
          <w:rFonts w:cstheme="minorHAnsi"/>
          <w:color w:val="000000" w:themeColor="text1"/>
          <w:sz w:val="24"/>
          <w:szCs w:val="24"/>
        </w:rPr>
        <w:t>F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iscal, que cria uma regra de crescimento </w:t>
      </w:r>
      <w:r w:rsidR="00713AD6">
        <w:rPr>
          <w:rFonts w:cstheme="minorHAnsi"/>
          <w:color w:val="000000" w:themeColor="text1"/>
          <w:sz w:val="24"/>
          <w:szCs w:val="24"/>
        </w:rPr>
        <w:t xml:space="preserve">para </w:t>
      </w:r>
      <w:r w:rsidRPr="00C322C0">
        <w:rPr>
          <w:rFonts w:cstheme="minorHAnsi"/>
          <w:color w:val="000000" w:themeColor="text1"/>
          <w:sz w:val="24"/>
          <w:szCs w:val="24"/>
        </w:rPr>
        <w:t>as despesas primárias. Esse regramento levou o governo a adotar medidas de contenção de despesas primárias, além de outras medidas importantes para a mitigação do crescimento do endividamento, como as devoluções dos aportes no BNDES e a</w:t>
      </w:r>
      <w:r w:rsidR="00713AD6">
        <w:rPr>
          <w:rFonts w:cstheme="minorHAnsi"/>
          <w:color w:val="000000" w:themeColor="text1"/>
          <w:sz w:val="24"/>
          <w:szCs w:val="24"/>
        </w:rPr>
        <w:t xml:space="preserve"> substituição da TJLP pela TLP.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 xml:space="preserve">Observou-se, a partir de 2016, que os níveis de confiança dos agentes econômicos iniciaram trajetória de recuperação, ocasionando em melhores condições financeiras para o refinanciamento da dívida pública, por meio da redução </w:t>
      </w:r>
      <w:r w:rsidR="00D34A11" w:rsidRPr="00C322C0">
        <w:rPr>
          <w:rFonts w:cstheme="minorHAnsi"/>
          <w:color w:val="000000" w:themeColor="text1"/>
          <w:sz w:val="24"/>
          <w:szCs w:val="24"/>
        </w:rPr>
        <w:t xml:space="preserve">do risco e </w:t>
      </w:r>
      <w:r w:rsidRPr="00C322C0">
        <w:rPr>
          <w:rFonts w:cstheme="minorHAnsi"/>
          <w:color w:val="000000" w:themeColor="text1"/>
          <w:sz w:val="24"/>
          <w:szCs w:val="24"/>
        </w:rPr>
        <w:t>dos juros, bem como o início da retomada da atividade econômica. Esses fatores impactaram positivamente as contas públicas em 2017, quando o resultado primário do governo central registrou -1,8% do PIB, comparado com o déficit de 2,5% no ano anterior. Da mesma forma, o déficit nominal reduziu para 7% do PIB, em relação a 7,6% em 2016, bem como diminuiu a velocidade de crescimento da dívida bruta em relação ao projetado, passando de 70%</w:t>
      </w:r>
      <w:r w:rsidR="00713AD6">
        <w:rPr>
          <w:rFonts w:cstheme="minorHAnsi"/>
          <w:color w:val="000000" w:themeColor="text1"/>
          <w:sz w:val="24"/>
          <w:szCs w:val="24"/>
        </w:rPr>
        <w:t xml:space="preserve"> do PIB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em 2016</w:t>
      </w:r>
      <w:r w:rsidR="00713AD6">
        <w:rPr>
          <w:rFonts w:cstheme="minorHAnsi"/>
          <w:color w:val="000000" w:themeColor="text1"/>
          <w:sz w:val="24"/>
          <w:szCs w:val="24"/>
        </w:rPr>
        <w:t xml:space="preserve"> </w:t>
      </w:r>
      <w:r w:rsidRPr="00C322C0">
        <w:rPr>
          <w:rFonts w:cstheme="minorHAnsi"/>
          <w:color w:val="000000" w:themeColor="text1"/>
          <w:sz w:val="24"/>
          <w:szCs w:val="24"/>
        </w:rPr>
        <w:t>para 74% do PIB ao final de 2017.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 xml:space="preserve">Apesar da melhora observada, a manutenção de resultados primários aquém da necessidade de estabilização da dívida pública revela o tamanho do desafio futuro que está posto à gestão da política fiscal. A natureza estrutural do desequilíbrio fiscal passou a exigir reformas relacionadas à dinâmica de crescimento das despesas obrigatórias e ao aperfeiçoamento no arcabouço institucional fiscal capaz de recolocar a dívida pública em trajetória sustentável. 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>O retorno a um patamar sustentável das contas públicas envolve uma série de medidas para serem implementadas. Dentre elas, pode-se citar: (i) redução da rigidez orçamentária por meio de reformas nas vinculações; (ii) revisão e aperfeiçoamento dos programas de benefícios tributários que, de acordo com o Demonstrativo de Gastos Tributários para o PLOA 2018, estima-se que alcançará cerca de 4% do PIB; (iii) aprimoramento e revisão dos programas de benefícios creditícios e financeiros, cujo montante alcançou 1,7% do PIB; (iv) medidas para redução do crescimento das despesas obrigatórias e (v) revisão dos programas de governo objetivando melhorias na focalização, eficiência e efetividade da prestação dos serviços públicos.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>Dentre as reformas estruturais para controle das despesas obrigatórias, a mais urgente é a reforma da previdência</w:t>
      </w:r>
      <w:r w:rsidR="00713AD6">
        <w:rPr>
          <w:rFonts w:cstheme="minorHAnsi"/>
          <w:color w:val="000000" w:themeColor="text1"/>
          <w:sz w:val="24"/>
          <w:szCs w:val="24"/>
        </w:rPr>
        <w:t>, devido à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dinâmica que está posta pela demografia brasileira. Trata-se de uma reforma essencial para garantir da sustentabilidade da Previdência Social e buscar equidade dos direitos previdenciários para toda população. </w:t>
      </w:r>
      <w:r w:rsidR="00A86E82" w:rsidRPr="00C322C0">
        <w:rPr>
          <w:rFonts w:cstheme="minorHAnsi"/>
          <w:color w:val="000000" w:themeColor="text1"/>
          <w:sz w:val="24"/>
          <w:szCs w:val="24"/>
        </w:rPr>
        <w:t xml:space="preserve">Nas condições atuais, o déficit da previdência passará de 2,8% do PIB em 2018 para 3,1% do PIB em 2021 (um incremento de R$ 60 bilhões em termos nominais).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É a medida estrutural de maior impacto fiscal, mas seus efeitos só serão sentidos em médio prazo, especialmente em decorrência </w:t>
      </w:r>
      <w:r w:rsidR="00820911" w:rsidRPr="00C322C0">
        <w:rPr>
          <w:rFonts w:cstheme="minorHAnsi"/>
          <w:color w:val="000000" w:themeColor="text1"/>
          <w:sz w:val="24"/>
          <w:szCs w:val="24"/>
        </w:rPr>
        <w:t>do envelhecimento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da população e pelas regras de transição dispostas na proposta de reforma. Nesse sentido, a postergação de sua discussão impacta a velocidade do processo de cons</w:t>
      </w:r>
      <w:r w:rsidR="00D34A11" w:rsidRPr="00C322C0">
        <w:rPr>
          <w:rFonts w:cstheme="minorHAnsi"/>
          <w:color w:val="000000" w:themeColor="text1"/>
          <w:sz w:val="24"/>
          <w:szCs w:val="24"/>
        </w:rPr>
        <w:t>olidação fiscal e compromete o espaço para a realização de investimentos e programas sociais.</w:t>
      </w:r>
    </w:p>
    <w:p w:rsidR="00115124" w:rsidRPr="00C322C0" w:rsidRDefault="00713AD6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N</w:t>
      </w:r>
      <w:r w:rsidR="00115124" w:rsidRPr="00C322C0">
        <w:rPr>
          <w:rFonts w:cstheme="minorHAnsi"/>
          <w:color w:val="000000" w:themeColor="text1"/>
          <w:sz w:val="24"/>
          <w:szCs w:val="24"/>
        </w:rPr>
        <w:t xml:space="preserve">ovo </w:t>
      </w:r>
      <w:r>
        <w:rPr>
          <w:rFonts w:cstheme="minorHAnsi"/>
          <w:color w:val="000000" w:themeColor="text1"/>
          <w:sz w:val="24"/>
          <w:szCs w:val="24"/>
        </w:rPr>
        <w:t>Regime F</w:t>
      </w:r>
      <w:r w:rsidR="00115124" w:rsidRPr="00C322C0">
        <w:rPr>
          <w:rFonts w:cstheme="minorHAnsi"/>
          <w:color w:val="000000" w:themeColor="text1"/>
          <w:sz w:val="24"/>
          <w:szCs w:val="24"/>
        </w:rPr>
        <w:t xml:space="preserve">iscal </w:t>
      </w:r>
      <w:r>
        <w:rPr>
          <w:rFonts w:cstheme="minorHAnsi"/>
          <w:color w:val="000000" w:themeColor="text1"/>
          <w:sz w:val="24"/>
          <w:szCs w:val="24"/>
        </w:rPr>
        <w:t>reflete</w:t>
      </w:r>
      <w:r w:rsidR="00115124" w:rsidRPr="00C322C0">
        <w:rPr>
          <w:rFonts w:cstheme="minorHAnsi"/>
          <w:color w:val="000000" w:themeColor="text1"/>
          <w:sz w:val="24"/>
          <w:szCs w:val="24"/>
        </w:rPr>
        <w:t xml:space="preserve"> uma opção por um ajustamento gradual das contas públicas, dado que um ajuste abrupto seria inviável pelo elevado nível de rigidez orçamentária, bem como pelas indesejáveis consequências negativas para o andamento de políticas públic</w:t>
      </w:r>
      <w:r>
        <w:rPr>
          <w:rFonts w:cstheme="minorHAnsi"/>
          <w:color w:val="000000" w:themeColor="text1"/>
          <w:sz w:val="24"/>
          <w:szCs w:val="24"/>
        </w:rPr>
        <w:t>as. Importante mencionar que o N</w:t>
      </w:r>
      <w:r w:rsidR="00115124" w:rsidRPr="00C322C0">
        <w:rPr>
          <w:rFonts w:cstheme="minorHAnsi"/>
          <w:color w:val="000000" w:themeColor="text1"/>
          <w:sz w:val="24"/>
          <w:szCs w:val="24"/>
        </w:rPr>
        <w:t xml:space="preserve">ovo </w:t>
      </w:r>
      <w:r>
        <w:rPr>
          <w:rFonts w:cstheme="minorHAnsi"/>
          <w:color w:val="000000" w:themeColor="text1"/>
          <w:sz w:val="24"/>
          <w:szCs w:val="24"/>
        </w:rPr>
        <w:t>R</w:t>
      </w:r>
      <w:r w:rsidR="00115124" w:rsidRPr="00C322C0">
        <w:rPr>
          <w:rFonts w:cstheme="minorHAnsi"/>
          <w:color w:val="000000" w:themeColor="text1"/>
          <w:sz w:val="24"/>
          <w:szCs w:val="24"/>
        </w:rPr>
        <w:t xml:space="preserve">egime </w:t>
      </w:r>
      <w:r>
        <w:rPr>
          <w:rFonts w:cstheme="minorHAnsi"/>
          <w:color w:val="000000" w:themeColor="text1"/>
          <w:sz w:val="24"/>
          <w:szCs w:val="24"/>
        </w:rPr>
        <w:t>F</w:t>
      </w:r>
      <w:r w:rsidR="00115124" w:rsidRPr="00C322C0">
        <w:rPr>
          <w:rFonts w:cstheme="minorHAnsi"/>
          <w:color w:val="000000" w:themeColor="text1"/>
          <w:sz w:val="24"/>
          <w:szCs w:val="24"/>
        </w:rPr>
        <w:t xml:space="preserve">iscal depende de ações estruturantes para a continuidade dos benefícios por ele proporcionados. Sem a aprovação das reformas, o risco de seu descumprimento é </w:t>
      </w:r>
      <w:r w:rsidR="008C46B6">
        <w:rPr>
          <w:rFonts w:cstheme="minorHAnsi"/>
          <w:color w:val="000000" w:themeColor="text1"/>
          <w:sz w:val="24"/>
          <w:szCs w:val="24"/>
        </w:rPr>
        <w:t>alto</w:t>
      </w:r>
      <w:r w:rsidR="00115124" w:rsidRPr="00C322C0">
        <w:rPr>
          <w:rFonts w:cstheme="minorHAnsi"/>
          <w:color w:val="000000" w:themeColor="text1"/>
          <w:sz w:val="24"/>
          <w:szCs w:val="24"/>
        </w:rPr>
        <w:t>, o que levaria o governo a adotar posturas ineficientes às políticas públicas, como a queda na qualidade da prestação de serviços.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>A estratégia de consolidação fiscal explicitada neste anexo reflete hipóteses conservadoras sobre a evolução dos agregados fiscais, observada a legislação em vigor. Não foram consideradas medidas tributárias ou receitas não-recorrentes como, por exemplo, novas concessões. O reflexo dessa estratégia de c</w:t>
      </w:r>
      <w:bookmarkStart w:id="0" w:name="_GoBack"/>
      <w:bookmarkEnd w:id="0"/>
      <w:r w:rsidRPr="00C322C0">
        <w:rPr>
          <w:rFonts w:cstheme="minorHAnsi"/>
          <w:color w:val="000000" w:themeColor="text1"/>
          <w:sz w:val="24"/>
          <w:szCs w:val="24"/>
        </w:rPr>
        <w:t>onvergência do resultado primário ao requerido para estabilização da dívida é em parte compensada pela melhoria das condições de refinanciamento da dívida pública</w:t>
      </w:r>
      <w:r w:rsidR="008C46B6">
        <w:rPr>
          <w:rFonts w:cstheme="minorHAnsi"/>
          <w:color w:val="000000" w:themeColor="text1"/>
          <w:sz w:val="24"/>
          <w:szCs w:val="24"/>
        </w:rPr>
        <w:t>,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fruto da melhoria do ambiente macroeconômico e de inflação, com a redução</w:t>
      </w:r>
      <w:r w:rsidR="00374C99" w:rsidRPr="00C322C0">
        <w:rPr>
          <w:rFonts w:cstheme="minorHAnsi"/>
          <w:color w:val="000000" w:themeColor="text1"/>
          <w:sz w:val="24"/>
          <w:szCs w:val="24"/>
        </w:rPr>
        <w:t xml:space="preserve"> das taxas de juros</w:t>
      </w:r>
      <w:r w:rsidR="00454E9F" w:rsidRPr="00C322C0">
        <w:rPr>
          <w:rFonts w:cstheme="minorHAnsi"/>
          <w:color w:val="000000" w:themeColor="text1"/>
          <w:sz w:val="24"/>
          <w:szCs w:val="24"/>
        </w:rPr>
        <w:t xml:space="preserve"> reais</w:t>
      </w:r>
      <w:r w:rsidR="00374C99" w:rsidRPr="00C322C0">
        <w:rPr>
          <w:rFonts w:cstheme="minorHAnsi"/>
          <w:color w:val="000000" w:themeColor="text1"/>
          <w:sz w:val="24"/>
          <w:szCs w:val="24"/>
        </w:rPr>
        <w:t xml:space="preserve"> observadas.</w:t>
      </w:r>
    </w:p>
    <w:p w:rsidR="00115124" w:rsidRPr="00C322C0" w:rsidRDefault="00115124" w:rsidP="0011512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322C0">
        <w:rPr>
          <w:rFonts w:cstheme="minorHAnsi"/>
          <w:color w:val="000000" w:themeColor="text1"/>
          <w:sz w:val="24"/>
          <w:szCs w:val="24"/>
        </w:rPr>
        <w:t xml:space="preserve">Importante destacar que a </w:t>
      </w:r>
      <w:r w:rsidR="00766773" w:rsidRPr="00C322C0">
        <w:rPr>
          <w:rFonts w:cstheme="minorHAnsi"/>
          <w:color w:val="000000" w:themeColor="text1"/>
          <w:sz w:val="24"/>
          <w:szCs w:val="24"/>
        </w:rPr>
        <w:t>manutenção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do crescimento econômico projetado para os próximos anos </w:t>
      </w:r>
      <w:r w:rsidR="00766773" w:rsidRPr="00C322C0">
        <w:rPr>
          <w:rFonts w:cstheme="minorHAnsi"/>
          <w:color w:val="000000" w:themeColor="text1"/>
          <w:sz w:val="24"/>
          <w:szCs w:val="24"/>
        </w:rPr>
        <w:t xml:space="preserve">que consta 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neste </w:t>
      </w:r>
      <w:r w:rsidR="00766773" w:rsidRPr="00C322C0">
        <w:rPr>
          <w:rFonts w:cstheme="minorHAnsi"/>
          <w:color w:val="000000" w:themeColor="text1"/>
          <w:sz w:val="24"/>
          <w:szCs w:val="24"/>
        </w:rPr>
        <w:t>a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nexo de </w:t>
      </w:r>
      <w:r w:rsidR="00766773" w:rsidRPr="00C322C0">
        <w:rPr>
          <w:rFonts w:cstheme="minorHAnsi"/>
          <w:color w:val="000000" w:themeColor="text1"/>
          <w:sz w:val="24"/>
          <w:szCs w:val="24"/>
        </w:rPr>
        <w:t>m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etas </w:t>
      </w:r>
      <w:r w:rsidR="00766773" w:rsidRPr="00C322C0">
        <w:rPr>
          <w:rFonts w:cstheme="minorHAnsi"/>
          <w:color w:val="000000" w:themeColor="text1"/>
          <w:sz w:val="24"/>
          <w:szCs w:val="24"/>
        </w:rPr>
        <w:t>f</w:t>
      </w:r>
      <w:r w:rsidRPr="00C322C0">
        <w:rPr>
          <w:rFonts w:cstheme="minorHAnsi"/>
          <w:color w:val="000000" w:themeColor="text1"/>
          <w:sz w:val="24"/>
          <w:szCs w:val="24"/>
        </w:rPr>
        <w:t>iscais dependerá da manutenção dos fundamentos econômicos</w:t>
      </w:r>
      <w:r w:rsidR="00D45C96" w:rsidRPr="00C322C0">
        <w:rPr>
          <w:rFonts w:cstheme="minorHAnsi"/>
          <w:color w:val="000000" w:themeColor="text1"/>
          <w:sz w:val="24"/>
          <w:szCs w:val="24"/>
        </w:rPr>
        <w:t xml:space="preserve"> e dos indicadores de confiança</w:t>
      </w:r>
      <w:r w:rsidRPr="00C322C0">
        <w:rPr>
          <w:rFonts w:cstheme="minorHAnsi"/>
          <w:color w:val="000000" w:themeColor="text1"/>
          <w:sz w:val="24"/>
          <w:szCs w:val="24"/>
        </w:rPr>
        <w:t xml:space="preserve"> dos agentes econômicos. Para isso, o setor público deve ser capaz de implementar as reformas estruturais necessárias para manter o processo de consolidação fiscal em curso e sinalizar a sustentabilidade das contas públicas. </w:t>
      </w:r>
    </w:p>
    <w:p w:rsidR="00E61274" w:rsidRPr="00C322C0" w:rsidRDefault="00E61274" w:rsidP="00354FCF">
      <w:pPr>
        <w:pStyle w:val="PargrafodaList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 w:rsidRPr="00C322C0">
        <w:rPr>
          <w:rFonts w:asciiTheme="minorHAnsi" w:hAnsiTheme="minorHAnsi" w:cstheme="minorHAnsi"/>
          <w:b/>
        </w:rPr>
        <w:t>Das projeções</w:t>
      </w:r>
    </w:p>
    <w:p w:rsidR="002C6186" w:rsidRPr="00C322C0" w:rsidRDefault="00CE72F5" w:rsidP="002C6186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>As</w:t>
      </w:r>
      <w:r w:rsidR="002C6186" w:rsidRPr="00C322C0">
        <w:rPr>
          <w:rFonts w:cstheme="minorHAnsi"/>
          <w:bCs/>
          <w:sz w:val="24"/>
          <w:szCs w:val="24"/>
        </w:rPr>
        <w:t xml:space="preserve"> estimativa</w:t>
      </w:r>
      <w:r w:rsidRPr="00C322C0">
        <w:rPr>
          <w:rFonts w:cstheme="minorHAnsi"/>
          <w:bCs/>
          <w:sz w:val="24"/>
          <w:szCs w:val="24"/>
        </w:rPr>
        <w:t>s</w:t>
      </w:r>
      <w:r w:rsidR="002C6186" w:rsidRPr="00C322C0">
        <w:rPr>
          <w:rFonts w:cstheme="minorHAnsi"/>
          <w:bCs/>
          <w:sz w:val="24"/>
          <w:szCs w:val="24"/>
        </w:rPr>
        <w:t xml:space="preserve"> oficia</w:t>
      </w:r>
      <w:r w:rsidRPr="00C322C0">
        <w:rPr>
          <w:rFonts w:cstheme="minorHAnsi"/>
          <w:bCs/>
          <w:sz w:val="24"/>
          <w:szCs w:val="24"/>
        </w:rPr>
        <w:t>is</w:t>
      </w:r>
      <w:r w:rsidR="002C6186" w:rsidRPr="00C322C0">
        <w:rPr>
          <w:rFonts w:cstheme="minorHAnsi"/>
          <w:bCs/>
          <w:sz w:val="24"/>
          <w:szCs w:val="24"/>
        </w:rPr>
        <w:t xml:space="preserve"> de crescimento real do PIB </w:t>
      </w:r>
      <w:r w:rsidRPr="00C322C0">
        <w:rPr>
          <w:rFonts w:cstheme="minorHAnsi"/>
          <w:bCs/>
          <w:sz w:val="24"/>
          <w:szCs w:val="24"/>
        </w:rPr>
        <w:t xml:space="preserve">são </w:t>
      </w:r>
      <w:r w:rsidR="002C6186" w:rsidRPr="00C322C0">
        <w:rPr>
          <w:rFonts w:cstheme="minorHAnsi"/>
          <w:bCs/>
          <w:sz w:val="24"/>
          <w:szCs w:val="24"/>
        </w:rPr>
        <w:t>de 3,0% em 2019</w:t>
      </w:r>
      <w:r w:rsidR="008E75E9" w:rsidRPr="00C322C0">
        <w:rPr>
          <w:rFonts w:cstheme="minorHAnsi"/>
          <w:bCs/>
          <w:sz w:val="24"/>
          <w:szCs w:val="24"/>
        </w:rPr>
        <w:t>,</w:t>
      </w:r>
      <w:r w:rsidR="002C6186" w:rsidRPr="00C322C0">
        <w:rPr>
          <w:rFonts w:cstheme="minorHAnsi"/>
          <w:bCs/>
          <w:sz w:val="24"/>
          <w:szCs w:val="24"/>
        </w:rPr>
        <w:t xml:space="preserve"> </w:t>
      </w:r>
      <w:r w:rsidR="00461BD9" w:rsidRPr="00C322C0">
        <w:rPr>
          <w:rFonts w:cstheme="minorHAnsi"/>
          <w:bCs/>
          <w:sz w:val="24"/>
          <w:szCs w:val="24"/>
        </w:rPr>
        <w:t>2</w:t>
      </w:r>
      <w:r w:rsidR="002C6186" w:rsidRPr="00C322C0">
        <w:rPr>
          <w:rFonts w:cstheme="minorHAnsi"/>
          <w:bCs/>
          <w:sz w:val="24"/>
          <w:szCs w:val="24"/>
        </w:rPr>
        <w:t>,</w:t>
      </w:r>
      <w:r w:rsidR="00461BD9" w:rsidRPr="00C322C0">
        <w:rPr>
          <w:rFonts w:cstheme="minorHAnsi"/>
          <w:bCs/>
          <w:sz w:val="24"/>
          <w:szCs w:val="24"/>
        </w:rPr>
        <w:t>4</w:t>
      </w:r>
      <w:r w:rsidR="002C6186" w:rsidRPr="00C322C0">
        <w:rPr>
          <w:rFonts w:cstheme="minorHAnsi"/>
          <w:bCs/>
          <w:sz w:val="24"/>
          <w:szCs w:val="24"/>
        </w:rPr>
        <w:t>% em 2020 e leve desaceleração para 2,</w:t>
      </w:r>
      <w:r w:rsidR="00461BD9" w:rsidRPr="00C322C0">
        <w:rPr>
          <w:rFonts w:cstheme="minorHAnsi"/>
          <w:bCs/>
          <w:sz w:val="24"/>
          <w:szCs w:val="24"/>
        </w:rPr>
        <w:t>3</w:t>
      </w:r>
      <w:r w:rsidR="002C6186" w:rsidRPr="00C322C0">
        <w:rPr>
          <w:rFonts w:cstheme="minorHAnsi"/>
          <w:bCs/>
          <w:sz w:val="24"/>
          <w:szCs w:val="24"/>
        </w:rPr>
        <w:t xml:space="preserve">% em 2021. Este cenário </w:t>
      </w:r>
      <w:r w:rsidR="008E75E9" w:rsidRPr="00C322C0">
        <w:rPr>
          <w:rFonts w:cstheme="minorHAnsi"/>
          <w:bCs/>
          <w:sz w:val="24"/>
          <w:szCs w:val="24"/>
        </w:rPr>
        <w:t>implica</w:t>
      </w:r>
      <w:r w:rsidR="002C6186" w:rsidRPr="00C322C0">
        <w:rPr>
          <w:rFonts w:cstheme="minorHAnsi"/>
          <w:bCs/>
          <w:sz w:val="24"/>
          <w:szCs w:val="24"/>
        </w:rPr>
        <w:t xml:space="preserve"> ampla recuperação da atividade econômica, do emprego e da renda, </w:t>
      </w:r>
      <w:r w:rsidRPr="00C322C0">
        <w:rPr>
          <w:rFonts w:cstheme="minorHAnsi"/>
          <w:bCs/>
          <w:sz w:val="24"/>
          <w:szCs w:val="24"/>
        </w:rPr>
        <w:t>com repercussões positivas para a</w:t>
      </w:r>
      <w:r w:rsidR="002C6186" w:rsidRPr="00C322C0">
        <w:rPr>
          <w:rFonts w:cstheme="minorHAnsi"/>
          <w:bCs/>
          <w:sz w:val="24"/>
          <w:szCs w:val="24"/>
        </w:rPr>
        <w:t xml:space="preserve"> arrecadação federal e</w:t>
      </w:r>
      <w:r w:rsidRPr="00C322C0">
        <w:rPr>
          <w:rFonts w:cstheme="minorHAnsi"/>
          <w:bCs/>
          <w:sz w:val="24"/>
          <w:szCs w:val="24"/>
        </w:rPr>
        <w:t xml:space="preserve"> para o</w:t>
      </w:r>
      <w:r w:rsidR="002C6186" w:rsidRPr="00C322C0">
        <w:rPr>
          <w:rFonts w:cstheme="minorHAnsi"/>
          <w:bCs/>
          <w:sz w:val="24"/>
          <w:szCs w:val="24"/>
        </w:rPr>
        <w:t xml:space="preserve"> avanço do ajuste fiscal.</w:t>
      </w:r>
      <w:r w:rsidR="0097622E" w:rsidRPr="00C322C0">
        <w:rPr>
          <w:rFonts w:cstheme="minorHAnsi"/>
          <w:bCs/>
          <w:sz w:val="24"/>
          <w:szCs w:val="24"/>
        </w:rPr>
        <w:t xml:space="preserve"> </w:t>
      </w:r>
      <w:r w:rsidR="002C6186" w:rsidRPr="00C322C0">
        <w:rPr>
          <w:rFonts w:cstheme="minorHAnsi"/>
          <w:bCs/>
          <w:sz w:val="24"/>
          <w:szCs w:val="24"/>
        </w:rPr>
        <w:t>O cenário</w:t>
      </w:r>
      <w:r w:rsidRPr="00C322C0">
        <w:rPr>
          <w:rFonts w:cstheme="minorHAnsi"/>
          <w:bCs/>
          <w:sz w:val="24"/>
          <w:szCs w:val="24"/>
        </w:rPr>
        <w:t xml:space="preserve"> de retomada da atividade econômica ocorre em meio a um cenário</w:t>
      </w:r>
      <w:r w:rsidR="002C6186" w:rsidRPr="00C322C0">
        <w:rPr>
          <w:rFonts w:cstheme="minorHAnsi"/>
          <w:bCs/>
          <w:sz w:val="24"/>
          <w:szCs w:val="24"/>
        </w:rPr>
        <w:t xml:space="preserve"> de inflação sob controle, no âmbito do regime de metas. </w:t>
      </w:r>
      <w:r w:rsidR="00BD637C" w:rsidRPr="00C322C0">
        <w:rPr>
          <w:rFonts w:cstheme="minorHAnsi"/>
          <w:bCs/>
          <w:sz w:val="24"/>
          <w:szCs w:val="24"/>
        </w:rPr>
        <w:t>Espera</w:t>
      </w:r>
      <w:r w:rsidR="002C6186" w:rsidRPr="00C322C0">
        <w:rPr>
          <w:rFonts w:cstheme="minorHAnsi"/>
          <w:bCs/>
          <w:sz w:val="24"/>
          <w:szCs w:val="24"/>
        </w:rPr>
        <w:t>-se que o IPCA em 2019 apresente ligeira elevação</w:t>
      </w:r>
      <w:r w:rsidR="008C46B6">
        <w:rPr>
          <w:rFonts w:cstheme="minorHAnsi"/>
          <w:bCs/>
          <w:sz w:val="24"/>
          <w:szCs w:val="24"/>
        </w:rPr>
        <w:t>,</w:t>
      </w:r>
      <w:r w:rsidR="002C6186" w:rsidRPr="00C322C0">
        <w:rPr>
          <w:rFonts w:cstheme="minorHAnsi"/>
          <w:bCs/>
          <w:sz w:val="24"/>
          <w:szCs w:val="24"/>
        </w:rPr>
        <w:t xml:space="preserve"> com o índice alcançando </w:t>
      </w:r>
      <w:r w:rsidR="00461BD9" w:rsidRPr="00C322C0">
        <w:rPr>
          <w:rFonts w:cstheme="minorHAnsi"/>
          <w:bCs/>
          <w:sz w:val="24"/>
          <w:szCs w:val="24"/>
        </w:rPr>
        <w:t>4</w:t>
      </w:r>
      <w:r w:rsidR="002C6186" w:rsidRPr="00C322C0">
        <w:rPr>
          <w:rFonts w:cstheme="minorHAnsi"/>
          <w:bCs/>
          <w:sz w:val="24"/>
          <w:szCs w:val="24"/>
        </w:rPr>
        <w:t>,</w:t>
      </w:r>
      <w:r w:rsidR="00461BD9" w:rsidRPr="00C322C0">
        <w:rPr>
          <w:rFonts w:cstheme="minorHAnsi"/>
          <w:bCs/>
          <w:sz w:val="24"/>
          <w:szCs w:val="24"/>
        </w:rPr>
        <w:t>25</w:t>
      </w:r>
      <w:r w:rsidR="002C6186" w:rsidRPr="00C322C0">
        <w:rPr>
          <w:rFonts w:cstheme="minorHAnsi"/>
          <w:bCs/>
          <w:sz w:val="24"/>
          <w:szCs w:val="24"/>
        </w:rPr>
        <w:t>%, avançando para o centro da meta em 2020</w:t>
      </w:r>
      <w:r w:rsidR="00D34A11" w:rsidRPr="00C322C0">
        <w:rPr>
          <w:rFonts w:cstheme="minorHAnsi"/>
          <w:bCs/>
          <w:sz w:val="24"/>
          <w:szCs w:val="24"/>
        </w:rPr>
        <w:t xml:space="preserve"> e em 2021</w:t>
      </w:r>
      <w:r w:rsidR="002C6186" w:rsidRPr="00C322C0">
        <w:rPr>
          <w:rFonts w:cstheme="minorHAnsi"/>
          <w:bCs/>
          <w:sz w:val="24"/>
          <w:szCs w:val="24"/>
        </w:rPr>
        <w:t>, de 4,</w:t>
      </w:r>
      <w:r w:rsidR="00461BD9" w:rsidRPr="00C322C0">
        <w:rPr>
          <w:rFonts w:cstheme="minorHAnsi"/>
          <w:bCs/>
          <w:sz w:val="24"/>
          <w:szCs w:val="24"/>
        </w:rPr>
        <w:t>0</w:t>
      </w:r>
      <w:r w:rsidR="00D34A11" w:rsidRPr="00C322C0">
        <w:rPr>
          <w:rFonts w:cstheme="minorHAnsi"/>
          <w:bCs/>
          <w:sz w:val="24"/>
          <w:szCs w:val="24"/>
        </w:rPr>
        <w:t>%</w:t>
      </w:r>
      <w:r w:rsidR="002C6186" w:rsidRPr="00C322C0">
        <w:rPr>
          <w:rFonts w:cstheme="minorHAnsi"/>
          <w:bCs/>
          <w:sz w:val="24"/>
          <w:szCs w:val="24"/>
        </w:rPr>
        <w:t>.</w:t>
      </w:r>
    </w:p>
    <w:p w:rsidR="002C6186" w:rsidRPr="00C322C0" w:rsidRDefault="0097622E" w:rsidP="002C6186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>Nesse ambiente</w:t>
      </w:r>
      <w:r w:rsidR="002C6186" w:rsidRPr="00C322C0">
        <w:rPr>
          <w:rFonts w:cstheme="minorHAnsi"/>
          <w:bCs/>
          <w:sz w:val="24"/>
          <w:szCs w:val="24"/>
        </w:rPr>
        <w:t>, a política monetária encontr</w:t>
      </w:r>
      <w:r w:rsidR="008E75E9" w:rsidRPr="00C322C0">
        <w:rPr>
          <w:rFonts w:cstheme="minorHAnsi"/>
          <w:bCs/>
          <w:sz w:val="24"/>
          <w:szCs w:val="24"/>
        </w:rPr>
        <w:t>a</w:t>
      </w:r>
      <w:r w:rsidR="002C6186" w:rsidRPr="00C322C0">
        <w:rPr>
          <w:rFonts w:cstheme="minorHAnsi"/>
          <w:bCs/>
          <w:sz w:val="24"/>
          <w:szCs w:val="24"/>
        </w:rPr>
        <w:t xml:space="preserve"> espaço </w:t>
      </w:r>
      <w:r w:rsidR="008E75E9" w:rsidRPr="00C322C0">
        <w:rPr>
          <w:rFonts w:cstheme="minorHAnsi"/>
          <w:bCs/>
          <w:sz w:val="24"/>
          <w:szCs w:val="24"/>
        </w:rPr>
        <w:t>para manutenção da</w:t>
      </w:r>
      <w:r w:rsidR="002C6186" w:rsidRPr="00C322C0">
        <w:rPr>
          <w:rFonts w:cstheme="minorHAnsi"/>
          <w:bCs/>
          <w:sz w:val="24"/>
          <w:szCs w:val="24"/>
        </w:rPr>
        <w:t xml:space="preserve"> Selic</w:t>
      </w:r>
      <w:r w:rsidR="008E75E9" w:rsidRPr="00C322C0">
        <w:rPr>
          <w:rFonts w:cstheme="minorHAnsi"/>
          <w:bCs/>
          <w:sz w:val="24"/>
          <w:szCs w:val="24"/>
        </w:rPr>
        <w:t xml:space="preserve"> em níveis relativamente baixos dentro do processo que se iniciou em setembro de 2016</w:t>
      </w:r>
      <w:r w:rsidR="002C6186" w:rsidRPr="00C322C0">
        <w:rPr>
          <w:rFonts w:cstheme="minorHAnsi"/>
          <w:bCs/>
          <w:sz w:val="24"/>
          <w:szCs w:val="24"/>
        </w:rPr>
        <w:t>. Naquele mês, a taxa Selic, que registrava 14,25% ao ano, iniciou importante ciclo de flexibilização monetária</w:t>
      </w:r>
      <w:r w:rsidR="008C46B6">
        <w:rPr>
          <w:rFonts w:cstheme="minorHAnsi"/>
          <w:bCs/>
          <w:sz w:val="24"/>
          <w:szCs w:val="24"/>
        </w:rPr>
        <w:t>,</w:t>
      </w:r>
      <w:r w:rsidR="002C6186" w:rsidRPr="00C322C0">
        <w:rPr>
          <w:rFonts w:cstheme="minorHAnsi"/>
          <w:bCs/>
          <w:sz w:val="24"/>
          <w:szCs w:val="24"/>
        </w:rPr>
        <w:t xml:space="preserve"> alcançando 13,75% ao fim de 2016 e recuando significativamente para 7,0% em dezembro de 2017. </w:t>
      </w:r>
      <w:r w:rsidR="00461BD9" w:rsidRPr="00C322C0">
        <w:rPr>
          <w:rFonts w:cstheme="minorHAnsi"/>
          <w:bCs/>
          <w:sz w:val="24"/>
          <w:szCs w:val="24"/>
        </w:rPr>
        <w:t>A</w:t>
      </w:r>
      <w:r w:rsidR="002C6186" w:rsidRPr="00C322C0">
        <w:rPr>
          <w:rFonts w:cstheme="minorHAnsi"/>
          <w:bCs/>
          <w:sz w:val="24"/>
          <w:szCs w:val="24"/>
        </w:rPr>
        <w:t xml:space="preserve"> taxa básica de juros prevista é de </w:t>
      </w:r>
      <w:r w:rsidR="00461BD9" w:rsidRPr="00C322C0">
        <w:rPr>
          <w:rFonts w:cstheme="minorHAnsi"/>
          <w:bCs/>
          <w:sz w:val="24"/>
          <w:szCs w:val="24"/>
        </w:rPr>
        <w:t>8</w:t>
      </w:r>
      <w:r w:rsidR="002C6186" w:rsidRPr="00C322C0">
        <w:rPr>
          <w:rFonts w:cstheme="minorHAnsi"/>
          <w:bCs/>
          <w:sz w:val="24"/>
          <w:szCs w:val="24"/>
        </w:rPr>
        <w:t>,</w:t>
      </w:r>
      <w:r w:rsidR="00461BD9" w:rsidRPr="00C322C0">
        <w:rPr>
          <w:rFonts w:cstheme="minorHAnsi"/>
          <w:bCs/>
          <w:sz w:val="24"/>
          <w:szCs w:val="24"/>
        </w:rPr>
        <w:t>0</w:t>
      </w:r>
      <w:r w:rsidR="002C6186" w:rsidRPr="00C322C0">
        <w:rPr>
          <w:rFonts w:cstheme="minorHAnsi"/>
          <w:bCs/>
          <w:sz w:val="24"/>
          <w:szCs w:val="24"/>
        </w:rPr>
        <w:t xml:space="preserve">% para </w:t>
      </w:r>
      <w:r w:rsidR="00461BD9" w:rsidRPr="00C322C0">
        <w:rPr>
          <w:rFonts w:cstheme="minorHAnsi"/>
          <w:bCs/>
          <w:sz w:val="24"/>
          <w:szCs w:val="24"/>
        </w:rPr>
        <w:t>o triênio de 2019 a 2021</w:t>
      </w:r>
      <w:r w:rsidR="002C6186" w:rsidRPr="00C322C0">
        <w:rPr>
          <w:rFonts w:cstheme="minorHAnsi"/>
          <w:bCs/>
          <w:sz w:val="24"/>
          <w:szCs w:val="24"/>
        </w:rPr>
        <w:t>.</w:t>
      </w:r>
    </w:p>
    <w:p w:rsidR="00CB36F7" w:rsidRPr="00C322C0" w:rsidRDefault="002C6186" w:rsidP="002C6186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>O regime de câmbio flutuante garante o equilíbrio externo e, somado à elevada quantidade de reservas internacionais, permite que a economia se ajuste de maneira suave às condições externas. Diante desse arcabouço, o cenário de referência prevê que a taxa de câmbio de R$/US$ 3,</w:t>
      </w:r>
      <w:r w:rsidR="00461BD9" w:rsidRPr="00C322C0">
        <w:rPr>
          <w:rFonts w:cstheme="minorHAnsi"/>
          <w:bCs/>
          <w:sz w:val="24"/>
          <w:szCs w:val="24"/>
        </w:rPr>
        <w:t>4</w:t>
      </w:r>
      <w:r w:rsidRPr="00C322C0">
        <w:rPr>
          <w:rFonts w:cstheme="minorHAnsi"/>
          <w:bCs/>
          <w:sz w:val="24"/>
          <w:szCs w:val="24"/>
        </w:rPr>
        <w:t xml:space="preserve"> para o fim de 2019, R$/US$ 3,</w:t>
      </w:r>
      <w:r w:rsidR="00461BD9" w:rsidRPr="00C322C0">
        <w:rPr>
          <w:rFonts w:cstheme="minorHAnsi"/>
          <w:bCs/>
          <w:sz w:val="24"/>
          <w:szCs w:val="24"/>
        </w:rPr>
        <w:t>5</w:t>
      </w:r>
      <w:r w:rsidRPr="00C322C0">
        <w:rPr>
          <w:rFonts w:cstheme="minorHAnsi"/>
          <w:bCs/>
          <w:sz w:val="24"/>
          <w:szCs w:val="24"/>
        </w:rPr>
        <w:t xml:space="preserve"> em 2020</w:t>
      </w:r>
      <w:r w:rsidR="00461BD9" w:rsidRPr="00C322C0">
        <w:rPr>
          <w:rFonts w:cstheme="minorHAnsi"/>
          <w:bCs/>
          <w:sz w:val="24"/>
          <w:szCs w:val="24"/>
        </w:rPr>
        <w:t xml:space="preserve"> e 2021</w:t>
      </w:r>
      <w:r w:rsidRPr="00C322C0">
        <w:rPr>
          <w:rFonts w:cstheme="minorHAnsi"/>
          <w:bCs/>
          <w:sz w:val="24"/>
          <w:szCs w:val="24"/>
        </w:rPr>
        <w:t>.</w:t>
      </w:r>
      <w:r w:rsidR="00461BD9" w:rsidRPr="00C322C0">
        <w:rPr>
          <w:rFonts w:cstheme="minorHAnsi"/>
          <w:bCs/>
          <w:sz w:val="24"/>
          <w:szCs w:val="24"/>
        </w:rPr>
        <w:t xml:space="preserve"> </w:t>
      </w:r>
      <w:r w:rsidR="00CB36F7" w:rsidRPr="00C322C0">
        <w:rPr>
          <w:rFonts w:cstheme="minorHAnsi"/>
          <w:bCs/>
          <w:sz w:val="24"/>
          <w:szCs w:val="24"/>
        </w:rPr>
        <w:t xml:space="preserve">O cenário macroeconômico para o triênio é apresentado na Tabela </w:t>
      </w:r>
      <w:r w:rsidR="00820911" w:rsidRPr="00C322C0">
        <w:rPr>
          <w:rFonts w:cstheme="minorHAnsi"/>
          <w:bCs/>
          <w:sz w:val="24"/>
          <w:szCs w:val="24"/>
        </w:rPr>
        <w:t>seguinte.</w:t>
      </w:r>
    </w:p>
    <w:p w:rsidR="005E4FEF" w:rsidRPr="00C322C0" w:rsidRDefault="005E4FEF" w:rsidP="008C46B6">
      <w:pPr>
        <w:rPr>
          <w:rFonts w:cstheme="minorHAnsi"/>
          <w:b/>
          <w:sz w:val="24"/>
          <w:szCs w:val="24"/>
        </w:rPr>
      </w:pPr>
      <w:r w:rsidRPr="00C322C0">
        <w:rPr>
          <w:rFonts w:cstheme="minorHAnsi"/>
          <w:b/>
          <w:sz w:val="24"/>
          <w:szCs w:val="24"/>
        </w:rPr>
        <w:t>Tabela 1 – Cenário macroeconômico</w:t>
      </w:r>
      <w:r w:rsidR="006C55DB" w:rsidRPr="00C322C0">
        <w:rPr>
          <w:rFonts w:cstheme="minorHAnsi"/>
          <w:b/>
          <w:sz w:val="24"/>
          <w:szCs w:val="24"/>
        </w:rPr>
        <w:t xml:space="preserve"> de referência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93"/>
        <w:gridCol w:w="1555"/>
        <w:gridCol w:w="1836"/>
      </w:tblGrid>
      <w:tr w:rsidR="008E33A7" w:rsidRPr="00C322C0" w:rsidTr="00E668A6">
        <w:tc>
          <w:tcPr>
            <w:tcW w:w="3510" w:type="dxa"/>
          </w:tcPr>
          <w:p w:rsidR="001C522B" w:rsidRPr="00C322C0" w:rsidRDefault="001C522B" w:rsidP="00750AD8">
            <w:pPr>
              <w:spacing w:after="20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1C522B" w:rsidRPr="00C322C0" w:rsidRDefault="00535448" w:rsidP="00535448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22C0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1555" w:type="dxa"/>
          </w:tcPr>
          <w:p w:rsidR="001C522B" w:rsidRPr="00C322C0" w:rsidRDefault="00535448" w:rsidP="00535448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22C0">
              <w:rPr>
                <w:rFonts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1836" w:type="dxa"/>
          </w:tcPr>
          <w:p w:rsidR="001C522B" w:rsidRPr="00C322C0" w:rsidRDefault="00535448" w:rsidP="00535448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22C0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</w:tr>
      <w:tr w:rsidR="008E33A7" w:rsidRPr="00C322C0" w:rsidTr="00820911">
        <w:trPr>
          <w:trHeight w:val="379"/>
        </w:trPr>
        <w:tc>
          <w:tcPr>
            <w:tcW w:w="3510" w:type="dxa"/>
            <w:vAlign w:val="center"/>
          </w:tcPr>
          <w:p w:rsidR="006C7AF3" w:rsidRPr="00C322C0" w:rsidRDefault="006C7AF3" w:rsidP="00820911">
            <w:pPr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PIB (crescimento real %a.a.)</w:t>
            </w:r>
          </w:p>
        </w:tc>
        <w:tc>
          <w:tcPr>
            <w:tcW w:w="1593" w:type="dxa"/>
            <w:vAlign w:val="center"/>
          </w:tcPr>
          <w:p w:rsidR="006C7AF3" w:rsidRPr="00C322C0" w:rsidRDefault="008E33A7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3</w:t>
            </w:r>
            <w:r w:rsidR="006C7AF3" w:rsidRPr="00C322C0">
              <w:rPr>
                <w:rFonts w:cstheme="minorHAnsi"/>
                <w:szCs w:val="24"/>
              </w:rPr>
              <w:t>,0</w:t>
            </w:r>
          </w:p>
        </w:tc>
        <w:tc>
          <w:tcPr>
            <w:tcW w:w="1555" w:type="dxa"/>
            <w:vAlign w:val="center"/>
          </w:tcPr>
          <w:p w:rsidR="006C7AF3" w:rsidRPr="00C322C0" w:rsidRDefault="0095403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2</w:t>
            </w:r>
            <w:r w:rsidR="006C7AF3" w:rsidRPr="00C322C0">
              <w:rPr>
                <w:rFonts w:cstheme="minorHAnsi"/>
                <w:szCs w:val="24"/>
              </w:rPr>
              <w:t>,</w:t>
            </w:r>
            <w:r w:rsidRPr="00C322C0">
              <w:rPr>
                <w:rFonts w:cstheme="minorHAnsi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6C7AF3" w:rsidRPr="00C322C0" w:rsidRDefault="006C7AF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2,</w:t>
            </w:r>
            <w:r w:rsidR="00954033" w:rsidRPr="00C322C0">
              <w:rPr>
                <w:rFonts w:cstheme="minorHAnsi"/>
                <w:szCs w:val="24"/>
              </w:rPr>
              <w:t>3</w:t>
            </w:r>
          </w:p>
        </w:tc>
      </w:tr>
      <w:tr w:rsidR="008E33A7" w:rsidRPr="00C322C0" w:rsidTr="00820911">
        <w:trPr>
          <w:trHeight w:val="426"/>
        </w:trPr>
        <w:tc>
          <w:tcPr>
            <w:tcW w:w="3510" w:type="dxa"/>
            <w:vAlign w:val="center"/>
          </w:tcPr>
          <w:p w:rsidR="006C7AF3" w:rsidRPr="00C322C0" w:rsidRDefault="006C7AF3" w:rsidP="00820911">
            <w:pPr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Inflação (IPCA acumulado – var. %)</w:t>
            </w:r>
          </w:p>
        </w:tc>
        <w:tc>
          <w:tcPr>
            <w:tcW w:w="1593" w:type="dxa"/>
            <w:vAlign w:val="center"/>
          </w:tcPr>
          <w:p w:rsidR="006C7AF3" w:rsidRPr="00C322C0" w:rsidRDefault="0095403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4</w:t>
            </w:r>
            <w:r w:rsidR="006C7AF3" w:rsidRPr="00C322C0">
              <w:rPr>
                <w:rFonts w:cstheme="minorHAnsi"/>
                <w:szCs w:val="24"/>
              </w:rPr>
              <w:t>,</w:t>
            </w:r>
            <w:r w:rsidRPr="00C322C0">
              <w:rPr>
                <w:rFonts w:cstheme="minorHAnsi"/>
                <w:szCs w:val="24"/>
              </w:rPr>
              <w:t>25</w:t>
            </w:r>
          </w:p>
        </w:tc>
        <w:tc>
          <w:tcPr>
            <w:tcW w:w="1555" w:type="dxa"/>
            <w:vAlign w:val="center"/>
          </w:tcPr>
          <w:p w:rsidR="006C7AF3" w:rsidRPr="00C322C0" w:rsidRDefault="006C7AF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4,</w:t>
            </w:r>
            <w:r w:rsidR="00954033" w:rsidRPr="00C322C0">
              <w:rPr>
                <w:rFonts w:cstheme="minorHAnsi"/>
                <w:szCs w:val="24"/>
              </w:rPr>
              <w:t>0</w:t>
            </w:r>
          </w:p>
        </w:tc>
        <w:tc>
          <w:tcPr>
            <w:tcW w:w="1836" w:type="dxa"/>
            <w:vAlign w:val="center"/>
          </w:tcPr>
          <w:p w:rsidR="006C7AF3" w:rsidRPr="00C322C0" w:rsidRDefault="002620BF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4,0</w:t>
            </w:r>
          </w:p>
        </w:tc>
      </w:tr>
      <w:tr w:rsidR="008E33A7" w:rsidRPr="00C322C0" w:rsidTr="00820911">
        <w:trPr>
          <w:trHeight w:val="405"/>
        </w:trPr>
        <w:tc>
          <w:tcPr>
            <w:tcW w:w="3510" w:type="dxa"/>
            <w:vAlign w:val="center"/>
          </w:tcPr>
          <w:p w:rsidR="006C7AF3" w:rsidRPr="00C322C0" w:rsidRDefault="006C7AF3" w:rsidP="00820911">
            <w:pPr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Selic (fim de período - %a.a.)</w:t>
            </w:r>
          </w:p>
        </w:tc>
        <w:tc>
          <w:tcPr>
            <w:tcW w:w="1593" w:type="dxa"/>
            <w:vAlign w:val="center"/>
          </w:tcPr>
          <w:p w:rsidR="006C7AF3" w:rsidRPr="00C322C0" w:rsidRDefault="0095403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8</w:t>
            </w:r>
            <w:r w:rsidR="006C7AF3" w:rsidRPr="00C322C0">
              <w:rPr>
                <w:rFonts w:cstheme="minorHAnsi"/>
                <w:szCs w:val="24"/>
              </w:rPr>
              <w:t>,</w:t>
            </w:r>
            <w:r w:rsidRPr="00C322C0">
              <w:rPr>
                <w:rFonts w:cstheme="minorHAnsi"/>
                <w:szCs w:val="24"/>
              </w:rPr>
              <w:t>0</w:t>
            </w:r>
          </w:p>
        </w:tc>
        <w:tc>
          <w:tcPr>
            <w:tcW w:w="1555" w:type="dxa"/>
            <w:vAlign w:val="center"/>
          </w:tcPr>
          <w:p w:rsidR="006C7AF3" w:rsidRPr="00C322C0" w:rsidRDefault="006C7AF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8,0</w:t>
            </w:r>
          </w:p>
        </w:tc>
        <w:tc>
          <w:tcPr>
            <w:tcW w:w="1836" w:type="dxa"/>
            <w:vAlign w:val="center"/>
          </w:tcPr>
          <w:p w:rsidR="006C7AF3" w:rsidRPr="00C322C0" w:rsidRDefault="00B76288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8,</w:t>
            </w:r>
            <w:r w:rsidR="008E33A7" w:rsidRPr="00C322C0">
              <w:rPr>
                <w:rFonts w:cstheme="minorHAnsi"/>
                <w:szCs w:val="24"/>
              </w:rPr>
              <w:t>0</w:t>
            </w:r>
          </w:p>
        </w:tc>
      </w:tr>
      <w:tr w:rsidR="008E33A7" w:rsidRPr="00C322C0" w:rsidTr="00820911">
        <w:trPr>
          <w:trHeight w:val="411"/>
        </w:trPr>
        <w:tc>
          <w:tcPr>
            <w:tcW w:w="3510" w:type="dxa"/>
            <w:vAlign w:val="center"/>
          </w:tcPr>
          <w:p w:rsidR="006C7AF3" w:rsidRPr="00C322C0" w:rsidRDefault="006C7AF3" w:rsidP="00820911">
            <w:pPr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Câmbio (fim de período – R$/US$)</w:t>
            </w:r>
          </w:p>
        </w:tc>
        <w:tc>
          <w:tcPr>
            <w:tcW w:w="1593" w:type="dxa"/>
            <w:vAlign w:val="center"/>
          </w:tcPr>
          <w:p w:rsidR="006C7AF3" w:rsidRPr="00C322C0" w:rsidRDefault="006C7AF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3,</w:t>
            </w:r>
            <w:r w:rsidR="00954033" w:rsidRPr="00C322C0">
              <w:rPr>
                <w:rFonts w:cstheme="minorHAnsi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6C7AF3" w:rsidRPr="00C322C0" w:rsidRDefault="006C7AF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3,</w:t>
            </w:r>
            <w:r w:rsidR="00954033" w:rsidRPr="00C322C0">
              <w:rPr>
                <w:rFonts w:cstheme="minorHAnsi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6C7AF3" w:rsidRPr="00C322C0" w:rsidRDefault="006C7AF3" w:rsidP="00820911">
            <w:pPr>
              <w:jc w:val="center"/>
              <w:rPr>
                <w:rFonts w:cstheme="minorHAnsi"/>
                <w:szCs w:val="24"/>
              </w:rPr>
            </w:pPr>
            <w:r w:rsidRPr="00C322C0">
              <w:rPr>
                <w:rFonts w:cstheme="minorHAnsi"/>
                <w:szCs w:val="24"/>
              </w:rPr>
              <w:t>3,</w:t>
            </w:r>
            <w:r w:rsidR="0091068A" w:rsidRPr="00C322C0">
              <w:rPr>
                <w:rFonts w:cstheme="minorHAnsi"/>
                <w:szCs w:val="24"/>
              </w:rPr>
              <w:t>5</w:t>
            </w:r>
          </w:p>
        </w:tc>
      </w:tr>
    </w:tbl>
    <w:p w:rsidR="00283048" w:rsidRPr="00C322C0" w:rsidRDefault="007E43F3" w:rsidP="008E33A7">
      <w:pPr>
        <w:spacing w:after="120"/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  <w:vertAlign w:val="subscript"/>
        </w:rPr>
        <w:t xml:space="preserve">Fonte: </w:t>
      </w:r>
      <w:r w:rsidR="00C35EB1" w:rsidRPr="00C322C0">
        <w:rPr>
          <w:rFonts w:cstheme="minorHAnsi"/>
          <w:sz w:val="24"/>
          <w:szCs w:val="24"/>
          <w:vertAlign w:val="subscript"/>
        </w:rPr>
        <w:t>Grade de Parâmetros de 1</w:t>
      </w:r>
      <w:r w:rsidR="008E33A7" w:rsidRPr="00C322C0">
        <w:rPr>
          <w:rFonts w:cstheme="minorHAnsi"/>
          <w:sz w:val="24"/>
          <w:szCs w:val="24"/>
          <w:vertAlign w:val="subscript"/>
        </w:rPr>
        <w:t>2</w:t>
      </w:r>
      <w:r w:rsidR="00C35EB1" w:rsidRPr="00C322C0">
        <w:rPr>
          <w:rFonts w:cstheme="minorHAnsi"/>
          <w:sz w:val="24"/>
          <w:szCs w:val="24"/>
          <w:vertAlign w:val="subscript"/>
        </w:rPr>
        <w:t>/0</w:t>
      </w:r>
      <w:r w:rsidR="008E33A7" w:rsidRPr="00C322C0">
        <w:rPr>
          <w:rFonts w:cstheme="minorHAnsi"/>
          <w:sz w:val="24"/>
          <w:szCs w:val="24"/>
          <w:vertAlign w:val="subscript"/>
        </w:rPr>
        <w:t>3</w:t>
      </w:r>
      <w:r w:rsidR="00C35EB1" w:rsidRPr="00C322C0">
        <w:rPr>
          <w:rFonts w:cstheme="minorHAnsi"/>
          <w:sz w:val="24"/>
          <w:szCs w:val="24"/>
          <w:vertAlign w:val="subscript"/>
        </w:rPr>
        <w:t>/201</w:t>
      </w:r>
      <w:r w:rsidR="008E33A7" w:rsidRPr="00C322C0">
        <w:rPr>
          <w:rFonts w:cstheme="minorHAnsi"/>
          <w:sz w:val="24"/>
          <w:szCs w:val="24"/>
          <w:vertAlign w:val="subscript"/>
        </w:rPr>
        <w:t>8</w:t>
      </w:r>
      <w:r w:rsidR="00C35EB1" w:rsidRPr="00C322C0">
        <w:rPr>
          <w:rFonts w:cstheme="minorHAnsi"/>
          <w:sz w:val="24"/>
          <w:szCs w:val="24"/>
          <w:vertAlign w:val="subscript"/>
        </w:rPr>
        <w:t>. Secretaria de Política Econômica/</w:t>
      </w:r>
      <w:r w:rsidRPr="00C322C0">
        <w:rPr>
          <w:rFonts w:cstheme="minorHAnsi"/>
          <w:sz w:val="24"/>
          <w:szCs w:val="24"/>
          <w:vertAlign w:val="subscript"/>
        </w:rPr>
        <w:t>Ministério da Fazenda.</w:t>
      </w:r>
    </w:p>
    <w:p w:rsidR="0097622E" w:rsidRPr="00C322C0" w:rsidRDefault="0097622E" w:rsidP="0097622E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>As projeções fiscais partem dos dados macroeconômicos expostos acima e da premissa da manutenção da legislação fiscal vigente. No âmbito das receitas administradas pela RFB e das receitas previdenciárias, as projeções sinalizam estabilidade até 2021, no sentido de manutenção da proporção dessas receitas sobre o PIB nominal. Quanto às receitas não administradas pela RFB, as projeções consideraram a elevação dos ganhos com a exploração de recursos naturais, notadamente do petróleo, e consideraram apenas as receitas de concessões já realizadas, tais como pagamentos de outorgas, que ocorrem de forma regular. Destaca-se que não estão incluídas no cenário de receita quaisquer arrecadações atípicas ou não recorrentes.</w:t>
      </w:r>
    </w:p>
    <w:p w:rsidR="0097622E" w:rsidRPr="00C322C0" w:rsidRDefault="0097622E" w:rsidP="0097622E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>No âmbito da despesa, o art. 107 do Ato de Disposições Constitucionais Transitórias determina um limite de gastos, corrigido anualmente pela variação da inflação de julho do ano anterior a junho do ano corrente. Nesse sentido, as projeções para despesa total dos anos de 2019</w:t>
      </w:r>
      <w:r w:rsidR="00D34A11" w:rsidRPr="00C322C0">
        <w:rPr>
          <w:rFonts w:cstheme="minorHAnsi"/>
          <w:bCs/>
          <w:sz w:val="24"/>
          <w:szCs w:val="24"/>
        </w:rPr>
        <w:t xml:space="preserve"> a</w:t>
      </w:r>
      <w:r w:rsidRPr="00C322C0">
        <w:rPr>
          <w:rFonts w:cstheme="minorHAnsi"/>
          <w:bCs/>
          <w:sz w:val="24"/>
          <w:szCs w:val="24"/>
        </w:rPr>
        <w:t xml:space="preserve"> 2021 foram elaboradas de forma a respeitar o aludido dispositivo constitucional.</w:t>
      </w:r>
      <w:r w:rsidR="00954033" w:rsidRPr="00C322C0">
        <w:rPr>
          <w:rFonts w:cstheme="minorHAnsi"/>
          <w:bCs/>
          <w:sz w:val="24"/>
          <w:szCs w:val="24"/>
        </w:rPr>
        <w:t xml:space="preserve"> </w:t>
      </w:r>
      <w:r w:rsidRPr="00C322C0">
        <w:rPr>
          <w:rFonts w:cstheme="minorHAnsi"/>
          <w:bCs/>
          <w:sz w:val="24"/>
          <w:szCs w:val="24"/>
        </w:rPr>
        <w:t xml:space="preserve">Os benefícios previdenciários e assistenciais foram estimados sem incluir os efeitos de eventuais modificações constitucionais ou legislativas, tais como as discutidas no âmbito da reforma da previdência. </w:t>
      </w:r>
    </w:p>
    <w:p w:rsidR="00F65692" w:rsidRPr="00C322C0" w:rsidRDefault="00F65692" w:rsidP="002C6186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>Destaca-se a importância da implementação de reformas estruturais que reduzam o crescimento das despesas obrigatórias e evitem a compressão dos gastos discricionários, que incluem investimentos e custeio da máquina pública. Essa compressão pode comprometer a prestação de importantes serviços públicos no âmbito da União.</w:t>
      </w:r>
    </w:p>
    <w:p w:rsidR="008C46B6" w:rsidRDefault="008E75E9" w:rsidP="008C46B6">
      <w:pPr>
        <w:spacing w:after="120"/>
        <w:jc w:val="both"/>
        <w:rPr>
          <w:rFonts w:cstheme="minorHAnsi"/>
          <w:bCs/>
          <w:sz w:val="24"/>
          <w:szCs w:val="24"/>
        </w:rPr>
      </w:pPr>
      <w:r w:rsidRPr="00C322C0">
        <w:rPr>
          <w:rFonts w:cstheme="minorHAnsi"/>
          <w:bCs/>
          <w:sz w:val="24"/>
          <w:szCs w:val="24"/>
        </w:rPr>
        <w:t>Nesse contexto, p</w:t>
      </w:r>
      <w:r w:rsidR="002C6186" w:rsidRPr="00C322C0">
        <w:rPr>
          <w:rFonts w:cstheme="minorHAnsi"/>
          <w:bCs/>
          <w:sz w:val="24"/>
          <w:szCs w:val="24"/>
        </w:rPr>
        <w:t xml:space="preserve">ara 2019, </w:t>
      </w:r>
      <w:r w:rsidRPr="00C322C0">
        <w:rPr>
          <w:rFonts w:cstheme="minorHAnsi"/>
          <w:bCs/>
          <w:sz w:val="24"/>
          <w:szCs w:val="24"/>
        </w:rPr>
        <w:t xml:space="preserve">fica estabelecida </w:t>
      </w:r>
      <w:r w:rsidR="002C6186" w:rsidRPr="00C322C0">
        <w:rPr>
          <w:rFonts w:cstheme="minorHAnsi"/>
          <w:bCs/>
          <w:sz w:val="24"/>
          <w:szCs w:val="24"/>
        </w:rPr>
        <w:t xml:space="preserve">a meta de déficit primário de R$ </w:t>
      </w:r>
      <w:r w:rsidR="000D1C42" w:rsidRPr="00C322C0">
        <w:rPr>
          <w:rFonts w:cstheme="minorHAnsi"/>
          <w:bCs/>
          <w:sz w:val="24"/>
          <w:szCs w:val="24"/>
        </w:rPr>
        <w:t>132,0</w:t>
      </w:r>
      <w:r w:rsidR="002C6186" w:rsidRPr="00C322C0">
        <w:rPr>
          <w:rFonts w:cstheme="minorHAnsi"/>
          <w:bCs/>
          <w:sz w:val="24"/>
          <w:szCs w:val="24"/>
        </w:rPr>
        <w:t xml:space="preserve"> bilhões para o Setor Público não-financeiro</w:t>
      </w:r>
      <w:r w:rsidRPr="00C322C0">
        <w:rPr>
          <w:rFonts w:cstheme="minorHAnsi"/>
          <w:bCs/>
          <w:sz w:val="24"/>
          <w:szCs w:val="24"/>
        </w:rPr>
        <w:t>, que</w:t>
      </w:r>
      <w:r w:rsidR="002C6186" w:rsidRPr="00C322C0">
        <w:rPr>
          <w:rFonts w:cstheme="minorHAnsi"/>
          <w:bCs/>
          <w:sz w:val="24"/>
          <w:szCs w:val="24"/>
        </w:rPr>
        <w:t xml:space="preserve"> está dividida em déficits de R$ </w:t>
      </w:r>
      <w:r w:rsidR="000D1C42" w:rsidRPr="00C322C0">
        <w:rPr>
          <w:rFonts w:cstheme="minorHAnsi"/>
          <w:bCs/>
          <w:sz w:val="24"/>
          <w:szCs w:val="24"/>
        </w:rPr>
        <w:t>139,0</w:t>
      </w:r>
      <w:r w:rsidR="002C6186" w:rsidRPr="00C322C0">
        <w:rPr>
          <w:rFonts w:cstheme="minorHAnsi"/>
          <w:bCs/>
          <w:sz w:val="24"/>
          <w:szCs w:val="24"/>
        </w:rPr>
        <w:t xml:space="preserve"> bilhões para o Governo Central, R$ </w:t>
      </w:r>
      <w:r w:rsidR="000D1C42" w:rsidRPr="00C322C0">
        <w:rPr>
          <w:rFonts w:cstheme="minorHAnsi"/>
          <w:bCs/>
          <w:sz w:val="24"/>
          <w:szCs w:val="24"/>
        </w:rPr>
        <w:t>3,5</w:t>
      </w:r>
      <w:r w:rsidR="002C6186" w:rsidRPr="00C322C0">
        <w:rPr>
          <w:rFonts w:cstheme="minorHAnsi"/>
          <w:bCs/>
          <w:sz w:val="24"/>
          <w:szCs w:val="24"/>
        </w:rPr>
        <w:t xml:space="preserve"> bilhões para as Estatais Federais e </w:t>
      </w:r>
      <w:r w:rsidR="008C46B6">
        <w:rPr>
          <w:rFonts w:cstheme="minorHAnsi"/>
          <w:bCs/>
          <w:sz w:val="24"/>
          <w:szCs w:val="24"/>
        </w:rPr>
        <w:t xml:space="preserve">superávit de </w:t>
      </w:r>
      <w:r w:rsidR="002C6186" w:rsidRPr="00C322C0">
        <w:rPr>
          <w:rFonts w:cstheme="minorHAnsi"/>
          <w:bCs/>
          <w:sz w:val="24"/>
          <w:szCs w:val="24"/>
        </w:rPr>
        <w:t xml:space="preserve">R$ </w:t>
      </w:r>
      <w:r w:rsidR="000D1C42" w:rsidRPr="00C322C0">
        <w:rPr>
          <w:rFonts w:cstheme="minorHAnsi"/>
          <w:bCs/>
          <w:sz w:val="24"/>
          <w:szCs w:val="24"/>
        </w:rPr>
        <w:t>10,5</w:t>
      </w:r>
      <w:r w:rsidR="00134ECD">
        <w:rPr>
          <w:rFonts w:cstheme="minorHAnsi"/>
          <w:bCs/>
          <w:sz w:val="24"/>
          <w:szCs w:val="24"/>
        </w:rPr>
        <w:t xml:space="preserve"> bilhões</w:t>
      </w:r>
      <w:r w:rsidR="002C6186" w:rsidRPr="00C322C0">
        <w:rPr>
          <w:rFonts w:cstheme="minorHAnsi"/>
          <w:bCs/>
          <w:sz w:val="24"/>
          <w:szCs w:val="24"/>
        </w:rPr>
        <w:t xml:space="preserve"> para os Estados, Distrito Federal e Municípios.</w:t>
      </w:r>
      <w:r w:rsidR="00954BE0" w:rsidRPr="00C322C0">
        <w:rPr>
          <w:rFonts w:cstheme="minorHAnsi"/>
          <w:bCs/>
          <w:sz w:val="24"/>
          <w:szCs w:val="24"/>
        </w:rPr>
        <w:t xml:space="preserve"> As metas definidas para o ano de 2019 e as metas indicativas para os anos seguintes são apresentados na Tabela 2:</w:t>
      </w:r>
    </w:p>
    <w:p w:rsidR="002C6186" w:rsidRPr="00984C19" w:rsidRDefault="008C46B6" w:rsidP="00984C1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B678ED" w:rsidRPr="00984C19">
        <w:rPr>
          <w:rFonts w:cstheme="minorHAnsi"/>
          <w:b/>
          <w:szCs w:val="24"/>
        </w:rPr>
        <w:t>Tabela 2 –</w:t>
      </w:r>
      <w:r w:rsidR="005E3486" w:rsidRPr="00984C19">
        <w:rPr>
          <w:rFonts w:cstheme="minorHAnsi"/>
          <w:b/>
          <w:szCs w:val="24"/>
        </w:rPr>
        <w:t>Metas</w:t>
      </w:r>
      <w:r w:rsidRPr="00984C19">
        <w:rPr>
          <w:rFonts w:cstheme="minorHAnsi"/>
          <w:b/>
          <w:szCs w:val="24"/>
        </w:rPr>
        <w:t xml:space="preserve"> de Resultado Primário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988"/>
        <w:gridCol w:w="708"/>
        <w:gridCol w:w="851"/>
        <w:gridCol w:w="818"/>
        <w:gridCol w:w="842"/>
        <w:gridCol w:w="890"/>
      </w:tblGrid>
      <w:tr w:rsidR="0097622E" w:rsidRPr="00C322C0" w:rsidTr="00984C19">
        <w:trPr>
          <w:trHeight w:val="274"/>
        </w:trPr>
        <w:tc>
          <w:tcPr>
            <w:tcW w:w="3407" w:type="dxa"/>
          </w:tcPr>
          <w:p w:rsidR="004762F8" w:rsidRPr="008C46B6" w:rsidRDefault="004762F8" w:rsidP="008C46B6">
            <w:pPr>
              <w:spacing w:after="200"/>
              <w:jc w:val="both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762F8" w:rsidRPr="008C46B6" w:rsidRDefault="004762F8" w:rsidP="008C46B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2019</w:t>
            </w:r>
          </w:p>
        </w:tc>
        <w:tc>
          <w:tcPr>
            <w:tcW w:w="1669" w:type="dxa"/>
            <w:gridSpan w:val="2"/>
          </w:tcPr>
          <w:p w:rsidR="004762F8" w:rsidRPr="008C46B6" w:rsidRDefault="004762F8" w:rsidP="008C46B6">
            <w:pPr>
              <w:spacing w:after="200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2020</w:t>
            </w:r>
            <w:r w:rsidR="005E3486" w:rsidRPr="008C46B6">
              <w:rPr>
                <w:rFonts w:cstheme="minorHAnsi"/>
                <w:b/>
                <w:sz w:val="20"/>
                <w:szCs w:val="24"/>
              </w:rPr>
              <w:t>*</w:t>
            </w:r>
          </w:p>
        </w:tc>
        <w:tc>
          <w:tcPr>
            <w:tcW w:w="1732" w:type="dxa"/>
            <w:gridSpan w:val="2"/>
          </w:tcPr>
          <w:p w:rsidR="004762F8" w:rsidRPr="008C46B6" w:rsidRDefault="004762F8" w:rsidP="008C46B6">
            <w:pPr>
              <w:spacing w:after="200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2021</w:t>
            </w:r>
            <w:r w:rsidR="005E3486" w:rsidRPr="008C46B6">
              <w:rPr>
                <w:rFonts w:cstheme="minorHAnsi"/>
                <w:b/>
                <w:sz w:val="20"/>
                <w:szCs w:val="24"/>
              </w:rPr>
              <w:t>*</w:t>
            </w:r>
          </w:p>
        </w:tc>
      </w:tr>
      <w:tr w:rsidR="008C46B6" w:rsidRPr="00C322C0" w:rsidTr="00984C19">
        <w:tc>
          <w:tcPr>
            <w:tcW w:w="3407" w:type="dxa"/>
          </w:tcPr>
          <w:p w:rsidR="004762F8" w:rsidRPr="008C46B6" w:rsidRDefault="004762F8" w:rsidP="008C46B6">
            <w:pPr>
              <w:jc w:val="both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988" w:type="dxa"/>
          </w:tcPr>
          <w:p w:rsidR="004762F8" w:rsidRPr="008C46B6" w:rsidRDefault="00B6125C" w:rsidP="008C46B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R$ bilhões</w:t>
            </w:r>
          </w:p>
        </w:tc>
        <w:tc>
          <w:tcPr>
            <w:tcW w:w="708" w:type="dxa"/>
          </w:tcPr>
          <w:p w:rsidR="004762F8" w:rsidRPr="008C46B6" w:rsidRDefault="00B6125C" w:rsidP="008C46B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% PIB</w:t>
            </w:r>
          </w:p>
        </w:tc>
        <w:tc>
          <w:tcPr>
            <w:tcW w:w="851" w:type="dxa"/>
          </w:tcPr>
          <w:p w:rsidR="004762F8" w:rsidRPr="008C46B6" w:rsidRDefault="00B6125C" w:rsidP="008C46B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R$ bilhões</w:t>
            </w:r>
          </w:p>
        </w:tc>
        <w:tc>
          <w:tcPr>
            <w:tcW w:w="818" w:type="dxa"/>
          </w:tcPr>
          <w:p w:rsidR="004762F8" w:rsidRPr="008C46B6" w:rsidRDefault="00B6125C" w:rsidP="008C46B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% PIB</w:t>
            </w:r>
          </w:p>
        </w:tc>
        <w:tc>
          <w:tcPr>
            <w:tcW w:w="842" w:type="dxa"/>
          </w:tcPr>
          <w:p w:rsidR="004762F8" w:rsidRPr="008C46B6" w:rsidRDefault="00B6125C" w:rsidP="008C46B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R$ bilhões</w:t>
            </w:r>
          </w:p>
        </w:tc>
        <w:tc>
          <w:tcPr>
            <w:tcW w:w="890" w:type="dxa"/>
          </w:tcPr>
          <w:p w:rsidR="004762F8" w:rsidRPr="008C46B6" w:rsidRDefault="00B6125C" w:rsidP="008C46B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C46B6">
              <w:rPr>
                <w:rFonts w:cstheme="minorHAnsi"/>
                <w:b/>
                <w:sz w:val="20"/>
                <w:szCs w:val="24"/>
              </w:rPr>
              <w:t>% PIB</w:t>
            </w:r>
          </w:p>
        </w:tc>
      </w:tr>
      <w:tr w:rsidR="008C46B6" w:rsidRPr="00C322C0" w:rsidTr="00984C19">
        <w:trPr>
          <w:trHeight w:val="383"/>
        </w:trPr>
        <w:tc>
          <w:tcPr>
            <w:tcW w:w="3407" w:type="dxa"/>
            <w:vAlign w:val="center"/>
          </w:tcPr>
          <w:p w:rsidR="0097622E" w:rsidRPr="008C46B6" w:rsidRDefault="0097622E" w:rsidP="008C46B6">
            <w:pPr>
              <w:rPr>
                <w:rFonts w:cstheme="minorHAnsi"/>
                <w:sz w:val="20"/>
                <w:szCs w:val="24"/>
              </w:rPr>
            </w:pPr>
            <w:r w:rsidRPr="008C46B6">
              <w:rPr>
                <w:rFonts w:cstheme="minorHAnsi"/>
                <w:sz w:val="20"/>
                <w:szCs w:val="24"/>
              </w:rPr>
              <w:t>Setor Público Não Financeiro</w:t>
            </w:r>
          </w:p>
        </w:tc>
        <w:tc>
          <w:tcPr>
            <w:tcW w:w="98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-132,0</w:t>
            </w:r>
          </w:p>
        </w:tc>
        <w:tc>
          <w:tcPr>
            <w:tcW w:w="70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-1,75</w:t>
            </w:r>
          </w:p>
        </w:tc>
        <w:tc>
          <w:tcPr>
            <w:tcW w:w="851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-99,7</w:t>
            </w:r>
          </w:p>
        </w:tc>
        <w:tc>
          <w:tcPr>
            <w:tcW w:w="81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-1,23</w:t>
            </w:r>
          </w:p>
        </w:tc>
        <w:tc>
          <w:tcPr>
            <w:tcW w:w="842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-56,5</w:t>
            </w:r>
          </w:p>
        </w:tc>
        <w:tc>
          <w:tcPr>
            <w:tcW w:w="890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-0,65</w:t>
            </w:r>
          </w:p>
        </w:tc>
      </w:tr>
      <w:tr w:rsidR="008C46B6" w:rsidRPr="00C322C0" w:rsidTr="00984C19">
        <w:trPr>
          <w:trHeight w:val="416"/>
        </w:trPr>
        <w:tc>
          <w:tcPr>
            <w:tcW w:w="3407" w:type="dxa"/>
            <w:vAlign w:val="center"/>
          </w:tcPr>
          <w:p w:rsidR="0097622E" w:rsidRPr="008C46B6" w:rsidRDefault="0097622E" w:rsidP="008C46B6">
            <w:pPr>
              <w:rPr>
                <w:rFonts w:cstheme="minorHAnsi"/>
                <w:sz w:val="20"/>
                <w:szCs w:val="24"/>
              </w:rPr>
            </w:pPr>
            <w:r w:rsidRPr="008C46B6">
              <w:rPr>
                <w:rFonts w:cstheme="minorHAnsi"/>
                <w:sz w:val="20"/>
                <w:szCs w:val="24"/>
              </w:rPr>
              <w:t>Governo Central</w:t>
            </w:r>
          </w:p>
        </w:tc>
        <w:tc>
          <w:tcPr>
            <w:tcW w:w="98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-139,0</w:t>
            </w:r>
          </w:p>
        </w:tc>
        <w:tc>
          <w:tcPr>
            <w:tcW w:w="70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-1,84</w:t>
            </w:r>
          </w:p>
        </w:tc>
        <w:tc>
          <w:tcPr>
            <w:tcW w:w="851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-110,0</w:t>
            </w:r>
          </w:p>
        </w:tc>
        <w:tc>
          <w:tcPr>
            <w:tcW w:w="81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-1,36</w:t>
            </w:r>
          </w:p>
        </w:tc>
        <w:tc>
          <w:tcPr>
            <w:tcW w:w="842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-70,0</w:t>
            </w:r>
          </w:p>
        </w:tc>
        <w:tc>
          <w:tcPr>
            <w:tcW w:w="890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-0,81</w:t>
            </w:r>
          </w:p>
        </w:tc>
      </w:tr>
      <w:tr w:rsidR="008C46B6" w:rsidRPr="00C322C0" w:rsidTr="00984C19">
        <w:tc>
          <w:tcPr>
            <w:tcW w:w="3407" w:type="dxa"/>
            <w:vAlign w:val="center"/>
          </w:tcPr>
          <w:p w:rsidR="0097622E" w:rsidRPr="008C46B6" w:rsidRDefault="0097622E" w:rsidP="008C46B6">
            <w:pPr>
              <w:rPr>
                <w:rFonts w:cstheme="minorHAnsi"/>
                <w:sz w:val="20"/>
                <w:szCs w:val="24"/>
              </w:rPr>
            </w:pPr>
            <w:r w:rsidRPr="008C46B6">
              <w:rPr>
                <w:rFonts w:cstheme="minorHAnsi"/>
                <w:sz w:val="20"/>
                <w:szCs w:val="24"/>
              </w:rPr>
              <w:t>Estados, Distrito Federal e Municípios*</w:t>
            </w:r>
          </w:p>
        </w:tc>
        <w:tc>
          <w:tcPr>
            <w:tcW w:w="98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10,5</w:t>
            </w:r>
          </w:p>
        </w:tc>
        <w:tc>
          <w:tcPr>
            <w:tcW w:w="70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0,14</w:t>
            </w:r>
          </w:p>
        </w:tc>
        <w:tc>
          <w:tcPr>
            <w:tcW w:w="851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14,0</w:t>
            </w:r>
          </w:p>
        </w:tc>
        <w:tc>
          <w:tcPr>
            <w:tcW w:w="81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0,17</w:t>
            </w:r>
          </w:p>
        </w:tc>
        <w:tc>
          <w:tcPr>
            <w:tcW w:w="842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17,5</w:t>
            </w:r>
          </w:p>
        </w:tc>
        <w:tc>
          <w:tcPr>
            <w:tcW w:w="890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0,20</w:t>
            </w:r>
          </w:p>
        </w:tc>
      </w:tr>
      <w:tr w:rsidR="008C46B6" w:rsidRPr="00C322C0" w:rsidTr="00984C19">
        <w:tc>
          <w:tcPr>
            <w:tcW w:w="3407" w:type="dxa"/>
            <w:vAlign w:val="center"/>
          </w:tcPr>
          <w:p w:rsidR="0097622E" w:rsidRPr="008C46B6" w:rsidRDefault="0097622E" w:rsidP="008C46B6">
            <w:pPr>
              <w:rPr>
                <w:rFonts w:cstheme="minorHAnsi"/>
                <w:sz w:val="20"/>
                <w:szCs w:val="24"/>
              </w:rPr>
            </w:pPr>
            <w:r w:rsidRPr="008C46B6">
              <w:rPr>
                <w:rFonts w:cstheme="minorHAnsi"/>
                <w:sz w:val="20"/>
                <w:szCs w:val="24"/>
              </w:rPr>
              <w:t>Estatais Federais</w:t>
            </w:r>
          </w:p>
        </w:tc>
        <w:tc>
          <w:tcPr>
            <w:tcW w:w="98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-3,5</w:t>
            </w:r>
          </w:p>
        </w:tc>
        <w:tc>
          <w:tcPr>
            <w:tcW w:w="70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-0,05</w:t>
            </w:r>
          </w:p>
        </w:tc>
        <w:tc>
          <w:tcPr>
            <w:tcW w:w="851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-3,7</w:t>
            </w:r>
          </w:p>
        </w:tc>
        <w:tc>
          <w:tcPr>
            <w:tcW w:w="818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-0,05</w:t>
            </w:r>
          </w:p>
        </w:tc>
        <w:tc>
          <w:tcPr>
            <w:tcW w:w="842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-4,0</w:t>
            </w:r>
          </w:p>
        </w:tc>
        <w:tc>
          <w:tcPr>
            <w:tcW w:w="890" w:type="dxa"/>
            <w:vAlign w:val="center"/>
          </w:tcPr>
          <w:p w:rsidR="0097622E" w:rsidRPr="008C46B6" w:rsidRDefault="0097622E" w:rsidP="008C46B6">
            <w:pPr>
              <w:jc w:val="center"/>
              <w:rPr>
                <w:rFonts w:cstheme="minorHAnsi"/>
                <w:sz w:val="20"/>
                <w:szCs w:val="24"/>
                <w:highlight w:val="yellow"/>
              </w:rPr>
            </w:pPr>
            <w:r w:rsidRPr="008C46B6">
              <w:rPr>
                <w:rFonts w:cstheme="minorHAnsi"/>
                <w:sz w:val="20"/>
                <w:szCs w:val="20"/>
              </w:rPr>
              <w:t>-0,05</w:t>
            </w:r>
          </w:p>
        </w:tc>
      </w:tr>
    </w:tbl>
    <w:p w:rsidR="008C46B6" w:rsidRPr="008C46B6" w:rsidRDefault="005E3486" w:rsidP="008C46B6">
      <w:pPr>
        <w:spacing w:after="120" w:line="240" w:lineRule="auto"/>
        <w:rPr>
          <w:rFonts w:cstheme="minorHAnsi"/>
          <w:sz w:val="24"/>
          <w:szCs w:val="24"/>
          <w:vertAlign w:val="subscript"/>
        </w:rPr>
      </w:pPr>
      <w:r w:rsidRPr="008C46B6">
        <w:rPr>
          <w:rFonts w:cstheme="minorHAnsi"/>
          <w:szCs w:val="24"/>
          <w:vertAlign w:val="subscript"/>
        </w:rPr>
        <w:t>* Metas</w:t>
      </w:r>
      <w:r w:rsidR="008C46B6" w:rsidRPr="008C46B6">
        <w:rPr>
          <w:rFonts w:cstheme="minorHAnsi"/>
          <w:szCs w:val="24"/>
          <w:vertAlign w:val="subscript"/>
        </w:rPr>
        <w:t xml:space="preserve"> indicativas.</w:t>
      </w:r>
    </w:p>
    <w:p w:rsidR="00820911" w:rsidRPr="00C322C0" w:rsidRDefault="00820911" w:rsidP="008C46B6">
      <w:pPr>
        <w:spacing w:after="120"/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Para as empresas estatais federais, as projeções foram preparadas com base na manutenção dos resultados apurados dos últimos anos. Eventuais medidas de</w:t>
      </w:r>
      <w:r w:rsidR="00D34A11" w:rsidRPr="00C322C0">
        <w:rPr>
          <w:rFonts w:cstheme="minorHAnsi"/>
          <w:sz w:val="24"/>
          <w:szCs w:val="24"/>
        </w:rPr>
        <w:t xml:space="preserve"> otimização</w:t>
      </w:r>
      <w:r w:rsidRPr="00C322C0">
        <w:rPr>
          <w:rFonts w:cstheme="minorHAnsi"/>
          <w:sz w:val="24"/>
          <w:szCs w:val="24"/>
        </w:rPr>
        <w:t xml:space="preserve"> da gestão </w:t>
      </w:r>
      <w:r w:rsidR="00D34A11" w:rsidRPr="00C322C0">
        <w:rPr>
          <w:rFonts w:cstheme="minorHAnsi"/>
          <w:sz w:val="24"/>
          <w:szCs w:val="24"/>
        </w:rPr>
        <w:t>e de racionalização da carteira de</w:t>
      </w:r>
      <w:r w:rsidRPr="00C322C0">
        <w:rPr>
          <w:rFonts w:cstheme="minorHAnsi"/>
          <w:sz w:val="24"/>
          <w:szCs w:val="24"/>
        </w:rPr>
        <w:t xml:space="preserve"> participações societárias da União podem afetar positivamente o resultado indicado.</w:t>
      </w:r>
    </w:p>
    <w:p w:rsidR="00820911" w:rsidRPr="00C322C0" w:rsidRDefault="00820911" w:rsidP="008C46B6">
      <w:pPr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As metas indicativas para os Estados, Distrito Federal e Municípios têm por base a projeção do resultado primário agregado dos entes subnacionais, usando informações disponíveis até o momento da sua elaboração. Dentre os fatores que compõem essa projeção, merece destaque a estimativa dos fluxos de pagamentos das dívidas dos entes com a União para o período de 2019 a 2021. A esse fator são agregadas premissas sobre os fluxos de liberações e pagamentos das operações de crédito contratadas, e a contratar, pelos governos regionais e suas respectivas estatais.</w:t>
      </w:r>
    </w:p>
    <w:p w:rsidR="00984C19" w:rsidRDefault="00820911" w:rsidP="008C46B6">
      <w:pPr>
        <w:spacing w:after="120"/>
        <w:jc w:val="both"/>
        <w:rPr>
          <w:rFonts w:cstheme="minorHAnsi"/>
          <w:sz w:val="24"/>
          <w:szCs w:val="24"/>
        </w:rPr>
      </w:pPr>
      <w:r w:rsidRPr="00C322C0">
        <w:rPr>
          <w:rFonts w:cstheme="minorHAnsi"/>
          <w:sz w:val="24"/>
          <w:szCs w:val="24"/>
        </w:rPr>
        <w:t>A projeção de resultados primários dos entes subnacionais apresenta uma evolução importante em relação a 2018, ainda que a trajetória do endividamento em relação ao PIB deva ser monitorada ao longo dos próximos anos. Isso ocorre porque, à semelhança da União, a situação fiscal dos estados e municípios está fortemente comprometida com a elevada rigidez dos seus gastos, pressionados pelas despesas com pessoal e previdência, e sem perspectiva de arrefecimento no médio prazo. Tal cenário reforça a importância de reformas, em particular a da previdência, para garantir o equilíbrio fiscal estrutural dos entes subnacionais.</w:t>
      </w:r>
      <w:r w:rsidR="00984C19">
        <w:rPr>
          <w:rFonts w:cstheme="minorHAnsi"/>
          <w:sz w:val="24"/>
          <w:szCs w:val="24"/>
        </w:rPr>
        <w:t xml:space="preserve"> </w:t>
      </w:r>
    </w:p>
    <w:p w:rsidR="008C46B6" w:rsidRDefault="00501635" w:rsidP="008C46B6">
      <w:pPr>
        <w:spacing w:after="120"/>
        <w:jc w:val="both"/>
        <w:rPr>
          <w:rFonts w:cstheme="minorHAnsi"/>
          <w:b/>
          <w:sz w:val="24"/>
          <w:szCs w:val="24"/>
        </w:rPr>
      </w:pPr>
      <w:r w:rsidRPr="00C322C0">
        <w:rPr>
          <w:rFonts w:cstheme="minorHAnsi"/>
          <w:sz w:val="24"/>
          <w:szCs w:val="24"/>
        </w:rPr>
        <w:t xml:space="preserve">Com base nas </w:t>
      </w:r>
      <w:r w:rsidR="00820911" w:rsidRPr="00C322C0">
        <w:rPr>
          <w:rFonts w:cstheme="minorHAnsi"/>
          <w:sz w:val="24"/>
          <w:szCs w:val="24"/>
        </w:rPr>
        <w:t xml:space="preserve">projeções de resultado primário e </w:t>
      </w:r>
      <w:r w:rsidRPr="00C322C0">
        <w:rPr>
          <w:rFonts w:cstheme="minorHAnsi"/>
          <w:sz w:val="24"/>
          <w:szCs w:val="24"/>
        </w:rPr>
        <w:t>nas</w:t>
      </w:r>
      <w:r w:rsidR="00820911" w:rsidRPr="00C322C0">
        <w:rPr>
          <w:rFonts w:cstheme="minorHAnsi"/>
          <w:sz w:val="24"/>
          <w:szCs w:val="24"/>
        </w:rPr>
        <w:t xml:space="preserve"> variáveis macroeconômicas acima </w:t>
      </w:r>
      <w:r w:rsidRPr="00C322C0">
        <w:rPr>
          <w:rFonts w:cstheme="minorHAnsi"/>
          <w:sz w:val="24"/>
          <w:szCs w:val="24"/>
        </w:rPr>
        <w:t>discutidas, têm-se</w:t>
      </w:r>
      <w:r w:rsidR="00D45C96" w:rsidRPr="00C322C0">
        <w:rPr>
          <w:rFonts w:cstheme="minorHAnsi"/>
          <w:sz w:val="24"/>
          <w:szCs w:val="24"/>
        </w:rPr>
        <w:t xml:space="preserve"> </w:t>
      </w:r>
      <w:r w:rsidRPr="00C322C0">
        <w:rPr>
          <w:rFonts w:cstheme="minorHAnsi"/>
          <w:sz w:val="24"/>
          <w:szCs w:val="24"/>
        </w:rPr>
        <w:t xml:space="preserve">as </w:t>
      </w:r>
      <w:r w:rsidR="00D45C96" w:rsidRPr="00C322C0">
        <w:rPr>
          <w:rFonts w:cstheme="minorHAnsi"/>
          <w:sz w:val="24"/>
          <w:szCs w:val="24"/>
        </w:rPr>
        <w:t>trajetórias de dívida</w:t>
      </w:r>
      <w:r w:rsidRPr="00C322C0">
        <w:rPr>
          <w:rFonts w:cstheme="minorHAnsi"/>
          <w:sz w:val="24"/>
          <w:szCs w:val="24"/>
        </w:rPr>
        <w:t xml:space="preserve"> apresentadas na tabela abaixo</w:t>
      </w:r>
      <w:r w:rsidR="00D45C96" w:rsidRPr="00C322C0">
        <w:rPr>
          <w:rFonts w:cstheme="minorHAnsi"/>
          <w:sz w:val="24"/>
          <w:szCs w:val="24"/>
        </w:rPr>
        <w:t>.</w:t>
      </w:r>
    </w:p>
    <w:p w:rsidR="00CA61C3" w:rsidRPr="00984C19" w:rsidRDefault="006C55DB" w:rsidP="00984C19">
      <w:pPr>
        <w:spacing w:after="0" w:line="240" w:lineRule="auto"/>
        <w:rPr>
          <w:rFonts w:cstheme="minorHAnsi"/>
          <w:b/>
          <w:szCs w:val="24"/>
        </w:rPr>
      </w:pPr>
      <w:r w:rsidRPr="00984C19">
        <w:rPr>
          <w:rFonts w:cstheme="minorHAnsi"/>
          <w:b/>
          <w:szCs w:val="24"/>
        </w:rPr>
        <w:t xml:space="preserve">Tabela </w:t>
      </w:r>
      <w:r w:rsidR="005E3486" w:rsidRPr="00984C19">
        <w:rPr>
          <w:rFonts w:cstheme="minorHAnsi"/>
          <w:b/>
          <w:szCs w:val="24"/>
        </w:rPr>
        <w:t>3</w:t>
      </w:r>
      <w:r w:rsidRPr="00984C19">
        <w:rPr>
          <w:rFonts w:cstheme="minorHAnsi"/>
          <w:b/>
          <w:szCs w:val="24"/>
        </w:rPr>
        <w:t xml:space="preserve"> – Trajetória estimada para a dívida do setor público</w:t>
      </w:r>
    </w:p>
    <w:tbl>
      <w:tblPr>
        <w:tblW w:w="8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1064"/>
        <w:gridCol w:w="1064"/>
        <w:gridCol w:w="1064"/>
      </w:tblGrid>
      <w:tr w:rsidR="00954033" w:rsidRPr="008C46B6" w:rsidTr="00984C19">
        <w:trPr>
          <w:trHeight w:val="351"/>
        </w:trPr>
        <w:tc>
          <w:tcPr>
            <w:tcW w:w="524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Variáveis (em % do PIB)</w:t>
            </w: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2019</w:t>
            </w: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2020</w:t>
            </w: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2021</w:t>
            </w:r>
          </w:p>
        </w:tc>
      </w:tr>
      <w:tr w:rsidR="00954033" w:rsidRPr="008C46B6" w:rsidTr="00984C19">
        <w:trPr>
          <w:trHeight w:val="444"/>
        </w:trPr>
        <w:tc>
          <w:tcPr>
            <w:tcW w:w="5241" w:type="dxa"/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Resultado Primário do Setor Público Não-Financeiro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-1,75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-1,23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-0,65</w:t>
            </w:r>
          </w:p>
        </w:tc>
      </w:tr>
      <w:tr w:rsidR="00954033" w:rsidRPr="008C46B6" w:rsidTr="00984C19">
        <w:trPr>
          <w:trHeight w:val="444"/>
        </w:trPr>
        <w:tc>
          <w:tcPr>
            <w:tcW w:w="5241" w:type="dxa"/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Previsão para o reconhecimento de passivos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0,2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0,2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0,2</w:t>
            </w:r>
          </w:p>
        </w:tc>
      </w:tr>
      <w:tr w:rsidR="00954033" w:rsidRPr="008C46B6" w:rsidTr="00984C19">
        <w:trPr>
          <w:trHeight w:val="444"/>
        </w:trPr>
        <w:tc>
          <w:tcPr>
            <w:tcW w:w="5241" w:type="dxa"/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Dívida Líquida com o reconhecimento de passivos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58,9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61,8</w:t>
            </w:r>
          </w:p>
        </w:tc>
        <w:tc>
          <w:tcPr>
            <w:tcW w:w="1064" w:type="dxa"/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64,3</w:t>
            </w:r>
          </w:p>
        </w:tc>
      </w:tr>
      <w:tr w:rsidR="00954033" w:rsidRPr="008C46B6" w:rsidTr="00984C19">
        <w:trPr>
          <w:trHeight w:val="444"/>
        </w:trPr>
        <w:tc>
          <w:tcPr>
            <w:tcW w:w="52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54033" w:rsidRPr="00984C19" w:rsidRDefault="00954033" w:rsidP="008C46B6">
            <w:pPr>
              <w:spacing w:line="240" w:lineRule="auto"/>
              <w:rPr>
                <w:rFonts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Dívida Bruta do Governo Geral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77,7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79,7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81,1</w:t>
            </w:r>
          </w:p>
        </w:tc>
      </w:tr>
      <w:tr w:rsidR="00954033" w:rsidRPr="008C46B6" w:rsidTr="00984C19">
        <w:trPr>
          <w:trHeight w:val="171"/>
        </w:trPr>
        <w:tc>
          <w:tcPr>
            <w:tcW w:w="52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54033" w:rsidRPr="00984C19" w:rsidRDefault="00954033" w:rsidP="008C46B6">
            <w:pPr>
              <w:spacing w:line="240" w:lineRule="auto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cstheme="minorHAnsi"/>
                <w:bCs/>
                <w:sz w:val="20"/>
                <w:szCs w:val="24"/>
              </w:rPr>
              <w:t>Resultado Nominal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-7,1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-6,9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54033" w:rsidRPr="00984C19" w:rsidRDefault="00954033" w:rsidP="008C46B6">
            <w:pPr>
              <w:spacing w:line="240" w:lineRule="auto"/>
              <w:jc w:val="center"/>
              <w:rPr>
                <w:rFonts w:eastAsia="Arial Unicode MS" w:cstheme="minorHAnsi"/>
                <w:bCs/>
                <w:sz w:val="20"/>
                <w:szCs w:val="24"/>
              </w:rPr>
            </w:pPr>
            <w:r w:rsidRPr="00984C19">
              <w:rPr>
                <w:rFonts w:eastAsia="Arial Unicode MS" w:cstheme="minorHAnsi"/>
                <w:bCs/>
                <w:sz w:val="20"/>
                <w:szCs w:val="24"/>
              </w:rPr>
              <w:t>-6,6</w:t>
            </w:r>
          </w:p>
        </w:tc>
      </w:tr>
    </w:tbl>
    <w:p w:rsidR="00954033" w:rsidRPr="008C46B6" w:rsidRDefault="008C46B6" w:rsidP="008C46B6">
      <w:pPr>
        <w:spacing w:after="120" w:line="240" w:lineRule="auto"/>
        <w:jc w:val="both"/>
        <w:rPr>
          <w:rFonts w:cstheme="minorHAnsi"/>
          <w:sz w:val="20"/>
          <w:szCs w:val="24"/>
        </w:rPr>
      </w:pPr>
      <w:r w:rsidRPr="008C46B6">
        <w:rPr>
          <w:rFonts w:cstheme="minorHAnsi"/>
          <w:sz w:val="20"/>
          <w:szCs w:val="24"/>
          <w:vertAlign w:val="subscript"/>
        </w:rPr>
        <w:t>F</w:t>
      </w:r>
      <w:r w:rsidR="00954033" w:rsidRPr="008C46B6">
        <w:rPr>
          <w:rFonts w:cstheme="minorHAnsi"/>
          <w:sz w:val="20"/>
          <w:szCs w:val="24"/>
          <w:vertAlign w:val="subscript"/>
        </w:rPr>
        <w:t>onte: Projeção da Secretaria do Tesouro Nacional para Dívida Bruta e Líquida, com base nas metas fiscais e na Grade de Parâmetros de 12/03/201</w:t>
      </w:r>
      <w:r w:rsidRPr="008C46B6">
        <w:rPr>
          <w:rFonts w:cstheme="minorHAnsi"/>
          <w:sz w:val="20"/>
          <w:szCs w:val="24"/>
          <w:vertAlign w:val="subscript"/>
        </w:rPr>
        <w:t>8</w:t>
      </w:r>
      <w:r w:rsidR="00954033" w:rsidRPr="008C46B6">
        <w:rPr>
          <w:rFonts w:cstheme="minorHAnsi"/>
          <w:sz w:val="20"/>
          <w:szCs w:val="24"/>
          <w:vertAlign w:val="subscript"/>
        </w:rPr>
        <w:t xml:space="preserve"> da Secretaria de Política Econômica/Ministério da Fazenda.</w:t>
      </w:r>
    </w:p>
    <w:tbl>
      <w:tblPr>
        <w:tblW w:w="11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960"/>
        <w:gridCol w:w="1797"/>
        <w:gridCol w:w="1276"/>
        <w:gridCol w:w="596"/>
        <w:gridCol w:w="1105"/>
        <w:gridCol w:w="850"/>
        <w:gridCol w:w="1276"/>
        <w:gridCol w:w="709"/>
        <w:gridCol w:w="2579"/>
      </w:tblGrid>
      <w:tr w:rsidR="00E61698" w:rsidRPr="00C322C0" w:rsidTr="00820911">
        <w:trPr>
          <w:trHeight w:val="315"/>
        </w:trPr>
        <w:tc>
          <w:tcPr>
            <w:tcW w:w="11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F5" w:rsidRPr="00C322C0" w:rsidRDefault="00F54EF5" w:rsidP="00984C1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20911" w:rsidRPr="00C322C0" w:rsidTr="00820911">
        <w:trPr>
          <w:gridAfter w:val="1"/>
          <w:wAfter w:w="2579" w:type="dxa"/>
          <w:trHeight w:val="31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4"/>
                <w:szCs w:val="20"/>
              </w:rPr>
              <w:t>Anexo de Metas Fiscais</w:t>
            </w:r>
          </w:p>
        </w:tc>
      </w:tr>
      <w:tr w:rsidR="00820911" w:rsidRPr="00C322C0" w:rsidTr="00820911">
        <w:trPr>
          <w:gridAfter w:val="1"/>
          <w:wAfter w:w="2579" w:type="dxa"/>
          <w:trHeight w:val="31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4"/>
                <w:szCs w:val="20"/>
              </w:rPr>
              <w:t>Lei de Diretrizes Orçamentárias para 2019</w:t>
            </w:r>
          </w:p>
        </w:tc>
      </w:tr>
      <w:tr w:rsidR="00820911" w:rsidRPr="00C322C0" w:rsidTr="00820911">
        <w:trPr>
          <w:gridAfter w:val="1"/>
          <w:wAfter w:w="2579" w:type="dxa"/>
          <w:trHeight w:val="315"/>
        </w:trPr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C322C0">
              <w:rPr>
                <w:rFonts w:eastAsia="Times New Roman" w:cstheme="minorHAnsi"/>
                <w:sz w:val="24"/>
                <w:szCs w:val="20"/>
              </w:rPr>
              <w:t>(Art. 4</w:t>
            </w:r>
            <w:r w:rsidRPr="00C322C0">
              <w:rPr>
                <w:rFonts w:eastAsia="Times New Roman" w:cstheme="minorHAnsi"/>
                <w:sz w:val="24"/>
                <w:szCs w:val="20"/>
                <w:u w:val="single"/>
                <w:vertAlign w:val="superscript"/>
              </w:rPr>
              <w:t>o</w:t>
            </w:r>
            <w:r w:rsidRPr="00C322C0">
              <w:rPr>
                <w:rFonts w:eastAsia="Times New Roman" w:cstheme="minorHAnsi"/>
                <w:sz w:val="24"/>
                <w:szCs w:val="20"/>
              </w:rPr>
              <w:t>, § 1</w:t>
            </w:r>
            <w:r w:rsidRPr="00C322C0">
              <w:rPr>
                <w:rFonts w:eastAsia="Times New Roman" w:cstheme="minorHAnsi"/>
                <w:sz w:val="24"/>
                <w:szCs w:val="20"/>
                <w:u w:val="single"/>
                <w:vertAlign w:val="superscript"/>
              </w:rPr>
              <w:t>o</w:t>
            </w:r>
            <w:r w:rsidRPr="00C322C0">
              <w:rPr>
                <w:rFonts w:eastAsia="Times New Roman" w:cstheme="minorHAnsi"/>
                <w:sz w:val="24"/>
                <w:szCs w:val="20"/>
              </w:rPr>
              <w:t>, da Lei Complementar n</w:t>
            </w:r>
            <w:r w:rsidRPr="00C322C0">
              <w:rPr>
                <w:rFonts w:eastAsia="Times New Roman" w:cstheme="minorHAnsi"/>
                <w:sz w:val="24"/>
                <w:szCs w:val="20"/>
                <w:u w:val="single"/>
                <w:vertAlign w:val="superscript"/>
              </w:rPr>
              <w:t xml:space="preserve"> o</w:t>
            </w:r>
            <w:r w:rsidRPr="00C322C0">
              <w:rPr>
                <w:rFonts w:eastAsia="Times New Roman" w:cstheme="minorHAnsi"/>
                <w:sz w:val="24"/>
                <w:szCs w:val="20"/>
              </w:rPr>
              <w:t xml:space="preserve"> 101, de 4 de maio de 2000)</w:t>
            </w:r>
          </w:p>
        </w:tc>
      </w:tr>
      <w:tr w:rsidR="00820911" w:rsidRPr="00C322C0" w:rsidTr="00820911">
        <w:trPr>
          <w:gridAfter w:val="1"/>
          <w:wAfter w:w="2579" w:type="dxa"/>
          <w:trHeight w:val="31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</w:p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4"/>
                <w:szCs w:val="20"/>
              </w:rPr>
              <w:t>Anexo IV.1.a - Anexo de Metas Anuais 2019 a 2021</w:t>
            </w:r>
          </w:p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</w:p>
        </w:tc>
      </w:tr>
      <w:tr w:rsidR="00820911" w:rsidRPr="00C322C0" w:rsidTr="00820911">
        <w:trPr>
          <w:gridAfter w:val="1"/>
          <w:wAfter w:w="2579" w:type="dxa"/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Preços Correntes</w:t>
            </w:r>
          </w:p>
        </w:tc>
      </w:tr>
      <w:tr w:rsidR="00820911" w:rsidRPr="00C322C0" w:rsidTr="00820911">
        <w:trPr>
          <w:gridAfter w:val="1"/>
          <w:wAfter w:w="2579" w:type="dxa"/>
          <w:trHeight w:val="263"/>
        </w:trPr>
        <w:tc>
          <w:tcPr>
            <w:tcW w:w="2977" w:type="dxa"/>
            <w:gridSpan w:val="3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Discriminação </w:t>
            </w:r>
          </w:p>
        </w:tc>
        <w:tc>
          <w:tcPr>
            <w:tcW w:w="187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9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2021</w:t>
            </w:r>
          </w:p>
        </w:tc>
      </w:tr>
      <w:tr w:rsidR="00820911" w:rsidRPr="00C322C0" w:rsidTr="00820911">
        <w:trPr>
          <w:gridAfter w:val="1"/>
          <w:wAfter w:w="2579" w:type="dxa"/>
          <w:trHeight w:val="570"/>
        </w:trPr>
        <w:tc>
          <w:tcPr>
            <w:tcW w:w="2977" w:type="dxa"/>
            <w:gridSpan w:val="3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R$ milhões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% PIB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R$ milhões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% PIB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R$ milhões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% PIB</w:t>
            </w:r>
          </w:p>
        </w:tc>
      </w:tr>
      <w:tr w:rsidR="00820911" w:rsidRPr="00C322C0" w:rsidTr="00820911">
        <w:trPr>
          <w:gridAfter w:val="1"/>
          <w:wAfter w:w="2579" w:type="dxa"/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I. Receita Primária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1.543.229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20,44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1.655.879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20,48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1.771.172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20,45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II. Despesa Primária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1.682.229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22,28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1.765.879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21,84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1.841.172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21,26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III. Resultado Primário Governo Central (I - II)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-139.000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-1,84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-110.000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-70.000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-0,81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IV. Resultado Primário Empresas Estatais Federais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-3.500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-0,05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-3.700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-0,05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-4.000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-0,05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V. Resultado Primário Governo Federal (III + IV)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-142.500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-1,89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-113.700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-74.000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-0,85</w:t>
            </w:r>
          </w:p>
        </w:tc>
      </w:tr>
      <w:tr w:rsidR="00820911" w:rsidRPr="00C322C0" w:rsidTr="00820911">
        <w:trPr>
          <w:gridAfter w:val="1"/>
          <w:wAfter w:w="2579" w:type="dxa"/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2C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right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right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VI. Resultado Nominal Governo Federal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-489.280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-6,48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-509.067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-6,30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-522.214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-6,03</w:t>
            </w:r>
          </w:p>
        </w:tc>
      </w:tr>
      <w:tr w:rsidR="00820911" w:rsidRPr="00C322C0" w:rsidTr="00820911">
        <w:trPr>
          <w:gridAfter w:val="1"/>
          <w:wAfter w:w="2579" w:type="dxa"/>
          <w:trHeight w:val="525"/>
        </w:trPr>
        <w:tc>
          <w:tcPr>
            <w:tcW w:w="297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VII. Dívida Líquida Governo Federal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3.560.960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47,17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4.060.515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50,22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4.583.563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52,93</w:t>
            </w:r>
          </w:p>
        </w:tc>
      </w:tr>
      <w:tr w:rsidR="00820911" w:rsidRPr="00C322C0" w:rsidTr="00820911">
        <w:trPr>
          <w:gridAfter w:val="1"/>
          <w:wAfter w:w="2579" w:type="dxa"/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0911" w:rsidRPr="00C322C0" w:rsidRDefault="00820911" w:rsidP="00D979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Preços Médios de 2018 - IGP-DI</w:t>
            </w:r>
          </w:p>
        </w:tc>
      </w:tr>
      <w:tr w:rsidR="00820911" w:rsidRPr="00C322C0" w:rsidTr="00820911">
        <w:trPr>
          <w:gridAfter w:val="1"/>
          <w:wAfter w:w="2579" w:type="dxa"/>
          <w:trHeight w:val="461"/>
        </w:trPr>
        <w:tc>
          <w:tcPr>
            <w:tcW w:w="2977" w:type="dxa"/>
            <w:gridSpan w:val="3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Discriminação </w:t>
            </w:r>
          </w:p>
        </w:tc>
        <w:tc>
          <w:tcPr>
            <w:tcW w:w="187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9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2021</w:t>
            </w:r>
          </w:p>
        </w:tc>
      </w:tr>
      <w:tr w:rsidR="00820911" w:rsidRPr="00C322C0" w:rsidTr="00820911">
        <w:trPr>
          <w:gridAfter w:val="1"/>
          <w:wAfter w:w="2579" w:type="dxa"/>
          <w:trHeight w:val="570"/>
        </w:trPr>
        <w:tc>
          <w:tcPr>
            <w:tcW w:w="2977" w:type="dxa"/>
            <w:gridSpan w:val="3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R$ milhões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R$ milhões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R$ milhões </w:t>
            </w:r>
          </w:p>
        </w:tc>
      </w:tr>
      <w:tr w:rsidR="00820911" w:rsidRPr="00C322C0" w:rsidTr="00820911">
        <w:trPr>
          <w:gridAfter w:val="1"/>
          <w:wAfter w:w="2579" w:type="dxa"/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322C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I. Receita Primária 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1.480.839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1.526.180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1.569.683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II. Despesa Primária 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1.614.220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1.627.564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1.631.720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III. Resultado Primário Governo Central (I - II) 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-133.381</w:t>
            </w:r>
          </w:p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-3.359</w:t>
            </w:r>
          </w:p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-136.739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-101.384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-62.037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IV. Resultado Primário Empresas Estatais Federais </w:t>
            </w: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-3.410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-3.545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V. Resultado Primário Governo Federal (III + IV) </w:t>
            </w: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-104.794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-65.582</w:t>
            </w:r>
          </w:p>
        </w:tc>
      </w:tr>
      <w:tr w:rsidR="00820911" w:rsidRPr="00C322C0" w:rsidTr="00820911">
        <w:trPr>
          <w:gridAfter w:val="1"/>
          <w:wAfter w:w="2579" w:type="dxa"/>
          <w:trHeight w:val="499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911" w:rsidRPr="00C322C0" w:rsidRDefault="00820911" w:rsidP="00D979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VI. Resultado Nominal Governo Federal 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-469.499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-469.194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911" w:rsidRPr="00C322C0" w:rsidRDefault="00820911" w:rsidP="00D9792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322C0">
              <w:rPr>
                <w:rFonts w:cstheme="minorHAnsi"/>
                <w:sz w:val="20"/>
                <w:szCs w:val="20"/>
              </w:rPr>
              <w:t>-462.807</w:t>
            </w:r>
          </w:p>
        </w:tc>
      </w:tr>
      <w:tr w:rsidR="000923F1" w:rsidRPr="00C322C0" w:rsidTr="000923F1">
        <w:trPr>
          <w:gridAfter w:val="1"/>
          <w:wAfter w:w="2579" w:type="dxa"/>
          <w:trHeight w:val="525"/>
        </w:trPr>
        <w:tc>
          <w:tcPr>
            <w:tcW w:w="297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923F1" w:rsidRPr="00C322C0" w:rsidRDefault="000923F1" w:rsidP="000923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322C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VII. Dívida Líquida Governo Federal 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3F1" w:rsidRPr="00C322C0" w:rsidRDefault="000923F1" w:rsidP="000923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2C0">
              <w:rPr>
                <w:rFonts w:cstheme="minorHAnsi"/>
                <w:sz w:val="20"/>
                <w:szCs w:val="20"/>
              </w:rPr>
              <w:t>3.416.998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3F1" w:rsidRPr="00C322C0" w:rsidRDefault="000923F1" w:rsidP="000923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2C0">
              <w:rPr>
                <w:rFonts w:cstheme="minorHAnsi"/>
                <w:sz w:val="20"/>
                <w:szCs w:val="20"/>
              </w:rPr>
              <w:t>3.742.470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923F1" w:rsidRPr="00C322C0" w:rsidRDefault="000923F1" w:rsidP="000923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2C0">
              <w:rPr>
                <w:rFonts w:cstheme="minorHAnsi"/>
                <w:sz w:val="20"/>
                <w:szCs w:val="20"/>
              </w:rPr>
              <w:t>4.062.137</w:t>
            </w:r>
          </w:p>
        </w:tc>
      </w:tr>
      <w:tr w:rsidR="00E61698" w:rsidRPr="00C322C0" w:rsidTr="00820911">
        <w:trPr>
          <w:trHeight w:val="315"/>
        </w:trPr>
        <w:tc>
          <w:tcPr>
            <w:tcW w:w="11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F5" w:rsidRPr="00C322C0" w:rsidRDefault="00F54EF5" w:rsidP="008C46B6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5C029A" w:rsidRPr="00C322C0" w:rsidRDefault="005C029A" w:rsidP="008C46B6">
      <w:pPr>
        <w:jc w:val="both"/>
        <w:rPr>
          <w:rFonts w:cstheme="minorHAnsi"/>
          <w:bCs/>
          <w:color w:val="FF0000"/>
          <w:sz w:val="24"/>
          <w:szCs w:val="24"/>
        </w:rPr>
      </w:pPr>
    </w:p>
    <w:sectPr w:rsidR="005C029A" w:rsidRPr="00C322C0" w:rsidSect="0045559B"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40" w:rsidRDefault="004C2C40" w:rsidP="008B25D1">
      <w:pPr>
        <w:spacing w:after="0" w:line="240" w:lineRule="auto"/>
      </w:pPr>
      <w:r>
        <w:separator/>
      </w:r>
    </w:p>
  </w:endnote>
  <w:endnote w:type="continuationSeparator" w:id="0">
    <w:p w:rsidR="004C2C40" w:rsidRDefault="004C2C40" w:rsidP="008B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40" w:rsidRDefault="004C2C40" w:rsidP="008B25D1">
      <w:pPr>
        <w:spacing w:after="0" w:line="240" w:lineRule="auto"/>
      </w:pPr>
      <w:r>
        <w:separator/>
      </w:r>
    </w:p>
  </w:footnote>
  <w:footnote w:type="continuationSeparator" w:id="0">
    <w:p w:rsidR="004C2C40" w:rsidRDefault="004C2C40" w:rsidP="008B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C7"/>
    <w:multiLevelType w:val="hybridMultilevel"/>
    <w:tmpl w:val="CFC8E982"/>
    <w:lvl w:ilvl="0" w:tplc="DCB46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21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4A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4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ED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CF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0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B8238D"/>
    <w:multiLevelType w:val="hybridMultilevel"/>
    <w:tmpl w:val="0D34D6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4D3E"/>
    <w:multiLevelType w:val="hybridMultilevel"/>
    <w:tmpl w:val="BF3005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2DD9"/>
    <w:multiLevelType w:val="hybridMultilevel"/>
    <w:tmpl w:val="CB7AAE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92B85"/>
    <w:multiLevelType w:val="hybridMultilevel"/>
    <w:tmpl w:val="7754514A"/>
    <w:lvl w:ilvl="0" w:tplc="09AA32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380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562C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FFEFD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EEC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8280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340A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EA8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0C3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34026B63"/>
    <w:multiLevelType w:val="hybridMultilevel"/>
    <w:tmpl w:val="AE580A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E0C12"/>
    <w:multiLevelType w:val="hybridMultilevel"/>
    <w:tmpl w:val="C6FE7CF6"/>
    <w:lvl w:ilvl="0" w:tplc="C9DC8A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35158"/>
    <w:multiLevelType w:val="hybridMultilevel"/>
    <w:tmpl w:val="D71E2DB2"/>
    <w:lvl w:ilvl="0" w:tplc="1E98192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822CE"/>
    <w:multiLevelType w:val="hybridMultilevel"/>
    <w:tmpl w:val="7A30E8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11B69"/>
    <w:multiLevelType w:val="hybridMultilevel"/>
    <w:tmpl w:val="236A06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13"/>
    <w:rsid w:val="00002901"/>
    <w:rsid w:val="00010005"/>
    <w:rsid w:val="0001356E"/>
    <w:rsid w:val="00017B32"/>
    <w:rsid w:val="00020785"/>
    <w:rsid w:val="000239B6"/>
    <w:rsid w:val="00023ED9"/>
    <w:rsid w:val="00026A35"/>
    <w:rsid w:val="0003283C"/>
    <w:rsid w:val="00032EF8"/>
    <w:rsid w:val="00046C0B"/>
    <w:rsid w:val="00046CB5"/>
    <w:rsid w:val="00047904"/>
    <w:rsid w:val="00047CAE"/>
    <w:rsid w:val="00050A8E"/>
    <w:rsid w:val="00050AC3"/>
    <w:rsid w:val="00051B34"/>
    <w:rsid w:val="00053612"/>
    <w:rsid w:val="00055FAB"/>
    <w:rsid w:val="00061DA4"/>
    <w:rsid w:val="00070090"/>
    <w:rsid w:val="000815E6"/>
    <w:rsid w:val="0008216A"/>
    <w:rsid w:val="000827B2"/>
    <w:rsid w:val="00082B4F"/>
    <w:rsid w:val="000877F8"/>
    <w:rsid w:val="00087A93"/>
    <w:rsid w:val="000905D1"/>
    <w:rsid w:val="00090CF1"/>
    <w:rsid w:val="000923F1"/>
    <w:rsid w:val="00093275"/>
    <w:rsid w:val="00093952"/>
    <w:rsid w:val="00094855"/>
    <w:rsid w:val="000A2412"/>
    <w:rsid w:val="000A70C4"/>
    <w:rsid w:val="000B25A5"/>
    <w:rsid w:val="000B6046"/>
    <w:rsid w:val="000B6A25"/>
    <w:rsid w:val="000B7096"/>
    <w:rsid w:val="000C0CCB"/>
    <w:rsid w:val="000C1C31"/>
    <w:rsid w:val="000C5772"/>
    <w:rsid w:val="000C673A"/>
    <w:rsid w:val="000C7AF0"/>
    <w:rsid w:val="000D1220"/>
    <w:rsid w:val="000D141C"/>
    <w:rsid w:val="000D1C42"/>
    <w:rsid w:val="000D1F76"/>
    <w:rsid w:val="000D2ED2"/>
    <w:rsid w:val="000D5369"/>
    <w:rsid w:val="000E0C71"/>
    <w:rsid w:val="000E439D"/>
    <w:rsid w:val="000E644C"/>
    <w:rsid w:val="000E68EA"/>
    <w:rsid w:val="000F267B"/>
    <w:rsid w:val="000F485B"/>
    <w:rsid w:val="000F6C1E"/>
    <w:rsid w:val="001058FB"/>
    <w:rsid w:val="001067ED"/>
    <w:rsid w:val="001068D4"/>
    <w:rsid w:val="0011409F"/>
    <w:rsid w:val="00115124"/>
    <w:rsid w:val="00121F99"/>
    <w:rsid w:val="00123576"/>
    <w:rsid w:val="0012613A"/>
    <w:rsid w:val="001307BF"/>
    <w:rsid w:val="00130B8E"/>
    <w:rsid w:val="001315A5"/>
    <w:rsid w:val="00131AB3"/>
    <w:rsid w:val="001327B7"/>
    <w:rsid w:val="00132E0D"/>
    <w:rsid w:val="00134ECD"/>
    <w:rsid w:val="00140721"/>
    <w:rsid w:val="001421D3"/>
    <w:rsid w:val="0014378D"/>
    <w:rsid w:val="00150B05"/>
    <w:rsid w:val="00151A43"/>
    <w:rsid w:val="00152081"/>
    <w:rsid w:val="001531E3"/>
    <w:rsid w:val="001545B7"/>
    <w:rsid w:val="00156571"/>
    <w:rsid w:val="00156A34"/>
    <w:rsid w:val="00156D36"/>
    <w:rsid w:val="001625D8"/>
    <w:rsid w:val="00166893"/>
    <w:rsid w:val="00166C6D"/>
    <w:rsid w:val="00171161"/>
    <w:rsid w:val="00171E45"/>
    <w:rsid w:val="00176F3F"/>
    <w:rsid w:val="00180598"/>
    <w:rsid w:val="001813D3"/>
    <w:rsid w:val="0018297F"/>
    <w:rsid w:val="001835CF"/>
    <w:rsid w:val="00184B74"/>
    <w:rsid w:val="00184C14"/>
    <w:rsid w:val="0018566B"/>
    <w:rsid w:val="00190181"/>
    <w:rsid w:val="00194074"/>
    <w:rsid w:val="0019681F"/>
    <w:rsid w:val="001A3326"/>
    <w:rsid w:val="001A5853"/>
    <w:rsid w:val="001B0D31"/>
    <w:rsid w:val="001B47D1"/>
    <w:rsid w:val="001B48BA"/>
    <w:rsid w:val="001B5AF5"/>
    <w:rsid w:val="001B6801"/>
    <w:rsid w:val="001B7C69"/>
    <w:rsid w:val="001C0FAC"/>
    <w:rsid w:val="001C522B"/>
    <w:rsid w:val="001C71B6"/>
    <w:rsid w:val="001C728B"/>
    <w:rsid w:val="001D43F5"/>
    <w:rsid w:val="001D6611"/>
    <w:rsid w:val="001E338E"/>
    <w:rsid w:val="001E3470"/>
    <w:rsid w:val="001F31E0"/>
    <w:rsid w:val="001F6D69"/>
    <w:rsid w:val="002019A2"/>
    <w:rsid w:val="002035BE"/>
    <w:rsid w:val="002066C3"/>
    <w:rsid w:val="002113C1"/>
    <w:rsid w:val="002131DE"/>
    <w:rsid w:val="00213355"/>
    <w:rsid w:val="002205A2"/>
    <w:rsid w:val="00221B0A"/>
    <w:rsid w:val="00223A13"/>
    <w:rsid w:val="00223FEA"/>
    <w:rsid w:val="00224111"/>
    <w:rsid w:val="00224383"/>
    <w:rsid w:val="00224D90"/>
    <w:rsid w:val="00225141"/>
    <w:rsid w:val="00230D1A"/>
    <w:rsid w:val="002364F6"/>
    <w:rsid w:val="00237E1D"/>
    <w:rsid w:val="00237FAA"/>
    <w:rsid w:val="00242838"/>
    <w:rsid w:val="0024514C"/>
    <w:rsid w:val="00245175"/>
    <w:rsid w:val="00246C6D"/>
    <w:rsid w:val="00246FC8"/>
    <w:rsid w:val="00251D47"/>
    <w:rsid w:val="0025314E"/>
    <w:rsid w:val="00260448"/>
    <w:rsid w:val="002604F0"/>
    <w:rsid w:val="00261544"/>
    <w:rsid w:val="00261589"/>
    <w:rsid w:val="00261DC0"/>
    <w:rsid w:val="002620BF"/>
    <w:rsid w:val="00267236"/>
    <w:rsid w:val="00272153"/>
    <w:rsid w:val="002738D3"/>
    <w:rsid w:val="00273A75"/>
    <w:rsid w:val="00275AD8"/>
    <w:rsid w:val="00276D11"/>
    <w:rsid w:val="002806EC"/>
    <w:rsid w:val="002811E2"/>
    <w:rsid w:val="00283048"/>
    <w:rsid w:val="00284E49"/>
    <w:rsid w:val="00285B3D"/>
    <w:rsid w:val="002905CA"/>
    <w:rsid w:val="00291AE1"/>
    <w:rsid w:val="00293BE3"/>
    <w:rsid w:val="00296F4C"/>
    <w:rsid w:val="002A0DA7"/>
    <w:rsid w:val="002A3E48"/>
    <w:rsid w:val="002B0495"/>
    <w:rsid w:val="002B51EB"/>
    <w:rsid w:val="002C388C"/>
    <w:rsid w:val="002C6186"/>
    <w:rsid w:val="002C67C7"/>
    <w:rsid w:val="002D40A9"/>
    <w:rsid w:val="002E1C3E"/>
    <w:rsid w:val="002F0838"/>
    <w:rsid w:val="002F13A1"/>
    <w:rsid w:val="002F2549"/>
    <w:rsid w:val="002F3A2B"/>
    <w:rsid w:val="002F40A9"/>
    <w:rsid w:val="002F4149"/>
    <w:rsid w:val="002F4ED2"/>
    <w:rsid w:val="002F67BA"/>
    <w:rsid w:val="002F74BD"/>
    <w:rsid w:val="002F7E6E"/>
    <w:rsid w:val="0030156D"/>
    <w:rsid w:val="003036BC"/>
    <w:rsid w:val="00304C70"/>
    <w:rsid w:val="003079DB"/>
    <w:rsid w:val="00312939"/>
    <w:rsid w:val="00313978"/>
    <w:rsid w:val="003153E3"/>
    <w:rsid w:val="003176DD"/>
    <w:rsid w:val="0032112B"/>
    <w:rsid w:val="00321455"/>
    <w:rsid w:val="00322436"/>
    <w:rsid w:val="00322FA7"/>
    <w:rsid w:val="00324762"/>
    <w:rsid w:val="00324BD4"/>
    <w:rsid w:val="0032595F"/>
    <w:rsid w:val="00333031"/>
    <w:rsid w:val="0033303E"/>
    <w:rsid w:val="00333E88"/>
    <w:rsid w:val="0033426D"/>
    <w:rsid w:val="003343D6"/>
    <w:rsid w:val="00334C0A"/>
    <w:rsid w:val="00344833"/>
    <w:rsid w:val="00345E7F"/>
    <w:rsid w:val="0035303C"/>
    <w:rsid w:val="00353A29"/>
    <w:rsid w:val="00355036"/>
    <w:rsid w:val="0035768E"/>
    <w:rsid w:val="00357FDD"/>
    <w:rsid w:val="00361971"/>
    <w:rsid w:val="003640F7"/>
    <w:rsid w:val="0036495E"/>
    <w:rsid w:val="0036538C"/>
    <w:rsid w:val="00366CF9"/>
    <w:rsid w:val="00367F50"/>
    <w:rsid w:val="00374C99"/>
    <w:rsid w:val="0037649E"/>
    <w:rsid w:val="00380CC7"/>
    <w:rsid w:val="00382EAD"/>
    <w:rsid w:val="003830BB"/>
    <w:rsid w:val="00383DE6"/>
    <w:rsid w:val="00391987"/>
    <w:rsid w:val="00394173"/>
    <w:rsid w:val="0039607A"/>
    <w:rsid w:val="003A0052"/>
    <w:rsid w:val="003A0D94"/>
    <w:rsid w:val="003A5500"/>
    <w:rsid w:val="003A77F4"/>
    <w:rsid w:val="003C001A"/>
    <w:rsid w:val="003C26DD"/>
    <w:rsid w:val="003C297C"/>
    <w:rsid w:val="003C34F1"/>
    <w:rsid w:val="003C6217"/>
    <w:rsid w:val="003D178B"/>
    <w:rsid w:val="003D1F10"/>
    <w:rsid w:val="003D38B7"/>
    <w:rsid w:val="003D75E1"/>
    <w:rsid w:val="003D7CF0"/>
    <w:rsid w:val="003E176E"/>
    <w:rsid w:val="003E3B33"/>
    <w:rsid w:val="003F0A7E"/>
    <w:rsid w:val="003F18EA"/>
    <w:rsid w:val="003F6CAA"/>
    <w:rsid w:val="00401847"/>
    <w:rsid w:val="00406411"/>
    <w:rsid w:val="00410ADA"/>
    <w:rsid w:val="004130D9"/>
    <w:rsid w:val="00415070"/>
    <w:rsid w:val="00415715"/>
    <w:rsid w:val="004165E4"/>
    <w:rsid w:val="00420119"/>
    <w:rsid w:val="004272C1"/>
    <w:rsid w:val="004273B4"/>
    <w:rsid w:val="0043118C"/>
    <w:rsid w:val="004311F2"/>
    <w:rsid w:val="00432460"/>
    <w:rsid w:val="0043590C"/>
    <w:rsid w:val="00435B54"/>
    <w:rsid w:val="00436ADE"/>
    <w:rsid w:val="0044006C"/>
    <w:rsid w:val="00440439"/>
    <w:rsid w:val="00441A39"/>
    <w:rsid w:val="00442496"/>
    <w:rsid w:val="00452A68"/>
    <w:rsid w:val="00454E9F"/>
    <w:rsid w:val="0045559B"/>
    <w:rsid w:val="00456A0E"/>
    <w:rsid w:val="00461B6A"/>
    <w:rsid w:val="00461BD9"/>
    <w:rsid w:val="00464F43"/>
    <w:rsid w:val="00466386"/>
    <w:rsid w:val="00466F73"/>
    <w:rsid w:val="004762F8"/>
    <w:rsid w:val="00481299"/>
    <w:rsid w:val="004837FB"/>
    <w:rsid w:val="0048563A"/>
    <w:rsid w:val="004905AE"/>
    <w:rsid w:val="0049163D"/>
    <w:rsid w:val="00495F7D"/>
    <w:rsid w:val="00496864"/>
    <w:rsid w:val="00496E4B"/>
    <w:rsid w:val="004A0111"/>
    <w:rsid w:val="004A2211"/>
    <w:rsid w:val="004A2B80"/>
    <w:rsid w:val="004A52F0"/>
    <w:rsid w:val="004B03C9"/>
    <w:rsid w:val="004B2946"/>
    <w:rsid w:val="004B41F0"/>
    <w:rsid w:val="004B6BFD"/>
    <w:rsid w:val="004C2A71"/>
    <w:rsid w:val="004C2C40"/>
    <w:rsid w:val="004C376C"/>
    <w:rsid w:val="004C5090"/>
    <w:rsid w:val="004C6CE5"/>
    <w:rsid w:val="004D0790"/>
    <w:rsid w:val="004D20E3"/>
    <w:rsid w:val="004D52B2"/>
    <w:rsid w:val="004E37D9"/>
    <w:rsid w:val="004E6B30"/>
    <w:rsid w:val="004F28D1"/>
    <w:rsid w:val="004F2AE9"/>
    <w:rsid w:val="004F413C"/>
    <w:rsid w:val="004F4699"/>
    <w:rsid w:val="004F7079"/>
    <w:rsid w:val="004F73B4"/>
    <w:rsid w:val="00500356"/>
    <w:rsid w:val="00501635"/>
    <w:rsid w:val="00501FD7"/>
    <w:rsid w:val="005041BE"/>
    <w:rsid w:val="005059E2"/>
    <w:rsid w:val="00505A54"/>
    <w:rsid w:val="005121D4"/>
    <w:rsid w:val="00514C73"/>
    <w:rsid w:val="00516AFB"/>
    <w:rsid w:val="0051756C"/>
    <w:rsid w:val="00521EE1"/>
    <w:rsid w:val="00523DE3"/>
    <w:rsid w:val="00525091"/>
    <w:rsid w:val="0052662C"/>
    <w:rsid w:val="00526CAA"/>
    <w:rsid w:val="00530BCB"/>
    <w:rsid w:val="00533188"/>
    <w:rsid w:val="005346BD"/>
    <w:rsid w:val="00535448"/>
    <w:rsid w:val="00537D98"/>
    <w:rsid w:val="00541779"/>
    <w:rsid w:val="00545472"/>
    <w:rsid w:val="00546DBB"/>
    <w:rsid w:val="005509A1"/>
    <w:rsid w:val="0055355C"/>
    <w:rsid w:val="005538BE"/>
    <w:rsid w:val="00555B69"/>
    <w:rsid w:val="00557D6C"/>
    <w:rsid w:val="00561D9C"/>
    <w:rsid w:val="00573268"/>
    <w:rsid w:val="0057489B"/>
    <w:rsid w:val="005753FF"/>
    <w:rsid w:val="00577437"/>
    <w:rsid w:val="0058011D"/>
    <w:rsid w:val="00580541"/>
    <w:rsid w:val="00585A0F"/>
    <w:rsid w:val="00593C8A"/>
    <w:rsid w:val="00593E9D"/>
    <w:rsid w:val="005967BD"/>
    <w:rsid w:val="0059785E"/>
    <w:rsid w:val="005A5A50"/>
    <w:rsid w:val="005B2E77"/>
    <w:rsid w:val="005B4B18"/>
    <w:rsid w:val="005B6D18"/>
    <w:rsid w:val="005C0077"/>
    <w:rsid w:val="005C029A"/>
    <w:rsid w:val="005C359D"/>
    <w:rsid w:val="005C3A8B"/>
    <w:rsid w:val="005C50AC"/>
    <w:rsid w:val="005C7D94"/>
    <w:rsid w:val="005D00ED"/>
    <w:rsid w:val="005D17C0"/>
    <w:rsid w:val="005D6E67"/>
    <w:rsid w:val="005D6EFF"/>
    <w:rsid w:val="005E19DD"/>
    <w:rsid w:val="005E243E"/>
    <w:rsid w:val="005E3486"/>
    <w:rsid w:val="005E4FEF"/>
    <w:rsid w:val="005E63C5"/>
    <w:rsid w:val="005E6A85"/>
    <w:rsid w:val="005E79F2"/>
    <w:rsid w:val="005F07AB"/>
    <w:rsid w:val="005F7152"/>
    <w:rsid w:val="005F7E34"/>
    <w:rsid w:val="005F7E6A"/>
    <w:rsid w:val="0060068E"/>
    <w:rsid w:val="00605841"/>
    <w:rsid w:val="00605C93"/>
    <w:rsid w:val="006064F4"/>
    <w:rsid w:val="00613605"/>
    <w:rsid w:val="0061650C"/>
    <w:rsid w:val="00616816"/>
    <w:rsid w:val="006201C3"/>
    <w:rsid w:val="00620887"/>
    <w:rsid w:val="00622E8A"/>
    <w:rsid w:val="00624516"/>
    <w:rsid w:val="006248B5"/>
    <w:rsid w:val="00627020"/>
    <w:rsid w:val="00631CE3"/>
    <w:rsid w:val="00634C49"/>
    <w:rsid w:val="0063610E"/>
    <w:rsid w:val="00637796"/>
    <w:rsid w:val="00637D81"/>
    <w:rsid w:val="006402D0"/>
    <w:rsid w:val="006403F1"/>
    <w:rsid w:val="006418CA"/>
    <w:rsid w:val="0064301E"/>
    <w:rsid w:val="006507E4"/>
    <w:rsid w:val="00652C41"/>
    <w:rsid w:val="006559B6"/>
    <w:rsid w:val="006559CF"/>
    <w:rsid w:val="00656B9B"/>
    <w:rsid w:val="00657B8C"/>
    <w:rsid w:val="0066067D"/>
    <w:rsid w:val="0067010E"/>
    <w:rsid w:val="00673D18"/>
    <w:rsid w:val="00673EA0"/>
    <w:rsid w:val="0067683D"/>
    <w:rsid w:val="00677BAF"/>
    <w:rsid w:val="00680D09"/>
    <w:rsid w:val="006811E2"/>
    <w:rsid w:val="00681C1B"/>
    <w:rsid w:val="00682268"/>
    <w:rsid w:val="00682905"/>
    <w:rsid w:val="00682957"/>
    <w:rsid w:val="00683452"/>
    <w:rsid w:val="0068609D"/>
    <w:rsid w:val="006879FA"/>
    <w:rsid w:val="00687D7B"/>
    <w:rsid w:val="00690E02"/>
    <w:rsid w:val="00695A57"/>
    <w:rsid w:val="006A0B99"/>
    <w:rsid w:val="006A1BE1"/>
    <w:rsid w:val="006A390D"/>
    <w:rsid w:val="006A57D5"/>
    <w:rsid w:val="006B57EF"/>
    <w:rsid w:val="006B5DE0"/>
    <w:rsid w:val="006B67D0"/>
    <w:rsid w:val="006C55DB"/>
    <w:rsid w:val="006C73C6"/>
    <w:rsid w:val="006C7AA3"/>
    <w:rsid w:val="006C7AF3"/>
    <w:rsid w:val="006C7BFF"/>
    <w:rsid w:val="006D045B"/>
    <w:rsid w:val="006D069C"/>
    <w:rsid w:val="006D0F16"/>
    <w:rsid w:val="006D1A6B"/>
    <w:rsid w:val="006D2382"/>
    <w:rsid w:val="006D318E"/>
    <w:rsid w:val="006D3822"/>
    <w:rsid w:val="006D5BA9"/>
    <w:rsid w:val="006E77CA"/>
    <w:rsid w:val="006F0ABD"/>
    <w:rsid w:val="006F0D75"/>
    <w:rsid w:val="006F0E74"/>
    <w:rsid w:val="006F24DB"/>
    <w:rsid w:val="006F275E"/>
    <w:rsid w:val="006F3286"/>
    <w:rsid w:val="006F48DA"/>
    <w:rsid w:val="006F62E9"/>
    <w:rsid w:val="00700F14"/>
    <w:rsid w:val="00704143"/>
    <w:rsid w:val="00705B1F"/>
    <w:rsid w:val="00705FE2"/>
    <w:rsid w:val="0071112D"/>
    <w:rsid w:val="007117F7"/>
    <w:rsid w:val="007121DF"/>
    <w:rsid w:val="00713AD6"/>
    <w:rsid w:val="007145A3"/>
    <w:rsid w:val="0071525B"/>
    <w:rsid w:val="00716E9C"/>
    <w:rsid w:val="00722A00"/>
    <w:rsid w:val="00724729"/>
    <w:rsid w:val="0073088C"/>
    <w:rsid w:val="0073464A"/>
    <w:rsid w:val="00740173"/>
    <w:rsid w:val="00744C7B"/>
    <w:rsid w:val="0074681C"/>
    <w:rsid w:val="00750653"/>
    <w:rsid w:val="00750AD8"/>
    <w:rsid w:val="00753EFF"/>
    <w:rsid w:val="00754E83"/>
    <w:rsid w:val="00755B81"/>
    <w:rsid w:val="00756C21"/>
    <w:rsid w:val="0076004B"/>
    <w:rsid w:val="00761F6D"/>
    <w:rsid w:val="007627C4"/>
    <w:rsid w:val="007642F9"/>
    <w:rsid w:val="00766773"/>
    <w:rsid w:val="007841A1"/>
    <w:rsid w:val="00784D94"/>
    <w:rsid w:val="00787C63"/>
    <w:rsid w:val="0079129A"/>
    <w:rsid w:val="00794625"/>
    <w:rsid w:val="00797E07"/>
    <w:rsid w:val="007A1792"/>
    <w:rsid w:val="007A3A30"/>
    <w:rsid w:val="007B11BC"/>
    <w:rsid w:val="007B16A2"/>
    <w:rsid w:val="007B2CBB"/>
    <w:rsid w:val="007B345C"/>
    <w:rsid w:val="007B4372"/>
    <w:rsid w:val="007B7A4B"/>
    <w:rsid w:val="007C0FF8"/>
    <w:rsid w:val="007C46A5"/>
    <w:rsid w:val="007C7839"/>
    <w:rsid w:val="007C7B5A"/>
    <w:rsid w:val="007D2012"/>
    <w:rsid w:val="007D2B29"/>
    <w:rsid w:val="007D4C00"/>
    <w:rsid w:val="007E1106"/>
    <w:rsid w:val="007E43F3"/>
    <w:rsid w:val="007E4F59"/>
    <w:rsid w:val="007F03A0"/>
    <w:rsid w:val="007F0BCE"/>
    <w:rsid w:val="007F1301"/>
    <w:rsid w:val="007F1738"/>
    <w:rsid w:val="007F1C07"/>
    <w:rsid w:val="007F75FD"/>
    <w:rsid w:val="00800011"/>
    <w:rsid w:val="0080003C"/>
    <w:rsid w:val="008001D3"/>
    <w:rsid w:val="00801F8B"/>
    <w:rsid w:val="00803F77"/>
    <w:rsid w:val="008049F5"/>
    <w:rsid w:val="008050DD"/>
    <w:rsid w:val="00807447"/>
    <w:rsid w:val="0080745C"/>
    <w:rsid w:val="00811EBC"/>
    <w:rsid w:val="008137BC"/>
    <w:rsid w:val="00813F9A"/>
    <w:rsid w:val="00816074"/>
    <w:rsid w:val="00820911"/>
    <w:rsid w:val="00820B59"/>
    <w:rsid w:val="0082499D"/>
    <w:rsid w:val="00825262"/>
    <w:rsid w:val="00826B7C"/>
    <w:rsid w:val="00834024"/>
    <w:rsid w:val="00840F26"/>
    <w:rsid w:val="00845495"/>
    <w:rsid w:val="00845C70"/>
    <w:rsid w:val="00850631"/>
    <w:rsid w:val="00850875"/>
    <w:rsid w:val="00851503"/>
    <w:rsid w:val="00852978"/>
    <w:rsid w:val="00860AE9"/>
    <w:rsid w:val="00861543"/>
    <w:rsid w:val="00863BF6"/>
    <w:rsid w:val="00864F77"/>
    <w:rsid w:val="00867226"/>
    <w:rsid w:val="00871899"/>
    <w:rsid w:val="00873C30"/>
    <w:rsid w:val="00880C2F"/>
    <w:rsid w:val="00882700"/>
    <w:rsid w:val="00882E81"/>
    <w:rsid w:val="00883B6A"/>
    <w:rsid w:val="00884977"/>
    <w:rsid w:val="00891D72"/>
    <w:rsid w:val="00891FD3"/>
    <w:rsid w:val="00892A4C"/>
    <w:rsid w:val="00892B8E"/>
    <w:rsid w:val="00892E1C"/>
    <w:rsid w:val="00894A6F"/>
    <w:rsid w:val="008A1D93"/>
    <w:rsid w:val="008B25D1"/>
    <w:rsid w:val="008B3AFE"/>
    <w:rsid w:val="008B61B0"/>
    <w:rsid w:val="008C051D"/>
    <w:rsid w:val="008C32C7"/>
    <w:rsid w:val="008C35D2"/>
    <w:rsid w:val="008C46B6"/>
    <w:rsid w:val="008D332A"/>
    <w:rsid w:val="008D5F64"/>
    <w:rsid w:val="008D63BF"/>
    <w:rsid w:val="008D7893"/>
    <w:rsid w:val="008D7D34"/>
    <w:rsid w:val="008E2857"/>
    <w:rsid w:val="008E33A7"/>
    <w:rsid w:val="008E675B"/>
    <w:rsid w:val="008E75AA"/>
    <w:rsid w:val="008E75E9"/>
    <w:rsid w:val="008F0847"/>
    <w:rsid w:val="008F547F"/>
    <w:rsid w:val="008F607D"/>
    <w:rsid w:val="008F7F07"/>
    <w:rsid w:val="00900C01"/>
    <w:rsid w:val="0090384D"/>
    <w:rsid w:val="00903882"/>
    <w:rsid w:val="0090682E"/>
    <w:rsid w:val="009068BC"/>
    <w:rsid w:val="00906D73"/>
    <w:rsid w:val="0091068A"/>
    <w:rsid w:val="00910D85"/>
    <w:rsid w:val="009115FF"/>
    <w:rsid w:val="00915AF7"/>
    <w:rsid w:val="009175A7"/>
    <w:rsid w:val="0092283D"/>
    <w:rsid w:val="00922AB3"/>
    <w:rsid w:val="0092539A"/>
    <w:rsid w:val="00931AC7"/>
    <w:rsid w:val="00933954"/>
    <w:rsid w:val="0093453F"/>
    <w:rsid w:val="009348D5"/>
    <w:rsid w:val="0093527F"/>
    <w:rsid w:val="0093627B"/>
    <w:rsid w:val="00936881"/>
    <w:rsid w:val="00942D91"/>
    <w:rsid w:val="00946804"/>
    <w:rsid w:val="00947A84"/>
    <w:rsid w:val="00950DDF"/>
    <w:rsid w:val="00952C0F"/>
    <w:rsid w:val="00954033"/>
    <w:rsid w:val="00954BE0"/>
    <w:rsid w:val="00963CFF"/>
    <w:rsid w:val="00964EE4"/>
    <w:rsid w:val="00967E07"/>
    <w:rsid w:val="00971C79"/>
    <w:rsid w:val="00973D30"/>
    <w:rsid w:val="00973DC4"/>
    <w:rsid w:val="0097622E"/>
    <w:rsid w:val="009762AA"/>
    <w:rsid w:val="009839A7"/>
    <w:rsid w:val="00983F7D"/>
    <w:rsid w:val="00984C19"/>
    <w:rsid w:val="00984C9C"/>
    <w:rsid w:val="0099261D"/>
    <w:rsid w:val="00996184"/>
    <w:rsid w:val="00997579"/>
    <w:rsid w:val="009A4360"/>
    <w:rsid w:val="009A78ED"/>
    <w:rsid w:val="009B2151"/>
    <w:rsid w:val="009B4DCF"/>
    <w:rsid w:val="009C0F4E"/>
    <w:rsid w:val="009C1D00"/>
    <w:rsid w:val="009C38EF"/>
    <w:rsid w:val="009C4CAF"/>
    <w:rsid w:val="009C7F0B"/>
    <w:rsid w:val="009D0A09"/>
    <w:rsid w:val="009D2611"/>
    <w:rsid w:val="009D3114"/>
    <w:rsid w:val="009D5E9C"/>
    <w:rsid w:val="009E394E"/>
    <w:rsid w:val="009E719F"/>
    <w:rsid w:val="009F02DB"/>
    <w:rsid w:val="009F2222"/>
    <w:rsid w:val="009F48BE"/>
    <w:rsid w:val="009F670D"/>
    <w:rsid w:val="009F7CA0"/>
    <w:rsid w:val="00A006C4"/>
    <w:rsid w:val="00A05503"/>
    <w:rsid w:val="00A075BC"/>
    <w:rsid w:val="00A07A1C"/>
    <w:rsid w:val="00A110A4"/>
    <w:rsid w:val="00A11E64"/>
    <w:rsid w:val="00A14015"/>
    <w:rsid w:val="00A14B14"/>
    <w:rsid w:val="00A14C9B"/>
    <w:rsid w:val="00A17032"/>
    <w:rsid w:val="00A200FB"/>
    <w:rsid w:val="00A23C04"/>
    <w:rsid w:val="00A24429"/>
    <w:rsid w:val="00A2577E"/>
    <w:rsid w:val="00A261EF"/>
    <w:rsid w:val="00A271F8"/>
    <w:rsid w:val="00A27477"/>
    <w:rsid w:val="00A32CC8"/>
    <w:rsid w:val="00A33180"/>
    <w:rsid w:val="00A37091"/>
    <w:rsid w:val="00A4171F"/>
    <w:rsid w:val="00A41D57"/>
    <w:rsid w:val="00A423E1"/>
    <w:rsid w:val="00A43243"/>
    <w:rsid w:val="00A43ECB"/>
    <w:rsid w:val="00A46CCA"/>
    <w:rsid w:val="00A52091"/>
    <w:rsid w:val="00A5315E"/>
    <w:rsid w:val="00A55580"/>
    <w:rsid w:val="00A60AAD"/>
    <w:rsid w:val="00A61C27"/>
    <w:rsid w:val="00A63C40"/>
    <w:rsid w:val="00A66640"/>
    <w:rsid w:val="00A66827"/>
    <w:rsid w:val="00A66F8F"/>
    <w:rsid w:val="00A671B9"/>
    <w:rsid w:val="00A7378F"/>
    <w:rsid w:val="00A83DCE"/>
    <w:rsid w:val="00A86E82"/>
    <w:rsid w:val="00A86F0F"/>
    <w:rsid w:val="00A94F9B"/>
    <w:rsid w:val="00A95AF8"/>
    <w:rsid w:val="00AA4B92"/>
    <w:rsid w:val="00AA4D47"/>
    <w:rsid w:val="00AA66BF"/>
    <w:rsid w:val="00AA6DF5"/>
    <w:rsid w:val="00AA712D"/>
    <w:rsid w:val="00AA77E9"/>
    <w:rsid w:val="00AA7989"/>
    <w:rsid w:val="00AB502A"/>
    <w:rsid w:val="00AB77CB"/>
    <w:rsid w:val="00AB7F25"/>
    <w:rsid w:val="00AC3200"/>
    <w:rsid w:val="00AC691A"/>
    <w:rsid w:val="00AC6B09"/>
    <w:rsid w:val="00AC7762"/>
    <w:rsid w:val="00AD1ECD"/>
    <w:rsid w:val="00AD359F"/>
    <w:rsid w:val="00AD688F"/>
    <w:rsid w:val="00AD6FC0"/>
    <w:rsid w:val="00AD7CDD"/>
    <w:rsid w:val="00AE0367"/>
    <w:rsid w:val="00AE72C9"/>
    <w:rsid w:val="00AE72CD"/>
    <w:rsid w:val="00B03833"/>
    <w:rsid w:val="00B10678"/>
    <w:rsid w:val="00B114EB"/>
    <w:rsid w:val="00B15004"/>
    <w:rsid w:val="00B160BB"/>
    <w:rsid w:val="00B17DC2"/>
    <w:rsid w:val="00B231B8"/>
    <w:rsid w:val="00B263F5"/>
    <w:rsid w:val="00B30643"/>
    <w:rsid w:val="00B31439"/>
    <w:rsid w:val="00B335F8"/>
    <w:rsid w:val="00B40D4F"/>
    <w:rsid w:val="00B429D5"/>
    <w:rsid w:val="00B43FB9"/>
    <w:rsid w:val="00B44BD7"/>
    <w:rsid w:val="00B4550C"/>
    <w:rsid w:val="00B50AFC"/>
    <w:rsid w:val="00B55BEF"/>
    <w:rsid w:val="00B5650F"/>
    <w:rsid w:val="00B56DAF"/>
    <w:rsid w:val="00B571BD"/>
    <w:rsid w:val="00B57486"/>
    <w:rsid w:val="00B60239"/>
    <w:rsid w:val="00B6038F"/>
    <w:rsid w:val="00B60E09"/>
    <w:rsid w:val="00B6125C"/>
    <w:rsid w:val="00B62E72"/>
    <w:rsid w:val="00B6409D"/>
    <w:rsid w:val="00B6412C"/>
    <w:rsid w:val="00B66686"/>
    <w:rsid w:val="00B66977"/>
    <w:rsid w:val="00B678ED"/>
    <w:rsid w:val="00B7198F"/>
    <w:rsid w:val="00B76288"/>
    <w:rsid w:val="00B80E7A"/>
    <w:rsid w:val="00B857B5"/>
    <w:rsid w:val="00B85EB0"/>
    <w:rsid w:val="00BA27BE"/>
    <w:rsid w:val="00BA4317"/>
    <w:rsid w:val="00BA60ED"/>
    <w:rsid w:val="00BB0739"/>
    <w:rsid w:val="00BB1693"/>
    <w:rsid w:val="00BB2948"/>
    <w:rsid w:val="00BB40C5"/>
    <w:rsid w:val="00BC0E17"/>
    <w:rsid w:val="00BC1045"/>
    <w:rsid w:val="00BC6F28"/>
    <w:rsid w:val="00BC708E"/>
    <w:rsid w:val="00BD637C"/>
    <w:rsid w:val="00BD6D97"/>
    <w:rsid w:val="00BE0D93"/>
    <w:rsid w:val="00BE0EE4"/>
    <w:rsid w:val="00BE20A0"/>
    <w:rsid w:val="00BE32C1"/>
    <w:rsid w:val="00BE4110"/>
    <w:rsid w:val="00BE4A5D"/>
    <w:rsid w:val="00BE66E9"/>
    <w:rsid w:val="00C005F2"/>
    <w:rsid w:val="00C006C1"/>
    <w:rsid w:val="00C00F81"/>
    <w:rsid w:val="00C03201"/>
    <w:rsid w:val="00C11029"/>
    <w:rsid w:val="00C11BAE"/>
    <w:rsid w:val="00C13AC7"/>
    <w:rsid w:val="00C13D57"/>
    <w:rsid w:val="00C16E2D"/>
    <w:rsid w:val="00C2164E"/>
    <w:rsid w:val="00C22E4B"/>
    <w:rsid w:val="00C2306C"/>
    <w:rsid w:val="00C243FE"/>
    <w:rsid w:val="00C24B1F"/>
    <w:rsid w:val="00C24DE7"/>
    <w:rsid w:val="00C25EBE"/>
    <w:rsid w:val="00C31812"/>
    <w:rsid w:val="00C31D5B"/>
    <w:rsid w:val="00C322B3"/>
    <w:rsid w:val="00C322C0"/>
    <w:rsid w:val="00C32B42"/>
    <w:rsid w:val="00C34C50"/>
    <w:rsid w:val="00C3531B"/>
    <w:rsid w:val="00C35EB1"/>
    <w:rsid w:val="00C37D5C"/>
    <w:rsid w:val="00C4115D"/>
    <w:rsid w:val="00C41AED"/>
    <w:rsid w:val="00C44C0A"/>
    <w:rsid w:val="00C45DCC"/>
    <w:rsid w:val="00C511DC"/>
    <w:rsid w:val="00C5121A"/>
    <w:rsid w:val="00C52282"/>
    <w:rsid w:val="00C56FE4"/>
    <w:rsid w:val="00C57B43"/>
    <w:rsid w:val="00C61CE4"/>
    <w:rsid w:val="00C71B4C"/>
    <w:rsid w:val="00C903E9"/>
    <w:rsid w:val="00C90D46"/>
    <w:rsid w:val="00C923B1"/>
    <w:rsid w:val="00C94A61"/>
    <w:rsid w:val="00C958FE"/>
    <w:rsid w:val="00C97950"/>
    <w:rsid w:val="00CA102F"/>
    <w:rsid w:val="00CA61C3"/>
    <w:rsid w:val="00CA77DA"/>
    <w:rsid w:val="00CB0BE5"/>
    <w:rsid w:val="00CB3463"/>
    <w:rsid w:val="00CB36F7"/>
    <w:rsid w:val="00CB6EE6"/>
    <w:rsid w:val="00CC060F"/>
    <w:rsid w:val="00CC06A5"/>
    <w:rsid w:val="00CC0F83"/>
    <w:rsid w:val="00CC283A"/>
    <w:rsid w:val="00CC5C0B"/>
    <w:rsid w:val="00CD158F"/>
    <w:rsid w:val="00CD17A2"/>
    <w:rsid w:val="00CD5B67"/>
    <w:rsid w:val="00CE72F5"/>
    <w:rsid w:val="00CF2460"/>
    <w:rsid w:val="00CF3384"/>
    <w:rsid w:val="00D01183"/>
    <w:rsid w:val="00D046E2"/>
    <w:rsid w:val="00D14AEC"/>
    <w:rsid w:val="00D14E52"/>
    <w:rsid w:val="00D17956"/>
    <w:rsid w:val="00D17FA2"/>
    <w:rsid w:val="00D2135B"/>
    <w:rsid w:val="00D25DD7"/>
    <w:rsid w:val="00D26669"/>
    <w:rsid w:val="00D3160B"/>
    <w:rsid w:val="00D31DDA"/>
    <w:rsid w:val="00D32FBD"/>
    <w:rsid w:val="00D34A11"/>
    <w:rsid w:val="00D45C96"/>
    <w:rsid w:val="00D46B1E"/>
    <w:rsid w:val="00D50961"/>
    <w:rsid w:val="00D62712"/>
    <w:rsid w:val="00D64316"/>
    <w:rsid w:val="00D70E4C"/>
    <w:rsid w:val="00D71BA3"/>
    <w:rsid w:val="00D729D9"/>
    <w:rsid w:val="00D815B9"/>
    <w:rsid w:val="00D817CB"/>
    <w:rsid w:val="00D81F3F"/>
    <w:rsid w:val="00D83056"/>
    <w:rsid w:val="00D92CB6"/>
    <w:rsid w:val="00D959A3"/>
    <w:rsid w:val="00D95D71"/>
    <w:rsid w:val="00D979D4"/>
    <w:rsid w:val="00DA04C7"/>
    <w:rsid w:val="00DA052C"/>
    <w:rsid w:val="00DA0C0C"/>
    <w:rsid w:val="00DA2351"/>
    <w:rsid w:val="00DA2C80"/>
    <w:rsid w:val="00DA326A"/>
    <w:rsid w:val="00DA32BF"/>
    <w:rsid w:val="00DB00CE"/>
    <w:rsid w:val="00DB0FD7"/>
    <w:rsid w:val="00DB11EF"/>
    <w:rsid w:val="00DB5342"/>
    <w:rsid w:val="00DB6715"/>
    <w:rsid w:val="00DB6960"/>
    <w:rsid w:val="00DC57EB"/>
    <w:rsid w:val="00DC6353"/>
    <w:rsid w:val="00DD3DBD"/>
    <w:rsid w:val="00DE00DF"/>
    <w:rsid w:val="00DE51EF"/>
    <w:rsid w:val="00DE7FC0"/>
    <w:rsid w:val="00DF0163"/>
    <w:rsid w:val="00DF352B"/>
    <w:rsid w:val="00DF3ADD"/>
    <w:rsid w:val="00DF6335"/>
    <w:rsid w:val="00E00205"/>
    <w:rsid w:val="00E00D71"/>
    <w:rsid w:val="00E025A1"/>
    <w:rsid w:val="00E025BC"/>
    <w:rsid w:val="00E047BF"/>
    <w:rsid w:val="00E05304"/>
    <w:rsid w:val="00E05E47"/>
    <w:rsid w:val="00E07439"/>
    <w:rsid w:val="00E1218F"/>
    <w:rsid w:val="00E13408"/>
    <w:rsid w:val="00E178F2"/>
    <w:rsid w:val="00E20707"/>
    <w:rsid w:val="00E262BB"/>
    <w:rsid w:val="00E30EBD"/>
    <w:rsid w:val="00E33078"/>
    <w:rsid w:val="00E4142B"/>
    <w:rsid w:val="00E5008B"/>
    <w:rsid w:val="00E5210C"/>
    <w:rsid w:val="00E52749"/>
    <w:rsid w:val="00E52CAE"/>
    <w:rsid w:val="00E5416B"/>
    <w:rsid w:val="00E61274"/>
    <w:rsid w:val="00E61698"/>
    <w:rsid w:val="00E62D3F"/>
    <w:rsid w:val="00E630A8"/>
    <w:rsid w:val="00E633BC"/>
    <w:rsid w:val="00E63BCC"/>
    <w:rsid w:val="00E6497F"/>
    <w:rsid w:val="00E66632"/>
    <w:rsid w:val="00E668A6"/>
    <w:rsid w:val="00E70E44"/>
    <w:rsid w:val="00E72D53"/>
    <w:rsid w:val="00E758BC"/>
    <w:rsid w:val="00E7726B"/>
    <w:rsid w:val="00E8001D"/>
    <w:rsid w:val="00E82552"/>
    <w:rsid w:val="00E82FB0"/>
    <w:rsid w:val="00E9341B"/>
    <w:rsid w:val="00E96DFB"/>
    <w:rsid w:val="00EB0541"/>
    <w:rsid w:val="00EB204D"/>
    <w:rsid w:val="00EB5342"/>
    <w:rsid w:val="00EB614E"/>
    <w:rsid w:val="00EC15C2"/>
    <w:rsid w:val="00EC1C08"/>
    <w:rsid w:val="00EC1C45"/>
    <w:rsid w:val="00EC3918"/>
    <w:rsid w:val="00EC44D3"/>
    <w:rsid w:val="00EC79E1"/>
    <w:rsid w:val="00EC7C03"/>
    <w:rsid w:val="00ED279E"/>
    <w:rsid w:val="00ED32B9"/>
    <w:rsid w:val="00ED55DF"/>
    <w:rsid w:val="00ED67E2"/>
    <w:rsid w:val="00ED7D67"/>
    <w:rsid w:val="00EE3778"/>
    <w:rsid w:val="00EE5010"/>
    <w:rsid w:val="00EE5CC5"/>
    <w:rsid w:val="00EE5D8D"/>
    <w:rsid w:val="00EF40A4"/>
    <w:rsid w:val="00F01A1E"/>
    <w:rsid w:val="00F024DB"/>
    <w:rsid w:val="00F03909"/>
    <w:rsid w:val="00F05260"/>
    <w:rsid w:val="00F0667A"/>
    <w:rsid w:val="00F0687B"/>
    <w:rsid w:val="00F11409"/>
    <w:rsid w:val="00F13055"/>
    <w:rsid w:val="00F14C60"/>
    <w:rsid w:val="00F157D1"/>
    <w:rsid w:val="00F15F0F"/>
    <w:rsid w:val="00F17778"/>
    <w:rsid w:val="00F276F5"/>
    <w:rsid w:val="00F30028"/>
    <w:rsid w:val="00F321F2"/>
    <w:rsid w:val="00F35D41"/>
    <w:rsid w:val="00F36989"/>
    <w:rsid w:val="00F4347D"/>
    <w:rsid w:val="00F4434C"/>
    <w:rsid w:val="00F44658"/>
    <w:rsid w:val="00F447E2"/>
    <w:rsid w:val="00F46EFA"/>
    <w:rsid w:val="00F4774C"/>
    <w:rsid w:val="00F47CAB"/>
    <w:rsid w:val="00F51A9B"/>
    <w:rsid w:val="00F53013"/>
    <w:rsid w:val="00F54C6A"/>
    <w:rsid w:val="00F54EF5"/>
    <w:rsid w:val="00F55F41"/>
    <w:rsid w:val="00F56264"/>
    <w:rsid w:val="00F60483"/>
    <w:rsid w:val="00F61BD2"/>
    <w:rsid w:val="00F61C8D"/>
    <w:rsid w:val="00F62854"/>
    <w:rsid w:val="00F63E98"/>
    <w:rsid w:val="00F65692"/>
    <w:rsid w:val="00F71F3D"/>
    <w:rsid w:val="00F732AD"/>
    <w:rsid w:val="00F7481C"/>
    <w:rsid w:val="00F77749"/>
    <w:rsid w:val="00F80B56"/>
    <w:rsid w:val="00F858B6"/>
    <w:rsid w:val="00F94205"/>
    <w:rsid w:val="00F970AF"/>
    <w:rsid w:val="00FA259C"/>
    <w:rsid w:val="00FA4E9A"/>
    <w:rsid w:val="00FA7D8F"/>
    <w:rsid w:val="00FB16C7"/>
    <w:rsid w:val="00FB199B"/>
    <w:rsid w:val="00FB4534"/>
    <w:rsid w:val="00FB776E"/>
    <w:rsid w:val="00FC2290"/>
    <w:rsid w:val="00FC2A27"/>
    <w:rsid w:val="00FC2F35"/>
    <w:rsid w:val="00FC30BF"/>
    <w:rsid w:val="00FC3E49"/>
    <w:rsid w:val="00FC5FBD"/>
    <w:rsid w:val="00FC6252"/>
    <w:rsid w:val="00FD2471"/>
    <w:rsid w:val="00FD6ECE"/>
    <w:rsid w:val="00FE093E"/>
    <w:rsid w:val="00FE0CAD"/>
    <w:rsid w:val="00FE36B2"/>
    <w:rsid w:val="00FE5843"/>
    <w:rsid w:val="00FF0953"/>
    <w:rsid w:val="00FF12A5"/>
    <w:rsid w:val="00FF2078"/>
    <w:rsid w:val="00FF3C64"/>
    <w:rsid w:val="00FF6E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A40FC-13A7-4066-BDAE-AC56DB26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C57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57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57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57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57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E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813F9A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13F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D7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1545B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1545B7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5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5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25D1"/>
    <w:rPr>
      <w:vertAlign w:val="superscript"/>
    </w:rPr>
  </w:style>
  <w:style w:type="paragraph" w:customStyle="1" w:styleId="Default">
    <w:name w:val="Default"/>
    <w:rsid w:val="00705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E6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72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13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D55A2D8054143A1BE5EB6EE74E6E3" ma:contentTypeVersion="13" ma:contentTypeDescription="Crie um novo documento." ma:contentTypeScope="" ma:versionID="fb76fb126e619ce506051b330bb80a1e">
  <xsd:schema xmlns:xsd="http://www.w3.org/2001/XMLSchema" xmlns:xs="http://www.w3.org/2001/XMLSchema" xmlns:p="http://schemas.microsoft.com/office/2006/metadata/properties" xmlns:ns2="4e09d28d-3d83-4aa8-b3e0-7caed01e0baa" xmlns:ns3="3493a934-90ba-4468-9741-6ef2173017f0" targetNamespace="http://schemas.microsoft.com/office/2006/metadata/properties" ma:root="true" ma:fieldsID="7079616e8fcf76933edf6e5e40002ebe" ns2:_="" ns3:_="">
    <xsd:import namespace="4e09d28d-3d83-4aa8-b3e0-7caed01e0baa"/>
    <xsd:import namespace="3493a934-90ba-4468-9741-6ef21730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d28d-3d83-4aa8-b3e0-7caed01e0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a934-90ba-4468-9741-6ef2173017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264718-a381-40cc-8537-b49af6afdc0e}" ma:internalName="TaxCatchAll" ma:showField="CatchAllData" ma:web="3493a934-90ba-4468-9741-6ef21730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13684-45B7-4FCE-B170-C6DDF141E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81677-FCEC-428B-A269-F34133128AF1}"/>
</file>

<file path=customXml/itemProps3.xml><?xml version="1.0" encoding="utf-8"?>
<ds:datastoreItem xmlns:ds="http://schemas.openxmlformats.org/officeDocument/2006/customXml" ds:itemID="{B1C60DD8-DC4A-45D1-B0D8-5689D9334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3867</Words>
  <Characters>20885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Ribeiro Servo</dc:creator>
  <cp:lastModifiedBy>Carolina Magalhães Tenorio Brito</cp:lastModifiedBy>
  <cp:revision>11</cp:revision>
  <cp:lastPrinted>2018-04-06T17:56:00Z</cp:lastPrinted>
  <dcterms:created xsi:type="dcterms:W3CDTF">2018-04-10T22:08:00Z</dcterms:created>
  <dcterms:modified xsi:type="dcterms:W3CDTF">2018-04-11T17:44:00Z</dcterms:modified>
</cp:coreProperties>
</file>