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252"/>
          <w:tab w:val="right" w:leader="none" w:pos="8504"/>
        </w:tabs>
        <w:spacing w:after="0" w:line="240" w:lineRule="auto"/>
        <w:rPr>
          <w:b w:val="1"/>
        </w:rPr>
      </w:pPr>
      <w:r w:rsidDel="00000000" w:rsidR="00000000" w:rsidRPr="00000000">
        <w:rPr/>
        <w:drawing>
          <wp:inline distB="0" distT="0" distL="0" distR="0">
            <wp:extent cx="929886" cy="831533"/>
            <wp:effectExtent b="0" l="0" r="0" t="0"/>
            <wp:docPr id="2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9886" cy="8315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3391853" cy="695325"/>
            <wp:effectExtent b="0" l="0" r="0" t="0"/>
            <wp:docPr id="22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91853" cy="695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HABILITAÇÃO DE CADASTRADORES NO INSCREVE FÁCIL</w:t>
      </w:r>
    </w:p>
    <w:p w:rsidR="00000000" w:rsidDel="00000000" w:rsidP="00000000" w:rsidRDefault="00000000" w:rsidRPr="00000000" w14:paraId="00000004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Órgão:</w:t>
      </w:r>
    </w:p>
    <w:p w:rsidR="00000000" w:rsidDel="00000000" w:rsidP="00000000" w:rsidRDefault="00000000" w:rsidRPr="00000000" w14:paraId="00000005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Poder/Ministério de vinculação:</w:t>
      </w:r>
    </w:p>
    <w:p w:rsidR="00000000" w:rsidDel="00000000" w:rsidP="00000000" w:rsidRDefault="00000000" w:rsidRPr="00000000" w14:paraId="00000006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É órgão externo?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 ) Sim    (    ) Não</w:t>
      </w:r>
    </w:p>
    <w:p w:rsidR="00000000" w:rsidDel="00000000" w:rsidP="00000000" w:rsidRDefault="00000000" w:rsidRPr="00000000" w14:paraId="00000009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Dados da autoridade solicitante</w:t>
      </w:r>
    </w:p>
    <w:p w:rsidR="00000000" w:rsidDel="00000000" w:rsidP="00000000" w:rsidRDefault="00000000" w:rsidRPr="00000000" w14:paraId="0000000B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Nome:</w:t>
      </w:r>
    </w:p>
    <w:p w:rsidR="00000000" w:rsidDel="00000000" w:rsidP="00000000" w:rsidRDefault="00000000" w:rsidRPr="00000000" w14:paraId="0000000C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CPF:</w:t>
      </w:r>
    </w:p>
    <w:p w:rsidR="00000000" w:rsidDel="00000000" w:rsidP="00000000" w:rsidRDefault="00000000" w:rsidRPr="00000000" w14:paraId="0000000D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Cargo:</w:t>
      </w:r>
    </w:p>
    <w:p w:rsidR="00000000" w:rsidDel="00000000" w:rsidP="00000000" w:rsidRDefault="00000000" w:rsidRPr="00000000" w14:paraId="0000000E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 institucional:</w:t>
      </w:r>
    </w:p>
    <w:p w:rsidR="00000000" w:rsidDel="00000000" w:rsidP="00000000" w:rsidRDefault="00000000" w:rsidRPr="00000000" w14:paraId="0000000F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Telefone: </w:t>
      </w:r>
    </w:p>
    <w:p w:rsidR="00000000" w:rsidDel="00000000" w:rsidP="00000000" w:rsidRDefault="00000000" w:rsidRPr="00000000" w14:paraId="00000010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Indicação dos cadastradores:</w:t>
      </w:r>
    </w:p>
    <w:p w:rsidR="00000000" w:rsidDel="00000000" w:rsidP="00000000" w:rsidRDefault="00000000" w:rsidRPr="00000000" w14:paraId="00000011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36"/>
        <w:gridCol w:w="1378"/>
        <w:gridCol w:w="1990"/>
        <w:gridCol w:w="1809"/>
        <w:gridCol w:w="1581"/>
        <w:tblGridChange w:id="0">
          <w:tblGrid>
            <w:gridCol w:w="1736"/>
            <w:gridCol w:w="1378"/>
            <w:gridCol w:w="1990"/>
            <w:gridCol w:w="1809"/>
            <w:gridCol w:w="15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CPF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 institucional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Telefone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 pessoa indicada é servidor ou empregado público?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 ) Sim    (    ) Não</w:t>
      </w:r>
    </w:p>
    <w:p w:rsidR="00000000" w:rsidDel="00000000" w:rsidP="00000000" w:rsidRDefault="00000000" w:rsidRPr="00000000" w14:paraId="0000002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Créditos que pretende encaminhar* (ex: multas administrativas, custas, créditos contratuais, etc):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Caso seja órgão externo, não é necessário preencher esse campo do formulário. </w:t>
      </w:r>
    </w:p>
    <w:tbl>
      <w:tblPr>
        <w:tblStyle w:val="Table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8"/>
        <w:gridCol w:w="2088"/>
        <w:gridCol w:w="2037"/>
        <w:gridCol w:w="2351"/>
        <w:tblGridChange w:id="0">
          <w:tblGrid>
            <w:gridCol w:w="2018"/>
            <w:gridCol w:w="2088"/>
            <w:gridCol w:w="2037"/>
            <w:gridCol w:w="23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da receita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Há multa de mora? Em caso afirmativo, indicar percentual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Fundamentação legal**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Possui destinação específica***? Em caso afirmativo indicar a fundamentação legal.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*Deixar em branco se não pretende enviar créditos para inscrição (ex: necessidade de mera consulta)</w:t>
      </w:r>
    </w:p>
    <w:p w:rsidR="00000000" w:rsidDel="00000000" w:rsidP="00000000" w:rsidRDefault="00000000" w:rsidRPr="00000000" w14:paraId="00000042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 Artigos de leis que fundamentam a constituição do crédito e a multa de mora.</w:t>
      </w:r>
    </w:p>
    <w:p w:rsidR="00000000" w:rsidDel="00000000" w:rsidP="00000000" w:rsidRDefault="00000000" w:rsidRPr="00000000" w14:paraId="00000043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***O crédito possui destinação específica quando destinado, integral ou parcialmente, a órgão, entidade ou fundo.</w:t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 crédito foi constituído em sistema eletrônico que utiliza </w:t>
      </w:r>
      <w:hyperlink r:id="rId9">
        <w:r w:rsidDel="00000000" w:rsidR="00000000" w:rsidRPr="00000000">
          <w:rPr>
            <w:b w:val="1"/>
            <w:color w:val="0563c1"/>
            <w:sz w:val="20"/>
            <w:szCs w:val="20"/>
            <w:u w:val="single"/>
            <w:rtl w:val="0"/>
          </w:rPr>
          <w:t xml:space="preserve">numeração no padrão NUP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(00000.000000/0000-00)?</w:t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 ) Sim    (    ) Não</w:t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Observação</w:t>
      </w:r>
    </w:p>
    <w:p w:rsidR="00000000" w:rsidDel="00000000" w:rsidP="00000000" w:rsidRDefault="00000000" w:rsidRPr="00000000" w14:paraId="0000004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Nos termos do art. 22, §5º, do Decreto-Lei n. 147/1967, após envio do crédito para inscrição, o processo administrativo tramitará apenas na PGFN, não devendo ter seguimento na origem até devolução pela PGFN.</w:t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Termo de Responsabilidade</w:t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Os usuários do Inscreve Fácil se comprometem a fazer uso dos recursos e das informações que lhe forem disponibilizadas em estrita observância aos Termos de Uso e atos normativos que dispõem sobre o sistema.</w:t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Local, Data</w:t>
      </w:r>
    </w:p>
    <w:p w:rsidR="00000000" w:rsidDel="00000000" w:rsidP="00000000" w:rsidRDefault="00000000" w:rsidRPr="00000000" w14:paraId="0000005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da autoridade solicitante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F502C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C752F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5D100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D1007"/>
  </w:style>
  <w:style w:type="paragraph" w:styleId="Rodap">
    <w:name w:val="footer"/>
    <w:basedOn w:val="Normal"/>
    <w:link w:val="RodapChar"/>
    <w:uiPriority w:val="99"/>
    <w:unhideWhenUsed w:val="1"/>
    <w:rsid w:val="005D100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D1007"/>
  </w:style>
  <w:style w:type="paragraph" w:styleId="PargrafodaLista">
    <w:name w:val="List Paragraph"/>
    <w:basedOn w:val="Normal"/>
    <w:uiPriority w:val="34"/>
    <w:qFormat w:val="1"/>
    <w:rsid w:val="005F7A70"/>
    <w:pPr>
      <w:ind w:left="720"/>
      <w:contextualSpacing w:val="1"/>
    </w:p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D41ACE"/>
    <w:pPr>
      <w:spacing w:line="240" w:lineRule="auto"/>
    </w:pPr>
    <w:rPr>
      <w:rFonts w:cs="Times New Roman" w:eastAsia="Times New Roman"/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D41ACE"/>
    <w:rPr>
      <w:rFonts w:cs="Times New Roman" w:eastAsia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9654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096541"/>
    <w:rPr>
      <w:rFonts w:ascii="Tahoma" w:cs="Tahoma" w:hAnsi="Tahoma"/>
      <w:sz w:val="16"/>
      <w:szCs w:val="16"/>
    </w:rPr>
  </w:style>
  <w:style w:type="character" w:styleId="Hyperlink">
    <w:name w:val="Hyperlink"/>
    <w:basedOn w:val="Fontepargpadro"/>
    <w:uiPriority w:val="99"/>
    <w:unhideWhenUsed w:val="1"/>
    <w:rsid w:val="008B4AA6"/>
    <w:rPr>
      <w:rFonts w:cs="Times New Roman"/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v.br/economia/pt-br/assuntos/processo-eletronico-nacional/conteudo/numero-unico-de-protocolo-nup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lkq7UToT33B04tzCKNd6kWsV2w==">CgMxLjA4AHIhMWY1clN4SjV5blBvMlMzN1lCWWVrdmdpLXRYVEtjdS1a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2021-12-20T13:22:00Z</dcterms:created>
  <dc:creator>Thayna Pires Roza</dc:creator>
</cp:coreProperties>
</file>