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18E" w:rsidRPr="0040518E" w:rsidRDefault="0040518E" w:rsidP="00C13354">
      <w:pPr>
        <w:spacing w:after="0" w:line="240" w:lineRule="auto"/>
        <w:jc w:val="center"/>
        <w:rPr>
          <w:rFonts w:eastAsia="Times New Roman" w:cstheme="minorHAnsi"/>
          <w:caps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aps/>
          <w:color w:val="000000"/>
          <w:sz w:val="24"/>
          <w:szCs w:val="24"/>
          <w:lang w:eastAsia="pt-BR"/>
        </w:rPr>
        <w:t>LICI.</w:t>
      </w:r>
      <w:r>
        <w:rPr>
          <w:rFonts w:eastAsia="Times New Roman" w:cstheme="minorHAnsi"/>
          <w:cap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aps/>
          <w:color w:val="000000"/>
          <w:sz w:val="24"/>
          <w:szCs w:val="24"/>
          <w:lang w:eastAsia="pt-BR"/>
        </w:rPr>
        <w:t>TERMO</w:t>
      </w:r>
      <w:r>
        <w:rPr>
          <w:rFonts w:eastAsia="Times New Roman" w:cstheme="minorHAnsi"/>
          <w:cap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aps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ap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aps/>
          <w:color w:val="000000"/>
          <w:sz w:val="24"/>
          <w:szCs w:val="24"/>
          <w:lang w:eastAsia="pt-BR"/>
        </w:rPr>
        <w:t>REFERÊNCIA</w:t>
      </w:r>
      <w:r>
        <w:rPr>
          <w:rFonts w:eastAsia="Times New Roman" w:cstheme="minorHAnsi"/>
          <w:cap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aps/>
          <w:color w:val="000000"/>
          <w:sz w:val="24"/>
          <w:szCs w:val="24"/>
          <w:lang w:eastAsia="pt-BR"/>
        </w:rPr>
        <w:t>Nº</w:t>
      </w:r>
      <w:r>
        <w:rPr>
          <w:rFonts w:eastAsia="Times New Roman" w:cstheme="minorHAnsi"/>
          <w:cap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aps/>
          <w:color w:val="000000"/>
          <w:sz w:val="24"/>
          <w:szCs w:val="24"/>
          <w:lang w:eastAsia="pt-BR"/>
        </w:rPr>
        <w:t>25462992/2022-DPF/ROO/MT</w:t>
      </w:r>
    </w:p>
    <w:p w:rsidR="0040518E" w:rsidRPr="0040518E" w:rsidRDefault="0040518E" w:rsidP="00C13354">
      <w:pPr>
        <w:spacing w:after="0" w:line="240" w:lineRule="auto"/>
        <w:ind w:left="120" w:right="120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Processo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nº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08532.000979/2022-33</w:t>
      </w:r>
    </w:p>
    <w:p w:rsidR="0040518E" w:rsidRPr="0040518E" w:rsidRDefault="0040518E" w:rsidP="00C13354">
      <w:pPr>
        <w:spacing w:after="0" w:line="240" w:lineRule="auto"/>
        <w:ind w:left="60" w:right="60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TERMO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REFERÊNCIA</w:t>
      </w:r>
    </w:p>
    <w:p w:rsidR="0040518E" w:rsidRPr="0040518E" w:rsidRDefault="0040518E" w:rsidP="00C13354">
      <w:pPr>
        <w:spacing w:after="0" w:line="240" w:lineRule="auto"/>
        <w:ind w:left="60" w:right="60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COTAÇÃO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ELETRÔNICA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40518E" w:rsidRPr="0040518E" w:rsidRDefault="0040518E" w:rsidP="00C13354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PROCESSO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ADMINISTRATIVO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DISPENSA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LICITAÇÃO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RAZÃO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VALOR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AQUISIÇÃO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MATERIAIS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SERVIÇOS,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base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Art.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24,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Inciso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II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Lei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Licitações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8.666/93.</w:t>
      </w:r>
    </w:p>
    <w:p w:rsidR="0040518E" w:rsidRPr="0040518E" w:rsidRDefault="0040518E" w:rsidP="00C13354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40518E" w:rsidRPr="0040518E" w:rsidRDefault="0040518E" w:rsidP="00C13354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bookmarkStart w:id="0" w:name="_GoBack"/>
      <w:r w:rsidRPr="0040518E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>Havendo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>qualquer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>divergência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>entre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>as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>descrições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>contidas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>no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>código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 xml:space="preserve"> </w:t>
      </w:r>
      <w:r w:rsidR="006D2C17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>CATMAT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>e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>o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>Termo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>de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>Referência,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>prevalecem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>as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>especificações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>do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00FFFF"/>
          <w:lang w:eastAsia="pt-BR"/>
        </w:rPr>
        <w:t>TR</w:t>
      </w:r>
    </w:p>
    <w:bookmarkEnd w:id="0"/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OBJETO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presente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Projeto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Básico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tem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por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objeto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aquisição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Nobreak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spellStart"/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Station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II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1200va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6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tomadas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BIVOLT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atender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DPF/ROO/MT.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3815"/>
        <w:gridCol w:w="1071"/>
        <w:gridCol w:w="1623"/>
        <w:gridCol w:w="1420"/>
        <w:gridCol w:w="1168"/>
      </w:tblGrid>
      <w:tr w:rsidR="00C13354" w:rsidRPr="0040518E" w:rsidTr="00C13354">
        <w:trPr>
          <w:tblCellSpacing w:w="0" w:type="dxa"/>
        </w:trPr>
        <w:tc>
          <w:tcPr>
            <w:tcW w:w="531" w:type="dxa"/>
            <w:vAlign w:val="center"/>
            <w:hideMark/>
          </w:tcPr>
          <w:p w:rsidR="00C13354" w:rsidRPr="0040518E" w:rsidRDefault="00C13354" w:rsidP="00C13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0518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815" w:type="dxa"/>
            <w:vAlign w:val="center"/>
            <w:hideMark/>
          </w:tcPr>
          <w:p w:rsidR="00C13354" w:rsidRPr="0040518E" w:rsidRDefault="00C13354" w:rsidP="00C13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0518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071" w:type="dxa"/>
            <w:vAlign w:val="center"/>
            <w:hideMark/>
          </w:tcPr>
          <w:p w:rsidR="00C13354" w:rsidRPr="0040518E" w:rsidRDefault="00C13354" w:rsidP="00C13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0518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CATMAT</w:t>
            </w:r>
          </w:p>
        </w:tc>
        <w:tc>
          <w:tcPr>
            <w:tcW w:w="1623" w:type="dxa"/>
            <w:vAlign w:val="center"/>
            <w:hideMark/>
          </w:tcPr>
          <w:p w:rsidR="00C13354" w:rsidRPr="0040518E" w:rsidRDefault="00C13354" w:rsidP="00C13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420" w:type="dxa"/>
            <w:vAlign w:val="center"/>
            <w:hideMark/>
          </w:tcPr>
          <w:p w:rsidR="00C13354" w:rsidRPr="0040518E" w:rsidRDefault="00C13354" w:rsidP="00C13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UNITÁRIO</w:t>
            </w:r>
          </w:p>
        </w:tc>
        <w:tc>
          <w:tcPr>
            <w:tcW w:w="1168" w:type="dxa"/>
          </w:tcPr>
          <w:p w:rsidR="00C13354" w:rsidRDefault="00C13354" w:rsidP="00C133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C13354" w:rsidRPr="0040518E" w:rsidTr="00C13354">
        <w:trPr>
          <w:tblCellSpacing w:w="0" w:type="dxa"/>
        </w:trPr>
        <w:tc>
          <w:tcPr>
            <w:tcW w:w="531" w:type="dxa"/>
            <w:vAlign w:val="center"/>
            <w:hideMark/>
          </w:tcPr>
          <w:p w:rsidR="00C13354" w:rsidRPr="0040518E" w:rsidRDefault="00C13354" w:rsidP="00C13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0518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15" w:type="dxa"/>
            <w:vAlign w:val="center"/>
            <w:hideMark/>
          </w:tcPr>
          <w:p w:rsidR="00C13354" w:rsidRPr="0040518E" w:rsidRDefault="00C13354" w:rsidP="00C13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0518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Nobreak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0518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Station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0518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II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0518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1200va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0518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6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0518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tomadas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0518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BIVOLT</w:t>
            </w:r>
          </w:p>
        </w:tc>
        <w:tc>
          <w:tcPr>
            <w:tcW w:w="1071" w:type="dxa"/>
            <w:vAlign w:val="center"/>
            <w:hideMark/>
          </w:tcPr>
          <w:p w:rsidR="00C13354" w:rsidRPr="0040518E" w:rsidRDefault="00C13354" w:rsidP="00C13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0518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318896</w:t>
            </w:r>
          </w:p>
        </w:tc>
        <w:tc>
          <w:tcPr>
            <w:tcW w:w="1623" w:type="dxa"/>
            <w:vAlign w:val="center"/>
            <w:hideMark/>
          </w:tcPr>
          <w:p w:rsidR="00C13354" w:rsidRPr="0040518E" w:rsidRDefault="00C13354" w:rsidP="00C13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0518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20" w:type="dxa"/>
            <w:vAlign w:val="center"/>
            <w:hideMark/>
          </w:tcPr>
          <w:p w:rsidR="00C13354" w:rsidRPr="0040518E" w:rsidRDefault="00C13354" w:rsidP="00C13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0518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R$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963,17</w:t>
            </w:r>
          </w:p>
        </w:tc>
        <w:tc>
          <w:tcPr>
            <w:tcW w:w="1168" w:type="dxa"/>
            <w:vAlign w:val="center"/>
          </w:tcPr>
          <w:p w:rsidR="00C13354" w:rsidRPr="0040518E" w:rsidRDefault="00C13354" w:rsidP="00C133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14.447,55</w:t>
            </w:r>
          </w:p>
        </w:tc>
      </w:tr>
    </w:tbl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2.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JUSTIFICATIVA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NECESSIDADE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CONTRATAÇÃO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parte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elétrica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toda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delegacia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Rondonópolis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é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antiga,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visto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prédio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hoje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é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delegacia,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antes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era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INSS,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desde</w:t>
      </w:r>
      <w:r w:rsidR="00917A82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então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nunca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houve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uma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reforma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rede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elétrica,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viesse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atender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necessidades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delegacia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(A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rede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atual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foi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projetada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atender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neces</w:t>
      </w:r>
      <w:r w:rsidR="00917A82">
        <w:rPr>
          <w:rFonts w:eastAsia="Times New Roman" w:cstheme="minorHAnsi"/>
          <w:color w:val="000000"/>
          <w:sz w:val="24"/>
          <w:szCs w:val="24"/>
          <w:lang w:eastAsia="pt-BR"/>
        </w:rPr>
        <w:t>sid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ades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INSS,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porém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delegacia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tem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mais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servidores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demanda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trabalho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é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maior).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Por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causa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estado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ruim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fiação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prédio,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essa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passa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por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constantes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oscilações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tensão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quedas,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bem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como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já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ocorreu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curto-circuito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determinados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pontos.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problema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é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tal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já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foi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pré-aprovado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um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projeto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reforma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parte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elétrica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delegacia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Rondonópolis,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conforme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apresenta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PORTARIA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N°22563295/2022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-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SEC/GAB/SR/PF/MT,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21/03/2022.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Como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rede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elétrica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delegacia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é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ruim,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devido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demanda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crescente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uso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constante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ar-condicionado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pelos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servidores,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devido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calor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cidade,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há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sempre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picos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energia,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quedas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fase,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por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conseguinte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é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necessário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compra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nobreaks,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visto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esses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usados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somente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proteção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equipamentos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ligados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ele,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também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manter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estes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equipamentos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funcionamento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por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um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determinado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período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tempo,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caso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falte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energia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local.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Logo,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é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necessário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aquisição,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haja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vista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vai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promover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uma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proteção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equipamentos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estão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ligados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precária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rede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elétrica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delegacia,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promovendo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uma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economia,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pois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há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vários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equipamentos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caros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ligados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spellStart"/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rede</w:t>
      </w:r>
      <w:proofErr w:type="gramStart"/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  <w:proofErr w:type="gramEnd"/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3.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JUSTIFICATIVA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SITUAÇÃO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QUE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CARACTERIZE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NECESSIDADE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AQUISIÇÃO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POR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DISPENSA;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</w:p>
    <w:p w:rsidR="0040518E" w:rsidRPr="0040518E" w:rsidRDefault="0040518E" w:rsidP="0040518E">
      <w:pPr>
        <w:spacing w:after="0" w:line="240" w:lineRule="auto"/>
        <w:ind w:left="240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proofErr w:type="gramStart"/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Lei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Complementar</w:t>
      </w:r>
      <w:proofErr w:type="gramEnd"/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123/2006:</w:t>
      </w:r>
    </w:p>
    <w:p w:rsidR="0040518E" w:rsidRPr="0040518E" w:rsidRDefault="0040518E" w:rsidP="0040518E">
      <w:pPr>
        <w:spacing w:after="0" w:line="240" w:lineRule="auto"/>
        <w:ind w:left="240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Art.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47.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contratações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públicas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administração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direta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indireta,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autárquica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fundacional,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federal,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estadual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municipal,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deverá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concedido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tratamento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diferenciado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simplificado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microempresas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empresas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pequeno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porte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objetivando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promoção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desenvolvimento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econômico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social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âmbito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municipal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regional,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ampliação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eficiência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políticas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públicas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incentivo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inovação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tecnológica.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lastRenderedPageBreak/>
        <w:t>Pelo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princípio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economicidade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contratação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por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meio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uma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licitação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encareceria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processo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traria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risco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princípio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eficiência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eficácia.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aquisição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é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considerada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pequeno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valor,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podendo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adquirida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através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Dispensa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Licitação,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base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Inciso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II,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artigo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24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Lei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8.666/93,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considerando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necessidade,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produto,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cujo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estoque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está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findando.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dispensa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será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participação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exclusiva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ME/EPP.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Assim,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>salvo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>melhor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>juízo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meio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mais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eficiente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eficaz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êxito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dessa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contratação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seria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através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dispensa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licitação,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base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Inciso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II,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artigo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24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Lei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8.666/93.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bookmarkStart w:id="1" w:name="art47."/>
      <w:bookmarkEnd w:id="1"/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4.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ELABORAÇÃO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ESPECIFICAÇÃO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OBJETO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produto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ofertado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deverá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ter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seguintes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características:</w:t>
      </w:r>
    </w:p>
    <w:p w:rsid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NO-BREAK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(para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computador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/impressora):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Especificação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mínima: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esteja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linha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produção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pelo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fabricante.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Nobreak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potência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nominal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mínima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1,2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kVA.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Potência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real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mínima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600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W.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Tensão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entrada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115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/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127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/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220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V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(em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corrente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alternada)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comutação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automática.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Tensão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saída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110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/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115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220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V.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Alarme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audiovisual.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Bateria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interna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selada.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Autonomia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plena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carga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mínimo,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15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minutos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considerando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consumo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240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W.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Possuir,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mínimo,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seis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tomadas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saída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padrão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brasileiro.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produto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deverá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novo,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uso,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reforma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recondicionamento,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garantia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1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ano.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material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será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entregue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uma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única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parcela.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5.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VISTORIA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PARA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LICITAÇÃO/DISPENSA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5.1.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há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necessidade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vistoria.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6.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RAZÕES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ESCOLHA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FORNECEDOR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BEM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OU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EXECUTANTE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DOS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SERVIÇOS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contratação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será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Empresa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ofertar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menor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proposta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contar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certidões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trabalhistas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fiscais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regulares.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7.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ANEXAR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PROPOSTAS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ORIGINAIS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DEMAIS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DOCUMENTOS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QUANDO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NECESSÁRIOS.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Empresa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deverá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anexar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proposta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preços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documentação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habilitação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exigida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como: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certidões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negativas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débitos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INSS/Receita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Federal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FGTS/CNDT,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consultadas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através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sítios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Receita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Federal,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Caixa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Econômica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Federal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TST.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8.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LOCAL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PRAZO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PARA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ENTREGA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produto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deverá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entregue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até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15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dias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após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empresa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receber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Nota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Empenho.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prédio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Delegacia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Polícia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Federal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Rondonópolis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-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localizado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Rua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Sete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Setembro,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558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-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Vila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Birigui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-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CEP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78.705</w:t>
      </w:r>
      <w:proofErr w:type="gramEnd"/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-010,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Rondonópolis/MT,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telefone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(66)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3439-6224,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horário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comercial.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9.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ESPECIFICAÇÕES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TÉCNICAS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NO-BREAK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-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1200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VA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POTENCIA: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1200VA/600W.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TENSAO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ENTRADA: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115V/220V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BIVOLT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AUTOMATICO.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TENSAO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SAIDA: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115V.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FUNCAO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MUTE.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BOTAO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LIGA/DESLIGA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TEMPORIZADO.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RECARGA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AUTOMATICA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BATERIAS.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ESTABILIZADOR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INTERNO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MINIMO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ESTAGIOS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REGULACAO.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BATERIAS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INTERNAS: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MINIMO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1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BATERIA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12VDC/7</w:t>
      </w:r>
      <w:proofErr w:type="gramStart"/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AH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  <w:proofErr w:type="gramEnd"/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QUANTIDADE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TOMADAS: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MINIMO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6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PADRAO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NBR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14136.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PARTIDA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FRIO: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PERMITE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NOBREAK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SEJA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LIGADO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AUSENCIA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REDE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ELETRICA.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lastRenderedPageBreak/>
        <w:t>PORTA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FUSIVEL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EXTERNO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MINIMO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UMA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UNIDADE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RESERVA.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TEMPO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ACIONAMENTO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INVERSOR: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=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0,8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MS.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GABINETE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PLÁSTICO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ANTI-CHAMA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GARANTIA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12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MESES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10.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ESTIMATIVA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CUSTO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valor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total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estimado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contratação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é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R$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14.447,55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(quatorze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mil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quatrocentos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quarenta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sete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reais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cinquenta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cinco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centavos).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11.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SANÇÕES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11.1.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Comete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infração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administrativa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fornecedor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cometer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quaisquer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infrações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previstas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art.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155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Lei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nº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14.133,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2021,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quais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sejam: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11.1.1.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dar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causa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inexecução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parcial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contrato;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11.1.2.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dar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causa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inexecução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parcial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contrato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cause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grave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dano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Administração,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funcionamento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serviços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públicos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interesse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coletivo;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11.1.3.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dar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causa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inexecução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total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contrato;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11.1.4.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deixar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entregar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documentação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exigida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certame;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11.1.5.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não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manter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proposta,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salvo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decorrência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fato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superveniente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devidamente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justificado;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11.1.6.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não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celebrar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contrato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entregar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documentação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exigida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contratação,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quando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convocado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dentro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prazo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validade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sua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proposta;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11.1.7.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ensejar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retardamento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execução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entrega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objeto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licitação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motivo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justificado;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11.1.8.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apresentar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declaração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documentação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falsa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exigida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certame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prestar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declaração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falsa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durante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dispensa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eletrônica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execução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contrato;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11.1.9.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fraudar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dispensa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eletrônica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praticar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fraudulento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execução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contrato;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11.1.10.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comportar</w:t>
      </w:r>
      <w:proofErr w:type="gramEnd"/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-se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modo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inidôneo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cometer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fraude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qualquer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natureza;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color w:val="000000"/>
          <w:sz w:val="24"/>
          <w:szCs w:val="24"/>
          <w:lang w:eastAsia="pt-BR"/>
        </w:rPr>
        <w:t>11.1.10.1.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Considera-se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comportamento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inidôneo,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entre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outros,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declaração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falsa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quanto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às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condições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participação,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quanto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enquadramento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como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ME/EPP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conluio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entre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fornecedores,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qualquer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momento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dispensa,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mesmo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após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encerramento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fase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lances.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11.1.11.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praticar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atos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ilícitos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vistas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frustrar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objetivos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deste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certame.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11.1.12.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praticar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lesivo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previsto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hyperlink r:id="rId5" w:anchor="art5" w:tgtFrame="_blank" w:history="1">
        <w:r w:rsidRPr="0040518E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art.</w:t>
        </w:r>
        <w:r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 xml:space="preserve"> </w:t>
        </w:r>
        <w:r w:rsidRPr="0040518E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5º</w:t>
        </w:r>
        <w:r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 xml:space="preserve"> </w:t>
        </w:r>
        <w:r w:rsidRPr="0040518E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da</w:t>
        </w:r>
        <w:r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 xml:space="preserve"> </w:t>
        </w:r>
        <w:r w:rsidRPr="0040518E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Lei</w:t>
        </w:r>
        <w:r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 xml:space="preserve"> </w:t>
        </w:r>
        <w:r w:rsidRPr="0040518E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nº</w:t>
        </w:r>
        <w:r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 xml:space="preserve"> </w:t>
        </w:r>
        <w:r w:rsidRPr="0040518E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12.846,</w:t>
        </w:r>
        <w:r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 xml:space="preserve"> </w:t>
        </w:r>
        <w:r w:rsidRPr="0040518E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de</w:t>
        </w:r>
        <w:r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 xml:space="preserve"> </w:t>
        </w:r>
        <w:r w:rsidRPr="0040518E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1º</w:t>
        </w:r>
        <w:r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 xml:space="preserve"> </w:t>
        </w:r>
        <w:r w:rsidRPr="0040518E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de</w:t>
        </w:r>
        <w:r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 xml:space="preserve"> </w:t>
        </w:r>
        <w:r w:rsidRPr="0040518E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agosto</w:t>
        </w:r>
        <w:r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 xml:space="preserve"> </w:t>
        </w:r>
        <w:r w:rsidRPr="0040518E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de</w:t>
        </w:r>
        <w:r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 xml:space="preserve"> </w:t>
        </w:r>
        <w:r w:rsidRPr="0040518E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2013.</w:t>
        </w:r>
      </w:hyperlink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11.2.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fornecedor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cometer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qualquer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infrações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discriminadas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subitens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anteriores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ficará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sujeito,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prejuízo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responsabilidade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civil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criminal,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às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seguintes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sanções: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A)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Advertência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pela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falta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subitem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8.1.1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deste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Aviso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Contratação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Direta,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quando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justificar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imposição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penalidade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mais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grave;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B)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Multa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>10%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>(dez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>por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>cento)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sobre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valor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estimado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do(</w:t>
      </w:r>
      <w:proofErr w:type="gramEnd"/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s)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item(s)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prejudicado(s)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pela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conduta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fornecedor,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por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qualquer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infrações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subitens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11.1.1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11.1.12;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C)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Impedimento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licitar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contratar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âmbito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Administração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Pública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direta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indireta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ente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federativo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tiver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aplicado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sanção,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pelo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prazo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máximo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(três)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anos,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casos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subitens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11.1.2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11.1.7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deste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Aviso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Contratação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Direta,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quando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justificar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imposição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penalidade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mais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grave;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D)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Declaração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inidoneidade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licitar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contratar,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impedirá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responsável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licitar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contratar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âmbito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Administração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Pública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direta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indireta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todos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entes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federativos,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pelo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prazo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mínimo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(três)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anos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máximo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6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(seis)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anos,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casos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subitens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8.1.8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8.1.12,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bem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como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demais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casos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justifiquem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imposição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penalidade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mais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grave;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11.3.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aplicação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sanções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serão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considerados: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11.3.1.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natureza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gravidade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infração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cometida;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11.3.2.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peculiaridades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caso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concreto;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lastRenderedPageBreak/>
        <w:t>11.3.3.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circunstâncias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agravantes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atenuantes;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11.3.4.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os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danos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dela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provierem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Administração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Pública;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11.3.5.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implantação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aperfeiçoamento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programa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integridade,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conforme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normas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orientações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órgãos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controle.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bookmarkStart w:id="2" w:name="art156§6"/>
      <w:bookmarkStart w:id="3" w:name="art156§7"/>
      <w:bookmarkStart w:id="4" w:name="art156§8"/>
      <w:bookmarkEnd w:id="2"/>
      <w:bookmarkEnd w:id="3"/>
      <w:bookmarkEnd w:id="4"/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11.4.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multa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aplicada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indenizações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cabíveis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forem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superiores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valor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pagamento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eventualmente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devido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pela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Administração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contratado,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além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perda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desse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valor,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diferença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será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descontada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garantia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prestada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será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cobrada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judicialmente.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bookmarkStart w:id="5" w:name="art156§9"/>
      <w:bookmarkEnd w:id="5"/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11.5.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aplicação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sanções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previstas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neste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Aviso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Contratação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Direta,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hipótese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alguma,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obrigação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reparação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integral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dano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causado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Administração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Pública.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11.6.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penalidade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multa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pode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aplicada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cumulativamente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demais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sanções.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11.7.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durante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processo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aplicação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penalidade,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houver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indícios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prática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infração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administrativa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tipificada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pela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Lei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nº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12.846,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1º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agosto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2013,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como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lesivo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administração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pública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nacional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estrangeira,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cópias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processo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administrativo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necessárias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apuração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responsabilidade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empresa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deverão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remetidas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autoridade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competente,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despacho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fundamentado,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ciência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decisão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sobre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eventual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instauração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investigação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preliminar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Processo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Administrativo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Responsabilização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–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PAR.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11.8.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apuração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julgamento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demais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infrações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administrativas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consideradas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como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lesivo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Administração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Pública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nacional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estrangeira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termos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Lei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nº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12.846,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1º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agosto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2013,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seguirão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seu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rito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normal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unidade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administrativa.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11.9.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processamento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PAR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interfere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seguimento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regular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processos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administrativos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específicos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apuração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ocorrência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danos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prejuízos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Administração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Pública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Federal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resultantes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lesivo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cometido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por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pessoa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jurídica,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sem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participação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agente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público.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11.10.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aplicação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qualquer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penalidades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previstas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realizar-se-á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processo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administrativo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assegurará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contraditório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ampla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defesa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fornecedor/adjudicatário,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observando-se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procedimento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previsto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Lei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nº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14.133,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2021,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subsidiariamente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Lei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nº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9.784,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1999.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11.11.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sanções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por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atos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praticados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decorrer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contratação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estão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previstas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anexos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este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Aviso.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12.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INDICAÇÃO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DOS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RECURSOS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PARA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COBERTURA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DAS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DESPESAS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Gestão: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01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Fonte: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0100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Elemento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Despesa: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44.90.52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13.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ANEXOS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TERMO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REFERÊNCIA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>Mapa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>comparativo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>preços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>(Orçamentos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>originais)</w:t>
      </w: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40518E" w:rsidRPr="0040518E" w:rsidRDefault="0040518E" w:rsidP="00405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40518E" w:rsidRPr="0040518E" w:rsidRDefault="0040518E" w:rsidP="0040518E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Rondonópolis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/MT,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18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outubro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2022.</w:t>
      </w:r>
    </w:p>
    <w:p w:rsidR="0040518E" w:rsidRPr="0040518E" w:rsidRDefault="0040518E" w:rsidP="0040518E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40518E" w:rsidRPr="0040518E" w:rsidRDefault="0040518E" w:rsidP="0040518E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40518E" w:rsidRPr="0040518E" w:rsidRDefault="0040518E" w:rsidP="0040518E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40518E" w:rsidRPr="0040518E" w:rsidRDefault="0040518E" w:rsidP="0040518E">
      <w:pPr>
        <w:spacing w:after="0" w:line="240" w:lineRule="auto"/>
        <w:ind w:left="60" w:right="60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proofErr w:type="spellStart"/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Nayron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Henrique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Silva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Lima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Gonçalves</w:t>
      </w:r>
    </w:p>
    <w:p w:rsidR="0040518E" w:rsidRPr="0040518E" w:rsidRDefault="0040518E" w:rsidP="0040518E">
      <w:pPr>
        <w:spacing w:after="0" w:line="240" w:lineRule="auto"/>
        <w:ind w:left="60" w:right="60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Responsável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pela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demanda</w:t>
      </w:r>
    </w:p>
    <w:p w:rsidR="0040518E" w:rsidRPr="0040518E" w:rsidRDefault="0040518E" w:rsidP="0040518E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40518E" w:rsidRPr="0040518E" w:rsidRDefault="0040518E" w:rsidP="0040518E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40518E" w:rsidRPr="0040518E" w:rsidRDefault="0040518E" w:rsidP="0040518E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t-BR"/>
        </w:rPr>
        <w:t>ACORDO</w:t>
      </w:r>
    </w:p>
    <w:p w:rsidR="0040518E" w:rsidRPr="0040518E" w:rsidRDefault="0040518E" w:rsidP="0040518E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40518E" w:rsidRPr="0040518E" w:rsidRDefault="0040518E" w:rsidP="0040518E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40518E" w:rsidRPr="0040518E" w:rsidRDefault="0040518E" w:rsidP="0040518E">
      <w:pPr>
        <w:spacing w:after="0" w:line="240" w:lineRule="auto"/>
        <w:ind w:left="60" w:right="60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Otávio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José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Lima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Oliveira</w:t>
      </w:r>
    </w:p>
    <w:p w:rsidR="0040518E" w:rsidRPr="0040518E" w:rsidRDefault="0040518E" w:rsidP="0040518E">
      <w:pPr>
        <w:spacing w:after="0" w:line="240" w:lineRule="auto"/>
        <w:ind w:left="60" w:right="60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lastRenderedPageBreak/>
        <w:t>Chefe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DPF/ROO/MT</w:t>
      </w:r>
    </w:p>
    <w:p w:rsidR="0040518E" w:rsidRPr="0040518E" w:rsidRDefault="0040518E" w:rsidP="0040518E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40518E" w:rsidRPr="0040518E" w:rsidRDefault="0040518E" w:rsidP="0040518E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40518E" w:rsidRPr="0040518E" w:rsidRDefault="0040518E" w:rsidP="0040518E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t-BR"/>
        </w:rPr>
        <w:t>AUTORIZO</w:t>
      </w: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aquisição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vem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suprir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uma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necessidade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Delegacia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Polícia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Federal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Rondonópolis/MT</w:t>
      </w:r>
    </w:p>
    <w:p w:rsidR="0040518E" w:rsidRPr="0040518E" w:rsidRDefault="0040518E" w:rsidP="0040518E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40518E" w:rsidRPr="0040518E" w:rsidRDefault="0040518E" w:rsidP="0040518E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40518E" w:rsidRPr="0040518E" w:rsidRDefault="0040518E" w:rsidP="0040518E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40518E" w:rsidRPr="0040518E" w:rsidRDefault="0040518E" w:rsidP="0040518E">
      <w:pPr>
        <w:spacing w:after="0" w:line="240" w:lineRule="auto"/>
        <w:ind w:left="60" w:right="60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SÉRGIO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MORI</w:t>
      </w:r>
    </w:p>
    <w:p w:rsidR="0040518E" w:rsidRPr="0040518E" w:rsidRDefault="0040518E" w:rsidP="0040518E">
      <w:pPr>
        <w:spacing w:after="0" w:line="240" w:lineRule="auto"/>
        <w:ind w:left="60" w:right="60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Superintendente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Regional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0518E">
        <w:rPr>
          <w:rFonts w:eastAsia="Times New Roman" w:cstheme="minorHAnsi"/>
          <w:color w:val="000000"/>
          <w:sz w:val="24"/>
          <w:szCs w:val="24"/>
          <w:lang w:eastAsia="pt-BR"/>
        </w:rPr>
        <w:t>SR/PF/MT</w:t>
      </w:r>
    </w:p>
    <w:p w:rsidR="0040518E" w:rsidRPr="0040518E" w:rsidRDefault="0040518E" w:rsidP="0040518E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B4F2F" w:rsidRPr="0040518E" w:rsidRDefault="00DB4F2F" w:rsidP="0040518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DB4F2F" w:rsidRPr="0040518E" w:rsidSect="004051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750C4"/>
    <w:multiLevelType w:val="multilevel"/>
    <w:tmpl w:val="5ECC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8E"/>
    <w:rsid w:val="00110FB6"/>
    <w:rsid w:val="0040518E"/>
    <w:rsid w:val="006D2C17"/>
    <w:rsid w:val="00917A82"/>
    <w:rsid w:val="00C13354"/>
    <w:rsid w:val="00D64EFD"/>
    <w:rsid w:val="00DB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67D7"/>
  <w15:chartTrackingRefBased/>
  <w15:docId w15:val="{213C85DB-344F-4461-8E93-734CE4D4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40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40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14centralizado">
    <w:name w:val="tabela_texto_14_centralizado"/>
    <w:basedOn w:val="Normal"/>
    <w:rsid w:val="0040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051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cao">
    <w:name w:val="citacao"/>
    <w:basedOn w:val="Normal"/>
    <w:rsid w:val="0040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0518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40518E"/>
    <w:rPr>
      <w:color w:val="0000FF"/>
      <w:u w:val="single"/>
    </w:rPr>
  </w:style>
  <w:style w:type="paragraph" w:customStyle="1" w:styleId="textoalinhadodireita">
    <w:name w:val="texto_alinhado_direita"/>
    <w:basedOn w:val="Normal"/>
    <w:rsid w:val="0040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05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9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_Ato2011-2014/2013/Lei/L1284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1798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Eliezer Gentil de Souza</dc:creator>
  <cp:keywords/>
  <dc:description/>
  <cp:lastModifiedBy>Eliezer Gentil de Souza</cp:lastModifiedBy>
  <cp:revision>5</cp:revision>
  <dcterms:created xsi:type="dcterms:W3CDTF">2022-11-25T15:19:00Z</dcterms:created>
  <dcterms:modified xsi:type="dcterms:W3CDTF">2022-11-25T16:00:00Z</dcterms:modified>
</cp:coreProperties>
</file>