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9C8" w:rsidRPr="002B49C8" w:rsidRDefault="002B49C8" w:rsidP="002B49C8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aps/>
          <w:color w:val="000000"/>
          <w:sz w:val="24"/>
          <w:szCs w:val="24"/>
          <w:lang w:eastAsia="pt-BR"/>
        </w:rPr>
        <w:t xml:space="preserve">ESTUDO PRELIMINAR 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Processo nº 08320.005443/2020-38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AQUISIÇÃO DE MATERIAIS PERMANENTES E DE CONSUMO PARA AS UNIDADES DA PF/MT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INTRODUÇÃO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 presente Estudo Preliminar consolida as demandas e necessidades de aquisição de materiais permanentes e de consumo formalizados por unidades da Polícia Federal em Mato Grosso, conforme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p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rocesso nº 08320.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002030/2021-82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2B49C8" w:rsidRPr="002B49C8" w:rsidRDefault="002B49C8" w:rsidP="002B49C8">
      <w:pPr>
        <w:spacing w:after="0" w:line="240" w:lineRule="auto"/>
        <w:ind w:left="24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NORMATIVOS QUE DISCIPLINAM A AQUISIÇÃO A SER CONTRATADA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 aquisição de bens e insumos tem como seus principais regulamentos legais:</w:t>
      </w:r>
    </w:p>
    <w:p w:rsidR="002B49C8" w:rsidRPr="002B49C8" w:rsidRDefault="002B49C8" w:rsidP="002B49C8">
      <w:pPr>
        <w:numPr>
          <w:ilvl w:val="0"/>
          <w:numId w:val="1"/>
        </w:numPr>
        <w:spacing w:after="0" w:line="240" w:lineRule="auto"/>
        <w:ind w:left="120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Lei 8.666/93;</w:t>
      </w:r>
    </w:p>
    <w:p w:rsidR="002B49C8" w:rsidRPr="002B49C8" w:rsidRDefault="002B49C8" w:rsidP="002B49C8">
      <w:pPr>
        <w:numPr>
          <w:ilvl w:val="0"/>
          <w:numId w:val="1"/>
        </w:numPr>
        <w:spacing w:after="0" w:line="240" w:lineRule="auto"/>
        <w:ind w:left="120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Lei 10.520/2002;</w:t>
      </w:r>
    </w:p>
    <w:p w:rsidR="002B49C8" w:rsidRPr="002B49C8" w:rsidRDefault="002B49C8" w:rsidP="002B49C8">
      <w:pPr>
        <w:numPr>
          <w:ilvl w:val="0"/>
          <w:numId w:val="1"/>
        </w:numPr>
        <w:spacing w:after="0" w:line="240" w:lineRule="auto"/>
        <w:ind w:left="120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Decreto 10.024/2019</w:t>
      </w:r>
    </w:p>
    <w:p w:rsidR="002B49C8" w:rsidRPr="002B49C8" w:rsidRDefault="002B49C8" w:rsidP="002B49C8">
      <w:pPr>
        <w:numPr>
          <w:ilvl w:val="0"/>
          <w:numId w:val="1"/>
        </w:numPr>
        <w:spacing w:after="0" w:line="240" w:lineRule="auto"/>
        <w:ind w:left="120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IN 73/2020-ME</w:t>
      </w:r>
    </w:p>
    <w:p w:rsidR="002B49C8" w:rsidRPr="002B49C8" w:rsidRDefault="002B49C8" w:rsidP="002B49C8">
      <w:pPr>
        <w:numPr>
          <w:ilvl w:val="0"/>
          <w:numId w:val="1"/>
        </w:numPr>
        <w:spacing w:after="0" w:line="240" w:lineRule="auto"/>
        <w:ind w:left="120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Decreto 7.892/2013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Normas e especificações constantes deste estudo.</w:t>
      </w:r>
    </w:p>
    <w:p w:rsidR="002B49C8" w:rsidRPr="002B49C8" w:rsidRDefault="002B49C8" w:rsidP="002B49C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INCONSISTÊNCIAS OCORRIDAS NAS FASES DE PLANEJAMENTO DE CONTRATAÇÃO, SELEÇÃO DE FORNECEDOR E GESTÃO DE CONTRATO DA ÚLTIMA CONTRATAÇÃO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Não há relatos de inconsistências ocorridas nas fases de planejamento de contratação, seleção de fornecedor e gestão de contrato da última contratação.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NECESSIDADE DE CONTRATAÇÃO</w:t>
      </w:r>
    </w:p>
    <w:p w:rsidR="002B49C8" w:rsidRDefault="002B49C8" w:rsidP="002B49C8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 presente Estudo Preliminar consolida as demandas e necessidades de aquisição de materiais permanentes e de consumo formalizados por unidades da Polícia Federal em Mato Grosso, conforme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p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rocesso nº 08320.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002030/2021-82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2B49C8" w:rsidRPr="002B49C8" w:rsidRDefault="002B49C8" w:rsidP="002B49C8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REFERÊNCIA AOS INSTRUMENTOS DE PLANEJAMENTO DO ÓRGAO OU ENTIDADE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 contratação está alinhada com o Planejamento Estratégico da Polícia Federal, conforme os itens 9.4 e 9.7 do Anexo I da Portaria nº 4453/2014-DG/DPF, de 16 de maio de 2014, abaixo transcritos:</w:t>
      </w:r>
    </w:p>
    <w:p w:rsidR="002B49C8" w:rsidRPr="002B49C8" w:rsidRDefault="002B49C8" w:rsidP="002B49C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“9.4. Objetivo Institucional: Reduzir a Criminalidade: Reduzir a atuação da criminalidade organizada, aprimorando e modernizando constantemente as técnicas investigativas, em todos os segmentos de </w:t>
      </w:r>
      <w:proofErr w:type="gram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atuação.”</w:t>
      </w:r>
      <w:proofErr w:type="gramEnd"/>
    </w:p>
    <w:p w:rsidR="002B49C8" w:rsidRPr="002B49C8" w:rsidRDefault="002B49C8" w:rsidP="002B49C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"9.7. Objetivo Institucional: Otimizar o Emprego dos Bens e Recursos Materiais Modernizar a gestão do patrimônio e dos recursos materiais da instituição, aperfeiçoando o seu emprego e utilização."</w:t>
      </w:r>
    </w:p>
    <w:p w:rsidR="002B49C8" w:rsidRPr="002B49C8" w:rsidRDefault="002B49C8" w:rsidP="002B49C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REQUISITOS DE CONTRATAÇÃO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As obrigações da licitante e dos fornecedores estarão detalhadas no Termo de Referência.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ESTIMATIVAS DAS QUANTIDADES</w:t>
      </w:r>
    </w:p>
    <w:p w:rsidR="002B49C8" w:rsidRDefault="002B49C8" w:rsidP="002B49C8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 presente Estudo Preliminar consolida as demandas e necessidades de aquisição de materiais permanentes e de consumo formalizados por unidades da Polícia Federal em Mato Grosso, conforme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p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rocesso nº 08320.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002030/2021-82.</w:t>
      </w:r>
    </w:p>
    <w:p w:rsid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Após a consolidação das demandas recebidas foi elaborada a planilha abaixo:</w:t>
      </w:r>
    </w:p>
    <w:p w:rsidR="002B49C8" w:rsidRPr="002B49C8" w:rsidRDefault="002B49C8" w:rsidP="002B49C8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5227"/>
        <w:gridCol w:w="688"/>
        <w:gridCol w:w="1433"/>
        <w:gridCol w:w="544"/>
        <w:gridCol w:w="715"/>
        <w:gridCol w:w="626"/>
      </w:tblGrid>
      <w:tr w:rsidR="002B49C8" w:rsidRPr="002B49C8" w:rsidTr="002E529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ESPECICICAÇÃO DO OBJETO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CATMAT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REQUISITANTE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QUANT.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PREÇO REF.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TOTAL</w:t>
            </w:r>
          </w:p>
        </w:tc>
      </w:tr>
      <w:tr w:rsidR="002B49C8" w:rsidRPr="002B49C8" w:rsidTr="002E529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pt-BR"/>
              </w:rPr>
              <w:t>REFIL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de Filtro de água para ponto de uso (POU) 9 3/4”. Compatível com o </w:t>
            </w:r>
            <w:r w:rsidRPr="002B49C8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pt-BR"/>
              </w:rPr>
              <w:t>Filtro BBI Filtrações Modelo F230POU/BR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 - Filtro para ponto de uso (POU) 9 3/4”. Elemento filtrante de tripla filtração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carbon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block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Classe de retenção de partículas - Classe D. Redução do cloro livre – Aplicável. </w:t>
            </w:r>
            <w:r w:rsidRPr="002B49C8">
              <w:rPr>
                <w:rFonts w:ascii="Calibri" w:eastAsia="Times New Roman" w:hAnsi="Calibri" w:cs="Calibri"/>
                <w:i/>
                <w:iCs/>
                <w:color w:val="000000"/>
                <w:sz w:val="12"/>
                <w:szCs w:val="12"/>
                <w:lang w:eastAsia="pt-BR"/>
              </w:rPr>
              <w:t xml:space="preserve">Bacteriostático: controla a proliferação de bactérias. 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Certificado pelo Inmetro.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345066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40,66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1.626,40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Refletor LED 200W IP 65. Grau de proteção IP65. Ângulo de abertura 120°. Corpo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slim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em alumínio. Tensão de alimentação bivolt. Temperatura de cor 64.000 a 65.000K. Durabilidade de 25.000h. Fixação tipo alça. 1 ano de garantia.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47078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201,28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6.038,40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Exaustor Axial 20cm. Diâmetro: 20 cm. Comprimento aproximado: 160 mm. Carcaça: Chapa Aço. Hélices compostas de alumínio. Tensão: 127v. Potência aproximada: 41 W. Rotação aproximada: 1730 RPM. Vazão: 7,9 m3/min. Ruído máximo: 64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Dba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Cor: Preto. 1 ano de garantia.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474385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GID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271,67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1.358,35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Lavadora/secadora de roupas 11kg – 110v. Capacidade de lavagem: 11Kg; Capacidade de secagem mínima: 6Kg; Funções pré-programadas; Rotação do motor 1.400rpm; Abertura frontal; Painel display digital; Voltagem: 110v; Selo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Procel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Características adicionais: Tampa com visor transparente; pés niveladores,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dispensers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individuais, manual de instruções.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LOCAL DE ENTREGA: CUIABÁ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445415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3.490,39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3.490,39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Lavadora/secadora de roupas 11kg – 110v. Capacidade de lavagem: 11Kg; Capacidade de secagem mínima: 6Kg; Funções pré-programadas; Rotação do motor 1.400rpm; Abertura frontal; Painel display digital; Voltagem: 110v; Selo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Procel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Características adicionais: Tampa com visor transparente; pés niveladores,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dispensers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individuais, manual de instruções.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LOCAL DE ENTREGA: CÁCERES/MT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445415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3.490,39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3.490,39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Dispensador para papel toalha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interfolhas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Dispensador para papel toalha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interfolhas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em plástico ABS com capacidade mínima de 1.000 folhas.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422804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37,52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1.350,72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Lixeiras 100 litros tipo balde cor preto. Lixeira 100 L, Tipo balde, com alças nas laterais, na cor Preta, Material em plástico, com tampa basculante. Diâmetro: 51cm altura: 69cm.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296444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83,12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1.994,88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Lixeiras basculantes 60 litros cor marrom. Lixeira Basculante 50L/60L, na cor marrom,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adesivada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para reciclagem de lixo orgânico, formato quadrado, material plástico. Com tampa.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296445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65,59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1.902,11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Suporte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dispenser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para copo descartável 180/200ml. Suporte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dispenser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para copo descartável de água 180/200 ml - com capacidade mínima de 100 copos, suporte modelo poupa Copo.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383077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56,95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1.309,85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Impressora portátil com conexão sem fio. Conexões: USB e WI-FI. Alimentação: bateria recarregável com carregador bivolt. Impressão em cor e preto e branco. Velocidade de impressão: 10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ppm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na cor preta e 7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ppm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no modo colorido. Marca/modelo de Referência: HP OFFICEJET 200 ou de melhor qualidade.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392304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BRG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2.001,81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4.003,62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Pilha tamanho palito, modelo AAA, sistema de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Lithium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Pilha tamanho palito, modelo AAA, sistema de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Lithium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com tensão nominal de 1,5V cc. Marca/modelo de referência: ENERGIZER ULTIMATE LITHIUM AAA ou de melhor qualidade.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432380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24 BRG + 40 GISE + 40 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21,59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2.245,36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Mini compressor de ar portátil com bico para inflar pneus de automóveis. Cabo elétrico com plugue e fusível para tomada de energia veicular/acendedor de cigarros 12 Volts (3,0 metros); Mangueira de inflar com bico (50 centímetros); Cabo elétrico com plugue para tensão alternada, conforme NBR 14136 (1,8 metros). Pressão de Operação: 40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psi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Marca/modelo de Referência:  Duo Air Plus – Schulz ou de melhor qualidade.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268844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BRG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692,58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1.385,16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Fechadura eletrônica com biometria e senha numérica. Fechadura eletrônica com biometria e senha numérica. Aplicação em portas de madeira. Leitor biométrico capacitivo de alta precisão; Cadastro de até 100 biometrias; Cadastro de até 4 senhas; </w:t>
            </w:r>
            <w:proofErr w:type="gram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Para</w:t>
            </w:r>
            <w:proofErr w:type="gram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portas de madeira com espessura de 25 a 50mm; Travamento de porta com mecanismo de alta resistência; Teclado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touch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screen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; Sinalização de pilha fraca; Função não perturbe; Alimentação por pilhas alcalinas AA.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150635108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BRG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2.212,45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11.062,25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Mola aérea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automatizadora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para porta. Material: Alumínio. Tipo: hidráulica, aérea. Componentes braço e válvulas independentes. Acabamento: pintado na cor prata. Características adicionais: Para portas de aproximadamente 900x2100 e peso de 45kg; regulagem de fechamento de 90º a 15º e de 15º a 0º por válvulas independentes; Braço reforçado e ajustável conforme a necessidade de instalação; utilização reversível, podendo ser instalada em portas com abertura direita ou esquerda; Funcionamento mecânico-hidráulico resistente a corrosão.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250420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15 BRG + 11 NAD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155,88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4.052,88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Carregador portátil de bateria automotiva. Com velocidade de carga lenta e rápida; tensão alimentação 110/ 220 v. Conta com proteção contra curto-circuito. Informações Complementares: Capacidade de carga da bateria: 12 V: 6 Ah - 160 Ah / Tensão de saída do carregador de bateria: 12V - 14,7V / Corrente de carga da bateria: 12 V: 2 A - 8 A / Potência (W): 127 W / Corrente de entrada (A): N/A.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401933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BRG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751,06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2.253,18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Sistema de Monitoramento via Satélite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Rastreador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Equipamento rastreador de objetos via satélite discreto (peso inferior a 100 gramas e dimensões inferiores a 7 cm </w:t>
            </w:r>
            <w:proofErr w:type="gram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x</w:t>
            </w:r>
            <w:proofErr w:type="gram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6 cm x 3 cm), com as seguintes funções: rastreamento em tempo real, rastreamento ativado por movimento, alerta de movimento, aviso de desligamento, envio de mensagem de bateria/pilhas fracas e de mensagem de status do aparelho. Deve possibilitar o acompanhamento via computador e via aplicativo instalado em aparelho telefônico. Deve incluir baterias/pilhas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nimh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ou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lithium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de longa duração (superior a dois meses com aparelho ligado constantemente e emitindo a localização a cada 5 minutos durante uma hora por dia, no mínimo) e cabo USB para alimentação, transmissão de dados e atualização das configurações. O fornecimento do aparelho deve incluir o acesso aos softwares de acompanhamento pelo período mínimo de um ano. Marca/modelo de Referência: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GLOBALSTAR SPOT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TRACE ou de melhor qualidade.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464775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BRG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839,70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4.198,50 </w:t>
            </w:r>
          </w:p>
        </w:tc>
      </w:tr>
      <w:tr w:rsidR="002B49C8" w:rsidRPr="002B49C8" w:rsidTr="002E529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Sistema de Posicionamento Global –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GPS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Com câmera digital integrada de 8mp,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gps+glonass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; mapa base; capacidade de incluir novos mapas,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birdseye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bússula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eletrônica em 3 eixos, altímetro barométrico, dispositivo portátil resistente com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gps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glonass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conectividade sem fio e câmera digital: câmera de 8mp com foco automático 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geomarcas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automáticas;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gps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de alta sensibilidade e receptor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glonass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com antena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helix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quadrupla;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bússula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de três eixos com altímetro barométrico e tecnologia de conectividade sem fio via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bluetooth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 ou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ant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+®, resistente a água, leitor de cartão, memória interna 4gb, resolução da tela colorida, visor TFT, 160x240 pixels, legível sob a luz solar, : alça para transporte, cabo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usb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; carregador de bateria, 2 baterias de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nimh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ou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lithium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recarregável. </w:t>
            </w:r>
            <w:proofErr w:type="gram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garantia</w:t>
            </w:r>
            <w:proofErr w:type="gram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: mínima de 12 (doze) meses. Marca/modelo de Referência: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GARMIN 64CSX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ou de melhor qualidade.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108774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4.096,59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20.482,95 </w:t>
            </w:r>
          </w:p>
        </w:tc>
      </w:tr>
      <w:tr w:rsidR="002B49C8" w:rsidRPr="002B49C8" w:rsidTr="002E529E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 xml:space="preserve">SOFÁ DE 02 LUGARES. 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Característica principal: - Sofá de dois lugares revestido em couro ecológico. Dimensões: Altura total: 830 mm; Profundidade total: 800 mm; Altura do assento: 450 mm; Largura total: 1.350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-1.600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mm; Especificações técnicas: Sofá de dois lugares em linhas retas com revestimento em couro ecológico,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na cor café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composto a base em 50% de algodão e 50% poliéster e a superfície com 93.2% de PVC e 6.8% de poliuretano ou de melhor qualidade. A almofada do assento solta é composta por uma camada de espuma laminada D-26 Soft com 14 cm de espessura, e o encosto fixo com uma camada de espuma laminada 23 Soft e HS71, com 10 cm de espessura. Para maior conforto, deverá ser utilizada uma camada de fibra 2TB150 e o encosto com inclinação de 102°. Toda a armação em madeira selecionada de eucalipto e compensado de pinos, com cintas elásticas, grampos galvanizados, pés cromados com altura de 14 cm, diâmetro da haste de 50 mm, sapatas de 70 mm e feltro sem regulagem. Garantia mínima de 05 anos dada pelo fabricante. Apresentar para este item certificado de conformidade de produto da ABNT de acordo com as normas NBR 15164:2004 ou versão mais recente e NR 17. ” (NR).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LOCAL DE ENTREGA: CÁCERES/MT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481045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1.948,00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3.896,00 </w:t>
            </w:r>
          </w:p>
        </w:tc>
      </w:tr>
      <w:tr w:rsidR="002B49C8" w:rsidRPr="002B49C8" w:rsidTr="002E529E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SOFÁ DE 03 LUGARES.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Característica principal: - Sofá de três lugares revestido em couro ecológico. Dimensões: Altura total: 830 mm; Profundidade total: 800 mm; Altura do assento: 450 mm; Largura total: 1.900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-2.200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mm; Especificações técnicas: Sofá de três lugares em linhas retas com revestimento em couro ecológico,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na cor café,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composto a base em 50% de algodão e 50% poliéster e a superfície com 93.2% de PVC e 6.8% de poliuretano ou de melhor qualidade. A almofada do assento solta é composta por uma camada de espuma laminada D-26 Soft com 14 cm de espessura, e o encosto fixo com uma camada de espuma laminada 23 Soft e HS71, com 10 cm de espessura. Para maior conforto, deverá ser utilizada uma camada de fibra 2TB150 e o encosto com inclinação de 102°. Toda a armação em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madeira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selecionada de eucalipto e compensado de pinos, com cintas elásticas, grampos galvanizados,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pés cromados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com altura de 14 cm, diâmetro da haste de 50 mm, sapatas de 70 mm e 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lastRenderedPageBreak/>
              <w:t xml:space="preserve">feltro sem regulagem. Garantia mínima de 05 anos dada pelo fabricante. Apresentar para este item certificado de conformidade de produto da ABNT de acordo com as normas NBR 15164:2004 ou versão mais recente e NR 17. ” (NR).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LOCAL DE ENTREGA: CÁCERES/MT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lastRenderedPageBreak/>
              <w:t>481047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2.752,88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5.505,76 </w:t>
            </w:r>
          </w:p>
        </w:tc>
      </w:tr>
      <w:tr w:rsidR="002B49C8" w:rsidRPr="002B49C8" w:rsidTr="002E529E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HD SSD 240GB. Deve possuir padrão SSD 2.5" SATA 3.0 (6gb/S) ou superior; possuir velocidade de leitura de 500 MB/s, pelo menos; velocidade de gravação de 300 MB/s, pelo menos; possuir expectativa de vida útil de 1 milhão de horas, pelo </w:t>
            </w:r>
            <w:proofErr w:type="gram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menos;  possuir</w:t>
            </w:r>
            <w:proofErr w:type="gram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garantia padrão do fabricante. características adicionais memória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nand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flash,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trim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smart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windows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xp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/vista/7.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465014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 CAE + 90 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257,01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25.701,00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HD SSD 480GB. Deve possuir padrão SSD 2.5" SATA 3.0 (6gb/S) ou superior; possuir velocidade de leitura de 500 MB/s, pelo menos; velocidade de gravação de 300 MB/s, pelo menos; possuir expectativa de vida útil de 1 milhão de horas, pelo </w:t>
            </w:r>
            <w:proofErr w:type="gram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menos;  possuir</w:t>
            </w:r>
            <w:proofErr w:type="gram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garantia padrão do fabricante. características adicionais memória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nand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flash,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trim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smart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windows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xp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/vista/7.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479103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 CAE + 90 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427,65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42.765,00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HD SSD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 xml:space="preserve"> 01TB.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Deve possuir padrão SSD 2.5" SATA 3.0 (6gb/S) ou superior; possuir velocidade de leitura de 500 MB/s, pelo menos; velocidade de gravação de 300 MB/s, pelo menos; possuir expectativa de vida útil de 1 milhão de horas, pelo </w:t>
            </w:r>
            <w:proofErr w:type="gram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menos;  possuir</w:t>
            </w:r>
            <w:proofErr w:type="gram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garantia padrão do fabricante. características adicionais memória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nand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flash,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trim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smart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windows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xp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/vista/7.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480872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01 CAE + 9 SR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875,58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8.755,80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Câmera IP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Bullet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FULL HD, IP66,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color &amp;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pb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, autofoco, Inteligência artificial, detecção facial, mapa de calor, contagem de pessoas, detecção de movimentos, máscara de vídeo,  infravermelho de 80 metros,  gravação de imagens e captação de áudio do ambiente, sensibilidade dia e noite, compressão de vídeo H.265/ H.264/H.264H/H.264B/MJPEG, </w:t>
            </w: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lentes de 2.8 a 12mm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473695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1.967,00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29.505,00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Switch HDMI 3/1, 4K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479396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B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81,50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81,50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Cabo de rede BLINDADOS para uso externo e interno, CAT6, 4VIAS, com certificação ANATEL, CAIXA 305M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396854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B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1.112,82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3.338,46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CABO DE REDE CAT.6 (CAIXA COM 305 METROS). Categoria: CAT.6; Construção: U/UTP – 4 pares trançados compostos de condutores sólidos de cobre nu, 24 AWG, isolados em polietileno; Cor padrão: Azul claro; Capa externa: PVC, CMX; Embalagem: Caixa em lance padrão de 305 metros; Marcação sequencial métrica decrescente (305 – 0 m); Diâmetro nominal: 6,0 mm; Produto que atende as políticas de respeito ao meio ambiente; Homologado pela ANATEL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396854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 CAE + 10 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B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902,64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11.734,32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Adaptador Conversor HDMI FULL HD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389986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286,09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858,27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Conectores CAT5E 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318595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100 CAE + 100 NTI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6,51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1.302,00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CÂMERA IP 4 MP Tipo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Bullet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. Sensor de imagem 1/3” 4 megapixels CMOS; Lente 3.6 mm; Obturador </w:t>
            </w:r>
            <w:proofErr w:type="gram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eletrônico Automático</w:t>
            </w:r>
            <w:proofErr w:type="gram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/ Manual (1/3s ~ 1/100000s); Corpo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Bullet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Interface Web; Grau de Proteção IP 67; Infravermelho com alcance mínimo de 30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mts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com função HLC; Alimentação Power Over Ethernet -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Taxa de compressão de vídeo H.264/H.264B/H.265/H.265+; Protocolo ONVIF.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Intelbras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VIP 1430 B ou similar.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473695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762,32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53.362,40 </w:t>
            </w:r>
          </w:p>
        </w:tc>
      </w:tr>
      <w:tr w:rsidR="002B49C8" w:rsidRPr="002B49C8" w:rsidTr="002E529E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GRAVADOR DIGITAL DE VÍDEO – NVR. Gravador Digital de Vídeo em rede, 32 canais IP de gravação; Compatível com tecnologia H.265 e H.265+; Protocolo ONVIF; Suporte e gerenciamento de câmeras com reconhecimento facial; Saídas de vídeo HDMI e VGA; Suporte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a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gravação com resolução de até 8MP; Sistema de compressão dos arquivos H.265+, H.265, H.264+, H.264, MJPEG; Suporte à relatórios e gravação de inteligências de vídeo, suporte à analíticos de vídeo enviados através das câmeras IP como linha virtual, cerca virtual, abandono/retirada de objetos; Controle PTZ através de rede TCP/IP para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speed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domes IP; Porta USB para backup; 2 ou mais portas RJ45, (10/100/1000Mbps); Suporte mínimo de 4 HDs SATA 3 com capacidade de armazenamento de 12TB cada.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Intelbras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NVD 7132 ou similar.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480124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CAE+SELOG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5.242,64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36.698,48 </w:t>
            </w:r>
          </w:p>
        </w:tc>
      </w:tr>
      <w:tr w:rsidR="002B49C8" w:rsidRPr="002B49C8" w:rsidTr="002E529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SWITCH 24 PORTAS GIGABIT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GERENCIÁVEL. Switch 24 portas 10/100/1000Base-T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com negociação automática; 4 portas SFP; </w:t>
            </w:r>
            <w:proofErr w:type="gram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Gerenciável</w:t>
            </w:r>
            <w:proofErr w:type="gram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nível 2; Fornecimento de até 193W nas portas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Capacidade de comutação de até 128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Gbps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Garantia do fabricante mínima de 60 meses. Referência: Aruba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Instant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On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1930 (JL683A) ou similar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438620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5.376,41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64.516,92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SWITCH 48 PORTAS GIGABIT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GERENCIÁVEL. Switch 48 portas 10/100/1000Base-T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com negociação automática; 4 portas SFP; </w:t>
            </w:r>
            <w:proofErr w:type="gram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Gerenciável</w:t>
            </w:r>
            <w:proofErr w:type="gram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nível 2; Fornecimento de até 370W nas portas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Capacidade de comutação de até 176Gbps; Garantia do fabricante mínima de 60 meses.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Referência:Aruba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Instant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On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1930 (JL686A) ou similar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122971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12.603,62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75.621,72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UMIDIFICADOR DE AMBIENTE. Umidificador e purificador ambiente; capacidade mínima 3,6 litros; voltagem: 110/220v, regulagem intensidade de névoa; portátil; tipo: ultrassônico. Referência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Waterclear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405917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251,05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30.126,00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BALANÇA INDUSTRIAL ELETRÔNICA DIGITAL.</w:t>
            </w: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Balança eletrônica; capacidade pesagem 200 kg; precisão 50g; tensão bivolt; dimensões aproximadas da plataforma: 50x50cm; sem coluna; painel digital remoto; pés reguláveis; material aço inoxidável.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384273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1.954,38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11.726,28 </w:t>
            </w:r>
          </w:p>
        </w:tc>
      </w:tr>
      <w:tr w:rsidR="002B49C8" w:rsidRPr="002B49C8" w:rsidTr="002E529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FORNO MICROONDAS mínimo 30L. Forno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microondas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com capacidade mínima de 30 litros; cor branca; prato giratório; relógio; tecla descongelar; puxador; tensão conforme ordem de fornecimento; classificação energética "A"; garantia mínima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391765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723,62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4.341,72 </w:t>
            </w: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FRIGOBAR COMPACTO. Frigobar compacto; capacidade mínima de 110-130 litros, tensão conforme ordem de fornecimento; cor branca; classificação energética "A"; garantia mínima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397746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1.315,24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42.087,68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lastRenderedPageBreak/>
              <w:t>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FOGÃO 4 BOCAS. Fogão convencional 4 bocas; branco, acendimento automático das 4 chamas e do forno; classificação energética "A"; garantia mínima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425200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763,98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2.291,94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APARELHO DE AR CONDICIONADO TIPO MULTI SPLIT INVERTER. 01 (uma) Condensadora capacidade mínima de 24.000BTUs; 03 (três) evaporadoras 9.000BTUs; inverter; HI WALL; tensão 220v; baixo nível de ruído; com controle remoto distinto para cada unidade evaporadora; gás R410A; garantia mínima de fábrica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396323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11.932,00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23.864,00 </w:t>
            </w:r>
          </w:p>
        </w:tc>
      </w:tr>
      <w:tr w:rsidR="002B49C8" w:rsidRPr="002B49C8" w:rsidTr="002E529E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APARELHO DE AR CONDICIONADO TIPO SPLIT INVERTER 24.000BTU. Aparelho de ar condicionado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split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inverter; tipo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Hi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-Wall; potência de refrigeração 24.000BTU; ciclo frio; tensão 220v; com controle remoto sem fio; gás R410A; eficiência energética Classe A; garantia mínima de fábrica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440747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4.167,27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41.672,70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APARELHO DE AR CONDICIONADO TIPO SPLIT INVERTER 18.000BTU. Aparelho de ar condicionado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split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inverter; tipo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Hi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-Wall; potência de refrigeração18.000BTU; ciclo frio; tensão 220v; com controle remoto sem fio; gás R410A; eficiência energética Classe A; garantia mínima de fábrica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461900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3.518,48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42.221,76 </w:t>
            </w: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APARELHO DE AR CONDICIONADO TIPO SPLIT INVERTER 12.000BTU. Aparelho de ar condicionado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split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inverter; tipo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Hi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-Wall; potência de refrigeração 12.000BTU; ciclo frio; tensão 220v; com controle remoto sem fio; gás R410A; eficiência energética Classe A; garantia mínima de fábrica de 12 meses.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440744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2.655,86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7.967,58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CÂMERA DE AÇÃO 4K A PROVA D'ÁGUA. Câmera de ação; a prova d'água sem necessidade de capas; resolução de gravação 12MP; resolução de vídeo 1080p e 4K; tela LCD 2pol sensível ao toque; estabilização de vídeo; acompanhada de cartão de memória compatível de 128Gb classe 10 ou superior.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GoPro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Hero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8 Black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469905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3.359,71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77.273,33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RESERVATÓRIO DE COMBUSTÍVEL (1.000L) COM KIT PARA ABASTECIMENTO. Kit de abastecimento para combustível (óleo diesel) com bomba 12V e reservatório de 1000 Litros; vazão de 40 l/min;  acompanha bomba à bateria 12v; medidor mecânico ou digital de 3 dígitos; bico manual; mangueira de abastecimento de 12 (doze) metros 3/4'; mangueira de sucção e conexões para ligação da bomba ao reservatório; reservatório IBC com capacidade de 1000 litros homologado pelo Inmetro; dimensões aproximadas A x L x P: 1165 x 1000 x 1210 mm.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8028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4.015,73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4.015,73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TV LED SMART 43' 4K. Televisor de LED; tela de 43 polegadas; resolução 4 K; tipo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Smart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TV; conectividade Wi-Fi e Ethernet; controle remoto; garantia de fábrica de 01 (um) ano.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479242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2.315,79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11.578,95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CAIXA ACÚSTICA ATIVA. Caixa acústica 300w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rms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alto-falante de 15'; driver de titânio 1 1/4'; comunicação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bluetooth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reprodutor de MP3 via USB e SD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Card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controle Remoto;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presets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de equalização; receptor FM; entradas balanceadas XLR e TRS 1/4'; entradas P2 e RCA; bivolt automático </w:t>
            </w: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lastRenderedPageBreak/>
              <w:t>(100~240Vac); angulação para uso como monitor (L/R); 03 pontos para montagem '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Fly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'; encaixe para pedestal com trava; garantia de fábrica de 01 (um) ano. Modelo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Staner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SR-315A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lastRenderedPageBreak/>
              <w:t>460691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2.570,59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17.994,13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7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 xml:space="preserve">MICROFONE SEM FIO (PAR) COM BASE. </w:t>
            </w: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Microfone duplo sem fio UHF; alimentação com 2 pilhas AA; handheld (bastão); globo e corpo em alumínio; cápsula dinâmico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cardióide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botão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On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/Off; resposta de frequência: 50 – 12.000Hz; Receptor RX/RECEIVER; grupos programados: 9 grupos com 9 canais de frequências; alcance dinâmico: 90dB; saídas XLR balanceadas A e B; saída P10 para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mix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canal A+B; sincronização através de IR; distância entre TX e RX: 30M; Display em LCD com informações básicas (frequência, grupo, canal, AF, RF, aviso de pilhas com baixa carga); antenas omnidirecional ½ comprimento de onda, BNC; garantia de fábrica de 01 (um) ano. Modelo de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Kadosh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K-492M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470932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2.031,25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10.156,25 </w:t>
            </w:r>
          </w:p>
        </w:tc>
      </w:tr>
      <w:tr w:rsidR="002B49C8" w:rsidRPr="002B49C8" w:rsidTr="002E529E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MESA DE SOM 6 CANAIS. Mesa de som de 06 (seis) canais/entradas com função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Phantom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pelo menos 02 entradas para microfone balanceadas (XLR) e 02 entradas P10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stereo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ajuste de ganho por canal; efeito de voz; entrada USB;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phantom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power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(+48V). Modelo de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Sound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Voice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MC6-BT /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Soundcraft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SX602FX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388576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968,22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4.841,10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8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MICROFONE TIPO GOOSENECK SEM FIO COM BASE (KIT C/ 04)</w:t>
            </w: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. Sistema 4 microfones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gooseneck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sem fio; receptor com controle de volume independente, 2 antenas, saídas P10 individuais ou mixadas; transmissores (microfones) com alcance de 50m; alimentação por pilhas ou baterias. Modelo de referência: CSR 840 B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480211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2.242,68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2.242,68 </w:t>
            </w:r>
          </w:p>
        </w:tc>
      </w:tr>
      <w:tr w:rsidR="002B49C8" w:rsidRPr="002B49C8" w:rsidTr="002E529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PATCH CORD 2,5m COR AZUL. Cabo rede montado de fábrica; tipo cabo patch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cord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bitola condutor 24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awg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; conectores RJ-45; capas termoplásticas; categoria CAT.6; comprimento 2,5m; montagem T568A; cor azul; Certificado ANATEL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465451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20,60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4.120,00 </w:t>
            </w: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MÍDIA BLU-RAY 25GB GRAVÁVEL. Disco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gravável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BD-R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blu-ray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; capacidade 25Gb; velocidade gravação 4x; acondicionado em caixa individual ou tubo.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398248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6,36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3.180,00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FONES DE OUVIDO SEM FIO. Fone de ouvido sem fio; tipo em torno da orelha (over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ear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);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bluetooth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5.1; microfone incorporado; tipo de conector USB tipo C; até 40 horas de bateria. Modelo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Edifier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W800BT Plus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480914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393,84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19.692,00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CARTÃO SDXC 128Gb. Cartão de memória SDXC; capacidade 128Gb; classe 10.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247032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242,30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8.480,50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CONECTOR RJ45 CAT6. Conector RJ-45 Cat6, macho.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375963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1,08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432,00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HD EXTERNO 1TB.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Disco Rígido Externo de 1 TB; ENERGIZÁVEL;  tamanho de 2,5pol; conexão USB 3.0 (compatível com USB 2.0); sistema de arquivos: pré-formatado para NTFS, compatível com Windows® XP, Windows Vista®, Windows® 7, Mac OS® X Tiger®,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Leopard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Snow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Leopard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®, Linux 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FreeBSD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; alimentação direta pela porta USB; não necessita de fonte de alimentação separada; garantia mínima do fabricante de 01 ano.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480872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368,22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18.411,00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HD EXTERNO 2TB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Disco Rígido Externo de 2 TB; ENERGIZÁVEL; tamanho de 2,5pol; conexão USB 3.0 (compatível com USB 2.0); sistema de arquivos: pré-formatado para NTFS, compatível com Windows® XP, Windows Vista®, Windows® 7, Mac OS® X Tiger®,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Leopard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Snow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Leopard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®, Linux 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FreeBSD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; alimentação direta pela porta USB; não necessita de fonte de alimentação separada; garantia mínima do fabricante de 01 ano.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479104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554,40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22.176,00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HD EXTERNO 4TB.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Disco Rígido Externo de 4 TB; ENERGIZÁVEL; tamanho de 2,5pol; conexão USB 3.0 (compatível com USB 2.0); sistema de arquivos: pré-formatado para NTFS, compatível com Windows® XP, Windows Vista®, Windows® 7, Mac OS® X Tiger®,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Leopard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®,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Snow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Leopard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®, Linux e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FreeBSD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; alimentação direta pela porta USB; não necessita de fonte de alimentação separada; garantia mínima do fabricante de 01 ano.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478334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711,25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28.450,00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HD 10TB CFTV</w:t>
            </w: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. Disco rígido específico para gravação de CFTV; Capacidade de armazenamento 10TB; Interface SATA 3. Referência: HD WD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Purple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WD100PUR ou similar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481607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2.611,50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73.122,00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MEMÓRIA RAM PARA NOTEBOOK. 8gb DDR4 PC4-266V-SA1-11 1RX8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471998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341,28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13.651,20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TECLADO ABNT. Especificações: Compatível com: Windows 7, Windows Vista, Windows 98/2000/XP/Pro/Home/Media Center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Edition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/Tablet PC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Edition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. Interface: USB. Cor: Preto. Design ergonômico. Conexão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plug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-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and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-play. Com fio. Ajuste de altura. Resistente a derramamentos de líquidos.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451819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42,26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1.267,80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Mouse.</w:t>
            </w: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 Compatível com: Windows 7, Windows Vista, Windows 98/2000/XP/Pro/Home/Media Center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Edition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/Tablet PC </w:t>
            </w:r>
            <w:proofErr w:type="spellStart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Edition</w:t>
            </w:r>
            <w:proofErr w:type="spellEnd"/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. Interface: USB. Cor: Preto. Botões personalizáveis. Design ergonômico. 3 Botões Scroll.  Marca de referência: Logitech, modelo M90.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457752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45,15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1.354,50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Kit de Teclado e Mouse sem fio, compatível com sistemas operacionais Linux e Windows 7 ou superior, conexão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bluetooth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ou wireless 2.4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Ghz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Padrão ABNT e ABNT2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445539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175,84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8.792,00 </w:t>
            </w: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Placa controladora de vídeo com memória de GDDR5 4GB, PCI Express 2.0 x16, interface de memória 128 bit, velocidade 80GB/s. Marca Referência: Gigabyte NVIDIA GeForce GTX 1050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352335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1.845,96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9.229,80 </w:t>
            </w: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Pente de memória SDRAM DDR4, com capacidade de 16GB para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pc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471257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629,84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6.298,40 </w:t>
            </w: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Pen drive USB 3.0 32 GB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392690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67,06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2.011,80 </w:t>
            </w: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Gravador/Leitor de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BluRay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/DVD/CD, tipo drive Externo USB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398251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785,08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7.850,80 </w:t>
            </w: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Filtro de linha 10A, 5 tomadas padrão novo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454439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NTI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72,85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2.185,50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CÂMERA IP 4 MP Tipo Dome. Sensor de imagem 1/3” 4 megapixels CMOS; Lente 2.8 mm; Obturador </w:t>
            </w:r>
            <w:proofErr w:type="gram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eletrônico Automático</w:t>
            </w:r>
            <w:proofErr w:type="gram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/ Manual (1/3s ~ 1/100000s); Corpo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Bullet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Interface Web; Grau de Proteção IP 67; Infravermelho com alcance mínimo de 30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mts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com função HLC; Alimentação Power Over Ethernet -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PoE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Taxa de compressão de vídeo H.264/H.264B/H.265/H.265+; Protocolo ONVIF. Referência: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Intelbras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VIP 1430 D ou similar.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473695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698,86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64.295,12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pt-BR"/>
              </w:rPr>
              <w:t>COLCHÃO SOLTEIRO D45.</w:t>
            </w: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 Colchão tipo espuma material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extrafirme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; alta resistência densidade D45 ou superior; Tecido de revestimento misto algodão e viscose; largura x comprimento 0,88 x 1,88 m, altura mínima 0,20 m; Tecido antialérgico (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antifungo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/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antimofo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/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antiácaro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).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459471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634,73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12.694,60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69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PATCH CORD 1,5m COR BRANCA. Cabo rede montado de fábrica; tipo cabo patch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cord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 xml:space="preserve">; bitola condutor 24 </w:t>
            </w:r>
            <w:proofErr w:type="spellStart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awg</w:t>
            </w:r>
            <w:proofErr w:type="spellEnd"/>
            <w:r w:rsidRPr="002B49C8"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  <w:t>; conectores RJ-45; capas termoplásticas; categoria CAT.6; comprimento 1,5m; montagem T568A; cor branca; Certificado ANATEL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335301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SELOG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500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20,12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2B49C8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10.060,00 </w:t>
            </w: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  <w:tr w:rsidR="002B49C8" w:rsidRPr="002B49C8" w:rsidTr="002E529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9C8" w:rsidRPr="002B49C8" w:rsidRDefault="002B49C8" w:rsidP="002E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</w:p>
        </w:tc>
      </w:tr>
    </w:tbl>
    <w:p w:rsidR="002B49C8" w:rsidRPr="002B49C8" w:rsidRDefault="002B49C8" w:rsidP="002B49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B49C8" w:rsidRPr="002B49C8" w:rsidRDefault="002B49C8" w:rsidP="002B49C8">
      <w:pPr>
        <w:spacing w:after="0" w:line="240" w:lineRule="auto"/>
        <w:ind w:left="24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LEVANTAMENTO DE MERCADO E JUSTIFICATIVA DA ESCOLHA DO TIPO DE SOLUÇÃO A CONTRATAR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O objeto deste certame é de natureza comum, enquadra-se no parágrafo único, do art. 1º da Lei 10.520, de 2002, que considera bens e serviços comuns, para os fins e feitos deste artigo, aqueles cujos padrões de desempenho e qualidade possam ser objetivamente definidos pelo edital, por meio de especificações no mercado.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lastRenderedPageBreak/>
        <w:t>A pesquisa de preço atende a IN 73/2020-ME, com o uso de Banco de Preços, de contratações dos últimos 180 dias, cotação junto a fornecedores ou pesquisa publicada em mídia especializada.</w:t>
      </w:r>
    </w:p>
    <w:p w:rsidR="002B49C8" w:rsidRPr="002B49C8" w:rsidRDefault="002B49C8" w:rsidP="002B49C8">
      <w:pPr>
        <w:spacing w:after="0" w:line="240" w:lineRule="auto"/>
        <w:ind w:left="24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ESTIMATIVAS DE PREÇOS OU PREÇOS REFERENCIAIS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Os preços médios foram formados de acordo com a IN 73/2020-ME, sendo priorizados os preços de contratações recentes, dos últimos 180 dias.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Apenas o item 43 (Reservatório de combustível) 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não foi possível a formação do preço médio com 03 orçamentos de contratações públicas, foram complementadas com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2 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preços de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sites de domínio público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. O preço médio da maioria dos itens fo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i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formado com a coleta de 0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5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preços. Quando algum preço diferenciava de outro 30% para mais ou para menos, foi excluído da composição do preço médio.</w:t>
      </w:r>
    </w:p>
    <w:p w:rsidR="002B49C8" w:rsidRPr="002B49C8" w:rsidRDefault="002B49C8" w:rsidP="002B49C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DESCRIÇÃO DA SOLUÇÃO COMO UM TODO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Aquisição dentro do preço médio de mercado, via pregão eletrônico, de materiais permanentes e de consumo com entrega no Estado de Mato Grosso, devendo os itens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2B49C8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>04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>; 18 e 19</w:t>
      </w:r>
      <w:r w:rsidRPr="002B49C8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 xml:space="preserve"> serem entregues na Delegacia de Polícia Federal na cidade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 xml:space="preserve"> </w:t>
      </w:r>
      <w:r w:rsidRPr="002B49C8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 xml:space="preserve">de 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>Cáceres/MT</w:t>
      </w:r>
      <w:r w:rsidRPr="002B49C8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pt-BR"/>
        </w:rPr>
        <w:t>.</w:t>
      </w:r>
      <w:r>
        <w:rPr>
          <w:rFonts w:eastAsia="Times New Roman" w:cstheme="minorHAnsi"/>
          <w:bCs/>
          <w:iCs/>
          <w:color w:val="000000"/>
          <w:sz w:val="24"/>
          <w:szCs w:val="24"/>
          <w:lang w:eastAsia="pt-BR"/>
        </w:rPr>
        <w:t xml:space="preserve"> </w:t>
      </w:r>
      <w:r w:rsidRPr="0027751C">
        <w:rPr>
          <w:rFonts w:eastAsia="Times New Roman" w:cstheme="minorHAnsi"/>
          <w:color w:val="000000"/>
          <w:sz w:val="24"/>
          <w:szCs w:val="24"/>
          <w:lang w:eastAsia="pt-BR"/>
        </w:rPr>
        <w:t xml:space="preserve">Delegacia de Polícia Federal em Cáceres/MT - Av. Getúlio Vargas, esquina com a Rua </w:t>
      </w:r>
      <w:proofErr w:type="spellStart"/>
      <w:r w:rsidRPr="0027751C">
        <w:rPr>
          <w:rFonts w:eastAsia="Times New Roman" w:cstheme="minorHAnsi"/>
          <w:color w:val="000000"/>
          <w:sz w:val="24"/>
          <w:szCs w:val="24"/>
          <w:lang w:eastAsia="pt-BR"/>
        </w:rPr>
        <w:t>Membeca</w:t>
      </w:r>
      <w:proofErr w:type="spellEnd"/>
      <w:r w:rsidRPr="0027751C">
        <w:rPr>
          <w:rFonts w:eastAsia="Times New Roman" w:cstheme="minorHAnsi"/>
          <w:color w:val="000000"/>
          <w:sz w:val="24"/>
          <w:szCs w:val="24"/>
          <w:lang w:eastAsia="pt-BR"/>
        </w:rPr>
        <w:t>, Bairro COC - Cáceres/MT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JUSTIFICATIVA PARA O PARCELAMENTO OU NÃO DA SOLUÇÃO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Os itens terão adjudicação individual. 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O agrupamento não causa prejuízo de competição, uma vez que quem fornece um item do grupo fornece outro. O agrupamento aumenta a economia de escala, uma vez que torna mais competitiva a disputa por um grupo em detrimento do item individualizado, pois são itens relativamente de baixo valor individual. Diminui também o risco de um item ser deserto ou fracassado.  A frustração de itens na licitação ainda causa prejuízos econômicos à Administração que ou repetirá a licitação ou procurará uma ata de registro de preços para aderir ou fará a aquisição através de dispensa de licitação. De todas as formas estará investindo tempo e recursos que pode ser evitado no planejamento da contratação.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 regra a ser observada pela Administração nas licitações é a do parcelamento do objeto, conforme disposto no § 1º do art. 23 da Lei nº 8.666, de 1993. Neste sentido, a aquisição dos materiais será realizada num período de 12 meses conforme a demanda.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 regra a ser observada pela Administração nas licitações é a do parcelamento do objeto, conforme disposto no §1º do art. 23 da Lei nº 8.666/93, mas é imprescindível que a divisão do objeto seja técnica e economicamente viável e não represente perda de economia de escala (Súmula 247 do TCU).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Por ser o parcelamento a regra, tecemos aqui as justificativas para aquisição de alguns itens por grupos: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Ganho de economia de escala, uma vez que reuniremos em grupo apenas itens de igual aplicação, diferindo apenas em peso e medidas, e como adquiriremos poucas unidades de cada, o agrupamento permite a diluição de custos, principalmente nos gastos com o frete para envio dos materiais. Assim, a venda se torna mais interessante para os licitantes, que tendem a acirrar a disputa e melhorar os preços para a Administração. A adjudicação individual em de itens de igual aplicação e com poucas unidades, aumenta o risco de ter algum item deserto, prejudicando a contratação planejada. Com o agrupamento o risco de frustrar a aquisição é diminuído.</w:t>
      </w:r>
    </w:p>
    <w:p w:rsidR="002B49C8" w:rsidRPr="002B49C8" w:rsidRDefault="002B49C8" w:rsidP="002B49C8">
      <w:pPr>
        <w:spacing w:after="0" w:line="240" w:lineRule="auto"/>
        <w:ind w:left="24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DA SUSTENTABILIDADE AMBIENTAL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Na presente contratação, para equipamentos de academia e acessórios para academia não há equipamentos elétricos. Para atender ao princípio do desenvolvimento sustentável os materiais ofertados deverão: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lastRenderedPageBreak/>
        <w:t>Respeitar as Normas Brasileiras – NBR publicadas pela Associação Brasileira de Normas Técnicas sobre resíduos sólidos.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Que os bens sejam constituídos, no todo ou em parte, por material reciclado, atóxico, biodegradável, conforme ABNT NBR – 15448-1 e 15448-2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Que os bens devam ser, preferencialmente, acondicionados em embalagem individual adequada, com o menor volume possível, que utilize materiais recicláveis, de forma a garantir a máxima proteção durante o transporte e o armazenamento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Que os bens não contenham substâncias perigosas em concentração acima da recomendada na diretiva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RoHS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Restriction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of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Certain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Hazardous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Substances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), tais como mercúrio (Hg), chumbo (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Pb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), cromo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hexavalente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gram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Cr(</w:t>
      </w:r>
      <w:proofErr w:type="gram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VI)), cádmio (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Cd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),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bifenil-polibromados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PBBs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), éteres 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difenil-polibromados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spell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PBDEs</w:t>
      </w:r>
      <w:proofErr w:type="spell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).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Os materiais que tiverem certificação compulsória definida pelo INMETRO deverão apresentar seus produtos com o selo obrigatório e os que tiverem no Programa Nacional de Conservação de Energia Elétrica deverão apresentar seus produtos com o selo PROCEL, classificação recomendada A.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Para os </w:t>
      </w:r>
      <w:r w:rsidRPr="002B49C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equipamentos elétricos/eletrônicos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 somente será admitida a oferta de produto que possua a Etiqueta Nacional de Conservação de Energia – ENCE, </w:t>
      </w:r>
      <w:proofErr w:type="gramStart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na(</w:t>
      </w:r>
      <w:proofErr w:type="gramEnd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s) classe(s) </w:t>
      </w:r>
      <w:r w:rsidRPr="002B49C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, nos termos da Portaria INMETRO n° 371/2009; que aprova os Requisitos de Avaliação da Conformidade – RAC do produto e trata da etiquetagem compulsória.</w:t>
      </w:r>
    </w:p>
    <w:p w:rsidR="002B49C8" w:rsidRPr="002B49C8" w:rsidRDefault="002B49C8" w:rsidP="002B49C8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2B49C8" w:rsidRPr="002B49C8" w:rsidRDefault="002B49C8" w:rsidP="002B49C8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DECLARAÇÃO DE VIABILIDADE OU NÃO DA CONTRATAÇÃO</w:t>
      </w:r>
    </w:p>
    <w:p w:rsidR="002B49C8" w:rsidRPr="002B49C8" w:rsidRDefault="002B49C8" w:rsidP="002B49C8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Assim, diante do exposto acima, entendemos ser VIÁVEL a contratação da solução demandada.</w:t>
      </w:r>
    </w:p>
    <w:p w:rsidR="002B49C8" w:rsidRPr="002B49C8" w:rsidRDefault="002B49C8" w:rsidP="002B49C8">
      <w:pPr>
        <w:spacing w:after="0" w:line="240" w:lineRule="auto"/>
        <w:ind w:left="24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5579D1" w:rsidRDefault="005579D1" w:rsidP="002B49C8">
      <w:pPr>
        <w:spacing w:after="0" w:line="240" w:lineRule="auto"/>
        <w:ind w:left="60" w:right="6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:rsidR="002B49C8" w:rsidRPr="002B49C8" w:rsidRDefault="002B49C8" w:rsidP="002B49C8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0" w:name="_GoBack"/>
      <w:bookmarkEnd w:id="0"/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NAD/SELOG/SR/PF/MT</w:t>
      </w:r>
    </w:p>
    <w:p w:rsidR="002B49C8" w:rsidRPr="002B49C8" w:rsidRDefault="002B49C8" w:rsidP="002B49C8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2B49C8">
        <w:rPr>
          <w:rFonts w:eastAsia="Times New Roman" w:cstheme="minorHAnsi"/>
          <w:color w:val="000000"/>
          <w:sz w:val="24"/>
          <w:szCs w:val="24"/>
          <w:lang w:eastAsia="pt-BR"/>
        </w:rPr>
        <w:t>Responsável pela elaboração ETP</w:t>
      </w:r>
    </w:p>
    <w:p w:rsidR="005A1D27" w:rsidRPr="002B49C8" w:rsidRDefault="005A1D27" w:rsidP="002B49C8">
      <w:pPr>
        <w:spacing w:after="0" w:line="240" w:lineRule="auto"/>
        <w:rPr>
          <w:rFonts w:cstheme="minorHAnsi"/>
          <w:sz w:val="24"/>
          <w:szCs w:val="24"/>
        </w:rPr>
      </w:pPr>
    </w:p>
    <w:sectPr w:rsidR="005A1D27" w:rsidRPr="002B49C8" w:rsidSect="002B49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5E2"/>
    <w:multiLevelType w:val="multilevel"/>
    <w:tmpl w:val="B0AE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556AC"/>
    <w:multiLevelType w:val="multilevel"/>
    <w:tmpl w:val="9E302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2C0A3F"/>
    <w:multiLevelType w:val="multilevel"/>
    <w:tmpl w:val="A02E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B317BF"/>
    <w:multiLevelType w:val="hybridMultilevel"/>
    <w:tmpl w:val="C262B4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8684F"/>
    <w:multiLevelType w:val="multilevel"/>
    <w:tmpl w:val="F67E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C8"/>
    <w:rsid w:val="002B49C8"/>
    <w:rsid w:val="004A46C8"/>
    <w:rsid w:val="005579D1"/>
    <w:rsid w:val="005A1D27"/>
    <w:rsid w:val="0098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3BD6"/>
  <w15:chartTrackingRefBased/>
  <w15:docId w15:val="{8D049A5E-6383-46E1-93B5-33B6F98A7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1">
    <w:name w:val="item_nivel1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2">
    <w:name w:val="item_nivel2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2B49C8"/>
    <w:rPr>
      <w:i/>
      <w:iCs/>
    </w:rPr>
  </w:style>
  <w:style w:type="paragraph" w:customStyle="1" w:styleId="citacao">
    <w:name w:val="citacao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B49C8"/>
    <w:rPr>
      <w:b/>
      <w:bCs/>
    </w:rPr>
  </w:style>
  <w:style w:type="paragraph" w:customStyle="1" w:styleId="textocentralizado">
    <w:name w:val="texto_centralizado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3">
    <w:name w:val="item_nivel3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centralizadocalibri">
    <w:name w:val="tabela_texto_12_centralizado_calibri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0">
    <w:name w:val="texto_centralizado_10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4">
    <w:name w:val="texto_centralizado_14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4">
    <w:name w:val="item_nivel4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2B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B49C8"/>
    <w:pPr>
      <w:spacing w:after="200" w:line="276" w:lineRule="auto"/>
      <w:ind w:left="720"/>
      <w:contextualSpacing/>
    </w:pPr>
  </w:style>
  <w:style w:type="table" w:styleId="Tabelacomgrade">
    <w:name w:val="Table Grid"/>
    <w:basedOn w:val="Tabelanormal"/>
    <w:uiPriority w:val="59"/>
    <w:rsid w:val="002B4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49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5390</Words>
  <Characters>29109</Characters>
  <Application>Microsoft Office Word</Application>
  <DocSecurity>0</DocSecurity>
  <Lines>242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2021-11-11T20:07:00Z</dcterms:created>
  <dcterms:modified xsi:type="dcterms:W3CDTF">2021-11-11T20:22:00Z</dcterms:modified>
</cp:coreProperties>
</file>