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AFA" w:rsidRPr="003F0AFA" w:rsidRDefault="003F0AFA" w:rsidP="003F0AFA">
      <w:pPr>
        <w:pStyle w:val="textocentralizadocalibri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</w:p>
    <w:p w:rsidR="003F0AFA" w:rsidRPr="003F0AFA" w:rsidRDefault="003F0AFA" w:rsidP="003F0AFA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  <w:r w:rsidRPr="003F0AFA">
        <w:rPr>
          <w:b/>
          <w:color w:val="000000"/>
        </w:rPr>
        <w:t>ANEXO IV</w:t>
      </w:r>
      <w:r w:rsidRPr="003F0AFA">
        <w:rPr>
          <w:b/>
          <w:color w:val="000000"/>
        </w:rPr>
        <w:br/>
        <w:t>TERMO DE CONCILIAÇÃO JUDICIAL*</w:t>
      </w:r>
    </w:p>
    <w:p w:rsidR="003F0AFA" w:rsidRPr="003F0AFA" w:rsidRDefault="003F0AFA" w:rsidP="003F0AFA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F0AFA">
        <w:rPr>
          <w:color w:val="000000"/>
        </w:rPr>
        <w:t> </w:t>
      </w:r>
    </w:p>
    <w:p w:rsidR="003F0AFA" w:rsidRPr="003F0AFA" w:rsidRDefault="003F0AFA" w:rsidP="003F0AFA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F0AFA">
        <w:rPr>
          <w:color w:val="000000"/>
        </w:rPr>
        <w:t> 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 </w:t>
      </w:r>
      <w:r w:rsidRPr="003F0AFA">
        <w:rPr>
          <w:color w:val="000000"/>
        </w:rPr>
        <w:br/>
        <w:t xml:space="preserve">O MINISTÉRIO PÚBLICO DO TRABALHO, neste ato representado pelo Procurador-Geral do Trabalho, Dr. Guilherme </w:t>
      </w:r>
      <w:proofErr w:type="spellStart"/>
      <w:r w:rsidRPr="003F0AFA">
        <w:rPr>
          <w:color w:val="000000"/>
        </w:rPr>
        <w:t>Mastrichi</w:t>
      </w:r>
      <w:proofErr w:type="spellEnd"/>
      <w:r w:rsidRPr="003F0AFA">
        <w:rPr>
          <w:color w:val="000000"/>
        </w:rPr>
        <w:t xml:space="preserve"> Basso, pela Vice-Procuradora-Geral do Trabalho, Dra. Guiomar Rechia Gomes, pelo Procurador-Chefe da PRT da 10ª Região, Doutor Brasilino Santos Ramos e pelo Procurador do Trabalho Dr. Fábio Leal Cardoso, e a UNIÃO, neste ato representada pelo Procurador-Geral da União, Dr. Moacir </w:t>
      </w:r>
      <w:proofErr w:type="spellStart"/>
      <w:r w:rsidRPr="003F0AFA">
        <w:rPr>
          <w:color w:val="000000"/>
        </w:rPr>
        <w:t>Antonio</w:t>
      </w:r>
      <w:proofErr w:type="spellEnd"/>
      <w:r w:rsidRPr="003F0AFA">
        <w:rPr>
          <w:color w:val="000000"/>
        </w:rPr>
        <w:t xml:space="preserve"> da Silva Machado, pela </w:t>
      </w:r>
      <w:proofErr w:type="gramStart"/>
      <w:r w:rsidRPr="003F0AFA">
        <w:rPr>
          <w:color w:val="000000"/>
        </w:rPr>
        <w:t>Sub Procuradora</w:t>
      </w:r>
      <w:proofErr w:type="gramEnd"/>
      <w:r w:rsidRPr="003F0AFA">
        <w:rPr>
          <w:color w:val="000000"/>
        </w:rPr>
        <w:t xml:space="preserve"> Regional da União - 1ª Região, Doutora </w:t>
      </w:r>
      <w:proofErr w:type="spellStart"/>
      <w:r w:rsidRPr="003F0AFA">
        <w:rPr>
          <w:color w:val="000000"/>
        </w:rPr>
        <w:t>Helia</w:t>
      </w:r>
      <w:proofErr w:type="spellEnd"/>
      <w:r w:rsidRPr="003F0AFA">
        <w:rPr>
          <w:color w:val="000000"/>
        </w:rPr>
        <w:t xml:space="preserve"> Maria de Oliveira </w:t>
      </w:r>
      <w:proofErr w:type="spellStart"/>
      <w:r w:rsidRPr="003F0AFA">
        <w:rPr>
          <w:color w:val="000000"/>
        </w:rPr>
        <w:t>Bettero</w:t>
      </w:r>
      <w:proofErr w:type="spellEnd"/>
      <w:r w:rsidRPr="003F0AFA">
        <w:rPr>
          <w:color w:val="000000"/>
        </w:rPr>
        <w:t xml:space="preserve"> e pelo Advogado da União, Dr. Mário Luiz Guerreiro;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a legislação consolidada em seu art. 9º, comina de nulidade absoluta todos os atos praticados com o intuito de desvirtuar, impedir ou fraudar a aplicação da lei trabalhista;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 xml:space="preserve">CONSIDERANDO que a administração pública está inexoravelmente jungida ao princípio da legalidade, e que a prática do </w:t>
      </w:r>
      <w:proofErr w:type="spellStart"/>
      <w:r w:rsidRPr="003F0AFA">
        <w:rPr>
          <w:color w:val="000000"/>
        </w:rPr>
        <w:t>merchandage</w:t>
      </w:r>
      <w:proofErr w:type="spellEnd"/>
      <w:r w:rsidRPr="003F0AFA">
        <w:rPr>
          <w:color w:val="000000"/>
        </w:rPr>
        <w:t xml:space="preserve"> é vedada pelo art. 3º, da CLT e repelida pela jurisprudência sumulada do C. TST (</w:t>
      </w:r>
      <w:proofErr w:type="spellStart"/>
      <w:r w:rsidRPr="003F0AFA">
        <w:rPr>
          <w:color w:val="000000"/>
        </w:rPr>
        <w:t>En</w:t>
      </w:r>
      <w:proofErr w:type="spellEnd"/>
      <w:r w:rsidRPr="003F0AFA">
        <w:rPr>
          <w:color w:val="000000"/>
        </w:rPr>
        <w:t>. 331);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3F0AFA">
        <w:rPr>
          <w:color w:val="000000"/>
        </w:rPr>
        <w:t>arts</w:t>
      </w:r>
      <w:proofErr w:type="spellEnd"/>
      <w:r w:rsidRPr="003F0AFA">
        <w:rPr>
          <w:color w:val="000000"/>
        </w:rPr>
        <w:t>. 5º, caput e 1º, III e IV da Constituição Federal);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CONSIDERANDO o teor da Recomendação Para a Promoção das Cooperativas aprovada na 90ª sessão, da OIT – Organização Internacional do Trabalho, em junho de 2002, dispondo que os Estados devem implementar políticas no sentido de: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lastRenderedPageBreak/>
        <w:t xml:space="preserve">“8.1.b Garantir que as cooperativas não sejam criadas para, ou direcionadas a, o não cumprimento das leis do trabalho ou usadas para estabelecer relações de emprego disfarçadas, e combater </w:t>
      </w:r>
      <w:proofErr w:type="spellStart"/>
      <w:r w:rsidRPr="003F0AFA">
        <w:rPr>
          <w:color w:val="000000"/>
        </w:rPr>
        <w:t>pseudocooperativas</w:t>
      </w:r>
      <w:proofErr w:type="spellEnd"/>
      <w:r w:rsidRPr="003F0AFA">
        <w:rPr>
          <w:color w:val="000000"/>
        </w:rPr>
        <w:t xml:space="preserve"> que violam os direitos dos trabalhadores velando para que a lei trabalhista seja aplicada em todas as empresas”.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RESOLVEM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Celebrar CONCILIAÇÃO nos autos do Processo 01082-2002-020-10-00-0, em tramitação perante a MM. Vigésima Vara do Trabalho de Brasília-DF, mediante os seguintes termos: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3F0AFA" w:rsidRDefault="003F0AFA" w:rsidP="006856BE">
      <w:pPr>
        <w:pStyle w:val="textojustificado"/>
        <w:numPr>
          <w:ilvl w:val="0"/>
          <w:numId w:val="1"/>
        </w:numPr>
        <w:spacing w:before="120" w:beforeAutospacing="0" w:after="120" w:afterAutospacing="0"/>
        <w:ind w:right="120"/>
        <w:jc w:val="both"/>
        <w:rPr>
          <w:color w:val="000000"/>
        </w:rPr>
      </w:pPr>
      <w:r w:rsidRPr="003F0AFA">
        <w:rPr>
          <w:color w:val="000000"/>
        </w:rPr>
        <w:t>– Serviços de limpeza;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conservação;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segurança, de vigilância e de portaria;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recepção;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 xml:space="preserve">– Serviços de </w:t>
      </w:r>
      <w:proofErr w:type="spellStart"/>
      <w:r w:rsidRPr="003F0AFA">
        <w:rPr>
          <w:color w:val="000000"/>
        </w:rPr>
        <w:t>copeiragem</w:t>
      </w:r>
      <w:proofErr w:type="spellEnd"/>
      <w:r w:rsidRPr="003F0AFA">
        <w:rPr>
          <w:color w:val="000000"/>
        </w:rPr>
        <w:t>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reprografia;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telefonia;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manutenção de prédios, de equipamentos, de veículos e de instalações;</w:t>
      </w:r>
    </w:p>
    <w:p w:rsidR="003F0AFA" w:rsidRDefault="003F0AFA" w:rsidP="003F0AFA">
      <w:pPr>
        <w:pStyle w:val="textojustificado"/>
        <w:numPr>
          <w:ilvl w:val="0"/>
          <w:numId w:val="1"/>
        </w:numPr>
        <w:spacing w:before="120" w:beforeAutospacing="0" w:after="120" w:afterAutospacing="0"/>
        <w:ind w:left="426" w:right="120" w:hanging="306"/>
        <w:jc w:val="both"/>
        <w:rPr>
          <w:color w:val="000000"/>
        </w:rPr>
      </w:pPr>
      <w:r w:rsidRPr="003F0AFA">
        <w:rPr>
          <w:color w:val="000000"/>
        </w:rPr>
        <w:t>– Serviços de secretariado e secretariado executivo; j) – Serviços de auxiliar de escritório;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k) – Serviços de auxiliar administrativo;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l) – Serviços de office boy (contínuo);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m) – Serviços de digitação;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n) – Serviços de assessoria de imprensa e de relações públicas;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o) – Serviços de motorista, no caso de os veículos serem fornecidos pelo próprio órgão licitante;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p) – Serviços de ascensorista;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q) – Serviços de enfermagem; e</w:t>
      </w:r>
    </w:p>
    <w:p w:rsid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r) – Serviços de agentes comunitários de saúde.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 </w:t>
      </w:r>
      <w:r w:rsidRPr="003F0AFA">
        <w:rPr>
          <w:color w:val="000000"/>
        </w:rPr>
        <w:br/>
        <w:t>Parágrafo Primeiro – O disposto nesta Cláusula não autoriza outras formas de terceirização sem previsão legal.</w:t>
      </w:r>
      <w:r w:rsidRPr="003F0AFA">
        <w:rPr>
          <w:color w:val="000000"/>
        </w:rPr>
        <w:br/>
        <w:t>Parágrafo Segundo – As partes podem, a qualquer momento, mediante comunicação e acordos prévios, ampliar o rol de serviços elencados no caput.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</w:t>
      </w:r>
      <w:r w:rsidR="006856BE">
        <w:rPr>
          <w:color w:val="000000"/>
        </w:rPr>
        <w:t>s</w:t>
      </w:r>
      <w:r w:rsidRPr="003F0AFA">
        <w:rPr>
          <w:color w:val="000000"/>
        </w:rPr>
        <w:t>erviços sejam prestados a terceiros, de forma individual (e não coletiva), pelos seus associados.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lastRenderedPageBreak/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DAS SANÇÕES PELO DESCUMPRIMENTO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Cláusula Quarta – A UNIÃO obriga-se ao pagamento de multa (</w:t>
      </w:r>
      <w:proofErr w:type="spellStart"/>
      <w:r w:rsidRPr="003F0AFA">
        <w:rPr>
          <w:color w:val="000000"/>
        </w:rPr>
        <w:t>astreinte</w:t>
      </w:r>
      <w:proofErr w:type="spellEnd"/>
      <w:r w:rsidRPr="003F0AFA">
        <w:rPr>
          <w:color w:val="000000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proofErr w:type="gramStart"/>
      <w:r w:rsidRPr="003F0AFA">
        <w:rPr>
          <w:color w:val="000000"/>
        </w:rPr>
        <w:t>Parágrafo Segundo</w:t>
      </w:r>
      <w:proofErr w:type="gramEnd"/>
      <w:r w:rsidRPr="003F0AFA">
        <w:rPr>
          <w:color w:val="000000"/>
        </w:rPr>
        <w:t xml:space="preserve"> – Em caso de notícia de descumprimento dos termos firmados neste ajuste, a UNIÃO, depois de intimada, terá prazo de 20 (vinte) dias para apresentar sua justificativa perante o Ministério Público do Trabalho.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DA EXTENSÃO DO AJUSTE À ADMINISTRAÇÃO PÚBLICA INDIRETA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DA HOMOLOGAÇÃO JUDICIAL DO AJUSTE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Cláusula Sexta – - As partes submetem os termos da presente conciliação à homologação do Juízo da MM. Vigésima Vara do Trabalho, para que o ajuste gere os seus efeitos jurídicos.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 xml:space="preserve">Cláusula Sétima - Os termos </w:t>
      </w:r>
      <w:proofErr w:type="gramStart"/>
      <w:r w:rsidRPr="003F0AFA">
        <w:rPr>
          <w:color w:val="000000"/>
        </w:rPr>
        <w:t>da presente</w:t>
      </w:r>
      <w:proofErr w:type="gramEnd"/>
      <w:r w:rsidRPr="003F0AFA">
        <w:rPr>
          <w:color w:val="000000"/>
        </w:rPr>
        <w:t xml:space="preserve"> avença gerarão seus efeitos jurídicos a partir da data de sua homologação judicial.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Parágrafo único – Os contratos em vigor entre a UNIÃO e as Cooperativas, que contrariem o presente acordo, não serão renovados ou prorrogados.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lastRenderedPageBreak/>
        <w:t>Cláusula Oitava -A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parágrafo único, e 876, caput, da CLT.</w:t>
      </w:r>
      <w:r w:rsidRPr="003F0AFA">
        <w:rPr>
          <w:color w:val="000000"/>
        </w:rPr>
        <w:br/>
        <w:t>Brasília, 05 de junho de 2003.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GUILHERME MASTRICHI BASSO GUIOMAR RECHIA GOMES Procurador-Geral do Trabalho Vice-Procuradora-Geral do Trabalho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BRASILINO SANTOS RAMOS FÁBIO LEAL CARDOSO</w:t>
      </w:r>
      <w:r w:rsidRPr="003F0AFA">
        <w:rPr>
          <w:color w:val="000000"/>
        </w:rPr>
        <w:br/>
        <w:t>Procurador-Chefe/PRT 10ª Região Procurador do Trabalho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MOACIR ANTONIO DA SILVA MACHADO Procurador-Geral da União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HELIA MARIA DE OLIVEIRA BETTERO MÁRIOLUIZ GUERREIRO</w:t>
      </w:r>
    </w:p>
    <w:p w:rsidR="006856BE" w:rsidRPr="003F0AFA" w:rsidRDefault="003F0AFA" w:rsidP="006856B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Sub-Procuradora-Regional da União–1ª Região Advogado da União</w:t>
      </w:r>
      <w:bookmarkStart w:id="0" w:name="_GoBack"/>
      <w:bookmarkEnd w:id="0"/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Testemunhas:</w:t>
      </w:r>
      <w:r w:rsidRPr="003F0AFA">
        <w:rPr>
          <w:color w:val="000000"/>
        </w:rPr>
        <w:br/>
        <w:t>__________________________________</w:t>
      </w:r>
      <w:r w:rsidRPr="003F0AFA">
        <w:rPr>
          <w:color w:val="000000"/>
        </w:rPr>
        <w:br/>
        <w:t>GRIJALBO FERNANDES COUTINHO</w:t>
      </w:r>
      <w:r w:rsidRPr="003F0AFA">
        <w:rPr>
          <w:color w:val="000000"/>
        </w:rPr>
        <w:br/>
        <w:t>Presidente da Associação Nacional dos Magistrados da Justiça do Trabalho – ANAMATRA</w:t>
      </w:r>
      <w:r w:rsidRPr="003F0AFA">
        <w:rPr>
          <w:color w:val="000000"/>
        </w:rPr>
        <w:br/>
        <w:t>_________________________________________________</w:t>
      </w:r>
      <w:r w:rsidRPr="003F0AFA">
        <w:rPr>
          <w:color w:val="000000"/>
        </w:rPr>
        <w:br/>
        <w:t>PAULO SÉRGIO DOMINGUES Presidente da Associação dos Juízes Federais do Brasil - AJUFE</w:t>
      </w:r>
      <w:r w:rsidRPr="003F0AFA">
        <w:rPr>
          <w:color w:val="000000"/>
        </w:rPr>
        <w:br/>
        <w:t>__________________________________</w:t>
      </w:r>
      <w:r w:rsidRPr="003F0AFA">
        <w:rPr>
          <w:color w:val="000000"/>
        </w:rPr>
        <w:br/>
        <w:t>REGINA BUTRUS</w:t>
      </w:r>
      <w:r w:rsidRPr="003F0AFA">
        <w:rPr>
          <w:color w:val="000000"/>
        </w:rPr>
        <w:br/>
        <w:t>Presidente da Associação Nacional dos Procuradores do Trabalho - ANPT</w:t>
      </w:r>
      <w:r w:rsidRPr="003F0AFA">
        <w:rPr>
          <w:color w:val="000000"/>
        </w:rPr>
        <w:br/>
        <w:t>*Termo de Conciliação Judicial celebrado entre a União e o Ministério Público do Trabalho, nos autos do processo nº 1082/02, da 20ª Vara do Trabalho de Brasília/DF, homologado em 05 de junho de 2003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 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 </w:t>
      </w:r>
    </w:p>
    <w:p w:rsidR="003F0AFA" w:rsidRPr="003F0AFA" w:rsidRDefault="003F0AFA" w:rsidP="003F0AF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F0AFA">
        <w:rPr>
          <w:color w:val="000000"/>
        </w:rPr>
        <w:t> </w:t>
      </w:r>
    </w:p>
    <w:p w:rsidR="006A0415" w:rsidRPr="003F0AFA" w:rsidRDefault="006856BE">
      <w:pPr>
        <w:rPr>
          <w:sz w:val="24"/>
          <w:szCs w:val="24"/>
        </w:rPr>
      </w:pPr>
    </w:p>
    <w:sectPr w:rsidR="006A0415" w:rsidRPr="003F0AFA" w:rsidSect="003F0AF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AFA" w:rsidRDefault="003F0AFA" w:rsidP="003F0AFA">
      <w:pPr>
        <w:spacing w:after="0" w:line="240" w:lineRule="auto"/>
      </w:pPr>
      <w:r>
        <w:separator/>
      </w:r>
    </w:p>
  </w:endnote>
  <w:endnote w:type="continuationSeparator" w:id="0">
    <w:p w:rsidR="003F0AFA" w:rsidRDefault="003F0AFA" w:rsidP="003F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AFA" w:rsidRDefault="003F0AFA" w:rsidP="003F0AFA">
      <w:pPr>
        <w:spacing w:after="0" w:line="240" w:lineRule="auto"/>
      </w:pPr>
      <w:r>
        <w:separator/>
      </w:r>
    </w:p>
  </w:footnote>
  <w:footnote w:type="continuationSeparator" w:id="0">
    <w:p w:rsidR="003F0AFA" w:rsidRDefault="003F0AFA" w:rsidP="003F0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FA" w:rsidRDefault="003F0AFA" w:rsidP="003F0AFA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 w:rsidRPr="00664586">
      <w:rPr>
        <w:rFonts w:ascii="Arial" w:eastAsia="Batang" w:hAnsi="Arial" w:cs="Arial"/>
        <w:sz w:val="20"/>
        <w:szCs w:val="20"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48.75pt">
          <v:imagedata r:id="rId1" o:title=""/>
        </v:shape>
        <o:OLEObject Type="Embed" ProgID="Word.Picture.8" ShapeID="_x0000_i1025" DrawAspect="Content" ObjectID="_1637595919" r:id="rId2"/>
      </w:object>
    </w:r>
  </w:p>
  <w:p w:rsidR="003F0AFA" w:rsidRPr="006F3EE9" w:rsidRDefault="003F0AFA" w:rsidP="003F0AFA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 w:rsidRPr="006F3EE9">
      <w:rPr>
        <w:color w:val="000000"/>
        <w:szCs w:val="27"/>
      </w:rPr>
      <w:t>SERVIÇO PÚBLICO FEDERAL</w:t>
    </w:r>
  </w:p>
  <w:p w:rsidR="003F0AFA" w:rsidRPr="006F3EE9" w:rsidRDefault="003F0AFA" w:rsidP="003F0AFA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 w:rsidRPr="006F3EE9">
      <w:rPr>
        <w:color w:val="000000"/>
        <w:szCs w:val="27"/>
      </w:rPr>
      <w:t>MJSP - POLÍCIA FEDERAL</w:t>
    </w:r>
  </w:p>
  <w:p w:rsidR="003F0AFA" w:rsidRDefault="003F0AF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E592C"/>
    <w:multiLevelType w:val="hybridMultilevel"/>
    <w:tmpl w:val="1E4810B0"/>
    <w:lvl w:ilvl="0" w:tplc="735ACAF0">
      <w:start w:val="1"/>
      <w:numFmt w:val="lowerLetter"/>
      <w:lvlText w:val="%1)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F0"/>
    <w:rsid w:val="00330A62"/>
    <w:rsid w:val="003F0AFA"/>
    <w:rsid w:val="005A609F"/>
    <w:rsid w:val="00622BF0"/>
    <w:rsid w:val="0068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8328"/>
  <w15:chartTrackingRefBased/>
  <w15:docId w15:val="{B078DC9A-1F49-4A9A-A695-E6EF0521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calibri">
    <w:name w:val="texto_centralizado_calibri"/>
    <w:basedOn w:val="Normal"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0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0AFA"/>
  </w:style>
  <w:style w:type="paragraph" w:styleId="Rodap">
    <w:name w:val="footer"/>
    <w:basedOn w:val="Normal"/>
    <w:link w:val="RodapChar"/>
    <w:uiPriority w:val="99"/>
    <w:unhideWhenUsed/>
    <w:rsid w:val="003F0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0AFA"/>
  </w:style>
  <w:style w:type="paragraph" w:customStyle="1" w:styleId="textocentralizado">
    <w:name w:val="texto_centralizado"/>
    <w:basedOn w:val="Normal"/>
    <w:rsid w:val="003F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1683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Montalvão</dc:creator>
  <cp:keywords/>
  <dc:description/>
  <cp:lastModifiedBy>Juliana Lima Montalvão</cp:lastModifiedBy>
  <cp:revision>2</cp:revision>
  <dcterms:created xsi:type="dcterms:W3CDTF">2019-12-11T21:47:00Z</dcterms:created>
  <dcterms:modified xsi:type="dcterms:W3CDTF">2019-12-11T21:59:00Z</dcterms:modified>
</cp:coreProperties>
</file>