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42" w:rsidRPr="004A3B17" w:rsidRDefault="00CC5F42" w:rsidP="004A3B17">
      <w:pPr>
        <w:pStyle w:val="SemEspaamento"/>
        <w:jc w:val="center"/>
        <w:rPr>
          <w:b/>
        </w:rPr>
      </w:pPr>
      <w:bookmarkStart w:id="0" w:name="_GoBack"/>
      <w:r w:rsidRPr="004A3B17">
        <w:rPr>
          <w:b/>
        </w:rPr>
        <w:t>ANEXO IV</w:t>
      </w:r>
    </w:p>
    <w:bookmarkEnd w:id="0"/>
    <w:p w:rsidR="00CC5F42" w:rsidRDefault="00CC5F42" w:rsidP="00CC5F42">
      <w:pPr>
        <w:jc w:val="center"/>
        <w:rPr>
          <w:b/>
          <w:bCs/>
        </w:rPr>
      </w:pPr>
      <w:r w:rsidRPr="00CC5F42">
        <w:rPr>
          <w:b/>
          <w:bCs/>
        </w:rPr>
        <w:t>ACORDO DE NÍVEIS DE SERVIÇO</w:t>
      </w:r>
    </w:p>
    <w:p w:rsidR="00CC5F42" w:rsidRPr="00CC5F42" w:rsidRDefault="00CC5F42" w:rsidP="00CC5F42">
      <w:pPr>
        <w:jc w:val="center"/>
        <w:rPr>
          <w:b/>
          <w:bCs/>
        </w:rPr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A CONTRATADA deverá prestar suporte técnico em período integral, com atendimento</w:t>
      </w:r>
      <w:r>
        <w:t xml:space="preserve"> </w:t>
      </w:r>
      <w:r w:rsidRPr="00CC5F42">
        <w:t>imediato em caso de falha nos entroncamentos de entrada, nos entroncamentos de saída,</w:t>
      </w:r>
      <w:r>
        <w:t xml:space="preserve"> </w:t>
      </w:r>
      <w:r w:rsidRPr="00CC5F42">
        <w:t>bem como nos demais componentes ou equipamentos de responsabilidade da contratada.</w:t>
      </w:r>
      <w:r>
        <w:t xml:space="preserve"> </w:t>
      </w:r>
    </w:p>
    <w:p w:rsidR="00CC5F42" w:rsidRDefault="00CC5F42" w:rsidP="00CC5F42">
      <w:pPr>
        <w:spacing w:after="0" w:line="240" w:lineRule="auto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Os serviços deverão ser prestados de forma ininterrupta, com disponibilidade anual</w:t>
      </w:r>
      <w:r>
        <w:t xml:space="preserve"> </w:t>
      </w:r>
      <w:r w:rsidRPr="00CC5F42">
        <w:t>mínima em 98% (noventa e oito por cento) do tempo contratado. Na hipótese de ocorrência</w:t>
      </w:r>
      <w:r>
        <w:t xml:space="preserve"> </w:t>
      </w:r>
      <w:r w:rsidRPr="00CC5F42">
        <w:t xml:space="preserve">de interrupções, as falhas deverão ser corrigidas e o serviço restabelecido em no máximo </w:t>
      </w:r>
      <w:proofErr w:type="gramStart"/>
      <w:r w:rsidRPr="00CC5F42">
        <w:t>5</w:t>
      </w:r>
      <w:proofErr w:type="gramEnd"/>
      <w:r>
        <w:t xml:space="preserve"> </w:t>
      </w:r>
      <w:r w:rsidRPr="00CC5F42">
        <w:t>(cinco) horas.</w:t>
      </w:r>
    </w:p>
    <w:p w:rsidR="00CC5F42" w:rsidRPr="00CC5F42" w:rsidRDefault="00CC5F42" w:rsidP="00CC5F42">
      <w:pPr>
        <w:spacing w:after="0" w:line="240" w:lineRule="auto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Para assegurar a disponibilidade do serviço, a contratada deverá efetuar mensalmente</w:t>
      </w:r>
      <w:r>
        <w:t xml:space="preserve"> </w:t>
      </w:r>
      <w:r w:rsidRPr="00CC5F42">
        <w:t>testes de verificação da qualidade de transmissão, com a supervisão da contratante, de forma</w:t>
      </w:r>
      <w:r>
        <w:t xml:space="preserve"> </w:t>
      </w:r>
      <w:r w:rsidRPr="00CC5F42">
        <w:t>a identificar eventuais falhas de sincronismo, perdas de ligações, bloqueio de canais,</w:t>
      </w:r>
      <w:r>
        <w:t xml:space="preserve"> </w:t>
      </w:r>
      <w:r w:rsidRPr="00CC5F42">
        <w:t>travamentos ou outras situações que possam influenciar nos níveis de serviço.</w:t>
      </w:r>
    </w:p>
    <w:p w:rsidR="00CC5F42" w:rsidRPr="00CC5F42" w:rsidRDefault="00CC5F42" w:rsidP="00C6357B">
      <w:pPr>
        <w:spacing w:after="0" w:line="240" w:lineRule="auto"/>
        <w:ind w:firstLine="36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As interrupções programadas dos serviços deverão ser comunicadas ao Fiscal do</w:t>
      </w:r>
      <w:r>
        <w:t xml:space="preserve"> </w:t>
      </w:r>
      <w:r w:rsidRPr="00CC5F42">
        <w:t>Contrato da unidade contemplada com antecedência mínima de 72 (setenta e duas) horas e</w:t>
      </w:r>
      <w:r>
        <w:t xml:space="preserve"> </w:t>
      </w:r>
      <w:r w:rsidRPr="00CC5F42">
        <w:t>somente serão realizadas com a concordância do mesmo, que dará ciência ao NTI/SR/</w:t>
      </w:r>
      <w:r>
        <w:t>RN</w:t>
      </w:r>
      <w:r w:rsidRPr="00CC5F42">
        <w:t>.</w:t>
      </w:r>
    </w:p>
    <w:p w:rsidR="00CC5F42" w:rsidRPr="00CC5F42" w:rsidRDefault="00CC5F42" w:rsidP="00611A0A">
      <w:pPr>
        <w:pStyle w:val="PargrafodaLista"/>
        <w:spacing w:after="0" w:line="240" w:lineRule="auto"/>
        <w:ind w:left="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Seguir-se-á a tabela de pontuação acumulada/glosa quanto ao percentual a ser debitado</w:t>
      </w:r>
      <w:r>
        <w:t xml:space="preserve"> </w:t>
      </w:r>
      <w:r w:rsidRPr="00CC5F42">
        <w:t>do faturamento mensal total dos serviços prestados pela CONTRATADA em função do não</w:t>
      </w:r>
      <w:r>
        <w:t xml:space="preserve"> </w:t>
      </w:r>
      <w:r w:rsidRPr="00CC5F42">
        <w:t>cumprimento de acordo de níveis de serviço, sem prejuízo das demais penalidades</w:t>
      </w:r>
      <w:r>
        <w:t xml:space="preserve"> </w:t>
      </w:r>
      <w:r w:rsidRPr="00CC5F42">
        <w:t>constantes do Contrato.</w:t>
      </w:r>
    </w:p>
    <w:p w:rsidR="00CC5F42" w:rsidRPr="00CC5F42" w:rsidRDefault="00CC5F42" w:rsidP="00611A0A">
      <w:pPr>
        <w:pStyle w:val="PargrafodaLista"/>
        <w:spacing w:after="0" w:line="240" w:lineRule="auto"/>
        <w:ind w:left="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Todas as ocorrências serão registradas pelo fiscal do contrato, que notificará a</w:t>
      </w:r>
      <w:r>
        <w:t xml:space="preserve"> </w:t>
      </w:r>
      <w:r w:rsidRPr="00CC5F42">
        <w:t>contratada, atribuindo pontos, considerando sempre o somatório de TODAS AS</w:t>
      </w:r>
      <w:r>
        <w:t xml:space="preserve"> </w:t>
      </w:r>
      <w:r w:rsidRPr="00CC5F42">
        <w:t>LOCALIDADES DE EXECUÇÃO DO CONTRATO, cumulativamente, de acordo com o</w:t>
      </w:r>
      <w:r>
        <w:t xml:space="preserve"> </w:t>
      </w:r>
      <w:r w:rsidRPr="00CC5F42">
        <w:t>quadro seguinte:</w:t>
      </w:r>
    </w:p>
    <w:p w:rsidR="00CC5F42" w:rsidRPr="00CC5F42" w:rsidRDefault="00CC5F42" w:rsidP="00CC5F42">
      <w:pPr>
        <w:spacing w:after="0" w:line="240" w:lineRule="auto"/>
        <w:jc w:val="both"/>
      </w:pPr>
    </w:p>
    <w:p w:rsidR="00CC5F42" w:rsidRDefault="00CC5F42" w:rsidP="00CC5F42">
      <w:r w:rsidRPr="00CC5F42">
        <w:t xml:space="preserve">Tabela de ocorrências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912"/>
        <w:gridCol w:w="1732"/>
      </w:tblGrid>
      <w:tr w:rsidR="00CC5F42" w:rsidRPr="00F65E3A" w:rsidTr="00C6357B">
        <w:tc>
          <w:tcPr>
            <w:tcW w:w="6912" w:type="dxa"/>
            <w:shd w:val="clear" w:color="auto" w:fill="D9D9D9" w:themeFill="background1" w:themeFillShade="D9"/>
          </w:tcPr>
          <w:p w:rsidR="00CC5F42" w:rsidRPr="00F65E3A" w:rsidRDefault="00CC5F42" w:rsidP="00F65E3A">
            <w:pPr>
              <w:jc w:val="center"/>
              <w:rPr>
                <w:b/>
              </w:rPr>
            </w:pPr>
            <w:r w:rsidRPr="00F65E3A">
              <w:rPr>
                <w:b/>
              </w:rPr>
              <w:t>OCORRÊNCIA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:rsidR="00CC5F42" w:rsidRPr="00F65E3A" w:rsidRDefault="00CC5F42" w:rsidP="00F65E3A">
            <w:pPr>
              <w:jc w:val="center"/>
              <w:rPr>
                <w:b/>
              </w:rPr>
            </w:pPr>
            <w:r w:rsidRPr="00F65E3A">
              <w:rPr>
                <w:b/>
              </w:rPr>
              <w:t>PONTUAÇÃO</w:t>
            </w:r>
          </w:p>
        </w:tc>
      </w:tr>
      <w:tr w:rsidR="00CC5F42" w:rsidTr="00CC5F42">
        <w:tc>
          <w:tcPr>
            <w:tcW w:w="6912" w:type="dxa"/>
          </w:tcPr>
          <w:p w:rsidR="00CC5F42" w:rsidRDefault="00CC5F42" w:rsidP="00CC5F42">
            <w:r>
              <w:t>Não atendimento do telefone fornecido pela CONTRATADA para os contatos e registro das ocorrências</w:t>
            </w:r>
          </w:p>
        </w:tc>
        <w:tc>
          <w:tcPr>
            <w:tcW w:w="1732" w:type="dxa"/>
          </w:tcPr>
          <w:p w:rsidR="00CC5F42" w:rsidRDefault="00CC5F42" w:rsidP="00CC5F42">
            <w:pPr>
              <w:jc w:val="center"/>
            </w:pPr>
            <w:r>
              <w:t>0,2</w:t>
            </w:r>
          </w:p>
        </w:tc>
      </w:tr>
      <w:tr w:rsidR="00CC5F42" w:rsidTr="00CC5F42">
        <w:tc>
          <w:tcPr>
            <w:tcW w:w="6912" w:type="dxa"/>
          </w:tcPr>
          <w:p w:rsidR="00CC5F42" w:rsidRDefault="00221680" w:rsidP="00CC5F42">
            <w:r w:rsidRPr="00CC5F42">
              <w:t>Cobrança por serviços não prestados</w:t>
            </w:r>
          </w:p>
        </w:tc>
        <w:tc>
          <w:tcPr>
            <w:tcW w:w="1732" w:type="dxa"/>
          </w:tcPr>
          <w:p w:rsidR="00CC5F42" w:rsidRDefault="00221680" w:rsidP="00CC5F42">
            <w:pPr>
              <w:jc w:val="center"/>
            </w:pPr>
            <w:r>
              <w:t>0,2</w:t>
            </w:r>
          </w:p>
        </w:tc>
      </w:tr>
      <w:tr w:rsidR="00CC5F42" w:rsidTr="00CC5F42">
        <w:tc>
          <w:tcPr>
            <w:tcW w:w="6912" w:type="dxa"/>
          </w:tcPr>
          <w:p w:rsidR="00CC5F42" w:rsidRDefault="00221680" w:rsidP="00CC5F42">
            <w:r w:rsidRPr="00CC5F42">
              <w:t>Cobrança fora do prazo estabelecido na regulamentação pertinente</w:t>
            </w:r>
          </w:p>
        </w:tc>
        <w:tc>
          <w:tcPr>
            <w:tcW w:w="1732" w:type="dxa"/>
          </w:tcPr>
          <w:p w:rsidR="00CC5F42" w:rsidRDefault="001322CF" w:rsidP="00CC5F42">
            <w:pPr>
              <w:jc w:val="center"/>
            </w:pPr>
            <w:r>
              <w:t>0,2</w:t>
            </w:r>
          </w:p>
        </w:tc>
      </w:tr>
      <w:tr w:rsidR="00CC5F42" w:rsidTr="00CC5F42">
        <w:tc>
          <w:tcPr>
            <w:tcW w:w="6912" w:type="dxa"/>
          </w:tcPr>
          <w:p w:rsidR="00CC5F42" w:rsidRDefault="001322CF" w:rsidP="00CC5F42">
            <w:r w:rsidRPr="00CC5F42">
              <w:t>Cobrança de valores em desacordo com o contrato</w:t>
            </w:r>
          </w:p>
        </w:tc>
        <w:tc>
          <w:tcPr>
            <w:tcW w:w="1732" w:type="dxa"/>
          </w:tcPr>
          <w:p w:rsidR="00CC5F42" w:rsidRDefault="001322CF" w:rsidP="00CC5F42">
            <w:pPr>
              <w:jc w:val="center"/>
            </w:pPr>
            <w:r>
              <w:t>0,2</w:t>
            </w:r>
          </w:p>
        </w:tc>
      </w:tr>
      <w:tr w:rsidR="00CC5F42" w:rsidTr="00CC5F42">
        <w:tc>
          <w:tcPr>
            <w:tcW w:w="6912" w:type="dxa"/>
          </w:tcPr>
          <w:p w:rsidR="00CC5F42" w:rsidRDefault="00F65E3A" w:rsidP="00F65E3A">
            <w:r w:rsidRPr="00CC5F42">
              <w:t>Atraso na ativação dos serviços, entrega de equipamentos, alterações de</w:t>
            </w:r>
            <w:r>
              <w:t xml:space="preserve"> </w:t>
            </w:r>
            <w:r w:rsidRPr="00CC5F42">
              <w:t xml:space="preserve">características técnicas ou alterações de endereço, para cada </w:t>
            </w:r>
            <w:proofErr w:type="gramStart"/>
            <w:r w:rsidRPr="00CC5F42">
              <w:t>5</w:t>
            </w:r>
            <w:proofErr w:type="gramEnd"/>
            <w:r w:rsidRPr="00CC5F42">
              <w:t xml:space="preserve"> dias</w:t>
            </w:r>
            <w:r>
              <w:t xml:space="preserve"> </w:t>
            </w:r>
            <w:r w:rsidRPr="00CC5F42">
              <w:t>corridos</w:t>
            </w:r>
            <w:r>
              <w:t xml:space="preserve"> </w:t>
            </w:r>
            <w:r w:rsidRPr="00CC5F42">
              <w:t>de atraso</w:t>
            </w:r>
          </w:p>
        </w:tc>
        <w:tc>
          <w:tcPr>
            <w:tcW w:w="1732" w:type="dxa"/>
          </w:tcPr>
          <w:p w:rsidR="00CC5F42" w:rsidRDefault="00F65E3A" w:rsidP="00CC5F42">
            <w:pPr>
              <w:jc w:val="center"/>
            </w:pPr>
            <w:r>
              <w:t>0,2</w:t>
            </w:r>
          </w:p>
        </w:tc>
      </w:tr>
      <w:tr w:rsidR="00CC5F42" w:rsidTr="00CC5F42">
        <w:tc>
          <w:tcPr>
            <w:tcW w:w="6912" w:type="dxa"/>
          </w:tcPr>
          <w:p w:rsidR="00CC5F42" w:rsidRDefault="00F65E3A" w:rsidP="00F65E3A">
            <w:r w:rsidRPr="00CC5F42">
              <w:t>Atraso na prestação de informações e esclarecimentos solicitados pela</w:t>
            </w:r>
            <w:r>
              <w:t xml:space="preserve"> </w:t>
            </w:r>
            <w:r w:rsidRPr="00CC5F42">
              <w:lastRenderedPageBreak/>
              <w:t xml:space="preserve">CONTRATANTE, para cada 24 horas de </w:t>
            </w:r>
            <w:proofErr w:type="gramStart"/>
            <w:r w:rsidRPr="00CC5F42">
              <w:t>atraso</w:t>
            </w:r>
            <w:proofErr w:type="gramEnd"/>
          </w:p>
        </w:tc>
        <w:tc>
          <w:tcPr>
            <w:tcW w:w="1732" w:type="dxa"/>
          </w:tcPr>
          <w:p w:rsidR="00CC5F42" w:rsidRDefault="00F65E3A" w:rsidP="00CC5F42">
            <w:pPr>
              <w:jc w:val="center"/>
            </w:pPr>
            <w:r>
              <w:lastRenderedPageBreak/>
              <w:t>0,2</w:t>
            </w:r>
          </w:p>
        </w:tc>
      </w:tr>
      <w:tr w:rsidR="00F65E3A" w:rsidTr="00CC5F42">
        <w:tc>
          <w:tcPr>
            <w:tcW w:w="6912" w:type="dxa"/>
          </w:tcPr>
          <w:p w:rsidR="00F65E3A" w:rsidRPr="00CC5F42" w:rsidRDefault="00F65E3A" w:rsidP="00F65E3A">
            <w:r w:rsidRPr="00CC5F42">
              <w:lastRenderedPageBreak/>
              <w:t>Não atendimento a qualquer outra obrigação expressa neste documento não</w:t>
            </w:r>
            <w:r>
              <w:t xml:space="preserve"> </w:t>
            </w:r>
            <w:r w:rsidRPr="00CC5F42">
              <w:t>especificada nesta tabela</w:t>
            </w:r>
          </w:p>
        </w:tc>
        <w:tc>
          <w:tcPr>
            <w:tcW w:w="1732" w:type="dxa"/>
          </w:tcPr>
          <w:p w:rsidR="00F65E3A" w:rsidRPr="00CC5F42" w:rsidRDefault="00F65E3A" w:rsidP="00F65E3A">
            <w:pPr>
              <w:jc w:val="center"/>
            </w:pPr>
            <w:r w:rsidRPr="00CC5F42">
              <w:t>0,2</w:t>
            </w:r>
          </w:p>
          <w:p w:rsidR="00F65E3A" w:rsidRDefault="00F65E3A" w:rsidP="00CC5F42">
            <w:pPr>
              <w:jc w:val="center"/>
            </w:pPr>
          </w:p>
        </w:tc>
      </w:tr>
      <w:tr w:rsidR="00F65E3A" w:rsidTr="00CC5F42">
        <w:tc>
          <w:tcPr>
            <w:tcW w:w="6912" w:type="dxa"/>
          </w:tcPr>
          <w:p w:rsidR="00F65E3A" w:rsidRPr="00CC5F42" w:rsidRDefault="00F65E3A" w:rsidP="00F65E3A">
            <w:r w:rsidRPr="00CC5F42">
              <w:t>Não cumprimento dos prazos estipulados neste termo, para cada dia ou</w:t>
            </w:r>
            <w:r>
              <w:t xml:space="preserve"> </w:t>
            </w:r>
            <w:r w:rsidRPr="00CC5F42">
              <w:t>fração.</w:t>
            </w:r>
          </w:p>
        </w:tc>
        <w:tc>
          <w:tcPr>
            <w:tcW w:w="1732" w:type="dxa"/>
          </w:tcPr>
          <w:p w:rsidR="00F65E3A" w:rsidRPr="00CC5F42" w:rsidRDefault="00F65E3A" w:rsidP="00F65E3A">
            <w:pPr>
              <w:jc w:val="center"/>
            </w:pPr>
            <w:r w:rsidRPr="00CC5F42">
              <w:t>0,1</w:t>
            </w:r>
          </w:p>
          <w:p w:rsidR="00F65E3A" w:rsidRPr="00CC5F42" w:rsidRDefault="00F65E3A" w:rsidP="00F65E3A">
            <w:pPr>
              <w:jc w:val="center"/>
            </w:pPr>
          </w:p>
        </w:tc>
      </w:tr>
      <w:tr w:rsidR="00F65E3A" w:rsidTr="00CC5F42">
        <w:tc>
          <w:tcPr>
            <w:tcW w:w="6912" w:type="dxa"/>
          </w:tcPr>
          <w:p w:rsidR="00F65E3A" w:rsidRPr="00CC5F42" w:rsidRDefault="00F65E3A" w:rsidP="00F65E3A">
            <w:r w:rsidRPr="00CC5F42">
              <w:t>Chamadas não completadas no dia, maior que 10% das chamadas do dia de</w:t>
            </w:r>
            <w:r>
              <w:t xml:space="preserve"> </w:t>
            </w:r>
            <w:r w:rsidRPr="00CC5F42">
              <w:t>referência.</w:t>
            </w:r>
          </w:p>
        </w:tc>
        <w:tc>
          <w:tcPr>
            <w:tcW w:w="1732" w:type="dxa"/>
          </w:tcPr>
          <w:p w:rsidR="00F65E3A" w:rsidRPr="00CC5F42" w:rsidRDefault="00F65E3A" w:rsidP="00F65E3A">
            <w:pPr>
              <w:jc w:val="center"/>
            </w:pPr>
            <w:r w:rsidRPr="00CC5F42">
              <w:t>0,2</w:t>
            </w:r>
          </w:p>
          <w:p w:rsidR="00F65E3A" w:rsidRPr="00CC5F42" w:rsidRDefault="00F65E3A" w:rsidP="00F65E3A">
            <w:pPr>
              <w:jc w:val="center"/>
            </w:pPr>
          </w:p>
        </w:tc>
      </w:tr>
      <w:tr w:rsidR="00F65E3A" w:rsidTr="00CC5F42">
        <w:tc>
          <w:tcPr>
            <w:tcW w:w="6912" w:type="dxa"/>
          </w:tcPr>
          <w:p w:rsidR="00F65E3A" w:rsidRPr="00CC5F42" w:rsidRDefault="00F65E3A" w:rsidP="00F65E3A">
            <w:r w:rsidRPr="00CC5F42">
              <w:t>Interrupção da prestação dos serviços em uma localidade, para cada hora</w:t>
            </w:r>
            <w:r>
              <w:t xml:space="preserve"> </w:t>
            </w:r>
            <w:r w:rsidRPr="00CC5F42">
              <w:t>totalizada pela soma de interrupções, sem comunicação prévia e acordada</w:t>
            </w:r>
            <w:r>
              <w:t xml:space="preserve"> </w:t>
            </w:r>
            <w:r w:rsidRPr="00CC5F42">
              <w:t>com a CONTRATANTE.</w:t>
            </w:r>
          </w:p>
        </w:tc>
        <w:tc>
          <w:tcPr>
            <w:tcW w:w="1732" w:type="dxa"/>
          </w:tcPr>
          <w:p w:rsidR="00F65E3A" w:rsidRPr="00CC5F42" w:rsidRDefault="00F65E3A" w:rsidP="00F65E3A">
            <w:pPr>
              <w:jc w:val="center"/>
            </w:pPr>
            <w:r w:rsidRPr="00CC5F42">
              <w:t>0,5</w:t>
            </w:r>
          </w:p>
          <w:p w:rsidR="00F65E3A" w:rsidRPr="00CC5F42" w:rsidRDefault="00F65E3A" w:rsidP="00F65E3A">
            <w:pPr>
              <w:jc w:val="center"/>
            </w:pPr>
          </w:p>
        </w:tc>
      </w:tr>
      <w:tr w:rsidR="00F65E3A" w:rsidTr="00CC5F42">
        <w:tc>
          <w:tcPr>
            <w:tcW w:w="6912" w:type="dxa"/>
          </w:tcPr>
          <w:p w:rsidR="00F65E3A" w:rsidRPr="00CC5F42" w:rsidRDefault="00F65E3A" w:rsidP="00F65E3A">
            <w:r w:rsidRPr="00CC5F42">
              <w:t>Não funcionamento do sistema de gerenciamento dos acessos, por dia de</w:t>
            </w:r>
            <w:r>
              <w:t xml:space="preserve"> </w:t>
            </w:r>
            <w:proofErr w:type="gramStart"/>
            <w:r w:rsidRPr="00CC5F42">
              <w:t>indisponibilidade</w:t>
            </w:r>
            <w:proofErr w:type="gramEnd"/>
          </w:p>
        </w:tc>
        <w:tc>
          <w:tcPr>
            <w:tcW w:w="1732" w:type="dxa"/>
          </w:tcPr>
          <w:p w:rsidR="00F65E3A" w:rsidRPr="00CC5F42" w:rsidRDefault="00F65E3A" w:rsidP="00F65E3A">
            <w:pPr>
              <w:jc w:val="center"/>
            </w:pPr>
            <w:r w:rsidRPr="00CC5F42">
              <w:t>0,5</w:t>
            </w:r>
          </w:p>
        </w:tc>
      </w:tr>
    </w:tbl>
    <w:p w:rsidR="00F65E3A" w:rsidRPr="00CC5F42" w:rsidRDefault="00F65E3A" w:rsidP="00CC5F42">
      <w:pPr>
        <w:spacing w:after="0" w:line="240" w:lineRule="auto"/>
      </w:pPr>
    </w:p>
    <w:p w:rsidR="00CC5F42" w:rsidRPr="00CC5F42" w:rsidRDefault="00CC5F42" w:rsidP="00CC5F42">
      <w:pPr>
        <w:spacing w:after="0" w:line="240" w:lineRule="auto"/>
      </w:pPr>
    </w:p>
    <w:p w:rsidR="00CC5F42" w:rsidRPr="00CC5F42" w:rsidRDefault="00CC5F42" w:rsidP="00CC5F42">
      <w:r w:rsidRPr="00CC5F42">
        <w:t>Tabela de Pontuação Acumulada e Glosa: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09"/>
        <w:gridCol w:w="6835"/>
      </w:tblGrid>
      <w:tr w:rsidR="00F65E3A" w:rsidTr="00C6357B">
        <w:trPr>
          <w:trHeight w:val="254"/>
        </w:trPr>
        <w:tc>
          <w:tcPr>
            <w:tcW w:w="1809" w:type="dxa"/>
            <w:shd w:val="clear" w:color="auto" w:fill="D9D9D9" w:themeFill="background1" w:themeFillShade="D9"/>
          </w:tcPr>
          <w:p w:rsidR="00F65E3A" w:rsidRDefault="00F65E3A" w:rsidP="00C6357B">
            <w:pPr>
              <w:jc w:val="center"/>
              <w:rPr>
                <w:b/>
                <w:bCs/>
              </w:rPr>
            </w:pPr>
            <w:r w:rsidRPr="00CC5F42">
              <w:rPr>
                <w:b/>
                <w:bCs/>
              </w:rPr>
              <w:t>PONTUAÇÃO</w:t>
            </w:r>
            <w:r>
              <w:rPr>
                <w:b/>
                <w:bCs/>
              </w:rPr>
              <w:t xml:space="preserve"> </w:t>
            </w:r>
            <w:r w:rsidRPr="00CC5F42">
              <w:rPr>
                <w:b/>
                <w:bCs/>
              </w:rPr>
              <w:t>ACUMULADA</w:t>
            </w:r>
          </w:p>
        </w:tc>
        <w:tc>
          <w:tcPr>
            <w:tcW w:w="6835" w:type="dxa"/>
            <w:shd w:val="clear" w:color="auto" w:fill="D9D9D9" w:themeFill="background1" w:themeFillShade="D9"/>
          </w:tcPr>
          <w:p w:rsidR="00F65E3A" w:rsidRDefault="00F65E3A" w:rsidP="00C6357B">
            <w:pPr>
              <w:spacing w:after="200" w:line="276" w:lineRule="auto"/>
              <w:jc w:val="center"/>
              <w:rPr>
                <w:b/>
                <w:bCs/>
              </w:rPr>
            </w:pPr>
            <w:r w:rsidRPr="00CC5F42">
              <w:rPr>
                <w:b/>
                <w:bCs/>
              </w:rPr>
              <w:t>ADVERTÊNCIA/GLOSA</w:t>
            </w:r>
          </w:p>
        </w:tc>
      </w:tr>
      <w:tr w:rsidR="00F65E3A" w:rsidTr="00F65E3A">
        <w:tc>
          <w:tcPr>
            <w:tcW w:w="1809" w:type="dxa"/>
          </w:tcPr>
          <w:p w:rsidR="00F65E3A" w:rsidRPr="00F65E3A" w:rsidRDefault="00F65E3A" w:rsidP="00F65E3A">
            <w:pPr>
              <w:rPr>
                <w:bCs/>
              </w:rPr>
            </w:pPr>
            <w:proofErr w:type="gramStart"/>
            <w:r w:rsidRPr="00F65E3A"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(um) ponto</w:t>
            </w:r>
          </w:p>
        </w:tc>
        <w:tc>
          <w:tcPr>
            <w:tcW w:w="6835" w:type="dxa"/>
          </w:tcPr>
          <w:p w:rsidR="00F65E3A" w:rsidRPr="00F65E3A" w:rsidRDefault="00F65E3A" w:rsidP="00CC5F42">
            <w:pPr>
              <w:rPr>
                <w:bCs/>
              </w:rPr>
            </w:pPr>
            <w:r w:rsidRPr="00F65E3A">
              <w:rPr>
                <w:bCs/>
              </w:rPr>
              <w:t>Advertência</w:t>
            </w:r>
          </w:p>
        </w:tc>
      </w:tr>
      <w:tr w:rsidR="00F65E3A" w:rsidTr="00F65E3A">
        <w:tc>
          <w:tcPr>
            <w:tcW w:w="1809" w:type="dxa"/>
          </w:tcPr>
          <w:p w:rsidR="00F65E3A" w:rsidRPr="00F65E3A" w:rsidRDefault="00F65E3A" w:rsidP="00CC5F42">
            <w:pPr>
              <w:rPr>
                <w:bCs/>
              </w:rPr>
            </w:pPr>
            <w:proofErr w:type="gramStart"/>
            <w:r w:rsidRPr="00F65E3A">
              <w:rPr>
                <w:bCs/>
              </w:rPr>
              <w:t>2</w:t>
            </w:r>
            <w:proofErr w:type="gramEnd"/>
            <w:r>
              <w:rPr>
                <w:bCs/>
              </w:rPr>
              <w:t xml:space="preserve"> (dois) pontos</w:t>
            </w:r>
          </w:p>
        </w:tc>
        <w:tc>
          <w:tcPr>
            <w:tcW w:w="6835" w:type="dxa"/>
          </w:tcPr>
          <w:p w:rsidR="00F65E3A" w:rsidRPr="00F65E3A" w:rsidRDefault="00F65E3A" w:rsidP="00C6357B">
            <w:pPr>
              <w:jc w:val="both"/>
              <w:rPr>
                <w:bCs/>
              </w:rPr>
            </w:pPr>
            <w:r w:rsidRPr="00CC5F42">
              <w:t>Glosa correspondente a 0,5% do valor faturado do mês de aplicação dessa</w:t>
            </w:r>
            <w:r>
              <w:t xml:space="preserve"> </w:t>
            </w:r>
            <w:r w:rsidRPr="00CC5F42">
              <w:t>sanção.</w:t>
            </w:r>
          </w:p>
        </w:tc>
      </w:tr>
      <w:tr w:rsidR="00F65E3A" w:rsidTr="00F65E3A">
        <w:tc>
          <w:tcPr>
            <w:tcW w:w="1809" w:type="dxa"/>
          </w:tcPr>
          <w:p w:rsidR="00F65E3A" w:rsidRPr="00F65E3A" w:rsidRDefault="00F65E3A" w:rsidP="00CC5F42">
            <w:pPr>
              <w:rPr>
                <w:bCs/>
              </w:rPr>
            </w:pPr>
            <w:proofErr w:type="gramStart"/>
            <w:r w:rsidRPr="00F65E3A">
              <w:rPr>
                <w:bCs/>
              </w:rPr>
              <w:t>3</w:t>
            </w:r>
            <w:proofErr w:type="gramEnd"/>
            <w:r>
              <w:rPr>
                <w:bCs/>
              </w:rPr>
              <w:t xml:space="preserve"> (três) pontos</w:t>
            </w:r>
          </w:p>
        </w:tc>
        <w:tc>
          <w:tcPr>
            <w:tcW w:w="6835" w:type="dxa"/>
          </w:tcPr>
          <w:p w:rsidR="00F65E3A" w:rsidRPr="00F65E3A" w:rsidRDefault="00F65E3A" w:rsidP="00C6357B">
            <w:pPr>
              <w:jc w:val="both"/>
              <w:rPr>
                <w:bCs/>
              </w:rPr>
            </w:pPr>
            <w:r w:rsidRPr="00CC5F42">
              <w:t>Glosa correspondente a 1% do valor faturado do mês de aplicação dessa</w:t>
            </w:r>
            <w:r>
              <w:t xml:space="preserve"> </w:t>
            </w:r>
            <w:r w:rsidRPr="00CC5F42">
              <w:t>sanção.</w:t>
            </w:r>
          </w:p>
        </w:tc>
      </w:tr>
      <w:tr w:rsidR="00F65E3A" w:rsidTr="00F65E3A">
        <w:tc>
          <w:tcPr>
            <w:tcW w:w="1809" w:type="dxa"/>
          </w:tcPr>
          <w:p w:rsidR="00F65E3A" w:rsidRPr="00F65E3A" w:rsidRDefault="00F65E3A" w:rsidP="00CC5F42">
            <w:pPr>
              <w:rPr>
                <w:bCs/>
              </w:rPr>
            </w:pPr>
            <w:proofErr w:type="gramStart"/>
            <w:r w:rsidRPr="00F65E3A">
              <w:rPr>
                <w:bCs/>
              </w:rPr>
              <w:t>4</w:t>
            </w:r>
            <w:proofErr w:type="gramEnd"/>
            <w:r>
              <w:rPr>
                <w:bCs/>
              </w:rPr>
              <w:t xml:space="preserve"> (quatro) pontos</w:t>
            </w:r>
          </w:p>
        </w:tc>
        <w:tc>
          <w:tcPr>
            <w:tcW w:w="6835" w:type="dxa"/>
          </w:tcPr>
          <w:p w:rsidR="00F65E3A" w:rsidRPr="00C6357B" w:rsidRDefault="00C6357B" w:rsidP="00C6357B">
            <w:pPr>
              <w:jc w:val="both"/>
            </w:pPr>
            <w:r w:rsidRPr="00CC5F42">
              <w:t>Glosa correspondente a 2% do valor faturado do mês de aplicação dessa</w:t>
            </w:r>
            <w:r>
              <w:t xml:space="preserve"> </w:t>
            </w:r>
            <w:r w:rsidRPr="00CC5F42">
              <w:t>sanção.</w:t>
            </w:r>
          </w:p>
        </w:tc>
      </w:tr>
      <w:tr w:rsidR="00F65E3A" w:rsidTr="00F65E3A">
        <w:tc>
          <w:tcPr>
            <w:tcW w:w="1809" w:type="dxa"/>
          </w:tcPr>
          <w:p w:rsidR="00F65E3A" w:rsidRPr="00F65E3A" w:rsidRDefault="00F65E3A" w:rsidP="00CC5F42">
            <w:pPr>
              <w:rPr>
                <w:bCs/>
              </w:rPr>
            </w:pPr>
            <w:proofErr w:type="gramStart"/>
            <w:r w:rsidRPr="00F65E3A">
              <w:rPr>
                <w:bCs/>
              </w:rPr>
              <w:t>5</w:t>
            </w:r>
            <w:proofErr w:type="gramEnd"/>
            <w:r>
              <w:rPr>
                <w:bCs/>
              </w:rPr>
              <w:t xml:space="preserve"> (cinco) pontos</w:t>
            </w:r>
          </w:p>
        </w:tc>
        <w:tc>
          <w:tcPr>
            <w:tcW w:w="6835" w:type="dxa"/>
          </w:tcPr>
          <w:p w:rsidR="00C6357B" w:rsidRPr="00CC5F42" w:rsidRDefault="00C6357B" w:rsidP="00C6357B">
            <w:r w:rsidRPr="00CC5F42">
              <w:t>Glosa correspondente a 3% do valor faturado do mês de aplicação dessa</w:t>
            </w:r>
          </w:p>
          <w:p w:rsidR="00F65E3A" w:rsidRPr="00F65E3A" w:rsidRDefault="00C6357B" w:rsidP="00C6357B">
            <w:pPr>
              <w:rPr>
                <w:bCs/>
              </w:rPr>
            </w:pPr>
            <w:proofErr w:type="gramStart"/>
            <w:r w:rsidRPr="00CC5F42">
              <w:t>sanção</w:t>
            </w:r>
            <w:proofErr w:type="gramEnd"/>
            <w:r w:rsidRPr="00CC5F42">
              <w:t>.</w:t>
            </w:r>
          </w:p>
        </w:tc>
      </w:tr>
      <w:tr w:rsidR="00F65E3A" w:rsidTr="00F65E3A">
        <w:tc>
          <w:tcPr>
            <w:tcW w:w="1809" w:type="dxa"/>
          </w:tcPr>
          <w:p w:rsidR="00F65E3A" w:rsidRPr="00F65E3A" w:rsidRDefault="00F65E3A" w:rsidP="00CC5F42">
            <w:pPr>
              <w:rPr>
                <w:bCs/>
              </w:rPr>
            </w:pPr>
            <w:proofErr w:type="gramStart"/>
            <w:r w:rsidRPr="00F65E3A">
              <w:rPr>
                <w:bCs/>
              </w:rPr>
              <w:t>6</w:t>
            </w:r>
            <w:proofErr w:type="gramEnd"/>
            <w:r>
              <w:rPr>
                <w:bCs/>
              </w:rPr>
              <w:t xml:space="preserve"> (seis) pontos</w:t>
            </w:r>
          </w:p>
        </w:tc>
        <w:tc>
          <w:tcPr>
            <w:tcW w:w="6835" w:type="dxa"/>
          </w:tcPr>
          <w:p w:rsidR="00C6357B" w:rsidRPr="00CC5F42" w:rsidRDefault="00C6357B" w:rsidP="00C6357B">
            <w:r w:rsidRPr="00CC5F42">
              <w:t xml:space="preserve">Glosa correspondente a 4% do valor faturado do mês de aplicação </w:t>
            </w:r>
            <w:proofErr w:type="gramStart"/>
            <w:r w:rsidRPr="00CC5F42">
              <w:t>dessa</w:t>
            </w:r>
            <w:proofErr w:type="gramEnd"/>
          </w:p>
          <w:p w:rsidR="00F65E3A" w:rsidRPr="00F65E3A" w:rsidRDefault="00C6357B" w:rsidP="00C6357B">
            <w:pPr>
              <w:rPr>
                <w:bCs/>
              </w:rPr>
            </w:pPr>
            <w:proofErr w:type="gramStart"/>
            <w:r w:rsidRPr="00CC5F42">
              <w:t>sanção</w:t>
            </w:r>
            <w:proofErr w:type="gramEnd"/>
            <w:r w:rsidRPr="00CC5F42">
              <w:t>.</w:t>
            </w:r>
          </w:p>
        </w:tc>
      </w:tr>
      <w:tr w:rsidR="00F65E3A" w:rsidTr="00F65E3A">
        <w:tc>
          <w:tcPr>
            <w:tcW w:w="1809" w:type="dxa"/>
          </w:tcPr>
          <w:p w:rsidR="00F65E3A" w:rsidRPr="00F65E3A" w:rsidRDefault="00F65E3A" w:rsidP="00CC5F42">
            <w:pPr>
              <w:rPr>
                <w:bCs/>
              </w:rPr>
            </w:pPr>
            <w:proofErr w:type="gramStart"/>
            <w:r w:rsidRPr="00F65E3A">
              <w:rPr>
                <w:bCs/>
              </w:rPr>
              <w:t>7</w:t>
            </w:r>
            <w:proofErr w:type="gramEnd"/>
            <w:r>
              <w:rPr>
                <w:bCs/>
              </w:rPr>
              <w:t>(sete) pontos</w:t>
            </w:r>
          </w:p>
        </w:tc>
        <w:tc>
          <w:tcPr>
            <w:tcW w:w="6835" w:type="dxa"/>
          </w:tcPr>
          <w:p w:rsidR="00C6357B" w:rsidRPr="00CC5F42" w:rsidRDefault="00C6357B" w:rsidP="00C6357B">
            <w:r w:rsidRPr="00CC5F42">
              <w:t xml:space="preserve">Glosa correspondente a 5% do valor faturado do mês de aplicação </w:t>
            </w:r>
            <w:proofErr w:type="gramStart"/>
            <w:r w:rsidRPr="00CC5F42">
              <w:t>dessa</w:t>
            </w:r>
            <w:proofErr w:type="gramEnd"/>
          </w:p>
          <w:p w:rsidR="00F65E3A" w:rsidRPr="00F65E3A" w:rsidRDefault="00C6357B" w:rsidP="00C6357B">
            <w:pPr>
              <w:rPr>
                <w:bCs/>
              </w:rPr>
            </w:pPr>
            <w:proofErr w:type="gramStart"/>
            <w:r w:rsidRPr="00CC5F42">
              <w:t>sanção</w:t>
            </w:r>
            <w:proofErr w:type="gramEnd"/>
            <w:r w:rsidRPr="00CC5F42">
              <w:t>.</w:t>
            </w:r>
          </w:p>
        </w:tc>
      </w:tr>
      <w:tr w:rsidR="00F65E3A" w:rsidTr="00F65E3A">
        <w:tc>
          <w:tcPr>
            <w:tcW w:w="1809" w:type="dxa"/>
          </w:tcPr>
          <w:p w:rsidR="00F65E3A" w:rsidRPr="00F65E3A" w:rsidRDefault="00F65E3A" w:rsidP="00CC5F42">
            <w:pPr>
              <w:rPr>
                <w:bCs/>
              </w:rPr>
            </w:pPr>
            <w:r w:rsidRPr="00F65E3A">
              <w:rPr>
                <w:bCs/>
              </w:rPr>
              <w:t xml:space="preserve">Acima de </w:t>
            </w:r>
            <w:proofErr w:type="gramStart"/>
            <w:r w:rsidRPr="00F65E3A">
              <w:rPr>
                <w:bCs/>
              </w:rPr>
              <w:t>7</w:t>
            </w:r>
            <w:proofErr w:type="gramEnd"/>
            <w:r w:rsidRPr="00F65E3A">
              <w:rPr>
                <w:bCs/>
              </w:rPr>
              <w:t xml:space="preserve"> pontos</w:t>
            </w:r>
          </w:p>
        </w:tc>
        <w:tc>
          <w:tcPr>
            <w:tcW w:w="6835" w:type="dxa"/>
          </w:tcPr>
          <w:p w:rsidR="00F65E3A" w:rsidRPr="00F65E3A" w:rsidRDefault="00C6357B" w:rsidP="00C6357B">
            <w:pPr>
              <w:rPr>
                <w:bCs/>
              </w:rPr>
            </w:pPr>
            <w:r w:rsidRPr="00CC5F42">
              <w:t>Glosa correspondente a 5% do valor faturado do mês de aplicação dessa</w:t>
            </w:r>
            <w:r>
              <w:t xml:space="preserve"> </w:t>
            </w:r>
            <w:r w:rsidRPr="00CC5F42">
              <w:t>sanção, acrescido de 1% para cada ponto extra.</w:t>
            </w:r>
          </w:p>
        </w:tc>
      </w:tr>
    </w:tbl>
    <w:p w:rsidR="00F65E3A" w:rsidRDefault="00F65E3A" w:rsidP="00CC5F42">
      <w:pPr>
        <w:rPr>
          <w:b/>
          <w:bCs/>
        </w:rPr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O resultado da apuração da pontuação e respectivo percentual da glosa serão</w:t>
      </w:r>
      <w:r w:rsidR="00C6357B">
        <w:t xml:space="preserve"> </w:t>
      </w:r>
      <w:r w:rsidRPr="00CC5F42">
        <w:t>comunicados pelo fiscal do contrato, por meio de notificação formal, à contratada, que terá</w:t>
      </w:r>
      <w:r w:rsidR="00C6357B">
        <w:t xml:space="preserve"> </w:t>
      </w:r>
      <w:r w:rsidRPr="00CC5F42">
        <w:t>05 (cinco) dias úteis, a partir do recebimento da comunicação, para contestar.</w:t>
      </w:r>
    </w:p>
    <w:p w:rsidR="00C6357B" w:rsidRPr="00CC5F42" w:rsidRDefault="00C6357B" w:rsidP="00611A0A">
      <w:pPr>
        <w:pStyle w:val="PargrafodaLista"/>
        <w:spacing w:after="0" w:line="240" w:lineRule="auto"/>
        <w:ind w:left="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O prestador do serviço poderá apresentar justificativa para a prestação do</w:t>
      </w:r>
      <w:r w:rsidR="00C6357B">
        <w:t xml:space="preserve"> </w:t>
      </w:r>
      <w:r w:rsidRPr="00CC5F42">
        <w:t>serviço com menor nível de conformidade, que poderá ser aceita pela contratante,</w:t>
      </w:r>
      <w:r w:rsidR="00C6357B">
        <w:t xml:space="preserve"> </w:t>
      </w:r>
      <w:r w:rsidRPr="00CC5F42">
        <w:t xml:space="preserve">desde que comprovada </w:t>
      </w:r>
      <w:proofErr w:type="gramStart"/>
      <w:r w:rsidRPr="00CC5F42">
        <w:t>a</w:t>
      </w:r>
      <w:proofErr w:type="gramEnd"/>
      <w:r w:rsidRPr="00CC5F42">
        <w:t xml:space="preserve"> excepcionalidade da ocorrência, resultante</w:t>
      </w:r>
      <w:r w:rsidR="00C6357B">
        <w:t xml:space="preserve"> </w:t>
      </w:r>
      <w:r w:rsidRPr="00CC5F42">
        <w:t xml:space="preserve">exclusivamente de fatores imprevisíveis e alheios </w:t>
      </w:r>
      <w:r w:rsidRPr="00CC5F42">
        <w:lastRenderedPageBreak/>
        <w:t>ao controle do prestador -</w:t>
      </w:r>
      <w:r w:rsidR="00C6357B">
        <w:t xml:space="preserve"> </w:t>
      </w:r>
      <w:r w:rsidRPr="00CC5F42">
        <w:t>ocorrência de caso fortuito ou de força maior - conforme § 1º, art. 33, da IN</w:t>
      </w:r>
      <w:r w:rsidR="00C6357B">
        <w:t xml:space="preserve"> </w:t>
      </w:r>
      <w:r w:rsidRPr="00CC5F42">
        <w:t>SLTI/MPOG nº 02/2008.</w:t>
      </w:r>
    </w:p>
    <w:p w:rsidR="00C6357B" w:rsidRPr="00CC5F42" w:rsidRDefault="00C6357B" w:rsidP="00611A0A">
      <w:pPr>
        <w:pStyle w:val="PargrafodaLista"/>
        <w:spacing w:after="0" w:line="240" w:lineRule="auto"/>
        <w:ind w:left="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Caso não seja aceita a justificativa, o fiscal do contrato realizará a glosa</w:t>
      </w:r>
      <w:r w:rsidR="00C6357B">
        <w:t xml:space="preserve"> </w:t>
      </w:r>
      <w:r w:rsidRPr="00CC5F42">
        <w:t>correspondente nas faturas vincendas.</w:t>
      </w:r>
    </w:p>
    <w:p w:rsidR="00C6357B" w:rsidRPr="00CC5F42" w:rsidRDefault="00C6357B" w:rsidP="00611A0A">
      <w:pPr>
        <w:pStyle w:val="PargrafodaLista"/>
        <w:spacing w:after="0" w:line="240" w:lineRule="auto"/>
        <w:ind w:left="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Caso não haja faturas com vencimento futuro para a efetivação da glosa, os</w:t>
      </w:r>
      <w:r w:rsidR="00C6357B">
        <w:t xml:space="preserve"> </w:t>
      </w:r>
      <w:r w:rsidRPr="00CC5F42">
        <w:t>valores respectivos poderão ser descontados de valores pendentes de pagamento</w:t>
      </w:r>
      <w:r w:rsidR="00C6357B">
        <w:t xml:space="preserve"> </w:t>
      </w:r>
      <w:r w:rsidRPr="00CC5F42">
        <w:t>pela contratante.</w:t>
      </w:r>
    </w:p>
    <w:p w:rsidR="00C6357B" w:rsidRPr="00CC5F42" w:rsidRDefault="00C6357B" w:rsidP="00611A0A">
      <w:pPr>
        <w:pStyle w:val="PargrafodaLista"/>
        <w:spacing w:after="0" w:line="240" w:lineRule="auto"/>
        <w:ind w:left="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A cada aplicação de advertência ou glosa, os valores do somatório dos pontos serão</w:t>
      </w:r>
      <w:r w:rsidR="00C6357B">
        <w:t xml:space="preserve"> </w:t>
      </w:r>
      <w:r w:rsidRPr="00CC5F42">
        <w:t>zerados, de forma a não haver duplicidade.</w:t>
      </w:r>
    </w:p>
    <w:p w:rsidR="00C6357B" w:rsidRPr="00CC5F42" w:rsidRDefault="00C6357B" w:rsidP="00611A0A">
      <w:pPr>
        <w:pStyle w:val="PargrafodaLista"/>
        <w:spacing w:after="0" w:line="240" w:lineRule="auto"/>
        <w:ind w:left="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O reinício do acúmulo de pontos dar-se-á a partir da aplicação da</w:t>
      </w:r>
      <w:r w:rsidR="00C6357B">
        <w:t xml:space="preserve"> </w:t>
      </w:r>
      <w:r w:rsidRPr="00CC5F42">
        <w:t>glosa/advertência e se encerrará até a próxima linha de pontuação acumulada (Ex.</w:t>
      </w:r>
      <w:r w:rsidR="00C6357B">
        <w:t xml:space="preserve"> </w:t>
      </w:r>
      <w:r w:rsidRPr="00CC5F42">
        <w:t>Aplicou-se a advertência em razão do acúmulo das frações relativas às ocorrências</w:t>
      </w:r>
      <w:r w:rsidR="00C6357B">
        <w:t xml:space="preserve"> </w:t>
      </w:r>
      <w:r w:rsidRPr="00CC5F42">
        <w:t xml:space="preserve">que somaram </w:t>
      </w:r>
      <w:proofErr w:type="gramStart"/>
      <w:r w:rsidRPr="00CC5F42">
        <w:t>1</w:t>
      </w:r>
      <w:proofErr w:type="gramEnd"/>
      <w:r w:rsidRPr="00CC5F42">
        <w:t xml:space="preserve"> ponto. A partir dessa aplicação, o somatório será zerado e a</w:t>
      </w:r>
      <w:r w:rsidR="00C6357B">
        <w:t xml:space="preserve"> </w:t>
      </w:r>
      <w:r w:rsidRPr="00CC5F42">
        <w:t>acumulação reiniciará até atingir 2 pontos, e assim sucessivamente).</w:t>
      </w:r>
    </w:p>
    <w:p w:rsidR="00C6357B" w:rsidRPr="00CC5F42" w:rsidRDefault="00C6357B" w:rsidP="00611A0A">
      <w:pPr>
        <w:pStyle w:val="PargrafodaLista"/>
        <w:spacing w:after="0" w:line="240" w:lineRule="auto"/>
        <w:ind w:left="0"/>
        <w:jc w:val="both"/>
      </w:pPr>
    </w:p>
    <w:p w:rsidR="00CC5F42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 xml:space="preserve">Em caso da contratada </w:t>
      </w:r>
      <w:r w:rsidR="00C6357B">
        <w:t xml:space="preserve">atingir a partir de </w:t>
      </w:r>
      <w:proofErr w:type="gramStart"/>
      <w:r w:rsidRPr="00CC5F42">
        <w:t>8</w:t>
      </w:r>
      <w:proofErr w:type="gramEnd"/>
      <w:r w:rsidRPr="00CC5F42">
        <w:t xml:space="preserve"> pontos fica facultado a contratante a rescisão unilateral</w:t>
      </w:r>
      <w:r w:rsidR="00C6357B">
        <w:t xml:space="preserve"> </w:t>
      </w:r>
      <w:r w:rsidRPr="00CC5F42">
        <w:t>sem ônus financeiro do contrato.</w:t>
      </w:r>
    </w:p>
    <w:p w:rsidR="00C6357B" w:rsidRPr="00CC5F42" w:rsidRDefault="00C6357B" w:rsidP="00611A0A">
      <w:pPr>
        <w:pStyle w:val="PargrafodaLista"/>
        <w:spacing w:after="0" w:line="240" w:lineRule="auto"/>
        <w:ind w:left="0"/>
        <w:jc w:val="both"/>
      </w:pPr>
    </w:p>
    <w:p w:rsidR="00C71450" w:rsidRDefault="00CC5F42" w:rsidP="00C6357B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</w:pPr>
      <w:r w:rsidRPr="00CC5F42">
        <w:t>A fim de não haver descontinuidade dos serviços, no caso acima, a contratante poderá</w:t>
      </w:r>
      <w:r w:rsidR="00C6357B">
        <w:t xml:space="preserve"> </w:t>
      </w:r>
      <w:r w:rsidRPr="00CC5F42">
        <w:t>aguardar a efetivação de nova contratação para rescindir unilateralmente o contrato.</w:t>
      </w:r>
    </w:p>
    <w:p w:rsidR="00C6357B" w:rsidRDefault="00C6357B" w:rsidP="00C6357B">
      <w:pPr>
        <w:spacing w:after="0" w:line="240" w:lineRule="auto"/>
        <w:jc w:val="both"/>
      </w:pPr>
    </w:p>
    <w:p w:rsidR="00C6357B" w:rsidRDefault="00C6357B" w:rsidP="00C6357B">
      <w:pPr>
        <w:spacing w:after="0" w:line="240" w:lineRule="auto"/>
        <w:jc w:val="both"/>
      </w:pPr>
    </w:p>
    <w:p w:rsidR="00C6357B" w:rsidRDefault="00C6357B" w:rsidP="00C6357B">
      <w:pPr>
        <w:spacing w:after="0" w:line="240" w:lineRule="auto"/>
        <w:jc w:val="right"/>
      </w:pPr>
      <w:r>
        <w:t xml:space="preserve">Natal/RN, ___ de _________ </w:t>
      </w:r>
      <w:proofErr w:type="spellStart"/>
      <w:r>
        <w:t>de</w:t>
      </w:r>
      <w:proofErr w:type="spellEnd"/>
      <w:r>
        <w:t xml:space="preserve"> 2015.</w:t>
      </w:r>
    </w:p>
    <w:p w:rsidR="00C6357B" w:rsidRDefault="00C6357B" w:rsidP="00C6357B">
      <w:pPr>
        <w:spacing w:after="0" w:line="240" w:lineRule="auto"/>
        <w:jc w:val="right"/>
      </w:pPr>
    </w:p>
    <w:p w:rsidR="00C6357B" w:rsidRDefault="00C6357B" w:rsidP="00C6357B">
      <w:pPr>
        <w:spacing w:after="0" w:line="240" w:lineRule="auto"/>
        <w:jc w:val="right"/>
      </w:pPr>
    </w:p>
    <w:p w:rsidR="00C6357B" w:rsidRDefault="00C6357B" w:rsidP="00C6357B">
      <w:pPr>
        <w:spacing w:after="0" w:line="240" w:lineRule="auto"/>
        <w:jc w:val="right"/>
      </w:pPr>
    </w:p>
    <w:p w:rsidR="00C6357B" w:rsidRDefault="00C6357B" w:rsidP="00C6357B">
      <w:pPr>
        <w:spacing w:after="0" w:line="240" w:lineRule="auto"/>
        <w:jc w:val="center"/>
      </w:pPr>
      <w:r>
        <w:t>________________________________________</w:t>
      </w:r>
    </w:p>
    <w:p w:rsidR="00C6357B" w:rsidRDefault="00C6357B" w:rsidP="00C6357B">
      <w:pPr>
        <w:spacing w:after="0" w:line="240" w:lineRule="auto"/>
        <w:jc w:val="center"/>
      </w:pPr>
      <w:r>
        <w:t>CONTRATANTE</w:t>
      </w:r>
    </w:p>
    <w:p w:rsidR="00C6357B" w:rsidRDefault="00C6357B" w:rsidP="00C6357B">
      <w:pPr>
        <w:spacing w:after="0" w:line="240" w:lineRule="auto"/>
        <w:jc w:val="center"/>
      </w:pPr>
    </w:p>
    <w:p w:rsidR="00C6357B" w:rsidRDefault="00C6357B" w:rsidP="00C6357B">
      <w:pPr>
        <w:spacing w:after="0" w:line="240" w:lineRule="auto"/>
        <w:jc w:val="center"/>
      </w:pPr>
    </w:p>
    <w:p w:rsidR="00C6357B" w:rsidRDefault="00C6357B" w:rsidP="00C6357B">
      <w:pPr>
        <w:spacing w:after="0" w:line="240" w:lineRule="auto"/>
        <w:jc w:val="center"/>
      </w:pPr>
      <w:r>
        <w:t>______________________________________</w:t>
      </w:r>
    </w:p>
    <w:p w:rsidR="00C6357B" w:rsidRDefault="00C6357B" w:rsidP="00C6357B">
      <w:pPr>
        <w:spacing w:after="0" w:line="240" w:lineRule="auto"/>
        <w:jc w:val="center"/>
      </w:pPr>
      <w:r>
        <w:t>CONTRATADA</w:t>
      </w:r>
    </w:p>
    <w:sectPr w:rsidR="00C6357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F42" w:rsidRDefault="00CC5F42" w:rsidP="00CC5F42">
      <w:pPr>
        <w:spacing w:after="0" w:line="240" w:lineRule="auto"/>
      </w:pPr>
      <w:r>
        <w:separator/>
      </w:r>
    </w:p>
  </w:endnote>
  <w:endnote w:type="continuationSeparator" w:id="0">
    <w:p w:rsidR="00CC5F42" w:rsidRDefault="00CC5F42" w:rsidP="00CC5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F42" w:rsidRDefault="00CC5F42" w:rsidP="00CC5F42">
      <w:pPr>
        <w:spacing w:after="0" w:line="240" w:lineRule="auto"/>
      </w:pPr>
      <w:r>
        <w:separator/>
      </w:r>
    </w:p>
  </w:footnote>
  <w:footnote w:type="continuationSeparator" w:id="0">
    <w:p w:rsidR="00CC5F42" w:rsidRDefault="00CC5F42" w:rsidP="00CC5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F42" w:rsidRPr="00CC5F42" w:rsidRDefault="00CC5F42" w:rsidP="00CC5F42">
    <w:pPr>
      <w:tabs>
        <w:tab w:val="center" w:pos="4252"/>
        <w:tab w:val="right" w:pos="8504"/>
      </w:tabs>
      <w:spacing w:after="0" w:line="240" w:lineRule="auto"/>
      <w:rPr>
        <w:rFonts w:ascii="Ecofont_Spranq_eco_Sans" w:eastAsia="Times New Roman" w:hAnsi="Ecofont_Spranq_eco_Sans" w:cs="Tahoma"/>
        <w:sz w:val="24"/>
        <w:szCs w:val="24"/>
        <w:lang w:eastAsia="pt-BR"/>
      </w:rPr>
    </w:pPr>
  </w:p>
  <w:p w:rsidR="00CC5F42" w:rsidRPr="00CC5F42" w:rsidRDefault="004A3B17" w:rsidP="00CC5F42">
    <w:pPr>
      <w:tabs>
        <w:tab w:val="center" w:pos="4252"/>
        <w:tab w:val="right" w:pos="8504"/>
      </w:tabs>
      <w:spacing w:after="120" w:line="240" w:lineRule="auto"/>
      <w:jc w:val="center"/>
      <w:rPr>
        <w:rFonts w:ascii="Ecofont_Spranq_eco_Sans" w:eastAsia="Times New Roman" w:hAnsi="Ecofont_Spranq_eco_Sans" w:cs="Arial"/>
        <w:sz w:val="24"/>
        <w:szCs w:val="24"/>
        <w:lang w:eastAsia="pt-BR"/>
      </w:rPr>
    </w:pPr>
    <w:r>
      <w:rPr>
        <w:rFonts w:ascii="Ecofont_Spranq_eco_Sans" w:eastAsia="Times New Roman" w:hAnsi="Ecofont_Spranq_eco_Sans" w:cs="Tahoma"/>
        <w:sz w:val="24"/>
        <w:szCs w:val="24"/>
        <w:lang w:eastAsia="pt-BR"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5" type="#_x0000_t147" style="position:absolute;left:0;text-align:left;margin-left:432.3pt;margin-top:-16.45pt;width:57.75pt;height:57.6pt;z-index:-251658752;v-text-anchor:middle" fillcolor="black" strokeweight=".09mm">
          <v:stroke joinstyle="miter"/>
          <v:textpath style="font-family:&quot;Arial&quot;" fitshape="t" string="Polícia Federal&#10;Fls nº________&#10;SELOG/SR/DPF/RN"/>
        </v:shape>
      </w:pict>
    </w:r>
    <w:r w:rsidR="00CC5F42" w:rsidRPr="00CC5F42">
      <w:rPr>
        <w:rFonts w:ascii="Ecofont_Spranq_eco_Sans" w:eastAsia="Times New Roman" w:hAnsi="Ecofont_Spranq_eco_Sans" w:cs="Tahoma"/>
        <w:noProof/>
        <w:sz w:val="24"/>
        <w:szCs w:val="24"/>
        <w:lang w:eastAsia="pt-BR"/>
      </w:rPr>
      <w:drawing>
        <wp:inline distT="0" distB="0" distL="0" distR="0" wp14:anchorId="1676250E" wp14:editId="4D78431B">
          <wp:extent cx="627624" cy="685372"/>
          <wp:effectExtent l="0" t="0" r="1270" b="63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927" cy="685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5F42" w:rsidRPr="00CC5F42" w:rsidRDefault="00CC5F42" w:rsidP="00CC5F42">
    <w:pPr>
      <w:tabs>
        <w:tab w:val="center" w:pos="4252"/>
        <w:tab w:val="right" w:pos="8504"/>
      </w:tabs>
      <w:spacing w:after="0" w:line="240" w:lineRule="auto"/>
      <w:jc w:val="center"/>
      <w:rPr>
        <w:rFonts w:ascii="Ecofont_Spranq_eco_Sans" w:eastAsia="Times New Roman" w:hAnsi="Ecofont_Spranq_eco_Sans" w:cs="Arial"/>
        <w:b/>
        <w:sz w:val="24"/>
        <w:szCs w:val="24"/>
        <w:lang w:eastAsia="pt-BR"/>
      </w:rPr>
    </w:pPr>
    <w:r w:rsidRPr="00CC5F42">
      <w:rPr>
        <w:rFonts w:ascii="Ecofont_Spranq_eco_Sans" w:eastAsia="Times New Roman" w:hAnsi="Ecofont_Spranq_eco_Sans" w:cs="Arial"/>
        <w:b/>
        <w:sz w:val="24"/>
        <w:szCs w:val="24"/>
        <w:lang w:eastAsia="pt-BR"/>
      </w:rPr>
      <w:t>MINISTÉRIO DA JUSTIÇA</w:t>
    </w:r>
  </w:p>
  <w:p w:rsidR="00CC5F42" w:rsidRPr="00CC5F42" w:rsidRDefault="00CC5F42" w:rsidP="00CC5F42">
    <w:pPr>
      <w:tabs>
        <w:tab w:val="center" w:pos="4252"/>
        <w:tab w:val="right" w:pos="8504"/>
      </w:tabs>
      <w:spacing w:after="0" w:line="240" w:lineRule="auto"/>
      <w:jc w:val="center"/>
      <w:rPr>
        <w:rFonts w:ascii="Ecofont_Spranq_eco_Sans" w:eastAsia="Times New Roman" w:hAnsi="Ecofont_Spranq_eco_Sans" w:cs="Arial"/>
        <w:b/>
        <w:sz w:val="24"/>
        <w:szCs w:val="24"/>
        <w:lang w:eastAsia="pt-BR"/>
      </w:rPr>
    </w:pPr>
    <w:r w:rsidRPr="00CC5F42">
      <w:rPr>
        <w:rFonts w:ascii="Ecofont_Spranq_eco_Sans" w:eastAsia="Times New Roman" w:hAnsi="Ecofont_Spranq_eco_Sans" w:cs="Arial"/>
        <w:b/>
        <w:sz w:val="24"/>
        <w:szCs w:val="24"/>
        <w:lang w:eastAsia="pt-BR"/>
      </w:rPr>
      <w:t>DEPARTAMENTO DE POLÍCIA FEDERAL</w:t>
    </w:r>
  </w:p>
  <w:p w:rsidR="00CC5F42" w:rsidRPr="00CC5F42" w:rsidRDefault="00CC5F42" w:rsidP="00CC5F42">
    <w:pPr>
      <w:tabs>
        <w:tab w:val="center" w:pos="4252"/>
        <w:tab w:val="right" w:pos="8504"/>
      </w:tabs>
      <w:spacing w:after="0" w:line="240" w:lineRule="auto"/>
      <w:jc w:val="center"/>
      <w:rPr>
        <w:rFonts w:ascii="Ecofont_Spranq_eco_Sans" w:eastAsia="Times New Roman" w:hAnsi="Ecofont_Spranq_eco_Sans" w:cs="Arial"/>
        <w:b/>
        <w:sz w:val="24"/>
        <w:szCs w:val="24"/>
        <w:lang w:eastAsia="pt-BR"/>
      </w:rPr>
    </w:pPr>
    <w:r w:rsidRPr="00CC5F42">
      <w:rPr>
        <w:rFonts w:ascii="Ecofont_Spranq_eco_Sans" w:eastAsia="Times New Roman" w:hAnsi="Ecofont_Spranq_eco_Sans" w:cs="Arial"/>
        <w:b/>
        <w:sz w:val="24"/>
        <w:szCs w:val="24"/>
        <w:lang w:eastAsia="pt-BR"/>
      </w:rPr>
      <w:t>SUPERINTENDÊNCIA REGIONAL NO RIO GRANDE DO NORTE</w:t>
    </w:r>
  </w:p>
  <w:p w:rsidR="00CC5F42" w:rsidRPr="00CC5F42" w:rsidRDefault="00CC5F42" w:rsidP="00CC5F42">
    <w:pPr>
      <w:tabs>
        <w:tab w:val="center" w:pos="4252"/>
        <w:tab w:val="right" w:pos="8504"/>
      </w:tabs>
      <w:spacing w:after="0" w:line="240" w:lineRule="auto"/>
      <w:jc w:val="center"/>
      <w:rPr>
        <w:rFonts w:ascii="Ecofont_Spranq_eco_Sans" w:eastAsia="Times New Roman" w:hAnsi="Ecofont_Spranq_eco_Sans" w:cs="Arial"/>
        <w:sz w:val="18"/>
        <w:szCs w:val="24"/>
        <w:lang w:eastAsia="pt-BR"/>
      </w:rPr>
    </w:pPr>
    <w:r w:rsidRPr="00CC5F42">
      <w:rPr>
        <w:rFonts w:ascii="Ecofont_Spranq_eco_Sans" w:eastAsia="Times New Roman" w:hAnsi="Ecofont_Spranq_eco_Sans" w:cs="Arial"/>
        <w:sz w:val="18"/>
        <w:szCs w:val="24"/>
        <w:lang w:eastAsia="pt-BR"/>
      </w:rPr>
      <w:t xml:space="preserve">Rua Dr. Lauro Pinto, 155, Lagoa Nova, Natal/RN, CEP: </w:t>
    </w:r>
    <w:proofErr w:type="gramStart"/>
    <w:r w:rsidRPr="00CC5F42">
      <w:rPr>
        <w:rFonts w:ascii="Ecofont_Spranq_eco_Sans" w:eastAsia="Times New Roman" w:hAnsi="Ecofont_Spranq_eco_Sans" w:cs="Arial"/>
        <w:sz w:val="18"/>
        <w:szCs w:val="24"/>
        <w:lang w:eastAsia="pt-BR"/>
      </w:rPr>
      <w:t>59064-165, Fone</w:t>
    </w:r>
    <w:proofErr w:type="gramEnd"/>
    <w:r w:rsidRPr="00CC5F42">
      <w:rPr>
        <w:rFonts w:ascii="Ecofont_Spranq_eco_Sans" w:eastAsia="Times New Roman" w:hAnsi="Ecofont_Spranq_eco_Sans" w:cs="Arial"/>
        <w:sz w:val="18"/>
        <w:szCs w:val="24"/>
        <w:lang w:eastAsia="pt-BR"/>
      </w:rPr>
      <w:t>: (84)3204-5670/5520.</w:t>
    </w:r>
  </w:p>
  <w:p w:rsidR="00CC5F42" w:rsidRDefault="00CC5F4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59BD"/>
    <w:multiLevelType w:val="hybridMultilevel"/>
    <w:tmpl w:val="9410A8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42"/>
    <w:rsid w:val="001322CF"/>
    <w:rsid w:val="00221680"/>
    <w:rsid w:val="004A3B17"/>
    <w:rsid w:val="00611A0A"/>
    <w:rsid w:val="00C6357B"/>
    <w:rsid w:val="00CC5F42"/>
    <w:rsid w:val="00E22D5B"/>
    <w:rsid w:val="00E321FD"/>
    <w:rsid w:val="00F6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C5F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C5F42"/>
  </w:style>
  <w:style w:type="paragraph" w:styleId="Rodap">
    <w:name w:val="footer"/>
    <w:basedOn w:val="Normal"/>
    <w:link w:val="RodapChar"/>
    <w:uiPriority w:val="99"/>
    <w:unhideWhenUsed/>
    <w:rsid w:val="00CC5F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5F42"/>
  </w:style>
  <w:style w:type="paragraph" w:styleId="Textodebalo">
    <w:name w:val="Balloon Text"/>
    <w:basedOn w:val="Normal"/>
    <w:link w:val="TextodebaloChar"/>
    <w:uiPriority w:val="99"/>
    <w:semiHidden/>
    <w:unhideWhenUsed/>
    <w:rsid w:val="00CC5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5F4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C5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6357B"/>
    <w:pPr>
      <w:ind w:left="720"/>
      <w:contextualSpacing/>
    </w:pPr>
  </w:style>
  <w:style w:type="paragraph" w:styleId="SemEspaamento">
    <w:name w:val="No Spacing"/>
    <w:uiPriority w:val="1"/>
    <w:qFormat/>
    <w:rsid w:val="004A3B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C5F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C5F42"/>
  </w:style>
  <w:style w:type="paragraph" w:styleId="Rodap">
    <w:name w:val="footer"/>
    <w:basedOn w:val="Normal"/>
    <w:link w:val="RodapChar"/>
    <w:uiPriority w:val="99"/>
    <w:unhideWhenUsed/>
    <w:rsid w:val="00CC5F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5F42"/>
  </w:style>
  <w:style w:type="paragraph" w:styleId="Textodebalo">
    <w:name w:val="Balloon Text"/>
    <w:basedOn w:val="Normal"/>
    <w:link w:val="TextodebaloChar"/>
    <w:uiPriority w:val="99"/>
    <w:semiHidden/>
    <w:unhideWhenUsed/>
    <w:rsid w:val="00CC5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5F4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C5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6357B"/>
    <w:pPr>
      <w:ind w:left="720"/>
      <w:contextualSpacing/>
    </w:pPr>
  </w:style>
  <w:style w:type="paragraph" w:styleId="SemEspaamento">
    <w:name w:val="No Spacing"/>
    <w:uiPriority w:val="1"/>
    <w:qFormat/>
    <w:rsid w:val="004A3B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862</Words>
  <Characters>4657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EMMANOEL Fernandes de Barros</dc:creator>
  <cp:lastModifiedBy>EMMANOEL Fernandes de Barros</cp:lastModifiedBy>
  <cp:revision>2</cp:revision>
  <cp:lastPrinted>2015-09-15T18:02:00Z</cp:lastPrinted>
  <dcterms:created xsi:type="dcterms:W3CDTF">2015-08-11T13:24:00Z</dcterms:created>
  <dcterms:modified xsi:type="dcterms:W3CDTF">2015-09-15T18:03:00Z</dcterms:modified>
</cp:coreProperties>
</file>