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F" w:rsidRDefault="006C593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6C593C" w:rsidRDefault="006C593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MINUTA</w:t>
      </w:r>
    </w:p>
    <w:p w:rsidR="006C593C" w:rsidRPr="00893D82" w:rsidRDefault="006C593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6C593C" w:rsidRDefault="006C593C" w:rsidP="00CB46FC">
      <w:pPr>
        <w:jc w:val="center"/>
        <w:rPr>
          <w:rFonts w:cs="Times New Roman"/>
          <w:sz w:val="20"/>
          <w:szCs w:val="20"/>
        </w:rPr>
      </w:pPr>
    </w:p>
    <w:p w:rsidR="0097228F" w:rsidRPr="00893D82" w:rsidRDefault="0097228F" w:rsidP="0097228F">
      <w:pPr>
        <w:widowControl w:val="0"/>
        <w:autoSpaceDE w:val="0"/>
        <w:autoSpaceDN w:val="0"/>
        <w:adjustRightInd w:val="0"/>
        <w:ind w:right="-30"/>
        <w:rPr>
          <w:bCs/>
          <w:sz w:val="20"/>
          <w:szCs w:val="20"/>
        </w:rPr>
      </w:pPr>
      <w:r>
        <w:rPr>
          <w:bCs/>
          <w:sz w:val="20"/>
          <w:szCs w:val="20"/>
        </w:rPr>
        <w:t>PROCESSO N.º 08420.017035/2014-52</w:t>
      </w:r>
    </w:p>
    <w:p w:rsidR="0097228F" w:rsidRPr="00893D82" w:rsidRDefault="0097228F" w:rsidP="0097228F">
      <w:pPr>
        <w:rPr>
          <w:rFonts w:cs="Times New Roman"/>
          <w:sz w:val="20"/>
          <w:szCs w:val="20"/>
        </w:rPr>
      </w:pPr>
      <w:bookmarkStart w:id="0" w:name="_GoBack"/>
      <w:bookmarkEnd w:id="0"/>
    </w:p>
    <w:p w:rsidR="00CB46FC" w:rsidRDefault="00CB46FC" w:rsidP="006C593C">
      <w:pPr>
        <w:widowControl w:val="0"/>
        <w:autoSpaceDE w:val="0"/>
        <w:autoSpaceDN w:val="0"/>
        <w:adjustRightInd w:val="0"/>
        <w:ind w:right="-30"/>
        <w:rPr>
          <w:bCs/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  <w:proofErr w:type="gramStart"/>
      <w:r w:rsidRPr="00893D82">
        <w:rPr>
          <w:bCs/>
          <w:sz w:val="20"/>
          <w:szCs w:val="20"/>
        </w:rPr>
        <w:t>N.º ...</w:t>
      </w:r>
      <w:proofErr w:type="gramEnd"/>
      <w:r w:rsidRPr="00893D82">
        <w:rPr>
          <w:bCs/>
          <w:sz w:val="20"/>
          <w:szCs w:val="20"/>
        </w:rPr>
        <w:t>......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</w:t>
      </w:r>
      <w:r w:rsidR="006C593C">
        <w:rPr>
          <w:sz w:val="20"/>
          <w:szCs w:val="20"/>
        </w:rPr>
        <w:t xml:space="preserve"> Superintendência Regional do Departamento de Polícia Federal no Estado do Rio Grande do </w:t>
      </w:r>
      <w:proofErr w:type="gramStart"/>
      <w:r w:rsidR="006C593C">
        <w:rPr>
          <w:sz w:val="20"/>
          <w:szCs w:val="20"/>
        </w:rPr>
        <w:t>Norte ,</w:t>
      </w:r>
      <w:proofErr w:type="gramEnd"/>
      <w:r w:rsidR="006C593C">
        <w:rPr>
          <w:sz w:val="20"/>
          <w:szCs w:val="20"/>
        </w:rPr>
        <w:t xml:space="preserve"> com sede n</w:t>
      </w:r>
      <w:r w:rsidRPr="00893D82">
        <w:rPr>
          <w:sz w:val="20"/>
          <w:szCs w:val="20"/>
        </w:rPr>
        <w:t xml:space="preserve">a </w:t>
      </w:r>
      <w:r w:rsidR="006C593C">
        <w:rPr>
          <w:sz w:val="20"/>
          <w:szCs w:val="20"/>
        </w:rPr>
        <w:t>Rua Dr. Lauro Pinto, 155, Lagoa Nova</w:t>
      </w:r>
      <w:r w:rsidRPr="00893D82">
        <w:rPr>
          <w:sz w:val="20"/>
          <w:szCs w:val="20"/>
        </w:rPr>
        <w:t xml:space="preserve">, na cidade de </w:t>
      </w:r>
      <w:r w:rsidR="006C593C">
        <w:rPr>
          <w:sz w:val="20"/>
          <w:szCs w:val="20"/>
        </w:rPr>
        <w:t>Natal/RN</w:t>
      </w:r>
      <w:r w:rsidRPr="00893D82">
        <w:rPr>
          <w:sz w:val="20"/>
          <w:szCs w:val="20"/>
        </w:rPr>
        <w:t xml:space="preserve">, inscrito(a) no CNPJ/MF sob o nº </w:t>
      </w:r>
      <w:r w:rsidR="006C593C">
        <w:rPr>
          <w:sz w:val="20"/>
          <w:szCs w:val="20"/>
        </w:rPr>
        <w:t>00.394.494/0036-66</w:t>
      </w:r>
      <w:r w:rsidRPr="00893D82">
        <w:rPr>
          <w:sz w:val="20"/>
          <w:szCs w:val="20"/>
        </w:rPr>
        <w:t>, ne</w:t>
      </w:r>
      <w:r w:rsidR="006C593C">
        <w:rPr>
          <w:sz w:val="20"/>
          <w:szCs w:val="20"/>
        </w:rPr>
        <w:t>ste ato representado(a) pelo seu Superintendente Regional, Delegado de Polícia Federal, KANDY TAKAHASHI</w:t>
      </w:r>
      <w:r w:rsidRPr="00893D82">
        <w:rPr>
          <w:sz w:val="20"/>
          <w:szCs w:val="20"/>
        </w:rPr>
        <w:t xml:space="preserve">, nomeado(a) pela  Portaria nº </w:t>
      </w:r>
      <w:r w:rsidR="0094783E">
        <w:rPr>
          <w:sz w:val="20"/>
          <w:szCs w:val="20"/>
        </w:rPr>
        <w:t>1.377</w:t>
      </w:r>
      <w:r w:rsidRPr="00893D82">
        <w:rPr>
          <w:sz w:val="20"/>
          <w:szCs w:val="20"/>
        </w:rPr>
        <w:t xml:space="preserve"> de </w:t>
      </w:r>
      <w:r w:rsidR="0094783E">
        <w:rPr>
          <w:sz w:val="20"/>
          <w:szCs w:val="20"/>
        </w:rPr>
        <w:t>30</w:t>
      </w:r>
      <w:r w:rsidRPr="00893D82">
        <w:rPr>
          <w:sz w:val="20"/>
          <w:szCs w:val="20"/>
        </w:rPr>
        <w:t xml:space="preserve"> de </w:t>
      </w:r>
      <w:r w:rsidR="0094783E">
        <w:rPr>
          <w:sz w:val="20"/>
          <w:szCs w:val="20"/>
        </w:rPr>
        <w:t>agosto</w:t>
      </w:r>
      <w:r w:rsidRPr="00893D82">
        <w:rPr>
          <w:sz w:val="20"/>
          <w:szCs w:val="20"/>
        </w:rPr>
        <w:t xml:space="preserve"> de 20</w:t>
      </w:r>
      <w:r w:rsidR="0094783E">
        <w:rPr>
          <w:sz w:val="20"/>
          <w:szCs w:val="20"/>
        </w:rPr>
        <w:t>12</w:t>
      </w:r>
      <w:r w:rsidRPr="00893D82">
        <w:rPr>
          <w:sz w:val="20"/>
          <w:szCs w:val="20"/>
        </w:rPr>
        <w:t xml:space="preserve">, publicada no </w:t>
      </w:r>
      <w:r w:rsidR="0094783E">
        <w:rPr>
          <w:sz w:val="20"/>
          <w:szCs w:val="20"/>
        </w:rPr>
        <w:t>DOU</w:t>
      </w:r>
      <w:r w:rsidRPr="00893D82">
        <w:rPr>
          <w:sz w:val="20"/>
          <w:szCs w:val="20"/>
        </w:rPr>
        <w:t xml:space="preserve"> de </w:t>
      </w:r>
      <w:r w:rsidR="0094783E">
        <w:rPr>
          <w:sz w:val="20"/>
          <w:szCs w:val="20"/>
        </w:rPr>
        <w:t>31</w:t>
      </w:r>
      <w:r w:rsidRPr="00893D82">
        <w:rPr>
          <w:sz w:val="20"/>
          <w:szCs w:val="20"/>
        </w:rPr>
        <w:t xml:space="preserve"> de </w:t>
      </w:r>
      <w:r w:rsidR="0094783E">
        <w:rPr>
          <w:sz w:val="20"/>
          <w:szCs w:val="20"/>
        </w:rPr>
        <w:t>agosto</w:t>
      </w:r>
      <w:r w:rsidRPr="00893D82">
        <w:rPr>
          <w:sz w:val="20"/>
          <w:szCs w:val="20"/>
        </w:rPr>
        <w:t xml:space="preserve"> de </w:t>
      </w:r>
      <w:r w:rsidR="0094783E">
        <w:rPr>
          <w:sz w:val="20"/>
          <w:szCs w:val="20"/>
        </w:rPr>
        <w:t>2012</w:t>
      </w:r>
      <w:r w:rsidRPr="00893D82">
        <w:rPr>
          <w:sz w:val="20"/>
          <w:szCs w:val="20"/>
        </w:rPr>
        <w:t xml:space="preserve"> , considerando o julgamento da licitação na modalidade de pregão, na forma </w:t>
      </w:r>
      <w:r w:rsidRPr="00893D82">
        <w:rPr>
          <w:iCs/>
          <w:sz w:val="20"/>
          <w:szCs w:val="20"/>
        </w:rPr>
        <w:t>eletrônica</w:t>
      </w:r>
      <w:r w:rsidRPr="00893D82">
        <w:rPr>
          <w:sz w:val="20"/>
          <w:szCs w:val="20"/>
        </w:rPr>
        <w:t xml:space="preserve">, para REGISTRO DE PREÇOS nº </w:t>
      </w:r>
      <w:r w:rsidR="0094783E">
        <w:rPr>
          <w:sz w:val="20"/>
          <w:szCs w:val="20"/>
        </w:rPr>
        <w:t>08/2014</w:t>
      </w:r>
      <w:r w:rsidRPr="00893D82">
        <w:rPr>
          <w:sz w:val="20"/>
          <w:szCs w:val="20"/>
        </w:rPr>
        <w:t xml:space="preserve">, publicada no </w:t>
      </w:r>
      <w:r w:rsidR="0094783E">
        <w:rPr>
          <w:sz w:val="20"/>
          <w:szCs w:val="20"/>
        </w:rPr>
        <w:t>DOU</w:t>
      </w:r>
      <w:r w:rsidRPr="00893D82">
        <w:rPr>
          <w:sz w:val="20"/>
          <w:szCs w:val="20"/>
        </w:rPr>
        <w:t xml:space="preserve"> de ...../...../20</w:t>
      </w:r>
      <w:r w:rsidR="0094783E">
        <w:rPr>
          <w:sz w:val="20"/>
          <w:szCs w:val="20"/>
        </w:rPr>
        <w:t>14</w:t>
      </w:r>
      <w:r w:rsidRPr="00893D82">
        <w:rPr>
          <w:sz w:val="20"/>
          <w:szCs w:val="20"/>
        </w:rPr>
        <w:t xml:space="preserve">, processo administrativo n.º </w:t>
      </w:r>
      <w:r w:rsidR="0094783E">
        <w:rPr>
          <w:sz w:val="20"/>
          <w:szCs w:val="20"/>
        </w:rPr>
        <w:t>08420.017035/2014-52</w:t>
      </w:r>
      <w:r w:rsidRPr="00893D82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A presente Ata tem por objeto o registro de preços para a eventual aquisição de </w:t>
      </w:r>
      <w:r w:rsidR="0094783E">
        <w:rPr>
          <w:sz w:val="20"/>
          <w:szCs w:val="20"/>
        </w:rPr>
        <w:t>equipamentos de proteção individual para o Grupo de Identificação (GID) da SR/DPF/RN e DPF/MOS/</w:t>
      </w:r>
      <w:proofErr w:type="gramStart"/>
      <w:r w:rsidR="0094783E">
        <w:rPr>
          <w:sz w:val="20"/>
          <w:szCs w:val="20"/>
        </w:rPr>
        <w:t>RN ,</w:t>
      </w:r>
      <w:proofErr w:type="gramEnd"/>
      <w:r w:rsidR="0094783E">
        <w:rPr>
          <w:sz w:val="20"/>
          <w:szCs w:val="20"/>
        </w:rPr>
        <w:t xml:space="preserve"> especificado</w:t>
      </w:r>
      <w:r w:rsidRPr="00893D82">
        <w:rPr>
          <w:sz w:val="20"/>
          <w:szCs w:val="20"/>
        </w:rPr>
        <w:t>s</w:t>
      </w:r>
      <w:r w:rsidR="0094783E">
        <w:rPr>
          <w:sz w:val="20"/>
          <w:szCs w:val="20"/>
        </w:rPr>
        <w:t xml:space="preserve"> no</w:t>
      </w:r>
      <w:r w:rsidRPr="00893D82">
        <w:rPr>
          <w:sz w:val="20"/>
          <w:szCs w:val="20"/>
        </w:rPr>
        <w:t>s</w:t>
      </w:r>
      <w:r w:rsidR="0094783E">
        <w:rPr>
          <w:sz w:val="20"/>
          <w:szCs w:val="20"/>
        </w:rPr>
        <w:t xml:space="preserve"> ite</w:t>
      </w:r>
      <w:r w:rsidRPr="00893D82">
        <w:rPr>
          <w:sz w:val="20"/>
          <w:szCs w:val="20"/>
        </w:rPr>
        <w:t>ns</w:t>
      </w:r>
      <w:r w:rsidR="0094783E">
        <w:rPr>
          <w:sz w:val="20"/>
          <w:szCs w:val="20"/>
        </w:rPr>
        <w:t xml:space="preserve"> 01 a 06</w:t>
      </w:r>
      <w:r w:rsidRPr="00893D82">
        <w:rPr>
          <w:sz w:val="20"/>
          <w:szCs w:val="20"/>
        </w:rPr>
        <w:t xml:space="preserve"> do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94783E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</w:t>
      </w:r>
      <w:r w:rsidR="0094783E">
        <w:rPr>
          <w:sz w:val="20"/>
          <w:szCs w:val="20"/>
        </w:rPr>
        <w:t>08</w:t>
      </w:r>
      <w:r w:rsidRPr="00893D82">
        <w:rPr>
          <w:sz w:val="20"/>
          <w:szCs w:val="20"/>
        </w:rPr>
        <w:t>/20</w:t>
      </w:r>
      <w:r w:rsidR="0094783E">
        <w:rPr>
          <w:sz w:val="20"/>
          <w:szCs w:val="20"/>
        </w:rPr>
        <w:t>14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>DOS PREÇOS, ESPECIFICAÇÕES E QUANTITATIVOS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0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3189"/>
        <w:gridCol w:w="1417"/>
        <w:gridCol w:w="993"/>
        <w:gridCol w:w="850"/>
        <w:gridCol w:w="1559"/>
      </w:tblGrid>
      <w:tr w:rsidR="00CB46FC" w:rsidRPr="00893D82" w:rsidTr="00AD55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0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AD5509" w:rsidRPr="00893D82" w:rsidTr="00AD5509">
        <w:trPr>
          <w:trHeight w:val="382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3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AD5509" w:rsidRPr="00893D82" w:rsidTr="00AD55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94783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94783E" w:rsidRDefault="00AD5509" w:rsidP="0094783E">
            <w:pPr>
              <w:rPr>
                <w:rFonts w:ascii="Arial" w:hAnsi="Arial" w:cs="Arial"/>
                <w:sz w:val="14"/>
                <w:szCs w:val="20"/>
              </w:rPr>
            </w:pPr>
            <w:r w:rsidRPr="0094783E">
              <w:rPr>
                <w:rFonts w:ascii="Arial" w:hAnsi="Arial" w:cs="Arial"/>
                <w:sz w:val="14"/>
                <w:szCs w:val="20"/>
              </w:rPr>
              <w:t xml:space="preserve">Capela de Exaustão de Gases, com frente em vidro, com medida mínimas necessárias (L x P x A) 1000 X 650 X 900 </w:t>
            </w:r>
            <w:proofErr w:type="gramStart"/>
            <w:r w:rsidRPr="0094783E">
              <w:rPr>
                <w:rFonts w:ascii="Arial" w:hAnsi="Arial" w:cs="Arial"/>
                <w:sz w:val="14"/>
                <w:szCs w:val="20"/>
              </w:rPr>
              <w:t>mm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AD5509" w:rsidRPr="00893D82" w:rsidTr="00AD5509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Default="00AD5509" w:rsidP="0094783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94783E" w:rsidRDefault="00AD5509" w:rsidP="0094783E">
            <w:pPr>
              <w:widowControl w:val="0"/>
              <w:suppressAutoHyphens/>
              <w:rPr>
                <w:rFonts w:ascii="Arial" w:hAnsi="Arial" w:cs="Arial"/>
                <w:sz w:val="14"/>
                <w:szCs w:val="20"/>
              </w:rPr>
            </w:pPr>
            <w:r w:rsidRPr="0094783E">
              <w:rPr>
                <w:rFonts w:ascii="Arial" w:hAnsi="Arial" w:cs="Arial"/>
                <w:sz w:val="14"/>
                <w:szCs w:val="20"/>
              </w:rPr>
              <w:t xml:space="preserve">Respirador facial inteira, com </w:t>
            </w:r>
            <w:proofErr w:type="gramStart"/>
            <w:r w:rsidRPr="0094783E">
              <w:rPr>
                <w:rFonts w:ascii="Arial" w:hAnsi="Arial" w:cs="Arial"/>
                <w:sz w:val="14"/>
                <w:szCs w:val="20"/>
              </w:rPr>
              <w:t>2</w:t>
            </w:r>
            <w:proofErr w:type="gramEnd"/>
            <w:r w:rsidRPr="0094783E">
              <w:rPr>
                <w:rFonts w:ascii="Arial" w:hAnsi="Arial" w:cs="Arial"/>
                <w:sz w:val="14"/>
                <w:szCs w:val="20"/>
              </w:rPr>
              <w:t xml:space="preserve"> válvulas de exalação para encaixe dos filtros mecânicos, químicos ou combinados através de roscas,  com proteção facial em policarbonato incolor, marca 3M ou de qualidade equivalente.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AD5509" w:rsidRPr="00893D82" w:rsidTr="00AD5509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Default="00AD5509" w:rsidP="0094783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94783E" w:rsidRDefault="00AD5509" w:rsidP="0094783E">
            <w:pPr>
              <w:widowControl w:val="0"/>
              <w:suppressAutoHyphens/>
              <w:rPr>
                <w:rFonts w:ascii="Arial" w:hAnsi="Arial" w:cs="Arial"/>
                <w:sz w:val="14"/>
                <w:szCs w:val="20"/>
              </w:rPr>
            </w:pPr>
            <w:r w:rsidRPr="0094783E">
              <w:rPr>
                <w:rFonts w:ascii="Arial" w:hAnsi="Arial" w:cs="Arial"/>
                <w:sz w:val="14"/>
                <w:szCs w:val="20"/>
              </w:rPr>
              <w:t>Cartucho químico vapores orgânicos e gases ácidos</w:t>
            </w:r>
            <w:r w:rsidRPr="0094783E">
              <w:rPr>
                <w:rFonts w:ascii="Arial" w:hAnsi="Arial" w:cs="Arial"/>
                <w:color w:val="000000"/>
                <w:sz w:val="14"/>
                <w:szCs w:val="20"/>
              </w:rPr>
              <w:t xml:space="preserve"> </w:t>
            </w:r>
            <w:r w:rsidRPr="0094783E">
              <w:rPr>
                <w:rFonts w:ascii="Arial" w:hAnsi="Arial" w:cs="Arial"/>
                <w:sz w:val="14"/>
                <w:szCs w:val="20"/>
              </w:rPr>
              <w:t>referência 6003 –</w:t>
            </w:r>
            <w:r w:rsidRPr="0094783E">
              <w:rPr>
                <w:rFonts w:ascii="Arial" w:hAnsi="Arial" w:cs="Arial"/>
                <w:color w:val="000000"/>
                <w:sz w:val="14"/>
                <w:szCs w:val="20"/>
                <w:shd w:val="clear" w:color="auto" w:fill="FFFFFF"/>
              </w:rPr>
              <w:t xml:space="preserve"> uso respirador, aplicação equipamento para segurança e salvamento -</w:t>
            </w:r>
            <w:proofErr w:type="gramStart"/>
            <w:r w:rsidRPr="0094783E">
              <w:rPr>
                <w:rFonts w:ascii="Arial" w:hAnsi="Arial" w:cs="Arial"/>
                <w:color w:val="000000"/>
                <w:sz w:val="14"/>
                <w:szCs w:val="20"/>
                <w:shd w:val="clear" w:color="auto" w:fill="FFFFFF"/>
              </w:rPr>
              <w:t xml:space="preserve">  </w:t>
            </w:r>
            <w:proofErr w:type="gramEnd"/>
            <w:r w:rsidRPr="0094783E">
              <w:rPr>
                <w:rFonts w:ascii="Arial" w:hAnsi="Arial" w:cs="Arial"/>
                <w:color w:val="000000"/>
                <w:sz w:val="14"/>
                <w:szCs w:val="20"/>
                <w:shd w:val="clear" w:color="auto" w:fill="FFFFFF"/>
              </w:rPr>
              <w:t xml:space="preserve">compatível com o item 2 – marca 3M </w:t>
            </w:r>
            <w:r w:rsidRPr="0094783E">
              <w:rPr>
                <w:rFonts w:ascii="Arial" w:hAnsi="Arial" w:cs="Arial"/>
                <w:sz w:val="14"/>
                <w:szCs w:val="20"/>
              </w:rPr>
              <w:t>ou de qualidade equivalente.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AD5509" w:rsidRPr="00893D82" w:rsidTr="00AD5509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Default="00AD5509" w:rsidP="0094783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94783E" w:rsidRDefault="00AD5509" w:rsidP="00AD5509">
            <w:pPr>
              <w:widowControl w:val="0"/>
              <w:suppressAutoHyphens/>
              <w:rPr>
                <w:rFonts w:ascii="Arial" w:hAnsi="Arial" w:cs="Arial"/>
                <w:b/>
                <w:sz w:val="14"/>
                <w:szCs w:val="20"/>
              </w:rPr>
            </w:pPr>
            <w:r w:rsidRPr="0094783E">
              <w:rPr>
                <w:rFonts w:ascii="Arial" w:hAnsi="Arial" w:cs="Arial"/>
                <w:sz w:val="14"/>
                <w:szCs w:val="20"/>
              </w:rPr>
              <w:t xml:space="preserve">Filtro mecânico para poeira névoa e fumos classe p-2 referência 2071 marca 3m ou de qualidade equivalente - </w:t>
            </w:r>
            <w:r w:rsidRPr="0094783E">
              <w:rPr>
                <w:rFonts w:ascii="Arial" w:hAnsi="Arial" w:cs="Arial"/>
                <w:color w:val="000000"/>
                <w:sz w:val="14"/>
                <w:szCs w:val="20"/>
                <w:shd w:val="clear" w:color="auto" w:fill="FFFFFF"/>
              </w:rPr>
              <w:t xml:space="preserve">compatível com o item </w:t>
            </w:r>
            <w:proofErr w:type="gramStart"/>
            <w:r w:rsidRPr="0094783E">
              <w:rPr>
                <w:rFonts w:ascii="Arial" w:hAnsi="Arial" w:cs="Arial"/>
                <w:color w:val="000000"/>
                <w:sz w:val="14"/>
                <w:szCs w:val="20"/>
                <w:shd w:val="clear" w:color="auto" w:fill="FFFFFF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AD5509" w:rsidRPr="00893D82" w:rsidTr="00AD5509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Default="00AD5509" w:rsidP="0094783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94783E" w:rsidRDefault="00AD5509" w:rsidP="00AD5509">
            <w:pPr>
              <w:widowControl w:val="0"/>
              <w:suppressAutoHyphens/>
              <w:rPr>
                <w:rFonts w:ascii="Arial" w:hAnsi="Arial" w:cs="Arial"/>
                <w:sz w:val="14"/>
                <w:szCs w:val="20"/>
              </w:rPr>
            </w:pPr>
            <w:r w:rsidRPr="0094783E">
              <w:rPr>
                <w:rFonts w:ascii="Arial" w:hAnsi="Arial" w:cs="Arial"/>
                <w:sz w:val="14"/>
                <w:szCs w:val="20"/>
              </w:rPr>
              <w:t xml:space="preserve">Avental descartável. -Fabricado com matéria prima não tecido (100% polipropileno); </w:t>
            </w:r>
            <w:r w:rsidRPr="0094783E">
              <w:rPr>
                <w:rFonts w:ascii="Arial" w:hAnsi="Arial" w:cs="Arial"/>
                <w:sz w:val="14"/>
                <w:szCs w:val="20"/>
              </w:rPr>
              <w:br/>
              <w:t xml:space="preserve">-Tamanho único; </w:t>
            </w:r>
            <w:r w:rsidRPr="0094783E">
              <w:rPr>
                <w:rFonts w:ascii="Arial" w:hAnsi="Arial" w:cs="Arial"/>
                <w:sz w:val="14"/>
                <w:szCs w:val="20"/>
              </w:rPr>
              <w:br/>
              <w:t xml:space="preserve">-Contém tiras externas para amarrar no pescoço e cintura; </w:t>
            </w:r>
            <w:r w:rsidRPr="0094783E">
              <w:rPr>
                <w:rFonts w:ascii="Arial" w:hAnsi="Arial" w:cs="Arial"/>
                <w:sz w:val="14"/>
                <w:szCs w:val="20"/>
              </w:rPr>
              <w:br/>
              <w:t xml:space="preserve">-Gramatura mínima PP25 (25gr / m²); </w:t>
            </w:r>
            <w:r w:rsidRPr="0094783E">
              <w:rPr>
                <w:rFonts w:ascii="Arial" w:hAnsi="Arial" w:cs="Arial"/>
                <w:sz w:val="14"/>
                <w:szCs w:val="20"/>
              </w:rPr>
              <w:br/>
              <w:t xml:space="preserve">-Não deve ser utilizado em atividades com grande quantidade de fluídos; </w:t>
            </w:r>
            <w:r w:rsidRPr="0094783E">
              <w:rPr>
                <w:rFonts w:ascii="Arial" w:hAnsi="Arial" w:cs="Arial"/>
                <w:sz w:val="14"/>
                <w:szCs w:val="20"/>
              </w:rPr>
              <w:br/>
              <w:t xml:space="preserve">-Punho da manga com elástico.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AD5509">
              <w:rPr>
                <w:sz w:val="14"/>
                <w:szCs w:val="16"/>
              </w:rPr>
              <w:t>Pacote com 10 unidades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AD5509" w:rsidRPr="00893D82" w:rsidTr="00AD5509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Default="00AD5509" w:rsidP="0094783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3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94783E" w:rsidRDefault="00AD5509" w:rsidP="00AD5509">
            <w:pPr>
              <w:widowControl w:val="0"/>
              <w:suppressAutoHyphens/>
              <w:rPr>
                <w:rFonts w:ascii="Arial" w:hAnsi="Arial" w:cs="Arial"/>
                <w:sz w:val="14"/>
                <w:szCs w:val="20"/>
              </w:rPr>
            </w:pPr>
            <w:r w:rsidRPr="0094783E">
              <w:rPr>
                <w:rFonts w:ascii="Arial" w:hAnsi="Arial" w:cs="Arial"/>
                <w:sz w:val="14"/>
                <w:szCs w:val="20"/>
              </w:rPr>
              <w:t>Luva de proteção, material nitrílica, aplicação limpeza, tipo punho médio, tamanho grande, acabamento palma antiderrapante, esterilidade não esterilizada, características adicionais sem forro.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5509" w:rsidRPr="00893D82" w:rsidRDefault="00AD5509" w:rsidP="00AD550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509" w:rsidRPr="00893D82" w:rsidRDefault="00AD5509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>A validade da Ata de Registro de Preço</w:t>
      </w:r>
      <w:r w:rsidR="00AD5509">
        <w:rPr>
          <w:sz w:val="20"/>
          <w:szCs w:val="20"/>
        </w:rPr>
        <w:t>s será de 12 meses, a partir d</w:t>
      </w:r>
      <w:r w:rsidRPr="00893D82">
        <w:rPr>
          <w:sz w:val="20"/>
          <w:szCs w:val="20"/>
        </w:rPr>
        <w:t>a</w:t>
      </w:r>
      <w:r w:rsidR="00AD5509">
        <w:rPr>
          <w:sz w:val="20"/>
          <w:szCs w:val="20"/>
        </w:rPr>
        <w:t xml:space="preserve"> data de sua assinatura</w:t>
      </w:r>
      <w:r w:rsidRPr="00893D82">
        <w:rPr>
          <w:sz w:val="20"/>
          <w:szCs w:val="20"/>
        </w:rPr>
        <w:t>, não podendo ser prorrogada.</w:t>
      </w:r>
    </w:p>
    <w:p w:rsidR="004C14E4" w:rsidRPr="00893D82" w:rsidRDefault="004C14E4" w:rsidP="004C14E4">
      <w:pPr>
        <w:rPr>
          <w:rFonts w:ascii="Arial" w:hAnsi="Arial" w:cs="Arial"/>
          <w:color w:val="00B050"/>
          <w:lang w:eastAsia="en-US"/>
        </w:rPr>
      </w:pP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</w:t>
      </w:r>
      <w:proofErr w:type="spellStart"/>
      <w:r w:rsidRPr="008764C0">
        <w:rPr>
          <w:sz w:val="20"/>
          <w:szCs w:val="20"/>
        </w:rPr>
        <w:t>vantaj</w:t>
      </w:r>
      <w:r>
        <w:rPr>
          <w:sz w:val="20"/>
          <w:szCs w:val="20"/>
        </w:rPr>
        <w:t>osidade</w:t>
      </w:r>
      <w:proofErr w:type="spellEnd"/>
      <w:r>
        <w:rPr>
          <w:sz w:val="20"/>
          <w:szCs w:val="20"/>
        </w:rPr>
        <w:t xml:space="preserve">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</w:t>
      </w:r>
      <w:proofErr w:type="gramStart"/>
      <w:r w:rsidR="00EF3535" w:rsidRPr="00893D82">
        <w:rPr>
          <w:sz w:val="20"/>
          <w:szCs w:val="20"/>
        </w:rPr>
        <w:t>fornecedor</w:t>
      </w:r>
      <w:r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fornecedor</w:t>
      </w:r>
      <w:r w:rsidR="00EF3535" w:rsidRPr="00893D82">
        <w:rPr>
          <w:sz w:val="20"/>
          <w:szCs w:val="20"/>
        </w:rPr>
        <w:t>(es)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lastRenderedPageBreak/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97228F">
        <w:rPr>
          <w:sz w:val="20"/>
          <w:szCs w:val="20"/>
        </w:rPr>
        <w:t>02</w:t>
      </w:r>
      <w:r w:rsidRPr="00893D82">
        <w:rPr>
          <w:sz w:val="20"/>
          <w:szCs w:val="20"/>
        </w:rPr>
        <w:t xml:space="preserve"> (</w:t>
      </w:r>
      <w:r w:rsidR="0097228F">
        <w:rPr>
          <w:sz w:val="20"/>
          <w:szCs w:val="20"/>
        </w:rPr>
        <w:t>duas</w:t>
      </w:r>
      <w:r w:rsidRPr="00893D82">
        <w:rPr>
          <w:sz w:val="20"/>
          <w:szCs w:val="20"/>
        </w:rPr>
        <w:t>) vias de igual teor, que, depois de lida e achada em ordem, vai assinada pelas partes</w:t>
      </w:r>
      <w:r w:rsidR="0097228F">
        <w:rPr>
          <w:sz w:val="20"/>
          <w:szCs w:val="20"/>
        </w:rPr>
        <w:t>.</w:t>
      </w:r>
    </w:p>
    <w:p w:rsidR="0097228F" w:rsidRDefault="0097228F" w:rsidP="00CB46FC">
      <w:pPr>
        <w:widowControl w:val="0"/>
        <w:autoSpaceDE w:val="0"/>
        <w:autoSpaceDN w:val="0"/>
        <w:adjustRightInd w:val="0"/>
        <w:ind w:right="-15"/>
        <w:jc w:val="both"/>
        <w:rPr>
          <w:sz w:val="20"/>
          <w:szCs w:val="20"/>
        </w:rPr>
      </w:pPr>
    </w:p>
    <w:p w:rsidR="0097228F" w:rsidRPr="00893D82" w:rsidRDefault="0097228F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CB46FC" w:rsidRDefault="0097228F" w:rsidP="0097228F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  <w:r>
        <w:rPr>
          <w:sz w:val="20"/>
          <w:szCs w:val="20"/>
        </w:rPr>
        <w:t>Natal/RN, XX de XXXX de 2014.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>KANDY TAKAHASHI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 xml:space="preserve">Superintendente Regional 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>SR/DPF/RN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>_____________________________________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>CONTRATADA</w:t>
      </w: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97228F" w:rsidRDefault="0097228F" w:rsidP="0097228F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97228F" w:rsidRPr="00893D82" w:rsidRDefault="0097228F" w:rsidP="0097228F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sectPr w:rsidR="002B3D1E" w:rsidRPr="00893D82" w:rsidSect="00BB5309">
      <w:head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09" w:rsidRDefault="00AD5509" w:rsidP="00BB5309">
      <w:r>
        <w:separator/>
      </w:r>
    </w:p>
  </w:endnote>
  <w:endnote w:type="continuationSeparator" w:id="0">
    <w:p w:rsidR="00AD5509" w:rsidRDefault="00AD5509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09" w:rsidRDefault="00AD5509" w:rsidP="00BB5309">
      <w:r>
        <w:separator/>
      </w:r>
    </w:p>
  </w:footnote>
  <w:footnote w:type="continuationSeparator" w:id="0">
    <w:p w:rsidR="00AD5509" w:rsidRDefault="00AD5509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09" w:rsidRDefault="00AD5509" w:rsidP="006C593C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szCs w:val="20"/>
      </w:rPr>
    </w:pP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49" type="#_x0000_t147" style="position:absolute;left:0;text-align:left;margin-left:412.5pt;margin-top:-13.8pt;width:57.75pt;height:57.6pt;z-index:251660288" fillcolor="black" strokeweight=".25pt">
          <v:shadow color="#868686"/>
          <v:textpath style="font-family:&quot;Arial&quot;" fitshape="t" trim="t" string="Polícia Federal&#10;Fls nº________&#10;SRA-SR/DPF/RN&#10;"/>
        </v:shape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DD96" wp14:editId="5E8AA113">
              <wp:simplePos x="0" y="0"/>
              <wp:positionH relativeFrom="column">
                <wp:posOffset>5143500</wp:posOffset>
              </wp:positionH>
              <wp:positionV relativeFrom="paragraph">
                <wp:posOffset>-266700</wp:posOffset>
              </wp:positionV>
              <wp:extent cx="914400" cy="914400"/>
              <wp:effectExtent l="0" t="0" r="19050" b="19050"/>
              <wp:wrapNone/>
              <wp:docPr id="4" name="Oval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2" o:spid="_x0000_s1026" style="position:absolute;margin-left:405pt;margin-top:-21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GAEwIAAC4EAAAOAAAAZHJzL2Uyb0RvYy54bWysU9uOEzEMfUfiH6K802mrLpdRp6tVlyKk&#10;hV1p4QPcTKYTkYmDk3Zavh4nM1u6wBMiD5EdOyc+x87y+thZcdAUDLpKziZTKbRTWBu3q+TXL5tX&#10;b6UIEVwNFp2u5EkHeb16+WLZ+1LPsUVbaxIM4kLZ+0q2MfqyKIJqdQdhgl47DjZIHUR2aVfUBD2j&#10;d7aYT6evix6p9oRKh8Cnt0NQrjJ+02gV75sm6ChsJbm2mHfK+zbtxWoJ5Y7At0aNZcA/VNGBcfzo&#10;GeoWIog9mT+gOqMIAzZxorArsGmM0pkDs5lNf2Pz2ILXmQuLE/xZpvD/YNXnwwMJU1dyIYWDjlt0&#10;fwArZvMkTe9DyRmP/oESueDvUH0LwuG6BbfTN0TYtxpqLmiW8otnF5IT+KrY9p+wZmTYR8wqHRvq&#10;EiDzF8fcjNO5GfoYheLDd7PFYsotUxwa7fQClE+XPYX4QWMnklFJba3xIckFJRzuQhyyn7Jy/WhN&#10;vTHWZod227UlwWwruckrU2Cal2nWib6Sc15XGfpZMFxiTPP6Gwbh3tVcDpRJrPejHcHYwWZS1o3q&#10;JcEG4bdYn1g8wmFo+ZOx0SL9kKLnga1k+L4H0lLYj44bkDXiCc/O4urNnLWjy8j2MgJOMVQloxSD&#10;uY7Dr9h7MruWX5plug5vuGmNyWqmhg5VjcXyUOaWjB8oTf2ln7N+ffPVTwAAAP//AwBQSwMEFAAG&#10;AAgAAAAhAJfCyGHeAAAACwEAAA8AAABkcnMvZG93bnJldi54bWxMj81OwzAQhO9IvIO1SNxau1H6&#10;l8ap+H0AAge4ufE2CcTrELtN4OlZTnCb3R3NfpPvJ9eJMw6h9aRhMVcgkCpvW6o1vDw/zjYgQjRk&#10;TecJNXxhgH1xeZGbzPqRnvBcxlpwCIXMaGhi7DMpQ9WgM2HueyS+Hf3gTORxqKUdzMjhrpOJUivp&#10;TEv8oTE93jVYfZQnpyHt169jW37HcJu8r9/ut2r5uXrQ+vpqutmBiDjFPzP84jM6FMx08CeyQXQa&#10;NgvFXaKGWZqwYMd2mbI4sFXxRha5/N+h+AEAAP//AwBQSwECLQAUAAYACAAAACEAtoM4kv4AAADh&#10;AQAAEwAAAAAAAAAAAAAAAAAAAAAAW0NvbnRlbnRfVHlwZXNdLnhtbFBLAQItABQABgAIAAAAIQA4&#10;/SH/1gAAAJQBAAALAAAAAAAAAAAAAAAAAC8BAABfcmVscy8ucmVsc1BLAQItABQABgAIAAAAIQAx&#10;x4GAEwIAAC4EAAAOAAAAAAAAAAAAAAAAAC4CAABkcnMvZTJvRG9jLnhtbFBLAQItABQABgAIAAAA&#10;IQCXwshh3gAAAAsBAAAPAAAAAAAAAAAAAAAAAG0EAABkcnMvZG93bnJldi54bWxQSwUGAAAAAAQA&#10;BADzAAAAeAUAAAAA&#10;" strokeweight="1.75pt"/>
          </w:pict>
        </mc:Fallback>
      </mc:AlternateContent>
    </w:r>
    <w:r>
      <w:rPr>
        <w:rFonts w:ascii="Arial" w:hAnsi="Arial" w:cs="Times New Roman"/>
        <w:noProof/>
        <w:sz w:val="20"/>
        <w:szCs w:val="20"/>
      </w:rPr>
      <w:drawing>
        <wp:inline distT="0" distB="0" distL="0" distR="0" wp14:anchorId="07525117" wp14:editId="7BFD8424">
          <wp:extent cx="522605" cy="5772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5509" w:rsidRDefault="00AD5509" w:rsidP="006C593C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MINISTÉRIO DA JUSTIÇA</w:t>
    </w:r>
  </w:p>
  <w:p w:rsidR="00AD5509" w:rsidRDefault="00AD5509" w:rsidP="006C593C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DEPARTAMENTO DE POLÍCIA FEDERAL</w:t>
    </w:r>
  </w:p>
  <w:p w:rsidR="00AD5509" w:rsidRDefault="00AD5509" w:rsidP="006C593C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SUPERINTENDÊNCIA REGIONAL NO RIO GRANDE DO NORTE</w:t>
    </w:r>
  </w:p>
  <w:p w:rsidR="00AD5509" w:rsidRDefault="00AD5509" w:rsidP="006C593C">
    <w:pPr>
      <w:tabs>
        <w:tab w:val="center" w:pos="4252"/>
        <w:tab w:val="right" w:pos="8504"/>
      </w:tabs>
      <w:jc w:val="center"/>
    </w:pPr>
    <w:r>
      <w:rPr>
        <w:rFonts w:ascii="Times New Roman" w:hAnsi="Times New Roman" w:cs="Times New Roman"/>
        <w:sz w:val="16"/>
        <w:szCs w:val="16"/>
      </w:rPr>
      <w:t xml:space="preserve">Rua Dr. Lauro Pinto, 155, Lagoa Nova, Natal/RN, CEP: </w:t>
    </w:r>
    <w:proofErr w:type="gramStart"/>
    <w:r>
      <w:rPr>
        <w:rFonts w:ascii="Times New Roman" w:hAnsi="Times New Roman" w:cs="Times New Roman"/>
        <w:sz w:val="16"/>
        <w:szCs w:val="16"/>
      </w:rPr>
      <w:t>59064-165, Tel. (84)</w:t>
    </w:r>
    <w:proofErr w:type="gramEnd"/>
    <w:r>
      <w:rPr>
        <w:rFonts w:ascii="Times New Roman" w:hAnsi="Times New Roman" w:cs="Times New Roman"/>
        <w:sz w:val="16"/>
        <w:szCs w:val="16"/>
      </w:rPr>
      <w:t>3204-5500</w:t>
    </w:r>
  </w:p>
  <w:p w:rsidR="00AD5509" w:rsidRDefault="00AD55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A7990"/>
    <w:rsid w:val="003C4966"/>
    <w:rsid w:val="003C49EC"/>
    <w:rsid w:val="003F48DF"/>
    <w:rsid w:val="0042684A"/>
    <w:rsid w:val="00454D50"/>
    <w:rsid w:val="004811E3"/>
    <w:rsid w:val="004C14E4"/>
    <w:rsid w:val="00520E7A"/>
    <w:rsid w:val="00562578"/>
    <w:rsid w:val="00631E43"/>
    <w:rsid w:val="00673105"/>
    <w:rsid w:val="006C593C"/>
    <w:rsid w:val="00866CC7"/>
    <w:rsid w:val="00882690"/>
    <w:rsid w:val="00893D82"/>
    <w:rsid w:val="0094783E"/>
    <w:rsid w:val="0097228F"/>
    <w:rsid w:val="00A1191B"/>
    <w:rsid w:val="00AA1D45"/>
    <w:rsid w:val="00AB0846"/>
    <w:rsid w:val="00AD5509"/>
    <w:rsid w:val="00B10156"/>
    <w:rsid w:val="00BB5309"/>
    <w:rsid w:val="00BB7895"/>
    <w:rsid w:val="00C159F6"/>
    <w:rsid w:val="00C5111B"/>
    <w:rsid w:val="00C7693F"/>
    <w:rsid w:val="00CB46FC"/>
    <w:rsid w:val="00D50B23"/>
    <w:rsid w:val="00D63A70"/>
    <w:rsid w:val="00D85ACD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6C593C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6C5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6C593C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6C5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970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EMMANOEL Fernandes de Barros</dc:creator>
  <dc:description>Texto idêntico ao modelo de serviços, salvo pela especificação do objeto contratado e da respectiva nota explicativa.</dc:description>
  <cp:lastModifiedBy>EMMANOEL Fernandes de Barros</cp:lastModifiedBy>
  <cp:revision>3</cp:revision>
  <dcterms:created xsi:type="dcterms:W3CDTF">2014-09-15T17:09:00Z</dcterms:created>
  <dcterms:modified xsi:type="dcterms:W3CDTF">2014-09-15T17:34:00Z</dcterms:modified>
</cp:coreProperties>
</file>