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FD" w:rsidRDefault="00DF0EFD" w:rsidP="00DF0EFD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ANEXO II</w:t>
      </w:r>
    </w:p>
    <w:p w:rsidR="00D86266" w:rsidRPr="00D86266" w:rsidRDefault="00D86266" w:rsidP="00D86266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D862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PREGÃO ELETRÔNICO Nº 011/ 2013</w:t>
      </w: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86266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D8626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zh-CN"/>
        </w:rPr>
        <w:t>PLANILHA DE CUSTOS E FORMAÇÃO DE PREÇOS</w:t>
      </w:r>
    </w:p>
    <w:p w:rsidR="00D86266" w:rsidRDefault="00D86266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Modelo Portaria Nº 7, de </w:t>
      </w:r>
      <w:proofErr w:type="gramStart"/>
      <w:r w:rsidRPr="00DF0EF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9</w:t>
      </w:r>
      <w:proofErr w:type="gramEnd"/>
      <w:r w:rsidRPr="00DF0EF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de março de 2011 – MPOG – SLTI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5144"/>
        <w:gridCol w:w="4042"/>
      </w:tblGrid>
      <w:tr w:rsidR="00DF0EFD" w:rsidRPr="00DF0EFD" w:rsidTr="00F851B7">
        <w:tc>
          <w:tcPr>
            <w:tcW w:w="3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1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</w:t>
            </w:r>
            <w:r w:rsidRPr="00DF0EFD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zh-CN"/>
              </w:rPr>
              <w:t>º</w:t>
            </w: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Processo</w:t>
            </w:r>
          </w:p>
        </w:tc>
        <w:tc>
          <w:tcPr>
            <w:tcW w:w="40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3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1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Licitação N</w:t>
            </w:r>
            <w:r w:rsidRPr="00DF0EFD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zh-CN"/>
              </w:rPr>
              <w:t>º</w:t>
            </w: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21749D" w:rsidRDefault="0021749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Dia ___/___/_____ às ___:___ horas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Discriminação do Serviço Prestado (dados referentes à contratação)</w:t>
      </w: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7099"/>
        <w:gridCol w:w="2014"/>
      </w:tblGrid>
      <w:tr w:rsidR="00DF0EFD" w:rsidRPr="00DF0EFD" w:rsidTr="00F851B7">
        <w:tc>
          <w:tcPr>
            <w:tcW w:w="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70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Data de apresentação da proposta (dia/mês/ano) </w:t>
            </w:r>
          </w:p>
        </w:tc>
        <w:tc>
          <w:tcPr>
            <w:tcW w:w="20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70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Município/UF </w:t>
            </w:r>
          </w:p>
        </w:tc>
        <w:tc>
          <w:tcPr>
            <w:tcW w:w="20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70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Ano Acordo, Convenção ou Sentença Normativa em Dissídio 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Coletivo</w:t>
            </w:r>
            <w:proofErr w:type="gramEnd"/>
          </w:p>
        </w:tc>
        <w:tc>
          <w:tcPr>
            <w:tcW w:w="20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70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</w:t>
            </w:r>
            <w:r w:rsidRPr="00DF0EFD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zh-CN"/>
              </w:rPr>
              <w:t>º</w:t>
            </w: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de meses de execução contratual</w:t>
            </w:r>
          </w:p>
        </w:tc>
        <w:tc>
          <w:tcPr>
            <w:tcW w:w="20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Identificação do Serviço</w:t>
      </w: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3"/>
        <w:gridCol w:w="2096"/>
        <w:gridCol w:w="5727"/>
      </w:tblGrid>
      <w:tr w:rsidR="00DF0EFD" w:rsidRPr="00DF0EFD" w:rsidTr="00F851B7">
        <w:tc>
          <w:tcPr>
            <w:tcW w:w="17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Tipo de Serviço</w:t>
            </w:r>
          </w:p>
        </w:tc>
        <w:tc>
          <w:tcPr>
            <w:tcW w:w="20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Unidade de Medida</w:t>
            </w:r>
          </w:p>
        </w:tc>
        <w:tc>
          <w:tcPr>
            <w:tcW w:w="572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Quantidade total a contratar (em função da unidade de medida)</w:t>
            </w:r>
          </w:p>
        </w:tc>
      </w:tr>
      <w:tr w:rsidR="00DF0EFD" w:rsidRPr="00DF0EFD" w:rsidTr="00F851B7">
        <w:tc>
          <w:tcPr>
            <w:tcW w:w="17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0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72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17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0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72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17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0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72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 (1) - Esta tabela poderá ser adaptada às características do serviço contratado, inclusive adaptar rubricas e suas respectivas provisões e ou estimativas, desde que devidamente justificado.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 (2)- As provisões constantes desta planilha poderão não ser necessárias em determinados serviços que não necessitem da dedicação exclusiva dos trabalhadores da Contratada para com a Administração.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Anexo II-A – Mão-de-obra</w:t>
      </w: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Mão-de-obra vinculada à execução contratual</w:t>
      </w: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tbl>
      <w:tblPr>
        <w:tblW w:w="0" w:type="auto"/>
        <w:tblInd w:w="-1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1"/>
        <w:gridCol w:w="6449"/>
        <w:gridCol w:w="2746"/>
      </w:tblGrid>
      <w:tr w:rsidR="00DF0EFD" w:rsidRPr="00DF0EFD" w:rsidTr="00F851B7">
        <w:tc>
          <w:tcPr>
            <w:tcW w:w="9566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Dados complementares para composição dos custos referente à mão de obra</w:t>
            </w:r>
          </w:p>
        </w:tc>
      </w:tr>
      <w:tr w:rsidR="00DF0EFD" w:rsidRPr="00DF0EFD" w:rsidTr="00F85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proofErr w:type="gramEnd"/>
          </w:p>
        </w:tc>
        <w:tc>
          <w:tcPr>
            <w:tcW w:w="64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Tipo de serviço (mesmo serviço com características distintas)</w:t>
            </w:r>
          </w:p>
        </w:tc>
        <w:tc>
          <w:tcPr>
            <w:tcW w:w="27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64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Salário Normativo da Categoria Profissional </w:t>
            </w:r>
          </w:p>
        </w:tc>
        <w:tc>
          <w:tcPr>
            <w:tcW w:w="27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proofErr w:type="gramEnd"/>
          </w:p>
        </w:tc>
        <w:tc>
          <w:tcPr>
            <w:tcW w:w="64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Categoria profissional (vinculada à execução contratual)</w:t>
            </w:r>
          </w:p>
        </w:tc>
        <w:tc>
          <w:tcPr>
            <w:tcW w:w="27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proofErr w:type="gramEnd"/>
          </w:p>
        </w:tc>
        <w:tc>
          <w:tcPr>
            <w:tcW w:w="64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Data base da categoria (dia/mês/ano)</w:t>
            </w:r>
          </w:p>
        </w:tc>
        <w:tc>
          <w:tcPr>
            <w:tcW w:w="274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Nota: Deverá ser elaborado um quadro para cada tipo de serviço se houver.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MÓDULO </w:t>
      </w:r>
      <w:proofErr w:type="gram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</w:t>
      </w:r>
      <w:proofErr w:type="gram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 COMPOSIÇÃO DA REMUNERAÇÃO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6418"/>
        <w:gridCol w:w="2687"/>
      </w:tblGrid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  <w:proofErr w:type="gramEnd"/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Composição da Remuneração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E925A1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Salário Base (valor fixado na CCT 201</w:t>
            </w:r>
            <w:r w:rsidR="00E92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Adicional de periculosidade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Adicional de insalubridade 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Adicional noturno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Hora noturna adicional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Adicional de Hora Extra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Intervalo Intrajornada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Outros (especificar)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6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Total da Remuneração</w:t>
            </w:r>
          </w:p>
        </w:tc>
        <w:tc>
          <w:tcPr>
            <w:tcW w:w="268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MÓDULO </w:t>
      </w:r>
      <w:proofErr w:type="gram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proofErr w:type="gram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 BENEFÍCIOS MENSAIS E DIÁRIOS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6420"/>
        <w:gridCol w:w="2625"/>
      </w:tblGrid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Benefícios Mensais e Diários</w:t>
            </w:r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Transporte</w:t>
            </w:r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Auxílio alimentação (Vales, cesta básica etc.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  <w:proofErr w:type="gramEnd"/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Assistência médica e familiar</w:t>
            </w:r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Auxílio creche</w:t>
            </w:r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</w:t>
            </w:r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Seguro de vida, invalidez e 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funeral</w:t>
            </w:r>
            <w:proofErr w:type="gramEnd"/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</w:t>
            </w:r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Outros (especificar)</w:t>
            </w:r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Total de Benefícios mensais e diários</w:t>
            </w:r>
          </w:p>
        </w:tc>
        <w:tc>
          <w:tcPr>
            <w:tcW w:w="26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F0EFD" w:rsidRPr="00DF0EFD" w:rsidRDefault="00DF0EFD" w:rsidP="00DF0E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Nota: o valor informado deverá ser o custo real do insumo (descontado o valor eventualmente pago pelo empregado).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MÓDULO </w:t>
      </w:r>
      <w:proofErr w:type="gram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</w:t>
      </w:r>
      <w:proofErr w:type="gram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 INSUMOS DIVERSOS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5674"/>
        <w:gridCol w:w="2650"/>
      </w:tblGrid>
      <w:tr w:rsidR="00DF0EFD" w:rsidRPr="00DF0EFD" w:rsidTr="00F851B7">
        <w:tc>
          <w:tcPr>
            <w:tcW w:w="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3</w:t>
            </w:r>
            <w:proofErr w:type="gramEnd"/>
          </w:p>
        </w:tc>
        <w:tc>
          <w:tcPr>
            <w:tcW w:w="567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Insumos Diversos</w:t>
            </w:r>
          </w:p>
        </w:tc>
        <w:tc>
          <w:tcPr>
            <w:tcW w:w="26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567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Uniformes</w:t>
            </w:r>
          </w:p>
        </w:tc>
        <w:tc>
          <w:tcPr>
            <w:tcW w:w="26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567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Materiais</w:t>
            </w:r>
          </w:p>
        </w:tc>
        <w:tc>
          <w:tcPr>
            <w:tcW w:w="26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567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Equipamentos</w:t>
            </w:r>
          </w:p>
        </w:tc>
        <w:tc>
          <w:tcPr>
            <w:tcW w:w="26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567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Outros (especificar)</w:t>
            </w:r>
          </w:p>
        </w:tc>
        <w:tc>
          <w:tcPr>
            <w:tcW w:w="26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Total de Insumos diversos</w:t>
            </w:r>
          </w:p>
        </w:tc>
        <w:tc>
          <w:tcPr>
            <w:tcW w:w="26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Nota: Valores mensais por empregado.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13F79" w:rsidRDefault="00F13F79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MÓDULO </w:t>
      </w:r>
      <w:proofErr w:type="gram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</w:t>
      </w:r>
      <w:proofErr w:type="gram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 ENCARGOS SOCIAIS E TRABALHISTAS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DF0EFD">
        <w:rPr>
          <w:rFonts w:ascii="Times New Roman" w:eastAsia="Times New Roman" w:hAnsi="Times New Roman" w:cs="Times New Roman"/>
          <w:lang w:eastAsia="zh-CN"/>
        </w:rPr>
        <w:t>Submódulo</w:t>
      </w:r>
      <w:proofErr w:type="spellEnd"/>
      <w:r w:rsidRPr="00DF0EFD">
        <w:rPr>
          <w:rFonts w:ascii="Times New Roman" w:eastAsia="Times New Roman" w:hAnsi="Times New Roman" w:cs="Times New Roman"/>
          <w:lang w:eastAsia="zh-CN"/>
        </w:rPr>
        <w:t xml:space="preserve"> 4.1 – Encargos previdenciários e FGTS: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"/>
        <w:gridCol w:w="5710"/>
        <w:gridCol w:w="1158"/>
        <w:gridCol w:w="1559"/>
      </w:tblGrid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Encargos previdenciários e FGTS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INSS 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SESI ou SESC 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SENAI ou SENAC 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INCRA 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Salário Educação 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FGTS 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Seguro acidente do trabalho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H</w:t>
            </w:r>
          </w:p>
        </w:tc>
        <w:tc>
          <w:tcPr>
            <w:tcW w:w="57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SEBRAE *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6249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115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 (1) - Os percentuais dos encargos previdenciários e FGTS são aqueles estabelecidos pela legislação vigente</w:t>
      </w:r>
    </w:p>
    <w:p w:rsidR="00DF0EFD" w:rsidRPr="00DF0EFD" w:rsidRDefault="00DF0EFD" w:rsidP="00DF0EFD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 (2) - Percentuais incidentes sobre a remuneração.</w:t>
      </w:r>
    </w:p>
    <w:p w:rsidR="00DF0EFD" w:rsidRPr="00DF0EFD" w:rsidRDefault="00DF0EFD" w:rsidP="00DF0EFD">
      <w:pPr>
        <w:suppressAutoHyphens/>
        <w:spacing w:after="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 (3) - * as microempresas e empresas de pequeno porte estão isentas destes tributos.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Submódulo</w:t>
      </w:r>
      <w:proofErr w:type="spell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4.2 – 13º Salário e Adicional de Férias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tbl>
      <w:tblPr>
        <w:tblW w:w="0" w:type="auto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6975"/>
        <w:gridCol w:w="1514"/>
      </w:tblGrid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69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13º Salário e Adicional de Férias</w:t>
            </w:r>
          </w:p>
        </w:tc>
        <w:tc>
          <w:tcPr>
            <w:tcW w:w="1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69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º Salário</w:t>
            </w:r>
          </w:p>
        </w:tc>
        <w:tc>
          <w:tcPr>
            <w:tcW w:w="1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69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Adicional de Férias </w:t>
            </w:r>
          </w:p>
        </w:tc>
        <w:tc>
          <w:tcPr>
            <w:tcW w:w="1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512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Subtotal</w:t>
            </w:r>
          </w:p>
        </w:tc>
        <w:tc>
          <w:tcPr>
            <w:tcW w:w="1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697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Incidência do </w:t>
            </w:r>
            <w:proofErr w:type="spell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Submódulo</w:t>
            </w:r>
            <w:proofErr w:type="spellEnd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4.1 sobre 13º Salário e Adicional de Férias</w:t>
            </w:r>
          </w:p>
        </w:tc>
        <w:tc>
          <w:tcPr>
            <w:tcW w:w="1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512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1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Submódulo</w:t>
      </w:r>
      <w:proofErr w:type="spell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4.3 - Afastamento Maternidade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tbl>
      <w:tblPr>
        <w:tblW w:w="0" w:type="auto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6977"/>
        <w:gridCol w:w="1453"/>
      </w:tblGrid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4.3</w:t>
            </w:r>
          </w:p>
        </w:tc>
        <w:tc>
          <w:tcPr>
            <w:tcW w:w="69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Afastamento Maternidade:</w:t>
            </w:r>
          </w:p>
        </w:tc>
        <w:tc>
          <w:tcPr>
            <w:tcW w:w="1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69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Afastamento maternidade</w:t>
            </w:r>
          </w:p>
        </w:tc>
        <w:tc>
          <w:tcPr>
            <w:tcW w:w="1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697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Incidência do </w:t>
            </w:r>
            <w:proofErr w:type="spell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submódulo</w:t>
            </w:r>
            <w:proofErr w:type="spellEnd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4.1 sobre afastamento maternidade</w:t>
            </w:r>
          </w:p>
        </w:tc>
        <w:tc>
          <w:tcPr>
            <w:tcW w:w="1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51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14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proofErr w:type="spell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Submódulo</w:t>
      </w:r>
      <w:proofErr w:type="spell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4.4 - Provisão para Rescisão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tbl>
      <w:tblPr>
        <w:tblW w:w="0" w:type="auto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6516"/>
        <w:gridCol w:w="1450"/>
      </w:tblGrid>
      <w:tr w:rsidR="00DF0EFD" w:rsidRPr="00DF0EFD" w:rsidTr="00F851B7">
        <w:trPr>
          <w:trHeight w:val="165"/>
        </w:trPr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4.4</w:t>
            </w:r>
          </w:p>
        </w:tc>
        <w:tc>
          <w:tcPr>
            <w:tcW w:w="65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Provisão para Rescisão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65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Aviso prévio indenizado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65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Incidência do FGTS sobre aviso prévio indenizado*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65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Multa do FGTS do aviso prévio indenizado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65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Aviso prévio trabalhado 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</w:t>
            </w:r>
          </w:p>
        </w:tc>
        <w:tc>
          <w:tcPr>
            <w:tcW w:w="65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Incidência do </w:t>
            </w:r>
            <w:proofErr w:type="spell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submódulo</w:t>
            </w:r>
            <w:proofErr w:type="spellEnd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4.1 sobre aviso prévio trabalhado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F</w:t>
            </w:r>
          </w:p>
        </w:tc>
        <w:tc>
          <w:tcPr>
            <w:tcW w:w="65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Multa do FGTS do aviso prévio trabalhado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05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145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*</w:t>
      </w:r>
      <w:proofErr w:type="spellStart"/>
      <w:r w:rsidRPr="00DF0EFD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Refiticado</w:t>
      </w:r>
      <w:proofErr w:type="spellEnd"/>
      <w:r w:rsidRPr="00DF0EFD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no DOU – 01/04/2011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Submódulo</w:t>
      </w:r>
      <w:proofErr w:type="spellEnd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4.5 – Custo de Reposição do Profissional Ausente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6543"/>
        <w:gridCol w:w="1421"/>
      </w:tblGrid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4.5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Composição do Custo de Reposição do Profissional Ausente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Férias 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Ausência por doença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Licença paternidade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Ausências legais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Ausência por Acidente de trabalho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Outros (especificar)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080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Subtotal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Incidência do </w:t>
            </w:r>
            <w:proofErr w:type="spell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submódulo</w:t>
            </w:r>
            <w:proofErr w:type="spellEnd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4.1 sobre o Custo de reposição 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080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14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Quadro - resumo – Módulo 4 - Encargos sociais e trabalhistas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6730"/>
        <w:gridCol w:w="1265"/>
      </w:tblGrid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  <w:proofErr w:type="gramEnd"/>
          </w:p>
        </w:tc>
        <w:tc>
          <w:tcPr>
            <w:tcW w:w="67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Módulo 4 - Encargos sociais e trabalhistas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5E5E5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67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º salário + Adicional de férias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67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Encargos previdenciários e FGTS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4.3</w:t>
            </w:r>
          </w:p>
        </w:tc>
        <w:tc>
          <w:tcPr>
            <w:tcW w:w="67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Afastamento maternidade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4.4</w:t>
            </w:r>
          </w:p>
        </w:tc>
        <w:tc>
          <w:tcPr>
            <w:tcW w:w="67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Custo de rescisão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4.5</w:t>
            </w:r>
          </w:p>
        </w:tc>
        <w:tc>
          <w:tcPr>
            <w:tcW w:w="67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Custo de reposição do profissional ausente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4.6</w:t>
            </w:r>
          </w:p>
        </w:tc>
        <w:tc>
          <w:tcPr>
            <w:tcW w:w="67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Outros (especificar)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266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 xml:space="preserve">TOTAL </w:t>
            </w:r>
          </w:p>
        </w:tc>
        <w:tc>
          <w:tcPr>
            <w:tcW w:w="126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MÓDULO 5 - CUSTOS INDIRETOS, TRIBUTOS E </w:t>
      </w:r>
      <w:proofErr w:type="gramStart"/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LUCRO</w:t>
      </w:r>
      <w:proofErr w:type="gramEnd"/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"/>
        <w:gridCol w:w="5318"/>
        <w:gridCol w:w="1461"/>
        <w:gridCol w:w="2417"/>
      </w:tblGrid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  <w:proofErr w:type="gramEnd"/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Custos Indiretos, Tributos e 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Lucro</w:t>
            </w:r>
            <w:proofErr w:type="gramEnd"/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Custos Indiretos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Tributos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B1. Tributos Federais (especificar)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B.2 Tributos Estaduais (especificar)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B.3 Tributos Municipais (especificar)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B.4 Outros tributos (especificar)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Lucro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44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3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Total</w:t>
            </w:r>
          </w:p>
        </w:tc>
        <w:tc>
          <w:tcPr>
            <w:tcW w:w="146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 (1): Custos Indiretos, Tributos e Lucro por empregado.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Nota (2): O valor referente a tributos é obtido aplicando-se o percentual sobre o valor do faturamento</w:t>
      </w: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Anexo II – B - Quadro-resumo do Custo por Empregado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7676"/>
        <w:gridCol w:w="1219"/>
      </w:tblGrid>
      <w:tr w:rsidR="00DF0EFD" w:rsidRPr="00DF0EFD" w:rsidTr="00F851B7">
        <w:tc>
          <w:tcPr>
            <w:tcW w:w="7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6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Mão de obra vinculada à execução contratual (valor por empregado)</w:t>
            </w:r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(R$)</w:t>
            </w:r>
          </w:p>
        </w:tc>
      </w:tr>
      <w:tr w:rsidR="00DF0EFD" w:rsidRPr="00DF0EFD" w:rsidTr="00F851B7">
        <w:tc>
          <w:tcPr>
            <w:tcW w:w="7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76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Módulo 1 – Composição da Remuneração</w:t>
            </w:r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76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Módulo 2 – Benefícios Mensais e Diários</w:t>
            </w:r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76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Módulo 3 – Insumos Diversos (uniformes, materiais, equipamentos e outros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  <w:proofErr w:type="gramEnd"/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76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Módulo 4 – Encargos Sociais e Trabalhistas</w:t>
            </w:r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8392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E925A1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Subtotal (A + B +</w:t>
            </w:r>
            <w:bookmarkStart w:id="0" w:name="_GoBack"/>
            <w:bookmarkEnd w:id="0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C+ D)</w:t>
            </w:r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c>
          <w:tcPr>
            <w:tcW w:w="7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</w:t>
            </w:r>
          </w:p>
        </w:tc>
        <w:tc>
          <w:tcPr>
            <w:tcW w:w="76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bottom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Módulo 5 – Custos indiretos, tributos e 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lucro</w:t>
            </w:r>
            <w:proofErr w:type="gramEnd"/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rPr>
          <w:trHeight w:val="225"/>
        </w:trPr>
        <w:tc>
          <w:tcPr>
            <w:tcW w:w="8392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Valor total por empregado</w:t>
            </w:r>
          </w:p>
        </w:tc>
        <w:tc>
          <w:tcPr>
            <w:tcW w:w="12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  </w:t>
      </w:r>
      <w:r w:rsidRPr="00DF0EFD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</w:t>
      </w: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Anexo II-C - Quadro-resumo – VALOR MENSAL DOS SERVIÇOS</w:t>
      </w:r>
    </w:p>
    <w:p w:rsidR="00DF0EFD" w:rsidRPr="00DF0EFD" w:rsidRDefault="00DF0EFD" w:rsidP="00DF0EFD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841"/>
        <w:gridCol w:w="1544"/>
        <w:gridCol w:w="1678"/>
        <w:gridCol w:w="1362"/>
        <w:gridCol w:w="1508"/>
        <w:gridCol w:w="1443"/>
      </w:tblGrid>
      <w:tr w:rsidR="00DF0EFD" w:rsidRPr="00DF0EFD" w:rsidTr="00F851B7">
        <w:tc>
          <w:tcPr>
            <w:tcW w:w="240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Tipo de serviço</w:t>
            </w: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(A)</w:t>
            </w:r>
          </w:p>
        </w:tc>
        <w:tc>
          <w:tcPr>
            <w:tcW w:w="15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proposto por empregado</w:t>
            </w: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br/>
              <w:t>(B)</w:t>
            </w:r>
          </w:p>
        </w:tc>
        <w:tc>
          <w:tcPr>
            <w:tcW w:w="1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Qtde</w:t>
            </w:r>
            <w:proofErr w:type="spellEnd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de empregados por posto</w:t>
            </w: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(C)</w:t>
            </w:r>
          </w:p>
        </w:tc>
        <w:tc>
          <w:tcPr>
            <w:tcW w:w="13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proposto por posto</w:t>
            </w: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(D) = (B x C)</w:t>
            </w:r>
          </w:p>
        </w:tc>
        <w:tc>
          <w:tcPr>
            <w:tcW w:w="150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Qtde</w:t>
            </w:r>
            <w:proofErr w:type="spellEnd"/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de</w:t>
            </w:r>
            <w:proofErr w:type="gramEnd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postos</w:t>
            </w: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(E)</w:t>
            </w:r>
          </w:p>
        </w:tc>
        <w:tc>
          <w:tcPr>
            <w:tcW w:w="14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total do serviço</w:t>
            </w: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F0EFD" w:rsidRPr="00DF0EFD" w:rsidRDefault="00DF0EFD" w:rsidP="00DF0EFD">
            <w:pPr>
              <w:suppressAutoHyphens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(F) = (D x E)</w:t>
            </w:r>
          </w:p>
        </w:tc>
      </w:tr>
      <w:tr w:rsidR="00DF0EFD" w:rsidRPr="00DF0EFD" w:rsidTr="00F851B7">
        <w:tc>
          <w:tcPr>
            <w:tcW w:w="5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</w:t>
            </w:r>
          </w:p>
        </w:tc>
        <w:tc>
          <w:tcPr>
            <w:tcW w:w="18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Serviço 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proofErr w:type="gramEnd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(indicar) </w:t>
            </w:r>
          </w:p>
        </w:tc>
        <w:tc>
          <w:tcPr>
            <w:tcW w:w="15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  <w:tc>
          <w:tcPr>
            <w:tcW w:w="1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  <w:tc>
          <w:tcPr>
            <w:tcW w:w="150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</w:tr>
      <w:tr w:rsidR="00DF0EFD" w:rsidRPr="00DF0EFD" w:rsidTr="00F851B7">
        <w:tc>
          <w:tcPr>
            <w:tcW w:w="5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II</w:t>
            </w:r>
          </w:p>
        </w:tc>
        <w:tc>
          <w:tcPr>
            <w:tcW w:w="18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Serviço 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(indicar) </w:t>
            </w:r>
          </w:p>
        </w:tc>
        <w:tc>
          <w:tcPr>
            <w:tcW w:w="15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  <w:tc>
          <w:tcPr>
            <w:tcW w:w="1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  <w:tc>
          <w:tcPr>
            <w:tcW w:w="150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</w:tr>
      <w:tr w:rsidR="00DF0EFD" w:rsidRPr="00DF0EFD" w:rsidTr="00F851B7">
        <w:tc>
          <w:tcPr>
            <w:tcW w:w="56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...</w:t>
            </w:r>
          </w:p>
        </w:tc>
        <w:tc>
          <w:tcPr>
            <w:tcW w:w="18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Serviço ...</w:t>
            </w:r>
            <w:proofErr w:type="gramEnd"/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(indicar) </w:t>
            </w:r>
          </w:p>
        </w:tc>
        <w:tc>
          <w:tcPr>
            <w:tcW w:w="15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  <w:tc>
          <w:tcPr>
            <w:tcW w:w="1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3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  <w:tc>
          <w:tcPr>
            <w:tcW w:w="150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4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R$</w:t>
            </w:r>
          </w:p>
        </w:tc>
      </w:tr>
      <w:tr w:rsidR="00DF0EFD" w:rsidRPr="00DF0EFD" w:rsidTr="00F851B7">
        <w:tc>
          <w:tcPr>
            <w:tcW w:w="8493" w:type="dxa"/>
            <w:gridSpan w:val="6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MENSAL DOS SERVIÇOS (I + II + III +</w:t>
            </w:r>
            <w:proofErr w:type="gramStart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...</w:t>
            </w:r>
            <w:proofErr w:type="gramEnd"/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4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Anexo II-D - Quadro - demonstrativo - VALOR GLOBAL DA PROPOSTA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6154"/>
        <w:gridCol w:w="3009"/>
      </w:tblGrid>
      <w:tr w:rsidR="00DF0EFD" w:rsidRPr="00DF0EFD" w:rsidTr="00F851B7">
        <w:tc>
          <w:tcPr>
            <w:tcW w:w="4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916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CCCCC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Valor Global da Proposta</w:t>
            </w:r>
          </w:p>
        </w:tc>
      </w:tr>
      <w:tr w:rsidR="00DF0EFD" w:rsidRPr="00DF0EFD" w:rsidTr="00F851B7">
        <w:tc>
          <w:tcPr>
            <w:tcW w:w="4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61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Descrição</w:t>
            </w:r>
          </w:p>
        </w:tc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Valor (R$)</w:t>
            </w:r>
          </w:p>
        </w:tc>
      </w:tr>
      <w:tr w:rsidR="00DF0EFD" w:rsidRPr="00DF0EFD" w:rsidTr="00F851B7">
        <w:tc>
          <w:tcPr>
            <w:tcW w:w="4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61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Valor proposto por unidade de medida *</w:t>
            </w:r>
          </w:p>
        </w:tc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rPr>
          <w:trHeight w:val="90"/>
        </w:trPr>
        <w:tc>
          <w:tcPr>
            <w:tcW w:w="4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61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Valor mensal do serviço</w:t>
            </w:r>
          </w:p>
        </w:tc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  <w:tr w:rsidR="00DF0EFD" w:rsidRPr="00DF0EFD" w:rsidTr="00F851B7">
        <w:trPr>
          <w:trHeight w:val="285"/>
        </w:trPr>
        <w:tc>
          <w:tcPr>
            <w:tcW w:w="4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61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Valor global da proposta</w:t>
            </w:r>
          </w:p>
          <w:p w:rsidR="00DF0EFD" w:rsidRPr="00DF0EFD" w:rsidRDefault="00DF0EFD" w:rsidP="00DF0EFD">
            <w:pPr>
              <w:suppressAutoHyphens/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(valor mensal do serviço X n</w:t>
            </w:r>
            <w:r w:rsidRPr="00DF0EFD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zh-CN"/>
              </w:rPr>
              <w:t>º</w:t>
            </w: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meses do contrato).</w:t>
            </w:r>
          </w:p>
        </w:tc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DF0EFD" w:rsidRPr="00DF0EFD" w:rsidRDefault="00DF0EFD" w:rsidP="00DF0EFD">
            <w:pPr>
              <w:suppressAutoHyphens/>
              <w:snapToGrid w:val="0"/>
              <w:spacing w:after="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0E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</w:p>
        </w:tc>
      </w:tr>
    </w:tbl>
    <w:p w:rsidR="00DF0EFD" w:rsidRPr="00DF0EFD" w:rsidRDefault="00DF0EFD" w:rsidP="00DF0EFD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0"/>
          <w:szCs w:val="20"/>
          <w:lang w:eastAsia="zh-CN"/>
        </w:rPr>
        <w:t>Nota (1): Informar o valor da unidade de medida por tipo de serviço.</w:t>
      </w:r>
    </w:p>
    <w:p w:rsidR="00DF0EFD" w:rsidRPr="00DF0EFD" w:rsidRDefault="00DF0EFD" w:rsidP="00DF0EFD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Observações pertinentes ao preenchimento da Planilha de Custos e Formação de Preços:</w:t>
      </w:r>
    </w:p>
    <w:p w:rsidR="00DF0EFD" w:rsidRPr="00DF0EFD" w:rsidRDefault="00DF0EFD" w:rsidP="00DF0EFD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F0EFD" w:rsidRPr="00DF0EFD" w:rsidRDefault="00DF0EFD" w:rsidP="00F13F79">
      <w:pPr>
        <w:numPr>
          <w:ilvl w:val="3"/>
          <w:numId w:val="1"/>
        </w:numPr>
        <w:tabs>
          <w:tab w:val="clear" w:pos="2880"/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Modelo de Planilha, de acordo com a IN Nº. 2/2008, última alteração pela Portaria Nº. 7/2011 - Ministério do Planejamento, Orçamento e Gestão.</w:t>
      </w:r>
    </w:p>
    <w:p w:rsidR="00DF0EFD" w:rsidRPr="00DF0EFD" w:rsidRDefault="00DF0EFD" w:rsidP="00F13F79">
      <w:pPr>
        <w:tabs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F13F79">
      <w:pPr>
        <w:numPr>
          <w:ilvl w:val="3"/>
          <w:numId w:val="1"/>
        </w:numPr>
        <w:tabs>
          <w:tab w:val="clear" w:pos="2880"/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As Planilhas de Custos e Formação de Preços são meramente estimativas, cabendo ao licitante preenchê-las e apresentá-las, de acordo com a sua realidade e com o previsto no Termo de Referência (anexo I) e Edital.</w:t>
      </w:r>
    </w:p>
    <w:p w:rsidR="00DF0EFD" w:rsidRPr="00DF0EFD" w:rsidRDefault="00DF0EFD" w:rsidP="00F13F79">
      <w:pPr>
        <w:tabs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F13F79">
      <w:pPr>
        <w:numPr>
          <w:ilvl w:val="3"/>
          <w:numId w:val="1"/>
        </w:numPr>
        <w:tabs>
          <w:tab w:val="clear" w:pos="2880"/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A empresa deverá verificar o regime tributário ao qual está vinculada, cumprindo à Legislação específica que couber a cada caso, sendo que o preenchimento das planilhas é de sua responsabilidade.</w:t>
      </w:r>
    </w:p>
    <w:p w:rsidR="00DF0EFD" w:rsidRPr="00DF0EFD" w:rsidRDefault="00DF0EFD" w:rsidP="00F13F79">
      <w:pPr>
        <w:tabs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F13F79">
      <w:pPr>
        <w:numPr>
          <w:ilvl w:val="3"/>
          <w:numId w:val="1"/>
        </w:numPr>
        <w:tabs>
          <w:tab w:val="clear" w:pos="2880"/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O salário base informado nas planilhas de referência está de acordo com a SEAC/MT-2012.</w:t>
      </w:r>
    </w:p>
    <w:p w:rsidR="00DF0EFD" w:rsidRPr="00DF0EFD" w:rsidRDefault="00DF0EFD" w:rsidP="00F13F79">
      <w:pPr>
        <w:tabs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F13F79">
      <w:pPr>
        <w:numPr>
          <w:ilvl w:val="3"/>
          <w:numId w:val="1"/>
        </w:numPr>
        <w:tabs>
          <w:tab w:val="clear" w:pos="2880"/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Os tributos, COFINS e PIS, constantes das planilhas de referência foram definidos com base no regime de tributação de Lucro Real, conforme percentuais constantes do Manual do MPOG (Jurisprudência – TCU - Acórdão 1.753/2008-Plenário). No entanto, a licitante deve elaborar a sua proposta, bem como suas planilhas de composição de custos e formação de preços com base no regime de tributação ao qual estará submetido durante a execução do contrato.</w:t>
      </w:r>
    </w:p>
    <w:p w:rsidR="00DF0EFD" w:rsidRPr="00DF0EFD" w:rsidRDefault="00DF0EFD" w:rsidP="00F13F79">
      <w:pPr>
        <w:tabs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F13F79">
      <w:pPr>
        <w:numPr>
          <w:ilvl w:val="3"/>
          <w:numId w:val="1"/>
        </w:numPr>
        <w:tabs>
          <w:tab w:val="clear" w:pos="2880"/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O tributo, ISS, foi definido com base nos percentuais praticados por localidades (Cuiabá/MT, Cáceres/MT, Rondonópolis/MT, Sinop/MT e Barra do Garças/MT). Contudo, a empresa deverá informar na sua proposta, assim com nas planilhas de composição de custos e formação de preços à alíquota a qual estará submetida na execução contratual.</w:t>
      </w:r>
    </w:p>
    <w:p w:rsidR="00DF0EFD" w:rsidRPr="00DF0EFD" w:rsidRDefault="00DF0EFD" w:rsidP="00F13F79">
      <w:pPr>
        <w:tabs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F13F79">
      <w:pPr>
        <w:numPr>
          <w:ilvl w:val="3"/>
          <w:numId w:val="1"/>
        </w:numPr>
        <w:tabs>
          <w:tab w:val="clear" w:pos="2880"/>
          <w:tab w:val="left" w:pos="0"/>
          <w:tab w:val="num" w:pos="284"/>
        </w:tabs>
        <w:suppressAutoHyphens/>
        <w:spacing w:after="0" w:line="300" w:lineRule="atLeast"/>
        <w:ind w:left="284" w:right="-17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As Microempresas e Empresas de Pequeno Porte, optantes pelo Simples Nacional, deverão atentar-se para as vedações, quanto ao recolhimento de impostos e contribuições, conforme disposto na Lei Complementar nº. 123/2006 e alterações, devendo proceder às adequações das planilhas, bem como comunicar à Receita Federal do Brasil, caso sejam vencedoras de objeto que veda o recolhimento dos tributos na forma do Simples Nacional.</w:t>
      </w:r>
    </w:p>
    <w:p w:rsidR="00DF0EFD" w:rsidRPr="00DF0EFD" w:rsidRDefault="00DF0EFD" w:rsidP="00DF0EFD">
      <w:pPr>
        <w:suppressAutoHyphens/>
        <w:spacing w:after="0" w:line="300" w:lineRule="atLeast"/>
        <w:ind w:right="-17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F0EFD" w:rsidRPr="00DF0EFD" w:rsidRDefault="00DF0EFD" w:rsidP="00DF0EFD">
      <w:pPr>
        <w:suppressAutoHyphens/>
        <w:spacing w:after="0" w:line="300" w:lineRule="atLeast"/>
        <w:ind w:right="-17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F0EFD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Consideram-se como verdadeiras as informações apresentadas pela empresa, sendo que a licitante vencedora é responsável pelo ônus decorrente de erros no preenchimento da proposta e da planilha de formação de custos.</w:t>
      </w:r>
    </w:p>
    <w:p w:rsidR="00DF3562" w:rsidRPr="00DF0EFD" w:rsidRDefault="00DF3562">
      <w:pPr>
        <w:rPr>
          <w:rFonts w:ascii="Times New Roman" w:hAnsi="Times New Roman" w:cs="Times New Roman"/>
        </w:rPr>
      </w:pPr>
    </w:p>
    <w:sectPr w:rsidR="00DF3562" w:rsidRPr="00DF0EF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FD" w:rsidRDefault="00DF0EFD" w:rsidP="00DF0EFD">
      <w:pPr>
        <w:spacing w:after="0" w:line="240" w:lineRule="auto"/>
      </w:pPr>
      <w:r>
        <w:separator/>
      </w:r>
    </w:p>
  </w:endnote>
  <w:endnote w:type="continuationSeparator" w:id="0">
    <w:p w:rsidR="00DF0EFD" w:rsidRDefault="00DF0EFD" w:rsidP="00DF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FD" w:rsidRDefault="00DF0EFD" w:rsidP="00DF0EFD">
      <w:pPr>
        <w:spacing w:after="0" w:line="240" w:lineRule="auto"/>
      </w:pPr>
      <w:r>
        <w:separator/>
      </w:r>
    </w:p>
  </w:footnote>
  <w:footnote w:type="continuationSeparator" w:id="0">
    <w:p w:rsidR="00DF0EFD" w:rsidRDefault="00DF0EFD" w:rsidP="00DF0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EFD" w:rsidRPr="00841C47" w:rsidRDefault="00E925A1" w:rsidP="00DF0EFD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4" style="position:absolute;left:0;text-align:left;margin-left:405.3pt;margin-top:-6.1pt;width:78.65pt;height:78.65pt;z-index:251657216" coordorigin="5278,913" coordsize="2324,2324">
          <v:oval id="_x0000_s1035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3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DF0EFD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56C6CDC1" wp14:editId="23D047CC">
          <wp:extent cx="6572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0EFD" w:rsidRPr="00841C47" w:rsidRDefault="00DF0EFD" w:rsidP="00DF0EFD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DF0EFD" w:rsidRPr="00841C47" w:rsidRDefault="00DF0EFD" w:rsidP="00DF0EFD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DF0EFD" w:rsidRPr="00841C47" w:rsidRDefault="00DF0EFD" w:rsidP="00DF0EFD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DF0EFD" w:rsidRPr="00841C47" w:rsidRDefault="00DF0EFD" w:rsidP="00DF0EFD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DF0EFD" w:rsidRPr="00841C47" w:rsidRDefault="00DF0EFD" w:rsidP="00DF0EFD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DF0EFD" w:rsidRDefault="00DF0EF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FD"/>
    <w:rsid w:val="0021749D"/>
    <w:rsid w:val="00D86266"/>
    <w:rsid w:val="00DF0EFD"/>
    <w:rsid w:val="00DF3562"/>
    <w:rsid w:val="00E722C1"/>
    <w:rsid w:val="00E925A1"/>
    <w:rsid w:val="00F1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F0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0EFD"/>
  </w:style>
  <w:style w:type="paragraph" w:styleId="Rodap">
    <w:name w:val="footer"/>
    <w:basedOn w:val="Normal"/>
    <w:link w:val="RodapChar"/>
    <w:uiPriority w:val="99"/>
    <w:unhideWhenUsed/>
    <w:rsid w:val="00DF0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0EFD"/>
  </w:style>
  <w:style w:type="paragraph" w:styleId="Textodebalo">
    <w:name w:val="Balloon Text"/>
    <w:basedOn w:val="Normal"/>
    <w:link w:val="TextodebaloChar"/>
    <w:uiPriority w:val="99"/>
    <w:semiHidden/>
    <w:unhideWhenUsed/>
    <w:rsid w:val="00DF0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F0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0EFD"/>
  </w:style>
  <w:style w:type="paragraph" w:styleId="Rodap">
    <w:name w:val="footer"/>
    <w:basedOn w:val="Normal"/>
    <w:link w:val="RodapChar"/>
    <w:uiPriority w:val="99"/>
    <w:unhideWhenUsed/>
    <w:rsid w:val="00DF0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0EFD"/>
  </w:style>
  <w:style w:type="paragraph" w:styleId="Textodebalo">
    <w:name w:val="Balloon Text"/>
    <w:basedOn w:val="Normal"/>
    <w:link w:val="TextodebaloChar"/>
    <w:uiPriority w:val="99"/>
    <w:semiHidden/>
    <w:unhideWhenUsed/>
    <w:rsid w:val="00DF0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1310</Words>
  <Characters>7075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5</cp:revision>
  <dcterms:created xsi:type="dcterms:W3CDTF">2013-09-10T18:54:00Z</dcterms:created>
  <dcterms:modified xsi:type="dcterms:W3CDTF">2013-09-11T22:29:00Z</dcterms:modified>
</cp:coreProperties>
</file>