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34"/>
      </w:tblGrid>
      <w:tr w:rsidR="002123C2">
        <w:trPr>
          <w:trHeight w:val="1701"/>
        </w:trPr>
        <w:tc>
          <w:tcPr>
            <w:tcW w:w="9134" w:type="dxa"/>
            <w:tcBorders>
              <w:top w:val="nil"/>
              <w:left w:val="nil"/>
              <w:bottom w:val="nil"/>
              <w:right w:val="nil"/>
            </w:tcBorders>
          </w:tcPr>
          <w:p w:rsidR="002123C2" w:rsidRDefault="002123C2">
            <w:pPr>
              <w:pStyle w:val="ReportTitle"/>
              <w:rPr>
                <w:rFonts w:ascii="Times New Roman" w:hAnsi="Times New Roman" w:cs="Times New Roman"/>
              </w:rPr>
            </w:pPr>
            <w:r>
              <w:rPr>
                <w:rFonts w:ascii="Times New Roman" w:hAnsi="Times New Roman" w:cs="Times New Roman"/>
              </w:rPr>
              <w:br w:type="page"/>
            </w:r>
            <w:bookmarkStart w:id="0" w:name="ReportTitle"/>
          </w:p>
          <w:p w:rsidR="002123C2" w:rsidRDefault="002123C2">
            <w:pPr>
              <w:pStyle w:val="ReportTitle"/>
              <w:rPr>
                <w:rFonts w:ascii="Times New Roman" w:hAnsi="Times New Roman" w:cs="Times New Roman"/>
              </w:rPr>
            </w:pPr>
            <w:r>
              <w:t xml:space="preserve">Request for Proposal </w:t>
            </w:r>
            <w:r w:rsidRPr="00A531A4">
              <w:t>nº 1/201</w:t>
            </w:r>
            <w:r w:rsidR="00A5609F">
              <w:t>9</w:t>
            </w:r>
          </w:p>
          <w:p w:rsidR="002123C2" w:rsidRDefault="002123C2">
            <w:pPr>
              <w:pStyle w:val="ReportTitle"/>
              <w:rPr>
                <w:rFonts w:ascii="Times New Roman" w:hAnsi="Times New Roman" w:cs="Times New Roman"/>
              </w:rPr>
            </w:pPr>
          </w:p>
          <w:p w:rsidR="002123C2" w:rsidRDefault="00A07E6A">
            <w:pPr>
              <w:pStyle w:val="ReportTitle"/>
            </w:pPr>
            <w:r>
              <w:rPr>
                <w:noProof/>
                <w:sz w:val="20"/>
              </w:rPr>
              <mc:AlternateContent>
                <mc:Choice Requires="wpg">
                  <w:drawing>
                    <wp:anchor distT="0" distB="0" distL="114300" distR="114300" simplePos="0" relativeHeight="251657728" behindDoc="0" locked="0" layoutInCell="1" allowOverlap="1">
                      <wp:simplePos x="0" y="0"/>
                      <wp:positionH relativeFrom="page">
                        <wp:posOffset>0</wp:posOffset>
                      </wp:positionH>
                      <wp:positionV relativeFrom="page">
                        <wp:posOffset>3841115</wp:posOffset>
                      </wp:positionV>
                      <wp:extent cx="7772400" cy="5533390"/>
                      <wp:effectExtent l="9525" t="2540" r="9525" b="7620"/>
                      <wp:wrapNone/>
                      <wp:docPr id="1" name="MMCPrism"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533390"/>
                                <a:chOff x="0" y="6049"/>
                                <a:chExt cx="12240" cy="8714"/>
                              </a:xfrm>
                            </wpg:grpSpPr>
                            <wps:wsp>
                              <wps:cNvPr id="2" name="shape1" hidden="1"/>
                              <wps:cNvSpPr>
                                <a:spLocks/>
                              </wps:cNvSpPr>
                              <wps:spPr bwMode="auto">
                                <a:xfrm>
                                  <a:off x="0" y="6049"/>
                                  <a:ext cx="1440" cy="8714"/>
                                </a:xfrm>
                                <a:custGeom>
                                  <a:avLst/>
                                  <a:gdLst>
                                    <a:gd name="T0" fmla="*/ 0 w 1440"/>
                                    <a:gd name="T1" fmla="*/ 0 h 8714"/>
                                    <a:gd name="T2" fmla="*/ 1440 w 1440"/>
                                    <a:gd name="T3" fmla="*/ 0 h 8714"/>
                                    <a:gd name="T4" fmla="*/ 794 w 1440"/>
                                    <a:gd name="T5" fmla="*/ 8714 h 8714"/>
                                    <a:gd name="T6" fmla="*/ 0 w 1440"/>
                                    <a:gd name="T7" fmla="*/ 8714 h 8714"/>
                                    <a:gd name="T8" fmla="*/ 0 w 1440"/>
                                    <a:gd name="T9" fmla="*/ 0 h 87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0" h="8714">
                                      <a:moveTo>
                                        <a:pt x="0" y="0"/>
                                      </a:moveTo>
                                      <a:lnTo>
                                        <a:pt x="1440" y="0"/>
                                      </a:lnTo>
                                      <a:lnTo>
                                        <a:pt x="794" y="8714"/>
                                      </a:lnTo>
                                      <a:lnTo>
                                        <a:pt x="0" y="8714"/>
                                      </a:lnTo>
                                      <a:lnTo>
                                        <a:pt x="0" y="0"/>
                                      </a:lnTo>
                                      <a:close/>
                                    </a:path>
                                  </a:pathLst>
                                </a:custGeom>
                                <a:solidFill>
                                  <a:srgbClr val="006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shape2" hidden="1"/>
                              <wps:cNvSpPr>
                                <a:spLocks/>
                              </wps:cNvSpPr>
                              <wps:spPr bwMode="auto">
                                <a:xfrm>
                                  <a:off x="794" y="6049"/>
                                  <a:ext cx="6463" cy="8714"/>
                                </a:xfrm>
                                <a:custGeom>
                                  <a:avLst/>
                                  <a:gdLst>
                                    <a:gd name="T0" fmla="*/ 646 w 6463"/>
                                    <a:gd name="T1" fmla="*/ 0 h 8714"/>
                                    <a:gd name="T2" fmla="*/ 0 w 6463"/>
                                    <a:gd name="T3" fmla="*/ 8714 h 8714"/>
                                    <a:gd name="T4" fmla="*/ 6463 w 6463"/>
                                    <a:gd name="T5" fmla="*/ 8714 h 8714"/>
                                    <a:gd name="T6" fmla="*/ 646 w 6463"/>
                                    <a:gd name="T7" fmla="*/ 0 h 87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63" h="8714">
                                      <a:moveTo>
                                        <a:pt x="646" y="0"/>
                                      </a:moveTo>
                                      <a:lnTo>
                                        <a:pt x="0" y="8714"/>
                                      </a:lnTo>
                                      <a:lnTo>
                                        <a:pt x="6463" y="8714"/>
                                      </a:lnTo>
                                      <a:lnTo>
                                        <a:pt x="646" y="0"/>
                                      </a:lnTo>
                                      <a:close/>
                                    </a:path>
                                  </a:pathLst>
                                </a:custGeom>
                                <a:solidFill>
                                  <a:srgbClr val="00A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shape3" hidden="1"/>
                              <wps:cNvSpPr>
                                <a:spLocks/>
                              </wps:cNvSpPr>
                              <wps:spPr bwMode="auto">
                                <a:xfrm>
                                  <a:off x="1440" y="6049"/>
                                  <a:ext cx="9048" cy="8714"/>
                                </a:xfrm>
                                <a:custGeom>
                                  <a:avLst/>
                                  <a:gdLst>
                                    <a:gd name="T0" fmla="*/ 0 w 9048"/>
                                    <a:gd name="T1" fmla="*/ 0 h 8714"/>
                                    <a:gd name="T2" fmla="*/ 5817 w 9048"/>
                                    <a:gd name="T3" fmla="*/ 8714 h 8714"/>
                                    <a:gd name="T4" fmla="*/ 9048 w 9048"/>
                                    <a:gd name="T5" fmla="*/ 8714 h 8714"/>
                                    <a:gd name="T6" fmla="*/ 0 w 9048"/>
                                    <a:gd name="T7" fmla="*/ 0 h 87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48" h="8714">
                                      <a:moveTo>
                                        <a:pt x="0" y="0"/>
                                      </a:moveTo>
                                      <a:lnTo>
                                        <a:pt x="5817" y="8714"/>
                                      </a:lnTo>
                                      <a:lnTo>
                                        <a:pt x="9048" y="8714"/>
                                      </a:lnTo>
                                      <a:lnTo>
                                        <a:pt x="0" y="0"/>
                                      </a:lnTo>
                                      <a:close/>
                                    </a:path>
                                  </a:pathLst>
                                </a:custGeom>
                                <a:solidFill>
                                  <a:srgbClr val="006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shape4" hidden="1"/>
                              <wps:cNvSpPr>
                                <a:spLocks/>
                              </wps:cNvSpPr>
                              <wps:spPr bwMode="auto">
                                <a:xfrm>
                                  <a:off x="1440" y="6049"/>
                                  <a:ext cx="10800" cy="8714"/>
                                </a:xfrm>
                                <a:custGeom>
                                  <a:avLst/>
                                  <a:gdLst>
                                    <a:gd name="T0" fmla="*/ 0 w 10800"/>
                                    <a:gd name="T1" fmla="*/ 0 h 8714"/>
                                    <a:gd name="T2" fmla="*/ 9048 w 10800"/>
                                    <a:gd name="T3" fmla="*/ 8714 h 8714"/>
                                    <a:gd name="T4" fmla="*/ 10800 w 10800"/>
                                    <a:gd name="T5" fmla="*/ 8714 h 8714"/>
                                    <a:gd name="T6" fmla="*/ 10800 w 10800"/>
                                    <a:gd name="T7" fmla="*/ 1440 h 8714"/>
                                    <a:gd name="T8" fmla="*/ 0 w 10800"/>
                                    <a:gd name="T9" fmla="*/ 0 h 87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0" h="8714">
                                      <a:moveTo>
                                        <a:pt x="0" y="0"/>
                                      </a:moveTo>
                                      <a:lnTo>
                                        <a:pt x="9048" y="8714"/>
                                      </a:lnTo>
                                      <a:lnTo>
                                        <a:pt x="10800" y="8714"/>
                                      </a:lnTo>
                                      <a:lnTo>
                                        <a:pt x="10800" y="1440"/>
                                      </a:lnTo>
                                      <a:lnTo>
                                        <a:pt x="0" y="0"/>
                                      </a:lnTo>
                                      <a:close/>
                                    </a:path>
                                  </a:pathLst>
                                </a:custGeom>
                                <a:solidFill>
                                  <a:srgbClr val="002C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5" hidden="1"/>
                              <wps:cNvSpPr>
                                <a:spLocks/>
                              </wps:cNvSpPr>
                              <wps:spPr bwMode="auto">
                                <a:xfrm>
                                  <a:off x="1440" y="6049"/>
                                  <a:ext cx="10800" cy="1440"/>
                                </a:xfrm>
                                <a:custGeom>
                                  <a:avLst/>
                                  <a:gdLst>
                                    <a:gd name="T0" fmla="*/ 0 w 10800"/>
                                    <a:gd name="T1" fmla="*/ 0 h 1440"/>
                                    <a:gd name="T2" fmla="*/ 10800 w 10800"/>
                                    <a:gd name="T3" fmla="*/ 1440 h 1440"/>
                                    <a:gd name="T4" fmla="*/ 10800 w 10800"/>
                                    <a:gd name="T5" fmla="*/ 720 h 1440"/>
                                    <a:gd name="T6" fmla="*/ 0 w 10800"/>
                                    <a:gd name="T7" fmla="*/ 0 h 14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800" h="1440">
                                      <a:moveTo>
                                        <a:pt x="0" y="0"/>
                                      </a:moveTo>
                                      <a:lnTo>
                                        <a:pt x="10800" y="1440"/>
                                      </a:lnTo>
                                      <a:lnTo>
                                        <a:pt x="10800" y="720"/>
                                      </a:lnTo>
                                      <a:lnTo>
                                        <a:pt x="0" y="0"/>
                                      </a:lnTo>
                                      <a:close/>
                                    </a:path>
                                  </a:pathLst>
                                </a:custGeom>
                                <a:solidFill>
                                  <a:srgbClr val="A6E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D399874" id="MMCPrism" o:spid="_x0000_s1026" style="position:absolute;margin-left:0;margin-top:302.45pt;width:612pt;height:435.7pt;z-index:251657728;visibility:hidden;mso-position-horizontal-relative:page;mso-position-vertical-relative:page" coordorigin=",6049" coordsize="12240,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">
                      <v:shape id="shape1" o:spid="_x0000_s1027" style="position:absolute;top:6049;width:1440;height:8714;visibility:hidden;mso-wrap-style:square;v-text-anchor:top" coordsize="1440,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" path="m,l1440,,794,8714,,8714,,xe" fillcolor="#006d9e" stroked="f">
                        <v:path arrowok="t" o:connecttype="custom" o:connectlocs="0,0;1440,0;794,8714;0,8714;0,0" o:connectangles="0,0,0,0,0"/>
                      </v:shape>
                      <v:shape id="shape2" o:spid="_x0000_s1028" style="position:absolute;left:794;top:6049;width:6463;height:8714;visibility:hidden;mso-wrap-style:square;v-text-anchor:top" coordsize="6463,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" path="m646,l,8714r6463,l646,xe" fillcolor="#00a8c8" stroked="f">
                        <v:path arrowok="t" o:connecttype="custom" o:connectlocs="646,0;0,8714;6463,8714;646,0" o:connectangles="0,0,0,0"/>
                      </v:shape>
                      <v:shape id="shape3" o:spid="_x0000_s1029" style="position:absolute;left:1440;top:6049;width:9048;height:8714;visibility:hidden;mso-wrap-style:square;v-text-anchor:top" coordsize="9048,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" path="m,l5817,8714r3231,l,xe" fillcolor="#006d9e" stroked="f">
                        <v:path arrowok="t" o:connecttype="custom" o:connectlocs="0,0;5817,8714;9048,8714;0,0" o:connectangles="0,0,0,0"/>
                      </v:shape>
                      <v:shape id="shape4" o:spid="_x0000_s1030" style="position:absolute;left:1440;top:6049;width:10800;height:8714;visibility:hidden;mso-wrap-style:square;v-text-anchor:top" coordsize="10800,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" path="m,l9048,8714r1752,l10800,1440,,xe" fillcolor="#002c77" stroked="f">
                        <v:path arrowok="t" o:connecttype="custom" o:connectlocs="0,0;9048,8714;10800,8714;10800,1440;0,0" o:connectangles="0,0,0,0,0"/>
                      </v:shape>
                      <v:shape id="shape5" o:spid="_x0000_s1031" style="position:absolute;left:1440;top:6049;width:10800;height:1440;visibility:hidden;mso-wrap-style:square;v-text-anchor:top" coordsize="108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" path="m,l10800,1440r,-720l,xe" fillcolor="#a6e2ef" stroked="f">
                        <v:path arrowok="t" o:connecttype="custom" o:connectlocs="0,0;10800,1440;10800,720;0,0" o:connectangles="0,0,0,0"/>
                      </v:shape>
                      <w10:wrap anchorx="page" anchory="page"/>
                    </v:group>
                  </w:pict>
                </mc:Fallback>
              </mc:AlternateContent>
            </w:r>
            <w:r w:rsidR="002123C2">
              <w:t>International Medical, Dental, Life Insurance and AD&amp;D Plan</w:t>
            </w:r>
          </w:p>
          <w:bookmarkEnd w:id="0"/>
          <w:p w:rsidR="002123C2" w:rsidRDefault="002123C2">
            <w:pPr>
              <w:pStyle w:val="ReportTitle"/>
            </w:pPr>
          </w:p>
          <w:p w:rsidR="002123C2" w:rsidRDefault="002123C2">
            <w:pPr>
              <w:pStyle w:val="ClientName"/>
            </w:pPr>
            <w:bookmarkStart w:id="1" w:name="ClientName"/>
            <w:r>
              <w:t xml:space="preserve">Brazilian Ministry of </w:t>
            </w:r>
            <w:r w:rsidR="00B44B92">
              <w:t>Foreign Affairs</w:t>
            </w:r>
          </w:p>
          <w:p w:rsidR="002123C2" w:rsidRDefault="002123C2">
            <w:pPr>
              <w:pStyle w:val="ClientName"/>
            </w:pPr>
            <w:r>
              <w:t>Financial Office in New York</w:t>
            </w:r>
          </w:p>
          <w:p w:rsidR="002123C2" w:rsidRDefault="002123C2">
            <w:pPr>
              <w:pStyle w:val="ClientName"/>
            </w:pPr>
            <w:bookmarkStart w:id="2" w:name="AbbreviatedClientName"/>
            <w:bookmarkEnd w:id="1"/>
          </w:p>
          <w:p w:rsidR="002123C2" w:rsidRDefault="002123C2">
            <w:pPr>
              <w:pStyle w:val="ClientName"/>
            </w:pPr>
            <w:r>
              <w:t>Special Bidding Committee</w:t>
            </w:r>
            <w:bookmarkEnd w:id="2"/>
          </w:p>
          <w:p w:rsidR="002123C2" w:rsidRDefault="002123C2">
            <w:pPr>
              <w:pStyle w:val="ClientName"/>
            </w:pPr>
          </w:p>
          <w:p w:rsidR="002123C2" w:rsidRDefault="002123C2">
            <w:pPr>
              <w:pStyle w:val="ClientName"/>
            </w:pPr>
          </w:p>
          <w:p w:rsidR="002123C2" w:rsidRDefault="00AC120B">
            <w:pPr>
              <w:pStyle w:val="LetterDate"/>
              <w:rPr>
                <w:rFonts w:ascii="Times New Roman" w:hAnsi="Times New Roman" w:cs="Times New Roman"/>
              </w:rPr>
            </w:pPr>
            <w:r>
              <w:t>february 14</w:t>
            </w:r>
            <w:r w:rsidRPr="002D5A27">
              <w:rPr>
                <w:vertAlign w:val="superscript"/>
              </w:rPr>
              <w:t>th</w:t>
            </w:r>
            <w:r>
              <w:t xml:space="preserve"> </w:t>
            </w:r>
            <w:r w:rsidR="00F16180">
              <w:t xml:space="preserve">, </w:t>
            </w:r>
            <w:r w:rsidR="00926393">
              <w:t>2020</w:t>
            </w:r>
          </w:p>
          <w:p w:rsidR="002123C2" w:rsidRDefault="002123C2">
            <w:pPr>
              <w:rPr>
                <w:rFonts w:ascii="Times New Roman" w:hAnsi="Times New Roman" w:cs="Times New Roman"/>
              </w:rPr>
            </w:pPr>
            <w:bookmarkStart w:id="3" w:name="FrontSubCompany"/>
            <w:bookmarkEnd w:id="3"/>
          </w:p>
        </w:tc>
      </w:tr>
    </w:tbl>
    <w:p w:rsidR="002123C2" w:rsidRDefault="002123C2">
      <w:pPr>
        <w:rPr>
          <w:rFonts w:ascii="Times New Roman" w:hAnsi="Times New Roman" w:cs="Times New Roman"/>
          <w:vanish/>
          <w:sz w:val="16"/>
          <w:szCs w:val="16"/>
        </w:rPr>
      </w:pPr>
      <w:bookmarkStart w:id="4" w:name="Prism"/>
      <w:bookmarkEnd w:id="4"/>
    </w:p>
    <w:p w:rsidR="002123C2" w:rsidRDefault="002123C2">
      <w:pPr>
        <w:rPr>
          <w:rFonts w:ascii="Times New Roman" w:hAnsi="Times New Roman" w:cs="Times New Roman"/>
        </w:rPr>
      </w:pPr>
    </w:p>
    <w:p w:rsidR="002123C2" w:rsidRDefault="002123C2">
      <w:pPr>
        <w:rPr>
          <w:rFonts w:ascii="Times New Roman" w:hAnsi="Times New Roman" w:cs="Times New Roman"/>
        </w:rPr>
      </w:pPr>
    </w:p>
    <w:p w:rsidR="002123C2" w:rsidRDefault="002123C2">
      <w:pPr>
        <w:rPr>
          <w:rFonts w:ascii="Times New Roman" w:hAnsi="Times New Roman" w:cs="Times New Roman"/>
        </w:rPr>
        <w:sectPr w:rsidR="002123C2">
          <w:headerReference w:type="first" r:id="rId8"/>
          <w:footerReference w:type="first" r:id="rId9"/>
          <w:pgSz w:w="12240" w:h="15840" w:code="9"/>
          <w:pgMar w:top="2892" w:right="1605" w:bottom="1886" w:left="1440" w:header="987" w:footer="131" w:gutter="0"/>
          <w:cols w:space="720"/>
          <w:titlePg/>
          <w:docGrid w:linePitch="299"/>
        </w:sectPr>
      </w:pPr>
    </w:p>
    <w:p w:rsidR="002123C2" w:rsidRDefault="002123C2">
      <w:pPr>
        <w:pStyle w:val="TOCHeading"/>
      </w:pPr>
      <w:r>
        <w:lastRenderedPageBreak/>
        <w:t xml:space="preserve">Contents </w:t>
      </w:r>
      <w:bookmarkStart w:id="5" w:name="TOC_Here"/>
      <w:bookmarkEnd w:id="5"/>
    </w:p>
    <w:p w:rsidR="002123C2" w:rsidRDefault="002123C2">
      <w:pPr>
        <w:pStyle w:val="TOC1"/>
        <w:rPr>
          <w:rFonts w:ascii="Calibri" w:hAnsi="Calibri" w:cs="Calibri"/>
        </w:rPr>
      </w:pPr>
      <w:r>
        <w:fldChar w:fldCharType="begin"/>
      </w:r>
      <w:r>
        <w:instrText xml:space="preserve"> TOC \o "1-2" \t "Appendix Heading 1,9" \* MERGEFORMAT </w:instrText>
      </w:r>
      <w:r>
        <w:fldChar w:fldCharType="separate"/>
      </w:r>
      <w:r>
        <w:t>Introduction</w:t>
      </w:r>
      <w:r>
        <w:tab/>
      </w:r>
      <w:r>
        <w:fldChar w:fldCharType="begin"/>
      </w:r>
      <w:r>
        <w:instrText xml:space="preserve"> PAGEREF _Toc374623906 \h </w:instrText>
      </w:r>
      <w:r>
        <w:fldChar w:fldCharType="separate"/>
      </w:r>
      <w:r w:rsidR="00AB726E">
        <w:t>1</w:t>
      </w:r>
      <w:r>
        <w:fldChar w:fldCharType="end"/>
      </w:r>
    </w:p>
    <w:p w:rsidR="002123C2" w:rsidRDefault="002123C2">
      <w:pPr>
        <w:pStyle w:val="TOC2"/>
        <w:rPr>
          <w:rFonts w:ascii="Calibri" w:hAnsi="Calibri" w:cs="Calibri"/>
        </w:rPr>
      </w:pPr>
      <w:r>
        <w:t>Background Information</w:t>
      </w:r>
      <w:r>
        <w:tab/>
      </w:r>
      <w:r>
        <w:fldChar w:fldCharType="begin"/>
      </w:r>
      <w:r>
        <w:instrText xml:space="preserve"> PAGEREF _Toc374623907 \h </w:instrText>
      </w:r>
      <w:r>
        <w:fldChar w:fldCharType="separate"/>
      </w:r>
      <w:r w:rsidR="00AB726E">
        <w:t>1</w:t>
      </w:r>
      <w:r>
        <w:fldChar w:fldCharType="end"/>
      </w:r>
    </w:p>
    <w:p w:rsidR="002123C2" w:rsidRDefault="002123C2">
      <w:pPr>
        <w:pStyle w:val="TOC1"/>
        <w:rPr>
          <w:rFonts w:ascii="Calibri" w:hAnsi="Calibri" w:cs="Calibri"/>
        </w:rPr>
      </w:pPr>
      <w:r>
        <w:t>Project Scope</w:t>
      </w:r>
      <w:r>
        <w:tab/>
      </w:r>
      <w:r>
        <w:fldChar w:fldCharType="begin"/>
      </w:r>
      <w:r>
        <w:instrText xml:space="preserve"> PAGEREF _Toc374623908 \h </w:instrText>
      </w:r>
      <w:r>
        <w:fldChar w:fldCharType="separate"/>
      </w:r>
      <w:r w:rsidR="00AB726E">
        <w:t>3</w:t>
      </w:r>
      <w:r>
        <w:fldChar w:fldCharType="end"/>
      </w:r>
    </w:p>
    <w:p w:rsidR="002123C2" w:rsidRPr="002D5A27" w:rsidRDefault="002123C2">
      <w:pPr>
        <w:pStyle w:val="TOC2"/>
        <w:rPr>
          <w:rFonts w:ascii="Calibri" w:hAnsi="Calibri" w:cs="Calibri"/>
          <w:lang w:val="fr-FR"/>
        </w:rPr>
      </w:pPr>
      <w:r>
        <w:rPr>
          <w:lang w:val="fr-FR"/>
        </w:rPr>
        <w:t>Qualifications Evaluation Phase (RFP Non-Financial Responses)</w:t>
      </w:r>
      <w:r w:rsidRPr="002D5A27">
        <w:rPr>
          <w:rFonts w:ascii="Times New Roman" w:hAnsi="Times New Roman" w:cs="Times New Roman"/>
          <w:lang w:val="fr-FR"/>
        </w:rPr>
        <w:tab/>
      </w:r>
      <w:r>
        <w:fldChar w:fldCharType="begin"/>
      </w:r>
      <w:r w:rsidRPr="002D5A27">
        <w:rPr>
          <w:lang w:val="fr-FR"/>
        </w:rPr>
        <w:instrText xml:space="preserve"> PAGEREF _Toc374623909 \h </w:instrText>
      </w:r>
      <w:r>
        <w:fldChar w:fldCharType="separate"/>
      </w:r>
      <w:r w:rsidR="00AB726E" w:rsidRPr="002D5A27">
        <w:rPr>
          <w:lang w:val="fr-FR"/>
        </w:rPr>
        <w:t>4</w:t>
      </w:r>
      <w:r>
        <w:fldChar w:fldCharType="end"/>
      </w:r>
    </w:p>
    <w:p w:rsidR="002123C2" w:rsidRDefault="002123C2">
      <w:pPr>
        <w:pStyle w:val="TOC2"/>
        <w:rPr>
          <w:rFonts w:ascii="Calibri" w:hAnsi="Calibri" w:cs="Calibri"/>
        </w:rPr>
      </w:pPr>
      <w:r>
        <w:t>Financial Evaluation Phase (RFP Financial Proposal)</w:t>
      </w:r>
      <w:r>
        <w:tab/>
      </w:r>
      <w:r>
        <w:fldChar w:fldCharType="begin"/>
      </w:r>
      <w:r>
        <w:instrText xml:space="preserve"> PAGEREF _Toc374623910 \h </w:instrText>
      </w:r>
      <w:r>
        <w:fldChar w:fldCharType="separate"/>
      </w:r>
      <w:r w:rsidR="00AB726E">
        <w:t>4</w:t>
      </w:r>
      <w:r>
        <w:fldChar w:fldCharType="end"/>
      </w:r>
    </w:p>
    <w:p w:rsidR="002123C2" w:rsidRDefault="002123C2">
      <w:pPr>
        <w:pStyle w:val="TOC2"/>
        <w:rPr>
          <w:rFonts w:ascii="Calibri" w:hAnsi="Calibri" w:cs="Calibri"/>
        </w:rPr>
      </w:pPr>
      <w:r>
        <w:t>Proposal Instructions</w:t>
      </w:r>
      <w:r>
        <w:tab/>
      </w:r>
      <w:r w:rsidR="00E86494">
        <w:t>5</w:t>
      </w:r>
    </w:p>
    <w:p w:rsidR="002123C2" w:rsidRDefault="002123C2">
      <w:pPr>
        <w:pStyle w:val="TOC2"/>
        <w:rPr>
          <w:rFonts w:ascii="Calibri" w:hAnsi="Calibri" w:cs="Calibri"/>
        </w:rPr>
      </w:pPr>
      <w:r>
        <w:t>Timeline</w:t>
      </w:r>
      <w:r>
        <w:tab/>
      </w:r>
      <w:r w:rsidR="00E86494">
        <w:t>7</w:t>
      </w:r>
    </w:p>
    <w:p w:rsidR="002123C2" w:rsidRDefault="002123C2">
      <w:pPr>
        <w:pStyle w:val="TOC2"/>
        <w:rPr>
          <w:rFonts w:ascii="Calibri" w:hAnsi="Calibri" w:cs="Calibri"/>
        </w:rPr>
      </w:pPr>
      <w:r>
        <w:t>Additional Information</w:t>
      </w:r>
      <w:r>
        <w:tab/>
      </w:r>
      <w:r>
        <w:fldChar w:fldCharType="begin"/>
      </w:r>
      <w:r>
        <w:instrText xml:space="preserve"> PAGEREF _Toc374623913 \h </w:instrText>
      </w:r>
      <w:r>
        <w:fldChar w:fldCharType="separate"/>
      </w:r>
      <w:r w:rsidR="00AB726E">
        <w:t>8</w:t>
      </w:r>
      <w:r>
        <w:fldChar w:fldCharType="end"/>
      </w:r>
    </w:p>
    <w:p w:rsidR="002123C2" w:rsidRDefault="002123C2">
      <w:pPr>
        <w:pStyle w:val="TOC1"/>
        <w:rPr>
          <w:rFonts w:ascii="Calibri" w:hAnsi="Calibri" w:cs="Calibri"/>
        </w:rPr>
      </w:pPr>
      <w:r>
        <w:t>Mandatory Requirements</w:t>
      </w:r>
      <w:r>
        <w:tab/>
      </w:r>
      <w:r>
        <w:fldChar w:fldCharType="begin"/>
      </w:r>
      <w:r>
        <w:instrText xml:space="preserve"> PAGEREF _Toc374623914 \h </w:instrText>
      </w:r>
      <w:r>
        <w:fldChar w:fldCharType="separate"/>
      </w:r>
      <w:r w:rsidR="00AB726E">
        <w:t>10</w:t>
      </w:r>
      <w:r>
        <w:fldChar w:fldCharType="end"/>
      </w:r>
    </w:p>
    <w:p w:rsidR="002123C2" w:rsidRDefault="002123C2">
      <w:pPr>
        <w:pStyle w:val="TOC1"/>
        <w:rPr>
          <w:rFonts w:ascii="Calibri" w:hAnsi="Calibri" w:cs="Calibri"/>
        </w:rPr>
      </w:pPr>
      <w:r>
        <w:t>Plan Design and Financing</w:t>
      </w:r>
      <w:r>
        <w:tab/>
      </w:r>
      <w:r>
        <w:fldChar w:fldCharType="begin"/>
      </w:r>
      <w:r>
        <w:instrText xml:space="preserve"> PAGEREF _Toc374623915 \h </w:instrText>
      </w:r>
      <w:r>
        <w:fldChar w:fldCharType="separate"/>
      </w:r>
      <w:r w:rsidR="00AB726E">
        <w:t>11</w:t>
      </w:r>
      <w:r>
        <w:fldChar w:fldCharType="end"/>
      </w:r>
    </w:p>
    <w:p w:rsidR="002123C2" w:rsidRDefault="002123C2">
      <w:pPr>
        <w:pStyle w:val="TOC2"/>
        <w:rPr>
          <w:rFonts w:ascii="Calibri" w:hAnsi="Calibri" w:cs="Calibri"/>
        </w:rPr>
      </w:pPr>
      <w:r>
        <w:t>Plan Financing Model</w:t>
      </w:r>
      <w:r>
        <w:tab/>
      </w:r>
      <w:r w:rsidR="00E86494">
        <w:t>12</w:t>
      </w:r>
    </w:p>
    <w:p w:rsidR="002123C2" w:rsidRDefault="002123C2">
      <w:pPr>
        <w:pStyle w:val="TOC1"/>
        <w:rPr>
          <w:rFonts w:ascii="Calibri" w:hAnsi="Calibri" w:cs="Calibri"/>
        </w:rPr>
      </w:pPr>
      <w:r>
        <w:t>RFP Non-Financial Questionnaire</w:t>
      </w:r>
      <w:r>
        <w:tab/>
      </w:r>
      <w:r w:rsidR="00E86494">
        <w:t>13</w:t>
      </w:r>
    </w:p>
    <w:p w:rsidR="002123C2" w:rsidRDefault="002123C2">
      <w:pPr>
        <w:pStyle w:val="TOC1"/>
        <w:rPr>
          <w:rFonts w:ascii="Calibri" w:hAnsi="Calibri" w:cs="Calibri"/>
        </w:rPr>
      </w:pPr>
      <w:r>
        <w:t>Contract Framework</w:t>
      </w:r>
      <w:r>
        <w:tab/>
      </w:r>
      <w:r>
        <w:fldChar w:fldCharType="begin"/>
      </w:r>
      <w:r>
        <w:instrText xml:space="preserve"> PAGEREF _Toc374623918 \h </w:instrText>
      </w:r>
      <w:r>
        <w:fldChar w:fldCharType="separate"/>
      </w:r>
      <w:r w:rsidR="00AB726E">
        <w:t>14</w:t>
      </w:r>
      <w:r>
        <w:fldChar w:fldCharType="end"/>
      </w:r>
    </w:p>
    <w:p w:rsidR="002123C2" w:rsidRDefault="002123C2">
      <w:pPr>
        <w:pStyle w:val="TOC1"/>
        <w:rPr>
          <w:rFonts w:ascii="Calibri" w:hAnsi="Calibri" w:cs="Calibri"/>
        </w:rPr>
      </w:pPr>
      <w:r>
        <w:t>Certificate and Affidavit</w:t>
      </w:r>
      <w:r>
        <w:tab/>
      </w:r>
      <w:r>
        <w:fldChar w:fldCharType="begin"/>
      </w:r>
      <w:r>
        <w:instrText xml:space="preserve"> PAGEREF _Toc374623919 \h </w:instrText>
      </w:r>
      <w:r>
        <w:fldChar w:fldCharType="separate"/>
      </w:r>
      <w:r w:rsidR="00AB726E">
        <w:t>15</w:t>
      </w:r>
      <w:r>
        <w:fldChar w:fldCharType="end"/>
      </w:r>
    </w:p>
    <w:p w:rsidR="002123C2" w:rsidRDefault="002123C2">
      <w:pPr>
        <w:pStyle w:val="TOC1"/>
        <w:rPr>
          <w:rFonts w:ascii="Calibri" w:hAnsi="Calibri" w:cs="Calibri"/>
        </w:rPr>
      </w:pPr>
      <w:r>
        <w:t>RFP Financial Proposal</w:t>
      </w:r>
      <w:r>
        <w:tab/>
      </w:r>
      <w:r>
        <w:fldChar w:fldCharType="begin"/>
      </w:r>
      <w:r>
        <w:instrText xml:space="preserve"> PAGEREF _Toc374623920 \h </w:instrText>
      </w:r>
      <w:r>
        <w:fldChar w:fldCharType="separate"/>
      </w:r>
      <w:r w:rsidR="00AB726E">
        <w:t>16</w:t>
      </w:r>
      <w:r>
        <w:fldChar w:fldCharType="end"/>
      </w:r>
    </w:p>
    <w:p w:rsidR="002123C2" w:rsidRDefault="009F17D0" w:rsidP="009F17D0">
      <w:pPr>
        <w:pStyle w:val="TOC9"/>
        <w:numPr>
          <w:ilvl w:val="0"/>
          <w:numId w:val="0"/>
        </w:numPr>
        <w:ind w:left="360"/>
        <w:rPr>
          <w:rFonts w:ascii="Calibri" w:hAnsi="Calibri" w:cs="Calibri"/>
        </w:rPr>
      </w:pPr>
      <w:r>
        <w:t xml:space="preserve">Appendix  </w:t>
      </w:r>
      <w:r w:rsidR="002123C2">
        <w:rPr>
          <w:rFonts w:ascii="Times New Roman" w:hAnsi="Times New Roman" w:cs="Times New Roman"/>
        </w:rPr>
        <w:tab/>
      </w:r>
      <w:r w:rsidR="00E86494">
        <w:t>17</w:t>
      </w:r>
    </w:p>
    <w:p w:rsidR="002123C2" w:rsidRDefault="002123C2">
      <w:pPr>
        <w:rPr>
          <w:rFonts w:ascii="Times New Roman" w:hAnsi="Times New Roman" w:cs="Times New Roman"/>
        </w:rPr>
      </w:pPr>
      <w:r>
        <w:fldChar w:fldCharType="end"/>
      </w:r>
    </w:p>
    <w:p w:rsidR="002123C2" w:rsidRDefault="002123C2">
      <w:pPr>
        <w:rPr>
          <w:rFonts w:ascii="Times New Roman" w:hAnsi="Times New Roman" w:cs="Times New Roman"/>
        </w:rPr>
      </w:pPr>
    </w:p>
    <w:p w:rsidR="002123C2" w:rsidRDefault="002123C2">
      <w:pPr>
        <w:rPr>
          <w:rFonts w:ascii="Times New Roman" w:hAnsi="Times New Roman" w:cs="Times New Roman"/>
        </w:rPr>
        <w:sectPr w:rsidR="002123C2">
          <w:headerReference w:type="default" r:id="rId10"/>
          <w:footerReference w:type="default" r:id="rId11"/>
          <w:pgSz w:w="12240" w:h="15840" w:code="9"/>
          <w:pgMar w:top="2880" w:right="1442" w:bottom="1801" w:left="1440" w:header="544" w:footer="187" w:gutter="0"/>
          <w:pgNumType w:fmt="lowerRoman" w:start="1"/>
          <w:cols w:space="720"/>
          <w:docGrid w:linePitch="299"/>
        </w:sectPr>
      </w:pPr>
    </w:p>
    <w:p w:rsidR="002123C2" w:rsidRDefault="002123C2">
      <w:pPr>
        <w:pStyle w:val="SectionStart"/>
        <w:rPr>
          <w:rFonts w:ascii="Times New Roman" w:hAnsi="Times New Roman" w:cs="Times New Roman"/>
        </w:rPr>
      </w:pPr>
    </w:p>
    <w:p w:rsidR="002123C2" w:rsidRDefault="002123C2">
      <w:pPr>
        <w:pStyle w:val="Heading1"/>
      </w:pPr>
      <w:bookmarkStart w:id="9" w:name="_Toc373934242"/>
      <w:bookmarkStart w:id="10" w:name="_Toc374623906"/>
      <w:r>
        <w:t>Introduction</w:t>
      </w:r>
      <w:bookmarkEnd w:id="9"/>
      <w:bookmarkEnd w:id="10"/>
    </w:p>
    <w:p w:rsidR="002123C2" w:rsidRDefault="002123C2">
      <w:pPr>
        <w:pStyle w:val="BodyText"/>
      </w:pPr>
      <w:bookmarkStart w:id="11" w:name="Start"/>
      <w:bookmarkEnd w:id="11"/>
      <w:r>
        <w:t xml:space="preserve">The Federative Republic of Brazil through the Brazilian Financial Office in New York of the Brazilian Ministry of </w:t>
      </w:r>
      <w:r w:rsidR="00B44B92">
        <w:t>Foreign Affairs</w:t>
      </w:r>
      <w:r w:rsidR="00E03AB0">
        <w:t xml:space="preserve"> </w:t>
      </w:r>
      <w:r>
        <w:t xml:space="preserve">(hereinafter referred to as “Brazilian Financial Office” or “BFO”) invites prospective vendors (“Vendors”) to respond to this RFP in order to evaluate and select a Vendor to provide insurance and administer the insurance plans for the Brazilian Financial Office offered by the Brazilian Foreign Service to its members, pensioners, retirees, and dependents, as described below. The participants in the Brazilian Foreign Service’s medical, which </w:t>
      </w:r>
      <w:proofErr w:type="gramStart"/>
      <w:r w:rsidR="001034A3">
        <w:t>include</w:t>
      </w:r>
      <w:r w:rsidR="00FC1393">
        <w:t>s</w:t>
      </w:r>
      <w:proofErr w:type="gramEnd"/>
      <w:r>
        <w:t xml:space="preserve"> prescription drugs and vision, dental, life insurance and accidental death &amp; dismemberment (“AD&amp;D”) programs reside throughout the world.</w:t>
      </w:r>
    </w:p>
    <w:p w:rsidR="002123C2" w:rsidRDefault="002123C2">
      <w:pPr>
        <w:jc w:val="both"/>
        <w:rPr>
          <w:rFonts w:ascii="Times New Roman" w:hAnsi="Times New Roman" w:cs="Times New Roman"/>
        </w:rPr>
      </w:pPr>
    </w:p>
    <w:p w:rsidR="002123C2" w:rsidRDefault="002123C2">
      <w:pPr>
        <w:jc w:val="both"/>
      </w:pPr>
      <w:r>
        <w:t xml:space="preserve">The Brazilian Financial Office wishes to engage the services of a company to provide insurance in connection with its medical, dental, life insurance and AD&amp;D programs established for the benefit of the employees and their dependents. The international Vendor will be expected to be able to comply with all requirements established as per the project scope. All four insurance programs are expected to be effective April 1, </w:t>
      </w:r>
      <w:r w:rsidR="00ED68F6">
        <w:t>2021</w:t>
      </w:r>
      <w:r>
        <w:t xml:space="preserve">. </w:t>
      </w:r>
    </w:p>
    <w:p w:rsidR="002123C2" w:rsidRDefault="002123C2">
      <w:pPr>
        <w:jc w:val="both"/>
      </w:pPr>
    </w:p>
    <w:p w:rsidR="002123C2" w:rsidRDefault="002123C2">
      <w:pPr>
        <w:jc w:val="both"/>
      </w:pPr>
      <w:r>
        <w:t>This RFP will be used to evaluate and select one Vendor to provide insurance and administer the medical, dental, life insurance and AD&amp;D programs (hereinafter each referred to as a “plan” or collectively as “plans”) for the Brazilian Financial Office. Within this RFP the Brazilian Financial Office is requesting insurance for the medical benefits program, the dental benefits program, the life insurance program and the AD&amp;D program. A Vendor must be able to insure all four plans. Any successful Vendor must agree to collaborate and cooperate with any other Vendor(s), such as consulting and auditing firms, providing services in connection with the Brazilian Financial Office.</w:t>
      </w:r>
    </w:p>
    <w:p w:rsidR="000A5590" w:rsidRDefault="000A5590">
      <w:pPr>
        <w:jc w:val="both"/>
      </w:pPr>
    </w:p>
    <w:p w:rsidR="000A5590" w:rsidRDefault="000A5590">
      <w:pPr>
        <w:jc w:val="both"/>
      </w:pPr>
      <w:r>
        <w:t>This document is incorporated into and made a part of the Terms of the Reference.  If there is a conflict between this document and the terms of reference with respect to matters expressly addressed herein, this document will control</w:t>
      </w:r>
    </w:p>
    <w:p w:rsidR="002123C2" w:rsidRDefault="002123C2">
      <w:pPr>
        <w:rPr>
          <w:rFonts w:ascii="Times New Roman" w:hAnsi="Times New Roman" w:cs="Times New Roman"/>
        </w:rPr>
      </w:pPr>
    </w:p>
    <w:p w:rsidR="002123C2" w:rsidRDefault="002123C2" w:rsidP="002123C2">
      <w:pPr>
        <w:pStyle w:val="Heading2"/>
        <w:numPr>
          <w:ilvl w:val="1"/>
          <w:numId w:val="14"/>
        </w:numPr>
        <w:spacing w:before="60" w:after="60" w:line="240" w:lineRule="auto"/>
      </w:pPr>
      <w:bookmarkStart w:id="12" w:name="_Toc229896326"/>
      <w:bookmarkStart w:id="13" w:name="_Toc240195196"/>
      <w:bookmarkStart w:id="14" w:name="_Toc243968440"/>
      <w:bookmarkStart w:id="15" w:name="_Toc374623907"/>
      <w:r>
        <w:t>Background Information</w:t>
      </w:r>
      <w:bookmarkEnd w:id="12"/>
      <w:bookmarkEnd w:id="13"/>
      <w:bookmarkEnd w:id="14"/>
      <w:bookmarkEnd w:id="15"/>
    </w:p>
    <w:p w:rsidR="002123C2" w:rsidRDefault="002123C2">
      <w:pPr>
        <w:rPr>
          <w:rFonts w:ascii="Times New Roman" w:hAnsi="Times New Roman" w:cs="Times New Roman"/>
        </w:rPr>
      </w:pPr>
    </w:p>
    <w:p w:rsidR="002123C2" w:rsidRDefault="002123C2">
      <w:pPr>
        <w:pStyle w:val="BodyText"/>
      </w:pPr>
      <w:r>
        <w:t xml:space="preserve">The Brazilian Ministry of </w:t>
      </w:r>
      <w:r w:rsidR="00B44B92">
        <w:t>Foreign Affairs</w:t>
      </w:r>
      <w:r w:rsidR="00397B89">
        <w:t xml:space="preserve"> </w:t>
      </w:r>
      <w:r>
        <w:t>is responsible for assisting the President of the Federative Republic of Brazil in the formulation of Brazilian foreign policy, ensuring its execution and maintaining relationships with foreign governments (the bilateral and regional dimension of diplomacy) and with international organizations (multilateral dimension). It is structured in departments, which in turn are split into divisions, with co-ordination, advisory and support bodies.</w:t>
      </w:r>
    </w:p>
    <w:p w:rsidR="002123C2" w:rsidRDefault="002123C2">
      <w:pPr>
        <w:rPr>
          <w:rFonts w:ascii="Times New Roman" w:hAnsi="Times New Roman" w:cs="Times New Roman"/>
        </w:rPr>
      </w:pPr>
    </w:p>
    <w:p w:rsidR="002123C2" w:rsidRDefault="002123C2">
      <w:pPr>
        <w:pStyle w:val="BodyText"/>
      </w:pPr>
      <w:r>
        <w:t xml:space="preserve">The Brazilian Ministry of </w:t>
      </w:r>
      <w:r w:rsidR="00B44B92">
        <w:t>Foreign Affairs</w:t>
      </w:r>
      <w:r>
        <w:t xml:space="preserve"> is comprised of the Secretariat of </w:t>
      </w:r>
      <w:r w:rsidR="00B44B92">
        <w:t>Foreign Affairs</w:t>
      </w:r>
      <w:r>
        <w:t xml:space="preserve">, operating within Brazil, and the Overseas Departments, which consist of the Multilateral and Bilateral Diplomatic Missions and the Career Consular Departments. The Brazilian Ministry of </w:t>
      </w:r>
      <w:r w:rsidR="00B44B92">
        <w:t>Foreign Affairs</w:t>
      </w:r>
      <w:r>
        <w:t xml:space="preserve"> departments in Brazil are centered in Brasilia, where they have their headquarters, and also, </w:t>
      </w:r>
      <w:r w:rsidRPr="001034A3">
        <w:rPr>
          <w:i/>
        </w:rPr>
        <w:t>inter alia</w:t>
      </w:r>
      <w:r>
        <w:t xml:space="preserve">, in the cities of Porto Alegre, Recife, Rio de Janeiro, São Paulo, Manaus, Florianopolis, Curitiba, Belo Horizonte and </w:t>
      </w:r>
      <w:r w:rsidRPr="001034A3">
        <w:t>Salvador</w:t>
      </w:r>
      <w:r>
        <w:rPr>
          <w:rFonts w:hint="eastAsia"/>
        </w:rPr>
        <w:t>.</w:t>
      </w:r>
    </w:p>
    <w:p w:rsidR="002123C2" w:rsidRDefault="002123C2">
      <w:pPr>
        <w:rPr>
          <w:rFonts w:ascii="Times New Roman" w:hAnsi="Times New Roman" w:cs="Times New Roman"/>
        </w:rPr>
      </w:pPr>
    </w:p>
    <w:p w:rsidR="002123C2" w:rsidRDefault="002123C2">
      <w:pPr>
        <w:pStyle w:val="BodyText"/>
      </w:pPr>
      <w:r>
        <w:t xml:space="preserve">The Brazilian Ministry of </w:t>
      </w:r>
      <w:r w:rsidR="00B44B92">
        <w:t>Foreign Affairs</w:t>
      </w:r>
      <w:r>
        <w:t xml:space="preserve"> carries out its activities abroad through Embassies, Missions attached to international organizations, Consulates, Vice-Consulates and Special Offices, as well as by means of services such as trade promotion, consular duties and the spreading and communicating of Brazilian language and culture. </w:t>
      </w:r>
    </w:p>
    <w:p w:rsidR="002123C2" w:rsidRDefault="002123C2">
      <w:pPr>
        <w:jc w:val="both"/>
        <w:rPr>
          <w:rFonts w:ascii="Times New Roman" w:hAnsi="Times New Roman" w:cs="Times New Roman"/>
        </w:rPr>
      </w:pPr>
    </w:p>
    <w:p w:rsidR="002123C2" w:rsidRDefault="002123C2">
      <w:pPr>
        <w:jc w:val="both"/>
      </w:pPr>
      <w:r>
        <w:t xml:space="preserve">The Brazilian Ministry of </w:t>
      </w:r>
      <w:r w:rsidR="00B44B92">
        <w:t>Foreign Affairs</w:t>
      </w:r>
      <w:r>
        <w:t xml:space="preserve"> is not subject to the laws and taxing authorities of the countries in which its representatives work. This means that the Brazilian Financial Office is not subject to U.S. laws such as ERISA, COBRA, or HIPPA.</w:t>
      </w:r>
    </w:p>
    <w:p w:rsidR="002123C2" w:rsidRDefault="002123C2">
      <w:pPr>
        <w:rPr>
          <w:rFonts w:ascii="Times New Roman" w:hAnsi="Times New Roman" w:cs="Times New Roman"/>
        </w:rPr>
      </w:pPr>
    </w:p>
    <w:p w:rsidR="002123C2" w:rsidRDefault="002123C2">
      <w:r>
        <w:t xml:space="preserve">The staff of the Brazilian Ministry of </w:t>
      </w:r>
      <w:r w:rsidR="00B44B92">
        <w:t>Foreign Affairs</w:t>
      </w:r>
      <w:r>
        <w:t xml:space="preserve"> is integrated by:</w:t>
      </w:r>
    </w:p>
    <w:p w:rsidR="002123C2" w:rsidRDefault="002123C2">
      <w:r>
        <w:t xml:space="preserve">1) </w:t>
      </w:r>
      <w:proofErr w:type="gramStart"/>
      <w:r>
        <w:t>the</w:t>
      </w:r>
      <w:proofErr w:type="gramEnd"/>
      <w:r>
        <w:t xml:space="preserve"> Brazilian Foreign Service, which is composed of: </w:t>
      </w:r>
    </w:p>
    <w:p w:rsidR="002123C2" w:rsidRDefault="002123C2">
      <w:pPr>
        <w:ind w:left="360"/>
      </w:pPr>
      <w:r>
        <w:t>(</w:t>
      </w:r>
      <w:proofErr w:type="spellStart"/>
      <w:r>
        <w:t>i</w:t>
      </w:r>
      <w:proofErr w:type="spellEnd"/>
      <w:r>
        <w:t xml:space="preserve">) the Diplomatic Service, which includes First Class Ministers (Ambassadors), Second Class Ministers, Counselors, First Secretaries, Second Secretaries and Third Secretaries, </w:t>
      </w:r>
    </w:p>
    <w:p w:rsidR="002123C2" w:rsidRDefault="002123C2">
      <w:pPr>
        <w:ind w:left="360"/>
      </w:pPr>
      <w:r>
        <w:t xml:space="preserve">(ii) </w:t>
      </w:r>
      <w:proofErr w:type="gramStart"/>
      <w:r>
        <w:t>the</w:t>
      </w:r>
      <w:proofErr w:type="gramEnd"/>
      <w:r>
        <w:t xml:space="preserve"> Chancery Officers, </w:t>
      </w:r>
    </w:p>
    <w:p w:rsidR="002123C2" w:rsidRDefault="002123C2">
      <w:pPr>
        <w:ind w:left="360"/>
      </w:pPr>
      <w:r>
        <w:t xml:space="preserve">(iii) </w:t>
      </w:r>
      <w:proofErr w:type="gramStart"/>
      <w:r>
        <w:t>the</w:t>
      </w:r>
      <w:proofErr w:type="gramEnd"/>
      <w:r>
        <w:t xml:space="preserve"> Chancery Assistants, and </w:t>
      </w:r>
    </w:p>
    <w:p w:rsidR="002123C2" w:rsidRDefault="002123C2">
      <w:r>
        <w:t xml:space="preserve">2) </w:t>
      </w:r>
      <w:proofErr w:type="gramStart"/>
      <w:r>
        <w:t>other</w:t>
      </w:r>
      <w:proofErr w:type="gramEnd"/>
      <w:r>
        <w:t xml:space="preserve"> </w:t>
      </w:r>
      <w:r w:rsidR="005257FA">
        <w:t xml:space="preserve">civil </w:t>
      </w:r>
      <w:r>
        <w:t xml:space="preserve">servants attached to the Ministry. </w:t>
      </w:r>
    </w:p>
    <w:p w:rsidR="002123C2" w:rsidRDefault="002123C2"/>
    <w:p w:rsidR="002123C2" w:rsidRDefault="002123C2">
      <w:pPr>
        <w:pStyle w:val="BodyText"/>
      </w:pPr>
      <w:r>
        <w:t xml:space="preserve">All active or retired members of the Brazilian Foreign Service, whether or not in service abroad, and other </w:t>
      </w:r>
      <w:r w:rsidR="0085683F">
        <w:t xml:space="preserve">civil </w:t>
      </w:r>
      <w:r>
        <w:t xml:space="preserve">servants attached to the Brazilian Ministry of </w:t>
      </w:r>
      <w:r w:rsidR="00B44B92">
        <w:t>Foreign Affairs</w:t>
      </w:r>
      <w:r>
        <w:t xml:space="preserve"> serving abroad, hereinafter referred to as “employees”, are entitled, according to Brazilian law (Decree n. 99.525 of September 14, 1990, and Decree 2.801, of October 13, 1998), to have health coverage for themselves and their dependents as well as life insurance coverage for themselves, financed entirely by the Brazilian Financial Office. Also, according to Brazilian Ministry of </w:t>
      </w:r>
      <w:r w:rsidR="0085683F">
        <w:t>Foreign Affairs</w:t>
      </w:r>
      <w:r>
        <w:t xml:space="preserve">’ Regulation of February 25, 1992, the insurance coverage service shall be contracted outside Brazil with an efficient, reliable, well-established company that provides coverage for medical, dental, life and AD&amp;D to the employees and </w:t>
      </w:r>
      <w:r w:rsidR="00A531A4">
        <w:t xml:space="preserve">medical and dental to </w:t>
      </w:r>
      <w:r>
        <w:t>their dependents.</w:t>
      </w:r>
    </w:p>
    <w:p w:rsidR="002123C2" w:rsidRDefault="002123C2">
      <w:pPr>
        <w:jc w:val="both"/>
        <w:rPr>
          <w:rFonts w:ascii="Times New Roman" w:hAnsi="Times New Roman" w:cs="Times New Roman"/>
        </w:rPr>
      </w:pPr>
    </w:p>
    <w:p w:rsidR="002123C2" w:rsidRDefault="002123C2">
      <w:pPr>
        <w:jc w:val="both"/>
        <w:rPr>
          <w:rFonts w:ascii="Times New Roman" w:hAnsi="Times New Roman" w:cs="Times New Roman"/>
          <w:i/>
          <w:iCs/>
        </w:rPr>
      </w:pPr>
      <w:r>
        <w:t xml:space="preserve">There are </w:t>
      </w:r>
      <w:r w:rsidRPr="006D14DE">
        <w:rPr>
          <w:b/>
        </w:rPr>
        <w:t>4,</w:t>
      </w:r>
      <w:r w:rsidR="001034A3" w:rsidRPr="006D14DE">
        <w:rPr>
          <w:b/>
        </w:rPr>
        <w:t>3</w:t>
      </w:r>
      <w:r w:rsidRPr="006D14DE">
        <w:rPr>
          <w:b/>
        </w:rPr>
        <w:t>00</w:t>
      </w:r>
      <w:r>
        <w:t xml:space="preserve"> employees </w:t>
      </w:r>
      <w:r w:rsidR="006D14DE">
        <w:t xml:space="preserve">(active and retired) </w:t>
      </w:r>
      <w:r>
        <w:t>covered by the four programs</w:t>
      </w:r>
      <w:r w:rsidR="001034A3">
        <w:t xml:space="preserve">, plus </w:t>
      </w:r>
      <w:r w:rsidR="001034A3" w:rsidRPr="006D14DE">
        <w:rPr>
          <w:b/>
        </w:rPr>
        <w:t>3</w:t>
      </w:r>
      <w:r w:rsidR="00195342">
        <w:rPr>
          <w:b/>
        </w:rPr>
        <w:t>93</w:t>
      </w:r>
      <w:r w:rsidR="001034A3">
        <w:t xml:space="preserve"> pensioners</w:t>
      </w:r>
      <w:r w:rsidR="00FC1393">
        <w:t xml:space="preserve"> (i.e., dependent of a deceased employee)</w:t>
      </w:r>
      <w:r w:rsidR="001034A3">
        <w:t xml:space="preserve">, who are entitled only to the medical and dental plans, which amount to a total of </w:t>
      </w:r>
      <w:r w:rsidR="001034A3" w:rsidRPr="006D14DE">
        <w:rPr>
          <w:b/>
        </w:rPr>
        <w:t>4,</w:t>
      </w:r>
      <w:r w:rsidR="00195342" w:rsidRPr="006D14DE">
        <w:rPr>
          <w:b/>
        </w:rPr>
        <w:t>6</w:t>
      </w:r>
      <w:r w:rsidR="00195342">
        <w:rPr>
          <w:b/>
        </w:rPr>
        <w:t>93</w:t>
      </w:r>
      <w:r w:rsidR="00195342" w:rsidRPr="006D14DE">
        <w:rPr>
          <w:b/>
        </w:rPr>
        <w:t xml:space="preserve"> </w:t>
      </w:r>
      <w:r w:rsidR="001034A3" w:rsidRPr="006D14DE">
        <w:rPr>
          <w:b/>
        </w:rPr>
        <w:t>enrolled in these plans</w:t>
      </w:r>
      <w:r>
        <w:t xml:space="preserve">. </w:t>
      </w:r>
      <w:r w:rsidR="006D14DE">
        <w:t>The Medical and dental plans also cover the dependents of these employees, which amount to around 4,</w:t>
      </w:r>
      <w:r w:rsidR="001A0617">
        <w:t>312</w:t>
      </w:r>
      <w:r w:rsidR="006D14DE">
        <w:t xml:space="preserve"> people (spouses, parents and children). Therefore, the </w:t>
      </w:r>
      <w:r w:rsidR="006D14DE" w:rsidRPr="006D14DE">
        <w:rPr>
          <w:b/>
        </w:rPr>
        <w:t>total population</w:t>
      </w:r>
      <w:r w:rsidR="006D14DE">
        <w:t xml:space="preserve"> covered by the medical and dental plans is of </w:t>
      </w:r>
      <w:r w:rsidR="001A0617">
        <w:rPr>
          <w:b/>
        </w:rPr>
        <w:t>9,005</w:t>
      </w:r>
      <w:r w:rsidR="006D14DE">
        <w:t>. Around 1,400</w:t>
      </w:r>
      <w:r>
        <w:t xml:space="preserve"> of the Brazilian Foreign Service’s employees reside in Brazil. There are another 2</w:t>
      </w:r>
      <w:r w:rsidR="001034A3">
        <w:t>0</w:t>
      </w:r>
      <w:r>
        <w:t xml:space="preserve">0 residing within the United States. The remaining employees are </w:t>
      </w:r>
      <w:r w:rsidR="00632159">
        <w:t xml:space="preserve">distributed in the roughly </w:t>
      </w:r>
      <w:r w:rsidR="00FC1393">
        <w:t>150</w:t>
      </w:r>
      <w:r w:rsidR="00632159">
        <w:t xml:space="preserve"> different </w:t>
      </w:r>
      <w:r>
        <w:t>locat</w:t>
      </w:r>
      <w:r w:rsidR="00632159">
        <w:t>ions of the Brazilian Foreign Service</w:t>
      </w:r>
      <w:r>
        <w:t xml:space="preserve"> around the world. </w:t>
      </w:r>
      <w:r w:rsidR="003C038E">
        <w:t>The exact numbers and more details can be found in the census attached to this RFP.</w:t>
      </w:r>
    </w:p>
    <w:p w:rsidR="002123C2" w:rsidRDefault="002123C2">
      <w:pPr>
        <w:rPr>
          <w:rFonts w:ascii="Times New Roman" w:hAnsi="Times New Roman" w:cs="Times New Roman"/>
        </w:rPr>
      </w:pPr>
    </w:p>
    <w:p w:rsidR="002123C2" w:rsidRDefault="002123C2">
      <w:pPr>
        <w:rPr>
          <w:rFonts w:ascii="Times New Roman" w:hAnsi="Times New Roman" w:cs="Times New Roman"/>
        </w:rPr>
      </w:pPr>
    </w:p>
    <w:p w:rsidR="002123C2" w:rsidRDefault="002123C2">
      <w:pPr>
        <w:rPr>
          <w:rFonts w:ascii="Times New Roman" w:hAnsi="Times New Roman" w:cs="Times New Roman"/>
        </w:rPr>
      </w:pPr>
    </w:p>
    <w:p w:rsidR="002123C2" w:rsidRDefault="002123C2">
      <w:pPr>
        <w:pStyle w:val="SectionStart"/>
        <w:keepNext w:val="0"/>
        <w:pBdr>
          <w:top w:val="single" w:sz="12" w:space="0" w:color="auto"/>
          <w:left w:val="single" w:sz="12" w:space="0" w:color="auto"/>
          <w:bottom w:val="single" w:sz="12" w:space="0" w:color="auto"/>
          <w:right w:val="single" w:sz="12" w:space="0" w:color="auto"/>
        </w:pBdr>
        <w:tabs>
          <w:tab w:val="clear" w:pos="0"/>
          <w:tab w:val="num" w:pos="547"/>
        </w:tabs>
        <w:spacing w:before="1500" w:after="480" w:line="1820" w:lineRule="exact"/>
        <w:ind w:right="6840"/>
        <w:rPr>
          <w:rFonts w:ascii="Times New Roman" w:hAnsi="Times New Roman" w:cs="Times New Roman"/>
        </w:rPr>
      </w:pPr>
    </w:p>
    <w:p w:rsidR="002123C2" w:rsidRDefault="002123C2" w:rsidP="002123C2">
      <w:pPr>
        <w:pStyle w:val="Heading1"/>
        <w:numPr>
          <w:ilvl w:val="0"/>
          <w:numId w:val="14"/>
        </w:numPr>
        <w:spacing w:after="60" w:line="240" w:lineRule="auto"/>
      </w:pPr>
      <w:bookmarkStart w:id="16" w:name="_Toc243968441"/>
      <w:bookmarkStart w:id="17" w:name="_Toc374623908"/>
      <w:r>
        <w:t>Project Scope</w:t>
      </w:r>
      <w:bookmarkEnd w:id="16"/>
      <w:bookmarkEnd w:id="17"/>
    </w:p>
    <w:p w:rsidR="002123C2" w:rsidRDefault="002123C2">
      <w:pPr>
        <w:rPr>
          <w:rFonts w:ascii="Times New Roman" w:hAnsi="Times New Roman" w:cs="Times New Roman"/>
        </w:rPr>
      </w:pPr>
    </w:p>
    <w:p w:rsidR="002123C2" w:rsidRDefault="002123C2">
      <w:pPr>
        <w:jc w:val="both"/>
      </w:pPr>
      <w:r>
        <w:t>The Brazilian Bidding law 8</w:t>
      </w:r>
      <w:r w:rsidR="00BB2C4A">
        <w:t>.</w:t>
      </w:r>
      <w:r>
        <w:t xml:space="preserve">666 of June 21, 1993, requires the Brazilian Financial Office to rebid its medical, which includes prescription drugs and vision, dental, life insurance and AD&amp;D plans at least once every five years in order to obtain the highest quality service at the </w:t>
      </w:r>
      <w:r w:rsidR="008602DE">
        <w:t>most advantageous</w:t>
      </w:r>
      <w:r>
        <w:t xml:space="preserve"> cost. </w:t>
      </w:r>
      <w:r w:rsidRPr="006D14DE">
        <w:t>Also due to obligations by Brazilian Bidding Law, in order to renew the contract a market survey (RFI) is required every year, in order to certify that the current carrier maintains its status of most advantageous bidder.</w:t>
      </w:r>
      <w:r>
        <w:t xml:space="preserve"> The Brazilian Financial Office, through this RFP, will be able to determine the Vendors that have the capabilities and infrastructure to meet the service standards expected by the Brazilian Financial Office for its benefit plans. The ultimate goal of this process will be for the BFO to choose a Life, Accident, and Health insurer that can </w:t>
      </w:r>
      <w:r w:rsidR="0085683F">
        <w:t xml:space="preserve">provide </w:t>
      </w:r>
      <w:r>
        <w:t>a bundled service offering benefits, while meeting its goal of effective cost management.</w:t>
      </w:r>
    </w:p>
    <w:p w:rsidR="002123C2" w:rsidRDefault="002123C2">
      <w:pPr>
        <w:jc w:val="both"/>
      </w:pPr>
    </w:p>
    <w:p w:rsidR="002123C2" w:rsidRDefault="002123C2">
      <w:pPr>
        <w:jc w:val="both"/>
      </w:pPr>
      <w:r>
        <w:rPr>
          <w:spacing w:val="-3"/>
        </w:rPr>
        <w:t xml:space="preserve">The Brazilian Financial Office, through its Special Bidding Committee (the “Committee”), will review each submission to this RFP to verify that the qualifying requirements have been met. </w:t>
      </w:r>
      <w:r>
        <w:t>The evaluation will be conducted in two separate phases: the Qualifications Evaluation Phase and the Financial Evaluation Phase.</w:t>
      </w:r>
    </w:p>
    <w:p w:rsidR="002123C2" w:rsidRDefault="002123C2">
      <w:pPr>
        <w:jc w:val="both"/>
      </w:pPr>
    </w:p>
    <w:p w:rsidR="002123C2" w:rsidRDefault="002123C2">
      <w:pPr>
        <w:jc w:val="both"/>
        <w:rPr>
          <w:rFonts w:ascii="Times New Roman" w:hAnsi="Times New Roman" w:cs="Times New Roman"/>
        </w:rPr>
      </w:pPr>
      <w:r>
        <w:t xml:space="preserve">According to the Brazilian legislation, two separate proposals must be submitted by the Vendor: RFP Non-Financial Responses and RFP Financial Proposal. The RFP Non-Financial Responses will be evaluated as part of the Qualifications Evaluation Phase. Only Vendors that meet all </w:t>
      </w:r>
      <w:r w:rsidR="0085683F">
        <w:t xml:space="preserve">requirements </w:t>
      </w:r>
      <w:r>
        <w:t>will be eligible to participate in the second stage, the Financial Evaluation Phase, when the RFP Financial Proposal will be accessed. The process is as follows:</w:t>
      </w:r>
    </w:p>
    <w:p w:rsidR="002123C2" w:rsidRDefault="002123C2">
      <w:pPr>
        <w:jc w:val="both"/>
        <w:rPr>
          <w:rFonts w:ascii="Times New Roman" w:hAnsi="Times New Roman" w:cs="Times New Roman"/>
        </w:rPr>
      </w:pPr>
    </w:p>
    <w:p w:rsidR="002123C2" w:rsidRDefault="002123C2">
      <w:pPr>
        <w:jc w:val="both"/>
        <w:rPr>
          <w:rFonts w:ascii="Times New Roman" w:hAnsi="Times New Roman" w:cs="Times New Roman"/>
        </w:rPr>
      </w:pPr>
      <w:r>
        <w:t xml:space="preserve">See the </w:t>
      </w:r>
      <w:r w:rsidRPr="00FC1393">
        <w:rPr>
          <w:b/>
        </w:rPr>
        <w:t>Proposal Instructions</w:t>
      </w:r>
      <w:r>
        <w:t xml:space="preserve"> section below for more detail on the RFP submission process.</w:t>
      </w:r>
    </w:p>
    <w:p w:rsidR="002123C2" w:rsidRPr="002D5A27" w:rsidRDefault="002123C2">
      <w:pPr>
        <w:spacing w:line="240" w:lineRule="auto"/>
        <w:rPr>
          <w:rFonts w:ascii="Times New Roman" w:hAnsi="Times New Roman" w:cs="Times New Roman"/>
          <w:b/>
          <w:bCs/>
          <w:sz w:val="28"/>
          <w:szCs w:val="28"/>
        </w:rPr>
      </w:pPr>
      <w:bookmarkStart w:id="18" w:name="_Toc240195198"/>
      <w:bookmarkStart w:id="19" w:name="_Toc243968442"/>
      <w:bookmarkStart w:id="20" w:name="_Toc374623909"/>
      <w:r w:rsidRPr="002D5A27">
        <w:rPr>
          <w:rFonts w:ascii="Times New Roman" w:hAnsi="Times New Roman" w:cs="Times New Roman"/>
        </w:rPr>
        <w:br w:type="page"/>
      </w:r>
    </w:p>
    <w:p w:rsidR="002123C2" w:rsidRDefault="002123C2" w:rsidP="002123C2">
      <w:pPr>
        <w:pStyle w:val="Heading2"/>
        <w:numPr>
          <w:ilvl w:val="1"/>
          <w:numId w:val="14"/>
        </w:numPr>
        <w:spacing w:before="60" w:after="60" w:line="240" w:lineRule="auto"/>
        <w:rPr>
          <w:lang w:val="fr-FR"/>
        </w:rPr>
      </w:pPr>
      <w:r>
        <w:rPr>
          <w:lang w:val="fr-FR"/>
        </w:rPr>
        <w:lastRenderedPageBreak/>
        <w:t xml:space="preserve">Qualifications Evaluation Phase (RFP Non-Financial </w:t>
      </w:r>
      <w:proofErr w:type="spellStart"/>
      <w:r w:rsidR="002D5A27">
        <w:rPr>
          <w:lang w:val="fr-FR"/>
        </w:rPr>
        <w:t>r</w:t>
      </w:r>
      <w:r>
        <w:rPr>
          <w:lang w:val="fr-FR"/>
        </w:rPr>
        <w:t>esponses</w:t>
      </w:r>
      <w:proofErr w:type="spellEnd"/>
      <w:r>
        <w:rPr>
          <w:lang w:val="fr-FR"/>
        </w:rPr>
        <w:t>)</w:t>
      </w:r>
      <w:bookmarkEnd w:id="18"/>
      <w:bookmarkEnd w:id="19"/>
      <w:bookmarkEnd w:id="20"/>
    </w:p>
    <w:p w:rsidR="002123C2" w:rsidRDefault="002123C2">
      <w:pPr>
        <w:rPr>
          <w:rFonts w:ascii="Times New Roman" w:hAnsi="Times New Roman" w:cs="Times New Roman"/>
          <w:lang w:val="fr-FR"/>
        </w:rPr>
      </w:pPr>
    </w:p>
    <w:p w:rsidR="002123C2" w:rsidRDefault="002123C2">
      <w:pPr>
        <w:pStyle w:val="BodyText"/>
      </w:pPr>
      <w:r>
        <w:t>The first phase of the evaluation process is to evaluate the RFP Non-Financial Responses. The RFP Non-Financial Responses include the following aspects:</w:t>
      </w:r>
    </w:p>
    <w:p w:rsidR="002123C2" w:rsidRDefault="002123C2">
      <w:pPr>
        <w:rPr>
          <w:rFonts w:ascii="Times New Roman" w:hAnsi="Times New Roman" w:cs="Times New Roman"/>
        </w:rPr>
      </w:pPr>
    </w:p>
    <w:p w:rsidR="002123C2" w:rsidRDefault="002123C2" w:rsidP="009B5470">
      <w:pPr>
        <w:pStyle w:val="ListBullet"/>
      </w:pPr>
      <w:r>
        <w:t>Mandatory Requirements to be satisfied by the Vendor</w:t>
      </w:r>
    </w:p>
    <w:p w:rsidR="002123C2" w:rsidRDefault="002123C2" w:rsidP="009B5470">
      <w:pPr>
        <w:pStyle w:val="ListBullet"/>
      </w:pPr>
      <w:r>
        <w:t>Plan Design</w:t>
      </w:r>
    </w:p>
    <w:p w:rsidR="002123C2" w:rsidRDefault="002123C2" w:rsidP="009B5470">
      <w:pPr>
        <w:pStyle w:val="ListBullet"/>
      </w:pPr>
      <w:r>
        <w:t>Plan Financing model</w:t>
      </w:r>
    </w:p>
    <w:p w:rsidR="002123C2" w:rsidRDefault="002123C2" w:rsidP="009B5470">
      <w:pPr>
        <w:pStyle w:val="ListBullet"/>
      </w:pPr>
      <w:r>
        <w:t>RFP Non-Financial Questionnaire</w:t>
      </w:r>
    </w:p>
    <w:p w:rsidR="002123C2" w:rsidRDefault="002123C2" w:rsidP="009B5470">
      <w:pPr>
        <w:pStyle w:val="ListBullet"/>
      </w:pPr>
      <w:r>
        <w:t>Contract framework</w:t>
      </w:r>
    </w:p>
    <w:p w:rsidR="002123C2" w:rsidRDefault="002123C2" w:rsidP="009B5470">
      <w:pPr>
        <w:pStyle w:val="ListBullet"/>
      </w:pPr>
      <w:r>
        <w:t>Certificate and Affidavit from potential Vendor</w:t>
      </w:r>
    </w:p>
    <w:p w:rsidR="002123C2" w:rsidRDefault="002123C2">
      <w:pPr>
        <w:rPr>
          <w:rFonts w:ascii="Times New Roman" w:hAnsi="Times New Roman" w:cs="Times New Roman"/>
        </w:rPr>
      </w:pPr>
    </w:p>
    <w:p w:rsidR="002123C2" w:rsidRDefault="002123C2">
      <w:r>
        <w:t>Detailed description of the above items is provided in sections 3 to 7 of this RFP.</w:t>
      </w:r>
    </w:p>
    <w:p w:rsidR="002123C2" w:rsidRDefault="002123C2"/>
    <w:p w:rsidR="002123C2" w:rsidRDefault="002123C2">
      <w:pPr>
        <w:pStyle w:val="BodyText"/>
      </w:pPr>
      <w:r>
        <w:t>The Non-Financial Responses will be evaluated by the BFO’s Special Bidding Committee. The following are minimum requirements to be met as part of this phase:</w:t>
      </w:r>
    </w:p>
    <w:p w:rsidR="002123C2" w:rsidRDefault="002123C2">
      <w:pPr>
        <w:rPr>
          <w:rFonts w:ascii="Times New Roman" w:hAnsi="Times New Roman" w:cs="Times New Roman"/>
        </w:rPr>
      </w:pPr>
    </w:p>
    <w:p w:rsidR="002123C2" w:rsidRDefault="002123C2" w:rsidP="009B5470">
      <w:pPr>
        <w:pStyle w:val="ListBullet"/>
      </w:pPr>
      <w:r>
        <w:t>Compliance with the mandatory requirements</w:t>
      </w:r>
    </w:p>
    <w:p w:rsidR="002123C2" w:rsidRDefault="002123C2" w:rsidP="009B5470">
      <w:pPr>
        <w:pStyle w:val="ListBullet"/>
      </w:pPr>
      <w:r>
        <w:t>Signature of the Certificate and Affidavit</w:t>
      </w:r>
    </w:p>
    <w:p w:rsidR="002123C2" w:rsidRDefault="002123C2" w:rsidP="009B5470">
      <w:pPr>
        <w:pStyle w:val="ListBullet"/>
      </w:pPr>
      <w:r>
        <w:t>Agreement to the contract framework</w:t>
      </w:r>
    </w:p>
    <w:p w:rsidR="002123C2" w:rsidRDefault="002123C2" w:rsidP="009B5470">
      <w:pPr>
        <w:pStyle w:val="ListBullet"/>
      </w:pPr>
      <w:r>
        <w:t>Timely response to this RFP, as well as compliance with the required response format</w:t>
      </w:r>
    </w:p>
    <w:p w:rsidR="002123C2" w:rsidRDefault="002123C2" w:rsidP="009B5470">
      <w:pPr>
        <w:pStyle w:val="ListBullet"/>
      </w:pPr>
      <w:r>
        <w:t>Complete and satisfactory responses to the non-financial questions, demonstrating among other things ability to administer the program in line with the BFO’s requirements</w:t>
      </w:r>
    </w:p>
    <w:p w:rsidR="00C85FA9" w:rsidRDefault="00C85FA9" w:rsidP="005B1E42">
      <w:pPr>
        <w:pStyle w:val="ListBullet"/>
        <w:numPr>
          <w:ilvl w:val="0"/>
          <w:numId w:val="0"/>
        </w:numPr>
        <w:ind w:left="360"/>
      </w:pPr>
    </w:p>
    <w:p w:rsidR="002123C2" w:rsidRDefault="002123C2" w:rsidP="005B1E42">
      <w:pPr>
        <w:pStyle w:val="ListBullet"/>
        <w:numPr>
          <w:ilvl w:val="0"/>
          <w:numId w:val="0"/>
        </w:numPr>
      </w:pPr>
      <w:r>
        <w:t xml:space="preserve">Failure to meet any of the above minimum requirements, or submission of an incomplete or inaccurate proposal, will automatically </w:t>
      </w:r>
      <w:r w:rsidR="00697FC9">
        <w:t xml:space="preserve">eliminate </w:t>
      </w:r>
      <w:r>
        <w:t>the candidate from the RFP process.</w:t>
      </w:r>
    </w:p>
    <w:p w:rsidR="00C85FA9" w:rsidRDefault="00C85FA9" w:rsidP="005B1E42">
      <w:pPr>
        <w:pStyle w:val="ListBullet"/>
        <w:numPr>
          <w:ilvl w:val="0"/>
          <w:numId w:val="0"/>
        </w:numPr>
      </w:pPr>
    </w:p>
    <w:p w:rsidR="002123C2" w:rsidRDefault="002123C2" w:rsidP="005B1E42">
      <w:pPr>
        <w:pStyle w:val="ListBullet"/>
        <w:numPr>
          <w:ilvl w:val="0"/>
          <w:numId w:val="0"/>
        </w:numPr>
      </w:pPr>
      <w:r>
        <w:t xml:space="preserve">Only </w:t>
      </w:r>
      <w:r w:rsidR="00697FC9">
        <w:t xml:space="preserve">the </w:t>
      </w:r>
      <w:r>
        <w:t>Vendors that meet all the qualifications criteria according to the evaluation system above will be eligible to participate in the Financial Evaluation Phase, as described below.</w:t>
      </w:r>
    </w:p>
    <w:p w:rsidR="002123C2" w:rsidRDefault="002123C2" w:rsidP="00C85FA9">
      <w:pPr>
        <w:pStyle w:val="ListBullet"/>
        <w:numPr>
          <w:ilvl w:val="0"/>
          <w:numId w:val="0"/>
        </w:numPr>
        <w:ind w:left="360"/>
      </w:pPr>
    </w:p>
    <w:p w:rsidR="002123C2" w:rsidRDefault="002123C2">
      <w:pPr>
        <w:pStyle w:val="Table2Hdgs"/>
        <w:spacing w:before="0" w:after="0"/>
        <w:rPr>
          <w:rFonts w:ascii="Arial" w:hAnsi="Arial" w:cs="Arial"/>
        </w:rPr>
      </w:pPr>
      <w:bookmarkStart w:id="21" w:name="_Toc240195199"/>
      <w:bookmarkStart w:id="22" w:name="_Toc243968443"/>
      <w:bookmarkStart w:id="23" w:name="_Toc374623910"/>
    </w:p>
    <w:p w:rsidR="002123C2" w:rsidRDefault="002123C2" w:rsidP="002123C2">
      <w:pPr>
        <w:pStyle w:val="Heading2"/>
        <w:numPr>
          <w:ilvl w:val="1"/>
          <w:numId w:val="14"/>
        </w:numPr>
        <w:spacing w:before="60" w:after="60" w:line="240" w:lineRule="auto"/>
      </w:pPr>
      <w:r>
        <w:t>Financial Evaluation Phase (RFP Financial Proposal)</w:t>
      </w:r>
      <w:bookmarkEnd w:id="21"/>
      <w:bookmarkEnd w:id="22"/>
      <w:bookmarkEnd w:id="23"/>
    </w:p>
    <w:p w:rsidR="00632159" w:rsidRDefault="00632159">
      <w:pPr>
        <w:pStyle w:val="BodyText"/>
        <w:keepNext/>
      </w:pPr>
    </w:p>
    <w:p w:rsidR="002123C2" w:rsidRDefault="002123C2">
      <w:pPr>
        <w:pStyle w:val="BodyText"/>
        <w:keepNext/>
      </w:pPr>
      <w:r>
        <w:t>The second phase of the evaluation process is to evaluate the RFP Financial Proposal. The RFP Financial Proposal includes:</w:t>
      </w:r>
    </w:p>
    <w:p w:rsidR="00970C2F" w:rsidRDefault="00970C2F">
      <w:pPr>
        <w:pStyle w:val="BodyText"/>
        <w:keepNext/>
      </w:pPr>
    </w:p>
    <w:p w:rsidR="002123C2" w:rsidRDefault="002123C2" w:rsidP="009B5470">
      <w:pPr>
        <w:pStyle w:val="ListBullet"/>
      </w:pPr>
      <w:r>
        <w:t>Per employee per month (PEPM) premium rates in U.S. dollars for each plan</w:t>
      </w:r>
      <w:r w:rsidR="00697FC9">
        <w:t>,</w:t>
      </w:r>
      <w:r>
        <w:t xml:space="preserve"> including:</w:t>
      </w:r>
    </w:p>
    <w:p w:rsidR="002123C2" w:rsidRDefault="002123C2" w:rsidP="002123C2">
      <w:pPr>
        <w:pStyle w:val="ListBullet2"/>
        <w:numPr>
          <w:ilvl w:val="5"/>
          <w:numId w:val="12"/>
        </w:numPr>
        <w:spacing w:line="270" w:lineRule="atLeast"/>
      </w:pPr>
      <w:r>
        <w:t>Administrative and expense charges</w:t>
      </w:r>
    </w:p>
    <w:p w:rsidR="002123C2" w:rsidRDefault="002123C2" w:rsidP="002123C2">
      <w:pPr>
        <w:pStyle w:val="ListBullet2"/>
        <w:numPr>
          <w:ilvl w:val="5"/>
          <w:numId w:val="12"/>
        </w:numPr>
        <w:spacing w:line="270" w:lineRule="atLeast"/>
      </w:pPr>
      <w:r>
        <w:t>Reserve charge/requirements</w:t>
      </w:r>
    </w:p>
    <w:p w:rsidR="002123C2" w:rsidRDefault="002123C2" w:rsidP="009B5470">
      <w:pPr>
        <w:pStyle w:val="ListBullet"/>
      </w:pPr>
      <w:r>
        <w:t>Three-year guarantee in the form of maximum increases in premium rates.</w:t>
      </w:r>
    </w:p>
    <w:p w:rsidR="00970C2F" w:rsidRDefault="00970C2F" w:rsidP="00632159">
      <w:pPr>
        <w:pStyle w:val="BodyText"/>
        <w:keepNext/>
      </w:pPr>
    </w:p>
    <w:p w:rsidR="002123C2" w:rsidRDefault="002123C2" w:rsidP="00632159">
      <w:pPr>
        <w:pStyle w:val="BodyText"/>
        <w:keepNext/>
      </w:pPr>
      <w:r>
        <w:t xml:space="preserve">Instructions related to the RFP Financial Proposal are provided </w:t>
      </w:r>
      <w:r w:rsidR="00FC1393">
        <w:t>i</w:t>
      </w:r>
      <w:r>
        <w:t>n section 8 of this RFP.</w:t>
      </w:r>
    </w:p>
    <w:p w:rsidR="002123C2" w:rsidRDefault="002123C2" w:rsidP="00632159">
      <w:pPr>
        <w:pStyle w:val="BodyText"/>
        <w:keepNext/>
      </w:pPr>
    </w:p>
    <w:p w:rsidR="002123C2" w:rsidRDefault="002123C2">
      <w:pPr>
        <w:jc w:val="both"/>
      </w:pPr>
      <w:r>
        <w:t xml:space="preserve">Following the non-financial evaluation phase, the potential Vendor with the most competitive overall financial proposal will be selected as the Vendor by the Brazilian Financial Office. Responses from the first phase of the evaluation will no longer be considered during the second phase of the selection process, since all of the Vendors that passed the first phase are considered to be able to provide the service levels expected by the Brazilian Financial Office. </w:t>
      </w:r>
    </w:p>
    <w:p w:rsidR="002123C2" w:rsidRPr="00632159" w:rsidRDefault="002123C2" w:rsidP="00632159">
      <w:pPr>
        <w:pStyle w:val="BodyText"/>
        <w:keepNext/>
      </w:pPr>
    </w:p>
    <w:p w:rsidR="002123C2" w:rsidRDefault="00697FC9">
      <w:pPr>
        <w:pStyle w:val="BodyText"/>
      </w:pPr>
      <w:r>
        <w:t>The BFO is</w:t>
      </w:r>
      <w:r w:rsidR="002123C2">
        <w:t xml:space="preserve"> asking each Vendor to submit separate premium rates for each insurance plan (i.e. medical, dental, life insurance and AD&amp;D) </w:t>
      </w:r>
      <w:r>
        <w:t xml:space="preserve">provided </w:t>
      </w:r>
      <w:r w:rsidR="002123C2">
        <w:t xml:space="preserve">to employees and their dependents by the </w:t>
      </w:r>
      <w:r w:rsidR="002123C2">
        <w:lastRenderedPageBreak/>
        <w:t xml:space="preserve">Brazilian Financial Office. However, the Brazilian Financial Office will not split the business between Vendors if one Vendor proposes a lower medical premium but proposes a higher life insurance premium compared to another Vendor. Because of this, the Committee will have to blend the proposed PEPM premium rates for each plan into one PEPM premium rate in order to determine which Vendor has proposed the </w:t>
      </w:r>
      <w:r>
        <w:t>lowest overall</w:t>
      </w:r>
      <w:r w:rsidR="002123C2">
        <w:t xml:space="preserve"> premium rate. In order to blend the rate, the Committee will multiply the proposed premium rates for each plan by the number of covered employees under each plan to determine the total monthly premium for all of the Plans. The total monthly premium will then be</w:t>
      </w:r>
      <w:r w:rsidR="00EE1B5A">
        <w:t xml:space="preserve"> </w:t>
      </w:r>
      <w:r w:rsidR="00FB37F6">
        <w:t>multiplied by twelve (months) so as to find the annual premium for all of the Plans</w:t>
      </w:r>
      <w:r w:rsidR="002123C2">
        <w:t xml:space="preserve">. The Vendor with the </w:t>
      </w:r>
      <w:r w:rsidR="000F15D2">
        <w:t>most advantageous</w:t>
      </w:r>
      <w:r w:rsidR="002123C2">
        <w:t xml:space="preserve"> </w:t>
      </w:r>
      <w:r w:rsidR="000F15D2">
        <w:t>proposal</w:t>
      </w:r>
      <w:r w:rsidR="002123C2">
        <w:t xml:space="preserve"> will be selected as the Vendor by the Brazilian Financial Office effective April 1, 20</w:t>
      </w:r>
      <w:r w:rsidR="00CA6947">
        <w:t>20</w:t>
      </w:r>
      <w:r w:rsidR="002123C2">
        <w:t>.</w:t>
      </w:r>
    </w:p>
    <w:p w:rsidR="002123C2" w:rsidRDefault="002123C2">
      <w:pPr>
        <w:rPr>
          <w:rFonts w:ascii="Times New Roman" w:hAnsi="Times New Roman" w:cs="Times New Roman"/>
        </w:rPr>
      </w:pPr>
    </w:p>
    <w:p w:rsidR="002123C2" w:rsidRDefault="002123C2" w:rsidP="006E6F4D">
      <w:pPr>
        <w:pStyle w:val="BodyText"/>
      </w:pPr>
      <w:r>
        <w:t xml:space="preserve">In the event that two identical financial proposals are submitted, the vendor will be selected </w:t>
      </w:r>
      <w:r w:rsidR="00CC7505">
        <w:t>by a draw as a tie-breaking criterion</w:t>
      </w:r>
      <w:r w:rsidR="006E6F4D">
        <w:t>.</w:t>
      </w:r>
    </w:p>
    <w:p w:rsidR="002123C2" w:rsidRDefault="002123C2">
      <w:pPr>
        <w:jc w:val="both"/>
        <w:rPr>
          <w:rFonts w:ascii="Times New Roman" w:hAnsi="Times New Roman" w:cs="Times New Roman"/>
        </w:rPr>
      </w:pPr>
    </w:p>
    <w:p w:rsidR="002123C2" w:rsidRDefault="002123C2">
      <w:pPr>
        <w:jc w:val="both"/>
      </w:pPr>
      <w:r>
        <w:t xml:space="preserve">The intention of the Brazilian Financial Office is to enter into a </w:t>
      </w:r>
      <w:r w:rsidR="00010B8A">
        <w:t>twelve-month</w:t>
      </w:r>
      <w:r>
        <w:t xml:space="preserve"> agreement, which may be renewed</w:t>
      </w:r>
      <w:r w:rsidR="00E8712D">
        <w:t xml:space="preserve"> by the BFO</w:t>
      </w:r>
      <w:r>
        <w:t xml:space="preserve"> </w:t>
      </w:r>
      <w:r w:rsidR="00BB2691">
        <w:t>annua</w:t>
      </w:r>
      <w:r w:rsidR="00454A1A">
        <w:t>l</w:t>
      </w:r>
      <w:r w:rsidR="00BB2691">
        <w:t xml:space="preserve">ly </w:t>
      </w:r>
      <w:r>
        <w:t xml:space="preserve">for a period of up to </w:t>
      </w:r>
      <w:r w:rsidR="00010B8A">
        <w:t>sixty months</w:t>
      </w:r>
      <w:r>
        <w:t xml:space="preserve">, with the selected Vendor, </w:t>
      </w:r>
      <w:r w:rsidRPr="00632159">
        <w:t>pending on the results of the yearly market survey (RFI), as required by the Brazilian Bidding Law.</w:t>
      </w:r>
      <w:r>
        <w:t xml:space="preserve"> </w:t>
      </w:r>
    </w:p>
    <w:p w:rsidR="00FC1393" w:rsidRDefault="00FC1393">
      <w:pPr>
        <w:jc w:val="both"/>
      </w:pPr>
    </w:p>
    <w:p w:rsidR="002123C2" w:rsidRDefault="002123C2">
      <w:pPr>
        <w:jc w:val="both"/>
        <w:rPr>
          <w:rFonts w:ascii="Times New Roman" w:hAnsi="Times New Roman" w:cs="Times New Roman"/>
        </w:rPr>
      </w:pPr>
      <w:r>
        <w:t xml:space="preserve">In order to discourage prospective vendors from underbidding the program in the first year in order to obtain the business of the Brazilian Financial Office, the BFO is seeking a three-year guarantee in the form of maximum increases in premium for all Plans from the selected Vendor. </w:t>
      </w:r>
    </w:p>
    <w:p w:rsidR="002123C2" w:rsidRPr="00632159" w:rsidRDefault="002123C2" w:rsidP="00632159">
      <w:pPr>
        <w:jc w:val="both"/>
      </w:pPr>
    </w:p>
    <w:p w:rsidR="002123C2" w:rsidRDefault="002123C2" w:rsidP="002123C2">
      <w:pPr>
        <w:pStyle w:val="Heading2"/>
        <w:numPr>
          <w:ilvl w:val="1"/>
          <w:numId w:val="14"/>
        </w:numPr>
        <w:spacing w:before="60" w:after="60" w:line="240" w:lineRule="auto"/>
      </w:pPr>
      <w:bookmarkStart w:id="24" w:name="_Toc240195200"/>
      <w:bookmarkStart w:id="25" w:name="_Toc243968444"/>
      <w:bookmarkStart w:id="26" w:name="_Toc374623911"/>
      <w:r>
        <w:t>Proposal Instructions</w:t>
      </w:r>
      <w:bookmarkEnd w:id="24"/>
      <w:bookmarkEnd w:id="25"/>
      <w:bookmarkEnd w:id="26"/>
    </w:p>
    <w:p w:rsidR="002123C2" w:rsidRDefault="002123C2" w:rsidP="002123C2">
      <w:pPr>
        <w:pStyle w:val="Heading3"/>
        <w:numPr>
          <w:ilvl w:val="2"/>
          <w:numId w:val="14"/>
        </w:numPr>
        <w:spacing w:before="60" w:after="60" w:line="240" w:lineRule="auto"/>
      </w:pPr>
      <w:r>
        <w:t>General</w:t>
      </w:r>
    </w:p>
    <w:p w:rsidR="002123C2" w:rsidRDefault="002123C2">
      <w:pPr>
        <w:jc w:val="both"/>
        <w:rPr>
          <w:rFonts w:ascii="Times New Roman" w:hAnsi="Times New Roman" w:cs="Times New Roman"/>
        </w:rPr>
      </w:pPr>
      <w:r>
        <w:rPr>
          <w:rFonts w:ascii="Times New Roman" w:hAnsi="Times New Roman" w:cs="Times New Roman"/>
        </w:rPr>
        <w:tab/>
      </w:r>
    </w:p>
    <w:p w:rsidR="002123C2" w:rsidRDefault="002123C2">
      <w:pPr>
        <w:jc w:val="both"/>
      </w:pPr>
      <w:r>
        <w:t xml:space="preserve">All answers must be organized to follow the format of this RFP. Each Vendor must respond to every stated request or requirement and indicate whether the Vendor intends to comply or not with the stated requirements of the Brazilian Financial Office. The Vendor should identify any </w:t>
      </w:r>
      <w:r w:rsidR="00BB2691">
        <w:t xml:space="preserve">important </w:t>
      </w:r>
      <w:r>
        <w:t>assumptions made in preparing its answers. The deferral of an answer to a question or issue is not acceptable. It will be assumed that any item not specifically addressed cannot be performed by the Vendor.</w:t>
      </w:r>
    </w:p>
    <w:p w:rsidR="002123C2" w:rsidRDefault="002123C2">
      <w:pPr>
        <w:jc w:val="both"/>
      </w:pPr>
    </w:p>
    <w:p w:rsidR="002123C2" w:rsidRDefault="002123C2">
      <w:pPr>
        <w:pStyle w:val="BodyText"/>
      </w:pPr>
      <w:r>
        <w:t xml:space="preserve">Where the Vendor is presented with a requirement or asked to use a specific approach, the Vendor must not only state its compliance, but also describe, where appropriate, how it intends to comply and/or submit evidence. Failure to provide an answer to an item will be assumed as non-compliance. </w:t>
      </w:r>
    </w:p>
    <w:p w:rsidR="002123C2" w:rsidRDefault="002123C2">
      <w:pPr>
        <w:jc w:val="both"/>
        <w:rPr>
          <w:rFonts w:ascii="Times New Roman" w:hAnsi="Times New Roman" w:cs="Times New Roman"/>
        </w:rPr>
      </w:pPr>
    </w:p>
    <w:p w:rsidR="002123C2" w:rsidRDefault="002123C2">
      <w:pPr>
        <w:jc w:val="both"/>
      </w:pPr>
      <w:r>
        <w:t xml:space="preserve">Effective with the release of this RFP package, </w:t>
      </w:r>
      <w:r>
        <w:rPr>
          <w:b/>
          <w:bCs/>
          <w:u w:val="single"/>
        </w:rPr>
        <w:t>all</w:t>
      </w:r>
      <w:r>
        <w:t xml:space="preserve"> communications with the Brazilian Financial Office regarding this RFP will be directed to </w:t>
      </w:r>
      <w:hyperlink r:id="rId12" w:history="1">
        <w:r w:rsidR="00AB726E">
          <w:rPr>
            <w:rStyle w:val="Hyperlink"/>
            <w:rFonts w:ascii="Arial" w:hAnsi="Arial" w:cs="Arial"/>
            <w:color w:val="auto"/>
            <w:spacing w:val="-3"/>
            <w:u w:val="none"/>
          </w:rPr>
          <w:t>compraselicitacoes.efny@itamaraty.gov.br</w:t>
        </w:r>
      </w:hyperlink>
      <w:r w:rsidR="0083278B" w:rsidRPr="0083278B">
        <w:rPr>
          <w:rStyle w:val="Hyperlink"/>
          <w:rFonts w:ascii="Arial" w:hAnsi="Arial" w:cs="Arial"/>
          <w:color w:val="auto"/>
          <w:spacing w:val="-3"/>
          <w:u w:val="none"/>
        </w:rPr>
        <w:t xml:space="preserve"> and </w:t>
      </w:r>
      <w:r w:rsidR="0083278B">
        <w:rPr>
          <w:rStyle w:val="Hyperlink"/>
          <w:rFonts w:ascii="Arial" w:hAnsi="Arial" w:cs="Arial"/>
          <w:color w:val="auto"/>
          <w:spacing w:val="-3"/>
          <w:u w:val="none"/>
        </w:rPr>
        <w:fldChar w:fldCharType="begin"/>
      </w:r>
      <w:r w:rsidR="0083278B">
        <w:rPr>
          <w:rStyle w:val="Hyperlink"/>
          <w:rFonts w:ascii="Arial" w:hAnsi="Arial" w:cs="Arial"/>
          <w:color w:val="auto"/>
          <w:spacing w:val="-3"/>
          <w:u w:val="none"/>
        </w:rPr>
        <w:instrText xml:space="preserve"> HYPERLINK "admin2@efny.org" </w:instrText>
      </w:r>
      <w:r w:rsidR="0083278B">
        <w:rPr>
          <w:rStyle w:val="Hyperlink"/>
          <w:rFonts w:ascii="Arial" w:hAnsi="Arial" w:cs="Arial"/>
          <w:color w:val="auto"/>
          <w:spacing w:val="-3"/>
          <w:u w:val="none"/>
        </w:rPr>
        <w:fldChar w:fldCharType="separate"/>
      </w:r>
      <w:r w:rsidR="0083278B" w:rsidRPr="0083278B">
        <w:rPr>
          <w:rStyle w:val="Hyperlink"/>
          <w:rFonts w:ascii="Arial" w:hAnsi="Arial" w:cs="Arial"/>
          <w:spacing w:val="-3"/>
        </w:rPr>
        <w:t>admin2@efny.org</w:t>
      </w:r>
      <w:r w:rsidR="0083278B">
        <w:rPr>
          <w:rStyle w:val="Hyperlink"/>
          <w:rFonts w:ascii="Arial" w:hAnsi="Arial" w:cs="Arial"/>
          <w:color w:val="auto"/>
          <w:spacing w:val="-3"/>
          <w:u w:val="none"/>
        </w:rPr>
        <w:fldChar w:fldCharType="end"/>
      </w:r>
      <w:r w:rsidRPr="005B1E42">
        <w:t>.</w:t>
      </w:r>
      <w:r>
        <w:t>.</w:t>
      </w:r>
    </w:p>
    <w:p w:rsidR="0066684C" w:rsidRDefault="0066684C">
      <w:pPr>
        <w:jc w:val="both"/>
      </w:pPr>
    </w:p>
    <w:p w:rsidR="002123C2" w:rsidRDefault="002123C2" w:rsidP="002123C2">
      <w:pPr>
        <w:pStyle w:val="Heading3"/>
        <w:numPr>
          <w:ilvl w:val="2"/>
          <w:numId w:val="14"/>
        </w:numPr>
        <w:spacing w:before="60" w:after="60" w:line="240" w:lineRule="auto"/>
      </w:pPr>
      <w:r>
        <w:t>Answers Format</w:t>
      </w:r>
    </w:p>
    <w:p w:rsidR="002123C2" w:rsidRPr="00F415F2" w:rsidRDefault="002123C2" w:rsidP="00F415F2">
      <w:pPr>
        <w:jc w:val="both"/>
      </w:pPr>
    </w:p>
    <w:p w:rsidR="002123C2" w:rsidRDefault="002123C2">
      <w:r>
        <w:t xml:space="preserve">The Vendor shall structure its answers as follows:  </w:t>
      </w:r>
    </w:p>
    <w:p w:rsidR="00D6104C" w:rsidRDefault="00D6104C"/>
    <w:p w:rsidR="002123C2" w:rsidRDefault="002123C2" w:rsidP="009B5470">
      <w:pPr>
        <w:pStyle w:val="ListBullet"/>
      </w:pPr>
      <w:r>
        <w:t xml:space="preserve">Answers must be provided directly in the excel files. Answers shall be limited to a maximum of three paragraphs each and shall address every point as directly and factually as possible. Open-ended answers will not be viewed favorably and may result in disqualification. Supplementary information may be attached. </w:t>
      </w:r>
    </w:p>
    <w:p w:rsidR="00D6104C" w:rsidRDefault="00D6104C" w:rsidP="00D6104C">
      <w:pPr>
        <w:pStyle w:val="ListBullet"/>
        <w:numPr>
          <w:ilvl w:val="0"/>
          <w:numId w:val="0"/>
        </w:numPr>
        <w:ind w:left="360"/>
      </w:pPr>
    </w:p>
    <w:p w:rsidR="002123C2" w:rsidRDefault="002123C2" w:rsidP="009B5470">
      <w:pPr>
        <w:pStyle w:val="ListBullet"/>
      </w:pPr>
      <w:r>
        <w:lastRenderedPageBreak/>
        <w:t xml:space="preserve">Marketing brochures included as part of the main body of the answers shall be considered non-responsive. Such material shall be submitted with moderation only as attachments and shall not be used as a substitute for written answers. </w:t>
      </w:r>
      <w:r>
        <w:rPr>
          <w:u w:val="single"/>
        </w:rPr>
        <w:t>In case of conflict between the attachments and the Vendor’s written answers, the latter will prevail</w:t>
      </w:r>
      <w:r>
        <w:t xml:space="preserve">. </w:t>
      </w:r>
    </w:p>
    <w:p w:rsidR="002123C2" w:rsidRDefault="002123C2">
      <w:pPr>
        <w:jc w:val="both"/>
        <w:rPr>
          <w:rFonts w:ascii="Times New Roman" w:hAnsi="Times New Roman" w:cs="Times New Roman"/>
        </w:rPr>
      </w:pPr>
    </w:p>
    <w:p w:rsidR="002123C2" w:rsidRDefault="002123C2">
      <w:pPr>
        <w:pStyle w:val="BodyText"/>
        <w:rPr>
          <w:rFonts w:ascii="Times New Roman" w:hAnsi="Times New Roman" w:cs="Times New Roman"/>
          <w:i/>
          <w:iCs/>
        </w:rPr>
      </w:pPr>
      <w:r>
        <w:t xml:space="preserve">In order to facilitate the preparation and review of the RFP Non-Financial Responses and the RFP Financial Proposal, this RFP is being provided in an electronic format with space for the Vendor’s answers. </w:t>
      </w:r>
    </w:p>
    <w:p w:rsidR="002123C2" w:rsidRDefault="002123C2">
      <w:pPr>
        <w:jc w:val="both"/>
        <w:rPr>
          <w:rFonts w:ascii="Times New Roman" w:hAnsi="Times New Roman" w:cs="Times New Roman"/>
          <w:b/>
          <w:bCs/>
        </w:rPr>
      </w:pPr>
    </w:p>
    <w:p w:rsidR="002123C2" w:rsidRDefault="002123C2">
      <w:pPr>
        <w:jc w:val="both"/>
      </w:pPr>
      <w:r>
        <w:rPr>
          <w:b/>
          <w:bCs/>
        </w:rPr>
        <w:t xml:space="preserve">Premium rate proposals </w:t>
      </w:r>
      <w:r>
        <w:rPr>
          <w:b/>
          <w:bCs/>
          <w:u w:val="single"/>
        </w:rPr>
        <w:t>must only</w:t>
      </w:r>
      <w:r>
        <w:rPr>
          <w:b/>
          <w:bCs/>
        </w:rPr>
        <w:t xml:space="preserve"> be submitted with the RFP Financial Proposal.</w:t>
      </w:r>
      <w:r>
        <w:t xml:space="preserve"> Failure to comply with this section shall result in Vendor’s disqualification.</w:t>
      </w:r>
    </w:p>
    <w:p w:rsidR="002123C2" w:rsidRPr="00F415F2" w:rsidRDefault="002123C2" w:rsidP="00F415F2">
      <w:pPr>
        <w:jc w:val="both"/>
        <w:rPr>
          <w:rFonts w:ascii="Times New Roman" w:hAnsi="Times New Roman" w:cs="Times New Roman"/>
          <w:b/>
          <w:bCs/>
        </w:rPr>
      </w:pPr>
    </w:p>
    <w:p w:rsidR="002123C2" w:rsidRDefault="002123C2" w:rsidP="002123C2">
      <w:pPr>
        <w:pStyle w:val="Heading3"/>
        <w:numPr>
          <w:ilvl w:val="2"/>
          <w:numId w:val="14"/>
        </w:numPr>
        <w:spacing w:before="60" w:after="60" w:line="240" w:lineRule="auto"/>
      </w:pPr>
      <w:r>
        <w:t xml:space="preserve">RFP Submission Format </w:t>
      </w:r>
    </w:p>
    <w:p w:rsidR="002123C2" w:rsidRDefault="002123C2">
      <w:pPr>
        <w:jc w:val="both"/>
        <w:rPr>
          <w:rFonts w:ascii="Times New Roman" w:hAnsi="Times New Roman" w:cs="Times New Roman"/>
          <w:spacing w:val="-3"/>
        </w:rPr>
      </w:pPr>
    </w:p>
    <w:p w:rsidR="002123C2" w:rsidRDefault="002123C2" w:rsidP="009B5470">
      <w:pPr>
        <w:pStyle w:val="ListBullet"/>
      </w:pPr>
      <w:r>
        <w:t xml:space="preserve">The Vendor shall prepare one original and four printed copies of each of the RFP Non-financial Responses and the RFP Financial Proposal, clearly marking each "Original" or "Copy", as appropriate. </w:t>
      </w:r>
    </w:p>
    <w:p w:rsidR="002123C2" w:rsidRPr="00F415F2" w:rsidRDefault="002123C2" w:rsidP="00F415F2">
      <w:pPr>
        <w:jc w:val="both"/>
        <w:rPr>
          <w:rFonts w:ascii="Times New Roman" w:hAnsi="Times New Roman" w:cs="Times New Roman"/>
          <w:b/>
          <w:bCs/>
        </w:rPr>
      </w:pPr>
    </w:p>
    <w:p w:rsidR="002123C2" w:rsidRDefault="002123C2" w:rsidP="009B5470">
      <w:pPr>
        <w:pStyle w:val="ListBullet"/>
        <w:rPr>
          <w:b/>
          <w:bCs/>
        </w:rPr>
      </w:pPr>
      <w:r>
        <w:t xml:space="preserve">The Vendor shall also submit a digital version of the RFP Non-financial Responses and of the RFP Financial Proposal </w:t>
      </w:r>
      <w:r w:rsidRPr="0066684C">
        <w:t xml:space="preserve">via </w:t>
      </w:r>
      <w:r w:rsidR="00A3498A">
        <w:t>USB memory stick</w:t>
      </w:r>
      <w:r>
        <w:t xml:space="preserve"> in the respective envelope, with responses to all questions and components completed, in the appropriate </w:t>
      </w:r>
      <w:r w:rsidRPr="0066684C">
        <w:t>Excel 2010</w:t>
      </w:r>
      <w:r>
        <w:t xml:space="preserve"> format. In the event of any discrepancy between the printed copies or the digital copy and the Original, the Original shall govern. </w:t>
      </w:r>
      <w:r w:rsidRPr="00AE29A3">
        <w:rPr>
          <w:b/>
          <w:bCs/>
          <w:u w:val="single"/>
        </w:rPr>
        <w:t>Do not send proposals via e-mails. Failure to meet this requirement will automatically disqualify the candidate from the RFP process</w:t>
      </w:r>
      <w:r>
        <w:rPr>
          <w:b/>
          <w:bCs/>
        </w:rPr>
        <w:t>.</w:t>
      </w:r>
    </w:p>
    <w:p w:rsidR="002123C2" w:rsidRDefault="002123C2">
      <w:pPr>
        <w:jc w:val="both"/>
        <w:rPr>
          <w:rFonts w:ascii="Times New Roman" w:hAnsi="Times New Roman" w:cs="Times New Roman"/>
        </w:rPr>
      </w:pPr>
    </w:p>
    <w:p w:rsidR="002123C2" w:rsidRDefault="002123C2">
      <w:pPr>
        <w:jc w:val="both"/>
      </w:pPr>
      <w:r>
        <w:t>The original and four copies of each of the RFP Non-financial Responses and the RFP Financial Proposal shall be signed by a person or persons duly authorized to bind the Vendor. The latter authorization shall be indicated in writing accompanying the RFP Non-financial Responses.</w:t>
      </w:r>
    </w:p>
    <w:p w:rsidR="002123C2" w:rsidRDefault="002123C2">
      <w:pPr>
        <w:jc w:val="both"/>
      </w:pPr>
    </w:p>
    <w:p w:rsidR="002123C2" w:rsidRPr="00FC1393" w:rsidRDefault="002123C2">
      <w:pPr>
        <w:jc w:val="both"/>
        <w:rPr>
          <w:u w:val="single"/>
        </w:rPr>
      </w:pPr>
      <w:r w:rsidRPr="00FC1393">
        <w:rPr>
          <w:u w:val="single"/>
        </w:rPr>
        <w:t>The Vendor shall prepare two packages to this RFP. The first package should contain the RFP Non-financial Responses and the second the RFP Financial Proposal, as described below.</w:t>
      </w:r>
    </w:p>
    <w:p w:rsidR="002123C2" w:rsidRDefault="002123C2">
      <w:pPr>
        <w:jc w:val="both"/>
      </w:pPr>
    </w:p>
    <w:p w:rsidR="002123C2" w:rsidRDefault="002123C2" w:rsidP="009B5470">
      <w:pPr>
        <w:pStyle w:val="ListBullet"/>
      </w:pPr>
      <w:r>
        <w:t xml:space="preserve">The </w:t>
      </w:r>
      <w:r>
        <w:rPr>
          <w:b/>
          <w:bCs/>
        </w:rPr>
        <w:t>RFP Non-Financial Response</w:t>
      </w:r>
      <w:r>
        <w:t xml:space="preserve"> should be sealed in its own envelope and be clearly marked as follows: </w:t>
      </w:r>
    </w:p>
    <w:p w:rsidR="002123C2" w:rsidRDefault="002123C2" w:rsidP="00377664">
      <w:pPr>
        <w:pStyle w:val="ListBullet"/>
        <w:numPr>
          <w:ilvl w:val="0"/>
          <w:numId w:val="0"/>
        </w:numPr>
        <w:ind w:left="360"/>
      </w:pPr>
    </w:p>
    <w:p w:rsidR="002123C2" w:rsidRDefault="002123C2">
      <w:pPr>
        <w:ind w:left="360"/>
      </w:pPr>
      <w:r>
        <w:t>ENVELOPE N° 1</w:t>
      </w:r>
    </w:p>
    <w:p w:rsidR="002123C2" w:rsidRDefault="002123C2">
      <w:pPr>
        <w:ind w:left="360"/>
      </w:pPr>
      <w:r>
        <w:t xml:space="preserve">FINANCIAL OFFICE OF THE MINISTRY OF </w:t>
      </w:r>
      <w:r w:rsidR="00B44B92">
        <w:t>FOREIGN AFFAIRS</w:t>
      </w:r>
    </w:p>
    <w:p w:rsidR="002123C2" w:rsidRDefault="002123C2">
      <w:pPr>
        <w:ind w:left="360"/>
      </w:pPr>
      <w:r>
        <w:t>OF THE FEDERATIVE REPUBLIC OF BRAZIL</w:t>
      </w:r>
    </w:p>
    <w:p w:rsidR="002123C2" w:rsidRDefault="002123C2">
      <w:pPr>
        <w:ind w:left="360"/>
        <w:rPr>
          <w:rFonts w:ascii="Times New Roman" w:hAnsi="Times New Roman" w:cs="Times New Roman"/>
        </w:rPr>
      </w:pPr>
      <w:r>
        <w:t xml:space="preserve">REQUEST FOR PROPOSAL </w:t>
      </w:r>
      <w:r w:rsidRPr="0066684C">
        <w:t>N° 1/20</w:t>
      </w:r>
      <w:r w:rsidR="00F16180">
        <w:t>19</w:t>
      </w:r>
    </w:p>
    <w:p w:rsidR="002123C2" w:rsidRDefault="002123C2">
      <w:pPr>
        <w:ind w:left="360"/>
      </w:pPr>
      <w:r>
        <w:t>RFP NON-FINANCIAL RESPONSES</w:t>
      </w:r>
    </w:p>
    <w:p w:rsidR="002123C2" w:rsidRDefault="002123C2" w:rsidP="00377664">
      <w:pPr>
        <w:pStyle w:val="ListBullet"/>
        <w:numPr>
          <w:ilvl w:val="0"/>
          <w:numId w:val="0"/>
        </w:numPr>
        <w:ind w:left="360"/>
      </w:pPr>
    </w:p>
    <w:p w:rsidR="002123C2" w:rsidRDefault="002123C2" w:rsidP="009B5470">
      <w:pPr>
        <w:pStyle w:val="ListBullet"/>
      </w:pPr>
      <w:r>
        <w:t xml:space="preserve">The </w:t>
      </w:r>
      <w:r>
        <w:rPr>
          <w:b/>
          <w:bCs/>
        </w:rPr>
        <w:t>RFP Financial Proposal</w:t>
      </w:r>
      <w:r>
        <w:t xml:space="preserve"> should also be sealed in its own envelope and be clearly marked as follows:</w:t>
      </w:r>
    </w:p>
    <w:p w:rsidR="002123C2" w:rsidRDefault="002123C2">
      <w:pPr>
        <w:jc w:val="both"/>
        <w:rPr>
          <w:rFonts w:ascii="Times New Roman" w:hAnsi="Times New Roman" w:cs="Times New Roman"/>
        </w:rPr>
      </w:pPr>
    </w:p>
    <w:p w:rsidR="002123C2" w:rsidRDefault="002123C2">
      <w:pPr>
        <w:ind w:left="360"/>
      </w:pPr>
      <w:r>
        <w:t>ENVELOPE N° 2</w:t>
      </w:r>
    </w:p>
    <w:p w:rsidR="002123C2" w:rsidRDefault="002123C2">
      <w:pPr>
        <w:ind w:left="360"/>
      </w:pPr>
      <w:r>
        <w:t xml:space="preserve">FINANCIAL OFFICE OF THE MINISTRY OF </w:t>
      </w:r>
      <w:r w:rsidR="00B44B92">
        <w:t>FOREIGN AFFAIRS</w:t>
      </w:r>
    </w:p>
    <w:p w:rsidR="002123C2" w:rsidRDefault="002123C2">
      <w:pPr>
        <w:ind w:left="360"/>
      </w:pPr>
      <w:r>
        <w:t>OF THE FEDERATIVE REPUBLIC OF BRAZIL</w:t>
      </w:r>
    </w:p>
    <w:p w:rsidR="002123C2" w:rsidRDefault="002123C2">
      <w:pPr>
        <w:ind w:left="360"/>
        <w:rPr>
          <w:rFonts w:ascii="Times New Roman" w:hAnsi="Times New Roman" w:cs="Times New Roman"/>
        </w:rPr>
      </w:pPr>
      <w:r>
        <w:t xml:space="preserve">REQUEST FOR PROPOSAL </w:t>
      </w:r>
      <w:r w:rsidRPr="0066684C">
        <w:t>N° 1/20</w:t>
      </w:r>
      <w:r w:rsidR="00F16180">
        <w:t>19</w:t>
      </w:r>
    </w:p>
    <w:p w:rsidR="002123C2" w:rsidRDefault="002123C2">
      <w:pPr>
        <w:ind w:left="360"/>
      </w:pPr>
      <w:r>
        <w:t>RFP FINANCIAL PROPOSAL</w:t>
      </w:r>
    </w:p>
    <w:p w:rsidR="002123C2" w:rsidRDefault="002123C2">
      <w:pPr>
        <w:jc w:val="both"/>
        <w:rPr>
          <w:rFonts w:ascii="Times New Roman" w:hAnsi="Times New Roman" w:cs="Times New Roman"/>
        </w:rPr>
      </w:pPr>
    </w:p>
    <w:p w:rsidR="002123C2" w:rsidRDefault="002123C2">
      <w:pPr>
        <w:jc w:val="both"/>
        <w:rPr>
          <w:b/>
          <w:bCs/>
        </w:rPr>
      </w:pPr>
      <w:r>
        <w:rPr>
          <w:b/>
          <w:bCs/>
        </w:rPr>
        <w:lastRenderedPageBreak/>
        <w:t>Failure to seal and clearly mark both responses in separate envelopes shall result in the Vendor’s disqualification.</w:t>
      </w:r>
    </w:p>
    <w:p w:rsidR="002123C2" w:rsidRDefault="002123C2">
      <w:pPr>
        <w:jc w:val="both"/>
        <w:rPr>
          <w:rFonts w:ascii="Times New Roman" w:hAnsi="Times New Roman" w:cs="Times New Roman"/>
        </w:rPr>
      </w:pPr>
    </w:p>
    <w:p w:rsidR="002123C2" w:rsidRDefault="002123C2" w:rsidP="002123C2">
      <w:pPr>
        <w:pStyle w:val="Heading2"/>
        <w:numPr>
          <w:ilvl w:val="1"/>
          <w:numId w:val="14"/>
        </w:numPr>
        <w:spacing w:before="60" w:after="60" w:line="240" w:lineRule="auto"/>
      </w:pPr>
      <w:bookmarkStart w:id="27" w:name="_Toc240195201"/>
      <w:bookmarkStart w:id="28" w:name="_Toc243968445"/>
      <w:bookmarkStart w:id="29" w:name="_Toc374623912"/>
      <w:r>
        <w:t>Timeline</w:t>
      </w:r>
      <w:bookmarkEnd w:id="27"/>
      <w:bookmarkEnd w:id="28"/>
      <w:bookmarkEnd w:id="29"/>
    </w:p>
    <w:p w:rsidR="002123C2" w:rsidRDefault="002123C2" w:rsidP="00A579AE">
      <w:pPr>
        <w:pStyle w:val="ListBullet"/>
        <w:numPr>
          <w:ilvl w:val="0"/>
          <w:numId w:val="0"/>
        </w:numPr>
        <w:ind w:left="360"/>
      </w:pPr>
    </w:p>
    <w:p w:rsidR="002123C2" w:rsidRDefault="002123C2" w:rsidP="00A579AE">
      <w:pPr>
        <w:pStyle w:val="ListBullet"/>
        <w:numPr>
          <w:ilvl w:val="0"/>
          <w:numId w:val="0"/>
        </w:numPr>
        <w:ind w:left="360" w:hanging="360"/>
      </w:pPr>
      <w:r>
        <w:t>The timeline for this process is as follows:</w:t>
      </w:r>
    </w:p>
    <w:p w:rsidR="002123C2" w:rsidRDefault="002123C2" w:rsidP="00A579AE">
      <w:pPr>
        <w:pStyle w:val="ListBullet"/>
        <w:numPr>
          <w:ilvl w:val="0"/>
          <w:numId w:val="0"/>
        </w:numPr>
        <w:ind w:left="360"/>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gridCol w:w="3264"/>
      </w:tblGrid>
      <w:tr w:rsidR="002123C2" w:rsidTr="00F33EC1">
        <w:tc>
          <w:tcPr>
            <w:tcW w:w="6096" w:type="dxa"/>
            <w:tcBorders>
              <w:top w:val="single" w:sz="4" w:space="0" w:color="auto"/>
              <w:left w:val="single" w:sz="4" w:space="0" w:color="auto"/>
              <w:bottom w:val="single" w:sz="4" w:space="0" w:color="auto"/>
              <w:right w:val="single" w:sz="4" w:space="0" w:color="auto"/>
            </w:tcBorders>
          </w:tcPr>
          <w:p w:rsidR="002123C2" w:rsidRDefault="002123C2">
            <w:pPr>
              <w:jc w:val="both"/>
              <w:rPr>
                <w:spacing w:val="-3"/>
              </w:rPr>
            </w:pPr>
            <w:r>
              <w:rPr>
                <w:spacing w:val="-3"/>
              </w:rPr>
              <w:t>RFP Release</w:t>
            </w:r>
          </w:p>
        </w:tc>
        <w:tc>
          <w:tcPr>
            <w:tcW w:w="3264" w:type="dxa"/>
            <w:tcBorders>
              <w:top w:val="single" w:sz="4" w:space="0" w:color="auto"/>
              <w:left w:val="single" w:sz="4" w:space="0" w:color="auto"/>
              <w:bottom w:val="single" w:sz="4" w:space="0" w:color="auto"/>
              <w:right w:val="single" w:sz="4" w:space="0" w:color="auto"/>
            </w:tcBorders>
          </w:tcPr>
          <w:p w:rsidR="002123C2" w:rsidRPr="005B1E42" w:rsidRDefault="00ED68F6" w:rsidP="00F33EC1">
            <w:pPr>
              <w:jc w:val="both"/>
              <w:rPr>
                <w:spacing w:val="-3"/>
              </w:rPr>
            </w:pPr>
            <w:r>
              <w:rPr>
                <w:spacing w:val="-3"/>
              </w:rPr>
              <w:t>February 14</w:t>
            </w:r>
            <w:r w:rsidR="00FD6FD5" w:rsidRPr="002769FA">
              <w:rPr>
                <w:spacing w:val="-3"/>
                <w:vertAlign w:val="superscript"/>
              </w:rPr>
              <w:t>th</w:t>
            </w:r>
            <w:r w:rsidR="00FD6FD5">
              <w:rPr>
                <w:spacing w:val="-3"/>
              </w:rPr>
              <w:t xml:space="preserve"> </w:t>
            </w:r>
          </w:p>
        </w:tc>
      </w:tr>
      <w:tr w:rsidR="002123C2" w:rsidTr="00F33EC1">
        <w:tc>
          <w:tcPr>
            <w:tcW w:w="6096" w:type="dxa"/>
            <w:tcBorders>
              <w:top w:val="single" w:sz="4" w:space="0" w:color="auto"/>
              <w:left w:val="single" w:sz="4" w:space="0" w:color="auto"/>
              <w:bottom w:val="single" w:sz="4" w:space="0" w:color="auto"/>
              <w:right w:val="single" w:sz="4" w:space="0" w:color="auto"/>
            </w:tcBorders>
          </w:tcPr>
          <w:p w:rsidR="002123C2" w:rsidRPr="009043D5" w:rsidRDefault="00A021EA" w:rsidP="00A021EA">
            <w:pPr>
              <w:jc w:val="both"/>
              <w:rPr>
                <w:spacing w:val="-3"/>
              </w:rPr>
            </w:pPr>
            <w:r w:rsidRPr="00A021EA">
              <w:rPr>
                <w:spacing w:val="-3"/>
              </w:rPr>
              <w:t>Vendors Confirm Bidding Intentions, and submit questions to BFO</w:t>
            </w:r>
            <w:r>
              <w:rPr>
                <w:spacing w:val="-3"/>
              </w:rPr>
              <w:t xml:space="preserve"> through </w:t>
            </w:r>
            <w:hyperlink r:id="rId13" w:history="1">
              <w:r w:rsidR="00BD1F79">
                <w:rPr>
                  <w:rStyle w:val="Hyperlink"/>
                  <w:rFonts w:ascii="Arial" w:hAnsi="Arial" w:cs="Arial"/>
                  <w:color w:val="auto"/>
                  <w:spacing w:val="-3"/>
                  <w:u w:val="none"/>
                </w:rPr>
                <w:t>compraselicitacoes.efny@itamaraty.gov.br</w:t>
              </w:r>
            </w:hyperlink>
            <w:r w:rsidR="002123C2" w:rsidRPr="009043D5">
              <w:rPr>
                <w:spacing w:val="-3"/>
              </w:rPr>
              <w:t xml:space="preserve"> </w:t>
            </w:r>
            <w:r w:rsidR="005B1E42" w:rsidRPr="009043D5">
              <w:rPr>
                <w:spacing w:val="-3"/>
              </w:rPr>
              <w:t xml:space="preserve">and </w:t>
            </w:r>
            <w:hyperlink r:id="rId14" w:history="1">
              <w:r w:rsidR="00BD1F79">
                <w:rPr>
                  <w:rStyle w:val="Hyperlink"/>
                  <w:rFonts w:ascii="Arial" w:hAnsi="Arial" w:cs="Arial"/>
                  <w:color w:val="auto"/>
                  <w:spacing w:val="-3"/>
                  <w:u w:val="none"/>
                </w:rPr>
                <w:t>admin2@efny.org</w:t>
              </w:r>
            </w:hyperlink>
          </w:p>
        </w:tc>
        <w:tc>
          <w:tcPr>
            <w:tcW w:w="3264" w:type="dxa"/>
            <w:tcBorders>
              <w:top w:val="single" w:sz="4" w:space="0" w:color="auto"/>
              <w:left w:val="single" w:sz="4" w:space="0" w:color="auto"/>
              <w:bottom w:val="single" w:sz="4" w:space="0" w:color="auto"/>
              <w:right w:val="single" w:sz="4" w:space="0" w:color="auto"/>
            </w:tcBorders>
          </w:tcPr>
          <w:p w:rsidR="002123C2" w:rsidRPr="005B1E42" w:rsidRDefault="006E084B" w:rsidP="00ED68F6">
            <w:pPr>
              <w:jc w:val="both"/>
              <w:rPr>
                <w:spacing w:val="-3"/>
              </w:rPr>
            </w:pPr>
            <w:r>
              <w:rPr>
                <w:spacing w:val="-3"/>
              </w:rPr>
              <w:t xml:space="preserve">until </w:t>
            </w:r>
            <w:r w:rsidR="00ED68F6">
              <w:rPr>
                <w:spacing w:val="-3"/>
              </w:rPr>
              <w:t>February 28</w:t>
            </w:r>
            <w:r w:rsidRPr="002769FA">
              <w:rPr>
                <w:spacing w:val="-3"/>
                <w:vertAlign w:val="superscript"/>
              </w:rPr>
              <w:t>th</w:t>
            </w:r>
            <w:r>
              <w:rPr>
                <w:spacing w:val="-3"/>
              </w:rPr>
              <w:t xml:space="preserve"> </w:t>
            </w:r>
            <w:r w:rsidR="002123C2" w:rsidRPr="005B1E42">
              <w:rPr>
                <w:spacing w:val="-3"/>
              </w:rPr>
              <w:t xml:space="preserve"> </w:t>
            </w:r>
          </w:p>
        </w:tc>
      </w:tr>
      <w:tr w:rsidR="002123C2" w:rsidTr="00F33EC1">
        <w:tc>
          <w:tcPr>
            <w:tcW w:w="6096" w:type="dxa"/>
            <w:tcBorders>
              <w:top w:val="single" w:sz="4" w:space="0" w:color="auto"/>
              <w:left w:val="single" w:sz="4" w:space="0" w:color="auto"/>
              <w:bottom w:val="single" w:sz="4" w:space="0" w:color="auto"/>
              <w:right w:val="single" w:sz="4" w:space="0" w:color="auto"/>
            </w:tcBorders>
          </w:tcPr>
          <w:p w:rsidR="002123C2" w:rsidRDefault="006E0A84" w:rsidP="006E0A84">
            <w:pPr>
              <w:jc w:val="both"/>
              <w:rPr>
                <w:spacing w:val="-3"/>
              </w:rPr>
            </w:pPr>
            <w:r>
              <w:rPr>
                <w:spacing w:val="-3"/>
              </w:rPr>
              <w:t>Final date for</w:t>
            </w:r>
            <w:r w:rsidR="00BA48BD">
              <w:rPr>
                <w:spacing w:val="-3"/>
              </w:rPr>
              <w:t xml:space="preserve"> companies to submit</w:t>
            </w:r>
            <w:r>
              <w:rPr>
                <w:spacing w:val="-3"/>
              </w:rPr>
              <w:t xml:space="preserve"> </w:t>
            </w:r>
            <w:r w:rsidR="002123C2">
              <w:rPr>
                <w:spacing w:val="-3"/>
              </w:rPr>
              <w:t xml:space="preserve">Proposals </w:t>
            </w:r>
            <w:r>
              <w:rPr>
                <w:spacing w:val="-3"/>
              </w:rPr>
              <w:t xml:space="preserve">and envelopes opening session </w:t>
            </w:r>
            <w:r w:rsidR="002123C2">
              <w:rPr>
                <w:spacing w:val="-3"/>
              </w:rPr>
              <w:t xml:space="preserve"> </w:t>
            </w:r>
          </w:p>
        </w:tc>
        <w:tc>
          <w:tcPr>
            <w:tcW w:w="3264" w:type="dxa"/>
            <w:tcBorders>
              <w:top w:val="single" w:sz="4" w:space="0" w:color="auto"/>
              <w:left w:val="single" w:sz="4" w:space="0" w:color="auto"/>
              <w:bottom w:val="single" w:sz="4" w:space="0" w:color="auto"/>
              <w:right w:val="single" w:sz="4" w:space="0" w:color="auto"/>
            </w:tcBorders>
          </w:tcPr>
          <w:p w:rsidR="002123C2" w:rsidRPr="005B1E42" w:rsidRDefault="00ED68F6" w:rsidP="00AE29A3">
            <w:pPr>
              <w:jc w:val="both"/>
              <w:rPr>
                <w:spacing w:val="-3"/>
              </w:rPr>
            </w:pPr>
            <w:r>
              <w:rPr>
                <w:spacing w:val="-3"/>
              </w:rPr>
              <w:t>March 16</w:t>
            </w:r>
            <w:r w:rsidR="00B870D8" w:rsidRPr="002769FA">
              <w:rPr>
                <w:spacing w:val="-3"/>
                <w:vertAlign w:val="superscript"/>
              </w:rPr>
              <w:t>th</w:t>
            </w:r>
            <w:r w:rsidR="00B870D8">
              <w:rPr>
                <w:spacing w:val="-3"/>
              </w:rPr>
              <w:t xml:space="preserve"> </w:t>
            </w:r>
            <w:r w:rsidR="006E0A84">
              <w:rPr>
                <w:spacing w:val="-3"/>
              </w:rPr>
              <w:t>, 11 am</w:t>
            </w:r>
          </w:p>
        </w:tc>
      </w:tr>
      <w:tr w:rsidR="00B870D8" w:rsidTr="00F33EC1">
        <w:tc>
          <w:tcPr>
            <w:tcW w:w="6096" w:type="dxa"/>
            <w:tcBorders>
              <w:top w:val="single" w:sz="4" w:space="0" w:color="auto"/>
              <w:left w:val="single" w:sz="4" w:space="0" w:color="auto"/>
              <w:bottom w:val="single" w:sz="4" w:space="0" w:color="auto"/>
              <w:right w:val="single" w:sz="4" w:space="0" w:color="auto"/>
            </w:tcBorders>
          </w:tcPr>
          <w:p w:rsidR="00B870D8" w:rsidRDefault="00B870D8" w:rsidP="00B870D8">
            <w:pPr>
              <w:jc w:val="both"/>
              <w:rPr>
                <w:spacing w:val="-3"/>
              </w:rPr>
            </w:pPr>
          </w:p>
        </w:tc>
        <w:tc>
          <w:tcPr>
            <w:tcW w:w="3264" w:type="dxa"/>
            <w:tcBorders>
              <w:top w:val="single" w:sz="4" w:space="0" w:color="auto"/>
              <w:left w:val="single" w:sz="4" w:space="0" w:color="auto"/>
              <w:bottom w:val="single" w:sz="4" w:space="0" w:color="auto"/>
              <w:right w:val="single" w:sz="4" w:space="0" w:color="auto"/>
            </w:tcBorders>
          </w:tcPr>
          <w:p w:rsidR="00B870D8" w:rsidDel="00B870D8" w:rsidRDefault="00B870D8" w:rsidP="004E6526">
            <w:pPr>
              <w:jc w:val="both"/>
              <w:rPr>
                <w:spacing w:val="-3"/>
              </w:rPr>
            </w:pPr>
          </w:p>
        </w:tc>
      </w:tr>
      <w:tr w:rsidR="00B870D8" w:rsidTr="00F33EC1">
        <w:tc>
          <w:tcPr>
            <w:tcW w:w="6096" w:type="dxa"/>
            <w:tcBorders>
              <w:top w:val="single" w:sz="4" w:space="0" w:color="auto"/>
              <w:left w:val="single" w:sz="4" w:space="0" w:color="auto"/>
              <w:bottom w:val="single" w:sz="4" w:space="0" w:color="auto"/>
              <w:right w:val="single" w:sz="4" w:space="0" w:color="auto"/>
            </w:tcBorders>
          </w:tcPr>
          <w:p w:rsidR="00B870D8" w:rsidRDefault="00B870D8" w:rsidP="00B870D8">
            <w:pPr>
              <w:jc w:val="both"/>
              <w:rPr>
                <w:spacing w:val="-3"/>
              </w:rPr>
            </w:pPr>
          </w:p>
        </w:tc>
        <w:tc>
          <w:tcPr>
            <w:tcW w:w="3264" w:type="dxa"/>
            <w:tcBorders>
              <w:top w:val="single" w:sz="4" w:space="0" w:color="auto"/>
              <w:left w:val="single" w:sz="4" w:space="0" w:color="auto"/>
              <w:bottom w:val="single" w:sz="4" w:space="0" w:color="auto"/>
              <w:right w:val="single" w:sz="4" w:space="0" w:color="auto"/>
            </w:tcBorders>
          </w:tcPr>
          <w:p w:rsidR="00B870D8" w:rsidDel="00B870D8" w:rsidRDefault="00B870D8" w:rsidP="004E6526">
            <w:pPr>
              <w:jc w:val="both"/>
              <w:rPr>
                <w:spacing w:val="-3"/>
              </w:rPr>
            </w:pPr>
          </w:p>
        </w:tc>
      </w:tr>
      <w:tr w:rsidR="00B870D8" w:rsidTr="00F33EC1">
        <w:tc>
          <w:tcPr>
            <w:tcW w:w="6096" w:type="dxa"/>
            <w:tcBorders>
              <w:top w:val="single" w:sz="4" w:space="0" w:color="auto"/>
              <w:left w:val="single" w:sz="4" w:space="0" w:color="auto"/>
              <w:bottom w:val="single" w:sz="4" w:space="0" w:color="auto"/>
              <w:right w:val="single" w:sz="4" w:space="0" w:color="auto"/>
            </w:tcBorders>
          </w:tcPr>
          <w:p w:rsidR="00B870D8" w:rsidRDefault="00B870D8">
            <w:pPr>
              <w:jc w:val="both"/>
              <w:rPr>
                <w:spacing w:val="-3"/>
              </w:rPr>
            </w:pPr>
          </w:p>
        </w:tc>
        <w:tc>
          <w:tcPr>
            <w:tcW w:w="3264" w:type="dxa"/>
            <w:tcBorders>
              <w:top w:val="single" w:sz="4" w:space="0" w:color="auto"/>
              <w:left w:val="single" w:sz="4" w:space="0" w:color="auto"/>
              <w:bottom w:val="single" w:sz="4" w:space="0" w:color="auto"/>
              <w:right w:val="single" w:sz="4" w:space="0" w:color="auto"/>
            </w:tcBorders>
          </w:tcPr>
          <w:p w:rsidR="00B870D8" w:rsidRPr="005B1E42" w:rsidRDefault="00B870D8" w:rsidP="004E6526">
            <w:pPr>
              <w:jc w:val="both"/>
              <w:rPr>
                <w:spacing w:val="-3"/>
              </w:rPr>
            </w:pPr>
          </w:p>
        </w:tc>
      </w:tr>
      <w:tr w:rsidR="00B870D8" w:rsidTr="00F33EC1">
        <w:tc>
          <w:tcPr>
            <w:tcW w:w="6096" w:type="dxa"/>
            <w:tcBorders>
              <w:top w:val="single" w:sz="4" w:space="0" w:color="auto"/>
              <w:left w:val="single" w:sz="4" w:space="0" w:color="auto"/>
              <w:bottom w:val="single" w:sz="4" w:space="0" w:color="auto"/>
              <w:right w:val="single" w:sz="4" w:space="0" w:color="auto"/>
            </w:tcBorders>
          </w:tcPr>
          <w:p w:rsidR="00B870D8" w:rsidRDefault="00DE117F" w:rsidP="00ED68F6">
            <w:pPr>
              <w:jc w:val="both"/>
              <w:rPr>
                <w:spacing w:val="-3"/>
              </w:rPr>
            </w:pPr>
            <w:r w:rsidRPr="00DE117F">
              <w:rPr>
                <w:spacing w:val="-3"/>
              </w:rPr>
              <w:t xml:space="preserve">Process determination </w:t>
            </w:r>
          </w:p>
        </w:tc>
        <w:tc>
          <w:tcPr>
            <w:tcW w:w="3264" w:type="dxa"/>
            <w:tcBorders>
              <w:top w:val="single" w:sz="4" w:space="0" w:color="auto"/>
              <w:left w:val="single" w:sz="4" w:space="0" w:color="auto"/>
              <w:bottom w:val="single" w:sz="4" w:space="0" w:color="auto"/>
              <w:right w:val="single" w:sz="4" w:space="0" w:color="auto"/>
            </w:tcBorders>
          </w:tcPr>
          <w:p w:rsidR="00B870D8" w:rsidDel="00422C4C" w:rsidRDefault="00ED68F6" w:rsidP="004E6526">
            <w:pPr>
              <w:jc w:val="both"/>
              <w:rPr>
                <w:spacing w:val="-3"/>
              </w:rPr>
            </w:pPr>
            <w:r>
              <w:rPr>
                <w:spacing w:val="-3"/>
              </w:rPr>
              <w:t>March 18</w:t>
            </w:r>
            <w:r w:rsidR="00DE117F" w:rsidRPr="002769FA">
              <w:rPr>
                <w:spacing w:val="-3"/>
                <w:vertAlign w:val="superscript"/>
              </w:rPr>
              <w:t>th</w:t>
            </w:r>
            <w:r w:rsidR="00DE117F">
              <w:rPr>
                <w:spacing w:val="-3"/>
              </w:rPr>
              <w:t>, 20</w:t>
            </w:r>
            <w:r w:rsidR="004E6526">
              <w:rPr>
                <w:spacing w:val="-3"/>
              </w:rPr>
              <w:t>20</w:t>
            </w:r>
          </w:p>
        </w:tc>
      </w:tr>
      <w:tr w:rsidR="00B870D8" w:rsidTr="00F33EC1">
        <w:tc>
          <w:tcPr>
            <w:tcW w:w="6096" w:type="dxa"/>
            <w:tcBorders>
              <w:top w:val="single" w:sz="4" w:space="0" w:color="auto"/>
              <w:left w:val="single" w:sz="4" w:space="0" w:color="auto"/>
              <w:bottom w:val="single" w:sz="4" w:space="0" w:color="auto"/>
              <w:right w:val="single" w:sz="4" w:space="0" w:color="auto"/>
            </w:tcBorders>
          </w:tcPr>
          <w:p w:rsidR="00B870D8" w:rsidRDefault="00B870D8">
            <w:pPr>
              <w:jc w:val="both"/>
              <w:rPr>
                <w:spacing w:val="-3"/>
              </w:rPr>
            </w:pPr>
            <w:r>
              <w:rPr>
                <w:spacing w:val="-3"/>
              </w:rPr>
              <w:t>Effective date of plan</w:t>
            </w:r>
          </w:p>
        </w:tc>
        <w:tc>
          <w:tcPr>
            <w:tcW w:w="3264" w:type="dxa"/>
            <w:tcBorders>
              <w:top w:val="single" w:sz="4" w:space="0" w:color="auto"/>
              <w:left w:val="single" w:sz="4" w:space="0" w:color="auto"/>
              <w:bottom w:val="single" w:sz="4" w:space="0" w:color="auto"/>
              <w:right w:val="single" w:sz="4" w:space="0" w:color="auto"/>
            </w:tcBorders>
          </w:tcPr>
          <w:p w:rsidR="00B870D8" w:rsidRDefault="00DE117F" w:rsidP="00ED68F6">
            <w:pPr>
              <w:jc w:val="both"/>
              <w:rPr>
                <w:spacing w:val="-3"/>
              </w:rPr>
            </w:pPr>
            <w:r>
              <w:rPr>
                <w:spacing w:val="-3"/>
              </w:rPr>
              <w:t>April 1</w:t>
            </w:r>
            <w:r w:rsidRPr="002769FA">
              <w:rPr>
                <w:spacing w:val="-3"/>
                <w:vertAlign w:val="superscript"/>
              </w:rPr>
              <w:t>st</w:t>
            </w:r>
            <w:r>
              <w:rPr>
                <w:spacing w:val="-3"/>
              </w:rPr>
              <w:t>, 202</w:t>
            </w:r>
            <w:r w:rsidR="00ED68F6">
              <w:rPr>
                <w:spacing w:val="-3"/>
              </w:rPr>
              <w:t>1</w:t>
            </w:r>
          </w:p>
        </w:tc>
      </w:tr>
      <w:tr w:rsidR="00B870D8" w:rsidTr="00F33EC1">
        <w:tc>
          <w:tcPr>
            <w:tcW w:w="6096" w:type="dxa"/>
            <w:tcBorders>
              <w:top w:val="single" w:sz="4" w:space="0" w:color="auto"/>
              <w:left w:val="single" w:sz="4" w:space="0" w:color="auto"/>
              <w:bottom w:val="single" w:sz="4" w:space="0" w:color="auto"/>
              <w:right w:val="single" w:sz="4" w:space="0" w:color="auto"/>
            </w:tcBorders>
          </w:tcPr>
          <w:p w:rsidR="00B870D8" w:rsidRDefault="00B870D8">
            <w:pPr>
              <w:jc w:val="both"/>
              <w:rPr>
                <w:spacing w:val="-3"/>
              </w:rPr>
            </w:pPr>
          </w:p>
        </w:tc>
        <w:tc>
          <w:tcPr>
            <w:tcW w:w="3264" w:type="dxa"/>
            <w:tcBorders>
              <w:top w:val="single" w:sz="4" w:space="0" w:color="auto"/>
              <w:left w:val="single" w:sz="4" w:space="0" w:color="auto"/>
              <w:bottom w:val="single" w:sz="4" w:space="0" w:color="auto"/>
              <w:right w:val="single" w:sz="4" w:space="0" w:color="auto"/>
            </w:tcBorders>
          </w:tcPr>
          <w:p w:rsidR="00B870D8" w:rsidRDefault="00B870D8" w:rsidP="00294610">
            <w:pPr>
              <w:jc w:val="both"/>
              <w:rPr>
                <w:spacing w:val="-3"/>
              </w:rPr>
            </w:pPr>
          </w:p>
        </w:tc>
      </w:tr>
    </w:tbl>
    <w:p w:rsidR="002123C2" w:rsidRDefault="002123C2">
      <w:pPr>
        <w:rPr>
          <w:rFonts w:ascii="Times New Roman" w:hAnsi="Times New Roman" w:cs="Times New Roman"/>
        </w:rPr>
      </w:pPr>
    </w:p>
    <w:p w:rsidR="002123C2" w:rsidRDefault="002123C2" w:rsidP="002123C2">
      <w:pPr>
        <w:pStyle w:val="Heading3"/>
        <w:numPr>
          <w:ilvl w:val="2"/>
          <w:numId w:val="14"/>
        </w:numPr>
        <w:spacing w:before="60" w:after="60" w:line="240" w:lineRule="auto"/>
      </w:pPr>
      <w:r>
        <w:t>Deadline for Submission</w:t>
      </w:r>
    </w:p>
    <w:p w:rsidR="002123C2" w:rsidRDefault="002123C2">
      <w:pPr>
        <w:rPr>
          <w:rFonts w:ascii="Times New Roman" w:hAnsi="Times New Roman" w:cs="Times New Roman"/>
        </w:rPr>
      </w:pPr>
    </w:p>
    <w:p w:rsidR="002123C2" w:rsidRDefault="002123C2">
      <w:pPr>
        <w:jc w:val="both"/>
      </w:pPr>
      <w:r>
        <w:t>Envelopes N</w:t>
      </w:r>
      <w:r>
        <w:rPr>
          <w:rFonts w:ascii="Times New Roman" w:hAnsi="Times New Roman" w:cs="Times New Roman"/>
        </w:rPr>
        <w:sym w:font="Symbol" w:char="F0B0"/>
      </w:r>
      <w:r>
        <w:t xml:space="preserve"> 1 and N</w:t>
      </w:r>
      <w:r>
        <w:rPr>
          <w:rFonts w:ascii="Times New Roman" w:hAnsi="Times New Roman" w:cs="Times New Roman"/>
        </w:rPr>
        <w:sym w:font="Symbol" w:char="F0B0"/>
      </w:r>
      <w:r>
        <w:t xml:space="preserve"> 2 must be submitted to the Brazilian Financial Office</w:t>
      </w:r>
      <w:r w:rsidR="00A021EA">
        <w:t xml:space="preserve"> </w:t>
      </w:r>
      <w:r w:rsidR="00230610">
        <w:rPr>
          <w:spacing w:val="-3"/>
        </w:rPr>
        <w:t xml:space="preserve">until </w:t>
      </w:r>
      <w:r w:rsidR="00ED68F6">
        <w:rPr>
          <w:spacing w:val="-3"/>
        </w:rPr>
        <w:t>March 16</w:t>
      </w:r>
      <w:r w:rsidR="00230610" w:rsidRPr="002769FA">
        <w:rPr>
          <w:spacing w:val="-3"/>
          <w:vertAlign w:val="superscript"/>
        </w:rPr>
        <w:t>th</w:t>
      </w:r>
      <w:r w:rsidR="00230610">
        <w:rPr>
          <w:spacing w:val="-3"/>
        </w:rPr>
        <w:t xml:space="preserve"> </w:t>
      </w:r>
      <w:r>
        <w:t xml:space="preserve">at </w:t>
      </w:r>
      <w:r w:rsidR="00230610">
        <w:t>11:00</w:t>
      </w:r>
      <w:r>
        <w:t xml:space="preserve"> AM Eastern Standard Time at the following address:</w:t>
      </w:r>
    </w:p>
    <w:p w:rsidR="002123C2" w:rsidRDefault="002123C2">
      <w:pPr>
        <w:rPr>
          <w:rFonts w:ascii="Times New Roman" w:hAnsi="Times New Roman" w:cs="Times New Roman"/>
        </w:rPr>
      </w:pPr>
    </w:p>
    <w:p w:rsidR="002123C2" w:rsidRDefault="002123C2">
      <w:pPr>
        <w:rPr>
          <w:spacing w:val="-3"/>
        </w:rPr>
      </w:pPr>
      <w:r>
        <w:rPr>
          <w:spacing w:val="-3"/>
        </w:rPr>
        <w:t>Special Bidding Committee</w:t>
      </w:r>
    </w:p>
    <w:p w:rsidR="002123C2" w:rsidRDefault="002123C2">
      <w:pPr>
        <w:rPr>
          <w:spacing w:val="-3"/>
        </w:rPr>
      </w:pPr>
      <w:r>
        <w:rPr>
          <w:spacing w:val="-3"/>
        </w:rPr>
        <w:t>Brazilian Financial Office in New York</w:t>
      </w:r>
    </w:p>
    <w:p w:rsidR="002123C2" w:rsidRDefault="002123C2">
      <w:pPr>
        <w:rPr>
          <w:spacing w:val="-3"/>
        </w:rPr>
      </w:pPr>
      <w:r>
        <w:rPr>
          <w:spacing w:val="-3"/>
        </w:rPr>
        <w:t xml:space="preserve">Brazilian Ministry of </w:t>
      </w:r>
      <w:r w:rsidR="00B44B92">
        <w:rPr>
          <w:spacing w:val="-3"/>
        </w:rPr>
        <w:t>Foreign Affairs</w:t>
      </w:r>
    </w:p>
    <w:p w:rsidR="002123C2" w:rsidRPr="00012264" w:rsidRDefault="002123C2">
      <w:pPr>
        <w:rPr>
          <w:spacing w:val="-3"/>
        </w:rPr>
      </w:pPr>
      <w:r w:rsidRPr="00012264">
        <w:rPr>
          <w:spacing w:val="-3"/>
        </w:rPr>
        <w:t>1180 Avenue of the Americas</w:t>
      </w:r>
    </w:p>
    <w:p w:rsidR="002123C2" w:rsidRPr="00012264" w:rsidRDefault="002123C2">
      <w:pPr>
        <w:rPr>
          <w:spacing w:val="-3"/>
        </w:rPr>
      </w:pPr>
      <w:r w:rsidRPr="00012264">
        <w:rPr>
          <w:spacing w:val="-3"/>
        </w:rPr>
        <w:t>17</w:t>
      </w:r>
      <w:r w:rsidRPr="00012264">
        <w:rPr>
          <w:spacing w:val="-3"/>
          <w:vertAlign w:val="superscript"/>
        </w:rPr>
        <w:t>th</w:t>
      </w:r>
      <w:r w:rsidRPr="00012264">
        <w:rPr>
          <w:spacing w:val="-3"/>
        </w:rPr>
        <w:t xml:space="preserve"> Floor</w:t>
      </w:r>
    </w:p>
    <w:p w:rsidR="002123C2" w:rsidRDefault="002123C2">
      <w:pPr>
        <w:rPr>
          <w:rFonts w:ascii="Times New Roman" w:hAnsi="Times New Roman" w:cs="Times New Roman"/>
          <w:spacing w:val="-3"/>
        </w:rPr>
      </w:pPr>
      <w:r w:rsidRPr="00012264">
        <w:rPr>
          <w:spacing w:val="-3"/>
        </w:rPr>
        <w:t>New York, NY 10036</w:t>
      </w:r>
    </w:p>
    <w:p w:rsidR="002123C2" w:rsidRDefault="002123C2">
      <w:pPr>
        <w:rPr>
          <w:rFonts w:ascii="Times New Roman" w:hAnsi="Times New Roman" w:cs="Times New Roman"/>
          <w:spacing w:val="-3"/>
        </w:rPr>
      </w:pPr>
    </w:p>
    <w:p w:rsidR="002123C2" w:rsidRDefault="002123C2">
      <w:pPr>
        <w:jc w:val="both"/>
        <w:rPr>
          <w:rFonts w:ascii="Times New Roman" w:hAnsi="Times New Roman" w:cs="Times New Roman"/>
          <w:spacing w:val="-3"/>
        </w:rPr>
      </w:pPr>
      <w:r>
        <w:rPr>
          <w:spacing w:val="-3"/>
        </w:rPr>
        <w:t xml:space="preserve">For the purpose of posting or delivering the responses, it is acceptable for Envelopes </w:t>
      </w:r>
      <w:r>
        <w:t>N</w:t>
      </w:r>
      <w:r>
        <w:rPr>
          <w:rFonts w:ascii="Times New Roman" w:hAnsi="Times New Roman" w:cs="Times New Roman"/>
        </w:rPr>
        <w:sym w:font="Symbol" w:char="F0B0"/>
      </w:r>
      <w:r>
        <w:t xml:space="preserve"> 1 and N</w:t>
      </w:r>
      <w:r>
        <w:rPr>
          <w:rFonts w:ascii="Times New Roman" w:hAnsi="Times New Roman" w:cs="Times New Roman"/>
        </w:rPr>
        <w:sym w:font="Symbol" w:char="F0B0"/>
      </w:r>
      <w:r>
        <w:t xml:space="preserve"> 2 (individually sealed) to be contained within a single package send to the address above.</w:t>
      </w:r>
    </w:p>
    <w:p w:rsidR="002123C2" w:rsidRDefault="002123C2">
      <w:pPr>
        <w:jc w:val="both"/>
        <w:rPr>
          <w:rFonts w:ascii="Times New Roman" w:hAnsi="Times New Roman" w:cs="Times New Roman"/>
          <w:spacing w:val="-3"/>
        </w:rPr>
      </w:pPr>
    </w:p>
    <w:p w:rsidR="002123C2" w:rsidRPr="0066684C" w:rsidRDefault="002123C2">
      <w:pPr>
        <w:jc w:val="both"/>
        <w:rPr>
          <w:rFonts w:ascii="Times New Roman" w:hAnsi="Times New Roman" w:cs="Times New Roman"/>
          <w:spacing w:val="-3"/>
          <w:u w:val="single"/>
        </w:rPr>
      </w:pPr>
      <w:r w:rsidRPr="0066684C">
        <w:rPr>
          <w:spacing w:val="-3"/>
          <w:u w:val="single"/>
        </w:rPr>
        <w:t xml:space="preserve">Facsimile responses to this RFP are not acceptable and will not be considered. </w:t>
      </w:r>
    </w:p>
    <w:p w:rsidR="002123C2" w:rsidRDefault="002123C2">
      <w:pPr>
        <w:rPr>
          <w:rFonts w:ascii="Times New Roman" w:hAnsi="Times New Roman" w:cs="Times New Roman"/>
          <w:spacing w:val="-3"/>
        </w:rPr>
      </w:pPr>
    </w:p>
    <w:p w:rsidR="002123C2" w:rsidRDefault="002123C2" w:rsidP="002123C2">
      <w:pPr>
        <w:pStyle w:val="Heading3"/>
        <w:numPr>
          <w:ilvl w:val="2"/>
          <w:numId w:val="14"/>
        </w:numPr>
        <w:spacing w:before="60" w:after="60" w:line="240" w:lineRule="auto"/>
      </w:pPr>
      <w:r>
        <w:t xml:space="preserve">Clarification of RFP terms </w:t>
      </w:r>
    </w:p>
    <w:p w:rsidR="002123C2" w:rsidRDefault="002123C2">
      <w:pPr>
        <w:jc w:val="both"/>
        <w:rPr>
          <w:rFonts w:ascii="Times New Roman" w:hAnsi="Times New Roman" w:cs="Times New Roman"/>
        </w:rPr>
      </w:pPr>
    </w:p>
    <w:p w:rsidR="002123C2" w:rsidRDefault="002123C2">
      <w:pPr>
        <w:jc w:val="both"/>
        <w:rPr>
          <w:strike/>
        </w:rPr>
      </w:pPr>
      <w:r>
        <w:t>A prospective Vendor requiring any clarification about this RFP may notify the Brazilian Financial Office</w:t>
      </w:r>
      <w:r>
        <w:rPr>
          <w:i/>
          <w:iCs/>
        </w:rPr>
        <w:t xml:space="preserve"> </w:t>
      </w:r>
      <w:r>
        <w:t>in writing at the following e-mail address</w:t>
      </w:r>
      <w:r w:rsidR="005B1E42">
        <w:t>es</w:t>
      </w:r>
      <w:r>
        <w:t xml:space="preserve">: </w:t>
      </w:r>
      <w:r w:rsidR="00230610" w:rsidRPr="00230610">
        <w:t>compraselicitacoes.efny@itamaraty.gov.br and admin2@efny.org</w:t>
      </w:r>
      <w:r w:rsidRPr="009043D5">
        <w:t>. All questions must be</w:t>
      </w:r>
      <w:r>
        <w:t xml:space="preserve"> submitted </w:t>
      </w:r>
      <w:r w:rsidR="00F33EC1">
        <w:t>within 1 week of the RFP release</w:t>
      </w:r>
      <w:r w:rsidRPr="00681EBC">
        <w:t xml:space="preserve">. The </w:t>
      </w:r>
      <w:r w:rsidR="0066684C" w:rsidRPr="00681EBC">
        <w:t>Committee</w:t>
      </w:r>
      <w:r w:rsidRPr="00681EBC">
        <w:t xml:space="preserve">, assisted by Mercer, will respond to all questions </w:t>
      </w:r>
      <w:r w:rsidR="00F33EC1">
        <w:t>within 2 weeks of the RFP release.</w:t>
      </w:r>
      <w:r>
        <w:rPr>
          <w:strike/>
        </w:rPr>
        <w:t xml:space="preserve"> </w:t>
      </w:r>
    </w:p>
    <w:p w:rsidR="00012264" w:rsidRDefault="00012264">
      <w:pPr>
        <w:rPr>
          <w:rFonts w:ascii="Times New Roman" w:hAnsi="Times New Roman" w:cs="Times New Roman"/>
        </w:rPr>
      </w:pPr>
    </w:p>
    <w:p w:rsidR="002123C2" w:rsidRDefault="002123C2" w:rsidP="002123C2">
      <w:pPr>
        <w:pStyle w:val="Heading3"/>
        <w:numPr>
          <w:ilvl w:val="2"/>
          <w:numId w:val="14"/>
        </w:numPr>
        <w:spacing w:before="60" w:after="60" w:line="240" w:lineRule="auto"/>
      </w:pPr>
      <w:r>
        <w:t>Period of Validity of RFP Non-Financial Response and the RFP Financial Proposal</w:t>
      </w:r>
    </w:p>
    <w:p w:rsidR="002123C2" w:rsidRDefault="002123C2">
      <w:pPr>
        <w:jc w:val="both"/>
        <w:rPr>
          <w:rFonts w:ascii="Times New Roman" w:hAnsi="Times New Roman" w:cs="Times New Roman"/>
          <w:color w:val="FF0000"/>
        </w:rPr>
      </w:pPr>
    </w:p>
    <w:p w:rsidR="002123C2" w:rsidRDefault="002123C2">
      <w:pPr>
        <w:jc w:val="both"/>
      </w:pPr>
      <w:r>
        <w:lastRenderedPageBreak/>
        <w:t>The RFP Non-Financial Responses and the RFP Financial Proposal shall remain valid from the date of submission until the effective date of the pla</w:t>
      </w:r>
      <w:r w:rsidR="00012264">
        <w:t>n (</w:t>
      </w:r>
      <w:r>
        <w:t>April 1, 20</w:t>
      </w:r>
      <w:r w:rsidR="00987940">
        <w:t>20</w:t>
      </w:r>
      <w:r>
        <w:t xml:space="preserve">). An RFP Non-Financial Responses and/or an RFP Financial Proposal valid for a shorter period shall be rejected. </w:t>
      </w:r>
    </w:p>
    <w:p w:rsidR="002123C2" w:rsidRDefault="002123C2">
      <w:pPr>
        <w:jc w:val="both"/>
      </w:pPr>
      <w:r>
        <w:tab/>
      </w:r>
    </w:p>
    <w:p w:rsidR="002123C2" w:rsidRDefault="002123C2">
      <w:pPr>
        <w:jc w:val="both"/>
      </w:pPr>
      <w:r>
        <w:t>The RFP Non-Financial Responses and the RFP Financial Proposal of the successful Vendor must remain valid for at least the first full year of the Agreement, which shall be executed by the Brazilian Financial Office and the successful Vendor.</w:t>
      </w:r>
    </w:p>
    <w:p w:rsidR="002123C2" w:rsidRDefault="002123C2">
      <w:pPr>
        <w:jc w:val="both"/>
      </w:pPr>
      <w:r>
        <w:tab/>
      </w:r>
    </w:p>
    <w:p w:rsidR="002123C2" w:rsidRDefault="002123C2">
      <w:pPr>
        <w:jc w:val="both"/>
      </w:pPr>
      <w:r>
        <w:rPr>
          <w:u w:val="single"/>
        </w:rPr>
        <w:t xml:space="preserve">The </w:t>
      </w:r>
      <w:r w:rsidR="00BC3411">
        <w:rPr>
          <w:u w:val="single"/>
        </w:rPr>
        <w:t>Committee</w:t>
      </w:r>
      <w:r>
        <w:rPr>
          <w:u w:val="single"/>
        </w:rPr>
        <w:t xml:space="preserve"> may solicit the Vendor’s consent to an extension of the RFP Non-</w:t>
      </w:r>
      <w:r w:rsidR="00987940">
        <w:rPr>
          <w:u w:val="single"/>
        </w:rPr>
        <w:t>F</w:t>
      </w:r>
      <w:r>
        <w:rPr>
          <w:u w:val="single"/>
        </w:rPr>
        <w:t>inancial Responses and the RFP Financial Proposal’s period of validity</w:t>
      </w:r>
      <w:r>
        <w:t>. Any such request and the responses thereto shall be made in writing.</w:t>
      </w:r>
    </w:p>
    <w:p w:rsidR="002123C2" w:rsidRDefault="002123C2">
      <w:pPr>
        <w:rPr>
          <w:rFonts w:ascii="Times New Roman" w:hAnsi="Times New Roman" w:cs="Times New Roman"/>
        </w:rPr>
      </w:pPr>
    </w:p>
    <w:p w:rsidR="002123C2" w:rsidRDefault="002123C2" w:rsidP="002123C2">
      <w:pPr>
        <w:pStyle w:val="Heading3"/>
        <w:numPr>
          <w:ilvl w:val="2"/>
          <w:numId w:val="14"/>
        </w:numPr>
        <w:spacing w:before="60" w:after="60" w:line="240" w:lineRule="auto"/>
      </w:pPr>
      <w:r>
        <w:t>RFP Results</w:t>
      </w:r>
    </w:p>
    <w:p w:rsidR="002123C2" w:rsidRDefault="002123C2">
      <w:pPr>
        <w:rPr>
          <w:rFonts w:ascii="Times New Roman" w:hAnsi="Times New Roman" w:cs="Times New Roman"/>
          <w:spacing w:val="-3"/>
        </w:rPr>
      </w:pPr>
    </w:p>
    <w:p w:rsidR="002123C2" w:rsidRDefault="002123C2">
      <w:pPr>
        <w:pStyle w:val="BodyText"/>
      </w:pPr>
      <w:r>
        <w:t xml:space="preserve">The </w:t>
      </w:r>
      <w:r w:rsidR="00BC3411">
        <w:t>Committee</w:t>
      </w:r>
      <w:r>
        <w:t xml:space="preserve"> will be the sole judge of the qualifications of all prospective candidates. The Brazilian Financial Office is aware that information in the RFP Non-Financial Responses and the RFP Financial Proposal gives an indication of the Vendor's current operations and future plans. Therefore, use of this information from Vendors shall be confined to this RFP and will be treated as confidential. </w:t>
      </w:r>
    </w:p>
    <w:p w:rsidR="002123C2" w:rsidRDefault="002123C2">
      <w:pPr>
        <w:jc w:val="both"/>
        <w:rPr>
          <w:rFonts w:ascii="Times New Roman" w:hAnsi="Times New Roman" w:cs="Times New Roman"/>
        </w:rPr>
      </w:pPr>
    </w:p>
    <w:p w:rsidR="002123C2" w:rsidRDefault="002123C2" w:rsidP="002123C2">
      <w:pPr>
        <w:pStyle w:val="Heading3"/>
        <w:numPr>
          <w:ilvl w:val="2"/>
          <w:numId w:val="14"/>
        </w:numPr>
        <w:spacing w:before="60" w:after="60" w:line="240" w:lineRule="auto"/>
      </w:pPr>
      <w:r>
        <w:t xml:space="preserve">Notification of Successful Vendor </w:t>
      </w:r>
    </w:p>
    <w:p w:rsidR="002123C2" w:rsidRDefault="002123C2">
      <w:pPr>
        <w:jc w:val="both"/>
        <w:rPr>
          <w:rFonts w:ascii="Times New Roman" w:hAnsi="Times New Roman" w:cs="Times New Roman"/>
        </w:rPr>
      </w:pPr>
      <w:r>
        <w:rPr>
          <w:rFonts w:ascii="Times New Roman" w:hAnsi="Times New Roman" w:cs="Times New Roman"/>
        </w:rPr>
        <w:tab/>
      </w:r>
    </w:p>
    <w:p w:rsidR="002123C2" w:rsidRDefault="002D5A27">
      <w:pPr>
        <w:pStyle w:val="BodyText"/>
      </w:pPr>
      <w:r>
        <w:t>All the vendors will be notified of the results by e-mail</w:t>
      </w:r>
      <w:bookmarkStart w:id="30" w:name="_GoBack"/>
      <w:bookmarkEnd w:id="30"/>
      <w:r w:rsidR="002123C2">
        <w:t>.</w:t>
      </w:r>
    </w:p>
    <w:p w:rsidR="002123C2" w:rsidRDefault="002123C2">
      <w:pPr>
        <w:rPr>
          <w:rFonts w:ascii="Times New Roman" w:hAnsi="Times New Roman" w:cs="Times New Roman"/>
        </w:rPr>
      </w:pPr>
    </w:p>
    <w:p w:rsidR="002123C2" w:rsidRDefault="002123C2" w:rsidP="002123C2">
      <w:pPr>
        <w:pStyle w:val="Heading3"/>
        <w:numPr>
          <w:ilvl w:val="2"/>
          <w:numId w:val="14"/>
        </w:numPr>
        <w:spacing w:before="60" w:after="60" w:line="240" w:lineRule="auto"/>
      </w:pPr>
      <w:r>
        <w:t>Execution of the Agreement</w:t>
      </w:r>
    </w:p>
    <w:p w:rsidR="002123C2" w:rsidRDefault="002123C2">
      <w:pPr>
        <w:jc w:val="both"/>
        <w:rPr>
          <w:rFonts w:ascii="Times New Roman" w:hAnsi="Times New Roman" w:cs="Times New Roman"/>
        </w:rPr>
      </w:pPr>
    </w:p>
    <w:p w:rsidR="002123C2" w:rsidRDefault="002123C2">
      <w:pPr>
        <w:pStyle w:val="BodyText"/>
        <w:rPr>
          <w:rFonts w:ascii="Times New Roman" w:hAnsi="Times New Roman" w:cs="Times New Roman"/>
          <w:i/>
          <w:iCs/>
        </w:rPr>
      </w:pPr>
      <w:r>
        <w:t xml:space="preserve">At the same time as the </w:t>
      </w:r>
      <w:r w:rsidR="00E90F0E">
        <w:t>Committee</w:t>
      </w:r>
      <w:r>
        <w:t xml:space="preserve"> notifies a successful Vendor that its proposal has been accepted, the Brazilian Financial Office will invite the Vendor to sign the Agreement.  Please note that the contract framework of the Agreement is not negotiable and the Agreement to be executed shall reflect it. </w:t>
      </w:r>
    </w:p>
    <w:p w:rsidR="002123C2" w:rsidRDefault="002123C2">
      <w:pPr>
        <w:rPr>
          <w:rFonts w:ascii="Times New Roman" w:hAnsi="Times New Roman" w:cs="Times New Roman"/>
        </w:rPr>
      </w:pPr>
    </w:p>
    <w:p w:rsidR="002123C2" w:rsidRDefault="002123C2" w:rsidP="002123C2">
      <w:pPr>
        <w:pStyle w:val="Heading2"/>
        <w:numPr>
          <w:ilvl w:val="1"/>
          <w:numId w:val="14"/>
        </w:numPr>
        <w:spacing w:before="60" w:after="60" w:line="240" w:lineRule="auto"/>
      </w:pPr>
      <w:bookmarkStart w:id="31" w:name="_Toc240195202"/>
      <w:bookmarkStart w:id="32" w:name="_Toc243968446"/>
      <w:bookmarkStart w:id="33" w:name="_Toc374623913"/>
      <w:r>
        <w:t>Additional Information</w:t>
      </w:r>
      <w:bookmarkEnd w:id="31"/>
      <w:bookmarkEnd w:id="32"/>
      <w:bookmarkEnd w:id="33"/>
    </w:p>
    <w:p w:rsidR="002123C2" w:rsidRDefault="002123C2">
      <w:pPr>
        <w:rPr>
          <w:rFonts w:ascii="Times New Roman" w:hAnsi="Times New Roman" w:cs="Times New Roman"/>
        </w:rPr>
      </w:pPr>
    </w:p>
    <w:p w:rsidR="002123C2" w:rsidRDefault="002123C2">
      <w:pPr>
        <w:pStyle w:val="BodyText"/>
      </w:pPr>
      <w:r>
        <w:t xml:space="preserve">The </w:t>
      </w:r>
      <w:r w:rsidR="00E90F0E">
        <w:t>Committee</w:t>
      </w:r>
      <w:r>
        <w:t xml:space="preserve"> may, at its sole discretion, accept RFP Non-Financial Responses and RFP Financial Proposals that may contain small errors, omissions, and imperfections that are irrelevant to the evaluation process. In this case, the vendor must present a revised proposal up to five business days after being notified of the error.</w:t>
      </w:r>
    </w:p>
    <w:p w:rsidR="00E86494" w:rsidRDefault="00E86494">
      <w:pPr>
        <w:pStyle w:val="BodyText"/>
      </w:pPr>
    </w:p>
    <w:p w:rsidR="002123C2" w:rsidRDefault="002123C2">
      <w:pPr>
        <w:jc w:val="both"/>
      </w:pPr>
      <w:r>
        <w:t xml:space="preserve">The </w:t>
      </w:r>
      <w:r w:rsidR="00E90F0E">
        <w:t>Committee</w:t>
      </w:r>
      <w:r>
        <w:t xml:space="preserve"> has the power to request additional information that may clarify and/or fulfill omitted details in the RFP Non-Financial Responses.</w:t>
      </w:r>
    </w:p>
    <w:p w:rsidR="00E86494" w:rsidRDefault="00E86494">
      <w:pPr>
        <w:jc w:val="both"/>
      </w:pPr>
    </w:p>
    <w:p w:rsidR="002123C2" w:rsidRDefault="002123C2">
      <w:pPr>
        <w:jc w:val="both"/>
      </w:pPr>
      <w:r>
        <w:t xml:space="preserve">The Brazilian Financial Office has the right to void this RFP at any time prior to the execution of the Agreement, for reasons of public interest, and at its sole discretion. The Brazilian Financial Office is not subject to any obligations or liabilities as a result of the RFP process, prior to the execution of the Agreement. </w:t>
      </w:r>
    </w:p>
    <w:p w:rsidR="002123C2" w:rsidRDefault="002123C2">
      <w:pPr>
        <w:rPr>
          <w:rFonts w:ascii="Times New Roman" w:hAnsi="Times New Roman" w:cs="Times New Roman"/>
        </w:rPr>
      </w:pPr>
    </w:p>
    <w:p w:rsidR="002123C2" w:rsidRDefault="002123C2">
      <w:pPr>
        <w:pStyle w:val="Header"/>
        <w:tabs>
          <w:tab w:val="clear" w:pos="4320"/>
          <w:tab w:val="clear" w:pos="8640"/>
        </w:tabs>
        <w:rPr>
          <w:rFonts w:ascii="Times New Roman" w:hAnsi="Times New Roman" w:cs="Times New Roman"/>
        </w:rPr>
      </w:pPr>
    </w:p>
    <w:p w:rsidR="002123C2" w:rsidRDefault="002123C2">
      <w:pPr>
        <w:pStyle w:val="SectionStart"/>
        <w:keepNext w:val="0"/>
        <w:pBdr>
          <w:top w:val="single" w:sz="12" w:space="0" w:color="auto"/>
          <w:left w:val="single" w:sz="12" w:space="0" w:color="auto"/>
          <w:bottom w:val="single" w:sz="12" w:space="0" w:color="auto"/>
          <w:right w:val="single" w:sz="12" w:space="0" w:color="auto"/>
        </w:pBdr>
        <w:tabs>
          <w:tab w:val="clear" w:pos="0"/>
          <w:tab w:val="num" w:pos="547"/>
        </w:tabs>
        <w:spacing w:before="1500" w:after="480" w:line="1820" w:lineRule="exact"/>
        <w:ind w:right="6840"/>
        <w:rPr>
          <w:rFonts w:ascii="Times New Roman" w:hAnsi="Times New Roman" w:cs="Times New Roman"/>
        </w:rPr>
      </w:pPr>
    </w:p>
    <w:p w:rsidR="002123C2" w:rsidRDefault="002123C2" w:rsidP="002123C2">
      <w:pPr>
        <w:pStyle w:val="Heading1"/>
        <w:numPr>
          <w:ilvl w:val="0"/>
          <w:numId w:val="14"/>
        </w:numPr>
        <w:spacing w:after="60" w:line="240" w:lineRule="auto"/>
      </w:pPr>
      <w:bookmarkStart w:id="34" w:name="_Toc243968447"/>
      <w:bookmarkStart w:id="35" w:name="_Toc374623914"/>
      <w:r>
        <w:t>Mandatory Requirements</w:t>
      </w:r>
      <w:bookmarkEnd w:id="34"/>
      <w:bookmarkEnd w:id="35"/>
    </w:p>
    <w:p w:rsidR="002123C2" w:rsidRDefault="002123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5"/>
      </w:tblGrid>
      <w:tr w:rsidR="002123C2">
        <w:tc>
          <w:tcPr>
            <w:tcW w:w="8885" w:type="dxa"/>
            <w:tcBorders>
              <w:top w:val="single" w:sz="4" w:space="0" w:color="auto"/>
              <w:left w:val="single" w:sz="4" w:space="0" w:color="auto"/>
              <w:bottom w:val="single" w:sz="4" w:space="0" w:color="auto"/>
              <w:right w:val="single" w:sz="4" w:space="0" w:color="auto"/>
            </w:tcBorders>
          </w:tcPr>
          <w:p w:rsidR="002123C2" w:rsidRDefault="002123C2">
            <w:pPr>
              <w:tabs>
                <w:tab w:val="left" w:pos="-720"/>
              </w:tabs>
              <w:suppressAutoHyphens/>
              <w:spacing w:before="60" w:after="60"/>
              <w:jc w:val="both"/>
              <w:rPr>
                <w:rFonts w:ascii="Times New Roman" w:hAnsi="Times New Roman" w:cs="Times New Roman"/>
                <w:i/>
                <w:iCs/>
                <w:spacing w:val="-3"/>
              </w:rPr>
            </w:pPr>
            <w:r>
              <w:rPr>
                <w:i/>
                <w:iCs/>
              </w:rPr>
              <w:t>Vendor Instructions: Vendors are to confirm that they can meet all of the requirements listed in the Mandatory Requirement Form tab included in the Non-Financial Response Template by checking the box at the end of the section.</w:t>
            </w:r>
          </w:p>
        </w:tc>
      </w:tr>
    </w:tbl>
    <w:p w:rsidR="002123C2" w:rsidRDefault="002123C2" w:rsidP="008E60CC">
      <w:pPr>
        <w:pStyle w:val="ListBullet"/>
        <w:numPr>
          <w:ilvl w:val="0"/>
          <w:numId w:val="0"/>
        </w:numPr>
        <w:ind w:left="360"/>
      </w:pPr>
    </w:p>
    <w:p w:rsidR="002123C2" w:rsidRDefault="002123C2">
      <w:pPr>
        <w:tabs>
          <w:tab w:val="left" w:pos="-720"/>
        </w:tabs>
        <w:suppressAutoHyphens/>
        <w:jc w:val="both"/>
        <w:rPr>
          <w:spacing w:val="-3"/>
        </w:rPr>
      </w:pPr>
      <w:r>
        <w:rPr>
          <w:spacing w:val="-3"/>
        </w:rPr>
        <w:t xml:space="preserve">In order to be considered to provide insurance and administer the benefit plans for the Brazilian Financial Office, the Vendor </w:t>
      </w:r>
      <w:r>
        <w:rPr>
          <w:b/>
          <w:bCs/>
          <w:spacing w:val="-3"/>
          <w:u w:val="single"/>
        </w:rPr>
        <w:t>must</w:t>
      </w:r>
      <w:r>
        <w:rPr>
          <w:spacing w:val="-3"/>
        </w:rPr>
        <w:t xml:space="preserve"> meet all the mandatory criteria described in the template </w:t>
      </w:r>
      <w:r>
        <w:rPr>
          <w:b/>
          <w:bCs/>
          <w:spacing w:val="-3"/>
          <w:u w:val="single"/>
        </w:rPr>
        <w:t>and</w:t>
      </w:r>
      <w:r>
        <w:rPr>
          <w:spacing w:val="-3"/>
        </w:rPr>
        <w:t xml:space="preserve"> provide evidence to support this (via answers to questions in the rest of this RFP).</w:t>
      </w:r>
    </w:p>
    <w:p w:rsidR="002123C2" w:rsidRDefault="002123C2">
      <w:pPr>
        <w:pStyle w:val="BodyTextIndent"/>
        <w:ind w:firstLine="0"/>
        <w:rPr>
          <w:rFonts w:ascii="Times New Roman" w:hAnsi="Times New Roman" w:cs="Times New Roman"/>
          <w:sz w:val="22"/>
          <w:szCs w:val="22"/>
        </w:rPr>
      </w:pPr>
    </w:p>
    <w:p w:rsidR="002123C2" w:rsidRDefault="002123C2">
      <w:pPr>
        <w:pStyle w:val="SectionStart"/>
        <w:keepNext w:val="0"/>
        <w:pBdr>
          <w:top w:val="single" w:sz="12" w:space="0" w:color="auto"/>
          <w:left w:val="single" w:sz="12" w:space="0" w:color="auto"/>
          <w:bottom w:val="single" w:sz="12" w:space="0" w:color="auto"/>
          <w:right w:val="single" w:sz="12" w:space="0" w:color="auto"/>
        </w:pBdr>
        <w:tabs>
          <w:tab w:val="clear" w:pos="0"/>
          <w:tab w:val="num" w:pos="547"/>
        </w:tabs>
        <w:spacing w:before="1500" w:after="480" w:line="1820" w:lineRule="exact"/>
        <w:ind w:right="6840"/>
        <w:rPr>
          <w:rFonts w:ascii="Times New Roman" w:hAnsi="Times New Roman" w:cs="Times New Roman"/>
        </w:rPr>
      </w:pPr>
    </w:p>
    <w:p w:rsidR="002123C2" w:rsidRDefault="002123C2" w:rsidP="002123C2">
      <w:pPr>
        <w:pStyle w:val="Heading1"/>
        <w:numPr>
          <w:ilvl w:val="0"/>
          <w:numId w:val="14"/>
        </w:numPr>
        <w:spacing w:after="60" w:line="240" w:lineRule="auto"/>
      </w:pPr>
      <w:bookmarkStart w:id="36" w:name="_Toc243968448"/>
      <w:bookmarkStart w:id="37" w:name="_Toc374623915"/>
      <w:r>
        <w:t>Plan Design and Financing</w:t>
      </w:r>
      <w:bookmarkEnd w:id="36"/>
      <w:bookmarkEnd w:id="37"/>
    </w:p>
    <w:p w:rsidR="002123C2" w:rsidRDefault="002123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5"/>
      </w:tblGrid>
      <w:tr w:rsidR="002123C2">
        <w:tc>
          <w:tcPr>
            <w:tcW w:w="8885" w:type="dxa"/>
            <w:tcBorders>
              <w:top w:val="single" w:sz="4" w:space="0" w:color="auto"/>
              <w:left w:val="single" w:sz="4" w:space="0" w:color="auto"/>
              <w:bottom w:val="single" w:sz="4" w:space="0" w:color="auto"/>
              <w:right w:val="single" w:sz="4" w:space="0" w:color="auto"/>
            </w:tcBorders>
          </w:tcPr>
          <w:p w:rsidR="002123C2" w:rsidRDefault="002123C2">
            <w:pPr>
              <w:tabs>
                <w:tab w:val="left" w:pos="-720"/>
              </w:tabs>
              <w:suppressAutoHyphens/>
              <w:spacing w:before="60" w:after="60"/>
              <w:jc w:val="both"/>
              <w:rPr>
                <w:rFonts w:ascii="Times New Roman" w:hAnsi="Times New Roman" w:cs="Times New Roman"/>
                <w:i/>
                <w:iCs/>
                <w:spacing w:val="-3"/>
              </w:rPr>
            </w:pPr>
            <w:r>
              <w:rPr>
                <w:i/>
                <w:iCs/>
              </w:rPr>
              <w:t>Vendor Instructions: Vendors are to complete the Vendor Compliance with the Requested Plan Design column in the Requested Plan Design tab included in the Non-Financial Response Template, and confirm that the proposal reflects the requested plan financing model.</w:t>
            </w:r>
          </w:p>
        </w:tc>
      </w:tr>
    </w:tbl>
    <w:p w:rsidR="002123C2" w:rsidRDefault="002123C2">
      <w:pPr>
        <w:rPr>
          <w:rFonts w:ascii="Times New Roman" w:hAnsi="Times New Roman" w:cs="Times New Roman"/>
        </w:rPr>
      </w:pPr>
    </w:p>
    <w:p w:rsidR="002123C2" w:rsidRDefault="00FC1393">
      <w:pPr>
        <w:pStyle w:val="NormalDS"/>
        <w:jc w:val="both"/>
        <w:rPr>
          <w:rFonts w:ascii="Arial" w:hAnsi="Arial" w:cs="Arial"/>
          <w:sz w:val="22"/>
          <w:szCs w:val="22"/>
        </w:rPr>
      </w:pPr>
      <w:r>
        <w:rPr>
          <w:rFonts w:ascii="Arial" w:hAnsi="Arial" w:cs="Arial"/>
          <w:sz w:val="22"/>
          <w:szCs w:val="22"/>
        </w:rPr>
        <w:t>The requested plan design</w:t>
      </w:r>
      <w:r w:rsidR="002123C2">
        <w:rPr>
          <w:rFonts w:ascii="Arial" w:hAnsi="Arial" w:cs="Arial"/>
          <w:sz w:val="22"/>
          <w:szCs w:val="22"/>
        </w:rPr>
        <w:t xml:space="preserve"> chart indicate</w:t>
      </w:r>
      <w:r>
        <w:rPr>
          <w:rFonts w:ascii="Arial" w:hAnsi="Arial" w:cs="Arial"/>
          <w:sz w:val="22"/>
          <w:szCs w:val="22"/>
        </w:rPr>
        <w:t>s</w:t>
      </w:r>
      <w:r w:rsidR="002123C2">
        <w:rPr>
          <w:rFonts w:ascii="Arial" w:hAnsi="Arial" w:cs="Arial"/>
          <w:sz w:val="22"/>
          <w:szCs w:val="22"/>
        </w:rPr>
        <w:t xml:space="preserve"> the desired plan design for each of the Plans offered by the </w:t>
      </w:r>
      <w:r w:rsidR="002123C2">
        <w:rPr>
          <w:rFonts w:ascii="Arial" w:hAnsi="Arial" w:cs="Arial"/>
          <w:spacing w:val="-3"/>
          <w:sz w:val="22"/>
          <w:szCs w:val="22"/>
        </w:rPr>
        <w:t>Brazilian Financial Office</w:t>
      </w:r>
      <w:r w:rsidR="002123C2">
        <w:rPr>
          <w:rFonts w:ascii="Arial" w:hAnsi="Arial" w:cs="Arial"/>
          <w:b/>
          <w:bCs/>
          <w:sz w:val="22"/>
          <w:szCs w:val="22"/>
        </w:rPr>
        <w:t xml:space="preserve"> </w:t>
      </w:r>
      <w:r w:rsidR="002123C2">
        <w:rPr>
          <w:rFonts w:ascii="Arial" w:hAnsi="Arial" w:cs="Arial"/>
          <w:sz w:val="22"/>
          <w:szCs w:val="22"/>
        </w:rPr>
        <w:t xml:space="preserve">included in this RFP. The charts list three columns. The first column lists the plan design element (e.g., co-pay, deductible, etc.). The second column represents the current coverage level for the </w:t>
      </w:r>
      <w:r w:rsidR="002123C2">
        <w:rPr>
          <w:rFonts w:ascii="Arial" w:hAnsi="Arial" w:cs="Arial"/>
          <w:spacing w:val="-3"/>
          <w:sz w:val="22"/>
          <w:szCs w:val="22"/>
        </w:rPr>
        <w:t>Brazilian Financial Office</w:t>
      </w:r>
      <w:r w:rsidR="002123C2">
        <w:rPr>
          <w:rFonts w:ascii="Arial" w:hAnsi="Arial" w:cs="Arial"/>
          <w:b/>
          <w:bCs/>
          <w:sz w:val="22"/>
          <w:szCs w:val="22"/>
        </w:rPr>
        <w:t xml:space="preserve"> </w:t>
      </w:r>
      <w:r w:rsidR="002123C2">
        <w:rPr>
          <w:rFonts w:ascii="Arial" w:hAnsi="Arial" w:cs="Arial"/>
          <w:sz w:val="22"/>
          <w:szCs w:val="22"/>
        </w:rPr>
        <w:t>(e.g., 8</w:t>
      </w:r>
      <w:r>
        <w:rPr>
          <w:rFonts w:ascii="Arial" w:hAnsi="Arial" w:cs="Arial"/>
          <w:sz w:val="22"/>
          <w:szCs w:val="22"/>
        </w:rPr>
        <w:t>0</w:t>
      </w:r>
      <w:r w:rsidR="002123C2">
        <w:rPr>
          <w:rFonts w:ascii="Arial" w:hAnsi="Arial" w:cs="Arial"/>
          <w:sz w:val="22"/>
          <w:szCs w:val="22"/>
        </w:rPr>
        <w:t xml:space="preserve">% </w:t>
      </w:r>
      <w:proofErr w:type="gramStart"/>
      <w:r>
        <w:rPr>
          <w:rFonts w:ascii="Arial" w:hAnsi="Arial" w:cs="Arial"/>
          <w:sz w:val="22"/>
          <w:szCs w:val="22"/>
        </w:rPr>
        <w:t>refund</w:t>
      </w:r>
      <w:proofErr w:type="gramEnd"/>
      <w:r w:rsidR="002123C2">
        <w:rPr>
          <w:rFonts w:ascii="Arial" w:hAnsi="Arial" w:cs="Arial"/>
          <w:sz w:val="22"/>
          <w:szCs w:val="22"/>
        </w:rPr>
        <w:t xml:space="preserve">). The third column </w:t>
      </w:r>
      <w:r>
        <w:rPr>
          <w:rFonts w:ascii="Arial" w:hAnsi="Arial" w:cs="Arial"/>
          <w:sz w:val="22"/>
          <w:szCs w:val="22"/>
        </w:rPr>
        <w:t>should</w:t>
      </w:r>
      <w:r w:rsidR="002123C2">
        <w:rPr>
          <w:rFonts w:ascii="Arial" w:hAnsi="Arial" w:cs="Arial"/>
          <w:sz w:val="22"/>
          <w:szCs w:val="22"/>
        </w:rPr>
        <w:t xml:space="preserve"> be used by each Vendor to indicate if it can replicate the current plan design or would require a change to it. Please (</w:t>
      </w:r>
      <w:proofErr w:type="spellStart"/>
      <w:r w:rsidR="002123C2">
        <w:rPr>
          <w:rFonts w:ascii="Arial" w:hAnsi="Arial" w:cs="Arial"/>
          <w:sz w:val="22"/>
          <w:szCs w:val="22"/>
        </w:rPr>
        <w:t>i</w:t>
      </w:r>
      <w:proofErr w:type="spellEnd"/>
      <w:r w:rsidR="002123C2">
        <w:rPr>
          <w:rFonts w:ascii="Arial" w:hAnsi="Arial" w:cs="Arial"/>
          <w:sz w:val="22"/>
          <w:szCs w:val="22"/>
        </w:rPr>
        <w:t>) place a check mark (</w:t>
      </w:r>
      <w:r w:rsidR="002123C2">
        <w:rPr>
          <w:rFonts w:ascii="Arial" w:hAnsi="Arial" w:cs="Arial"/>
          <w:sz w:val="22"/>
          <w:szCs w:val="22"/>
        </w:rPr>
        <w:sym w:font="Symbol" w:char="F0D6"/>
      </w:r>
      <w:r w:rsidR="002123C2">
        <w:rPr>
          <w:rFonts w:ascii="Arial" w:hAnsi="Arial" w:cs="Arial"/>
          <w:sz w:val="22"/>
          <w:szCs w:val="22"/>
        </w:rPr>
        <w:t>) if your organization can replicate the current coverage level or (ii) provide a description of a similar or better coverage level</w:t>
      </w:r>
      <w:r>
        <w:rPr>
          <w:rFonts w:ascii="Arial" w:hAnsi="Arial" w:cs="Arial"/>
          <w:sz w:val="22"/>
          <w:szCs w:val="22"/>
        </w:rPr>
        <w:t xml:space="preserve"> as described above</w:t>
      </w:r>
      <w:r w:rsidR="002123C2">
        <w:rPr>
          <w:rFonts w:ascii="Arial" w:hAnsi="Arial" w:cs="Arial"/>
          <w:sz w:val="22"/>
          <w:szCs w:val="22"/>
        </w:rPr>
        <w:t>.</w:t>
      </w:r>
    </w:p>
    <w:p w:rsidR="002123C2" w:rsidRDefault="002123C2" w:rsidP="002123C2">
      <w:pPr>
        <w:pStyle w:val="Heading2"/>
        <w:numPr>
          <w:ilvl w:val="1"/>
          <w:numId w:val="14"/>
        </w:numPr>
        <w:spacing w:before="60" w:after="60" w:line="240" w:lineRule="auto"/>
        <w:rPr>
          <w:rFonts w:ascii="Times New Roman" w:hAnsi="Times New Roman" w:cs="Times New Roman"/>
        </w:rPr>
      </w:pPr>
      <w:bookmarkStart w:id="38" w:name="_Toc240195208"/>
      <w:bookmarkStart w:id="39" w:name="_Toc243968453"/>
      <w:bookmarkStart w:id="40" w:name="_Toc374623916"/>
    </w:p>
    <w:p w:rsidR="002123C2" w:rsidRDefault="002123C2" w:rsidP="002123C2">
      <w:pPr>
        <w:pStyle w:val="Heading2"/>
        <w:numPr>
          <w:ilvl w:val="1"/>
          <w:numId w:val="14"/>
        </w:numPr>
        <w:spacing w:before="60" w:after="60" w:line="240" w:lineRule="auto"/>
      </w:pPr>
      <w:r>
        <w:t>Plan Financing</w:t>
      </w:r>
      <w:bookmarkEnd w:id="38"/>
      <w:r>
        <w:t xml:space="preserve"> Model</w:t>
      </w:r>
      <w:bookmarkEnd w:id="39"/>
      <w:bookmarkEnd w:id="40"/>
    </w:p>
    <w:p w:rsidR="00E86494" w:rsidRDefault="00E86494">
      <w:pPr>
        <w:pStyle w:val="BodyText"/>
      </w:pPr>
    </w:p>
    <w:p w:rsidR="002123C2" w:rsidRDefault="002123C2">
      <w:pPr>
        <w:pStyle w:val="BodyText"/>
      </w:pPr>
      <w:r>
        <w:t xml:space="preserve">For the purpose of submitting the financial proposal, Vendors should assume that the medical and dental benefits will be fully insured and </w:t>
      </w:r>
      <w:r w:rsidRPr="005F0FFC">
        <w:t>written</w:t>
      </w:r>
      <w:r>
        <w:t xml:space="preserve"> on an alternate funding (experience rated, participating) basis. Life insurance and AD&amp;D should be fully insured (non-participating). Please assume the following:</w:t>
      </w:r>
    </w:p>
    <w:p w:rsidR="002123C2" w:rsidRDefault="002123C2">
      <w:pPr>
        <w:rPr>
          <w:rFonts w:ascii="Times New Roman" w:hAnsi="Times New Roman" w:cs="Times New Roman"/>
        </w:rPr>
      </w:pPr>
    </w:p>
    <w:p w:rsidR="002123C2" w:rsidRDefault="002123C2" w:rsidP="002123C2">
      <w:pPr>
        <w:numPr>
          <w:ilvl w:val="0"/>
          <w:numId w:val="13"/>
        </w:numPr>
        <w:spacing w:line="270" w:lineRule="atLeast"/>
        <w:jc w:val="both"/>
      </w:pPr>
      <w:r>
        <w:t>This alternate funding basis will apply to the medical and dental benefits c</w:t>
      </w:r>
      <w:r w:rsidR="00C13584">
        <w:t>overed by this RFP</w:t>
      </w:r>
    </w:p>
    <w:p w:rsidR="00A46C9E" w:rsidRDefault="00A46C9E" w:rsidP="00A46C9E">
      <w:pPr>
        <w:spacing w:line="270" w:lineRule="atLeast"/>
        <w:ind w:left="720"/>
        <w:jc w:val="both"/>
      </w:pPr>
    </w:p>
    <w:p w:rsidR="002123C2" w:rsidRDefault="002123C2" w:rsidP="002123C2">
      <w:pPr>
        <w:numPr>
          <w:ilvl w:val="0"/>
          <w:numId w:val="13"/>
        </w:numPr>
        <w:spacing w:line="270" w:lineRule="atLeast"/>
        <w:jc w:val="both"/>
      </w:pPr>
      <w:r>
        <w:t xml:space="preserve">15% difference between billed and contractual rates (i.e., billed rates = 85% of contract rates) </w:t>
      </w:r>
    </w:p>
    <w:p w:rsidR="00A46C9E" w:rsidRDefault="00A46C9E" w:rsidP="00A46C9E">
      <w:pPr>
        <w:spacing w:line="270" w:lineRule="atLeast"/>
        <w:ind w:left="720"/>
        <w:jc w:val="both"/>
      </w:pPr>
    </w:p>
    <w:p w:rsidR="002123C2" w:rsidRDefault="002123C2" w:rsidP="002123C2">
      <w:pPr>
        <w:numPr>
          <w:ilvl w:val="0"/>
          <w:numId w:val="13"/>
        </w:numPr>
        <w:spacing w:line="270" w:lineRule="atLeast"/>
        <w:jc w:val="both"/>
      </w:pPr>
      <w:r>
        <w:t xml:space="preserve">Premiums paid each year to cover claims incurred in each policy year, i.e. contractual liability includes run-out claims (run-out period to last </w:t>
      </w:r>
      <w:r w:rsidR="00920804">
        <w:t xml:space="preserve">up to </w:t>
      </w:r>
      <w:r>
        <w:t>18 months)</w:t>
      </w:r>
    </w:p>
    <w:p w:rsidR="00A46C9E" w:rsidRDefault="00A46C9E" w:rsidP="00A46C9E">
      <w:pPr>
        <w:spacing w:line="270" w:lineRule="atLeast"/>
        <w:ind w:left="720"/>
        <w:jc w:val="both"/>
      </w:pPr>
    </w:p>
    <w:p w:rsidR="00C13584" w:rsidRDefault="00C13584" w:rsidP="002123C2">
      <w:pPr>
        <w:numPr>
          <w:ilvl w:val="0"/>
          <w:numId w:val="13"/>
        </w:numPr>
        <w:spacing w:line="270" w:lineRule="atLeast"/>
        <w:jc w:val="both"/>
      </w:pPr>
      <w:r>
        <w:t>No charges related to accumulated interest on due contingent premium</w:t>
      </w:r>
    </w:p>
    <w:p w:rsidR="00A46C9E" w:rsidRDefault="00A46C9E" w:rsidP="00A46C9E">
      <w:pPr>
        <w:spacing w:line="270" w:lineRule="atLeast"/>
        <w:ind w:left="720"/>
        <w:jc w:val="both"/>
      </w:pPr>
    </w:p>
    <w:p w:rsidR="002123C2" w:rsidRDefault="002123C2" w:rsidP="002123C2">
      <w:pPr>
        <w:numPr>
          <w:ilvl w:val="0"/>
          <w:numId w:val="13"/>
        </w:numPr>
        <w:spacing w:line="270" w:lineRule="atLeast"/>
      </w:pPr>
      <w:r>
        <w:t>No commissions</w:t>
      </w:r>
    </w:p>
    <w:p w:rsidR="002123C2" w:rsidRDefault="002123C2">
      <w:pPr>
        <w:rPr>
          <w:rFonts w:ascii="Times New Roman" w:hAnsi="Times New Roman" w:cs="Times New Roman"/>
        </w:rPr>
      </w:pPr>
    </w:p>
    <w:p w:rsidR="002123C2" w:rsidRDefault="002123C2">
      <w:pPr>
        <w:pStyle w:val="BodyText"/>
      </w:pPr>
      <w:r>
        <w:t>Six months after the end of each policy year (i.e., as of September 30), the following amount will be calculated:</w:t>
      </w:r>
    </w:p>
    <w:p w:rsidR="002123C2" w:rsidRDefault="002123C2">
      <w:pPr>
        <w:rPr>
          <w:rFonts w:ascii="Times New Roman" w:hAnsi="Times New Roman" w:cs="Times New Roman"/>
        </w:rPr>
      </w:pPr>
    </w:p>
    <w:p w:rsidR="002123C2" w:rsidRDefault="002123C2" w:rsidP="002123C2">
      <w:pPr>
        <w:numPr>
          <w:ilvl w:val="0"/>
          <w:numId w:val="15"/>
        </w:numPr>
        <w:spacing w:line="270" w:lineRule="atLeast"/>
        <w:jc w:val="both"/>
      </w:pPr>
      <w:r>
        <w:t>Claims incurred during the policy year (i.e., April 1 to March 31); plus</w:t>
      </w:r>
    </w:p>
    <w:p w:rsidR="00A46C9E" w:rsidRDefault="00A46C9E" w:rsidP="00A46C9E">
      <w:pPr>
        <w:spacing w:line="270" w:lineRule="atLeast"/>
        <w:ind w:left="720"/>
        <w:jc w:val="both"/>
      </w:pPr>
    </w:p>
    <w:p w:rsidR="002123C2" w:rsidRDefault="002123C2" w:rsidP="002123C2">
      <w:pPr>
        <w:numPr>
          <w:ilvl w:val="0"/>
          <w:numId w:val="15"/>
        </w:numPr>
        <w:spacing w:line="270" w:lineRule="atLeast"/>
        <w:jc w:val="both"/>
      </w:pPr>
      <w:r>
        <w:t>Retention (to include administrative expenses, risk and profit assessments) for the same policy year</w:t>
      </w:r>
    </w:p>
    <w:p w:rsidR="002123C2" w:rsidRDefault="002123C2">
      <w:pPr>
        <w:rPr>
          <w:rFonts w:ascii="Times New Roman" w:hAnsi="Times New Roman" w:cs="Times New Roman"/>
        </w:rPr>
      </w:pPr>
    </w:p>
    <w:p w:rsidR="002123C2" w:rsidRDefault="002123C2">
      <w:pPr>
        <w:pStyle w:val="BodyText"/>
      </w:pPr>
      <w:r>
        <w:t xml:space="preserve">If the result of this calculation exceeds the Billed Premium (based on the Billed Rates), then the BFO will pay a retrospective premium to the Vendor equal to such excess, but not to exceed the difference between the Billed Premium and the Contract Premium (based on the Contract Rates). </w:t>
      </w:r>
    </w:p>
    <w:p w:rsidR="002123C2" w:rsidRDefault="002123C2">
      <w:pPr>
        <w:pStyle w:val="Header"/>
        <w:tabs>
          <w:tab w:val="clear" w:pos="4320"/>
          <w:tab w:val="clear" w:pos="8640"/>
        </w:tabs>
        <w:rPr>
          <w:rFonts w:ascii="Times New Roman" w:hAnsi="Times New Roman" w:cs="Times New Roman"/>
        </w:rPr>
      </w:pPr>
    </w:p>
    <w:p w:rsidR="00920804" w:rsidRDefault="002123C2" w:rsidP="00C13584">
      <w:pPr>
        <w:jc w:val="both"/>
      </w:pPr>
      <w:r>
        <w:t>Any claims properly paid after the above calculation is provided to the BFO for the relevant Insurance Year (as set out above) will be invoiced in the subsequent annual calculation period, subject to an overall maximum payout equal to the Contract Premium (based on the Contract Rates) for such Insurance Year.</w:t>
      </w:r>
      <w:r w:rsidR="00C13584">
        <w:t xml:space="preserve"> </w:t>
      </w:r>
    </w:p>
    <w:p w:rsidR="00920804" w:rsidRDefault="00920804" w:rsidP="00C13584">
      <w:pPr>
        <w:jc w:val="both"/>
      </w:pPr>
    </w:p>
    <w:p w:rsidR="002123C2" w:rsidRDefault="002123C2" w:rsidP="00C13584">
      <w:pPr>
        <w:jc w:val="both"/>
      </w:pPr>
      <w:r>
        <w:t xml:space="preserve">No individual internal pooling point should be included in the calculation, therefore large claims will be 100% included in the Claims figure in the calculation above for the year end settlement. </w:t>
      </w:r>
    </w:p>
    <w:p w:rsidR="002123C2" w:rsidRDefault="002123C2">
      <w:pPr>
        <w:pStyle w:val="SectionStart"/>
        <w:keepNext w:val="0"/>
        <w:pBdr>
          <w:top w:val="single" w:sz="12" w:space="0" w:color="auto"/>
          <w:left w:val="single" w:sz="12" w:space="0" w:color="auto"/>
          <w:bottom w:val="single" w:sz="12" w:space="0" w:color="auto"/>
          <w:right w:val="single" w:sz="12" w:space="0" w:color="auto"/>
        </w:pBdr>
        <w:tabs>
          <w:tab w:val="clear" w:pos="0"/>
          <w:tab w:val="num" w:pos="547"/>
        </w:tabs>
        <w:spacing w:before="1500" w:after="480" w:line="1820" w:lineRule="exact"/>
        <w:ind w:right="6840"/>
        <w:rPr>
          <w:rFonts w:ascii="Times New Roman" w:hAnsi="Times New Roman" w:cs="Times New Roman"/>
        </w:rPr>
      </w:pPr>
    </w:p>
    <w:p w:rsidR="002123C2" w:rsidRDefault="002123C2" w:rsidP="002123C2">
      <w:pPr>
        <w:pStyle w:val="Heading1"/>
        <w:numPr>
          <w:ilvl w:val="0"/>
          <w:numId w:val="14"/>
        </w:numPr>
        <w:spacing w:after="60" w:line="240" w:lineRule="auto"/>
      </w:pPr>
      <w:bookmarkStart w:id="41" w:name="_Toc243968454"/>
      <w:bookmarkStart w:id="42" w:name="_Toc374623917"/>
      <w:r>
        <w:t>RFP Non-Financial Questionnaire</w:t>
      </w:r>
      <w:bookmarkEnd w:id="41"/>
      <w:bookmarkEnd w:id="42"/>
    </w:p>
    <w:p w:rsidR="002123C2" w:rsidRDefault="002123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5"/>
      </w:tblGrid>
      <w:tr w:rsidR="002123C2">
        <w:tc>
          <w:tcPr>
            <w:tcW w:w="8885" w:type="dxa"/>
            <w:tcBorders>
              <w:top w:val="single" w:sz="4" w:space="0" w:color="auto"/>
              <w:left w:val="single" w:sz="4" w:space="0" w:color="auto"/>
              <w:bottom w:val="single" w:sz="4" w:space="0" w:color="auto"/>
              <w:right w:val="single" w:sz="4" w:space="0" w:color="auto"/>
            </w:tcBorders>
          </w:tcPr>
          <w:p w:rsidR="002123C2" w:rsidRDefault="002123C2">
            <w:pPr>
              <w:tabs>
                <w:tab w:val="left" w:pos="-720"/>
              </w:tabs>
              <w:suppressAutoHyphens/>
              <w:spacing w:before="60" w:after="60"/>
              <w:jc w:val="both"/>
              <w:rPr>
                <w:rFonts w:ascii="Times New Roman" w:hAnsi="Times New Roman" w:cs="Times New Roman"/>
                <w:i/>
                <w:iCs/>
                <w:spacing w:val="-3"/>
              </w:rPr>
            </w:pPr>
            <w:bookmarkStart w:id="43" w:name="_Toc229896342"/>
            <w:bookmarkStart w:id="44" w:name="_Toc232911398"/>
            <w:r>
              <w:rPr>
                <w:i/>
                <w:iCs/>
              </w:rPr>
              <w:t>Vendor Instructions: Vendors are to answer all questions in the Non-Financial Questionnaire tab included in the Non-Financial Response Template.</w:t>
            </w:r>
          </w:p>
        </w:tc>
      </w:tr>
    </w:tbl>
    <w:p w:rsidR="002123C2" w:rsidRDefault="002123C2" w:rsidP="002123C2">
      <w:pPr>
        <w:pStyle w:val="Heading2"/>
        <w:numPr>
          <w:ilvl w:val="1"/>
          <w:numId w:val="14"/>
        </w:numPr>
        <w:tabs>
          <w:tab w:val="clear" w:pos="0"/>
        </w:tabs>
        <w:spacing w:before="60" w:after="60" w:line="240" w:lineRule="auto"/>
        <w:rPr>
          <w:rFonts w:ascii="Times New Roman" w:hAnsi="Times New Roman" w:cs="Times New Roman"/>
        </w:rPr>
      </w:pPr>
    </w:p>
    <w:bookmarkEnd w:id="43"/>
    <w:bookmarkEnd w:id="44"/>
    <w:p w:rsidR="002123C2" w:rsidRDefault="002123C2">
      <w:pPr>
        <w:pStyle w:val="SectionStart"/>
        <w:keepNext w:val="0"/>
        <w:pBdr>
          <w:top w:val="single" w:sz="12" w:space="0" w:color="auto"/>
          <w:left w:val="single" w:sz="12" w:space="0" w:color="auto"/>
          <w:bottom w:val="single" w:sz="12" w:space="0" w:color="auto"/>
          <w:right w:val="single" w:sz="12" w:space="0" w:color="auto"/>
        </w:pBdr>
        <w:tabs>
          <w:tab w:val="clear" w:pos="0"/>
          <w:tab w:val="num" w:pos="547"/>
        </w:tabs>
        <w:spacing w:before="1500" w:after="480" w:line="1820" w:lineRule="exact"/>
        <w:ind w:right="6840"/>
        <w:rPr>
          <w:rFonts w:ascii="Times New Roman" w:hAnsi="Times New Roman" w:cs="Times New Roman"/>
        </w:rPr>
      </w:pPr>
    </w:p>
    <w:p w:rsidR="002123C2" w:rsidRPr="00A07E6A" w:rsidRDefault="002123C2" w:rsidP="00A07E6A">
      <w:pPr>
        <w:pStyle w:val="Heading1"/>
        <w:numPr>
          <w:ilvl w:val="0"/>
          <w:numId w:val="14"/>
        </w:numPr>
        <w:spacing w:after="60" w:line="240" w:lineRule="auto"/>
        <w:rPr>
          <w:rFonts w:ascii="Times New Roman" w:hAnsi="Times New Roman" w:cs="Times New Roman"/>
        </w:rPr>
      </w:pPr>
      <w:bookmarkStart w:id="45" w:name="_Toc243968462"/>
      <w:bookmarkStart w:id="46" w:name="_Toc374623918"/>
      <w:r>
        <w:t xml:space="preserve">Contract </w:t>
      </w:r>
      <w:bookmarkEnd w:id="45"/>
      <w:bookmarkEnd w:id="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5"/>
      </w:tblGrid>
      <w:tr w:rsidR="002123C2">
        <w:tc>
          <w:tcPr>
            <w:tcW w:w="8885" w:type="dxa"/>
            <w:tcBorders>
              <w:top w:val="single" w:sz="4" w:space="0" w:color="auto"/>
              <w:left w:val="single" w:sz="4" w:space="0" w:color="auto"/>
              <w:bottom w:val="single" w:sz="4" w:space="0" w:color="auto"/>
              <w:right w:val="single" w:sz="4" w:space="0" w:color="auto"/>
            </w:tcBorders>
          </w:tcPr>
          <w:p w:rsidR="002123C2" w:rsidRDefault="002123C2" w:rsidP="00A07E6A">
            <w:pPr>
              <w:tabs>
                <w:tab w:val="left" w:pos="-720"/>
              </w:tabs>
              <w:suppressAutoHyphens/>
              <w:spacing w:before="60" w:after="60"/>
              <w:jc w:val="both"/>
              <w:rPr>
                <w:rFonts w:ascii="Times New Roman" w:hAnsi="Times New Roman" w:cs="Times New Roman"/>
                <w:i/>
                <w:iCs/>
                <w:spacing w:val="-3"/>
              </w:rPr>
            </w:pPr>
            <w:r>
              <w:rPr>
                <w:i/>
                <w:iCs/>
              </w:rPr>
              <w:t xml:space="preserve">Vendor Instructions: Vendors are to confirm that they can </w:t>
            </w:r>
            <w:r w:rsidR="00A07E6A">
              <w:rPr>
                <w:i/>
                <w:iCs/>
              </w:rPr>
              <w:t>sign</w:t>
            </w:r>
            <w:r>
              <w:rPr>
                <w:i/>
                <w:iCs/>
              </w:rPr>
              <w:t xml:space="preserve"> a contract in the format described in the Contract tab included in the Non-Financial Response Template by checking the box at the end of the section.</w:t>
            </w:r>
          </w:p>
        </w:tc>
      </w:tr>
    </w:tbl>
    <w:p w:rsidR="002123C2" w:rsidRDefault="002123C2">
      <w:pPr>
        <w:rPr>
          <w:rFonts w:ascii="Times New Roman" w:hAnsi="Times New Roman" w:cs="Times New Roman"/>
        </w:rPr>
      </w:pPr>
    </w:p>
    <w:p w:rsidR="002123C2" w:rsidRDefault="002123C2">
      <w:pPr>
        <w:rPr>
          <w:rFonts w:ascii="Times New Roman" w:hAnsi="Times New Roman" w:cs="Times New Roman"/>
        </w:rPr>
      </w:pPr>
    </w:p>
    <w:p w:rsidR="002123C2" w:rsidRDefault="002123C2">
      <w:pPr>
        <w:rPr>
          <w:rFonts w:ascii="Times New Roman" w:hAnsi="Times New Roman" w:cs="Times New Roman"/>
        </w:rPr>
      </w:pPr>
    </w:p>
    <w:p w:rsidR="002123C2" w:rsidRDefault="002123C2">
      <w:pPr>
        <w:pStyle w:val="SectionStart"/>
        <w:keepNext w:val="0"/>
        <w:pBdr>
          <w:top w:val="single" w:sz="12" w:space="0" w:color="auto"/>
          <w:left w:val="single" w:sz="12" w:space="0" w:color="auto"/>
          <w:bottom w:val="single" w:sz="12" w:space="0" w:color="auto"/>
          <w:right w:val="single" w:sz="12" w:space="0" w:color="auto"/>
        </w:pBdr>
        <w:tabs>
          <w:tab w:val="clear" w:pos="0"/>
          <w:tab w:val="num" w:pos="547"/>
        </w:tabs>
        <w:spacing w:before="1500" w:after="480" w:line="1820" w:lineRule="exact"/>
        <w:ind w:right="6840"/>
        <w:rPr>
          <w:rFonts w:ascii="Times New Roman" w:hAnsi="Times New Roman" w:cs="Times New Roman"/>
        </w:rPr>
      </w:pPr>
    </w:p>
    <w:p w:rsidR="002123C2" w:rsidRDefault="002123C2" w:rsidP="002123C2">
      <w:pPr>
        <w:pStyle w:val="Heading1"/>
        <w:numPr>
          <w:ilvl w:val="0"/>
          <w:numId w:val="14"/>
        </w:numPr>
        <w:spacing w:after="60" w:line="240" w:lineRule="auto"/>
      </w:pPr>
      <w:bookmarkStart w:id="47" w:name="_Toc243968463"/>
      <w:bookmarkStart w:id="48" w:name="_Toc374623919"/>
      <w:r>
        <w:t>Certificate and Affidavit</w:t>
      </w:r>
      <w:bookmarkEnd w:id="47"/>
      <w:bookmarkEnd w:id="48"/>
    </w:p>
    <w:p w:rsidR="002123C2" w:rsidRDefault="002123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5"/>
      </w:tblGrid>
      <w:tr w:rsidR="002123C2">
        <w:tc>
          <w:tcPr>
            <w:tcW w:w="8885" w:type="dxa"/>
            <w:tcBorders>
              <w:top w:val="single" w:sz="4" w:space="0" w:color="auto"/>
              <w:left w:val="single" w:sz="4" w:space="0" w:color="auto"/>
              <w:bottom w:val="single" w:sz="4" w:space="0" w:color="auto"/>
              <w:right w:val="single" w:sz="4" w:space="0" w:color="auto"/>
            </w:tcBorders>
          </w:tcPr>
          <w:p w:rsidR="002123C2" w:rsidRDefault="002123C2">
            <w:pPr>
              <w:tabs>
                <w:tab w:val="left" w:pos="-720"/>
              </w:tabs>
              <w:suppressAutoHyphens/>
              <w:spacing w:before="60" w:after="60"/>
              <w:jc w:val="both"/>
              <w:rPr>
                <w:rFonts w:ascii="Times New Roman" w:hAnsi="Times New Roman" w:cs="Times New Roman"/>
                <w:i/>
                <w:iCs/>
                <w:spacing w:val="-3"/>
              </w:rPr>
            </w:pPr>
            <w:r>
              <w:rPr>
                <w:i/>
                <w:iCs/>
              </w:rPr>
              <w:t>Vendor Instructions: Vendors are required to sign the affidavit in the Certificate and Affidavit tab included in the Non-Financial Response Template</w:t>
            </w:r>
          </w:p>
        </w:tc>
      </w:tr>
    </w:tbl>
    <w:p w:rsidR="002123C2" w:rsidRDefault="002123C2">
      <w:pPr>
        <w:rPr>
          <w:rFonts w:ascii="Times New Roman" w:hAnsi="Times New Roman" w:cs="Times New Roman"/>
        </w:rPr>
      </w:pPr>
    </w:p>
    <w:p w:rsidR="002123C2" w:rsidRDefault="002123C2">
      <w:pPr>
        <w:rPr>
          <w:rFonts w:ascii="Times New Roman" w:hAnsi="Times New Roman" w:cs="Times New Roman"/>
        </w:rPr>
      </w:pPr>
    </w:p>
    <w:p w:rsidR="002123C2" w:rsidRDefault="002123C2">
      <w:pPr>
        <w:pStyle w:val="SectionStart"/>
        <w:keepNext w:val="0"/>
        <w:pBdr>
          <w:top w:val="single" w:sz="12" w:space="0" w:color="auto"/>
          <w:left w:val="single" w:sz="12" w:space="0" w:color="auto"/>
          <w:bottom w:val="single" w:sz="12" w:space="0" w:color="auto"/>
          <w:right w:val="single" w:sz="12" w:space="0" w:color="auto"/>
        </w:pBdr>
        <w:tabs>
          <w:tab w:val="clear" w:pos="0"/>
          <w:tab w:val="num" w:pos="547"/>
        </w:tabs>
        <w:spacing w:before="1500" w:after="480" w:line="1820" w:lineRule="exact"/>
        <w:ind w:right="6840"/>
        <w:rPr>
          <w:rFonts w:ascii="Times New Roman" w:hAnsi="Times New Roman" w:cs="Times New Roman"/>
        </w:rPr>
      </w:pPr>
    </w:p>
    <w:p w:rsidR="002123C2" w:rsidRDefault="002123C2" w:rsidP="002123C2">
      <w:pPr>
        <w:pStyle w:val="Heading1"/>
        <w:numPr>
          <w:ilvl w:val="0"/>
          <w:numId w:val="14"/>
        </w:numPr>
        <w:spacing w:after="60" w:line="240" w:lineRule="auto"/>
      </w:pPr>
      <w:bookmarkStart w:id="49" w:name="_Toc243968464"/>
      <w:bookmarkStart w:id="50" w:name="_Toc374623920"/>
      <w:r>
        <w:t>RFP Financial Proposal</w:t>
      </w:r>
      <w:bookmarkEnd w:id="49"/>
      <w:bookmarkEnd w:id="50"/>
    </w:p>
    <w:p w:rsidR="002123C2" w:rsidRDefault="002123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5"/>
      </w:tblGrid>
      <w:tr w:rsidR="002123C2">
        <w:tc>
          <w:tcPr>
            <w:tcW w:w="8885" w:type="dxa"/>
            <w:tcBorders>
              <w:top w:val="single" w:sz="4" w:space="0" w:color="auto"/>
              <w:left w:val="single" w:sz="4" w:space="0" w:color="auto"/>
              <w:bottom w:val="single" w:sz="4" w:space="0" w:color="auto"/>
              <w:right w:val="single" w:sz="4" w:space="0" w:color="auto"/>
            </w:tcBorders>
          </w:tcPr>
          <w:p w:rsidR="002123C2" w:rsidRDefault="002123C2" w:rsidP="00715D2A">
            <w:pPr>
              <w:tabs>
                <w:tab w:val="left" w:pos="-720"/>
              </w:tabs>
              <w:suppressAutoHyphens/>
              <w:spacing w:before="60" w:after="60"/>
              <w:jc w:val="both"/>
              <w:rPr>
                <w:rFonts w:ascii="Times New Roman" w:hAnsi="Times New Roman" w:cs="Times New Roman"/>
                <w:i/>
                <w:iCs/>
                <w:spacing w:val="-3"/>
              </w:rPr>
            </w:pPr>
            <w:r>
              <w:rPr>
                <w:i/>
                <w:iCs/>
              </w:rPr>
              <w:t xml:space="preserve">Vendor Instructions: Vendors are to complete the </w:t>
            </w:r>
            <w:r w:rsidR="00715D2A">
              <w:rPr>
                <w:i/>
                <w:iCs/>
              </w:rPr>
              <w:t>Financial Proposal</w:t>
            </w:r>
            <w:r>
              <w:rPr>
                <w:i/>
                <w:iCs/>
              </w:rPr>
              <w:t xml:space="preserve"> tab included in the Financial Response Template according to the following instructions.</w:t>
            </w:r>
          </w:p>
        </w:tc>
      </w:tr>
    </w:tbl>
    <w:p w:rsidR="002123C2" w:rsidRDefault="002123C2">
      <w:pPr>
        <w:pStyle w:val="NormalDS"/>
        <w:jc w:val="both"/>
        <w:rPr>
          <w:rFonts w:ascii="Arial" w:hAnsi="Arial" w:cs="Arial"/>
          <w:sz w:val="22"/>
          <w:szCs w:val="22"/>
        </w:rPr>
      </w:pPr>
    </w:p>
    <w:p w:rsidR="002123C2" w:rsidRDefault="002123C2">
      <w:pPr>
        <w:pStyle w:val="NormalDS"/>
        <w:jc w:val="both"/>
        <w:rPr>
          <w:rFonts w:ascii="Arial" w:hAnsi="Arial" w:cs="Arial"/>
          <w:sz w:val="22"/>
          <w:szCs w:val="22"/>
        </w:rPr>
      </w:pPr>
      <w:r>
        <w:rPr>
          <w:rFonts w:ascii="Arial" w:hAnsi="Arial" w:cs="Arial"/>
          <w:sz w:val="22"/>
          <w:szCs w:val="22"/>
        </w:rPr>
        <w:t>Please complete the charts and questions illustrating your organization’s financial proposal for the Brazilian Financial Office benefit programs and adhere to the following instructions:</w:t>
      </w:r>
    </w:p>
    <w:p w:rsidR="002123C2" w:rsidRDefault="002123C2" w:rsidP="009B5470">
      <w:pPr>
        <w:pStyle w:val="ListBullet"/>
      </w:pPr>
      <w:r>
        <w:t xml:space="preserve">Please refer to </w:t>
      </w:r>
      <w:r w:rsidR="00715D2A">
        <w:t>Appendix</w:t>
      </w:r>
      <w:r>
        <w:t xml:space="preserve"> for details of the desired plan financing approach and provide bids consistent with the financing approach described</w:t>
      </w:r>
    </w:p>
    <w:p w:rsidR="002123C2" w:rsidRDefault="002123C2" w:rsidP="002123C2">
      <w:pPr>
        <w:pStyle w:val="ListBullet2"/>
        <w:numPr>
          <w:ilvl w:val="5"/>
          <w:numId w:val="12"/>
        </w:numPr>
        <w:spacing w:line="270" w:lineRule="atLeast"/>
        <w:jc w:val="both"/>
      </w:pPr>
      <w:r>
        <w:t>Medical/dental: fully insured alternate funding (experience rated, participating – with billed rates = 85% of contractual rates)</w:t>
      </w:r>
    </w:p>
    <w:p w:rsidR="002123C2" w:rsidRDefault="002123C2" w:rsidP="002123C2">
      <w:pPr>
        <w:pStyle w:val="ListBullet2"/>
        <w:numPr>
          <w:ilvl w:val="5"/>
          <w:numId w:val="12"/>
        </w:numPr>
        <w:spacing w:line="270" w:lineRule="atLeast"/>
        <w:jc w:val="both"/>
      </w:pPr>
      <w:r>
        <w:t>Life insurance and AD&amp;D: fully insured (non-participating)</w:t>
      </w:r>
    </w:p>
    <w:p w:rsidR="00A46C9E" w:rsidRDefault="00A46C9E" w:rsidP="00A46C9E">
      <w:pPr>
        <w:pStyle w:val="ListBullet2"/>
        <w:numPr>
          <w:ilvl w:val="0"/>
          <w:numId w:val="0"/>
        </w:numPr>
        <w:spacing w:line="270" w:lineRule="atLeast"/>
        <w:ind w:left="720"/>
        <w:jc w:val="both"/>
      </w:pPr>
    </w:p>
    <w:p w:rsidR="002123C2" w:rsidRDefault="002123C2" w:rsidP="009B5470">
      <w:pPr>
        <w:pStyle w:val="ListBullet"/>
      </w:pPr>
      <w:r>
        <w:t>Show your fees/rates assuming the Brazilian Financial Office proposed benefit plan design or any deviations you have indicated in the Plan Design section of this RFP.</w:t>
      </w:r>
    </w:p>
    <w:p w:rsidR="00A46C9E" w:rsidRDefault="00A46C9E" w:rsidP="00A46C9E">
      <w:pPr>
        <w:pStyle w:val="ListBullet"/>
        <w:numPr>
          <w:ilvl w:val="0"/>
          <w:numId w:val="0"/>
        </w:numPr>
        <w:ind w:left="360"/>
      </w:pPr>
    </w:p>
    <w:p w:rsidR="002123C2" w:rsidRDefault="002123C2" w:rsidP="009B5470">
      <w:pPr>
        <w:pStyle w:val="ListBullet"/>
      </w:pPr>
      <w:r>
        <w:t>Provide your premium rate quotations on a per-employee per-month basis (PEPM). The Brazilian Financial Office does not differentiate premium rates by coverage category (i.e., employee only, employee plus one dependent, and family).</w:t>
      </w:r>
    </w:p>
    <w:p w:rsidR="00A46C9E" w:rsidRDefault="00A46C9E" w:rsidP="00A46C9E">
      <w:pPr>
        <w:pStyle w:val="ListBullet"/>
        <w:numPr>
          <w:ilvl w:val="0"/>
          <w:numId w:val="0"/>
        </w:numPr>
        <w:ind w:left="360"/>
      </w:pPr>
    </w:p>
    <w:p w:rsidR="002123C2" w:rsidRDefault="002123C2" w:rsidP="009B5470">
      <w:pPr>
        <w:pStyle w:val="ListBullet"/>
      </w:pPr>
      <w:r>
        <w:t>No individual internal pooling point should be included in the calculation, therefore large claims will be 100% included in the Claims paid figure in the calculation for the year end settlement.</w:t>
      </w:r>
    </w:p>
    <w:p w:rsidR="00A46C9E" w:rsidRDefault="00A46C9E" w:rsidP="00A46C9E">
      <w:pPr>
        <w:pStyle w:val="ListBullet"/>
        <w:numPr>
          <w:ilvl w:val="0"/>
          <w:numId w:val="0"/>
        </w:numPr>
        <w:ind w:left="360"/>
      </w:pPr>
    </w:p>
    <w:p w:rsidR="002123C2" w:rsidRDefault="002123C2" w:rsidP="009B5470">
      <w:pPr>
        <w:pStyle w:val="ListBullet"/>
      </w:pPr>
      <w:r>
        <w:t>Any claims incurred on or after April 1, 20</w:t>
      </w:r>
      <w:r w:rsidR="001D63D3">
        <w:t>2</w:t>
      </w:r>
      <w:r w:rsidR="00C528BC">
        <w:t>1</w:t>
      </w:r>
      <w:r>
        <w:t>, will be covered under these arrangements.</w:t>
      </w:r>
    </w:p>
    <w:p w:rsidR="00A46C9E" w:rsidRDefault="00A46C9E" w:rsidP="00A46C9E">
      <w:pPr>
        <w:pStyle w:val="ListParagraph"/>
      </w:pPr>
    </w:p>
    <w:p w:rsidR="002123C2" w:rsidRDefault="002123C2" w:rsidP="009B5470">
      <w:pPr>
        <w:pStyle w:val="ListBullet"/>
      </w:pPr>
      <w:r>
        <w:t>No broker’s fees or commissions are to be included in your proposal.</w:t>
      </w:r>
    </w:p>
    <w:p w:rsidR="00A46C9E" w:rsidRDefault="00A46C9E" w:rsidP="00A46C9E">
      <w:pPr>
        <w:pStyle w:val="ListBullet"/>
        <w:numPr>
          <w:ilvl w:val="0"/>
          <w:numId w:val="0"/>
        </w:numPr>
        <w:ind w:left="360"/>
      </w:pPr>
    </w:p>
    <w:p w:rsidR="002123C2" w:rsidRDefault="002123C2" w:rsidP="009B5470">
      <w:pPr>
        <w:pStyle w:val="ListBullet"/>
      </w:pPr>
      <w:r>
        <w:t>Outline in detail all assumptions underlying your fees.</w:t>
      </w:r>
    </w:p>
    <w:p w:rsidR="00A46C9E" w:rsidRDefault="00A46C9E" w:rsidP="00A46C9E">
      <w:pPr>
        <w:pStyle w:val="ListBullet"/>
        <w:numPr>
          <w:ilvl w:val="0"/>
          <w:numId w:val="0"/>
        </w:numPr>
        <w:ind w:left="360"/>
      </w:pPr>
    </w:p>
    <w:p w:rsidR="002123C2" w:rsidRDefault="002123C2" w:rsidP="009B5470">
      <w:pPr>
        <w:pStyle w:val="ListBullet"/>
      </w:pPr>
      <w:r>
        <w:t>The first plan year will begin on April 1, 20</w:t>
      </w:r>
      <w:r w:rsidR="001D63D3">
        <w:t>2</w:t>
      </w:r>
      <w:r w:rsidR="00C528BC">
        <w:t>1</w:t>
      </w:r>
      <w:r>
        <w:t>.</w:t>
      </w:r>
    </w:p>
    <w:p w:rsidR="002123C2" w:rsidRDefault="002123C2">
      <w:pPr>
        <w:pStyle w:val="AppendixStart"/>
        <w:numPr>
          <w:ilvl w:val="0"/>
          <w:numId w:val="0"/>
        </w:numPr>
        <w:ind w:left="187"/>
      </w:pPr>
      <w:r>
        <w:lastRenderedPageBreak/>
        <w:t>Appendix</w:t>
      </w:r>
      <w:r w:rsidR="00C72502">
        <w:t xml:space="preserve"> – </w:t>
      </w:r>
      <w:r w:rsidR="00C72502">
        <w:rPr>
          <w:caps w:val="0"/>
        </w:rPr>
        <w:t>Supplemental Info</w:t>
      </w:r>
    </w:p>
    <w:p w:rsidR="008307B1" w:rsidRPr="00994E28" w:rsidRDefault="008307B1" w:rsidP="008307B1">
      <w:pPr>
        <w:numPr>
          <w:ilvl w:val="5"/>
          <w:numId w:val="14"/>
        </w:numPr>
        <w:rPr>
          <w:b/>
          <w:u w:val="single"/>
        </w:rPr>
      </w:pPr>
      <w:r w:rsidRPr="00994E28">
        <w:rPr>
          <w:b/>
          <w:u w:val="single"/>
        </w:rPr>
        <w:t xml:space="preserve">Plan changes made in </w:t>
      </w:r>
      <w:r w:rsidR="00AA522F" w:rsidRPr="00994E28">
        <w:rPr>
          <w:b/>
          <w:u w:val="single"/>
        </w:rPr>
        <w:t>recent</w:t>
      </w:r>
      <w:r w:rsidRPr="00994E28">
        <w:rPr>
          <w:b/>
          <w:u w:val="single"/>
        </w:rPr>
        <w:t xml:space="preserve"> years</w:t>
      </w:r>
    </w:p>
    <w:p w:rsidR="008307B1" w:rsidRDefault="008307B1" w:rsidP="008307B1">
      <w:pPr>
        <w:pStyle w:val="ListParagraph"/>
      </w:pPr>
    </w:p>
    <w:p w:rsidR="008307B1" w:rsidRDefault="008307B1" w:rsidP="00994E28">
      <w:pPr>
        <w:pStyle w:val="ListBullet4"/>
        <w:jc w:val="both"/>
      </w:pPr>
      <w:r>
        <w:t xml:space="preserve">April 2011: Implementation of the closed network </w:t>
      </w:r>
      <w:r w:rsidR="00140690">
        <w:t xml:space="preserve">of hospital </w:t>
      </w:r>
      <w:r>
        <w:t>in Brazil</w:t>
      </w:r>
      <w:r w:rsidR="00140690">
        <w:t xml:space="preserve"> (Rio, Sao Paulo, Brasilia), with higher (40%) co-pay applied when using hospitals outside such closed network</w:t>
      </w:r>
    </w:p>
    <w:p w:rsidR="00AA522F" w:rsidRDefault="008307B1" w:rsidP="00994E28">
      <w:pPr>
        <w:pStyle w:val="ListBullet4"/>
        <w:jc w:val="both"/>
      </w:pPr>
      <w:r>
        <w:t xml:space="preserve">April 2012: Implementation of a pharmacy discount card </w:t>
      </w:r>
      <w:r w:rsidR="00AA522F">
        <w:t xml:space="preserve">in Brazil </w:t>
      </w:r>
    </w:p>
    <w:p w:rsidR="008307B1" w:rsidRPr="008307B1" w:rsidRDefault="008307B1" w:rsidP="00994E28">
      <w:pPr>
        <w:pStyle w:val="ListBullet4"/>
        <w:jc w:val="both"/>
      </w:pPr>
      <w:r>
        <w:t>April 2013: Increase in the amount of coverage for a few benefits such as</w:t>
      </w:r>
      <w:r w:rsidR="00AA522F">
        <w:t xml:space="preserve"> annual eye exam (from </w:t>
      </w:r>
      <w:r>
        <w:t xml:space="preserve">$90 to $126), single vision lenses (from </w:t>
      </w:r>
      <w:r w:rsidR="00AA522F">
        <w:t>$</w:t>
      </w:r>
      <w:r>
        <w:t xml:space="preserve">108 to </w:t>
      </w:r>
      <w:r w:rsidR="00AA522F">
        <w:t>$</w:t>
      </w:r>
      <w:r>
        <w:t xml:space="preserve">151), bifocal lenses (from </w:t>
      </w:r>
      <w:r w:rsidR="00AA522F">
        <w:t>$</w:t>
      </w:r>
      <w:r>
        <w:t xml:space="preserve">192 to </w:t>
      </w:r>
      <w:r w:rsidR="00AA522F">
        <w:t>$</w:t>
      </w:r>
      <w:r>
        <w:t xml:space="preserve">269), trifocal lenses (from </w:t>
      </w:r>
      <w:r w:rsidR="00AA522F">
        <w:t>$</w:t>
      </w:r>
      <w:r>
        <w:t xml:space="preserve">252 to </w:t>
      </w:r>
      <w:r w:rsidR="00AA522F">
        <w:t>$</w:t>
      </w:r>
      <w:r>
        <w:t xml:space="preserve">352), lenticular lenses (from </w:t>
      </w:r>
      <w:r w:rsidR="00AA522F">
        <w:t>$</w:t>
      </w:r>
      <w:r>
        <w:t xml:space="preserve">480 to </w:t>
      </w:r>
      <w:r w:rsidR="00AA522F">
        <w:t>$</w:t>
      </w:r>
      <w:r>
        <w:t xml:space="preserve">672), contact lenses (from </w:t>
      </w:r>
      <w:r w:rsidR="00AA522F">
        <w:t>$</w:t>
      </w:r>
      <w:r>
        <w:t xml:space="preserve">150 to </w:t>
      </w:r>
      <w:r w:rsidR="00AA522F">
        <w:t>$</w:t>
      </w:r>
      <w:r>
        <w:t xml:space="preserve">210), surgical contact lenses (from </w:t>
      </w:r>
      <w:r w:rsidR="00AA522F">
        <w:t>$</w:t>
      </w:r>
      <w:r>
        <w:t xml:space="preserve">480 to </w:t>
      </w:r>
      <w:r w:rsidR="00AA522F">
        <w:t>unlimited</w:t>
      </w:r>
      <w:r>
        <w:t xml:space="preserve">, 80% refund), frames (from </w:t>
      </w:r>
      <w:r w:rsidR="00AA522F">
        <w:t>$</w:t>
      </w:r>
      <w:r>
        <w:t xml:space="preserve">84 to </w:t>
      </w:r>
      <w:r w:rsidR="00AA522F">
        <w:t>$118), dental implants (from $</w:t>
      </w:r>
      <w:r>
        <w:t xml:space="preserve">1,000 to </w:t>
      </w:r>
      <w:r w:rsidR="00AA522F">
        <w:t>$</w:t>
      </w:r>
      <w:r>
        <w:t>2,000), o</w:t>
      </w:r>
      <w:r w:rsidR="00AA522F">
        <w:t>rthodontic treatment (from $</w:t>
      </w:r>
      <w:r>
        <w:t>2,000 to</w:t>
      </w:r>
      <w:r w:rsidR="00AA522F">
        <w:t xml:space="preserve"> $</w:t>
      </w:r>
      <w:r>
        <w:t>3,000 per lifetime)</w:t>
      </w:r>
      <w:r w:rsidR="004432C1">
        <w:t xml:space="preserve"> and </w:t>
      </w:r>
      <w:r w:rsidR="004432C1" w:rsidRPr="004432C1">
        <w:t>laser eye surgery benefit (80% refund</w:t>
      </w:r>
      <w:r w:rsidR="00387640">
        <w:t>, one per lifetime</w:t>
      </w:r>
      <w:r w:rsidR="004432C1" w:rsidRPr="004432C1">
        <w:t>)</w:t>
      </w:r>
      <w:r>
        <w:t xml:space="preserve">. </w:t>
      </w:r>
    </w:p>
    <w:p w:rsidR="008307B1" w:rsidRDefault="008307B1" w:rsidP="008307B1">
      <w:pPr>
        <w:ind w:left="360"/>
      </w:pPr>
    </w:p>
    <w:p w:rsidR="001833D7" w:rsidRPr="00994E28" w:rsidRDefault="001833D7" w:rsidP="001833D7">
      <w:pPr>
        <w:numPr>
          <w:ilvl w:val="5"/>
          <w:numId w:val="14"/>
        </w:numPr>
        <w:rPr>
          <w:b/>
          <w:u w:val="single"/>
        </w:rPr>
      </w:pPr>
      <w:r w:rsidRPr="00994E28">
        <w:rPr>
          <w:b/>
          <w:u w:val="single"/>
        </w:rPr>
        <w:t>Plan changes to be implemented on April 1, 20</w:t>
      </w:r>
      <w:r w:rsidR="006C302C">
        <w:rPr>
          <w:b/>
          <w:u w:val="single"/>
        </w:rPr>
        <w:t>2</w:t>
      </w:r>
      <w:r w:rsidR="00C528BC">
        <w:rPr>
          <w:b/>
          <w:u w:val="single"/>
        </w:rPr>
        <w:t>1</w:t>
      </w:r>
    </w:p>
    <w:p w:rsidR="001833D7" w:rsidRDefault="001833D7" w:rsidP="001833D7">
      <w:pPr>
        <w:pStyle w:val="ListParagraph"/>
      </w:pPr>
    </w:p>
    <w:p w:rsidR="00450092" w:rsidRDefault="00450092" w:rsidP="001833D7">
      <w:pPr>
        <w:pStyle w:val="ListParagraph"/>
      </w:pPr>
    </w:p>
    <w:p w:rsidR="00450092" w:rsidRPr="00C5311C" w:rsidRDefault="00450092" w:rsidP="00E94794">
      <w:pPr>
        <w:pStyle w:val="ListParagraph"/>
        <w:ind w:left="-142"/>
        <w:rPr>
          <w:b/>
          <w:sz w:val="18"/>
          <w:szCs w:val="18"/>
        </w:rPr>
      </w:pPr>
      <w:r w:rsidRPr="00C5311C">
        <w:rPr>
          <w:b/>
          <w:sz w:val="18"/>
          <w:szCs w:val="18"/>
        </w:rPr>
        <w:t>2019 framework</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4"/>
        <w:gridCol w:w="4491"/>
      </w:tblGrid>
      <w:tr w:rsidR="00450092" w:rsidRPr="00C5311C" w:rsidTr="001F0845">
        <w:tc>
          <w:tcPr>
            <w:tcW w:w="2662" w:type="pct"/>
            <w:shd w:val="clear" w:color="auto" w:fill="auto"/>
            <w:tcMar>
              <w:top w:w="28" w:type="dxa"/>
              <w:left w:w="108" w:type="dxa"/>
              <w:bottom w:w="28" w:type="dxa"/>
              <w:right w:w="108" w:type="dxa"/>
            </w:tcMar>
            <w:hideMark/>
          </w:tcPr>
          <w:p w:rsidR="00450092" w:rsidRPr="00C5311C" w:rsidRDefault="00450092" w:rsidP="00CB491D">
            <w:pPr>
              <w:spacing w:line="276" w:lineRule="auto"/>
              <w:ind w:left="284" w:right="45" w:hanging="227"/>
              <w:jc w:val="center"/>
              <w:rPr>
                <w:rFonts w:eastAsia="Calibri"/>
                <w:b/>
                <w:sz w:val="18"/>
                <w:szCs w:val="18"/>
              </w:rPr>
            </w:pPr>
            <w:r w:rsidRPr="00C5311C">
              <w:rPr>
                <w:b/>
                <w:sz w:val="18"/>
                <w:szCs w:val="18"/>
              </w:rPr>
              <w:t>Item</w:t>
            </w:r>
          </w:p>
        </w:tc>
        <w:tc>
          <w:tcPr>
            <w:tcW w:w="2338" w:type="pct"/>
            <w:shd w:val="clear" w:color="auto" w:fill="auto"/>
            <w:tcMar>
              <w:top w:w="28" w:type="dxa"/>
              <w:left w:w="108" w:type="dxa"/>
              <w:bottom w:w="28" w:type="dxa"/>
              <w:right w:w="108" w:type="dxa"/>
            </w:tcMar>
            <w:hideMark/>
          </w:tcPr>
          <w:p w:rsidR="00450092" w:rsidRPr="00C5311C" w:rsidRDefault="007F1361" w:rsidP="00CB491D">
            <w:pPr>
              <w:spacing w:line="276" w:lineRule="auto"/>
              <w:ind w:left="284" w:right="45" w:hanging="227"/>
              <w:jc w:val="center"/>
              <w:rPr>
                <w:b/>
                <w:sz w:val="18"/>
                <w:szCs w:val="18"/>
              </w:rPr>
            </w:pPr>
            <w:r w:rsidRPr="00C5311C">
              <w:rPr>
                <w:b/>
                <w:sz w:val="18"/>
                <w:szCs w:val="18"/>
              </w:rPr>
              <w:t>Details</w:t>
            </w:r>
          </w:p>
        </w:tc>
      </w:tr>
      <w:tr w:rsidR="00450092" w:rsidRPr="00C5311C" w:rsidTr="001F0845">
        <w:tc>
          <w:tcPr>
            <w:tcW w:w="2662" w:type="pct"/>
            <w:shd w:val="clear" w:color="auto" w:fill="auto"/>
            <w:tcMar>
              <w:top w:w="28" w:type="dxa"/>
              <w:left w:w="108" w:type="dxa"/>
              <w:bottom w:w="28" w:type="dxa"/>
              <w:right w:w="108" w:type="dxa"/>
            </w:tcMar>
            <w:hideMark/>
          </w:tcPr>
          <w:p w:rsidR="00450092" w:rsidRPr="00C5311C" w:rsidRDefault="00450092" w:rsidP="00CB491D">
            <w:pPr>
              <w:spacing w:line="276" w:lineRule="auto"/>
              <w:ind w:left="284" w:right="45" w:hanging="227"/>
              <w:rPr>
                <w:sz w:val="18"/>
                <w:szCs w:val="18"/>
              </w:rPr>
            </w:pPr>
            <w:r w:rsidRPr="00C5311C">
              <w:rPr>
                <w:sz w:val="18"/>
                <w:szCs w:val="18"/>
              </w:rPr>
              <w:t>Mental disorders</w:t>
            </w:r>
          </w:p>
          <w:p w:rsidR="00450092" w:rsidRPr="00C5311C" w:rsidRDefault="00450092" w:rsidP="00CB491D">
            <w:pPr>
              <w:spacing w:line="276" w:lineRule="auto"/>
              <w:ind w:left="284" w:right="45" w:hanging="227"/>
              <w:rPr>
                <w:sz w:val="18"/>
                <w:szCs w:val="18"/>
              </w:rPr>
            </w:pPr>
            <w:r w:rsidRPr="00C5311C">
              <w:rPr>
                <w:sz w:val="18"/>
                <w:szCs w:val="18"/>
              </w:rPr>
              <w:t>(including  alcoholism and drug abuse treatment)</w:t>
            </w:r>
          </w:p>
        </w:tc>
        <w:tc>
          <w:tcPr>
            <w:tcW w:w="2338" w:type="pct"/>
            <w:shd w:val="clear" w:color="auto" w:fill="auto"/>
            <w:tcMar>
              <w:top w:w="28" w:type="dxa"/>
              <w:left w:w="108" w:type="dxa"/>
              <w:bottom w:w="28" w:type="dxa"/>
              <w:right w:w="108" w:type="dxa"/>
            </w:tcMar>
          </w:tcPr>
          <w:p w:rsidR="00450092" w:rsidRPr="00C5311C" w:rsidRDefault="00450092" w:rsidP="00CB491D">
            <w:pPr>
              <w:spacing w:line="276" w:lineRule="auto"/>
              <w:ind w:left="284" w:right="45" w:hanging="227"/>
              <w:rPr>
                <w:sz w:val="18"/>
                <w:szCs w:val="18"/>
              </w:rPr>
            </w:pPr>
            <w:r w:rsidRPr="00C5311C">
              <w:rPr>
                <w:sz w:val="18"/>
                <w:szCs w:val="18"/>
              </w:rPr>
              <w:t>80% refund,</w:t>
            </w:r>
          </w:p>
          <w:p w:rsidR="00450092" w:rsidRPr="00C5311C" w:rsidRDefault="00450092" w:rsidP="00CB491D">
            <w:pPr>
              <w:spacing w:line="276" w:lineRule="auto"/>
              <w:ind w:left="284" w:right="45" w:hanging="227"/>
              <w:rPr>
                <w:sz w:val="18"/>
                <w:szCs w:val="18"/>
              </w:rPr>
            </w:pPr>
          </w:p>
          <w:p w:rsidR="00450092" w:rsidRPr="00C5311C" w:rsidRDefault="00450092" w:rsidP="00CB491D">
            <w:pPr>
              <w:spacing w:line="276" w:lineRule="auto"/>
              <w:ind w:left="284" w:right="45" w:hanging="227"/>
              <w:rPr>
                <w:sz w:val="18"/>
                <w:szCs w:val="18"/>
              </w:rPr>
            </w:pPr>
            <w:r w:rsidRPr="00C5311C">
              <w:rPr>
                <w:sz w:val="18"/>
                <w:szCs w:val="18"/>
              </w:rPr>
              <w:t xml:space="preserve">Maximum of $60 </w:t>
            </w:r>
          </w:p>
          <w:p w:rsidR="00450092" w:rsidRPr="00C5311C" w:rsidRDefault="00450092" w:rsidP="00CB491D">
            <w:pPr>
              <w:spacing w:line="276" w:lineRule="auto"/>
              <w:ind w:left="284" w:right="45" w:hanging="227"/>
              <w:rPr>
                <w:sz w:val="18"/>
                <w:szCs w:val="18"/>
              </w:rPr>
            </w:pPr>
            <w:proofErr w:type="gramStart"/>
            <w:r w:rsidRPr="00C5311C">
              <w:rPr>
                <w:sz w:val="18"/>
                <w:szCs w:val="18"/>
              </w:rPr>
              <w:t>per</w:t>
            </w:r>
            <w:proofErr w:type="gramEnd"/>
            <w:r w:rsidRPr="00C5311C">
              <w:rPr>
                <w:sz w:val="18"/>
                <w:szCs w:val="18"/>
              </w:rPr>
              <w:t xml:space="preserve"> visit, max. 52 visits</w:t>
            </w:r>
          </w:p>
        </w:tc>
      </w:tr>
      <w:tr w:rsidR="00450092" w:rsidRPr="00C5311C" w:rsidTr="001F0845">
        <w:tc>
          <w:tcPr>
            <w:tcW w:w="2662" w:type="pct"/>
            <w:shd w:val="clear" w:color="auto" w:fill="auto"/>
            <w:tcMar>
              <w:top w:w="28" w:type="dxa"/>
              <w:left w:w="108" w:type="dxa"/>
              <w:bottom w:w="28" w:type="dxa"/>
              <w:right w:w="108" w:type="dxa"/>
            </w:tcMar>
            <w:hideMark/>
          </w:tcPr>
          <w:p w:rsidR="00450092" w:rsidRPr="00C5311C" w:rsidRDefault="00450092" w:rsidP="00CB491D">
            <w:pPr>
              <w:spacing w:line="276" w:lineRule="auto"/>
              <w:ind w:left="284" w:right="45" w:hanging="227"/>
              <w:rPr>
                <w:sz w:val="18"/>
                <w:szCs w:val="18"/>
              </w:rPr>
            </w:pPr>
            <w:r w:rsidRPr="00C5311C">
              <w:rPr>
                <w:sz w:val="18"/>
                <w:szCs w:val="18"/>
              </w:rPr>
              <w:t>Dental Benefits</w:t>
            </w:r>
          </w:p>
          <w:p w:rsidR="00450092" w:rsidRPr="00C5311C" w:rsidRDefault="00450092" w:rsidP="00CB491D">
            <w:pPr>
              <w:spacing w:line="276" w:lineRule="auto"/>
              <w:ind w:left="284" w:right="45" w:hanging="227"/>
              <w:rPr>
                <w:sz w:val="18"/>
                <w:szCs w:val="18"/>
              </w:rPr>
            </w:pPr>
            <w:r w:rsidRPr="00C5311C">
              <w:rPr>
                <w:sz w:val="18"/>
                <w:szCs w:val="18"/>
              </w:rPr>
              <w:t>Maximum plan limit</w:t>
            </w:r>
          </w:p>
          <w:p w:rsidR="00450092" w:rsidRPr="00C5311C" w:rsidRDefault="00450092" w:rsidP="00CB491D">
            <w:pPr>
              <w:spacing w:line="276" w:lineRule="auto"/>
              <w:ind w:left="284" w:right="45" w:hanging="227"/>
              <w:rPr>
                <w:sz w:val="18"/>
                <w:szCs w:val="18"/>
              </w:rPr>
            </w:pPr>
            <w:r w:rsidRPr="00C5311C">
              <w:rPr>
                <w:sz w:val="18"/>
                <w:szCs w:val="18"/>
              </w:rPr>
              <w:t>Orthodontic Treatment</w:t>
            </w:r>
          </w:p>
        </w:tc>
        <w:tc>
          <w:tcPr>
            <w:tcW w:w="2338" w:type="pct"/>
            <w:shd w:val="clear" w:color="auto" w:fill="auto"/>
            <w:tcMar>
              <w:top w:w="28" w:type="dxa"/>
              <w:left w:w="108" w:type="dxa"/>
              <w:bottom w:w="28" w:type="dxa"/>
              <w:right w:w="108" w:type="dxa"/>
            </w:tcMar>
          </w:tcPr>
          <w:p w:rsidR="00450092" w:rsidRPr="00C5311C" w:rsidRDefault="00450092" w:rsidP="00CB491D">
            <w:pPr>
              <w:spacing w:line="276" w:lineRule="auto"/>
              <w:ind w:left="284" w:right="45" w:hanging="227"/>
              <w:rPr>
                <w:sz w:val="18"/>
                <w:szCs w:val="18"/>
              </w:rPr>
            </w:pPr>
          </w:p>
          <w:p w:rsidR="00450092" w:rsidRPr="00C5311C" w:rsidRDefault="00450092" w:rsidP="00CB491D">
            <w:pPr>
              <w:spacing w:line="276" w:lineRule="auto"/>
              <w:ind w:left="284" w:right="45" w:hanging="227"/>
              <w:rPr>
                <w:sz w:val="18"/>
                <w:szCs w:val="18"/>
              </w:rPr>
            </w:pPr>
            <w:r w:rsidRPr="00C5311C">
              <w:rPr>
                <w:sz w:val="18"/>
                <w:szCs w:val="18"/>
              </w:rPr>
              <w:t>$3,000</w:t>
            </w:r>
          </w:p>
          <w:p w:rsidR="00450092" w:rsidRPr="00C5311C" w:rsidRDefault="00450092" w:rsidP="00CB491D">
            <w:pPr>
              <w:spacing w:line="276" w:lineRule="auto"/>
              <w:ind w:left="284" w:right="45" w:hanging="227"/>
              <w:rPr>
                <w:sz w:val="18"/>
                <w:szCs w:val="18"/>
              </w:rPr>
            </w:pPr>
            <w:r w:rsidRPr="00C5311C">
              <w:rPr>
                <w:sz w:val="18"/>
                <w:szCs w:val="18"/>
              </w:rPr>
              <w:t>$3,000</w:t>
            </w:r>
          </w:p>
        </w:tc>
      </w:tr>
      <w:tr w:rsidR="00450092" w:rsidRPr="00C5311C" w:rsidTr="001F0845">
        <w:tc>
          <w:tcPr>
            <w:tcW w:w="2662" w:type="pct"/>
            <w:shd w:val="clear" w:color="auto" w:fill="auto"/>
            <w:tcMar>
              <w:top w:w="28" w:type="dxa"/>
              <w:left w:w="108" w:type="dxa"/>
              <w:bottom w:w="28" w:type="dxa"/>
              <w:right w:w="108" w:type="dxa"/>
            </w:tcMar>
            <w:hideMark/>
          </w:tcPr>
          <w:p w:rsidR="00450092" w:rsidRPr="00C5311C" w:rsidRDefault="00450092" w:rsidP="00CB491D">
            <w:pPr>
              <w:spacing w:line="276" w:lineRule="auto"/>
              <w:ind w:left="284" w:right="45" w:hanging="227"/>
              <w:rPr>
                <w:sz w:val="18"/>
                <w:szCs w:val="18"/>
              </w:rPr>
            </w:pPr>
            <w:r w:rsidRPr="00C5311C">
              <w:rPr>
                <w:sz w:val="18"/>
                <w:szCs w:val="18"/>
              </w:rPr>
              <w:t>Annual preventative check ups</w:t>
            </w:r>
          </w:p>
          <w:p w:rsidR="00450092" w:rsidRPr="00C5311C" w:rsidRDefault="00450092" w:rsidP="00CB491D">
            <w:pPr>
              <w:pStyle w:val="ListParagraph"/>
              <w:numPr>
                <w:ilvl w:val="0"/>
                <w:numId w:val="22"/>
              </w:numPr>
              <w:spacing w:line="276" w:lineRule="auto"/>
              <w:ind w:right="45"/>
              <w:rPr>
                <w:sz w:val="18"/>
                <w:szCs w:val="18"/>
              </w:rPr>
            </w:pPr>
            <w:r w:rsidRPr="00C5311C">
              <w:rPr>
                <w:sz w:val="18"/>
                <w:szCs w:val="18"/>
              </w:rPr>
              <w:t>Routine physical exam</w:t>
            </w:r>
          </w:p>
          <w:p w:rsidR="00450092" w:rsidRPr="00C5311C" w:rsidRDefault="00450092" w:rsidP="00CB491D">
            <w:pPr>
              <w:pStyle w:val="ListParagraph"/>
              <w:numPr>
                <w:ilvl w:val="0"/>
                <w:numId w:val="22"/>
              </w:numPr>
              <w:spacing w:line="276" w:lineRule="auto"/>
              <w:ind w:right="45"/>
              <w:rPr>
                <w:sz w:val="18"/>
                <w:szCs w:val="18"/>
              </w:rPr>
            </w:pPr>
            <w:r w:rsidRPr="00C5311C">
              <w:rPr>
                <w:sz w:val="18"/>
                <w:szCs w:val="18"/>
              </w:rPr>
              <w:t>Annual Gynecological exam</w:t>
            </w:r>
          </w:p>
        </w:tc>
        <w:tc>
          <w:tcPr>
            <w:tcW w:w="2338" w:type="pct"/>
            <w:shd w:val="clear" w:color="auto" w:fill="auto"/>
            <w:tcMar>
              <w:top w:w="28" w:type="dxa"/>
              <w:left w:w="108" w:type="dxa"/>
              <w:bottom w:w="28" w:type="dxa"/>
              <w:right w:w="108" w:type="dxa"/>
            </w:tcMar>
          </w:tcPr>
          <w:p w:rsidR="00450092" w:rsidRPr="00C5311C" w:rsidRDefault="00450092" w:rsidP="00CB491D">
            <w:pPr>
              <w:spacing w:line="276" w:lineRule="auto"/>
              <w:ind w:left="284" w:right="45" w:hanging="227"/>
              <w:rPr>
                <w:sz w:val="18"/>
                <w:szCs w:val="18"/>
              </w:rPr>
            </w:pPr>
          </w:p>
          <w:p w:rsidR="00450092" w:rsidRPr="00C5311C" w:rsidRDefault="00450092" w:rsidP="00CB491D">
            <w:pPr>
              <w:spacing w:line="276" w:lineRule="auto"/>
              <w:ind w:left="284" w:right="45" w:hanging="227"/>
              <w:rPr>
                <w:sz w:val="18"/>
                <w:szCs w:val="18"/>
              </w:rPr>
            </w:pPr>
            <w:r w:rsidRPr="00C5311C">
              <w:rPr>
                <w:sz w:val="18"/>
                <w:szCs w:val="18"/>
              </w:rPr>
              <w:t>80% refund</w:t>
            </w:r>
          </w:p>
          <w:p w:rsidR="00450092" w:rsidRPr="00C5311C" w:rsidRDefault="00450092" w:rsidP="00CB491D">
            <w:pPr>
              <w:spacing w:line="276" w:lineRule="auto"/>
              <w:ind w:left="284" w:right="45" w:hanging="227"/>
              <w:rPr>
                <w:sz w:val="18"/>
                <w:szCs w:val="18"/>
              </w:rPr>
            </w:pPr>
            <w:r w:rsidRPr="00C5311C">
              <w:rPr>
                <w:sz w:val="18"/>
                <w:szCs w:val="18"/>
              </w:rPr>
              <w:t>80% refund</w:t>
            </w:r>
          </w:p>
        </w:tc>
      </w:tr>
      <w:tr w:rsidR="00450092" w:rsidRPr="00C5311C" w:rsidTr="001F0845">
        <w:tc>
          <w:tcPr>
            <w:tcW w:w="2662" w:type="pct"/>
            <w:shd w:val="clear" w:color="auto" w:fill="auto"/>
            <w:tcMar>
              <w:top w:w="28" w:type="dxa"/>
              <w:left w:w="108" w:type="dxa"/>
              <w:bottom w:w="28" w:type="dxa"/>
              <w:right w:w="108" w:type="dxa"/>
            </w:tcMar>
            <w:hideMark/>
          </w:tcPr>
          <w:p w:rsidR="00450092" w:rsidRPr="00C5311C" w:rsidRDefault="00450092" w:rsidP="00CB491D">
            <w:pPr>
              <w:spacing w:line="276" w:lineRule="auto"/>
              <w:ind w:left="284" w:right="45" w:hanging="227"/>
              <w:rPr>
                <w:sz w:val="18"/>
                <w:szCs w:val="18"/>
              </w:rPr>
            </w:pPr>
            <w:r w:rsidRPr="00C5311C">
              <w:rPr>
                <w:sz w:val="18"/>
                <w:szCs w:val="18"/>
              </w:rPr>
              <w:t xml:space="preserve">Repatriation to Brazil of terminally ill insured member </w:t>
            </w:r>
          </w:p>
          <w:p w:rsidR="00450092" w:rsidRPr="00C5311C" w:rsidRDefault="00450092" w:rsidP="00CB491D">
            <w:pPr>
              <w:spacing w:line="276" w:lineRule="auto"/>
              <w:ind w:left="284" w:right="45" w:hanging="227"/>
              <w:rPr>
                <w:sz w:val="18"/>
                <w:szCs w:val="18"/>
              </w:rPr>
            </w:pPr>
            <w:r w:rsidRPr="00C5311C">
              <w:rPr>
                <w:sz w:val="18"/>
                <w:szCs w:val="18"/>
              </w:rPr>
              <w:t>while in official mission abroad</w:t>
            </w:r>
          </w:p>
        </w:tc>
        <w:tc>
          <w:tcPr>
            <w:tcW w:w="2338" w:type="pct"/>
            <w:shd w:val="clear" w:color="auto" w:fill="auto"/>
            <w:tcMar>
              <w:top w:w="28" w:type="dxa"/>
              <w:left w:w="108" w:type="dxa"/>
              <w:bottom w:w="28" w:type="dxa"/>
              <w:right w:w="108" w:type="dxa"/>
            </w:tcMar>
            <w:hideMark/>
          </w:tcPr>
          <w:p w:rsidR="00450092" w:rsidRPr="00C5311C" w:rsidRDefault="00450092" w:rsidP="00CB491D">
            <w:pPr>
              <w:spacing w:line="276" w:lineRule="auto"/>
              <w:ind w:left="284" w:right="45" w:hanging="227"/>
              <w:rPr>
                <w:sz w:val="18"/>
                <w:szCs w:val="18"/>
              </w:rPr>
            </w:pPr>
            <w:r w:rsidRPr="00C5311C">
              <w:rPr>
                <w:sz w:val="18"/>
                <w:szCs w:val="18"/>
              </w:rPr>
              <w:t>Not covered</w:t>
            </w:r>
          </w:p>
        </w:tc>
      </w:tr>
    </w:tbl>
    <w:p w:rsidR="00450092" w:rsidRPr="00C5311C" w:rsidRDefault="00450092" w:rsidP="001833D7">
      <w:pPr>
        <w:pStyle w:val="ListParagraph"/>
        <w:rPr>
          <w:sz w:val="18"/>
          <w:szCs w:val="18"/>
        </w:rPr>
      </w:pPr>
    </w:p>
    <w:p w:rsidR="00E94794" w:rsidRPr="00C5311C" w:rsidRDefault="00E94794" w:rsidP="00E94794">
      <w:pPr>
        <w:pStyle w:val="ListParagraph"/>
        <w:ind w:left="-142"/>
        <w:rPr>
          <w:b/>
          <w:sz w:val="18"/>
          <w:szCs w:val="18"/>
        </w:rPr>
      </w:pPr>
      <w:r w:rsidRPr="00C5311C">
        <w:rPr>
          <w:b/>
          <w:sz w:val="18"/>
          <w:szCs w:val="18"/>
        </w:rPr>
        <w:t>2020 framework</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68"/>
        <w:gridCol w:w="4538"/>
      </w:tblGrid>
      <w:tr w:rsidR="00450092" w:rsidRPr="00C5311C" w:rsidTr="001F0845">
        <w:tc>
          <w:tcPr>
            <w:tcW w:w="2638" w:type="pct"/>
            <w:shd w:val="clear" w:color="auto" w:fill="auto"/>
            <w:tcMar>
              <w:top w:w="28" w:type="dxa"/>
              <w:left w:w="108" w:type="dxa"/>
              <w:bottom w:w="28" w:type="dxa"/>
              <w:right w:w="108" w:type="dxa"/>
            </w:tcMar>
            <w:hideMark/>
          </w:tcPr>
          <w:p w:rsidR="00450092" w:rsidRPr="00C5311C" w:rsidRDefault="00A762BD" w:rsidP="00AA3802">
            <w:pPr>
              <w:spacing w:line="276" w:lineRule="auto"/>
              <w:ind w:left="284" w:right="45" w:hanging="227"/>
              <w:jc w:val="center"/>
              <w:rPr>
                <w:b/>
                <w:sz w:val="18"/>
                <w:szCs w:val="18"/>
              </w:rPr>
            </w:pPr>
            <w:r w:rsidRPr="00C5311C">
              <w:rPr>
                <w:b/>
                <w:sz w:val="18"/>
                <w:szCs w:val="18"/>
              </w:rPr>
              <w:t>Item</w:t>
            </w:r>
          </w:p>
        </w:tc>
        <w:tc>
          <w:tcPr>
            <w:tcW w:w="2362" w:type="pct"/>
            <w:shd w:val="clear" w:color="auto" w:fill="auto"/>
            <w:hideMark/>
          </w:tcPr>
          <w:p w:rsidR="00450092" w:rsidRPr="00C5311C" w:rsidRDefault="00450092" w:rsidP="00AA3802">
            <w:pPr>
              <w:spacing w:line="276" w:lineRule="auto"/>
              <w:ind w:left="284" w:right="45" w:hanging="227"/>
              <w:jc w:val="center"/>
              <w:rPr>
                <w:b/>
                <w:sz w:val="18"/>
                <w:szCs w:val="18"/>
              </w:rPr>
            </w:pPr>
            <w:r w:rsidRPr="00C5311C">
              <w:rPr>
                <w:b/>
                <w:sz w:val="18"/>
                <w:szCs w:val="18"/>
              </w:rPr>
              <w:t>Details</w:t>
            </w:r>
          </w:p>
        </w:tc>
      </w:tr>
      <w:tr w:rsidR="00450092" w:rsidRPr="00C5311C" w:rsidTr="001F0845">
        <w:tc>
          <w:tcPr>
            <w:tcW w:w="2638" w:type="pct"/>
            <w:shd w:val="clear" w:color="auto" w:fill="auto"/>
            <w:tcMar>
              <w:top w:w="28" w:type="dxa"/>
              <w:left w:w="108" w:type="dxa"/>
              <w:bottom w:w="28" w:type="dxa"/>
              <w:right w:w="108" w:type="dxa"/>
            </w:tcMar>
          </w:tcPr>
          <w:p w:rsidR="00450092" w:rsidRPr="00C5311C" w:rsidRDefault="00450092">
            <w:pPr>
              <w:spacing w:line="276" w:lineRule="auto"/>
              <w:ind w:left="284" w:right="45" w:hanging="227"/>
              <w:rPr>
                <w:sz w:val="18"/>
                <w:szCs w:val="18"/>
              </w:rPr>
            </w:pPr>
            <w:r w:rsidRPr="00C5311C">
              <w:rPr>
                <w:sz w:val="18"/>
                <w:szCs w:val="18"/>
              </w:rPr>
              <w:t xml:space="preserve">Psychiatric consultation (not psychotherapy) </w:t>
            </w:r>
          </w:p>
          <w:p w:rsidR="00450092" w:rsidRPr="00C5311C" w:rsidRDefault="00450092">
            <w:pPr>
              <w:spacing w:line="276" w:lineRule="auto"/>
              <w:ind w:left="284" w:right="45" w:hanging="227"/>
              <w:rPr>
                <w:sz w:val="18"/>
                <w:szCs w:val="18"/>
              </w:rPr>
            </w:pPr>
            <w:r w:rsidRPr="00C5311C">
              <w:rPr>
                <w:sz w:val="18"/>
                <w:szCs w:val="18"/>
              </w:rPr>
              <w:t>Psychotherapy prescribed by a psychiatrist</w:t>
            </w:r>
          </w:p>
          <w:p w:rsidR="00450092" w:rsidRPr="00C5311C" w:rsidRDefault="00450092">
            <w:pPr>
              <w:spacing w:line="276" w:lineRule="auto"/>
              <w:ind w:left="284" w:right="45" w:hanging="227"/>
              <w:rPr>
                <w:sz w:val="18"/>
                <w:szCs w:val="18"/>
              </w:rPr>
            </w:pPr>
            <w:r w:rsidRPr="00C5311C">
              <w:rPr>
                <w:sz w:val="18"/>
                <w:szCs w:val="18"/>
              </w:rPr>
              <w:t>Elective psychotherapy (not prescribed)</w:t>
            </w:r>
          </w:p>
        </w:tc>
        <w:tc>
          <w:tcPr>
            <w:tcW w:w="2362" w:type="pct"/>
            <w:shd w:val="clear" w:color="auto" w:fill="auto"/>
            <w:hideMark/>
          </w:tcPr>
          <w:p w:rsidR="00450092" w:rsidRPr="00C5311C" w:rsidRDefault="00450092">
            <w:pPr>
              <w:spacing w:line="276" w:lineRule="auto"/>
              <w:ind w:left="284" w:right="45" w:hanging="227"/>
              <w:rPr>
                <w:sz w:val="18"/>
                <w:szCs w:val="18"/>
              </w:rPr>
            </w:pPr>
            <w:r w:rsidRPr="00C5311C">
              <w:rPr>
                <w:sz w:val="18"/>
                <w:szCs w:val="18"/>
              </w:rPr>
              <w:t xml:space="preserve">80% refund </w:t>
            </w:r>
          </w:p>
          <w:p w:rsidR="00450092" w:rsidRPr="00C5311C" w:rsidRDefault="00450092">
            <w:pPr>
              <w:spacing w:line="276" w:lineRule="auto"/>
              <w:ind w:left="284" w:right="45" w:hanging="227"/>
              <w:jc w:val="both"/>
              <w:rPr>
                <w:sz w:val="18"/>
                <w:szCs w:val="18"/>
              </w:rPr>
            </w:pPr>
            <w:r w:rsidRPr="00C5311C">
              <w:rPr>
                <w:sz w:val="18"/>
                <w:szCs w:val="18"/>
              </w:rPr>
              <w:t>80% refund</w:t>
            </w:r>
          </w:p>
          <w:p w:rsidR="00450092" w:rsidRPr="00C5311C" w:rsidRDefault="00450092">
            <w:pPr>
              <w:spacing w:line="276" w:lineRule="auto"/>
              <w:ind w:left="284" w:right="45" w:hanging="227"/>
              <w:jc w:val="both"/>
              <w:rPr>
                <w:sz w:val="18"/>
                <w:szCs w:val="18"/>
              </w:rPr>
            </w:pPr>
            <w:r w:rsidRPr="00C5311C">
              <w:rPr>
                <w:sz w:val="18"/>
                <w:szCs w:val="18"/>
              </w:rPr>
              <w:t>60% refund, max. 52 visits</w:t>
            </w:r>
          </w:p>
        </w:tc>
      </w:tr>
      <w:tr w:rsidR="00450092" w:rsidRPr="00C5311C" w:rsidTr="001F0845">
        <w:tc>
          <w:tcPr>
            <w:tcW w:w="2638" w:type="pct"/>
            <w:shd w:val="clear" w:color="auto" w:fill="auto"/>
            <w:tcMar>
              <w:top w:w="28" w:type="dxa"/>
              <w:left w:w="108" w:type="dxa"/>
              <w:bottom w:w="28" w:type="dxa"/>
              <w:right w:w="108" w:type="dxa"/>
            </w:tcMar>
          </w:tcPr>
          <w:p w:rsidR="00450092" w:rsidRPr="00C5311C" w:rsidRDefault="00450092" w:rsidP="00450092">
            <w:pPr>
              <w:spacing w:line="276" w:lineRule="auto"/>
              <w:ind w:left="284" w:right="45" w:hanging="227"/>
              <w:rPr>
                <w:sz w:val="18"/>
                <w:szCs w:val="18"/>
              </w:rPr>
            </w:pPr>
            <w:r w:rsidRPr="00C5311C">
              <w:rPr>
                <w:sz w:val="18"/>
                <w:szCs w:val="18"/>
              </w:rPr>
              <w:t>Dental Benefits</w:t>
            </w:r>
          </w:p>
          <w:p w:rsidR="00450092" w:rsidRPr="00C5311C" w:rsidRDefault="00450092" w:rsidP="00450092">
            <w:pPr>
              <w:spacing w:line="276" w:lineRule="auto"/>
              <w:ind w:left="284" w:right="45" w:hanging="227"/>
              <w:rPr>
                <w:sz w:val="18"/>
                <w:szCs w:val="18"/>
              </w:rPr>
            </w:pPr>
            <w:r w:rsidRPr="00C5311C">
              <w:rPr>
                <w:sz w:val="18"/>
                <w:szCs w:val="18"/>
              </w:rPr>
              <w:t>Maximum plan limit</w:t>
            </w:r>
          </w:p>
          <w:p w:rsidR="00450092" w:rsidRPr="00C5311C" w:rsidRDefault="00450092">
            <w:pPr>
              <w:spacing w:line="276" w:lineRule="auto"/>
              <w:ind w:left="284" w:right="45" w:hanging="227"/>
              <w:rPr>
                <w:sz w:val="18"/>
                <w:szCs w:val="18"/>
              </w:rPr>
            </w:pPr>
            <w:r w:rsidRPr="00C5311C">
              <w:rPr>
                <w:sz w:val="18"/>
                <w:szCs w:val="18"/>
              </w:rPr>
              <w:t>Orthodontic Treatment</w:t>
            </w:r>
          </w:p>
        </w:tc>
        <w:tc>
          <w:tcPr>
            <w:tcW w:w="2362" w:type="pct"/>
            <w:shd w:val="clear" w:color="auto" w:fill="auto"/>
          </w:tcPr>
          <w:p w:rsidR="00450092" w:rsidRPr="00C5311C" w:rsidRDefault="00450092">
            <w:pPr>
              <w:spacing w:line="276" w:lineRule="auto"/>
              <w:ind w:left="284" w:right="45" w:hanging="227"/>
              <w:rPr>
                <w:sz w:val="18"/>
                <w:szCs w:val="18"/>
              </w:rPr>
            </w:pPr>
          </w:p>
          <w:p w:rsidR="00450092" w:rsidRPr="00C5311C" w:rsidRDefault="00450092">
            <w:pPr>
              <w:spacing w:line="276" w:lineRule="auto"/>
              <w:ind w:left="284" w:right="45" w:hanging="227"/>
              <w:rPr>
                <w:sz w:val="18"/>
                <w:szCs w:val="18"/>
              </w:rPr>
            </w:pPr>
            <w:r w:rsidRPr="00C5311C">
              <w:rPr>
                <w:sz w:val="18"/>
                <w:szCs w:val="18"/>
              </w:rPr>
              <w:t>$4,000</w:t>
            </w:r>
          </w:p>
          <w:p w:rsidR="00450092" w:rsidRPr="00C5311C" w:rsidRDefault="00450092">
            <w:pPr>
              <w:spacing w:line="276" w:lineRule="auto"/>
              <w:ind w:left="284" w:right="45" w:hanging="227"/>
              <w:rPr>
                <w:sz w:val="18"/>
                <w:szCs w:val="18"/>
              </w:rPr>
            </w:pPr>
            <w:r w:rsidRPr="00C5311C">
              <w:rPr>
                <w:sz w:val="18"/>
                <w:szCs w:val="18"/>
              </w:rPr>
              <w:t>$4,000</w:t>
            </w:r>
          </w:p>
        </w:tc>
      </w:tr>
      <w:tr w:rsidR="00450092" w:rsidRPr="00C5311C" w:rsidTr="001F0845">
        <w:tc>
          <w:tcPr>
            <w:tcW w:w="2638" w:type="pct"/>
            <w:shd w:val="clear" w:color="auto" w:fill="auto"/>
            <w:tcMar>
              <w:top w:w="28" w:type="dxa"/>
              <w:left w:w="108" w:type="dxa"/>
              <w:bottom w:w="28" w:type="dxa"/>
              <w:right w:w="108" w:type="dxa"/>
            </w:tcMar>
          </w:tcPr>
          <w:p w:rsidR="00450092" w:rsidRPr="00C5311C" w:rsidRDefault="00450092" w:rsidP="00450092">
            <w:pPr>
              <w:spacing w:line="276" w:lineRule="auto"/>
              <w:ind w:left="284" w:right="45" w:hanging="227"/>
              <w:rPr>
                <w:sz w:val="18"/>
                <w:szCs w:val="18"/>
              </w:rPr>
            </w:pPr>
            <w:r w:rsidRPr="00C5311C">
              <w:rPr>
                <w:sz w:val="18"/>
                <w:szCs w:val="18"/>
              </w:rPr>
              <w:t>Annual preventative check ups</w:t>
            </w:r>
          </w:p>
          <w:p w:rsidR="00450092" w:rsidRPr="00C5311C" w:rsidRDefault="001A03D4" w:rsidP="00450092">
            <w:pPr>
              <w:pStyle w:val="ListParagraph"/>
              <w:numPr>
                <w:ilvl w:val="0"/>
                <w:numId w:val="22"/>
              </w:numPr>
              <w:spacing w:line="276" w:lineRule="auto"/>
              <w:ind w:right="45"/>
              <w:rPr>
                <w:sz w:val="18"/>
                <w:szCs w:val="18"/>
              </w:rPr>
            </w:pPr>
            <w:r w:rsidRPr="00C5311C">
              <w:rPr>
                <w:sz w:val="18"/>
                <w:szCs w:val="18"/>
              </w:rPr>
              <w:t>Physical, mental and vision</w:t>
            </w:r>
          </w:p>
          <w:p w:rsidR="00450092" w:rsidRPr="00C5311C" w:rsidRDefault="00450092">
            <w:pPr>
              <w:spacing w:line="276" w:lineRule="auto"/>
              <w:ind w:left="284" w:right="45" w:hanging="227"/>
              <w:rPr>
                <w:sz w:val="18"/>
                <w:szCs w:val="18"/>
              </w:rPr>
            </w:pPr>
            <w:r w:rsidRPr="00C5311C">
              <w:rPr>
                <w:sz w:val="18"/>
                <w:szCs w:val="18"/>
              </w:rPr>
              <w:t>Annual Gynecological exam</w:t>
            </w:r>
          </w:p>
          <w:p w:rsidR="001A03D4" w:rsidRPr="00C5311C" w:rsidRDefault="001A03D4">
            <w:pPr>
              <w:spacing w:line="276" w:lineRule="auto"/>
              <w:ind w:left="284" w:right="45" w:hanging="227"/>
              <w:rPr>
                <w:sz w:val="18"/>
                <w:szCs w:val="18"/>
              </w:rPr>
            </w:pPr>
            <w:r w:rsidRPr="00C5311C">
              <w:rPr>
                <w:sz w:val="18"/>
                <w:szCs w:val="18"/>
              </w:rPr>
              <w:t>*the carrier may establish an in-network check-up package</w:t>
            </w:r>
          </w:p>
        </w:tc>
        <w:tc>
          <w:tcPr>
            <w:tcW w:w="2362" w:type="pct"/>
            <w:shd w:val="clear" w:color="auto" w:fill="auto"/>
          </w:tcPr>
          <w:p w:rsidR="00450092" w:rsidRPr="00C5311C" w:rsidRDefault="00450092">
            <w:pPr>
              <w:spacing w:line="276" w:lineRule="auto"/>
              <w:ind w:left="284" w:right="45" w:hanging="227"/>
              <w:rPr>
                <w:sz w:val="18"/>
                <w:szCs w:val="18"/>
              </w:rPr>
            </w:pPr>
          </w:p>
          <w:p w:rsidR="001A03D4" w:rsidRPr="00C5311C" w:rsidRDefault="001A03D4">
            <w:pPr>
              <w:spacing w:line="276" w:lineRule="auto"/>
              <w:ind w:left="284" w:right="45" w:hanging="227"/>
              <w:rPr>
                <w:sz w:val="18"/>
                <w:szCs w:val="18"/>
              </w:rPr>
            </w:pPr>
          </w:p>
          <w:p w:rsidR="00450092" w:rsidRPr="00C5311C" w:rsidRDefault="00450092">
            <w:pPr>
              <w:spacing w:line="276" w:lineRule="auto"/>
              <w:ind w:left="284" w:right="45" w:hanging="227"/>
              <w:rPr>
                <w:sz w:val="18"/>
                <w:szCs w:val="18"/>
              </w:rPr>
            </w:pPr>
            <w:r w:rsidRPr="00C5311C">
              <w:rPr>
                <w:sz w:val="18"/>
                <w:szCs w:val="18"/>
              </w:rPr>
              <w:t>100% refund in network</w:t>
            </w:r>
          </w:p>
          <w:p w:rsidR="00450092" w:rsidRPr="00C5311C" w:rsidRDefault="00450092">
            <w:pPr>
              <w:spacing w:line="276" w:lineRule="auto"/>
              <w:ind w:left="284" w:right="45" w:hanging="227"/>
              <w:rPr>
                <w:sz w:val="18"/>
                <w:szCs w:val="18"/>
              </w:rPr>
            </w:pPr>
            <w:r w:rsidRPr="00C5311C">
              <w:rPr>
                <w:sz w:val="18"/>
                <w:szCs w:val="18"/>
              </w:rPr>
              <w:t>100% refund in network</w:t>
            </w:r>
          </w:p>
          <w:p w:rsidR="001A03D4" w:rsidRPr="00C5311C" w:rsidRDefault="001A03D4">
            <w:pPr>
              <w:spacing w:line="276" w:lineRule="auto"/>
              <w:ind w:left="284" w:right="45" w:hanging="227"/>
              <w:rPr>
                <w:sz w:val="18"/>
                <w:szCs w:val="18"/>
              </w:rPr>
            </w:pPr>
            <w:r w:rsidRPr="00C5311C">
              <w:rPr>
                <w:sz w:val="18"/>
                <w:szCs w:val="18"/>
              </w:rPr>
              <w:t>80% refund out of network</w:t>
            </w:r>
          </w:p>
        </w:tc>
      </w:tr>
      <w:tr w:rsidR="00450092" w:rsidRPr="00C5311C" w:rsidTr="001F0845">
        <w:tc>
          <w:tcPr>
            <w:tcW w:w="2638" w:type="pct"/>
            <w:shd w:val="clear" w:color="auto" w:fill="auto"/>
            <w:tcMar>
              <w:top w:w="28" w:type="dxa"/>
              <w:left w:w="108" w:type="dxa"/>
              <w:bottom w:w="28" w:type="dxa"/>
              <w:right w:w="108" w:type="dxa"/>
            </w:tcMar>
            <w:hideMark/>
          </w:tcPr>
          <w:p w:rsidR="00450092" w:rsidRPr="00C5311C" w:rsidRDefault="00450092" w:rsidP="00450092">
            <w:pPr>
              <w:spacing w:line="276" w:lineRule="auto"/>
              <w:ind w:left="284" w:right="45" w:hanging="227"/>
              <w:rPr>
                <w:sz w:val="18"/>
                <w:szCs w:val="18"/>
              </w:rPr>
            </w:pPr>
            <w:r w:rsidRPr="00C5311C">
              <w:rPr>
                <w:sz w:val="18"/>
                <w:szCs w:val="18"/>
              </w:rPr>
              <w:t xml:space="preserve">Repatriation to Brazil of terminally ill insured member </w:t>
            </w:r>
          </w:p>
          <w:p w:rsidR="00450092" w:rsidRPr="00C5311C" w:rsidRDefault="00450092" w:rsidP="00450092">
            <w:pPr>
              <w:spacing w:line="276" w:lineRule="auto"/>
              <w:ind w:left="284" w:right="45" w:hanging="227"/>
              <w:rPr>
                <w:sz w:val="18"/>
                <w:szCs w:val="18"/>
              </w:rPr>
            </w:pPr>
            <w:r w:rsidRPr="00C5311C">
              <w:rPr>
                <w:sz w:val="18"/>
                <w:szCs w:val="18"/>
              </w:rPr>
              <w:t>while in official mission abroad</w:t>
            </w:r>
          </w:p>
        </w:tc>
        <w:tc>
          <w:tcPr>
            <w:tcW w:w="2362" w:type="pct"/>
            <w:shd w:val="clear" w:color="auto" w:fill="auto"/>
            <w:hideMark/>
          </w:tcPr>
          <w:p w:rsidR="00450092" w:rsidRPr="00C5311C" w:rsidRDefault="00450092">
            <w:pPr>
              <w:spacing w:line="276" w:lineRule="auto"/>
              <w:ind w:left="284" w:right="45" w:hanging="227"/>
              <w:rPr>
                <w:sz w:val="18"/>
                <w:szCs w:val="18"/>
              </w:rPr>
            </w:pPr>
            <w:r w:rsidRPr="00C5311C">
              <w:rPr>
                <w:sz w:val="18"/>
                <w:szCs w:val="18"/>
              </w:rPr>
              <w:t>Covered</w:t>
            </w:r>
          </w:p>
        </w:tc>
      </w:tr>
    </w:tbl>
    <w:p w:rsidR="001F0845" w:rsidRPr="00C5311C" w:rsidRDefault="001F0845" w:rsidP="00023C77">
      <w:pPr>
        <w:pStyle w:val="ListBullet4"/>
        <w:numPr>
          <w:ilvl w:val="0"/>
          <w:numId w:val="0"/>
        </w:numPr>
        <w:jc w:val="both"/>
        <w:rPr>
          <w:sz w:val="18"/>
          <w:szCs w:val="18"/>
        </w:rPr>
      </w:pPr>
    </w:p>
    <w:p w:rsidR="001F0845" w:rsidRPr="00C5311C" w:rsidRDefault="001F0845" w:rsidP="00023C77">
      <w:pPr>
        <w:pStyle w:val="ListBullet4"/>
        <w:numPr>
          <w:ilvl w:val="0"/>
          <w:numId w:val="0"/>
        </w:numPr>
        <w:jc w:val="both"/>
        <w:rPr>
          <w:sz w:val="18"/>
          <w:szCs w:val="18"/>
        </w:rPr>
      </w:pP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66"/>
        <w:gridCol w:w="4539"/>
      </w:tblGrid>
      <w:tr w:rsidR="001F0845" w:rsidRPr="00C5311C" w:rsidTr="001F0845">
        <w:tc>
          <w:tcPr>
            <w:tcW w:w="5000" w:type="pct"/>
            <w:gridSpan w:val="2"/>
            <w:shd w:val="clear" w:color="auto" w:fill="auto"/>
            <w:tcMar>
              <w:top w:w="28" w:type="dxa"/>
              <w:left w:w="108" w:type="dxa"/>
              <w:bottom w:w="28" w:type="dxa"/>
              <w:right w:w="108" w:type="dxa"/>
            </w:tcMar>
          </w:tcPr>
          <w:p w:rsidR="001F0845" w:rsidRPr="00C5311C" w:rsidRDefault="001F0845" w:rsidP="001F0845">
            <w:pPr>
              <w:spacing w:line="276" w:lineRule="auto"/>
              <w:ind w:left="284" w:right="45" w:hanging="227"/>
              <w:jc w:val="center"/>
              <w:rPr>
                <w:b/>
                <w:sz w:val="18"/>
                <w:szCs w:val="18"/>
              </w:rPr>
            </w:pPr>
            <w:r w:rsidRPr="00C5311C">
              <w:rPr>
                <w:b/>
                <w:sz w:val="18"/>
                <w:szCs w:val="18"/>
              </w:rPr>
              <w:t>Wording adjustments</w:t>
            </w:r>
          </w:p>
        </w:tc>
      </w:tr>
      <w:tr w:rsidR="001F0845" w:rsidRPr="00C5311C" w:rsidTr="001F0845">
        <w:tc>
          <w:tcPr>
            <w:tcW w:w="2637" w:type="pct"/>
            <w:shd w:val="clear" w:color="auto" w:fill="auto"/>
            <w:tcMar>
              <w:top w:w="28" w:type="dxa"/>
              <w:left w:w="108" w:type="dxa"/>
              <w:bottom w:w="28" w:type="dxa"/>
              <w:right w:w="108" w:type="dxa"/>
            </w:tcMar>
          </w:tcPr>
          <w:p w:rsidR="001F0845" w:rsidRPr="00C5311C" w:rsidRDefault="001F0845" w:rsidP="00D761D8">
            <w:pPr>
              <w:spacing w:line="276" w:lineRule="auto"/>
              <w:ind w:right="45"/>
              <w:jc w:val="both"/>
              <w:rPr>
                <w:sz w:val="18"/>
                <w:szCs w:val="18"/>
              </w:rPr>
            </w:pPr>
            <w:r w:rsidRPr="00C5311C">
              <w:rPr>
                <w:sz w:val="18"/>
                <w:szCs w:val="18"/>
              </w:rPr>
              <w:t xml:space="preserve">Accommodation costs for one parent staying in hospital with an insured child under 18 </w:t>
            </w:r>
          </w:p>
        </w:tc>
        <w:tc>
          <w:tcPr>
            <w:tcW w:w="2363" w:type="pct"/>
            <w:shd w:val="clear" w:color="auto" w:fill="auto"/>
          </w:tcPr>
          <w:p w:rsidR="001F0845" w:rsidRPr="00C5311C" w:rsidRDefault="001F0845" w:rsidP="00D761D8">
            <w:pPr>
              <w:spacing w:line="276" w:lineRule="auto"/>
              <w:ind w:right="45"/>
              <w:jc w:val="both"/>
              <w:rPr>
                <w:sz w:val="18"/>
                <w:szCs w:val="18"/>
              </w:rPr>
            </w:pPr>
            <w:r w:rsidRPr="00C5311C">
              <w:rPr>
                <w:sz w:val="18"/>
                <w:szCs w:val="18"/>
              </w:rPr>
              <w:t xml:space="preserve">Accommodation costs for one </w:t>
            </w:r>
            <w:r w:rsidRPr="00C5311C">
              <w:rPr>
                <w:b/>
                <w:sz w:val="18"/>
                <w:szCs w:val="18"/>
              </w:rPr>
              <w:t>accompanying adult</w:t>
            </w:r>
            <w:r w:rsidRPr="00C5311C">
              <w:rPr>
                <w:sz w:val="18"/>
                <w:szCs w:val="18"/>
              </w:rPr>
              <w:t xml:space="preserve"> staying in hospital with an insured child under 18 </w:t>
            </w:r>
          </w:p>
        </w:tc>
      </w:tr>
      <w:tr w:rsidR="001F0845" w:rsidRPr="00C5311C" w:rsidTr="001F0845">
        <w:tc>
          <w:tcPr>
            <w:tcW w:w="2637" w:type="pct"/>
            <w:shd w:val="clear" w:color="auto" w:fill="auto"/>
            <w:tcMar>
              <w:top w:w="28" w:type="dxa"/>
              <w:left w:w="108" w:type="dxa"/>
              <w:bottom w:w="28" w:type="dxa"/>
              <w:right w:w="108" w:type="dxa"/>
            </w:tcMar>
            <w:hideMark/>
          </w:tcPr>
          <w:p w:rsidR="001F0845" w:rsidRPr="00C5311C" w:rsidRDefault="001F0845" w:rsidP="00CB491D">
            <w:pPr>
              <w:spacing w:line="276" w:lineRule="auto"/>
              <w:ind w:left="284" w:right="45" w:hanging="227"/>
              <w:rPr>
                <w:sz w:val="18"/>
                <w:szCs w:val="18"/>
              </w:rPr>
            </w:pPr>
            <w:r w:rsidRPr="00C5311C">
              <w:rPr>
                <w:sz w:val="18"/>
                <w:szCs w:val="18"/>
              </w:rPr>
              <w:t>Treatment for dependents with special needs</w:t>
            </w:r>
          </w:p>
        </w:tc>
        <w:tc>
          <w:tcPr>
            <w:tcW w:w="2363" w:type="pct"/>
            <w:shd w:val="clear" w:color="auto" w:fill="auto"/>
            <w:hideMark/>
          </w:tcPr>
          <w:p w:rsidR="001F0845" w:rsidRPr="00C5311C" w:rsidRDefault="001F0845" w:rsidP="001F0845">
            <w:pPr>
              <w:spacing w:line="276" w:lineRule="auto"/>
              <w:ind w:left="284" w:right="45" w:hanging="227"/>
              <w:rPr>
                <w:sz w:val="18"/>
                <w:szCs w:val="18"/>
              </w:rPr>
            </w:pPr>
            <w:r w:rsidRPr="00C5311C">
              <w:rPr>
                <w:sz w:val="18"/>
                <w:szCs w:val="18"/>
              </w:rPr>
              <w:t>Treatment for insured member with special needs</w:t>
            </w:r>
          </w:p>
        </w:tc>
      </w:tr>
    </w:tbl>
    <w:p w:rsidR="001F0845" w:rsidRPr="00C5311C" w:rsidRDefault="001F0845" w:rsidP="00023C77">
      <w:pPr>
        <w:pStyle w:val="ListBullet4"/>
        <w:numPr>
          <w:ilvl w:val="0"/>
          <w:numId w:val="0"/>
        </w:numPr>
        <w:jc w:val="both"/>
        <w:rPr>
          <w:sz w:val="18"/>
          <w:szCs w:val="18"/>
        </w:rPr>
      </w:pP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5"/>
      </w:tblGrid>
      <w:tr w:rsidR="001F0845" w:rsidRPr="00C5311C" w:rsidTr="00CB491D">
        <w:tc>
          <w:tcPr>
            <w:tcW w:w="5000" w:type="pct"/>
            <w:shd w:val="clear" w:color="auto" w:fill="auto"/>
            <w:tcMar>
              <w:top w:w="28" w:type="dxa"/>
              <w:left w:w="108" w:type="dxa"/>
              <w:bottom w:w="28" w:type="dxa"/>
              <w:right w:w="108" w:type="dxa"/>
            </w:tcMar>
          </w:tcPr>
          <w:p w:rsidR="001F0845" w:rsidRPr="00C5311C" w:rsidRDefault="001F0845" w:rsidP="001F0845">
            <w:pPr>
              <w:spacing w:line="276" w:lineRule="auto"/>
              <w:ind w:left="284" w:right="45" w:hanging="227"/>
              <w:jc w:val="both"/>
              <w:rPr>
                <w:sz w:val="18"/>
                <w:szCs w:val="18"/>
              </w:rPr>
            </w:pPr>
            <w:r w:rsidRPr="00C5311C">
              <w:rPr>
                <w:sz w:val="18"/>
                <w:szCs w:val="18"/>
              </w:rPr>
              <w:t xml:space="preserve">Plastic and reconstructive surgeries in case of a disease or an accident </w:t>
            </w:r>
            <w:r w:rsidRPr="00C5311C">
              <w:rPr>
                <w:b/>
                <w:sz w:val="18"/>
                <w:szCs w:val="18"/>
              </w:rPr>
              <w:t xml:space="preserve">cannot  </w:t>
            </w:r>
            <w:r w:rsidR="00E54CBC" w:rsidRPr="00C5311C">
              <w:rPr>
                <w:sz w:val="18"/>
                <w:szCs w:val="18"/>
              </w:rPr>
              <w:t>be excluded from coverage</w:t>
            </w:r>
          </w:p>
        </w:tc>
      </w:tr>
    </w:tbl>
    <w:p w:rsidR="00023C77" w:rsidRDefault="00023C77" w:rsidP="00023C77">
      <w:pPr>
        <w:pStyle w:val="ListBullet4"/>
        <w:numPr>
          <w:ilvl w:val="0"/>
          <w:numId w:val="0"/>
        </w:numPr>
        <w:jc w:val="both"/>
      </w:pPr>
      <w:r>
        <w:br w:type="page"/>
      </w:r>
    </w:p>
    <w:p w:rsidR="008307B1" w:rsidRDefault="008307B1" w:rsidP="008307B1">
      <w:pPr>
        <w:numPr>
          <w:ilvl w:val="5"/>
          <w:numId w:val="14"/>
        </w:numPr>
        <w:rPr>
          <w:b/>
          <w:u w:val="single"/>
        </w:rPr>
      </w:pPr>
      <w:r w:rsidRPr="00994E28">
        <w:rPr>
          <w:b/>
          <w:u w:val="single"/>
        </w:rPr>
        <w:lastRenderedPageBreak/>
        <w:t>Closed Hospital Network</w:t>
      </w:r>
    </w:p>
    <w:p w:rsidR="004A7A78" w:rsidRPr="00994E28" w:rsidRDefault="004A7A78" w:rsidP="004A7A78">
      <w:pPr>
        <w:rPr>
          <w:b/>
          <w:u w:val="single"/>
        </w:rPr>
      </w:pPr>
    </w:p>
    <w:tbl>
      <w:tblPr>
        <w:tblW w:w="80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428"/>
      </w:tblGrid>
      <w:tr w:rsidR="00FD52E6" w:rsidTr="00AA3802">
        <w:trPr>
          <w:trHeight w:val="260"/>
        </w:trPr>
        <w:tc>
          <w:tcPr>
            <w:tcW w:w="4663" w:type="dxa"/>
            <w:noWrap/>
            <w:hideMark/>
          </w:tcPr>
          <w:p w:rsidR="00FD52E6" w:rsidRDefault="00FD52E6" w:rsidP="00AA3802">
            <w:pPr>
              <w:spacing w:line="240" w:lineRule="auto"/>
              <w:rPr>
                <w:rFonts w:eastAsia="Times New Roman"/>
                <w:b/>
                <w:bCs/>
                <w:sz w:val="20"/>
                <w:szCs w:val="20"/>
              </w:rPr>
            </w:pPr>
            <w:r>
              <w:rPr>
                <w:rFonts w:eastAsia="Times New Roman"/>
                <w:b/>
                <w:bCs/>
                <w:sz w:val="20"/>
                <w:szCs w:val="20"/>
              </w:rPr>
              <w:t>Provider Name</w:t>
            </w:r>
          </w:p>
        </w:tc>
        <w:tc>
          <w:tcPr>
            <w:tcW w:w="3428" w:type="dxa"/>
            <w:noWrap/>
            <w:hideMark/>
          </w:tcPr>
          <w:p w:rsidR="00FD52E6" w:rsidRDefault="00FD52E6" w:rsidP="00AA3802">
            <w:pPr>
              <w:spacing w:line="240" w:lineRule="auto"/>
              <w:rPr>
                <w:rFonts w:eastAsia="Times New Roman"/>
                <w:b/>
                <w:bCs/>
                <w:sz w:val="20"/>
                <w:szCs w:val="20"/>
              </w:rPr>
            </w:pPr>
            <w:r>
              <w:rPr>
                <w:rFonts w:eastAsia="Times New Roman"/>
                <w:b/>
                <w:bCs/>
                <w:sz w:val="20"/>
                <w:szCs w:val="20"/>
              </w:rPr>
              <w:t>Provider City</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Hospital Brasília</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Brasilia</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proofErr w:type="spellStart"/>
            <w:r>
              <w:rPr>
                <w:rFonts w:eastAsia="Times New Roman"/>
                <w:sz w:val="20"/>
                <w:szCs w:val="20"/>
              </w:rPr>
              <w:t>Maternidade</w:t>
            </w:r>
            <w:proofErr w:type="spellEnd"/>
            <w:r>
              <w:rPr>
                <w:rFonts w:eastAsia="Times New Roman"/>
                <w:sz w:val="20"/>
                <w:szCs w:val="20"/>
              </w:rPr>
              <w:t xml:space="preserve"> Brasília</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Brasilia</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Hospital Santa Lucia</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Brasilia</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Home Hospital Ortopédico e Medicina Especializada</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Brasilia</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Urológico</w:t>
            </w:r>
            <w:proofErr w:type="spellEnd"/>
            <w:r>
              <w:rPr>
                <w:rFonts w:eastAsia="Times New Roman"/>
                <w:sz w:val="20"/>
                <w:szCs w:val="20"/>
              </w:rPr>
              <w:t xml:space="preserve"> de Brasília</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Brasilia</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Hospital Santa Lucia Norte</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Brasilia</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Sirio</w:t>
            </w:r>
            <w:proofErr w:type="spellEnd"/>
            <w:r>
              <w:rPr>
                <w:rFonts w:eastAsia="Times New Roman"/>
                <w:sz w:val="20"/>
                <w:szCs w:val="20"/>
              </w:rPr>
              <w:t xml:space="preserve"> </w:t>
            </w:r>
            <w:proofErr w:type="spellStart"/>
            <w:r>
              <w:rPr>
                <w:rFonts w:eastAsia="Times New Roman"/>
                <w:sz w:val="20"/>
                <w:szCs w:val="20"/>
              </w:rPr>
              <w:t>Libanes</w:t>
            </w:r>
            <w:proofErr w:type="spellEnd"/>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Brasilia</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Casa de Saúde São José</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Rio De Janeiro</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Pró</w:t>
            </w:r>
            <w:proofErr w:type="spellEnd"/>
            <w:r>
              <w:rPr>
                <w:rFonts w:eastAsia="Times New Roman"/>
                <w:sz w:val="20"/>
                <w:szCs w:val="20"/>
              </w:rPr>
              <w:t xml:space="preserve"> </w:t>
            </w:r>
            <w:proofErr w:type="spellStart"/>
            <w:r>
              <w:rPr>
                <w:rFonts w:eastAsia="Times New Roman"/>
                <w:sz w:val="20"/>
                <w:szCs w:val="20"/>
              </w:rPr>
              <w:t>Cardiaco</w:t>
            </w:r>
            <w:proofErr w:type="spellEnd"/>
            <w:r>
              <w:rPr>
                <w:rFonts w:eastAsia="Times New Roman"/>
                <w:sz w:val="20"/>
                <w:szCs w:val="20"/>
              </w:rPr>
              <w:t xml:space="preserve"> - </w:t>
            </w:r>
            <w:proofErr w:type="spellStart"/>
            <w:r>
              <w:rPr>
                <w:rFonts w:eastAsia="Times New Roman"/>
                <w:sz w:val="20"/>
                <w:szCs w:val="20"/>
              </w:rPr>
              <w:t>Botafogo</w:t>
            </w:r>
            <w:proofErr w:type="spellEnd"/>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Rio De Janeiro</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Samaritano</w:t>
            </w:r>
            <w:proofErr w:type="spellEnd"/>
            <w:r>
              <w:rPr>
                <w:rFonts w:eastAsia="Times New Roman"/>
                <w:sz w:val="20"/>
                <w:szCs w:val="20"/>
              </w:rPr>
              <w:t xml:space="preserve"> - </w:t>
            </w:r>
            <w:proofErr w:type="spellStart"/>
            <w:r>
              <w:rPr>
                <w:rFonts w:eastAsia="Times New Roman"/>
                <w:sz w:val="20"/>
                <w:szCs w:val="20"/>
              </w:rPr>
              <w:t>Botafogo</w:t>
            </w:r>
            <w:proofErr w:type="spellEnd"/>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Rio De Janeiro</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Hospital Samaritano - Barra da Tijuca</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Rio De Janeiro</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Vitória</w:t>
            </w:r>
            <w:proofErr w:type="spellEnd"/>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Rio De Janeiro</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Ho</w:t>
            </w:r>
            <w:r w:rsidR="00AA3802">
              <w:rPr>
                <w:rFonts w:eastAsia="Times New Roman"/>
                <w:sz w:val="20"/>
                <w:szCs w:val="20"/>
              </w:rPr>
              <w:t>s</w:t>
            </w:r>
            <w:r>
              <w:rPr>
                <w:rFonts w:eastAsia="Times New Roman"/>
                <w:sz w:val="20"/>
                <w:szCs w:val="20"/>
              </w:rPr>
              <w:t>pital São Lucas</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Rio De Janeiro</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Clínica São Vicente da Gávea</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Rio De Janeiro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Hospital Israelita Albert Einstein - Morumbi</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Hospital Israelita Albert Einstein - Jardins</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Pr="00C310C6" w:rsidRDefault="00FD52E6" w:rsidP="00AA3802">
            <w:pPr>
              <w:spacing w:line="240" w:lineRule="auto"/>
              <w:rPr>
                <w:rFonts w:eastAsia="Times New Roman"/>
                <w:sz w:val="20"/>
                <w:szCs w:val="20"/>
                <w:lang w:val="pt-BR"/>
              </w:rPr>
            </w:pPr>
            <w:r w:rsidRPr="00C310C6">
              <w:rPr>
                <w:rFonts w:eastAsia="Times New Roman"/>
                <w:sz w:val="20"/>
                <w:szCs w:val="20"/>
                <w:lang w:val="pt-BR"/>
              </w:rPr>
              <w:t>Hospital Israelita Albert Einstein - Ibirapuera</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Hospital Israelita Albert Einstein - Vila Mariana</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Hospital Israelita Albert Einstein - Alphaville</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Hospital Israelita Albert Einstein - Perdizes</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lang w:val="pt-BR"/>
              </w:rPr>
            </w:pPr>
            <w:r>
              <w:rPr>
                <w:rFonts w:eastAsia="Times New Roman"/>
                <w:sz w:val="20"/>
                <w:szCs w:val="20"/>
                <w:lang w:val="pt-BR"/>
              </w:rPr>
              <w:t>Hospital Israelita Albert Einstein – Cidade Jardim</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Sírio</w:t>
            </w:r>
            <w:proofErr w:type="spellEnd"/>
            <w:r>
              <w:rPr>
                <w:rFonts w:eastAsia="Times New Roman"/>
                <w:sz w:val="20"/>
                <w:szCs w:val="20"/>
              </w:rPr>
              <w:t xml:space="preserve"> </w:t>
            </w:r>
            <w:proofErr w:type="spellStart"/>
            <w:r>
              <w:rPr>
                <w:rFonts w:eastAsia="Times New Roman"/>
                <w:sz w:val="20"/>
                <w:szCs w:val="20"/>
              </w:rPr>
              <w:t>Libanês</w:t>
            </w:r>
            <w:proofErr w:type="spellEnd"/>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Sírio</w:t>
            </w:r>
            <w:proofErr w:type="spellEnd"/>
            <w:r>
              <w:rPr>
                <w:rFonts w:eastAsia="Times New Roman"/>
                <w:sz w:val="20"/>
                <w:szCs w:val="20"/>
              </w:rPr>
              <w:t xml:space="preserve"> </w:t>
            </w:r>
            <w:proofErr w:type="spellStart"/>
            <w:r>
              <w:rPr>
                <w:rFonts w:eastAsia="Times New Roman"/>
                <w:sz w:val="20"/>
                <w:szCs w:val="20"/>
              </w:rPr>
              <w:t>Libanês</w:t>
            </w:r>
            <w:proofErr w:type="spellEnd"/>
            <w:r>
              <w:rPr>
                <w:rFonts w:eastAsia="Times New Roman"/>
                <w:sz w:val="20"/>
                <w:szCs w:val="20"/>
              </w:rPr>
              <w:t xml:space="preserve"> - </w:t>
            </w:r>
            <w:proofErr w:type="spellStart"/>
            <w:r>
              <w:rPr>
                <w:rFonts w:eastAsia="Times New Roman"/>
                <w:sz w:val="20"/>
                <w:szCs w:val="20"/>
              </w:rPr>
              <w:t>Itaim</w:t>
            </w:r>
            <w:proofErr w:type="spellEnd"/>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Sírio</w:t>
            </w:r>
            <w:proofErr w:type="spellEnd"/>
            <w:r>
              <w:rPr>
                <w:rFonts w:eastAsia="Times New Roman"/>
                <w:sz w:val="20"/>
                <w:szCs w:val="20"/>
              </w:rPr>
              <w:t xml:space="preserve"> </w:t>
            </w:r>
            <w:proofErr w:type="spellStart"/>
            <w:r>
              <w:rPr>
                <w:rFonts w:eastAsia="Times New Roman"/>
                <w:sz w:val="20"/>
                <w:szCs w:val="20"/>
              </w:rPr>
              <w:t>Libanês</w:t>
            </w:r>
            <w:proofErr w:type="spellEnd"/>
            <w:r>
              <w:rPr>
                <w:rFonts w:eastAsia="Times New Roman"/>
                <w:sz w:val="20"/>
                <w:szCs w:val="20"/>
              </w:rPr>
              <w:t xml:space="preserve"> - </w:t>
            </w:r>
            <w:proofErr w:type="spellStart"/>
            <w:r>
              <w:rPr>
                <w:rFonts w:eastAsia="Times New Roman"/>
                <w:sz w:val="20"/>
                <w:szCs w:val="20"/>
              </w:rPr>
              <w:t>Jardins</w:t>
            </w:r>
            <w:proofErr w:type="spellEnd"/>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Alemão</w:t>
            </w:r>
            <w:proofErr w:type="spellEnd"/>
            <w:r>
              <w:rPr>
                <w:rFonts w:eastAsia="Times New Roman"/>
                <w:sz w:val="20"/>
                <w:szCs w:val="20"/>
              </w:rPr>
              <w:t xml:space="preserve"> Oswaldo Cruz</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6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BP </w:t>
            </w:r>
            <w:proofErr w:type="spellStart"/>
            <w:r>
              <w:rPr>
                <w:rFonts w:eastAsia="Times New Roman"/>
                <w:sz w:val="20"/>
                <w:szCs w:val="20"/>
              </w:rPr>
              <w:t>Mirante</w:t>
            </w:r>
            <w:proofErr w:type="spellEnd"/>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Hospital BP</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r w:rsidR="00FD52E6" w:rsidTr="00AA3802">
        <w:trPr>
          <w:trHeight w:val="250"/>
        </w:trPr>
        <w:tc>
          <w:tcPr>
            <w:tcW w:w="4663" w:type="dxa"/>
            <w:noWrap/>
            <w:hideMark/>
          </w:tcPr>
          <w:p w:rsidR="00FD52E6" w:rsidRDefault="00FD52E6" w:rsidP="00AA3802">
            <w:pPr>
              <w:spacing w:line="240" w:lineRule="auto"/>
              <w:rPr>
                <w:rFonts w:eastAsia="Times New Roman"/>
                <w:sz w:val="20"/>
                <w:szCs w:val="20"/>
              </w:rPr>
            </w:pPr>
            <w:r>
              <w:rPr>
                <w:rFonts w:eastAsia="Times New Roman"/>
                <w:sz w:val="20"/>
                <w:szCs w:val="20"/>
              </w:rPr>
              <w:t xml:space="preserve">Hospital </w:t>
            </w:r>
            <w:proofErr w:type="spellStart"/>
            <w:r>
              <w:rPr>
                <w:rFonts w:eastAsia="Times New Roman"/>
                <w:sz w:val="20"/>
                <w:szCs w:val="20"/>
              </w:rPr>
              <w:t>Samaritano</w:t>
            </w:r>
            <w:proofErr w:type="spellEnd"/>
            <w:r>
              <w:rPr>
                <w:rFonts w:eastAsia="Times New Roman"/>
                <w:sz w:val="20"/>
                <w:szCs w:val="20"/>
              </w:rPr>
              <w:t xml:space="preserve"> São Paulo</w:t>
            </w:r>
          </w:p>
        </w:tc>
        <w:tc>
          <w:tcPr>
            <w:tcW w:w="3428" w:type="dxa"/>
            <w:shd w:val="clear" w:color="auto" w:fill="FFFFFF"/>
            <w:noWrap/>
            <w:hideMark/>
          </w:tcPr>
          <w:p w:rsidR="00FD52E6" w:rsidRDefault="00FD52E6" w:rsidP="00AA3802">
            <w:pPr>
              <w:spacing w:line="240" w:lineRule="auto"/>
              <w:rPr>
                <w:rFonts w:eastAsia="Times New Roman"/>
                <w:sz w:val="20"/>
                <w:szCs w:val="20"/>
              </w:rPr>
            </w:pPr>
            <w:r>
              <w:rPr>
                <w:rFonts w:eastAsia="Times New Roman"/>
                <w:sz w:val="20"/>
                <w:szCs w:val="20"/>
              </w:rPr>
              <w:t>Sao Paulo</w:t>
            </w:r>
          </w:p>
        </w:tc>
      </w:tr>
    </w:tbl>
    <w:p w:rsidR="00FD52E6" w:rsidRDefault="00FD52E6" w:rsidP="00F61996"/>
    <w:p w:rsidR="00AA522F" w:rsidRDefault="00AA522F" w:rsidP="00AA522F">
      <w:pPr>
        <w:numPr>
          <w:ilvl w:val="5"/>
          <w:numId w:val="14"/>
        </w:numPr>
        <w:rPr>
          <w:b/>
          <w:u w:val="single"/>
        </w:rPr>
      </w:pPr>
      <w:r w:rsidRPr="00994E28">
        <w:rPr>
          <w:b/>
          <w:u w:val="single"/>
        </w:rPr>
        <w:t>Attachments</w:t>
      </w:r>
    </w:p>
    <w:p w:rsidR="00425C59" w:rsidRDefault="00425C59" w:rsidP="00425C59">
      <w:pPr>
        <w:rPr>
          <w:b/>
          <w:u w:val="single"/>
        </w:rPr>
      </w:pPr>
    </w:p>
    <w:tbl>
      <w:tblPr>
        <w:tblW w:w="19465" w:type="dxa"/>
        <w:tblInd w:w="108" w:type="dxa"/>
        <w:tblLook w:val="04A0" w:firstRow="1" w:lastRow="0" w:firstColumn="1" w:lastColumn="0" w:noHBand="0" w:noVBand="1"/>
      </w:tblPr>
      <w:tblGrid>
        <w:gridCol w:w="1768"/>
        <w:gridCol w:w="601"/>
        <w:gridCol w:w="715"/>
        <w:gridCol w:w="2698"/>
        <w:gridCol w:w="4045"/>
        <w:gridCol w:w="926"/>
        <w:gridCol w:w="224"/>
        <w:gridCol w:w="2086"/>
        <w:gridCol w:w="908"/>
        <w:gridCol w:w="2978"/>
        <w:gridCol w:w="2516"/>
      </w:tblGrid>
      <w:tr w:rsidR="00425C59" w:rsidRPr="008307B1" w:rsidTr="00247BF9">
        <w:trPr>
          <w:trHeight w:val="255"/>
        </w:trPr>
        <w:tc>
          <w:tcPr>
            <w:tcW w:w="10977" w:type="dxa"/>
            <w:gridSpan w:val="7"/>
            <w:tcBorders>
              <w:top w:val="nil"/>
              <w:left w:val="nil"/>
              <w:bottom w:val="nil"/>
              <w:right w:val="nil"/>
            </w:tcBorders>
            <w:shd w:val="clear" w:color="auto" w:fill="auto"/>
            <w:noWrap/>
            <w:vAlign w:val="bottom"/>
            <w:hideMark/>
          </w:tcPr>
          <w:p w:rsidR="00425C59" w:rsidRPr="008307B1" w:rsidRDefault="00425C59" w:rsidP="00247BF9">
            <w:pPr>
              <w:spacing w:line="240" w:lineRule="auto"/>
              <w:rPr>
                <w:rFonts w:eastAsia="Times New Roman"/>
                <w:b/>
                <w:bCs/>
              </w:rPr>
            </w:pPr>
            <w:r>
              <w:br w:type="page"/>
            </w:r>
            <w:r>
              <w:br w:type="page"/>
            </w:r>
            <w:r>
              <w:br w:type="page"/>
            </w:r>
            <w:r w:rsidRPr="008307B1">
              <w:rPr>
                <w:rFonts w:eastAsia="Times New Roman"/>
                <w:b/>
                <w:bCs/>
              </w:rPr>
              <w:t>Attachment A - Miscellaneous information</w:t>
            </w:r>
          </w:p>
        </w:tc>
        <w:tc>
          <w:tcPr>
            <w:tcW w:w="2994" w:type="dxa"/>
            <w:gridSpan w:val="2"/>
            <w:tcBorders>
              <w:top w:val="nil"/>
              <w:left w:val="nil"/>
              <w:bottom w:val="nil"/>
              <w:right w:val="nil"/>
            </w:tcBorders>
            <w:shd w:val="clear" w:color="auto" w:fill="auto"/>
            <w:noWrap/>
            <w:vAlign w:val="bottom"/>
            <w:hideMark/>
          </w:tcPr>
          <w:p w:rsidR="00425C59" w:rsidRPr="008307B1" w:rsidRDefault="00425C59" w:rsidP="00247BF9">
            <w:pPr>
              <w:spacing w:line="240" w:lineRule="auto"/>
              <w:rPr>
                <w:rFonts w:eastAsia="Times New Roman"/>
              </w:rPr>
            </w:pPr>
          </w:p>
        </w:tc>
        <w:tc>
          <w:tcPr>
            <w:tcW w:w="2978" w:type="dxa"/>
            <w:tcBorders>
              <w:top w:val="nil"/>
              <w:left w:val="nil"/>
              <w:bottom w:val="nil"/>
              <w:right w:val="nil"/>
            </w:tcBorders>
            <w:shd w:val="clear" w:color="auto" w:fill="auto"/>
            <w:noWrap/>
            <w:vAlign w:val="bottom"/>
            <w:hideMark/>
          </w:tcPr>
          <w:p w:rsidR="00425C59" w:rsidRPr="008307B1" w:rsidRDefault="00425C59" w:rsidP="00247BF9">
            <w:pPr>
              <w:spacing w:line="240" w:lineRule="auto"/>
              <w:rPr>
                <w:rFonts w:eastAsia="Times New Roman"/>
              </w:rPr>
            </w:pPr>
          </w:p>
        </w:tc>
        <w:tc>
          <w:tcPr>
            <w:tcW w:w="2516" w:type="dxa"/>
            <w:tcBorders>
              <w:top w:val="nil"/>
              <w:left w:val="nil"/>
              <w:bottom w:val="nil"/>
              <w:right w:val="nil"/>
            </w:tcBorders>
            <w:shd w:val="clear" w:color="auto" w:fill="auto"/>
            <w:noWrap/>
            <w:vAlign w:val="bottom"/>
            <w:hideMark/>
          </w:tcPr>
          <w:p w:rsidR="00425C59" w:rsidRPr="008307B1" w:rsidRDefault="00425C59" w:rsidP="00247BF9">
            <w:pPr>
              <w:spacing w:line="240" w:lineRule="auto"/>
              <w:rPr>
                <w:rFonts w:eastAsia="Times New Roman"/>
              </w:rPr>
            </w:pPr>
          </w:p>
        </w:tc>
      </w:tr>
      <w:tr w:rsidR="00425C59" w:rsidRPr="008307B1" w:rsidTr="00247BF9">
        <w:trPr>
          <w:trHeight w:val="255"/>
        </w:trPr>
        <w:tc>
          <w:tcPr>
            <w:tcW w:w="19465" w:type="dxa"/>
            <w:gridSpan w:val="11"/>
            <w:tcBorders>
              <w:top w:val="nil"/>
              <w:left w:val="nil"/>
              <w:bottom w:val="nil"/>
              <w:right w:val="nil"/>
            </w:tcBorders>
            <w:shd w:val="clear" w:color="auto" w:fill="auto"/>
            <w:noWrap/>
            <w:vAlign w:val="bottom"/>
            <w:hideMark/>
          </w:tcPr>
          <w:p w:rsidR="00425C59" w:rsidRDefault="00425C59" w:rsidP="00247BF9">
            <w:pPr>
              <w:spacing w:line="240" w:lineRule="auto"/>
              <w:rPr>
                <w:rFonts w:eastAsia="Times New Roman"/>
              </w:rPr>
            </w:pPr>
            <w:r w:rsidRPr="008307B1">
              <w:rPr>
                <w:rFonts w:eastAsia="Times New Roman"/>
              </w:rPr>
              <w:t xml:space="preserve">Please refer to the following documents for the Brazilian Foreign Service Locations and requested </w:t>
            </w:r>
          </w:p>
          <w:p w:rsidR="00425C59" w:rsidRPr="008307B1" w:rsidRDefault="00425C59" w:rsidP="00247BF9">
            <w:pPr>
              <w:spacing w:line="240" w:lineRule="auto"/>
              <w:rPr>
                <w:rFonts w:eastAsia="Times New Roman"/>
              </w:rPr>
            </w:pPr>
            <w:r w:rsidRPr="008307B1">
              <w:rPr>
                <w:rFonts w:eastAsia="Times New Roman"/>
              </w:rPr>
              <w:t>Funding</w:t>
            </w:r>
            <w:r>
              <w:rPr>
                <w:rFonts w:eastAsia="Times New Roman"/>
              </w:rPr>
              <w:t xml:space="preserve"> </w:t>
            </w:r>
            <w:r w:rsidRPr="008307B1">
              <w:rPr>
                <w:rFonts w:eastAsia="Times New Roman"/>
              </w:rPr>
              <w:t>Arrangement.</w:t>
            </w:r>
          </w:p>
        </w:tc>
      </w:tr>
      <w:tr w:rsidR="00425C59" w:rsidRPr="00F61996" w:rsidTr="00247BF9">
        <w:trPr>
          <w:trHeight w:val="255"/>
        </w:trPr>
        <w:tc>
          <w:tcPr>
            <w:tcW w:w="3084" w:type="dxa"/>
            <w:gridSpan w:val="3"/>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r>
              <w:rPr>
                <w:rFonts w:eastAsia="Times New Roman"/>
                <w:sz w:val="20"/>
                <w:szCs w:val="20"/>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
                  <v:imagedata r:id="rId15" o:title=""/>
                </v:shape>
                <o:OLEObject Type="Embed" ProgID="Package" ShapeID="_x0000_i1025" DrawAspect="Icon" ObjectID="_1643103117" r:id="rId16"/>
              </w:object>
            </w:r>
          </w:p>
          <w:tbl>
            <w:tblPr>
              <w:tblW w:w="0" w:type="auto"/>
              <w:tblCellSpacing w:w="0" w:type="dxa"/>
              <w:tblCellMar>
                <w:left w:w="0" w:type="dxa"/>
                <w:right w:w="0" w:type="dxa"/>
              </w:tblCellMar>
              <w:tblLook w:val="04A0" w:firstRow="1" w:lastRow="0" w:firstColumn="1" w:lastColumn="0" w:noHBand="0" w:noVBand="1"/>
            </w:tblPr>
            <w:tblGrid>
              <w:gridCol w:w="340"/>
            </w:tblGrid>
            <w:tr w:rsidR="00425C59" w:rsidRPr="00F61996" w:rsidTr="00247BF9">
              <w:trPr>
                <w:trHeight w:val="255"/>
                <w:tblCellSpacing w:w="0" w:type="dxa"/>
              </w:trPr>
              <w:tc>
                <w:tcPr>
                  <w:tcW w:w="340" w:type="dxa"/>
                  <w:tcBorders>
                    <w:top w:val="nil"/>
                    <w:left w:val="nil"/>
                    <w:bottom w:val="nil"/>
                    <w:right w:val="nil"/>
                  </w:tcBorders>
                  <w:shd w:val="clear" w:color="auto" w:fill="auto"/>
                  <w:noWrap/>
                  <w:vAlign w:val="bottom"/>
                  <w:hideMark/>
                </w:tcPr>
                <w:p w:rsidR="00425C59" w:rsidRPr="00F61996" w:rsidRDefault="00425C59" w:rsidP="00247BF9">
                  <w:pPr>
                    <w:spacing w:line="240" w:lineRule="auto"/>
                    <w:jc w:val="right"/>
                    <w:rPr>
                      <w:rFonts w:eastAsia="Times New Roman"/>
                      <w:b/>
                      <w:bCs/>
                      <w:sz w:val="20"/>
                      <w:szCs w:val="20"/>
                    </w:rPr>
                  </w:pPr>
                </w:p>
              </w:tc>
            </w:tr>
          </w:tbl>
          <w:p w:rsidR="00425C59" w:rsidRPr="00F61996" w:rsidRDefault="00425C59" w:rsidP="00247BF9">
            <w:pPr>
              <w:spacing w:line="240" w:lineRule="auto"/>
              <w:rPr>
                <w:rFonts w:eastAsia="Times New Roman"/>
                <w:sz w:val="20"/>
                <w:szCs w:val="20"/>
              </w:rPr>
            </w:pPr>
          </w:p>
        </w:tc>
        <w:tc>
          <w:tcPr>
            <w:tcW w:w="7669" w:type="dxa"/>
            <w:gridSpan w:val="3"/>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b/>
                <w:bCs/>
                <w:sz w:val="20"/>
                <w:szCs w:val="20"/>
              </w:rPr>
            </w:pPr>
          </w:p>
        </w:tc>
        <w:tc>
          <w:tcPr>
            <w:tcW w:w="224" w:type="dxa"/>
            <w:tcBorders>
              <w:top w:val="nil"/>
              <w:left w:val="nil"/>
              <w:bottom w:val="nil"/>
              <w:right w:val="nil"/>
            </w:tcBorders>
            <w:shd w:val="clear" w:color="auto" w:fill="auto"/>
            <w:noWrap/>
            <w:vAlign w:val="bottom"/>
            <w:hideMark/>
          </w:tcPr>
          <w:p w:rsidR="00425C59" w:rsidRPr="00F61996" w:rsidRDefault="00425C59" w:rsidP="00247BF9">
            <w:pPr>
              <w:spacing w:line="240" w:lineRule="auto"/>
              <w:jc w:val="center"/>
              <w:rPr>
                <w:rFonts w:eastAsia="Times New Roman"/>
                <w:b/>
                <w:bCs/>
                <w:sz w:val="20"/>
                <w:szCs w:val="20"/>
              </w:rPr>
            </w:pPr>
          </w:p>
        </w:tc>
        <w:tc>
          <w:tcPr>
            <w:tcW w:w="2994"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jc w:val="center"/>
              <w:rPr>
                <w:rFonts w:eastAsia="Times New Roman"/>
                <w:b/>
                <w:bCs/>
                <w:sz w:val="20"/>
                <w:szCs w:val="20"/>
              </w:rPr>
            </w:pPr>
          </w:p>
        </w:tc>
        <w:tc>
          <w:tcPr>
            <w:tcW w:w="2978"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516"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r>
      <w:tr w:rsidR="00425C59" w:rsidRPr="00AA522F" w:rsidTr="00247BF9">
        <w:trPr>
          <w:trHeight w:val="255"/>
        </w:trPr>
        <w:tc>
          <w:tcPr>
            <w:tcW w:w="13971" w:type="dxa"/>
            <w:gridSpan w:val="9"/>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b/>
                <w:bCs/>
              </w:rPr>
            </w:pPr>
            <w:r w:rsidRPr="00AA522F">
              <w:rPr>
                <w:rFonts w:eastAsia="Times New Roman"/>
                <w:b/>
                <w:bCs/>
              </w:rPr>
              <w:t>Attachment B - Claim Utilization Reports and Top Ten files</w:t>
            </w:r>
          </w:p>
        </w:tc>
        <w:tc>
          <w:tcPr>
            <w:tcW w:w="2978" w:type="dxa"/>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p>
        </w:tc>
        <w:tc>
          <w:tcPr>
            <w:tcW w:w="2516" w:type="dxa"/>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p>
        </w:tc>
      </w:tr>
      <w:tr w:rsidR="00425C59" w:rsidRPr="00F61996" w:rsidTr="00247BF9">
        <w:trPr>
          <w:trHeight w:val="255"/>
        </w:trPr>
        <w:tc>
          <w:tcPr>
            <w:tcW w:w="19465" w:type="dxa"/>
            <w:gridSpan w:val="11"/>
            <w:tcBorders>
              <w:top w:val="nil"/>
              <w:left w:val="nil"/>
              <w:bottom w:val="nil"/>
              <w:right w:val="nil"/>
            </w:tcBorders>
            <w:shd w:val="clear" w:color="auto" w:fill="auto"/>
            <w:noWrap/>
            <w:vAlign w:val="bottom"/>
            <w:hideMark/>
          </w:tcPr>
          <w:p w:rsidR="00425C59" w:rsidRPr="008307B1" w:rsidRDefault="00425C59" w:rsidP="00247BF9">
            <w:pPr>
              <w:spacing w:line="240" w:lineRule="auto"/>
              <w:rPr>
                <w:rFonts w:eastAsia="Times New Roman"/>
              </w:rPr>
            </w:pPr>
            <w:r w:rsidRPr="008307B1">
              <w:rPr>
                <w:rFonts w:eastAsia="Times New Roman"/>
              </w:rPr>
              <w:t>Please use these documents for information regarding the current vendor experience.</w:t>
            </w:r>
          </w:p>
        </w:tc>
      </w:tr>
      <w:tr w:rsidR="00425C59" w:rsidRPr="00F61996" w:rsidTr="00247BF9">
        <w:trPr>
          <w:trHeight w:val="540"/>
        </w:trPr>
        <w:tc>
          <w:tcPr>
            <w:tcW w:w="19465" w:type="dxa"/>
            <w:gridSpan w:val="11"/>
            <w:tcBorders>
              <w:top w:val="nil"/>
              <w:left w:val="nil"/>
              <w:bottom w:val="nil"/>
              <w:right w:val="nil"/>
            </w:tcBorders>
            <w:shd w:val="clear" w:color="auto" w:fill="auto"/>
            <w:noWrap/>
            <w:vAlign w:val="bottom"/>
            <w:hideMark/>
          </w:tcPr>
          <w:p w:rsidR="00425C59" w:rsidRDefault="00425C59" w:rsidP="00247BF9">
            <w:pPr>
              <w:spacing w:line="240" w:lineRule="auto"/>
              <w:rPr>
                <w:rFonts w:ascii="Times New Roman" w:eastAsia="Times New Roman" w:hAnsi="Times New Roman" w:cs="Times New Roman"/>
              </w:rPr>
            </w:pPr>
            <w:r w:rsidRPr="008307B1">
              <w:rPr>
                <w:rFonts w:ascii="Wingdings" w:eastAsia="Times New Roman" w:hAnsi="Wingdings"/>
              </w:rPr>
              <w:t></w:t>
            </w:r>
            <w:r w:rsidRPr="008307B1">
              <w:rPr>
                <w:rFonts w:ascii="Times New Roman" w:eastAsia="Times New Roman" w:hAnsi="Times New Roman" w:cs="Times New Roman"/>
              </w:rPr>
              <w:t xml:space="preserve"> Allianz Claims Report for insurance year 2010-2011, 2011-2012, 2012-2013 and 2013-2014 </w:t>
            </w:r>
          </w:p>
          <w:p w:rsidR="00425C59" w:rsidRPr="008307B1" w:rsidRDefault="00425C59" w:rsidP="00247BF9">
            <w:pPr>
              <w:spacing w:line="240" w:lineRule="auto"/>
              <w:rPr>
                <w:rFonts w:ascii="Wingdings" w:eastAsia="Times New Roman" w:hAnsi="Wingdings"/>
              </w:rPr>
            </w:pPr>
            <w:r w:rsidRPr="008307B1">
              <w:rPr>
                <w:rFonts w:ascii="Times New Roman" w:eastAsia="Times New Roman" w:hAnsi="Times New Roman" w:cs="Times New Roman"/>
              </w:rPr>
              <w:t>(</w:t>
            </w:r>
            <w:proofErr w:type="gramStart"/>
            <w:r w:rsidRPr="008307B1">
              <w:rPr>
                <w:rFonts w:ascii="Times New Roman" w:eastAsia="Times New Roman" w:hAnsi="Times New Roman" w:cs="Times New Roman"/>
              </w:rPr>
              <w:t>each</w:t>
            </w:r>
            <w:proofErr w:type="gramEnd"/>
            <w:r w:rsidRPr="008307B1">
              <w:rPr>
                <w:rFonts w:ascii="Times New Roman" w:eastAsia="Times New Roman" w:hAnsi="Times New Roman" w:cs="Times New Roman"/>
              </w:rPr>
              <w:t xml:space="preserve"> file includes one tab for life insurance claims)</w:t>
            </w:r>
            <w:r>
              <w:rPr>
                <w:rFonts w:ascii="Times New Roman" w:eastAsia="Times New Roman" w:hAnsi="Times New Roman" w:cs="Times New Roman"/>
              </w:rPr>
              <w:t xml:space="preserve">. </w:t>
            </w:r>
            <w:r w:rsidRPr="00016BF1">
              <w:rPr>
                <w:rFonts w:ascii="Times New Roman" w:eastAsia="Times New Roman" w:hAnsi="Times New Roman" w:cs="Times New Roman"/>
              </w:rPr>
              <w:t>The 2013-2014 report includes the most recent triangle report</w:t>
            </w:r>
            <w:r>
              <w:rPr>
                <w:rFonts w:ascii="Times New Roman" w:eastAsia="Times New Roman" w:hAnsi="Times New Roman" w:cs="Times New Roman"/>
              </w:rPr>
              <w:t>.</w:t>
            </w:r>
          </w:p>
        </w:tc>
      </w:tr>
      <w:tr w:rsidR="00425C59" w:rsidRPr="00F61996" w:rsidTr="00247BF9">
        <w:trPr>
          <w:trHeight w:val="525"/>
        </w:trPr>
        <w:tc>
          <w:tcPr>
            <w:tcW w:w="19465" w:type="dxa"/>
            <w:gridSpan w:val="11"/>
            <w:tcBorders>
              <w:top w:val="nil"/>
              <w:left w:val="nil"/>
              <w:bottom w:val="nil"/>
              <w:right w:val="nil"/>
            </w:tcBorders>
            <w:shd w:val="clear" w:color="auto" w:fill="auto"/>
            <w:noWrap/>
            <w:vAlign w:val="bottom"/>
            <w:hideMark/>
          </w:tcPr>
          <w:p w:rsidR="00425C59" w:rsidRDefault="00425C59" w:rsidP="00247BF9">
            <w:pPr>
              <w:spacing w:line="240" w:lineRule="auto"/>
              <w:rPr>
                <w:rFonts w:ascii="Times New Roman" w:eastAsia="Times New Roman" w:hAnsi="Times New Roman" w:cs="Times New Roman"/>
                <w:b/>
                <w:bCs/>
                <w:i/>
                <w:iCs/>
                <w:sz w:val="20"/>
                <w:szCs w:val="20"/>
              </w:rPr>
            </w:pPr>
            <w:r w:rsidRPr="00F61996">
              <w:rPr>
                <w:rFonts w:ascii="Times New Roman" w:eastAsia="Times New Roman" w:hAnsi="Times New Roman" w:cs="Times New Roman"/>
                <w:b/>
                <w:bCs/>
                <w:i/>
                <w:iCs/>
                <w:sz w:val="20"/>
                <w:szCs w:val="20"/>
              </w:rPr>
              <w:t xml:space="preserve">Note: For the </w:t>
            </w:r>
            <w:r>
              <w:rPr>
                <w:rFonts w:ascii="Times New Roman" w:eastAsia="Times New Roman" w:hAnsi="Times New Roman" w:cs="Times New Roman"/>
                <w:b/>
                <w:bCs/>
                <w:i/>
                <w:iCs/>
                <w:sz w:val="20"/>
                <w:szCs w:val="20"/>
              </w:rPr>
              <w:t>2013-2014 insurance year and thereafter</w:t>
            </w:r>
            <w:r w:rsidRPr="00F61996">
              <w:rPr>
                <w:rFonts w:ascii="Times New Roman" w:eastAsia="Times New Roman" w:hAnsi="Times New Roman" w:cs="Times New Roman"/>
                <w:b/>
                <w:bCs/>
                <w:i/>
                <w:iCs/>
                <w:sz w:val="20"/>
                <w:szCs w:val="20"/>
              </w:rPr>
              <w:t>, the claim information does not fully reflect the experience</w:t>
            </w:r>
          </w:p>
          <w:p w:rsidR="00425C59" w:rsidRPr="00F61996" w:rsidRDefault="00425C59" w:rsidP="00247BF9">
            <w:pPr>
              <w:spacing w:line="240" w:lineRule="auto"/>
              <w:rPr>
                <w:rFonts w:ascii="Times New Roman" w:eastAsia="Times New Roman" w:hAnsi="Times New Roman" w:cs="Times New Roman"/>
                <w:b/>
                <w:bCs/>
                <w:i/>
                <w:iCs/>
                <w:sz w:val="20"/>
                <w:szCs w:val="20"/>
              </w:rPr>
            </w:pPr>
            <w:r w:rsidRPr="00F61996">
              <w:rPr>
                <w:rFonts w:ascii="Times New Roman" w:eastAsia="Times New Roman" w:hAnsi="Times New Roman" w:cs="Times New Roman"/>
                <w:b/>
                <w:bCs/>
                <w:i/>
                <w:iCs/>
                <w:sz w:val="20"/>
                <w:szCs w:val="20"/>
              </w:rPr>
              <w:t>since not all incurred claims might have been reported</w:t>
            </w:r>
          </w:p>
        </w:tc>
      </w:tr>
      <w:tr w:rsidR="00425C59" w:rsidRPr="00F61996" w:rsidTr="00247BF9">
        <w:trPr>
          <w:trHeight w:val="255"/>
        </w:trPr>
        <w:tc>
          <w:tcPr>
            <w:tcW w:w="2369"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r>
              <w:rPr>
                <w:rFonts w:eastAsia="Times New Roman"/>
                <w:sz w:val="20"/>
                <w:szCs w:val="20"/>
              </w:rPr>
              <w:object w:dxaOrig="1508" w:dyaOrig="984">
                <v:shape id="_x0000_i1026" type="#_x0000_t75" style="width:75.15pt;height:49.45pt" o:ole="">
                  <v:imagedata r:id="rId17" o:title=""/>
                </v:shape>
                <o:OLEObject Type="Embed" ProgID="Package" ShapeID="_x0000_i1026" DrawAspect="Icon" ObjectID="_1643103118" r:id="rId18"/>
              </w:object>
            </w:r>
          </w:p>
          <w:tbl>
            <w:tblPr>
              <w:tblW w:w="0" w:type="auto"/>
              <w:tblCellSpacing w:w="0" w:type="dxa"/>
              <w:tblCellMar>
                <w:left w:w="0" w:type="dxa"/>
                <w:right w:w="0" w:type="dxa"/>
              </w:tblCellMar>
              <w:tblLook w:val="04A0" w:firstRow="1" w:lastRow="0" w:firstColumn="1" w:lastColumn="0" w:noHBand="0" w:noVBand="1"/>
            </w:tblPr>
            <w:tblGrid>
              <w:gridCol w:w="340"/>
            </w:tblGrid>
            <w:tr w:rsidR="00425C59" w:rsidRPr="00F61996" w:rsidTr="00247BF9">
              <w:trPr>
                <w:trHeight w:val="255"/>
                <w:tblCellSpacing w:w="0" w:type="dxa"/>
              </w:trPr>
              <w:tc>
                <w:tcPr>
                  <w:tcW w:w="340" w:type="dxa"/>
                  <w:tcBorders>
                    <w:top w:val="nil"/>
                    <w:left w:val="nil"/>
                    <w:bottom w:val="nil"/>
                    <w:right w:val="nil"/>
                  </w:tcBorders>
                  <w:shd w:val="clear" w:color="auto" w:fill="auto"/>
                  <w:noWrap/>
                  <w:vAlign w:val="bottom"/>
                  <w:hideMark/>
                </w:tcPr>
                <w:p w:rsidR="00425C59" w:rsidRPr="00F61996" w:rsidRDefault="00425C59" w:rsidP="00247BF9">
                  <w:pPr>
                    <w:spacing w:line="240" w:lineRule="auto"/>
                    <w:jc w:val="right"/>
                    <w:rPr>
                      <w:rFonts w:eastAsia="Times New Roman"/>
                      <w:b/>
                      <w:bCs/>
                      <w:sz w:val="20"/>
                      <w:szCs w:val="20"/>
                    </w:rPr>
                  </w:pPr>
                </w:p>
              </w:tc>
            </w:tr>
          </w:tbl>
          <w:p w:rsidR="00425C59" w:rsidRPr="00F61996" w:rsidRDefault="00425C59" w:rsidP="00247BF9">
            <w:pPr>
              <w:spacing w:line="240" w:lineRule="auto"/>
              <w:rPr>
                <w:rFonts w:eastAsia="Times New Roman"/>
                <w:sz w:val="20"/>
                <w:szCs w:val="20"/>
              </w:rPr>
            </w:pPr>
          </w:p>
        </w:tc>
        <w:tc>
          <w:tcPr>
            <w:tcW w:w="8384" w:type="dxa"/>
            <w:gridSpan w:val="4"/>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24"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94"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b/>
                <w:bCs/>
                <w:color w:val="FF0000"/>
                <w:sz w:val="20"/>
                <w:szCs w:val="20"/>
              </w:rPr>
            </w:pPr>
          </w:p>
        </w:tc>
        <w:tc>
          <w:tcPr>
            <w:tcW w:w="2978"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b/>
                <w:bCs/>
                <w:color w:val="FF0000"/>
                <w:sz w:val="20"/>
                <w:szCs w:val="20"/>
              </w:rPr>
            </w:pPr>
          </w:p>
        </w:tc>
        <w:tc>
          <w:tcPr>
            <w:tcW w:w="2516"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b/>
                <w:bCs/>
                <w:color w:val="FF0000"/>
                <w:sz w:val="20"/>
                <w:szCs w:val="20"/>
              </w:rPr>
            </w:pPr>
          </w:p>
        </w:tc>
      </w:tr>
      <w:tr w:rsidR="00425C59" w:rsidRPr="00F61996" w:rsidTr="00247BF9">
        <w:trPr>
          <w:trHeight w:val="255"/>
        </w:trPr>
        <w:tc>
          <w:tcPr>
            <w:tcW w:w="19465" w:type="dxa"/>
            <w:gridSpan w:val="11"/>
            <w:tcBorders>
              <w:top w:val="nil"/>
              <w:left w:val="nil"/>
              <w:bottom w:val="nil"/>
              <w:right w:val="nil"/>
            </w:tcBorders>
            <w:shd w:val="clear" w:color="auto" w:fill="auto"/>
            <w:noWrap/>
            <w:vAlign w:val="bottom"/>
            <w:hideMark/>
          </w:tcPr>
          <w:p w:rsidR="00425C59" w:rsidRDefault="00425C59" w:rsidP="00247BF9">
            <w:pPr>
              <w:spacing w:line="240" w:lineRule="auto"/>
              <w:rPr>
                <w:rFonts w:ascii="Times New Roman" w:eastAsia="Times New Roman" w:hAnsi="Times New Roman" w:cs="Times New Roman"/>
              </w:rPr>
            </w:pPr>
            <w:r w:rsidRPr="00AA522F">
              <w:rPr>
                <w:rFonts w:ascii="Wingdings" w:eastAsia="Times New Roman" w:hAnsi="Wingdings"/>
              </w:rPr>
              <w:lastRenderedPageBreak/>
              <w:t></w:t>
            </w:r>
            <w:r w:rsidRPr="00AA522F">
              <w:rPr>
                <w:rFonts w:ascii="Times New Roman" w:eastAsia="Times New Roman" w:hAnsi="Times New Roman" w:cs="Times New Roman"/>
              </w:rPr>
              <w:t xml:space="preserve"> Top ten medical cases and Top ten providers for insurance year 2010-2011, 2011-2012,  2012-2013 </w:t>
            </w:r>
          </w:p>
          <w:p w:rsidR="00425C59" w:rsidRPr="00AA522F" w:rsidRDefault="00425C59" w:rsidP="00247BF9">
            <w:pPr>
              <w:spacing w:line="240" w:lineRule="auto"/>
              <w:rPr>
                <w:rFonts w:eastAsia="Times New Roman"/>
              </w:rPr>
            </w:pPr>
            <w:r w:rsidRPr="00AA522F">
              <w:rPr>
                <w:rFonts w:ascii="Times New Roman" w:eastAsia="Times New Roman" w:hAnsi="Times New Roman" w:cs="Times New Roman"/>
              </w:rPr>
              <w:t>and 2013-2014</w:t>
            </w:r>
          </w:p>
        </w:tc>
      </w:tr>
      <w:tr w:rsidR="00425C59" w:rsidRPr="00F61996" w:rsidTr="00247BF9">
        <w:trPr>
          <w:trHeight w:val="255"/>
        </w:trPr>
        <w:tc>
          <w:tcPr>
            <w:tcW w:w="2369"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r>
              <w:rPr>
                <w:rFonts w:eastAsia="Times New Roman"/>
                <w:sz w:val="20"/>
                <w:szCs w:val="20"/>
              </w:rPr>
              <w:object w:dxaOrig="1508" w:dyaOrig="984">
                <v:shape id="_x0000_i1027" type="#_x0000_t75" style="width:75.15pt;height:49.45pt" o:ole="">
                  <v:imagedata r:id="rId19" o:title=""/>
                </v:shape>
                <o:OLEObject Type="Embed" ProgID="Package" ShapeID="_x0000_i1027" DrawAspect="Icon" ObjectID="_1643103119" r:id="rId20"/>
              </w:object>
            </w:r>
          </w:p>
          <w:tbl>
            <w:tblPr>
              <w:tblW w:w="0" w:type="auto"/>
              <w:tblCellSpacing w:w="0" w:type="dxa"/>
              <w:tblCellMar>
                <w:left w:w="0" w:type="dxa"/>
                <w:right w:w="0" w:type="dxa"/>
              </w:tblCellMar>
              <w:tblLook w:val="04A0" w:firstRow="1" w:lastRow="0" w:firstColumn="1" w:lastColumn="0" w:noHBand="0" w:noVBand="1"/>
            </w:tblPr>
            <w:tblGrid>
              <w:gridCol w:w="340"/>
            </w:tblGrid>
            <w:tr w:rsidR="00425C59" w:rsidRPr="00F61996" w:rsidTr="00247BF9">
              <w:trPr>
                <w:trHeight w:val="255"/>
                <w:tblCellSpacing w:w="0" w:type="dxa"/>
              </w:trPr>
              <w:tc>
                <w:tcPr>
                  <w:tcW w:w="340" w:type="dxa"/>
                  <w:tcBorders>
                    <w:top w:val="nil"/>
                    <w:left w:val="nil"/>
                    <w:bottom w:val="nil"/>
                    <w:right w:val="nil"/>
                  </w:tcBorders>
                  <w:shd w:val="clear" w:color="auto" w:fill="auto"/>
                  <w:noWrap/>
                  <w:vAlign w:val="bottom"/>
                  <w:hideMark/>
                </w:tcPr>
                <w:p w:rsidR="00425C59" w:rsidRPr="00F61996" w:rsidRDefault="00425C59" w:rsidP="00247BF9">
                  <w:pPr>
                    <w:spacing w:line="240" w:lineRule="auto"/>
                    <w:jc w:val="right"/>
                    <w:rPr>
                      <w:rFonts w:eastAsia="Times New Roman"/>
                      <w:b/>
                      <w:bCs/>
                      <w:sz w:val="20"/>
                      <w:szCs w:val="20"/>
                    </w:rPr>
                  </w:pPr>
                </w:p>
              </w:tc>
            </w:tr>
          </w:tbl>
          <w:p w:rsidR="00425C59" w:rsidRPr="00F61996" w:rsidRDefault="00425C59" w:rsidP="00247BF9">
            <w:pPr>
              <w:spacing w:line="240" w:lineRule="auto"/>
              <w:rPr>
                <w:rFonts w:eastAsia="Times New Roman"/>
                <w:sz w:val="20"/>
                <w:szCs w:val="20"/>
              </w:rPr>
            </w:pPr>
          </w:p>
        </w:tc>
        <w:tc>
          <w:tcPr>
            <w:tcW w:w="8384" w:type="dxa"/>
            <w:gridSpan w:val="4"/>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24"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94"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78"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516"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r>
      <w:tr w:rsidR="00425C59" w:rsidRPr="00AA522F" w:rsidTr="00247BF9">
        <w:trPr>
          <w:trHeight w:val="255"/>
        </w:trPr>
        <w:tc>
          <w:tcPr>
            <w:tcW w:w="10753" w:type="dxa"/>
            <w:gridSpan w:val="6"/>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b/>
                <w:bCs/>
              </w:rPr>
            </w:pPr>
            <w:r w:rsidRPr="00AA522F">
              <w:rPr>
                <w:rFonts w:eastAsia="Times New Roman"/>
                <w:b/>
                <w:bCs/>
              </w:rPr>
              <w:t xml:space="preserve">Attachment C </w:t>
            </w:r>
            <w:r>
              <w:rPr>
                <w:rFonts w:eastAsia="Times New Roman"/>
                <w:b/>
                <w:bCs/>
              </w:rPr>
              <w:t>-</w:t>
            </w:r>
            <w:r w:rsidRPr="00AA522F">
              <w:rPr>
                <w:rFonts w:eastAsia="Times New Roman"/>
                <w:b/>
                <w:bCs/>
              </w:rPr>
              <w:t xml:space="preserve"> Census</w:t>
            </w:r>
          </w:p>
        </w:tc>
        <w:tc>
          <w:tcPr>
            <w:tcW w:w="224" w:type="dxa"/>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p>
        </w:tc>
        <w:tc>
          <w:tcPr>
            <w:tcW w:w="2994" w:type="dxa"/>
            <w:gridSpan w:val="2"/>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p>
        </w:tc>
        <w:tc>
          <w:tcPr>
            <w:tcW w:w="2978" w:type="dxa"/>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p>
        </w:tc>
        <w:tc>
          <w:tcPr>
            <w:tcW w:w="2516" w:type="dxa"/>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p>
        </w:tc>
      </w:tr>
      <w:tr w:rsidR="00425C59" w:rsidRPr="00F61996" w:rsidTr="00247BF9">
        <w:trPr>
          <w:trHeight w:val="255"/>
        </w:trPr>
        <w:tc>
          <w:tcPr>
            <w:tcW w:w="10753" w:type="dxa"/>
            <w:gridSpan w:val="6"/>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r w:rsidRPr="00AA522F">
              <w:rPr>
                <w:rFonts w:eastAsia="Times New Roman"/>
              </w:rPr>
              <w:t>Layout</w:t>
            </w:r>
          </w:p>
        </w:tc>
        <w:tc>
          <w:tcPr>
            <w:tcW w:w="224"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94"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78"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516"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r>
      <w:tr w:rsidR="00425C59" w:rsidRPr="00AA522F" w:rsidTr="00247BF9">
        <w:trPr>
          <w:trHeight w:val="255"/>
        </w:trPr>
        <w:tc>
          <w:tcPr>
            <w:tcW w:w="19465" w:type="dxa"/>
            <w:gridSpan w:val="11"/>
            <w:tcBorders>
              <w:top w:val="nil"/>
              <w:left w:val="nil"/>
              <w:bottom w:val="nil"/>
              <w:right w:val="nil"/>
            </w:tcBorders>
            <w:shd w:val="clear" w:color="auto" w:fill="auto"/>
            <w:noWrap/>
            <w:vAlign w:val="bottom"/>
            <w:hideMark/>
          </w:tcPr>
          <w:p w:rsidR="00425C59" w:rsidRDefault="00425C59" w:rsidP="00247BF9">
            <w:pPr>
              <w:spacing w:line="240" w:lineRule="auto"/>
              <w:rPr>
                <w:rFonts w:eastAsia="Times New Roman"/>
              </w:rPr>
            </w:pPr>
            <w:r w:rsidRPr="00AA522F">
              <w:rPr>
                <w:rFonts w:ascii="Wingdings" w:eastAsia="Times New Roman" w:hAnsi="Wingdings"/>
              </w:rPr>
              <w:t></w:t>
            </w:r>
            <w:r w:rsidRPr="00AA522F">
              <w:rPr>
                <w:rFonts w:ascii="Times New Roman" w:eastAsia="Times New Roman" w:hAnsi="Times New Roman" w:cs="Times New Roman"/>
              </w:rPr>
              <w:t> </w:t>
            </w:r>
            <w:r w:rsidRPr="00AA522F">
              <w:rPr>
                <w:rFonts w:eastAsia="Times New Roman"/>
              </w:rPr>
              <w:t xml:space="preserve">The first four digits of the ID number identifies the family. The last two digits indicate either </w:t>
            </w:r>
          </w:p>
          <w:p w:rsidR="00425C59" w:rsidRPr="00AA522F" w:rsidRDefault="00425C59" w:rsidP="00247BF9">
            <w:pPr>
              <w:spacing w:line="240" w:lineRule="auto"/>
              <w:rPr>
                <w:rFonts w:eastAsia="Times New Roman"/>
              </w:rPr>
            </w:pPr>
            <w:proofErr w:type="gramStart"/>
            <w:r w:rsidRPr="00AA522F">
              <w:rPr>
                <w:rFonts w:eastAsia="Times New Roman"/>
              </w:rPr>
              <w:t>employee</w:t>
            </w:r>
            <w:proofErr w:type="gramEnd"/>
            <w:r w:rsidRPr="00AA522F">
              <w:rPr>
                <w:rFonts w:eastAsia="Times New Roman"/>
              </w:rPr>
              <w:t xml:space="preserve"> </w:t>
            </w:r>
            <w:r>
              <w:rPr>
                <w:rFonts w:eastAsia="Times New Roman"/>
              </w:rPr>
              <w:t>o</w:t>
            </w:r>
            <w:r w:rsidRPr="00AA522F">
              <w:rPr>
                <w:rFonts w:eastAsia="Times New Roman"/>
              </w:rPr>
              <w:t>r</w:t>
            </w:r>
            <w:r>
              <w:rPr>
                <w:rFonts w:eastAsia="Times New Roman"/>
              </w:rPr>
              <w:t xml:space="preserve"> </w:t>
            </w:r>
            <w:r w:rsidRPr="00AA522F">
              <w:rPr>
                <w:rFonts w:eastAsia="Times New Roman"/>
              </w:rPr>
              <w:t>dependent. </w:t>
            </w:r>
          </w:p>
        </w:tc>
      </w:tr>
      <w:tr w:rsidR="00425C59" w:rsidRPr="00AA522F" w:rsidTr="00247BF9">
        <w:trPr>
          <w:trHeight w:val="255"/>
        </w:trPr>
        <w:tc>
          <w:tcPr>
            <w:tcW w:w="19465" w:type="dxa"/>
            <w:gridSpan w:val="11"/>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r w:rsidRPr="00AA522F">
              <w:rPr>
                <w:rFonts w:eastAsia="Times New Roman"/>
              </w:rPr>
              <w:t>Examples:            4923-01  (4923=family number,  01=employee)</w:t>
            </w:r>
          </w:p>
        </w:tc>
      </w:tr>
      <w:tr w:rsidR="00425C59" w:rsidRPr="00AA522F" w:rsidTr="00247BF9">
        <w:trPr>
          <w:trHeight w:val="255"/>
        </w:trPr>
        <w:tc>
          <w:tcPr>
            <w:tcW w:w="19465" w:type="dxa"/>
            <w:gridSpan w:val="11"/>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r w:rsidRPr="00AA522F">
              <w:rPr>
                <w:rFonts w:eastAsia="Times New Roman"/>
              </w:rPr>
              <w:t>                             3857-03  (3857=family number,  03=companion)</w:t>
            </w:r>
          </w:p>
        </w:tc>
      </w:tr>
      <w:tr w:rsidR="00425C59" w:rsidRPr="00AA522F" w:rsidTr="00247BF9">
        <w:trPr>
          <w:trHeight w:val="153"/>
        </w:trPr>
        <w:tc>
          <w:tcPr>
            <w:tcW w:w="19465" w:type="dxa"/>
            <w:gridSpan w:val="11"/>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r w:rsidRPr="00AA522F">
              <w:rPr>
                <w:rFonts w:ascii="Wingdings" w:eastAsia="Times New Roman" w:hAnsi="Wingdings"/>
              </w:rPr>
              <w:t></w:t>
            </w:r>
            <w:r w:rsidRPr="00AA522F">
              <w:rPr>
                <w:rFonts w:ascii="Times New Roman" w:eastAsia="Times New Roman" w:hAnsi="Times New Roman" w:cs="Times New Roman"/>
              </w:rPr>
              <w:t xml:space="preserve"> </w:t>
            </w:r>
            <w:r w:rsidRPr="00AA522F">
              <w:rPr>
                <w:rFonts w:eastAsia="Times New Roman"/>
              </w:rPr>
              <w:t>The “S” Column is the status of the members:</w:t>
            </w:r>
            <w:r>
              <w:rPr>
                <w:rFonts w:eastAsia="Times New Roman"/>
              </w:rPr>
              <w:t xml:space="preserve"> </w:t>
            </w:r>
            <w:r w:rsidRPr="00AA522F">
              <w:rPr>
                <w:rFonts w:eastAsia="Times New Roman"/>
              </w:rPr>
              <w:t>1-Active (employee only); 2-Pensioner; 3-Retired.</w:t>
            </w:r>
          </w:p>
        </w:tc>
      </w:tr>
      <w:tr w:rsidR="00425C59" w:rsidRPr="00AA522F" w:rsidTr="00247BF9">
        <w:trPr>
          <w:trHeight w:val="189"/>
        </w:trPr>
        <w:tc>
          <w:tcPr>
            <w:tcW w:w="19465" w:type="dxa"/>
            <w:gridSpan w:val="11"/>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r w:rsidRPr="00AA522F">
              <w:rPr>
                <w:rFonts w:ascii="Wingdings" w:eastAsia="Times New Roman" w:hAnsi="Wingdings"/>
              </w:rPr>
              <w:t></w:t>
            </w:r>
            <w:r w:rsidRPr="00AA522F">
              <w:rPr>
                <w:rFonts w:ascii="Times New Roman" w:eastAsia="Times New Roman" w:hAnsi="Times New Roman" w:cs="Times New Roman"/>
              </w:rPr>
              <w:t xml:space="preserve"> </w:t>
            </w:r>
            <w:r w:rsidRPr="00AA522F">
              <w:rPr>
                <w:rFonts w:eastAsia="Times New Roman"/>
              </w:rPr>
              <w:t>The “R” Column indicates relationship to the employee.</w:t>
            </w:r>
          </w:p>
        </w:tc>
      </w:tr>
      <w:tr w:rsidR="00425C59" w:rsidRPr="00AA522F" w:rsidTr="00247BF9">
        <w:trPr>
          <w:trHeight w:val="255"/>
        </w:trPr>
        <w:tc>
          <w:tcPr>
            <w:tcW w:w="19465" w:type="dxa"/>
            <w:gridSpan w:val="11"/>
            <w:tcBorders>
              <w:top w:val="nil"/>
              <w:left w:val="nil"/>
              <w:bottom w:val="nil"/>
              <w:right w:val="nil"/>
            </w:tcBorders>
            <w:shd w:val="clear" w:color="auto" w:fill="auto"/>
            <w:noWrap/>
            <w:vAlign w:val="bottom"/>
            <w:hideMark/>
          </w:tcPr>
          <w:p w:rsidR="00425C59" w:rsidRDefault="00425C59" w:rsidP="00247BF9">
            <w:pPr>
              <w:spacing w:line="240" w:lineRule="auto"/>
              <w:rPr>
                <w:rFonts w:eastAsia="Times New Roman"/>
              </w:rPr>
            </w:pPr>
            <w:r w:rsidRPr="00AA522F">
              <w:rPr>
                <w:rFonts w:ascii="Wingdings" w:eastAsia="Times New Roman" w:hAnsi="Wingdings"/>
              </w:rPr>
              <w:t></w:t>
            </w:r>
            <w:r w:rsidRPr="00AA522F">
              <w:rPr>
                <w:rFonts w:ascii="Times New Roman" w:eastAsia="Times New Roman" w:hAnsi="Times New Roman" w:cs="Times New Roman"/>
              </w:rPr>
              <w:t> </w:t>
            </w:r>
            <w:r w:rsidRPr="00AA522F">
              <w:rPr>
                <w:rFonts w:eastAsia="Times New Roman"/>
              </w:rPr>
              <w:t xml:space="preserve">“Pensioner” could be a widow or widower of a former officer, or a child under 24 years of age </w:t>
            </w:r>
          </w:p>
          <w:p w:rsidR="00425C59" w:rsidRPr="00AA522F" w:rsidRDefault="00425C59" w:rsidP="00247BF9">
            <w:pPr>
              <w:spacing w:line="240" w:lineRule="auto"/>
              <w:rPr>
                <w:rFonts w:eastAsia="Times New Roman"/>
              </w:rPr>
            </w:pPr>
            <w:proofErr w:type="gramStart"/>
            <w:r w:rsidRPr="00AA522F">
              <w:rPr>
                <w:rFonts w:eastAsia="Times New Roman"/>
              </w:rPr>
              <w:t>or</w:t>
            </w:r>
            <w:proofErr w:type="gramEnd"/>
            <w:r w:rsidRPr="00AA522F">
              <w:rPr>
                <w:rFonts w:eastAsia="Times New Roman"/>
              </w:rPr>
              <w:t xml:space="preserve"> an Incapacitated child of such a person.</w:t>
            </w:r>
          </w:p>
        </w:tc>
      </w:tr>
      <w:tr w:rsidR="00425C59" w:rsidRPr="00AA522F" w:rsidTr="00247BF9">
        <w:trPr>
          <w:trHeight w:val="255"/>
        </w:trPr>
        <w:tc>
          <w:tcPr>
            <w:tcW w:w="19465" w:type="dxa"/>
            <w:gridSpan w:val="11"/>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r w:rsidRPr="00AA522F">
              <w:rPr>
                <w:rFonts w:ascii="Wingdings" w:eastAsia="Times New Roman" w:hAnsi="Wingdings"/>
              </w:rPr>
              <w:t></w:t>
            </w:r>
            <w:r w:rsidRPr="00AA522F">
              <w:rPr>
                <w:rFonts w:ascii="Times New Roman" w:eastAsia="Times New Roman" w:hAnsi="Times New Roman" w:cs="Times New Roman"/>
              </w:rPr>
              <w:t> </w:t>
            </w:r>
            <w:r w:rsidRPr="00AA522F">
              <w:rPr>
                <w:rFonts w:eastAsia="Times New Roman"/>
              </w:rPr>
              <w:t>“Retired” is an employee who has retired from service.</w:t>
            </w:r>
          </w:p>
        </w:tc>
      </w:tr>
      <w:tr w:rsidR="00425C59" w:rsidRPr="00F61996" w:rsidTr="00247BF9">
        <w:trPr>
          <w:trHeight w:val="255"/>
        </w:trPr>
        <w:tc>
          <w:tcPr>
            <w:tcW w:w="1768"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r>
              <w:rPr>
                <w:rFonts w:eastAsia="Times New Roman"/>
                <w:sz w:val="20"/>
                <w:szCs w:val="20"/>
              </w:rPr>
              <w:object w:dxaOrig="1508" w:dyaOrig="984">
                <v:shape id="_x0000_i1028" type="#_x0000_t75" style="width:75.15pt;height:49.45pt" o:ole="">
                  <v:imagedata r:id="rId21" o:title=""/>
                </v:shape>
                <o:OLEObject Type="Embed" ProgID="Excel.Sheet.12" ShapeID="_x0000_i1028" DrawAspect="Icon" ObjectID="_1643103120" r:id="rId22"/>
              </w:object>
            </w:r>
          </w:p>
          <w:tbl>
            <w:tblPr>
              <w:tblW w:w="0" w:type="auto"/>
              <w:tblCellSpacing w:w="0" w:type="dxa"/>
              <w:tblCellMar>
                <w:left w:w="0" w:type="dxa"/>
                <w:right w:w="0" w:type="dxa"/>
              </w:tblCellMar>
              <w:tblLook w:val="04A0" w:firstRow="1" w:lastRow="0" w:firstColumn="1" w:lastColumn="0" w:noHBand="0" w:noVBand="1"/>
            </w:tblPr>
            <w:tblGrid>
              <w:gridCol w:w="340"/>
            </w:tblGrid>
            <w:tr w:rsidR="00425C59" w:rsidRPr="00F61996" w:rsidTr="00247BF9">
              <w:trPr>
                <w:trHeight w:val="255"/>
                <w:tblCellSpacing w:w="0" w:type="dxa"/>
              </w:trPr>
              <w:tc>
                <w:tcPr>
                  <w:tcW w:w="340"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b/>
                      <w:bCs/>
                      <w:sz w:val="20"/>
                      <w:szCs w:val="20"/>
                    </w:rPr>
                  </w:pPr>
                </w:p>
              </w:tc>
            </w:tr>
          </w:tbl>
          <w:p w:rsidR="00425C59" w:rsidRPr="00F61996" w:rsidRDefault="00425C59" w:rsidP="00247BF9">
            <w:pPr>
              <w:spacing w:line="240" w:lineRule="auto"/>
              <w:rPr>
                <w:rFonts w:eastAsia="Times New Roman"/>
                <w:sz w:val="20"/>
                <w:szCs w:val="20"/>
              </w:rPr>
            </w:pPr>
          </w:p>
        </w:tc>
        <w:tc>
          <w:tcPr>
            <w:tcW w:w="8985" w:type="dxa"/>
            <w:gridSpan w:val="5"/>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ascii="Wingdings" w:eastAsia="Times New Roman" w:hAnsi="Wingdings"/>
                <w:sz w:val="20"/>
                <w:szCs w:val="20"/>
              </w:rPr>
            </w:pPr>
          </w:p>
        </w:tc>
        <w:tc>
          <w:tcPr>
            <w:tcW w:w="224"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94"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78"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516"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r>
      <w:tr w:rsidR="00425C59" w:rsidRPr="00AA522F" w:rsidTr="00247BF9">
        <w:trPr>
          <w:trHeight w:val="255"/>
        </w:trPr>
        <w:tc>
          <w:tcPr>
            <w:tcW w:w="10977" w:type="dxa"/>
            <w:gridSpan w:val="7"/>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b/>
                <w:bCs/>
              </w:rPr>
            </w:pPr>
            <w:r w:rsidRPr="00AA522F">
              <w:rPr>
                <w:rFonts w:eastAsia="Times New Roman"/>
                <w:b/>
                <w:bCs/>
              </w:rPr>
              <w:t>Attachment D - Benefit Plan Summary</w:t>
            </w:r>
          </w:p>
        </w:tc>
        <w:tc>
          <w:tcPr>
            <w:tcW w:w="2994" w:type="dxa"/>
            <w:gridSpan w:val="2"/>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p>
        </w:tc>
        <w:tc>
          <w:tcPr>
            <w:tcW w:w="2978" w:type="dxa"/>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p>
        </w:tc>
        <w:tc>
          <w:tcPr>
            <w:tcW w:w="2516" w:type="dxa"/>
            <w:tcBorders>
              <w:top w:val="nil"/>
              <w:left w:val="nil"/>
              <w:bottom w:val="nil"/>
              <w:right w:val="nil"/>
            </w:tcBorders>
            <w:shd w:val="clear" w:color="auto" w:fill="auto"/>
            <w:noWrap/>
            <w:vAlign w:val="bottom"/>
            <w:hideMark/>
          </w:tcPr>
          <w:p w:rsidR="00425C59" w:rsidRPr="00AA522F" w:rsidRDefault="00425C59" w:rsidP="00247BF9">
            <w:pPr>
              <w:spacing w:line="240" w:lineRule="auto"/>
              <w:rPr>
                <w:rFonts w:eastAsia="Times New Roman"/>
              </w:rPr>
            </w:pPr>
          </w:p>
        </w:tc>
      </w:tr>
      <w:tr w:rsidR="00425C59" w:rsidRPr="00AA522F" w:rsidTr="00247BF9">
        <w:trPr>
          <w:trHeight w:val="255"/>
        </w:trPr>
        <w:tc>
          <w:tcPr>
            <w:tcW w:w="19465" w:type="dxa"/>
            <w:gridSpan w:val="11"/>
            <w:tcBorders>
              <w:top w:val="nil"/>
              <w:left w:val="nil"/>
              <w:bottom w:val="nil"/>
              <w:right w:val="nil"/>
            </w:tcBorders>
            <w:shd w:val="clear" w:color="auto" w:fill="auto"/>
            <w:noWrap/>
            <w:vAlign w:val="bottom"/>
            <w:hideMark/>
          </w:tcPr>
          <w:p w:rsidR="00425C59" w:rsidRDefault="00425C59" w:rsidP="00247BF9">
            <w:pPr>
              <w:spacing w:line="240" w:lineRule="auto"/>
              <w:rPr>
                <w:rFonts w:eastAsia="Times New Roman"/>
                <w:b/>
                <w:bCs/>
              </w:rPr>
            </w:pPr>
            <w:r w:rsidRPr="00AA522F">
              <w:rPr>
                <w:rFonts w:eastAsia="Times New Roman"/>
              </w:rPr>
              <w:t xml:space="preserve">Please refer to the attached Table of Benefits for plan design provisions, including </w:t>
            </w:r>
            <w:r w:rsidRPr="00AA522F">
              <w:rPr>
                <w:rFonts w:eastAsia="Times New Roman"/>
                <w:b/>
                <w:bCs/>
              </w:rPr>
              <w:t xml:space="preserve">new </w:t>
            </w:r>
          </w:p>
          <w:p w:rsidR="00425C59" w:rsidRPr="00AA522F" w:rsidRDefault="00425C59" w:rsidP="00247BF9">
            <w:pPr>
              <w:spacing w:line="240" w:lineRule="auto"/>
              <w:rPr>
                <w:rFonts w:eastAsia="Times New Roman"/>
              </w:rPr>
            </w:pPr>
            <w:proofErr w:type="gramStart"/>
            <w:r>
              <w:rPr>
                <w:rFonts w:eastAsia="Times New Roman"/>
                <w:b/>
                <w:bCs/>
              </w:rPr>
              <w:t>p</w:t>
            </w:r>
            <w:r w:rsidRPr="00AA522F">
              <w:rPr>
                <w:rFonts w:eastAsia="Times New Roman"/>
                <w:b/>
                <w:bCs/>
              </w:rPr>
              <w:t>roposed</w:t>
            </w:r>
            <w:proofErr w:type="gramEnd"/>
            <w:r>
              <w:rPr>
                <w:rFonts w:eastAsia="Times New Roman"/>
                <w:b/>
                <w:bCs/>
              </w:rPr>
              <w:t xml:space="preserve"> </w:t>
            </w:r>
            <w:r w:rsidRPr="00AA522F">
              <w:rPr>
                <w:rFonts w:eastAsia="Times New Roman"/>
                <w:b/>
                <w:bCs/>
              </w:rPr>
              <w:t>life insurance and AD&amp;D benefit.</w:t>
            </w:r>
          </w:p>
        </w:tc>
      </w:tr>
      <w:tr w:rsidR="00425C59" w:rsidRPr="00F61996" w:rsidTr="00247BF9">
        <w:trPr>
          <w:trHeight w:val="255"/>
        </w:trPr>
        <w:tc>
          <w:tcPr>
            <w:tcW w:w="5782" w:type="dxa"/>
            <w:gridSpan w:val="4"/>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r>
              <w:rPr>
                <w:rFonts w:eastAsia="Times New Roman"/>
                <w:sz w:val="20"/>
                <w:szCs w:val="20"/>
              </w:rPr>
              <w:object w:dxaOrig="1508" w:dyaOrig="984">
                <v:shape id="_x0000_i1029" type="#_x0000_t75" style="width:75.15pt;height:49.45pt" o:ole="">
                  <v:imagedata r:id="rId23" o:title=""/>
                </v:shape>
                <o:OLEObject Type="Embed" ProgID="AcroExch.Document.DC" ShapeID="_x0000_i1029" DrawAspect="Icon" ObjectID="_1643103121" r:id="rId24"/>
              </w:object>
            </w:r>
          </w:p>
          <w:tbl>
            <w:tblPr>
              <w:tblW w:w="0" w:type="auto"/>
              <w:tblCellSpacing w:w="0" w:type="dxa"/>
              <w:tblCellMar>
                <w:left w:w="0" w:type="dxa"/>
                <w:right w:w="0" w:type="dxa"/>
              </w:tblCellMar>
              <w:tblLook w:val="04A0" w:firstRow="1" w:lastRow="0" w:firstColumn="1" w:lastColumn="0" w:noHBand="0" w:noVBand="1"/>
            </w:tblPr>
            <w:tblGrid>
              <w:gridCol w:w="340"/>
            </w:tblGrid>
            <w:tr w:rsidR="00425C59" w:rsidRPr="00F61996" w:rsidTr="00247BF9">
              <w:trPr>
                <w:trHeight w:val="255"/>
                <w:tblCellSpacing w:w="0" w:type="dxa"/>
              </w:trPr>
              <w:tc>
                <w:tcPr>
                  <w:tcW w:w="340"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r>
          </w:tbl>
          <w:p w:rsidR="00425C59" w:rsidRPr="00F61996" w:rsidRDefault="00425C59" w:rsidP="00247BF9">
            <w:pPr>
              <w:spacing w:line="240" w:lineRule="auto"/>
              <w:rPr>
                <w:rFonts w:eastAsia="Times New Roman"/>
                <w:sz w:val="20"/>
                <w:szCs w:val="20"/>
              </w:rPr>
            </w:pPr>
          </w:p>
        </w:tc>
        <w:tc>
          <w:tcPr>
            <w:tcW w:w="4971"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r w:rsidRPr="00F61996">
              <w:rPr>
                <w:rFonts w:eastAsia="Times New Roman"/>
                <w:sz w:val="20"/>
                <w:szCs w:val="20"/>
              </w:rPr>
              <w:t xml:space="preserve">   </w:t>
            </w:r>
          </w:p>
        </w:tc>
        <w:tc>
          <w:tcPr>
            <w:tcW w:w="224"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94"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78"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516"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r>
      <w:tr w:rsidR="00425C59" w:rsidRPr="00F61996" w:rsidTr="00247BF9">
        <w:trPr>
          <w:trHeight w:val="255"/>
        </w:trPr>
        <w:tc>
          <w:tcPr>
            <w:tcW w:w="5782" w:type="dxa"/>
            <w:gridSpan w:val="4"/>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4971"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24"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color w:val="76933C"/>
                <w:sz w:val="20"/>
                <w:szCs w:val="20"/>
              </w:rPr>
            </w:pPr>
          </w:p>
        </w:tc>
        <w:tc>
          <w:tcPr>
            <w:tcW w:w="2994" w:type="dxa"/>
            <w:gridSpan w:val="2"/>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978"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c>
          <w:tcPr>
            <w:tcW w:w="2516" w:type="dxa"/>
            <w:tcBorders>
              <w:top w:val="nil"/>
              <w:left w:val="nil"/>
              <w:bottom w:val="nil"/>
              <w:right w:val="nil"/>
            </w:tcBorders>
            <w:shd w:val="clear" w:color="auto" w:fill="auto"/>
            <w:noWrap/>
            <w:vAlign w:val="bottom"/>
            <w:hideMark/>
          </w:tcPr>
          <w:p w:rsidR="00425C59" w:rsidRPr="00F61996" w:rsidRDefault="00425C59" w:rsidP="00247BF9">
            <w:pPr>
              <w:spacing w:line="240" w:lineRule="auto"/>
              <w:rPr>
                <w:rFonts w:eastAsia="Times New Roman"/>
                <w:sz w:val="20"/>
                <w:szCs w:val="20"/>
              </w:rPr>
            </w:pPr>
          </w:p>
        </w:tc>
      </w:tr>
      <w:tr w:rsidR="00425C59" w:rsidTr="00247BF9">
        <w:tblPrEx>
          <w:tblCellMar>
            <w:left w:w="0" w:type="dxa"/>
            <w:right w:w="0" w:type="dxa"/>
          </w:tblCellMar>
          <w:tblLook w:val="0000" w:firstRow="0" w:lastRow="0" w:firstColumn="0" w:lastColumn="0" w:noHBand="0" w:noVBand="0"/>
        </w:tblPrEx>
        <w:trPr>
          <w:gridAfter w:val="3"/>
          <w:wAfter w:w="6402" w:type="dxa"/>
          <w:trHeight w:hRule="exact" w:val="432"/>
        </w:trPr>
        <w:tc>
          <w:tcPr>
            <w:tcW w:w="9827" w:type="dxa"/>
            <w:gridSpan w:val="5"/>
            <w:tcBorders>
              <w:top w:val="nil"/>
              <w:left w:val="nil"/>
              <w:bottom w:val="nil"/>
              <w:right w:val="nil"/>
            </w:tcBorders>
          </w:tcPr>
          <w:p w:rsidR="00425C59" w:rsidRDefault="00425C59" w:rsidP="00247BF9">
            <w:pPr>
              <w:pStyle w:val="TableLogoText"/>
            </w:pPr>
            <w:bookmarkStart w:id="51" w:name="LogoBICNo4Back"/>
            <w:r>
              <w:t xml:space="preserve">    </w:t>
            </w:r>
            <w:bookmarkEnd w:id="51"/>
          </w:p>
        </w:tc>
        <w:tc>
          <w:tcPr>
            <w:tcW w:w="3236" w:type="dxa"/>
            <w:gridSpan w:val="3"/>
            <w:tcBorders>
              <w:top w:val="nil"/>
              <w:left w:val="nil"/>
              <w:bottom w:val="nil"/>
              <w:right w:val="nil"/>
            </w:tcBorders>
          </w:tcPr>
          <w:p w:rsidR="00425C59" w:rsidRDefault="00425C59" w:rsidP="00247BF9">
            <w:pPr>
              <w:pStyle w:val="AddressBlock"/>
            </w:pPr>
            <w:bookmarkStart w:id="52" w:name="BICCompanyInfo4"/>
            <w:r>
              <w:t xml:space="preserve">    </w:t>
            </w:r>
          </w:p>
          <w:bookmarkEnd w:id="52"/>
          <w:p w:rsidR="00425C59" w:rsidRDefault="00425C59" w:rsidP="00247BF9">
            <w:pPr>
              <w:pStyle w:val="AddressBlock"/>
            </w:pPr>
            <w:r>
              <w:t xml:space="preserve"> </w:t>
            </w:r>
          </w:p>
        </w:tc>
      </w:tr>
    </w:tbl>
    <w:p w:rsidR="00425C59" w:rsidRPr="00994E28" w:rsidRDefault="00425C59" w:rsidP="00425C59">
      <w:pPr>
        <w:rPr>
          <w:b/>
          <w:u w:val="single"/>
        </w:rPr>
      </w:pPr>
    </w:p>
    <w:sectPr w:rsidR="00425C59" w:rsidRPr="00994E28" w:rsidSect="00F777AE">
      <w:headerReference w:type="default" r:id="rId25"/>
      <w:footerReference w:type="default" r:id="rId26"/>
      <w:pgSz w:w="12240" w:h="15840" w:code="1"/>
      <w:pgMar w:top="1440" w:right="1079" w:bottom="446" w:left="1440" w:header="544" w:footer="13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FD5" w:rsidRDefault="00FD6FD5">
      <w:pPr>
        <w:rPr>
          <w:rFonts w:ascii="Times New Roman" w:hAnsi="Times New Roman" w:cs="Times New Roman"/>
        </w:rPr>
      </w:pPr>
      <w:r>
        <w:rPr>
          <w:rFonts w:ascii="Times New Roman" w:hAnsi="Times New Roman" w:cs="Times New Roman"/>
        </w:rPr>
        <w:separator/>
      </w:r>
    </w:p>
  </w:endnote>
  <w:endnote w:type="continuationSeparator" w:id="0">
    <w:p w:rsidR="00FD6FD5" w:rsidRDefault="00FD6FD5">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R">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Look w:val="0000" w:firstRow="0" w:lastRow="0" w:firstColumn="0" w:lastColumn="0" w:noHBand="0" w:noVBand="0"/>
    </w:tblPr>
    <w:tblGrid>
      <w:gridCol w:w="9214"/>
    </w:tblGrid>
    <w:tr w:rsidR="00FD6FD5">
      <w:trPr>
        <w:trHeight w:hRule="exact" w:val="583"/>
      </w:trPr>
      <w:tc>
        <w:tcPr>
          <w:tcW w:w="9214" w:type="dxa"/>
          <w:tcBorders>
            <w:top w:val="nil"/>
            <w:left w:val="nil"/>
            <w:bottom w:val="nil"/>
            <w:right w:val="nil"/>
          </w:tcBorders>
        </w:tcPr>
        <w:p w:rsidR="00FD6FD5" w:rsidRDefault="00FD6FD5">
          <w:pPr>
            <w:pStyle w:val="Logo"/>
            <w:jc w:val="right"/>
            <w:rPr>
              <w:rFonts w:ascii="Times New Roman" w:hAnsi="Times New Roman" w:cs="Times New Roman"/>
            </w:rPr>
          </w:pPr>
        </w:p>
      </w:tc>
    </w:tr>
  </w:tbl>
  <w:p w:rsidR="00FD6FD5" w:rsidRDefault="00FD6FD5">
    <w:pPr>
      <w:spacing w:line="240" w:lineRule="auto"/>
      <w:rPr>
        <w:rFonts w:ascii="Times New Roman" w:hAnsi="Times New Roman" w:cs="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FD5" w:rsidRDefault="00FD6FD5">
    <w:pPr>
      <w:framePr w:wrap="auto" w:vAnchor="text" w:hAnchor="margin" w:xAlign="right" w:y="1"/>
      <w:rPr>
        <w:rStyle w:val="PageNumber"/>
        <w:rFonts w:ascii="Times New Roman" w:hAnsi="Times New Roman" w:cs="Times New Roman"/>
      </w:rPr>
    </w:pPr>
    <w:r>
      <w:rPr>
        <w:rStyle w:val="PageNumber"/>
      </w:rPr>
      <w:fldChar w:fldCharType="begin"/>
    </w:r>
    <w:r>
      <w:rPr>
        <w:rStyle w:val="PageNumber"/>
      </w:rPr>
      <w:instrText xml:space="preserve">PAGE  </w:instrText>
    </w:r>
    <w:r>
      <w:rPr>
        <w:rStyle w:val="PageNumber"/>
      </w:rPr>
      <w:fldChar w:fldCharType="separate"/>
    </w:r>
    <w:r w:rsidR="002D5A27">
      <w:rPr>
        <w:rStyle w:val="PageNumber"/>
        <w:noProof/>
      </w:rPr>
      <w:t>i</w:t>
    </w:r>
    <w:r>
      <w:rPr>
        <w:rStyle w:val="PageNumber"/>
      </w:rPr>
      <w:fldChar w:fldCharType="end"/>
    </w:r>
  </w:p>
  <w:tbl>
    <w:tblPr>
      <w:tblW w:w="1134" w:type="dxa"/>
      <w:tblInd w:w="-113" w:type="dxa"/>
      <w:tblCellMar>
        <w:left w:w="0" w:type="dxa"/>
        <w:right w:w="227" w:type="dxa"/>
      </w:tblCellMar>
      <w:tblLook w:val="0000" w:firstRow="0" w:lastRow="0" w:firstColumn="0" w:lastColumn="0" w:noHBand="0" w:noVBand="0"/>
    </w:tblPr>
    <w:tblGrid>
      <w:gridCol w:w="378"/>
      <w:gridCol w:w="378"/>
      <w:gridCol w:w="378"/>
    </w:tblGrid>
    <w:tr w:rsidR="00FD6FD5">
      <w:tc>
        <w:tcPr>
          <w:tcW w:w="0" w:type="auto"/>
          <w:tcBorders>
            <w:top w:val="nil"/>
            <w:left w:val="nil"/>
            <w:bottom w:val="nil"/>
            <w:right w:val="nil"/>
          </w:tcBorders>
          <w:noWrap/>
        </w:tcPr>
        <w:p w:rsidR="00FD6FD5" w:rsidRDefault="00FD6FD5">
          <w:pPr>
            <w:pStyle w:val="CompanyName"/>
          </w:pPr>
        </w:p>
      </w:tc>
      <w:tc>
        <w:tcPr>
          <w:tcW w:w="0" w:type="auto"/>
          <w:tcBorders>
            <w:top w:val="nil"/>
            <w:left w:val="nil"/>
            <w:bottom w:val="nil"/>
            <w:right w:val="nil"/>
          </w:tcBorders>
          <w:noWrap/>
        </w:tcPr>
        <w:p w:rsidR="00FD6FD5" w:rsidRDefault="00FD6FD5">
          <w:pPr>
            <w:pStyle w:val="CompanyName"/>
          </w:pPr>
          <w:bookmarkStart w:id="7" w:name="BICCompanyList2"/>
          <w:bookmarkEnd w:id="7"/>
        </w:p>
      </w:tc>
      <w:tc>
        <w:tcPr>
          <w:tcW w:w="0" w:type="auto"/>
          <w:tcBorders>
            <w:top w:val="nil"/>
            <w:left w:val="nil"/>
            <w:bottom w:val="nil"/>
            <w:right w:val="nil"/>
          </w:tcBorders>
          <w:noWrap/>
        </w:tcPr>
        <w:p w:rsidR="00FD6FD5" w:rsidRDefault="00FD6FD5">
          <w:pPr>
            <w:pStyle w:val="CompanyName"/>
          </w:pPr>
          <w:bookmarkStart w:id="8" w:name="BICCompanyList3"/>
          <w:bookmarkEnd w:id="8"/>
        </w:p>
      </w:tc>
    </w:tr>
  </w:tbl>
  <w:p w:rsidR="00FD6FD5" w:rsidRDefault="00FD6FD5">
    <w:pPr>
      <w:pStyle w:val="ClientNameCrossRef"/>
      <w:rPr>
        <w:rFonts w:ascii="Times New Roman" w:hAnsi="Times New Roman" w:cs="Times New Roman"/>
      </w:rPr>
    </w:pPr>
  </w:p>
  <w:tbl>
    <w:tblPr>
      <w:tblW w:w="0" w:type="auto"/>
      <w:tblLayout w:type="fixed"/>
      <w:tblLook w:val="0000" w:firstRow="0" w:lastRow="0" w:firstColumn="0" w:lastColumn="0" w:noHBand="0" w:noVBand="0"/>
    </w:tblPr>
    <w:tblGrid>
      <w:gridCol w:w="8853"/>
    </w:tblGrid>
    <w:tr w:rsidR="00FD6FD5">
      <w:trPr>
        <w:trHeight w:hRule="exact" w:val="230"/>
      </w:trPr>
      <w:tc>
        <w:tcPr>
          <w:tcW w:w="8853" w:type="dxa"/>
          <w:tcBorders>
            <w:top w:val="nil"/>
            <w:left w:val="nil"/>
            <w:bottom w:val="nil"/>
            <w:right w:val="nil"/>
          </w:tcBorders>
        </w:tcPr>
        <w:p w:rsidR="00FD6FD5" w:rsidRDefault="00FD6FD5">
          <w:pPr>
            <w:pStyle w:val="Filestamp"/>
            <w:rPr>
              <w:rFonts w:ascii="Times New Roman" w:hAnsi="Times New Roman" w:cs="Times New Roman"/>
            </w:rPr>
          </w:pPr>
        </w:p>
      </w:tc>
    </w:tr>
    <w:tr w:rsidR="00FD6FD5">
      <w:trPr>
        <w:trHeight w:val="107"/>
      </w:trPr>
      <w:tc>
        <w:tcPr>
          <w:tcW w:w="8853" w:type="dxa"/>
          <w:tcBorders>
            <w:top w:val="nil"/>
            <w:left w:val="nil"/>
            <w:bottom w:val="nil"/>
            <w:right w:val="nil"/>
          </w:tcBorders>
        </w:tcPr>
        <w:p w:rsidR="00FD6FD5" w:rsidRDefault="00FD6FD5">
          <w:pPr>
            <w:pStyle w:val="Filestamp"/>
            <w:rPr>
              <w:rFonts w:ascii="Times New Roman" w:hAnsi="Times New Roman" w:cs="Times New Roman"/>
            </w:rPr>
          </w:pPr>
        </w:p>
      </w:tc>
    </w:tr>
  </w:tbl>
  <w:p w:rsidR="00FD6FD5" w:rsidRDefault="00FD6FD5">
    <w:pPr>
      <w:pStyle w:val="Filestamp"/>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FD5" w:rsidRDefault="00FD6FD5">
    <w:pPr>
      <w:pStyle w:val="Footer"/>
      <w:jc w:val="right"/>
    </w:pPr>
    <w:r>
      <w:fldChar w:fldCharType="begin"/>
    </w:r>
    <w:r>
      <w:instrText xml:space="preserve"> PAGE   \* MERGEFORMAT </w:instrText>
    </w:r>
    <w:r>
      <w:fldChar w:fldCharType="separate"/>
    </w:r>
    <w:r w:rsidR="002D5A27">
      <w:rPr>
        <w:noProof/>
      </w:rPr>
      <w:t>1</w:t>
    </w:r>
    <w:r>
      <w:rPr>
        <w:noProof/>
      </w:rPr>
      <w:fldChar w:fldCharType="end"/>
    </w:r>
  </w:p>
  <w:p w:rsidR="00FD6FD5" w:rsidRDefault="00FD6FD5">
    <w:pPr>
      <w:pStyle w:val="AddressBlock"/>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FD5" w:rsidRDefault="00FD6FD5">
      <w:pPr>
        <w:rPr>
          <w:rFonts w:ascii="Times New Roman" w:hAnsi="Times New Roman" w:cs="Times New Roman"/>
        </w:rPr>
      </w:pPr>
      <w:r>
        <w:rPr>
          <w:rFonts w:ascii="Times New Roman" w:hAnsi="Times New Roman" w:cs="Times New Roman"/>
        </w:rPr>
        <w:separator/>
      </w:r>
    </w:p>
  </w:footnote>
  <w:footnote w:type="continuationSeparator" w:id="0">
    <w:p w:rsidR="00FD6FD5" w:rsidRDefault="00FD6FD5">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03" w:type="dxa"/>
      <w:tblInd w:w="-275" w:type="dxa"/>
      <w:tblCellMar>
        <w:left w:w="0" w:type="dxa"/>
        <w:right w:w="550" w:type="dxa"/>
      </w:tblCellMar>
      <w:tblLook w:val="0000" w:firstRow="0" w:lastRow="0" w:firstColumn="0" w:lastColumn="0" w:noHBand="0" w:noVBand="0"/>
    </w:tblPr>
    <w:tblGrid>
      <w:gridCol w:w="570"/>
      <w:gridCol w:w="570"/>
      <w:gridCol w:w="570"/>
      <w:gridCol w:w="7823"/>
      <w:gridCol w:w="570"/>
    </w:tblGrid>
    <w:tr w:rsidR="00FD6FD5">
      <w:tc>
        <w:tcPr>
          <w:tcW w:w="570" w:type="dxa"/>
          <w:tcBorders>
            <w:top w:val="nil"/>
            <w:left w:val="nil"/>
            <w:bottom w:val="nil"/>
            <w:right w:val="nil"/>
          </w:tcBorders>
        </w:tcPr>
        <w:p w:rsidR="00FD6FD5" w:rsidRDefault="00FD6FD5">
          <w:pPr>
            <w:pStyle w:val="Header"/>
            <w:rPr>
              <w:rFonts w:ascii="Times New Roman" w:hAnsi="Times New Roman" w:cs="Times New Roman"/>
            </w:rPr>
          </w:pPr>
        </w:p>
      </w:tc>
      <w:tc>
        <w:tcPr>
          <w:tcW w:w="570" w:type="dxa"/>
          <w:tcBorders>
            <w:top w:val="nil"/>
            <w:left w:val="nil"/>
            <w:bottom w:val="nil"/>
            <w:right w:val="nil"/>
          </w:tcBorders>
        </w:tcPr>
        <w:p w:rsidR="00FD6FD5" w:rsidRDefault="00FD6FD5">
          <w:pPr>
            <w:pStyle w:val="Header"/>
          </w:pPr>
        </w:p>
      </w:tc>
      <w:tc>
        <w:tcPr>
          <w:tcW w:w="570" w:type="dxa"/>
          <w:tcBorders>
            <w:top w:val="nil"/>
            <w:left w:val="nil"/>
            <w:bottom w:val="nil"/>
            <w:right w:val="nil"/>
          </w:tcBorders>
        </w:tcPr>
        <w:p w:rsidR="00FD6FD5" w:rsidRDefault="00FD6FD5">
          <w:pPr>
            <w:pStyle w:val="Header"/>
          </w:pPr>
        </w:p>
      </w:tc>
      <w:tc>
        <w:tcPr>
          <w:tcW w:w="7823" w:type="dxa"/>
          <w:tcBorders>
            <w:top w:val="nil"/>
            <w:left w:val="nil"/>
            <w:bottom w:val="nil"/>
            <w:right w:val="nil"/>
          </w:tcBorders>
          <w:tcMar>
            <w:right w:w="0" w:type="dxa"/>
          </w:tcMar>
          <w:vAlign w:val="bottom"/>
        </w:tcPr>
        <w:p w:rsidR="00FD6FD5" w:rsidRDefault="00FD6FD5">
          <w:pPr>
            <w:pStyle w:val="Header"/>
            <w:jc w:val="right"/>
            <w:rPr>
              <w:rFonts w:ascii="Times New Roman" w:hAnsi="Times New Roman" w:cs="Times New Roman"/>
            </w:rPr>
          </w:pPr>
        </w:p>
      </w:tc>
      <w:tc>
        <w:tcPr>
          <w:tcW w:w="570" w:type="dxa"/>
          <w:tcBorders>
            <w:top w:val="nil"/>
            <w:left w:val="nil"/>
            <w:bottom w:val="nil"/>
            <w:right w:val="nil"/>
          </w:tcBorders>
        </w:tcPr>
        <w:p w:rsidR="00FD6FD5" w:rsidRDefault="00FD6FD5">
          <w:pPr>
            <w:pStyle w:val="Header"/>
            <w:ind w:right="-578"/>
            <w:rPr>
              <w:rFonts w:ascii="Times New Roman" w:hAnsi="Times New Roman" w:cs="Times New Roman"/>
            </w:rPr>
          </w:pPr>
        </w:p>
      </w:tc>
    </w:tr>
  </w:tbl>
  <w:p w:rsidR="00FD6FD5" w:rsidRDefault="00FD6FD5">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5" w:type="dxa"/>
      <w:tblLayout w:type="fixed"/>
      <w:tblCellMar>
        <w:left w:w="0" w:type="dxa"/>
        <w:right w:w="0" w:type="dxa"/>
      </w:tblCellMar>
      <w:tblLook w:val="0000" w:firstRow="0" w:lastRow="0" w:firstColumn="0" w:lastColumn="0" w:noHBand="0" w:noVBand="0"/>
    </w:tblPr>
    <w:tblGrid>
      <w:gridCol w:w="4676"/>
      <w:gridCol w:w="4679"/>
    </w:tblGrid>
    <w:tr w:rsidR="00FD6FD5">
      <w:tc>
        <w:tcPr>
          <w:tcW w:w="4676" w:type="dxa"/>
          <w:tcBorders>
            <w:top w:val="nil"/>
            <w:left w:val="nil"/>
            <w:bottom w:val="nil"/>
            <w:right w:val="nil"/>
          </w:tcBorders>
        </w:tcPr>
        <w:p w:rsidR="00FD6FD5" w:rsidRDefault="00FD6FD5">
          <w:pPr>
            <w:pStyle w:val="ReportCrossRef"/>
          </w:pPr>
          <w:bookmarkStart w:id="6" w:name="AbbreviatedReportTitle"/>
          <w:r>
            <w:t>International Medical, Dental, Life Insurance and AD&amp;D Plan</w:t>
          </w:r>
          <w:bookmarkEnd w:id="6"/>
        </w:p>
      </w:tc>
      <w:tc>
        <w:tcPr>
          <w:tcW w:w="4679" w:type="dxa"/>
          <w:tcBorders>
            <w:top w:val="nil"/>
            <w:left w:val="nil"/>
            <w:bottom w:val="nil"/>
            <w:right w:val="nil"/>
          </w:tcBorders>
        </w:tcPr>
        <w:p w:rsidR="00FD6FD5" w:rsidRDefault="00FD6FD5">
          <w:pPr>
            <w:pStyle w:val="ClientNameCrossRef"/>
            <w:jc w:val="right"/>
          </w:pPr>
          <w:r>
            <w:t>Brazilian Financial Office</w:t>
          </w:r>
        </w:p>
      </w:tc>
    </w:tr>
  </w:tbl>
  <w:p w:rsidR="00FD6FD5" w:rsidRDefault="00FD6FD5">
    <w:pP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3600"/>
      <w:gridCol w:w="5148"/>
    </w:tblGrid>
    <w:tr w:rsidR="00FD6FD5">
      <w:tc>
        <w:tcPr>
          <w:tcW w:w="3600" w:type="dxa"/>
          <w:tcBorders>
            <w:top w:val="nil"/>
            <w:left w:val="nil"/>
            <w:bottom w:val="nil"/>
            <w:right w:val="nil"/>
          </w:tcBorders>
        </w:tcPr>
        <w:p w:rsidR="00FD6FD5" w:rsidRDefault="00FD6FD5">
          <w:pPr>
            <w:pStyle w:val="ReportCrossRef"/>
          </w:pPr>
          <w:r>
            <w:t xml:space="preserve">    </w:t>
          </w:r>
        </w:p>
      </w:tc>
      <w:tc>
        <w:tcPr>
          <w:tcW w:w="5148" w:type="dxa"/>
          <w:tcBorders>
            <w:top w:val="nil"/>
            <w:left w:val="nil"/>
            <w:bottom w:val="nil"/>
            <w:right w:val="nil"/>
          </w:tcBorders>
        </w:tcPr>
        <w:p w:rsidR="00FD6FD5" w:rsidRDefault="00FD6FD5">
          <w:pPr>
            <w:pStyle w:val="ClientNameCrossRef"/>
          </w:pPr>
          <w:r>
            <w:t xml:space="preserve">             </w:t>
          </w:r>
        </w:p>
      </w:tc>
    </w:tr>
  </w:tbl>
  <w:p w:rsidR="00FD6FD5" w:rsidRDefault="00FD6FD5">
    <w:pP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EB61A66"/>
    <w:lvl w:ilvl="0">
      <w:start w:val="1"/>
      <w:numFmt w:val="bullet"/>
      <w:lvlText w:val=""/>
      <w:lvlJc w:val="left"/>
      <w:pPr>
        <w:tabs>
          <w:tab w:val="num" w:pos="1440"/>
        </w:tabs>
        <w:ind w:left="1440" w:hanging="360"/>
      </w:pPr>
      <w:rPr>
        <w:rFonts w:ascii="Symbol" w:hAnsi="Symbol" w:hint="default"/>
      </w:rPr>
    </w:lvl>
  </w:abstractNum>
  <w:abstractNum w:abstractNumId="1">
    <w:nsid w:val="000F795B"/>
    <w:multiLevelType w:val="singleLevel"/>
    <w:tmpl w:val="730C16F4"/>
    <w:lvl w:ilvl="0">
      <w:start w:val="1"/>
      <w:numFmt w:val="bullet"/>
      <w:lvlText w:val=""/>
      <w:lvlJc w:val="left"/>
      <w:pPr>
        <w:tabs>
          <w:tab w:val="num" w:pos="720"/>
        </w:tabs>
        <w:ind w:left="720" w:hanging="360"/>
      </w:pPr>
      <w:rPr>
        <w:rFonts w:ascii="Symbol" w:hAnsi="Symbol" w:cs="Times New Roman" w:hint="default"/>
        <w:color w:val="auto"/>
      </w:rPr>
    </w:lvl>
  </w:abstractNum>
  <w:abstractNum w:abstractNumId="2">
    <w:nsid w:val="093568FB"/>
    <w:multiLevelType w:val="multilevel"/>
    <w:tmpl w:val="6EFEA6B8"/>
    <w:name w:val="TableBulletList"/>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pStyle w:val="TableBullet1"/>
      <w:lvlText w:val="•"/>
      <w:lvlJc w:val="left"/>
      <w:pPr>
        <w:tabs>
          <w:tab w:val="num" w:pos="360"/>
        </w:tabs>
        <w:ind w:left="360" w:hanging="360"/>
      </w:pPr>
      <w:rPr>
        <w:rFonts w:ascii="Arial" w:hAnsi="Arial" w:cs="Arial"/>
      </w:rPr>
    </w:lvl>
    <w:lvl w:ilvl="5">
      <w:start w:val="1"/>
      <w:numFmt w:val="lowerRoman"/>
      <w:pStyle w:val="TableBullet2"/>
      <w:lvlText w:val="─"/>
      <w:lvlJc w:val="left"/>
      <w:pPr>
        <w:tabs>
          <w:tab w:val="num" w:pos="720"/>
        </w:tabs>
        <w:ind w:left="720" w:hanging="360"/>
      </w:pPr>
      <w:rPr>
        <w:rFonts w:ascii="Arial" w:hAnsi="Arial" w:cs="Arial"/>
      </w:rPr>
    </w:lvl>
    <w:lvl w:ilvl="6">
      <w:start w:val="1"/>
      <w:numFmt w:val="decimal"/>
      <w:pStyle w:val="TableBullet3"/>
      <w:lvlText w:val="−"/>
      <w:lvlJc w:val="left"/>
      <w:pPr>
        <w:tabs>
          <w:tab w:val="num" w:pos="1080"/>
        </w:tabs>
        <w:ind w:left="1080" w:hanging="360"/>
      </w:pPr>
      <w:rPr>
        <w:rFonts w:ascii="Arial" w:hAnsi="Arial" w:cs="Arial"/>
      </w:rPr>
    </w:lvl>
    <w:lvl w:ilvl="7">
      <w:start w:val="1"/>
      <w:numFmt w:val="lowerLetter"/>
      <w:pStyle w:val="TableBullet4"/>
      <w:lvlText w:val="−"/>
      <w:lvlJc w:val="left"/>
      <w:pPr>
        <w:tabs>
          <w:tab w:val="num" w:pos="1440"/>
        </w:tabs>
        <w:ind w:left="1440" w:hanging="360"/>
      </w:pPr>
      <w:rPr>
        <w:rFonts w:ascii="Arial" w:hAnsi="Arial" w:cs="Arial"/>
      </w:rPr>
    </w:lvl>
    <w:lvl w:ilvl="8">
      <w:start w:val="1"/>
      <w:numFmt w:val="lowerRoman"/>
      <w:lvlText w:val="%9."/>
      <w:lvlJc w:val="left"/>
      <w:pPr>
        <w:ind w:left="3240" w:hanging="360"/>
      </w:pPr>
      <w:rPr>
        <w:rFonts w:ascii="Times New Roman" w:hAnsi="Times New Roman" w:cs="Times New Roman"/>
      </w:rPr>
    </w:lvl>
  </w:abstractNum>
  <w:abstractNum w:abstractNumId="3">
    <w:nsid w:val="0B2F3570"/>
    <w:multiLevelType w:val="hybridMultilevel"/>
    <w:tmpl w:val="10609B86"/>
    <w:lvl w:ilvl="0" w:tplc="93325090">
      <w:start w:val="2"/>
      <w:numFmt w:val="bullet"/>
      <w:lvlText w:val="-"/>
      <w:lvlJc w:val="left"/>
      <w:pPr>
        <w:ind w:left="417" w:hanging="360"/>
      </w:pPr>
      <w:rPr>
        <w:rFonts w:ascii="Calibri" w:eastAsia="Calibri" w:hAnsi="Calibri" w:cs="Calibri" w:hint="default"/>
      </w:rPr>
    </w:lvl>
    <w:lvl w:ilvl="1" w:tplc="04090003">
      <w:start w:val="1"/>
      <w:numFmt w:val="bullet"/>
      <w:lvlText w:val="o"/>
      <w:lvlJc w:val="left"/>
      <w:pPr>
        <w:ind w:left="1137" w:hanging="360"/>
      </w:pPr>
      <w:rPr>
        <w:rFonts w:ascii="Courier New" w:hAnsi="Courier New" w:cs="Courier New" w:hint="default"/>
      </w:rPr>
    </w:lvl>
    <w:lvl w:ilvl="2" w:tplc="04090005">
      <w:start w:val="1"/>
      <w:numFmt w:val="bullet"/>
      <w:lvlText w:val=""/>
      <w:lvlJc w:val="left"/>
      <w:pPr>
        <w:ind w:left="1857" w:hanging="360"/>
      </w:pPr>
      <w:rPr>
        <w:rFonts w:ascii="Wingdings" w:hAnsi="Wingdings" w:hint="default"/>
      </w:rPr>
    </w:lvl>
    <w:lvl w:ilvl="3" w:tplc="04090001">
      <w:start w:val="1"/>
      <w:numFmt w:val="bullet"/>
      <w:lvlText w:val=""/>
      <w:lvlJc w:val="left"/>
      <w:pPr>
        <w:ind w:left="2577" w:hanging="360"/>
      </w:pPr>
      <w:rPr>
        <w:rFonts w:ascii="Symbol" w:hAnsi="Symbol" w:hint="default"/>
      </w:rPr>
    </w:lvl>
    <w:lvl w:ilvl="4" w:tplc="04090003">
      <w:start w:val="1"/>
      <w:numFmt w:val="bullet"/>
      <w:lvlText w:val="o"/>
      <w:lvlJc w:val="left"/>
      <w:pPr>
        <w:ind w:left="3297" w:hanging="360"/>
      </w:pPr>
      <w:rPr>
        <w:rFonts w:ascii="Courier New" w:hAnsi="Courier New" w:cs="Courier New" w:hint="default"/>
      </w:rPr>
    </w:lvl>
    <w:lvl w:ilvl="5" w:tplc="04090005">
      <w:start w:val="1"/>
      <w:numFmt w:val="bullet"/>
      <w:lvlText w:val=""/>
      <w:lvlJc w:val="left"/>
      <w:pPr>
        <w:ind w:left="4017" w:hanging="360"/>
      </w:pPr>
      <w:rPr>
        <w:rFonts w:ascii="Wingdings" w:hAnsi="Wingdings" w:hint="default"/>
      </w:rPr>
    </w:lvl>
    <w:lvl w:ilvl="6" w:tplc="04090001">
      <w:start w:val="1"/>
      <w:numFmt w:val="bullet"/>
      <w:lvlText w:val=""/>
      <w:lvlJc w:val="left"/>
      <w:pPr>
        <w:ind w:left="4737" w:hanging="360"/>
      </w:pPr>
      <w:rPr>
        <w:rFonts w:ascii="Symbol" w:hAnsi="Symbol" w:hint="default"/>
      </w:rPr>
    </w:lvl>
    <w:lvl w:ilvl="7" w:tplc="04090003">
      <w:start w:val="1"/>
      <w:numFmt w:val="bullet"/>
      <w:lvlText w:val="o"/>
      <w:lvlJc w:val="left"/>
      <w:pPr>
        <w:ind w:left="5457" w:hanging="360"/>
      </w:pPr>
      <w:rPr>
        <w:rFonts w:ascii="Courier New" w:hAnsi="Courier New" w:cs="Courier New" w:hint="default"/>
      </w:rPr>
    </w:lvl>
    <w:lvl w:ilvl="8" w:tplc="04090005">
      <w:start w:val="1"/>
      <w:numFmt w:val="bullet"/>
      <w:lvlText w:val=""/>
      <w:lvlJc w:val="left"/>
      <w:pPr>
        <w:ind w:left="6177" w:hanging="360"/>
      </w:pPr>
      <w:rPr>
        <w:rFonts w:ascii="Wingdings" w:hAnsi="Wingdings" w:hint="default"/>
      </w:rPr>
    </w:lvl>
  </w:abstractNum>
  <w:abstractNum w:abstractNumId="4">
    <w:nsid w:val="18D717A9"/>
    <w:multiLevelType w:val="multilevel"/>
    <w:tmpl w:val="7B7A8C90"/>
    <w:name w:val="HeadingNumberDoc"/>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decimal"/>
      <w:lvlText w:val="%5."/>
      <w:lvlJc w:val="left"/>
      <w:pPr>
        <w:tabs>
          <w:tab w:val="num" w:pos="720"/>
        </w:tabs>
        <w:ind w:left="720" w:hanging="720"/>
      </w:pPr>
      <w:rPr>
        <w:rFonts w:ascii="Times New Roman" w:hAnsi="Times New Roman" w:cs="Times New Roman"/>
      </w:rPr>
    </w:lvl>
    <w:lvl w:ilvl="5">
      <w:start w:val="1"/>
      <w:numFmt w:val="decimal"/>
      <w:lvlText w:val="%5.%6."/>
      <w:lvlJc w:val="left"/>
      <w:pPr>
        <w:tabs>
          <w:tab w:val="num" w:pos="840"/>
        </w:tabs>
        <w:ind w:left="840" w:hanging="840"/>
      </w:pPr>
      <w:rPr>
        <w:rFonts w:ascii="Times New Roman" w:hAnsi="Times New Roman" w:cs="Times New Roman"/>
      </w:rPr>
    </w:lvl>
    <w:lvl w:ilvl="6">
      <w:start w:val="1"/>
      <w:numFmt w:val="decimal"/>
      <w:lvlText w:val="%5.%6.%7."/>
      <w:lvlJc w:val="left"/>
      <w:pPr>
        <w:tabs>
          <w:tab w:val="num" w:pos="1080"/>
        </w:tabs>
        <w:ind w:left="1080" w:hanging="1080"/>
      </w:pPr>
      <w:rPr>
        <w:rFonts w:ascii="Times New Roman" w:hAnsi="Times New Roman" w:cs="Times New Roman"/>
      </w:rPr>
    </w:lvl>
    <w:lvl w:ilvl="7">
      <w:start w:val="1"/>
      <w:numFmt w:val="decimal"/>
      <w:lvlText w:val="%5.%6.%7.%8."/>
      <w:lvlJc w:val="left"/>
      <w:pPr>
        <w:tabs>
          <w:tab w:val="num" w:pos="1080"/>
        </w:tabs>
        <w:ind w:left="1080" w:hanging="1080"/>
      </w:pPr>
      <w:rPr>
        <w:rFonts w:ascii="Times New Roman" w:hAnsi="Times New Roman" w:cs="Times New Roman"/>
      </w:rPr>
    </w:lvl>
    <w:lvl w:ilvl="8">
      <w:start w:val="1"/>
      <w:numFmt w:val="decimal"/>
      <w:lvlText w:val="%5.%6.%7.%8.%9"/>
      <w:lvlJc w:val="left"/>
      <w:pPr>
        <w:tabs>
          <w:tab w:val="num" w:pos="1080"/>
        </w:tabs>
        <w:ind w:left="1080" w:hanging="1080"/>
      </w:pPr>
      <w:rPr>
        <w:rFonts w:ascii="Times New Roman" w:hAnsi="Times New Roman" w:cs="Times New Roman"/>
      </w:rPr>
    </w:lvl>
  </w:abstractNum>
  <w:abstractNum w:abstractNumId="5">
    <w:nsid w:val="1BD85443"/>
    <w:multiLevelType w:val="multilevel"/>
    <w:tmpl w:val="3288DA50"/>
    <w:name w:val="SHeadingNumberRep"/>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decimal"/>
      <w:lvlText w:val="%5."/>
      <w:lvlJc w:val="left"/>
      <w:pPr>
        <w:tabs>
          <w:tab w:val="num" w:pos="0"/>
        </w:tabs>
      </w:pPr>
      <w:rPr>
        <w:rFonts w:ascii="Times New Roman" w:hAnsi="Times New Roman" w:cs="Times New Roman"/>
      </w:rPr>
    </w:lvl>
    <w:lvl w:ilvl="5">
      <w:start w:val="1"/>
      <w:numFmt w:val="decimal"/>
      <w:lvlText w:val="%5.%6."/>
      <w:lvlJc w:val="left"/>
      <w:pPr>
        <w:tabs>
          <w:tab w:val="num" w:pos="840"/>
        </w:tabs>
        <w:ind w:left="840" w:hanging="840"/>
      </w:pPr>
      <w:rPr>
        <w:rFonts w:ascii="Times New Roman" w:hAnsi="Times New Roman" w:cs="Times New Roman"/>
      </w:rPr>
    </w:lvl>
    <w:lvl w:ilvl="6">
      <w:start w:val="1"/>
      <w:numFmt w:val="decimal"/>
      <w:lvlText w:val="%5.%6.%7."/>
      <w:lvlJc w:val="left"/>
      <w:pPr>
        <w:tabs>
          <w:tab w:val="num" w:pos="1080"/>
        </w:tabs>
        <w:ind w:left="1080" w:hanging="1080"/>
      </w:pPr>
      <w:rPr>
        <w:rFonts w:ascii="Times New Roman" w:hAnsi="Times New Roman" w:cs="Times New Roman"/>
      </w:rPr>
    </w:lvl>
    <w:lvl w:ilvl="7">
      <w:start w:val="1"/>
      <w:numFmt w:val="decimal"/>
      <w:lvlText w:val="%5.%6.%7.%8."/>
      <w:lvlJc w:val="left"/>
      <w:pPr>
        <w:tabs>
          <w:tab w:val="num" w:pos="1080"/>
        </w:tabs>
        <w:ind w:left="1080" w:hanging="1080"/>
      </w:pPr>
      <w:rPr>
        <w:rFonts w:ascii="Times New Roman" w:hAnsi="Times New Roman" w:cs="Times New Roman"/>
      </w:rPr>
    </w:lvl>
    <w:lvl w:ilvl="8">
      <w:start w:val="1"/>
      <w:numFmt w:val="decimal"/>
      <w:lvlText w:val="%5.%6.%7.%8.%9"/>
      <w:lvlJc w:val="left"/>
      <w:pPr>
        <w:tabs>
          <w:tab w:val="num" w:pos="1080"/>
        </w:tabs>
        <w:ind w:left="1080" w:hanging="1080"/>
      </w:pPr>
      <w:rPr>
        <w:rFonts w:ascii="Times New Roman" w:hAnsi="Times New Roman" w:cs="Times New Roman"/>
      </w:rPr>
    </w:lvl>
  </w:abstractNum>
  <w:abstractNum w:abstractNumId="6">
    <w:nsid w:val="215736FE"/>
    <w:multiLevelType w:val="multilevel"/>
    <w:tmpl w:val="94F04054"/>
    <w:name w:val="HeadingList"/>
    <w:lvl w:ilvl="0">
      <w:start w:val="1"/>
      <w:numFmt w:val="none"/>
      <w:pStyle w:val="Heading1"/>
      <w:suff w:val="nothing"/>
      <w:lvlText w:val=""/>
      <w:lvlJc w:val="left"/>
      <w:pPr>
        <w:tabs>
          <w:tab w:val="num" w:pos="0"/>
        </w:tabs>
      </w:pPr>
      <w:rPr>
        <w:rFonts w:ascii="Times New Roman" w:hAnsi="Times New Roman" w:cs="Times New Roman"/>
      </w:rPr>
    </w:lvl>
    <w:lvl w:ilvl="1">
      <w:start w:val="1"/>
      <w:numFmt w:val="none"/>
      <w:pStyle w:val="AppendixHeading2"/>
      <w:suff w:val="nothing"/>
      <w:lvlText w:val=""/>
      <w:lvlJc w:val="left"/>
      <w:pPr>
        <w:tabs>
          <w:tab w:val="num" w:pos="0"/>
        </w:tabs>
      </w:pPr>
      <w:rPr>
        <w:rFonts w:ascii="Times New Roman" w:hAnsi="Times New Roman" w:cs="Times New Roman"/>
      </w:rPr>
    </w:lvl>
    <w:lvl w:ilvl="2">
      <w:start w:val="1"/>
      <w:numFmt w:val="none"/>
      <w:pStyle w:val="AppendixHeading3"/>
      <w:suff w:val="nothing"/>
      <w:lvlText w:val=""/>
      <w:lvlJc w:val="left"/>
      <w:pPr>
        <w:tabs>
          <w:tab w:val="num" w:pos="0"/>
        </w:tabs>
      </w:pPr>
      <w:rPr>
        <w:rFonts w:ascii="Times New Roman" w:hAnsi="Times New Roman" w:cs="Times New Roman"/>
      </w:rPr>
    </w:lvl>
    <w:lvl w:ilvl="3">
      <w:start w:val="1"/>
      <w:numFmt w:val="none"/>
      <w:pStyle w:val="Heading4"/>
      <w:suff w:val="nothing"/>
      <w:lvlText w:val=""/>
      <w:lvlJc w:val="left"/>
      <w:pPr>
        <w:tabs>
          <w:tab w:val="num" w:pos="0"/>
        </w:tabs>
      </w:pPr>
      <w:rPr>
        <w:rFonts w:ascii="Times New Roman" w:hAnsi="Times New Roman" w:cs="Times New Roman"/>
      </w:rPr>
    </w:lvl>
    <w:lvl w:ilvl="4">
      <w:start w:val="1"/>
      <w:numFmt w:val="none"/>
      <w:pStyle w:val="Heading5"/>
      <w:suff w:val="nothing"/>
      <w:lvlText w:val=""/>
      <w:lvlJc w:val="left"/>
      <w:pPr>
        <w:tabs>
          <w:tab w:val="num" w:pos="0"/>
        </w:tabs>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7">
    <w:nsid w:val="24091320"/>
    <w:multiLevelType w:val="singleLevel"/>
    <w:tmpl w:val="6EAE7D90"/>
    <w:lvl w:ilvl="0">
      <w:start w:val="1"/>
      <w:numFmt w:val="decimal"/>
      <w:pStyle w:val="TOC1"/>
      <w:lvlText w:val="%1."/>
      <w:lvlJc w:val="left"/>
      <w:pPr>
        <w:tabs>
          <w:tab w:val="num" w:pos="360"/>
        </w:tabs>
        <w:ind w:left="360" w:hanging="360"/>
      </w:pPr>
      <w:rPr>
        <w:rFonts w:ascii="Arial" w:hAnsi="Arial" w:cs="Arial" w:hint="default"/>
        <w:b w:val="0"/>
        <w:i w:val="0"/>
        <w:sz w:val="22"/>
        <w:szCs w:val="22"/>
      </w:rPr>
    </w:lvl>
  </w:abstractNum>
  <w:abstractNum w:abstractNumId="8">
    <w:nsid w:val="24B744D4"/>
    <w:multiLevelType w:val="hybridMultilevel"/>
    <w:tmpl w:val="745C8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C0087F"/>
    <w:multiLevelType w:val="singleLevel"/>
    <w:tmpl w:val="FF807914"/>
    <w:lvl w:ilvl="0">
      <w:start w:val="1"/>
      <w:numFmt w:val="bullet"/>
      <w:pStyle w:val="TOC2"/>
      <w:lvlText w:val="•"/>
      <w:lvlJc w:val="left"/>
      <w:pPr>
        <w:tabs>
          <w:tab w:val="num" w:pos="806"/>
        </w:tabs>
        <w:ind w:left="806" w:hanging="360"/>
      </w:pPr>
      <w:rPr>
        <w:rFonts w:ascii="Arial" w:hAnsi="Arial" w:cs="Arial" w:hint="default"/>
      </w:rPr>
    </w:lvl>
  </w:abstractNum>
  <w:abstractNum w:abstractNumId="10">
    <w:nsid w:val="2820094A"/>
    <w:multiLevelType w:val="multilevel"/>
    <w:tmpl w:val="4C8CF59E"/>
    <w:name w:val="NumHeadingList"/>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decimal"/>
      <w:pStyle w:val="ListNumber"/>
      <w:lvlText w:val="%6."/>
      <w:lvlJc w:val="left"/>
      <w:pPr>
        <w:tabs>
          <w:tab w:val="num" w:pos="360"/>
        </w:tabs>
        <w:ind w:left="360" w:hanging="360"/>
      </w:pPr>
      <w:rPr>
        <w:rFonts w:ascii="Times New Roman" w:hAnsi="Times New Roman" w:cs="Times New Roman"/>
      </w:rPr>
    </w:lvl>
    <w:lvl w:ilvl="6">
      <w:start w:val="1"/>
      <w:numFmt w:val="upperLetter"/>
      <w:pStyle w:val="ListNumber2"/>
      <w:lvlText w:val="%7."/>
      <w:lvlJc w:val="left"/>
      <w:pPr>
        <w:tabs>
          <w:tab w:val="num" w:pos="720"/>
        </w:tabs>
        <w:ind w:left="720" w:hanging="360"/>
      </w:pPr>
      <w:rPr>
        <w:rFonts w:ascii="Times New Roman" w:hAnsi="Times New Roman" w:cs="Times New Roman"/>
      </w:rPr>
    </w:lvl>
    <w:lvl w:ilvl="7">
      <w:start w:val="1"/>
      <w:numFmt w:val="lowerRoman"/>
      <w:pStyle w:val="ListNumber3"/>
      <w:lvlText w:val="%8."/>
      <w:lvlJc w:val="left"/>
      <w:pPr>
        <w:tabs>
          <w:tab w:val="num" w:pos="1080"/>
        </w:tabs>
        <w:ind w:left="1080" w:hanging="360"/>
      </w:pPr>
      <w:rPr>
        <w:rFonts w:ascii="Times New Roman" w:hAnsi="Times New Roman" w:cs="Times New Roman"/>
      </w:rPr>
    </w:lvl>
    <w:lvl w:ilvl="8">
      <w:start w:val="1"/>
      <w:numFmt w:val="lowerLetter"/>
      <w:pStyle w:val="ListNumber4"/>
      <w:lvlText w:val="%9."/>
      <w:lvlJc w:val="left"/>
      <w:pPr>
        <w:tabs>
          <w:tab w:val="num" w:pos="1440"/>
        </w:tabs>
        <w:ind w:left="1440" w:hanging="360"/>
      </w:pPr>
      <w:rPr>
        <w:rFonts w:ascii="Times New Roman" w:hAnsi="Times New Roman" w:cs="Times New Roman"/>
      </w:rPr>
    </w:lvl>
  </w:abstractNum>
  <w:abstractNum w:abstractNumId="11">
    <w:nsid w:val="3C0A0803"/>
    <w:multiLevelType w:val="multilevel"/>
    <w:tmpl w:val="6CF2E5C4"/>
    <w:name w:val="Appendix"/>
    <w:lvl w:ilvl="0">
      <w:start w:val="1"/>
      <w:numFmt w:val="upperLetter"/>
      <w:lvlRestart w:val="0"/>
      <w:lvlText w:val="Appendix: %1."/>
      <w:lvlJc w:val="left"/>
      <w:pPr>
        <w:tabs>
          <w:tab w:val="num" w:pos="360"/>
        </w:tabs>
        <w:ind w:left="360" w:hanging="360"/>
      </w:pPr>
      <w:rPr>
        <w:rFonts w:ascii="Arial" w:hAnsi="Arial" w:cs="Arial"/>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12">
    <w:nsid w:val="422A0216"/>
    <w:multiLevelType w:val="multilevel"/>
    <w:tmpl w:val="6B06222E"/>
    <w:name w:val="BulletList"/>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
      <w:lvlJc w:val="left"/>
      <w:pPr>
        <w:tabs>
          <w:tab w:val="num" w:pos="360"/>
        </w:tabs>
        <w:ind w:left="360" w:hanging="360"/>
      </w:pPr>
      <w:rPr>
        <w:rFonts w:ascii="Arial" w:hAnsi="Arial" w:cs="Arial"/>
      </w:rPr>
    </w:lvl>
    <w:lvl w:ilvl="5">
      <w:start w:val="1"/>
      <w:numFmt w:val="lowerRoman"/>
      <w:pStyle w:val="ListBullet2"/>
      <w:lvlText w:val="─"/>
      <w:lvlJc w:val="left"/>
      <w:pPr>
        <w:tabs>
          <w:tab w:val="num" w:pos="720"/>
        </w:tabs>
        <w:ind w:left="720" w:hanging="360"/>
      </w:pPr>
      <w:rPr>
        <w:rFonts w:ascii="Arial" w:hAnsi="Arial" w:cs="Arial"/>
      </w:rPr>
    </w:lvl>
    <w:lvl w:ilvl="6">
      <w:start w:val="1"/>
      <w:numFmt w:val="decimal"/>
      <w:pStyle w:val="ListBullet3"/>
      <w:lvlText w:val="−"/>
      <w:lvlJc w:val="left"/>
      <w:pPr>
        <w:tabs>
          <w:tab w:val="num" w:pos="1080"/>
        </w:tabs>
        <w:ind w:left="1080" w:hanging="360"/>
      </w:pPr>
      <w:rPr>
        <w:rFonts w:ascii="Arial" w:hAnsi="Arial" w:cs="Arial"/>
      </w:rPr>
    </w:lvl>
    <w:lvl w:ilvl="7">
      <w:start w:val="1"/>
      <w:numFmt w:val="lowerLetter"/>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3">
    <w:nsid w:val="431D722B"/>
    <w:multiLevelType w:val="hybridMultilevel"/>
    <w:tmpl w:val="D5803968"/>
    <w:lvl w:ilvl="0" w:tplc="B030C902">
      <w:start w:val="1"/>
      <w:numFmt w:val="bullet"/>
      <w:pStyle w:val="TOC4"/>
      <w:lvlText w:val="−"/>
      <w:lvlJc w:val="left"/>
      <w:pPr>
        <w:tabs>
          <w:tab w:val="num" w:pos="1526"/>
        </w:tabs>
        <w:ind w:left="1526" w:hanging="360"/>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nsid w:val="474E37F6"/>
    <w:multiLevelType w:val="multilevel"/>
    <w:tmpl w:val="6C80E87A"/>
    <w:lvl w:ilvl="0">
      <w:start w:val="1"/>
      <w:numFmt w:val="none"/>
      <w:suff w:val="nothing"/>
      <w:lvlText w:val=""/>
      <w:lvlJc w:val="left"/>
      <w:pPr>
        <w:tabs>
          <w:tab w:val="num" w:pos="0"/>
        </w:tabs>
      </w:pPr>
      <w:rPr>
        <w:rFonts w:ascii="Times New Roman" w:hAnsi="Times New Roman" w:cs="Times New Roman"/>
      </w:rPr>
    </w:lvl>
    <w:lvl w:ilvl="1">
      <w:start w:val="1"/>
      <w:numFmt w:val="none"/>
      <w:suff w:val="nothing"/>
      <w:lvlText w:val=""/>
      <w:lvlJc w:val="left"/>
      <w:pPr>
        <w:tabs>
          <w:tab w:val="num" w:pos="0"/>
        </w:tabs>
      </w:pPr>
      <w:rPr>
        <w:rFonts w:ascii="Times New Roman" w:hAnsi="Times New Roman" w:cs="Times New Roman"/>
      </w:rPr>
    </w:lvl>
    <w:lvl w:ilvl="2">
      <w:start w:val="1"/>
      <w:numFmt w:val="none"/>
      <w:suff w:val="nothing"/>
      <w:lvlText w:val=""/>
      <w:lvlJc w:val="left"/>
      <w:pPr>
        <w:tabs>
          <w:tab w:val="num" w:pos="0"/>
        </w:tabs>
      </w:pPr>
      <w:rPr>
        <w:rFonts w:ascii="Times New Roman" w:hAnsi="Times New Roman" w:cs="Times New Roman"/>
      </w:rPr>
    </w:lvl>
    <w:lvl w:ilvl="3">
      <w:start w:val="1"/>
      <w:numFmt w:val="none"/>
      <w:suff w:val="nothing"/>
      <w:lvlText w:val=""/>
      <w:lvlJc w:val="left"/>
      <w:pPr>
        <w:tabs>
          <w:tab w:val="num" w:pos="0"/>
        </w:tabs>
      </w:pPr>
      <w:rPr>
        <w:rFonts w:ascii="Times New Roman" w:hAnsi="Times New Roman" w:cs="Times New Roman"/>
      </w:rPr>
    </w:lvl>
    <w:lvl w:ilvl="4">
      <w:start w:val="1"/>
      <w:numFmt w:val="none"/>
      <w:suff w:val="nothing"/>
      <w:lvlText w:val=""/>
      <w:lvlJc w:val="left"/>
      <w:pPr>
        <w:tabs>
          <w:tab w:val="num" w:pos="0"/>
        </w:tabs>
      </w:pPr>
      <w:rPr>
        <w:rFonts w:ascii="Times New Roman" w:hAnsi="Times New Roman" w:cs="Times New Roman"/>
      </w:rPr>
    </w:lvl>
    <w:lvl w:ilvl="5">
      <w:start w:val="1"/>
      <w:numFmt w:val="decimal"/>
      <w:lvlText w:val="%6."/>
      <w:lvlJc w:val="left"/>
      <w:pPr>
        <w:tabs>
          <w:tab w:val="num" w:pos="360"/>
        </w:tabs>
        <w:ind w:left="360" w:hanging="360"/>
      </w:pPr>
      <w:rPr>
        <w:rFonts w:ascii="Times New Roman" w:hAnsi="Times New Roman" w:cs="Times New Roman"/>
        <w:color w:val="auto"/>
      </w:rPr>
    </w:lvl>
    <w:lvl w:ilvl="6">
      <w:start w:val="1"/>
      <w:numFmt w:val="upperLetter"/>
      <w:lvlText w:val="%7."/>
      <w:lvlJc w:val="left"/>
      <w:pPr>
        <w:tabs>
          <w:tab w:val="num" w:pos="720"/>
        </w:tabs>
        <w:ind w:left="720" w:hanging="360"/>
      </w:pPr>
      <w:rPr>
        <w:rFonts w:ascii="Times New Roman" w:hAnsi="Times New Roman" w:cs="Times New Roman"/>
      </w:rPr>
    </w:lvl>
    <w:lvl w:ilvl="7">
      <w:start w:val="1"/>
      <w:numFmt w:val="lowerRoman"/>
      <w:lvlText w:val="%8."/>
      <w:lvlJc w:val="left"/>
      <w:pPr>
        <w:tabs>
          <w:tab w:val="num" w:pos="1080"/>
        </w:tabs>
        <w:ind w:left="1080" w:hanging="360"/>
      </w:pPr>
      <w:rPr>
        <w:rFonts w:ascii="Times New Roman" w:hAnsi="Times New Roman" w:cs="Times New Roman"/>
      </w:rPr>
    </w:lvl>
    <w:lvl w:ilvl="8">
      <w:start w:val="1"/>
      <w:numFmt w:val="lowerLetter"/>
      <w:lvlText w:val="%9."/>
      <w:lvlJc w:val="left"/>
      <w:pPr>
        <w:tabs>
          <w:tab w:val="num" w:pos="1440"/>
        </w:tabs>
        <w:ind w:left="1440" w:hanging="360"/>
      </w:pPr>
      <w:rPr>
        <w:rFonts w:ascii="Times New Roman" w:hAnsi="Times New Roman" w:cs="Times New Roman"/>
      </w:rPr>
    </w:lvl>
  </w:abstractNum>
  <w:abstractNum w:abstractNumId="15">
    <w:nsid w:val="5AF64EA8"/>
    <w:multiLevelType w:val="multilevel"/>
    <w:tmpl w:val="2BA8505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pStyle w:val="ListBullet"/>
      <w:lvlText w:val=""/>
      <w:lvlJc w:val="left"/>
      <w:pPr>
        <w:tabs>
          <w:tab w:val="num" w:pos="360"/>
        </w:tabs>
        <w:ind w:left="360" w:hanging="360"/>
      </w:pPr>
      <w:rPr>
        <w:rFonts w:ascii="Wingdings" w:hAnsi="Wingdings" w:cs="Wingdings" w:hint="default"/>
      </w:rPr>
    </w:lvl>
    <w:lvl w:ilvl="5">
      <w:start w:val="1"/>
      <w:numFmt w:val="lowerRoman"/>
      <w:lvlText w:val="–"/>
      <w:lvlJc w:val="left"/>
      <w:pPr>
        <w:tabs>
          <w:tab w:val="num" w:pos="720"/>
        </w:tabs>
        <w:ind w:left="720" w:hanging="360"/>
      </w:pPr>
      <w:rPr>
        <w:rFonts w:ascii="Times NR" w:hAnsi="Times NR" w:cs="Times NR" w:hint="default"/>
      </w:rPr>
    </w:lvl>
    <w:lvl w:ilvl="6">
      <w:start w:val="1"/>
      <w:numFmt w:val="decimal"/>
      <w:lvlText w:val=""/>
      <w:lvlJc w:val="left"/>
      <w:pPr>
        <w:tabs>
          <w:tab w:val="num" w:pos="1080"/>
        </w:tabs>
        <w:ind w:left="1080" w:hanging="360"/>
      </w:pPr>
      <w:rPr>
        <w:rFonts w:ascii="Wingdings" w:hAnsi="Wingdings" w:cs="Wingdings" w:hint="default"/>
      </w:rPr>
    </w:lvl>
    <w:lvl w:ilvl="7">
      <w:start w:val="1"/>
      <w:numFmt w:val="lowerLetter"/>
      <w:pStyle w:val="ListBullet4"/>
      <w:lvlText w:val="-"/>
      <w:lvlJc w:val="left"/>
      <w:pPr>
        <w:tabs>
          <w:tab w:val="num" w:pos="1440"/>
        </w:tabs>
        <w:ind w:left="1440" w:hanging="360"/>
      </w:pPr>
      <w:rPr>
        <w:rFonts w:ascii="Times NR" w:hAnsi="Times NR" w:cs="Times NR"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16">
    <w:nsid w:val="5D3D25E5"/>
    <w:multiLevelType w:val="multilevel"/>
    <w:tmpl w:val="2DFA2F7E"/>
    <w:name w:val="SAppHeadingNumberRep"/>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upperLetter"/>
      <w:lvlText w:val="Appendix: %5."/>
      <w:lvlJc w:val="left"/>
      <w:pPr>
        <w:tabs>
          <w:tab w:val="num" w:pos="0"/>
        </w:tabs>
      </w:pPr>
      <w:rPr>
        <w:rFonts w:ascii="Times New Roman" w:hAnsi="Times New Roman" w:cs="Times New Roman"/>
      </w:rPr>
    </w:lvl>
    <w:lvl w:ilvl="5">
      <w:start w:val="1"/>
      <w:numFmt w:val="decimal"/>
      <w:lvlText w:val="%5.%6."/>
      <w:lvlJc w:val="left"/>
      <w:pPr>
        <w:tabs>
          <w:tab w:val="num" w:pos="840"/>
        </w:tabs>
        <w:ind w:left="840" w:hanging="840"/>
      </w:pPr>
      <w:rPr>
        <w:rFonts w:ascii="Times New Roman" w:hAnsi="Times New Roman" w:cs="Times New Roman"/>
      </w:rPr>
    </w:lvl>
    <w:lvl w:ilvl="6">
      <w:start w:val="1"/>
      <w:numFmt w:val="decimal"/>
      <w:lvlText w:val="%5.%6.%7."/>
      <w:lvlJc w:val="left"/>
      <w:pPr>
        <w:tabs>
          <w:tab w:val="num" w:pos="1080"/>
        </w:tabs>
        <w:ind w:left="1080" w:hanging="1080"/>
      </w:pPr>
      <w:rPr>
        <w:rFonts w:ascii="Times New Roman" w:hAnsi="Times New Roman" w:cs="Times New Roman"/>
      </w:rPr>
    </w:lvl>
    <w:lvl w:ilvl="7">
      <w:start w:val="1"/>
      <w:numFmt w:val="decimal"/>
      <w:lvlText w:val="%5.%6.%7.%8."/>
      <w:lvlJc w:val="left"/>
      <w:pPr>
        <w:tabs>
          <w:tab w:val="num" w:pos="1080"/>
        </w:tabs>
        <w:ind w:left="1080" w:hanging="1080"/>
      </w:pPr>
      <w:rPr>
        <w:rFonts w:ascii="Times New Roman" w:hAnsi="Times New Roman" w:cs="Times New Roman"/>
      </w:rPr>
    </w:lvl>
    <w:lvl w:ilvl="8">
      <w:start w:val="1"/>
      <w:numFmt w:val="decimal"/>
      <w:lvlText w:val="%5.%6.%7.%8.%9"/>
      <w:lvlJc w:val="left"/>
      <w:pPr>
        <w:tabs>
          <w:tab w:val="num" w:pos="1080"/>
        </w:tabs>
        <w:ind w:left="1080" w:hanging="1080"/>
      </w:pPr>
      <w:rPr>
        <w:rFonts w:ascii="Times New Roman" w:hAnsi="Times New Roman" w:cs="Times New Roman"/>
      </w:rPr>
    </w:lvl>
  </w:abstractNum>
  <w:abstractNum w:abstractNumId="17">
    <w:nsid w:val="5FA21221"/>
    <w:multiLevelType w:val="multilevel"/>
    <w:tmpl w:val="E4926EB4"/>
    <w:name w:val="SectionStart"/>
    <w:lvl w:ilvl="0">
      <w:start w:val="1"/>
      <w:numFmt w:val="decimal"/>
      <w:lvlRestart w:val="0"/>
      <w:lvlText w:val="%1"/>
      <w:lvlJc w:val="left"/>
      <w:pPr>
        <w:tabs>
          <w:tab w:val="num" w:pos="360"/>
        </w:tabs>
        <w:ind w:left="360" w:hanging="18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18">
    <w:nsid w:val="5FE77D8A"/>
    <w:multiLevelType w:val="hybridMultilevel"/>
    <w:tmpl w:val="DB68C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D34070"/>
    <w:multiLevelType w:val="hybridMultilevel"/>
    <w:tmpl w:val="4CE678A2"/>
    <w:lvl w:ilvl="0" w:tplc="387E9A4E">
      <w:start w:val="1"/>
      <w:numFmt w:val="bullet"/>
      <w:pStyle w:val="TOC3"/>
      <w:lvlText w:val="─"/>
      <w:lvlJc w:val="left"/>
      <w:pPr>
        <w:tabs>
          <w:tab w:val="num" w:pos="1267"/>
        </w:tabs>
        <w:ind w:left="1267" w:hanging="360"/>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0">
    <w:nsid w:val="62744329"/>
    <w:multiLevelType w:val="multilevel"/>
    <w:tmpl w:val="E8A0D970"/>
    <w:name w:val="HeadingNumberRep"/>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decimal"/>
      <w:lvlText w:val="%5."/>
      <w:lvlJc w:val="left"/>
      <w:pPr>
        <w:tabs>
          <w:tab w:val="num" w:pos="0"/>
        </w:tabs>
      </w:pPr>
      <w:rPr>
        <w:rFonts w:ascii="Times New Roman" w:hAnsi="Times New Roman" w:cs="Times New Roman"/>
        <w:b w:val="0"/>
        <w:i w:val="0"/>
        <w:caps w:val="0"/>
        <w:smallCaps w:val="0"/>
        <w:vanish/>
        <w:u w:val="none"/>
      </w:rPr>
    </w:lvl>
    <w:lvl w:ilvl="5">
      <w:start w:val="1"/>
      <w:numFmt w:val="decimal"/>
      <w:lvlText w:val="%5.%6."/>
      <w:lvlJc w:val="left"/>
      <w:pPr>
        <w:tabs>
          <w:tab w:val="num" w:pos="840"/>
        </w:tabs>
        <w:ind w:left="840" w:hanging="840"/>
      </w:pPr>
      <w:rPr>
        <w:rFonts w:ascii="Times New Roman" w:hAnsi="Times New Roman" w:cs="Times New Roman"/>
      </w:rPr>
    </w:lvl>
    <w:lvl w:ilvl="6">
      <w:start w:val="1"/>
      <w:numFmt w:val="decimal"/>
      <w:lvlText w:val="%5.%6.%7."/>
      <w:lvlJc w:val="left"/>
      <w:pPr>
        <w:tabs>
          <w:tab w:val="num" w:pos="1080"/>
        </w:tabs>
        <w:ind w:left="1080" w:hanging="1080"/>
      </w:pPr>
      <w:rPr>
        <w:rFonts w:ascii="Times New Roman" w:hAnsi="Times New Roman" w:cs="Times New Roman"/>
      </w:rPr>
    </w:lvl>
    <w:lvl w:ilvl="7">
      <w:start w:val="1"/>
      <w:numFmt w:val="decimal"/>
      <w:lvlText w:val="%5.%6.%7.%8."/>
      <w:lvlJc w:val="left"/>
      <w:pPr>
        <w:tabs>
          <w:tab w:val="num" w:pos="1080"/>
        </w:tabs>
        <w:ind w:left="1080" w:hanging="1080"/>
      </w:pPr>
      <w:rPr>
        <w:rFonts w:ascii="Times New Roman" w:hAnsi="Times New Roman" w:cs="Times New Roman"/>
      </w:rPr>
    </w:lvl>
    <w:lvl w:ilvl="8">
      <w:start w:val="1"/>
      <w:numFmt w:val="decimal"/>
      <w:lvlText w:val="%5.%6.%7.%8.%9"/>
      <w:lvlJc w:val="left"/>
      <w:pPr>
        <w:tabs>
          <w:tab w:val="num" w:pos="1080"/>
        </w:tabs>
        <w:ind w:left="1080" w:hanging="1080"/>
      </w:pPr>
      <w:rPr>
        <w:rFonts w:ascii="Times New Roman" w:hAnsi="Times New Roman" w:cs="Times New Roman"/>
      </w:rPr>
    </w:lvl>
  </w:abstractNum>
  <w:abstractNum w:abstractNumId="21">
    <w:nsid w:val="65DB53B4"/>
    <w:multiLevelType w:val="multilevel"/>
    <w:tmpl w:val="D9E0F1F2"/>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
      <w:lvlJc w:val="left"/>
      <w:pPr>
        <w:tabs>
          <w:tab w:val="num" w:pos="360"/>
        </w:tabs>
        <w:ind w:left="360" w:hanging="360"/>
      </w:pPr>
      <w:rPr>
        <w:rFonts w:ascii="Wingdings" w:hAnsi="Wingdings" w:cs="Wingdings" w:hint="default"/>
      </w:rPr>
    </w:lvl>
    <w:lvl w:ilvl="5">
      <w:start w:val="1"/>
      <w:numFmt w:val="lowerRoman"/>
      <w:lvlText w:val="–"/>
      <w:lvlJc w:val="left"/>
      <w:pPr>
        <w:tabs>
          <w:tab w:val="num" w:pos="720"/>
        </w:tabs>
        <w:ind w:left="720" w:hanging="360"/>
      </w:pPr>
      <w:rPr>
        <w:rFonts w:ascii="Times NR" w:hAnsi="Times NR" w:cs="Times NR"/>
      </w:rPr>
    </w:lvl>
    <w:lvl w:ilvl="6">
      <w:start w:val="1"/>
      <w:numFmt w:val="decimal"/>
      <w:lvlText w:val=""/>
      <w:lvlJc w:val="left"/>
      <w:pPr>
        <w:tabs>
          <w:tab w:val="num" w:pos="1080"/>
        </w:tabs>
        <w:ind w:left="1080" w:hanging="360"/>
      </w:pPr>
      <w:rPr>
        <w:rFonts w:ascii="Wingdings" w:hAnsi="Wingdings" w:cs="Wingdings" w:hint="default"/>
      </w:rPr>
    </w:lvl>
    <w:lvl w:ilvl="7">
      <w:start w:val="1"/>
      <w:numFmt w:val="lowerLetter"/>
      <w:lvlText w:val="-"/>
      <w:lvlJc w:val="left"/>
      <w:pPr>
        <w:tabs>
          <w:tab w:val="num" w:pos="1440"/>
        </w:tabs>
        <w:ind w:left="1440" w:hanging="360"/>
      </w:pPr>
      <w:rPr>
        <w:rFonts w:ascii="Times NR" w:hAnsi="Times NR" w:cs="Times NR"/>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2">
    <w:nsid w:val="66186296"/>
    <w:multiLevelType w:val="singleLevel"/>
    <w:tmpl w:val="9ADEC414"/>
    <w:lvl w:ilvl="0">
      <w:start w:val="1"/>
      <w:numFmt w:val="decimal"/>
      <w:pStyle w:val="SectionStart"/>
      <w:lvlText w:val="%1"/>
      <w:lvlJc w:val="left"/>
      <w:pPr>
        <w:tabs>
          <w:tab w:val="num" w:pos="0"/>
        </w:tabs>
      </w:pPr>
      <w:rPr>
        <w:rFonts w:ascii="Times New Roman" w:hAnsi="Times New Roman" w:cs="Times New Roman" w:hint="default"/>
      </w:rPr>
    </w:lvl>
  </w:abstractNum>
  <w:abstractNum w:abstractNumId="23">
    <w:nsid w:val="6AF932A6"/>
    <w:multiLevelType w:val="singleLevel"/>
    <w:tmpl w:val="BFAA8006"/>
    <w:lvl w:ilvl="0">
      <w:start w:val="1"/>
      <w:numFmt w:val="upperLetter"/>
      <w:pStyle w:val="AppendixStart"/>
      <w:lvlText w:val="Appendix %1"/>
      <w:lvlJc w:val="left"/>
      <w:pPr>
        <w:tabs>
          <w:tab w:val="num" w:pos="0"/>
        </w:tabs>
      </w:pPr>
      <w:rPr>
        <w:rFonts w:ascii="Times New Roman" w:hAnsi="Times New Roman" w:cs="Times New Roman" w:hint="default"/>
      </w:rPr>
    </w:lvl>
  </w:abstractNum>
  <w:abstractNum w:abstractNumId="24">
    <w:nsid w:val="6D0C248B"/>
    <w:multiLevelType w:val="multilevel"/>
    <w:tmpl w:val="31224370"/>
    <w:lvl w:ilvl="0">
      <w:start w:val="1"/>
      <w:numFmt w:val="upperLetter"/>
      <w:pStyle w:val="TOC9"/>
      <w:lvlText w:val="Appendix %1:"/>
      <w:lvlJc w:val="left"/>
      <w:pPr>
        <w:tabs>
          <w:tab w:val="num" w:pos="360"/>
        </w:tabs>
        <w:ind w:left="360" w:hanging="360"/>
      </w:pPr>
      <w:rPr>
        <w:rFonts w:ascii="Arial" w:hAnsi="Arial" w:cs="Arial" w:hint="default"/>
        <w:b w:val="0"/>
        <w:i w:val="0"/>
        <w:caps w:val="0"/>
        <w:smallCaps w:val="0"/>
        <w:strike w:val="0"/>
        <w:dstrike w:val="0"/>
        <w:vanish w:val="0"/>
        <w:color w:val="000000"/>
        <w:spacing w:val="0"/>
        <w:kern w:val="0"/>
        <w:position w:val="0"/>
        <w:sz w:val="18"/>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5">
    <w:nsid w:val="71FA5B86"/>
    <w:multiLevelType w:val="multilevel"/>
    <w:tmpl w:val="0409001D"/>
    <w:name w:val="HeadingList2"/>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6">
    <w:nsid w:val="751E5FA7"/>
    <w:multiLevelType w:val="multilevel"/>
    <w:tmpl w:val="272873B0"/>
    <w:name w:val="SREP_HEAD1"/>
    <w:lvl w:ilvl="0">
      <w:start w:val="1"/>
      <w:numFmt w:val="decimal"/>
      <w:lvlRestart w:val="0"/>
      <w:lvlText w:val="%1."/>
      <w:lvlJc w:val="left"/>
      <w:pPr>
        <w:tabs>
          <w:tab w:val="num" w:pos="0"/>
        </w:tabs>
        <w:ind w:hanging="600"/>
      </w:pPr>
      <w:rPr>
        <w:rFonts w:ascii="Arial" w:hAnsi="Arial" w:cs="Arial"/>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27">
    <w:nsid w:val="77E56D99"/>
    <w:multiLevelType w:val="multilevel"/>
    <w:tmpl w:val="69F2EC60"/>
    <w:name w:val="AppHeadingNumberRep"/>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upperLetter"/>
      <w:suff w:val="nothing"/>
      <w:lvlText w:val="Appendix: %5."/>
      <w:lvlJc w:val="left"/>
      <w:pPr>
        <w:tabs>
          <w:tab w:val="num" w:pos="0"/>
        </w:tabs>
      </w:pPr>
      <w:rPr>
        <w:rFonts w:ascii="Times New Roman" w:hAnsi="Times New Roman" w:cs="Times New Roman"/>
        <w:b w:val="0"/>
        <w:i w:val="0"/>
        <w:caps w:val="0"/>
        <w:smallCaps w:val="0"/>
        <w:vanish/>
        <w:u w:val="none"/>
      </w:rPr>
    </w:lvl>
    <w:lvl w:ilvl="5">
      <w:start w:val="1"/>
      <w:numFmt w:val="decimal"/>
      <w:lvlText w:val="%5.%6."/>
      <w:lvlJc w:val="left"/>
      <w:pPr>
        <w:tabs>
          <w:tab w:val="num" w:pos="840"/>
        </w:tabs>
        <w:ind w:left="840" w:hanging="840"/>
      </w:pPr>
      <w:rPr>
        <w:rFonts w:ascii="Times New Roman" w:hAnsi="Times New Roman" w:cs="Times New Roman"/>
      </w:rPr>
    </w:lvl>
    <w:lvl w:ilvl="6">
      <w:start w:val="1"/>
      <w:numFmt w:val="decimal"/>
      <w:lvlText w:val="%5.%6.%7."/>
      <w:lvlJc w:val="left"/>
      <w:pPr>
        <w:tabs>
          <w:tab w:val="num" w:pos="1080"/>
        </w:tabs>
        <w:ind w:left="1080" w:hanging="1080"/>
      </w:pPr>
      <w:rPr>
        <w:rFonts w:ascii="Times New Roman" w:hAnsi="Times New Roman" w:cs="Times New Roman"/>
      </w:rPr>
    </w:lvl>
    <w:lvl w:ilvl="7">
      <w:start w:val="1"/>
      <w:numFmt w:val="decimal"/>
      <w:lvlText w:val="%5.%6.%7.%8."/>
      <w:lvlJc w:val="left"/>
      <w:pPr>
        <w:tabs>
          <w:tab w:val="num" w:pos="1080"/>
        </w:tabs>
        <w:ind w:left="1080" w:hanging="1080"/>
      </w:pPr>
      <w:rPr>
        <w:rFonts w:ascii="Times New Roman" w:hAnsi="Times New Roman" w:cs="Times New Roman"/>
      </w:rPr>
    </w:lvl>
    <w:lvl w:ilvl="8">
      <w:start w:val="1"/>
      <w:numFmt w:val="decimal"/>
      <w:lvlText w:val="%5.%6.%7.%8.%9"/>
      <w:lvlJc w:val="left"/>
      <w:pPr>
        <w:tabs>
          <w:tab w:val="num" w:pos="1080"/>
        </w:tabs>
        <w:ind w:left="1080" w:hanging="1080"/>
      </w:pPr>
      <w:rPr>
        <w:rFonts w:ascii="Times New Roman" w:hAnsi="Times New Roman" w:cs="Times New Roman"/>
      </w:rPr>
    </w:lvl>
  </w:abstractNum>
  <w:abstractNum w:abstractNumId="28">
    <w:nsid w:val="7B9A1176"/>
    <w:multiLevelType w:val="hybridMultilevel"/>
    <w:tmpl w:val="3CE2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FB251A"/>
    <w:multiLevelType w:val="singleLevel"/>
    <w:tmpl w:val="730C16F4"/>
    <w:lvl w:ilvl="0">
      <w:start w:val="1"/>
      <w:numFmt w:val="bullet"/>
      <w:lvlText w:val=""/>
      <w:lvlJc w:val="left"/>
      <w:pPr>
        <w:tabs>
          <w:tab w:val="num" w:pos="720"/>
        </w:tabs>
        <w:ind w:left="720" w:hanging="360"/>
      </w:pPr>
      <w:rPr>
        <w:rFonts w:ascii="Symbol" w:hAnsi="Symbol" w:cs="Times New Roman" w:hint="default"/>
        <w:color w:val="auto"/>
      </w:rPr>
    </w:lvl>
  </w:abstractNum>
  <w:num w:numId="1">
    <w:abstractNumId w:val="22"/>
  </w:num>
  <w:num w:numId="2">
    <w:abstractNumId w:val="7"/>
  </w:num>
  <w:num w:numId="3">
    <w:abstractNumId w:val="9"/>
  </w:num>
  <w:num w:numId="4">
    <w:abstractNumId w:val="23"/>
  </w:num>
  <w:num w:numId="5">
    <w:abstractNumId w:val="24"/>
  </w:num>
  <w:num w:numId="6">
    <w:abstractNumId w:val="19"/>
  </w:num>
  <w:num w:numId="7">
    <w:abstractNumId w:val="13"/>
  </w:num>
  <w:num w:numId="8">
    <w:abstractNumId w:val="12"/>
  </w:num>
  <w:num w:numId="9">
    <w:abstractNumId w:val="6"/>
  </w:num>
  <w:num w:numId="10">
    <w:abstractNumId w:val="2"/>
  </w:num>
  <w:num w:numId="11">
    <w:abstractNumId w:val="10"/>
  </w:num>
  <w:num w:numId="12">
    <w:abstractNumId w:val="21"/>
  </w:num>
  <w:num w:numId="13">
    <w:abstractNumId w:val="29"/>
  </w:num>
  <w:num w:numId="14">
    <w:abstractNumId w:val="14"/>
  </w:num>
  <w:num w:numId="15">
    <w:abstractNumId w:val="1"/>
  </w:num>
  <w:num w:numId="16">
    <w:abstractNumId w:val="28"/>
  </w:num>
  <w:num w:numId="17">
    <w:abstractNumId w:val="8"/>
  </w:num>
  <w:num w:numId="18">
    <w:abstractNumId w:val="18"/>
  </w:num>
  <w:num w:numId="19">
    <w:abstractNumId w:val="0"/>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barra, Sebastian">
    <w15:presenceInfo w15:providerId="None" w15:userId="Ibarra, Sebast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360"/>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4A3"/>
    <w:rsid w:val="00010B8A"/>
    <w:rsid w:val="00012264"/>
    <w:rsid w:val="00014F87"/>
    <w:rsid w:val="00016BF1"/>
    <w:rsid w:val="00023C77"/>
    <w:rsid w:val="00037570"/>
    <w:rsid w:val="000673C5"/>
    <w:rsid w:val="00077BF0"/>
    <w:rsid w:val="000A5590"/>
    <w:rsid w:val="000E2E35"/>
    <w:rsid w:val="000F15D2"/>
    <w:rsid w:val="001034A3"/>
    <w:rsid w:val="001072CC"/>
    <w:rsid w:val="00117B89"/>
    <w:rsid w:val="00124F62"/>
    <w:rsid w:val="00136B87"/>
    <w:rsid w:val="00140690"/>
    <w:rsid w:val="001833D7"/>
    <w:rsid w:val="00195342"/>
    <w:rsid w:val="001A03D4"/>
    <w:rsid w:val="001A0617"/>
    <w:rsid w:val="001A1A35"/>
    <w:rsid w:val="001A45AE"/>
    <w:rsid w:val="001B0DFD"/>
    <w:rsid w:val="001C7727"/>
    <w:rsid w:val="001D63D3"/>
    <w:rsid w:val="001D7FDD"/>
    <w:rsid w:val="001F0845"/>
    <w:rsid w:val="002123C2"/>
    <w:rsid w:val="00213F11"/>
    <w:rsid w:val="00230610"/>
    <w:rsid w:val="00235868"/>
    <w:rsid w:val="00247BF9"/>
    <w:rsid w:val="002525DD"/>
    <w:rsid w:val="00256CBA"/>
    <w:rsid w:val="00264B1E"/>
    <w:rsid w:val="00270503"/>
    <w:rsid w:val="002769FA"/>
    <w:rsid w:val="002800ED"/>
    <w:rsid w:val="00281768"/>
    <w:rsid w:val="00294610"/>
    <w:rsid w:val="002A1B80"/>
    <w:rsid w:val="002B5C2A"/>
    <w:rsid w:val="002D5A27"/>
    <w:rsid w:val="002F469B"/>
    <w:rsid w:val="00305F9B"/>
    <w:rsid w:val="00337B71"/>
    <w:rsid w:val="00377664"/>
    <w:rsid w:val="00387640"/>
    <w:rsid w:val="00390674"/>
    <w:rsid w:val="00397B89"/>
    <w:rsid w:val="003A685A"/>
    <w:rsid w:val="003C038E"/>
    <w:rsid w:val="00414F45"/>
    <w:rsid w:val="00425C59"/>
    <w:rsid w:val="00434DD7"/>
    <w:rsid w:val="004432C1"/>
    <w:rsid w:val="00450092"/>
    <w:rsid w:val="00454A1A"/>
    <w:rsid w:val="004668F1"/>
    <w:rsid w:val="0047611A"/>
    <w:rsid w:val="00480D20"/>
    <w:rsid w:val="00483614"/>
    <w:rsid w:val="004A7A78"/>
    <w:rsid w:val="004B06BF"/>
    <w:rsid w:val="004B1270"/>
    <w:rsid w:val="004C15CA"/>
    <w:rsid w:val="004E06DA"/>
    <w:rsid w:val="004E5680"/>
    <w:rsid w:val="004E6526"/>
    <w:rsid w:val="00500B6F"/>
    <w:rsid w:val="00515EF9"/>
    <w:rsid w:val="005257FA"/>
    <w:rsid w:val="0054659F"/>
    <w:rsid w:val="0058625E"/>
    <w:rsid w:val="005915F7"/>
    <w:rsid w:val="00595440"/>
    <w:rsid w:val="0059732D"/>
    <w:rsid w:val="005B1E42"/>
    <w:rsid w:val="005C211C"/>
    <w:rsid w:val="005D6195"/>
    <w:rsid w:val="005E0BCA"/>
    <w:rsid w:val="005F0FFC"/>
    <w:rsid w:val="00626CC0"/>
    <w:rsid w:val="00632159"/>
    <w:rsid w:val="006337EE"/>
    <w:rsid w:val="00640486"/>
    <w:rsid w:val="00655A1B"/>
    <w:rsid w:val="0065726B"/>
    <w:rsid w:val="00660FA5"/>
    <w:rsid w:val="0066684C"/>
    <w:rsid w:val="00681EBC"/>
    <w:rsid w:val="00697FC9"/>
    <w:rsid w:val="006A1F7E"/>
    <w:rsid w:val="006B21D4"/>
    <w:rsid w:val="006C302C"/>
    <w:rsid w:val="006D14DE"/>
    <w:rsid w:val="006D7052"/>
    <w:rsid w:val="006E084B"/>
    <w:rsid w:val="006E0A84"/>
    <w:rsid w:val="006E6F4D"/>
    <w:rsid w:val="006F1ECA"/>
    <w:rsid w:val="006F776A"/>
    <w:rsid w:val="00715D2A"/>
    <w:rsid w:val="00726011"/>
    <w:rsid w:val="0072778B"/>
    <w:rsid w:val="007424FA"/>
    <w:rsid w:val="007647AF"/>
    <w:rsid w:val="00790AA5"/>
    <w:rsid w:val="007B6013"/>
    <w:rsid w:val="007C7C38"/>
    <w:rsid w:val="007F1361"/>
    <w:rsid w:val="007F4F63"/>
    <w:rsid w:val="008307B1"/>
    <w:rsid w:val="0083278B"/>
    <w:rsid w:val="0085683F"/>
    <w:rsid w:val="008602DE"/>
    <w:rsid w:val="00875066"/>
    <w:rsid w:val="00893341"/>
    <w:rsid w:val="008A3D54"/>
    <w:rsid w:val="008A70D6"/>
    <w:rsid w:val="008B3E2F"/>
    <w:rsid w:val="008C057C"/>
    <w:rsid w:val="008C373F"/>
    <w:rsid w:val="008D4057"/>
    <w:rsid w:val="008E17DB"/>
    <w:rsid w:val="008E60CC"/>
    <w:rsid w:val="009043D5"/>
    <w:rsid w:val="00907EA8"/>
    <w:rsid w:val="00913DC1"/>
    <w:rsid w:val="00920804"/>
    <w:rsid w:val="00926393"/>
    <w:rsid w:val="00934BE2"/>
    <w:rsid w:val="00947434"/>
    <w:rsid w:val="009567DC"/>
    <w:rsid w:val="00970C2F"/>
    <w:rsid w:val="00987940"/>
    <w:rsid w:val="00994E28"/>
    <w:rsid w:val="009A35FE"/>
    <w:rsid w:val="009A491B"/>
    <w:rsid w:val="009A7AAA"/>
    <w:rsid w:val="009B1DFE"/>
    <w:rsid w:val="009B5470"/>
    <w:rsid w:val="009C42A0"/>
    <w:rsid w:val="009F17D0"/>
    <w:rsid w:val="009F3CA5"/>
    <w:rsid w:val="00A021EA"/>
    <w:rsid w:val="00A07E6A"/>
    <w:rsid w:val="00A11EA8"/>
    <w:rsid w:val="00A30051"/>
    <w:rsid w:val="00A3498A"/>
    <w:rsid w:val="00A46C9E"/>
    <w:rsid w:val="00A531A4"/>
    <w:rsid w:val="00A5609F"/>
    <w:rsid w:val="00A579AE"/>
    <w:rsid w:val="00A762BD"/>
    <w:rsid w:val="00AA3802"/>
    <w:rsid w:val="00AA522F"/>
    <w:rsid w:val="00AA5798"/>
    <w:rsid w:val="00AB726E"/>
    <w:rsid w:val="00AB76B2"/>
    <w:rsid w:val="00AC120B"/>
    <w:rsid w:val="00AC4C65"/>
    <w:rsid w:val="00AC4CFD"/>
    <w:rsid w:val="00AE29A3"/>
    <w:rsid w:val="00AE5F57"/>
    <w:rsid w:val="00AF530C"/>
    <w:rsid w:val="00B120B2"/>
    <w:rsid w:val="00B17FD2"/>
    <w:rsid w:val="00B44267"/>
    <w:rsid w:val="00B449C8"/>
    <w:rsid w:val="00B44B92"/>
    <w:rsid w:val="00B65C98"/>
    <w:rsid w:val="00B67F53"/>
    <w:rsid w:val="00B870D8"/>
    <w:rsid w:val="00B9437D"/>
    <w:rsid w:val="00BA10A8"/>
    <w:rsid w:val="00BA48BD"/>
    <w:rsid w:val="00BA631A"/>
    <w:rsid w:val="00BB2691"/>
    <w:rsid w:val="00BB2C4A"/>
    <w:rsid w:val="00BC3411"/>
    <w:rsid w:val="00BD1F79"/>
    <w:rsid w:val="00C13584"/>
    <w:rsid w:val="00C13639"/>
    <w:rsid w:val="00C208E4"/>
    <w:rsid w:val="00C30DF8"/>
    <w:rsid w:val="00C310C6"/>
    <w:rsid w:val="00C517DB"/>
    <w:rsid w:val="00C528BC"/>
    <w:rsid w:val="00C5311C"/>
    <w:rsid w:val="00C621D0"/>
    <w:rsid w:val="00C72502"/>
    <w:rsid w:val="00C85FA9"/>
    <w:rsid w:val="00C929D8"/>
    <w:rsid w:val="00CA2B2D"/>
    <w:rsid w:val="00CA6947"/>
    <w:rsid w:val="00CB491D"/>
    <w:rsid w:val="00CC25F0"/>
    <w:rsid w:val="00CC7505"/>
    <w:rsid w:val="00CF0071"/>
    <w:rsid w:val="00CF2F0B"/>
    <w:rsid w:val="00D32410"/>
    <w:rsid w:val="00D41E19"/>
    <w:rsid w:val="00D43CC8"/>
    <w:rsid w:val="00D6104C"/>
    <w:rsid w:val="00D761D8"/>
    <w:rsid w:val="00D92BFE"/>
    <w:rsid w:val="00DA6A4A"/>
    <w:rsid w:val="00DB0988"/>
    <w:rsid w:val="00DE117F"/>
    <w:rsid w:val="00DF360A"/>
    <w:rsid w:val="00E03AB0"/>
    <w:rsid w:val="00E45DB1"/>
    <w:rsid w:val="00E502E1"/>
    <w:rsid w:val="00E54CBC"/>
    <w:rsid w:val="00E71431"/>
    <w:rsid w:val="00E732E3"/>
    <w:rsid w:val="00E86494"/>
    <w:rsid w:val="00E8712D"/>
    <w:rsid w:val="00E90F0E"/>
    <w:rsid w:val="00E91A9A"/>
    <w:rsid w:val="00E94794"/>
    <w:rsid w:val="00EB0571"/>
    <w:rsid w:val="00EC0D0E"/>
    <w:rsid w:val="00ED68F6"/>
    <w:rsid w:val="00EE1B5A"/>
    <w:rsid w:val="00F16180"/>
    <w:rsid w:val="00F33EC1"/>
    <w:rsid w:val="00F415F2"/>
    <w:rsid w:val="00F53E4C"/>
    <w:rsid w:val="00F61996"/>
    <w:rsid w:val="00F777AE"/>
    <w:rsid w:val="00FB37F6"/>
    <w:rsid w:val="00FB5FA0"/>
    <w:rsid w:val="00FC1393"/>
    <w:rsid w:val="00FD2A73"/>
    <w:rsid w:val="00FD52E6"/>
    <w:rsid w:val="00FD6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line="260" w:lineRule="atLeast"/>
    </w:pPr>
    <w:rPr>
      <w:rFonts w:ascii="Arial" w:eastAsia="Malgun Gothic" w:hAnsi="Arial" w:cs="Arial"/>
      <w:sz w:val="22"/>
      <w:szCs w:val="22"/>
    </w:rPr>
  </w:style>
  <w:style w:type="paragraph" w:styleId="Heading1">
    <w:name w:val="heading 1"/>
    <w:basedOn w:val="Normal"/>
    <w:next w:val="Normal"/>
    <w:qFormat/>
    <w:pPr>
      <w:keepNext/>
      <w:numPr>
        <w:numId w:val="9"/>
      </w:numPr>
      <w:spacing w:line="400" w:lineRule="atLeast"/>
      <w:outlineLvl w:val="0"/>
    </w:pPr>
    <w:rPr>
      <w:sz w:val="36"/>
      <w:szCs w:val="36"/>
    </w:rPr>
  </w:style>
  <w:style w:type="paragraph" w:styleId="Heading2">
    <w:name w:val="heading 2"/>
    <w:basedOn w:val="Normal"/>
    <w:next w:val="Normal"/>
    <w:qFormat/>
    <w:pPr>
      <w:keepNext/>
      <w:spacing w:line="320" w:lineRule="atLeast"/>
      <w:outlineLvl w:val="1"/>
    </w:pPr>
    <w:rPr>
      <w:b/>
      <w:bCs/>
      <w:sz w:val="28"/>
      <w:szCs w:val="28"/>
    </w:rPr>
  </w:style>
  <w:style w:type="paragraph" w:styleId="Heading3">
    <w:name w:val="heading 3"/>
    <w:basedOn w:val="Normal"/>
    <w:next w:val="Normal"/>
    <w:qFormat/>
    <w:pPr>
      <w:keepNext/>
      <w:spacing w:line="320" w:lineRule="atLeast"/>
      <w:outlineLvl w:val="2"/>
    </w:pPr>
    <w:rPr>
      <w:b/>
      <w:bCs/>
      <w:i/>
      <w:iCs/>
      <w:sz w:val="28"/>
      <w:szCs w:val="28"/>
    </w:rPr>
  </w:style>
  <w:style w:type="paragraph" w:styleId="Heading4">
    <w:name w:val="heading 4"/>
    <w:basedOn w:val="Normal"/>
    <w:next w:val="Normal"/>
    <w:qFormat/>
    <w:pPr>
      <w:keepNext/>
      <w:numPr>
        <w:ilvl w:val="3"/>
        <w:numId w:val="9"/>
      </w:numPr>
      <w:spacing w:line="320" w:lineRule="atLeast"/>
      <w:outlineLvl w:val="3"/>
    </w:pPr>
    <w:rPr>
      <w:i/>
      <w:iCs/>
      <w:sz w:val="28"/>
      <w:szCs w:val="28"/>
    </w:rPr>
  </w:style>
  <w:style w:type="paragraph" w:styleId="Heading5">
    <w:name w:val="heading 5"/>
    <w:basedOn w:val="Normal"/>
    <w:next w:val="Normal"/>
    <w:qFormat/>
    <w:pPr>
      <w:keepNext/>
      <w:numPr>
        <w:ilvl w:val="4"/>
        <w:numId w:val="9"/>
      </w:numPr>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Arial" w:eastAsia="Malgun Gothic" w:hAnsi="Arial" w:cs="Arial"/>
      <w:sz w:val="36"/>
      <w:szCs w:val="36"/>
      <w:lang w:val="x-none" w:eastAsia="en-US"/>
    </w:rPr>
  </w:style>
  <w:style w:type="character" w:customStyle="1" w:styleId="Heading2Char">
    <w:name w:val="Heading 2 Char"/>
    <w:rPr>
      <w:rFonts w:ascii="Cambria" w:eastAsia="Malgun Gothic" w:hAnsi="Cambria" w:cs="Cambria"/>
      <w:b/>
      <w:bCs/>
      <w:i/>
      <w:iCs/>
      <w:sz w:val="28"/>
      <w:szCs w:val="28"/>
      <w:lang w:val="x-none" w:eastAsia="en-US"/>
    </w:rPr>
  </w:style>
  <w:style w:type="character" w:customStyle="1" w:styleId="Heading3Char">
    <w:name w:val="Heading 3 Char"/>
    <w:rPr>
      <w:rFonts w:ascii="Cambria" w:eastAsia="Malgun Gothic" w:hAnsi="Cambria" w:cs="Cambria"/>
      <w:b/>
      <w:bCs/>
      <w:sz w:val="26"/>
      <w:szCs w:val="26"/>
      <w:lang w:val="x-none" w:eastAsia="en-US"/>
    </w:rPr>
  </w:style>
  <w:style w:type="character" w:customStyle="1" w:styleId="Heading4Char">
    <w:name w:val="Heading 4 Char"/>
    <w:rPr>
      <w:rFonts w:ascii="Arial" w:eastAsia="Malgun Gothic" w:hAnsi="Arial" w:cs="Arial"/>
      <w:i/>
      <w:iCs/>
      <w:sz w:val="28"/>
      <w:szCs w:val="28"/>
      <w:lang w:val="x-none" w:eastAsia="en-US"/>
    </w:rPr>
  </w:style>
  <w:style w:type="character" w:customStyle="1" w:styleId="Heading5Char">
    <w:name w:val="Heading 5 Char"/>
    <w:rPr>
      <w:rFonts w:ascii="Arial" w:eastAsia="Malgun Gothic" w:hAnsi="Arial" w:cs="Arial"/>
      <w:i/>
      <w:iCs/>
      <w:lang w:val="x-none" w:eastAsia="en-US"/>
    </w:rPr>
  </w:style>
  <w:style w:type="paragraph" w:customStyle="1" w:styleId="Base">
    <w:name w:val="Base"/>
    <w:pPr>
      <w:spacing w:line="200" w:lineRule="atLeast"/>
    </w:pPr>
    <w:rPr>
      <w:rFonts w:ascii="Arial" w:eastAsia="Malgun Gothic" w:hAnsi="Arial" w:cs="Arial"/>
      <w:sz w:val="16"/>
      <w:szCs w:val="16"/>
    </w:rPr>
  </w:style>
  <w:style w:type="paragraph" w:customStyle="1" w:styleId="Legalcopy">
    <w:name w:val="Legal copy"/>
    <w:basedOn w:val="Base"/>
    <w:pPr>
      <w:framePr w:hSpace="187" w:vSpace="187" w:wrap="auto" w:hAnchor="text" w:yAlign="bottom"/>
      <w:spacing w:before="40" w:line="140" w:lineRule="atLeast"/>
    </w:pPr>
    <w:rPr>
      <w:sz w:val="12"/>
      <w:szCs w:val="12"/>
    </w:rPr>
  </w:style>
  <w:style w:type="character" w:styleId="PageNumber">
    <w:name w:val="page number"/>
    <w:semiHidden/>
    <w:rPr>
      <w:rFonts w:ascii="Arial" w:hAnsi="Arial" w:cs="Arial"/>
      <w:sz w:val="20"/>
      <w:szCs w:val="20"/>
      <w:u w:val="none"/>
    </w:rPr>
  </w:style>
  <w:style w:type="paragraph" w:customStyle="1" w:styleId="Filestamp">
    <w:name w:val="Filestamp"/>
    <w:basedOn w:val="Base"/>
    <w:pPr>
      <w:spacing w:line="120" w:lineRule="atLeast"/>
    </w:pPr>
    <w:rPr>
      <w:noProof/>
      <w:sz w:val="12"/>
      <w:szCs w:val="12"/>
    </w:rPr>
  </w:style>
  <w:style w:type="paragraph" w:styleId="FootnoteText">
    <w:name w:val="footnote text"/>
    <w:basedOn w:val="Normal"/>
    <w:semiHidden/>
    <w:pPr>
      <w:spacing w:after="120"/>
    </w:pPr>
    <w:rPr>
      <w:sz w:val="18"/>
      <w:szCs w:val="18"/>
    </w:rPr>
  </w:style>
  <w:style w:type="character" w:customStyle="1" w:styleId="FootnoteTextChar">
    <w:name w:val="Footnote Text Char"/>
    <w:rPr>
      <w:rFonts w:ascii="Arial" w:hAnsi="Arial" w:cs="Arial"/>
      <w:sz w:val="20"/>
      <w:szCs w:val="20"/>
      <w:lang w:val="x-none" w:eastAsia="en-US"/>
    </w:rPr>
  </w:style>
  <w:style w:type="paragraph" w:customStyle="1" w:styleId="LetterDate">
    <w:name w:val="Letter Date"/>
    <w:basedOn w:val="Base"/>
    <w:next w:val="Normal"/>
    <w:pPr>
      <w:spacing w:after="680" w:line="360" w:lineRule="atLeast"/>
    </w:pPr>
    <w:rPr>
      <w:caps/>
      <w:sz w:val="28"/>
      <w:szCs w:val="28"/>
    </w:rPr>
  </w:style>
  <w:style w:type="paragraph" w:customStyle="1" w:styleId="TableLogoText">
    <w:name w:val="Table Logo Text"/>
    <w:basedOn w:val="Base"/>
    <w:pPr>
      <w:spacing w:line="240" w:lineRule="auto"/>
    </w:pPr>
    <w:rPr>
      <w:sz w:val="24"/>
      <w:szCs w:val="24"/>
    </w:rPr>
  </w:style>
  <w:style w:type="paragraph" w:customStyle="1" w:styleId="ReportTitle">
    <w:name w:val="Report Title"/>
    <w:basedOn w:val="Base"/>
    <w:next w:val="Normal"/>
    <w:pPr>
      <w:spacing w:before="300" w:line="440" w:lineRule="atLeast"/>
    </w:pPr>
    <w:rPr>
      <w:b/>
      <w:bCs/>
      <w:caps/>
      <w:sz w:val="44"/>
      <w:szCs w:val="44"/>
    </w:rPr>
  </w:style>
  <w:style w:type="paragraph" w:customStyle="1" w:styleId="ClientName">
    <w:name w:val="Client Name"/>
    <w:basedOn w:val="Base"/>
    <w:pPr>
      <w:spacing w:line="440" w:lineRule="atLeast"/>
    </w:pPr>
    <w:rPr>
      <w:caps/>
      <w:sz w:val="44"/>
      <w:szCs w:val="44"/>
    </w:rPr>
  </w:style>
  <w:style w:type="paragraph" w:customStyle="1" w:styleId="ReportCrossRef">
    <w:name w:val="Report Cross Ref"/>
    <w:basedOn w:val="Base"/>
    <w:rPr>
      <w:b/>
      <w:bCs/>
      <w:caps/>
    </w:rPr>
  </w:style>
  <w:style w:type="paragraph" w:customStyle="1" w:styleId="ClientNameCrossRef">
    <w:name w:val="Client Name Cross Ref"/>
    <w:basedOn w:val="Base"/>
    <w:rPr>
      <w:caps/>
    </w:rPr>
  </w:style>
  <w:style w:type="paragraph" w:styleId="TOC1">
    <w:name w:val="toc 1"/>
    <w:basedOn w:val="Normal"/>
    <w:next w:val="Normal"/>
    <w:autoRedefine/>
    <w:semiHidden/>
    <w:pPr>
      <w:numPr>
        <w:numId w:val="2"/>
      </w:numPr>
      <w:tabs>
        <w:tab w:val="left" w:pos="432"/>
        <w:tab w:val="right" w:leader="dot" w:pos="8640"/>
      </w:tabs>
      <w:spacing w:before="300" w:line="300" w:lineRule="exact"/>
    </w:pPr>
    <w:rPr>
      <w:noProof/>
    </w:rPr>
  </w:style>
  <w:style w:type="paragraph" w:styleId="TOC2">
    <w:name w:val="toc 2"/>
    <w:basedOn w:val="Normal"/>
    <w:next w:val="Normal"/>
    <w:autoRedefine/>
    <w:semiHidden/>
    <w:pPr>
      <w:numPr>
        <w:numId w:val="3"/>
      </w:numPr>
      <w:tabs>
        <w:tab w:val="left" w:pos="720"/>
        <w:tab w:val="right" w:leader="dot" w:pos="8640"/>
      </w:tabs>
      <w:spacing w:line="300" w:lineRule="exact"/>
    </w:pPr>
    <w:rPr>
      <w:noProof/>
    </w:rPr>
  </w:style>
  <w:style w:type="paragraph" w:customStyle="1" w:styleId="SectionIntro">
    <w:name w:val="Section Intro"/>
    <w:basedOn w:val="Normal"/>
    <w:pPr>
      <w:spacing w:line="240" w:lineRule="auto"/>
    </w:pPr>
    <w:rPr>
      <w:sz w:val="28"/>
      <w:szCs w:val="28"/>
    </w:rPr>
  </w:style>
  <w:style w:type="paragraph" w:customStyle="1" w:styleId="AppendixStart">
    <w:name w:val="Appendix Start"/>
    <w:basedOn w:val="Normal"/>
    <w:next w:val="AppendixHeading1"/>
    <w:pPr>
      <w:keepNext/>
      <w:pageBreakBefore/>
      <w:numPr>
        <w:numId w:val="4"/>
      </w:numPr>
      <w:pBdr>
        <w:bottom w:val="single" w:sz="12" w:space="0" w:color="auto"/>
      </w:pBdr>
      <w:spacing w:after="360" w:line="240" w:lineRule="auto"/>
    </w:pPr>
    <w:rPr>
      <w:caps/>
      <w:sz w:val="48"/>
      <w:szCs w:val="48"/>
    </w:rPr>
  </w:style>
  <w:style w:type="paragraph" w:styleId="NoteHeading">
    <w:name w:val="Note Heading"/>
    <w:basedOn w:val="Normal"/>
    <w:next w:val="NoteText"/>
    <w:semiHidden/>
    <w:pPr>
      <w:spacing w:before="200" w:line="200" w:lineRule="atLeast"/>
    </w:pPr>
    <w:rPr>
      <w:caps/>
      <w:sz w:val="18"/>
      <w:szCs w:val="18"/>
    </w:rPr>
  </w:style>
  <w:style w:type="character" w:customStyle="1" w:styleId="NoteHeadingChar">
    <w:name w:val="Note Heading Char"/>
    <w:rPr>
      <w:rFonts w:ascii="Arial" w:hAnsi="Arial" w:cs="Arial"/>
      <w:lang w:val="x-none" w:eastAsia="en-US"/>
    </w:rPr>
  </w:style>
  <w:style w:type="paragraph" w:customStyle="1" w:styleId="NoteText">
    <w:name w:val="Note Text"/>
    <w:basedOn w:val="Normal"/>
    <w:pPr>
      <w:spacing w:line="200" w:lineRule="atLeast"/>
    </w:pPr>
    <w:rPr>
      <w:sz w:val="18"/>
      <w:szCs w:val="18"/>
    </w:rPr>
  </w:style>
  <w:style w:type="character" w:styleId="FootnoteReference">
    <w:name w:val="footnote reference"/>
    <w:semiHidden/>
    <w:rPr>
      <w:rFonts w:ascii="Times New Roman" w:hAnsi="Times New Roman" w:cs="Times New Roman"/>
      <w:vertAlign w:val="superscript"/>
    </w:rPr>
  </w:style>
  <w:style w:type="paragraph" w:customStyle="1" w:styleId="SectionStart">
    <w:name w:val="Section Start"/>
    <w:basedOn w:val="Normal"/>
    <w:next w:val="Heading1"/>
    <w:pPr>
      <w:keepNext/>
      <w:pageBreakBefore/>
      <w:numPr>
        <w:numId w:val="1"/>
      </w:numPr>
      <w:pBdr>
        <w:bottom w:val="single" w:sz="12" w:space="1" w:color="auto"/>
      </w:pBdr>
      <w:spacing w:after="380" w:line="240" w:lineRule="auto"/>
    </w:pPr>
    <w:rPr>
      <w:sz w:val="72"/>
      <w:szCs w:val="72"/>
    </w:rPr>
  </w:style>
  <w:style w:type="paragraph" w:customStyle="1" w:styleId="AddressBlock">
    <w:name w:val="Address Block"/>
    <w:basedOn w:val="Base"/>
    <w:pPr>
      <w:spacing w:line="180" w:lineRule="atLeast"/>
    </w:pPr>
  </w:style>
  <w:style w:type="paragraph" w:styleId="TOCHeading">
    <w:name w:val="TOC Heading"/>
    <w:basedOn w:val="Base"/>
    <w:qFormat/>
    <w:pPr>
      <w:spacing w:line="360" w:lineRule="atLeast"/>
    </w:pPr>
    <w:rPr>
      <w:caps/>
      <w:sz w:val="36"/>
      <w:szCs w:val="36"/>
    </w:rPr>
  </w:style>
  <w:style w:type="paragraph" w:styleId="TOC3">
    <w:name w:val="toc 3"/>
    <w:basedOn w:val="Normal"/>
    <w:next w:val="Normal"/>
    <w:autoRedefine/>
    <w:semiHidden/>
    <w:pPr>
      <w:numPr>
        <w:numId w:val="6"/>
      </w:numPr>
      <w:tabs>
        <w:tab w:val="left" w:pos="864"/>
        <w:tab w:val="left" w:pos="1170"/>
        <w:tab w:val="right" w:leader="dot" w:pos="8640"/>
      </w:tabs>
      <w:spacing w:line="300" w:lineRule="exact"/>
    </w:pPr>
  </w:style>
  <w:style w:type="paragraph" w:styleId="Header">
    <w:name w:val="header"/>
    <w:basedOn w:val="Normal"/>
    <w:semiHidden/>
    <w:pPr>
      <w:tabs>
        <w:tab w:val="center" w:pos="4320"/>
        <w:tab w:val="right" w:pos="8640"/>
      </w:tabs>
    </w:pPr>
  </w:style>
  <w:style w:type="character" w:customStyle="1" w:styleId="HeaderChar">
    <w:name w:val="Header Char"/>
    <w:rPr>
      <w:rFonts w:ascii="Arial" w:hAnsi="Arial" w:cs="Arial"/>
      <w:lang w:val="x-none" w:eastAsia="en-US"/>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rFonts w:ascii="Arial" w:hAnsi="Arial" w:cs="Arial"/>
      <w:lang w:val="x-none" w:eastAsia="en-US"/>
    </w:rPr>
  </w:style>
  <w:style w:type="paragraph" w:customStyle="1" w:styleId="AppendixHeading1">
    <w:name w:val="Appendix Heading 1"/>
    <w:basedOn w:val="Normal"/>
    <w:next w:val="Normal"/>
    <w:pPr>
      <w:keepNext/>
      <w:spacing w:line="400" w:lineRule="atLeast"/>
      <w:outlineLvl w:val="0"/>
    </w:pPr>
    <w:rPr>
      <w:sz w:val="36"/>
      <w:szCs w:val="36"/>
    </w:rPr>
  </w:style>
  <w:style w:type="paragraph" w:styleId="TOC9">
    <w:name w:val="toc 9"/>
    <w:basedOn w:val="Normal"/>
    <w:next w:val="Normal"/>
    <w:autoRedefine/>
    <w:semiHidden/>
    <w:pPr>
      <w:numPr>
        <w:numId w:val="5"/>
      </w:numPr>
      <w:tabs>
        <w:tab w:val="left" w:pos="1361"/>
        <w:tab w:val="right" w:leader="dot" w:pos="8641"/>
      </w:tabs>
      <w:spacing w:before="240"/>
    </w:pPr>
    <w:rPr>
      <w:noProof/>
    </w:rPr>
  </w:style>
  <w:style w:type="paragraph" w:styleId="TOC4">
    <w:name w:val="toc 4"/>
    <w:basedOn w:val="Normal"/>
    <w:next w:val="Normal"/>
    <w:autoRedefine/>
    <w:semiHidden/>
    <w:pPr>
      <w:numPr>
        <w:numId w:val="7"/>
      </w:numPr>
      <w:tabs>
        <w:tab w:val="right" w:leader="dot" w:pos="8640"/>
      </w:tabs>
      <w:spacing w:line="300" w:lineRule="exact"/>
    </w:pPr>
  </w:style>
  <w:style w:type="paragraph" w:customStyle="1" w:styleId="AppendixHeading2">
    <w:name w:val="Appendix Heading 2"/>
    <w:basedOn w:val="Normal"/>
    <w:next w:val="Normal"/>
    <w:pPr>
      <w:keepNext/>
      <w:numPr>
        <w:ilvl w:val="1"/>
        <w:numId w:val="9"/>
      </w:numPr>
      <w:spacing w:line="320" w:lineRule="atLeast"/>
      <w:outlineLvl w:val="1"/>
    </w:pPr>
    <w:rPr>
      <w:b/>
      <w:bCs/>
      <w:sz w:val="28"/>
      <w:szCs w:val="28"/>
    </w:rPr>
  </w:style>
  <w:style w:type="paragraph" w:customStyle="1" w:styleId="AppendixHeading3">
    <w:name w:val="Appendix Heading 3"/>
    <w:basedOn w:val="Normal"/>
    <w:next w:val="Normal"/>
    <w:pPr>
      <w:keepNext/>
      <w:numPr>
        <w:ilvl w:val="2"/>
        <w:numId w:val="9"/>
      </w:numPr>
      <w:spacing w:line="320" w:lineRule="atLeast"/>
      <w:outlineLvl w:val="2"/>
    </w:pPr>
    <w:rPr>
      <w:b/>
      <w:bCs/>
      <w:i/>
      <w:iCs/>
      <w:sz w:val="28"/>
      <w:szCs w:val="28"/>
    </w:rPr>
  </w:style>
  <w:style w:type="paragraph" w:customStyle="1" w:styleId="Logo">
    <w:name w:val="Logo"/>
    <w:basedOn w:val="Normal"/>
    <w:pPr>
      <w:spacing w:line="560" w:lineRule="exact"/>
      <w:jc w:val="center"/>
    </w:pPr>
    <w:rPr>
      <w:sz w:val="16"/>
      <w:szCs w:val="16"/>
    </w:rPr>
  </w:style>
  <w:style w:type="paragraph" w:customStyle="1" w:styleId="CompanyName">
    <w:name w:val="Company Name"/>
    <w:basedOn w:val="ClientNameCrossRef"/>
    <w:rPr>
      <w:caps w:val="0"/>
    </w:rPr>
  </w:style>
  <w:style w:type="paragraph" w:customStyle="1" w:styleId="BaseBold">
    <w:name w:val="Base Bold"/>
    <w:next w:val="Base"/>
    <w:pPr>
      <w:spacing w:line="200" w:lineRule="atLeast"/>
    </w:pPr>
    <w:rPr>
      <w:rFonts w:ascii="Arial" w:eastAsia="Malgun Gothic" w:hAnsi="Arial" w:cs="Arial"/>
      <w:b/>
      <w:bCs/>
      <w:sz w:val="16"/>
      <w:szCs w:val="16"/>
    </w:rPr>
  </w:style>
  <w:style w:type="character" w:customStyle="1" w:styleId="LogoChar">
    <w:name w:val="Logo Char"/>
    <w:rPr>
      <w:rFonts w:ascii="Arial" w:hAnsi="Arial" w:cs="Arial"/>
      <w:sz w:val="16"/>
      <w:szCs w:val="16"/>
    </w:rPr>
  </w:style>
  <w:style w:type="character" w:customStyle="1" w:styleId="BaseBoldChar">
    <w:name w:val="Base Bold Char"/>
    <w:rPr>
      <w:rFonts w:ascii="Arial" w:hAnsi="Arial" w:cs="Arial"/>
      <w:b/>
      <w:bCs/>
      <w:sz w:val="16"/>
      <w:szCs w:val="16"/>
      <w:lang w:val="en-US" w:eastAsia="en-US"/>
    </w:rPr>
  </w:style>
  <w:style w:type="paragraph" w:customStyle="1" w:styleId="LogoHide">
    <w:name w:val="Logo Hide"/>
    <w:basedOn w:val="Base"/>
    <w:next w:val="Base"/>
    <w:pPr>
      <w:spacing w:line="20" w:lineRule="exact"/>
      <w:jc w:val="right"/>
    </w:pPr>
    <w:rPr>
      <w:noProof/>
      <w:sz w:val="2"/>
      <w:szCs w:val="2"/>
    </w:rPr>
  </w:style>
  <w:style w:type="character" w:customStyle="1" w:styleId="LogoHideChar">
    <w:name w:val="Logo Hide Char"/>
    <w:rPr>
      <w:rFonts w:ascii="Arial" w:hAnsi="Arial" w:cs="Arial"/>
      <w:noProof/>
      <w:sz w:val="16"/>
      <w:szCs w:val="16"/>
    </w:rPr>
  </w:style>
  <w:style w:type="paragraph" w:customStyle="1" w:styleId="LogoHide2">
    <w:name w:val="Logo Hide 2"/>
    <w:basedOn w:val="Base"/>
    <w:next w:val="Base"/>
    <w:pPr>
      <w:jc w:val="right"/>
    </w:pPr>
    <w:rPr>
      <w:noProof/>
    </w:rPr>
  </w:style>
  <w:style w:type="character" w:customStyle="1" w:styleId="LogoHide2Char">
    <w:name w:val="Logo Hide 2 Char"/>
    <w:rPr>
      <w:rFonts w:ascii="Arial" w:hAnsi="Arial" w:cs="Arial"/>
      <w:noProof/>
      <w:sz w:val="16"/>
      <w:szCs w:val="16"/>
    </w:rPr>
  </w:style>
  <w:style w:type="character" w:customStyle="1" w:styleId="TextHide">
    <w:name w:val="Text Hide"/>
    <w:rPr>
      <w:rFonts w:ascii="Times New Roman" w:hAnsi="Times New Roman" w:cs="Times New Roman"/>
    </w:rPr>
  </w:style>
  <w:style w:type="paragraph" w:styleId="ListBullet">
    <w:name w:val="List Bullet"/>
    <w:basedOn w:val="Normal"/>
    <w:autoRedefine/>
    <w:semiHidden/>
    <w:rsid w:val="009B5470"/>
    <w:pPr>
      <w:numPr>
        <w:ilvl w:val="4"/>
        <w:numId w:val="20"/>
      </w:numPr>
      <w:spacing w:line="270" w:lineRule="atLeast"/>
      <w:jc w:val="both"/>
      <w:outlineLvl w:val="4"/>
    </w:pPr>
  </w:style>
  <w:style w:type="paragraph" w:styleId="ListBullet2">
    <w:name w:val="List Bullet 2"/>
    <w:basedOn w:val="Normal"/>
    <w:autoRedefine/>
    <w:semiHidden/>
    <w:pPr>
      <w:numPr>
        <w:ilvl w:val="5"/>
        <w:numId w:val="8"/>
      </w:numPr>
      <w:outlineLvl w:val="5"/>
    </w:pPr>
  </w:style>
  <w:style w:type="paragraph" w:styleId="ListBullet3">
    <w:name w:val="List Bullet 3"/>
    <w:basedOn w:val="Normal"/>
    <w:autoRedefine/>
    <w:semiHidden/>
    <w:pPr>
      <w:numPr>
        <w:ilvl w:val="6"/>
        <w:numId w:val="8"/>
      </w:numPr>
      <w:outlineLvl w:val="6"/>
    </w:pPr>
  </w:style>
  <w:style w:type="paragraph" w:styleId="ListBullet4">
    <w:name w:val="List Bullet 4"/>
    <w:basedOn w:val="Normal"/>
    <w:autoRedefine/>
    <w:semiHidden/>
    <w:pPr>
      <w:numPr>
        <w:ilvl w:val="7"/>
        <w:numId w:val="20"/>
      </w:numPr>
      <w:spacing w:line="270" w:lineRule="atLeast"/>
      <w:outlineLvl w:val="7"/>
    </w:pPr>
  </w:style>
  <w:style w:type="paragraph" w:customStyle="1" w:styleId="TableBullet1">
    <w:name w:val="Table Bullet 1"/>
    <w:basedOn w:val="Normal"/>
    <w:pPr>
      <w:numPr>
        <w:ilvl w:val="4"/>
        <w:numId w:val="10"/>
      </w:numPr>
      <w:spacing w:before="40" w:after="40" w:line="240" w:lineRule="auto"/>
      <w:outlineLvl w:val="4"/>
    </w:pPr>
    <w:rPr>
      <w:sz w:val="16"/>
      <w:szCs w:val="16"/>
    </w:rPr>
  </w:style>
  <w:style w:type="character" w:customStyle="1" w:styleId="TableBullet1Char">
    <w:name w:val="Table Bullet 1 Char"/>
    <w:basedOn w:val="LogoChar"/>
    <w:rPr>
      <w:rFonts w:ascii="Arial" w:hAnsi="Arial" w:cs="Arial"/>
      <w:sz w:val="16"/>
      <w:szCs w:val="16"/>
    </w:rPr>
  </w:style>
  <w:style w:type="paragraph" w:customStyle="1" w:styleId="TableBullet2">
    <w:name w:val="Table Bullet 2"/>
    <w:basedOn w:val="Normal"/>
    <w:pPr>
      <w:numPr>
        <w:ilvl w:val="5"/>
        <w:numId w:val="10"/>
      </w:numPr>
      <w:spacing w:before="40" w:after="40" w:line="240" w:lineRule="auto"/>
      <w:outlineLvl w:val="5"/>
    </w:pPr>
    <w:rPr>
      <w:sz w:val="16"/>
      <w:szCs w:val="16"/>
    </w:rPr>
  </w:style>
  <w:style w:type="character" w:customStyle="1" w:styleId="TableBullet2Char">
    <w:name w:val="Table Bullet 2 Char"/>
    <w:basedOn w:val="LogoChar"/>
    <w:rPr>
      <w:rFonts w:ascii="Arial" w:hAnsi="Arial" w:cs="Arial"/>
      <w:sz w:val="16"/>
      <w:szCs w:val="16"/>
    </w:rPr>
  </w:style>
  <w:style w:type="paragraph" w:customStyle="1" w:styleId="TableBullet3">
    <w:name w:val="Table Bullet 3"/>
    <w:basedOn w:val="Normal"/>
    <w:pPr>
      <w:numPr>
        <w:ilvl w:val="6"/>
        <w:numId w:val="10"/>
      </w:numPr>
      <w:spacing w:before="40" w:after="40" w:line="240" w:lineRule="auto"/>
      <w:outlineLvl w:val="6"/>
    </w:pPr>
    <w:rPr>
      <w:sz w:val="16"/>
      <w:szCs w:val="16"/>
    </w:rPr>
  </w:style>
  <w:style w:type="character" w:customStyle="1" w:styleId="TableBullet3Char">
    <w:name w:val="Table Bullet 3 Char"/>
    <w:basedOn w:val="LogoChar"/>
    <w:rPr>
      <w:rFonts w:ascii="Arial" w:hAnsi="Arial" w:cs="Arial"/>
      <w:sz w:val="16"/>
      <w:szCs w:val="16"/>
    </w:rPr>
  </w:style>
  <w:style w:type="paragraph" w:customStyle="1" w:styleId="TableBullet4">
    <w:name w:val="Table Bullet 4"/>
    <w:basedOn w:val="Normal"/>
    <w:pPr>
      <w:numPr>
        <w:ilvl w:val="7"/>
        <w:numId w:val="10"/>
      </w:numPr>
      <w:spacing w:before="40" w:after="40" w:line="240" w:lineRule="auto"/>
      <w:outlineLvl w:val="7"/>
    </w:pPr>
    <w:rPr>
      <w:sz w:val="16"/>
      <w:szCs w:val="16"/>
    </w:rPr>
  </w:style>
  <w:style w:type="character" w:customStyle="1" w:styleId="TableBullet4Char">
    <w:name w:val="Table Bullet 4 Char"/>
    <w:basedOn w:val="LogoChar"/>
    <w:rPr>
      <w:rFonts w:ascii="Arial" w:hAnsi="Arial" w:cs="Arial"/>
      <w:sz w:val="16"/>
      <w:szCs w:val="16"/>
    </w:rPr>
  </w:style>
  <w:style w:type="paragraph" w:styleId="ListNumber">
    <w:name w:val="List Number"/>
    <w:basedOn w:val="Normal"/>
    <w:semiHidden/>
    <w:pPr>
      <w:numPr>
        <w:ilvl w:val="5"/>
        <w:numId w:val="11"/>
      </w:numPr>
      <w:outlineLvl w:val="5"/>
    </w:pPr>
  </w:style>
  <w:style w:type="paragraph" w:styleId="ListNumber2">
    <w:name w:val="List Number 2"/>
    <w:basedOn w:val="Normal"/>
    <w:semiHidden/>
    <w:pPr>
      <w:numPr>
        <w:ilvl w:val="6"/>
        <w:numId w:val="11"/>
      </w:numPr>
      <w:outlineLvl w:val="6"/>
    </w:pPr>
  </w:style>
  <w:style w:type="paragraph" w:styleId="ListNumber3">
    <w:name w:val="List Number 3"/>
    <w:basedOn w:val="Normal"/>
    <w:semiHidden/>
    <w:pPr>
      <w:numPr>
        <w:ilvl w:val="7"/>
        <w:numId w:val="11"/>
      </w:numPr>
      <w:outlineLvl w:val="7"/>
    </w:pPr>
  </w:style>
  <w:style w:type="paragraph" w:styleId="ListNumber4">
    <w:name w:val="List Number 4"/>
    <w:basedOn w:val="Normal"/>
    <w:semiHidden/>
    <w:pPr>
      <w:numPr>
        <w:ilvl w:val="8"/>
        <w:numId w:val="11"/>
      </w:numPr>
      <w:outlineLvl w:val="8"/>
    </w:pPr>
  </w:style>
  <w:style w:type="paragraph" w:customStyle="1" w:styleId="NormalIndent1">
    <w:name w:val="Normal Indent 1"/>
    <w:basedOn w:val="Normal"/>
    <w:pPr>
      <w:ind w:left="360"/>
    </w:pPr>
  </w:style>
  <w:style w:type="character" w:customStyle="1" w:styleId="NormalIndent1Char">
    <w:name w:val="Normal Indent 1 Char"/>
    <w:basedOn w:val="LogoChar"/>
    <w:rPr>
      <w:rFonts w:ascii="Arial" w:hAnsi="Arial" w:cs="Arial"/>
      <w:sz w:val="16"/>
      <w:szCs w:val="16"/>
    </w:rPr>
  </w:style>
  <w:style w:type="paragraph" w:customStyle="1" w:styleId="NormalIndent2">
    <w:name w:val="Normal Indent 2"/>
    <w:basedOn w:val="Normal"/>
    <w:pPr>
      <w:ind w:left="720"/>
    </w:pPr>
  </w:style>
  <w:style w:type="character" w:customStyle="1" w:styleId="NormalIndent2Char">
    <w:name w:val="Normal Indent 2 Char"/>
    <w:basedOn w:val="LogoChar"/>
    <w:rPr>
      <w:rFonts w:ascii="Arial" w:hAnsi="Arial" w:cs="Arial"/>
      <w:sz w:val="16"/>
      <w:szCs w:val="16"/>
    </w:rPr>
  </w:style>
  <w:style w:type="paragraph" w:customStyle="1" w:styleId="NormalIndent3">
    <w:name w:val="Normal Indent 3"/>
    <w:basedOn w:val="Normal"/>
    <w:pPr>
      <w:ind w:left="1080"/>
    </w:pPr>
  </w:style>
  <w:style w:type="character" w:customStyle="1" w:styleId="NormalIndent3Char">
    <w:name w:val="Normal Indent 3 Char"/>
    <w:basedOn w:val="LogoChar"/>
    <w:rPr>
      <w:rFonts w:ascii="Arial" w:hAnsi="Arial" w:cs="Arial"/>
      <w:sz w:val="16"/>
      <w:szCs w:val="16"/>
    </w:rPr>
  </w:style>
  <w:style w:type="paragraph" w:customStyle="1" w:styleId="NormalIndent4">
    <w:name w:val="Normal Indent 4"/>
    <w:basedOn w:val="Normal"/>
    <w:pPr>
      <w:ind w:left="1440"/>
    </w:pPr>
  </w:style>
  <w:style w:type="character" w:customStyle="1" w:styleId="NormalIndent4Char">
    <w:name w:val="Normal Indent 4 Char"/>
    <w:basedOn w:val="LogoChar"/>
    <w:rPr>
      <w:rFonts w:ascii="Arial" w:hAnsi="Arial" w:cs="Arial"/>
      <w:sz w:val="16"/>
      <w:szCs w:val="16"/>
    </w:rPr>
  </w:style>
  <w:style w:type="paragraph" w:customStyle="1" w:styleId="TableHeadingText">
    <w:name w:val="Table Heading Text"/>
    <w:basedOn w:val="Normal"/>
    <w:pPr>
      <w:keepNext/>
      <w:spacing w:before="40" w:after="40" w:line="240" w:lineRule="auto"/>
    </w:pPr>
    <w:rPr>
      <w:b/>
      <w:bCs/>
      <w:sz w:val="18"/>
      <w:szCs w:val="18"/>
    </w:rPr>
  </w:style>
  <w:style w:type="character" w:customStyle="1" w:styleId="TableHeadingTextChar">
    <w:name w:val="Table Heading Text Char"/>
    <w:rPr>
      <w:rFonts w:ascii="Arial" w:hAnsi="Arial" w:cs="Arial"/>
      <w:b/>
      <w:bCs/>
      <w:sz w:val="16"/>
      <w:szCs w:val="16"/>
    </w:rPr>
  </w:style>
  <w:style w:type="paragraph" w:customStyle="1" w:styleId="TableText">
    <w:name w:val="Table Text"/>
    <w:basedOn w:val="Normal"/>
    <w:pPr>
      <w:spacing w:before="40" w:after="40" w:line="240" w:lineRule="auto"/>
    </w:pPr>
    <w:rPr>
      <w:sz w:val="16"/>
      <w:szCs w:val="16"/>
    </w:rPr>
  </w:style>
  <w:style w:type="character" w:customStyle="1" w:styleId="TableTextChar">
    <w:name w:val="Table Text Char"/>
    <w:basedOn w:val="LogoChar"/>
    <w:rPr>
      <w:rFonts w:ascii="Arial" w:hAnsi="Arial" w:cs="Arial"/>
      <w:sz w:val="16"/>
      <w:szCs w:val="16"/>
    </w:rPr>
  </w:style>
  <w:style w:type="character" w:styleId="Hyperlink">
    <w:name w:val="Hyperlink"/>
    <w:semiHidden/>
    <w:rPr>
      <w:rFonts w:ascii="Times New Roman" w:hAnsi="Times New Roman" w:cs="Times New Roman"/>
      <w:color w:val="0000FF"/>
      <w:u w:val="single"/>
    </w:rPr>
  </w:style>
  <w:style w:type="paragraph" w:customStyle="1" w:styleId="NormalDS">
    <w:name w:val="Normal DS"/>
    <w:basedOn w:val="Normal"/>
    <w:pPr>
      <w:spacing w:after="260" w:line="240" w:lineRule="auto"/>
    </w:pPr>
    <w:rPr>
      <w:rFonts w:ascii="Times" w:hAnsi="Times" w:cs="Times"/>
      <w:sz w:val="23"/>
      <w:szCs w:val="23"/>
    </w:rPr>
  </w:style>
  <w:style w:type="paragraph" w:styleId="BalloonText">
    <w:name w:val="Balloon Text"/>
    <w:basedOn w:val="Normal"/>
    <w:pPr>
      <w:spacing w:line="270" w:lineRule="atLeast"/>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3Data">
    <w:name w:val="Table3/Data"/>
    <w:basedOn w:val="Normal"/>
    <w:pPr>
      <w:spacing w:line="240" w:lineRule="auto"/>
    </w:pPr>
    <w:rPr>
      <w:rFonts w:ascii="Times" w:hAnsi="Times" w:cs="Times"/>
      <w:sz w:val="20"/>
      <w:szCs w:val="20"/>
    </w:rPr>
  </w:style>
  <w:style w:type="paragraph" w:customStyle="1" w:styleId="Table3Data-Bullet">
    <w:name w:val="Table3/Data-Bullet"/>
    <w:basedOn w:val="Normal"/>
    <w:pPr>
      <w:tabs>
        <w:tab w:val="left" w:pos="187"/>
        <w:tab w:val="num" w:pos="360"/>
      </w:tabs>
      <w:spacing w:line="240" w:lineRule="auto"/>
      <w:ind w:left="346" w:hanging="346"/>
    </w:pPr>
    <w:rPr>
      <w:rFonts w:ascii="Times" w:hAnsi="Times" w:cs="Times"/>
      <w:sz w:val="20"/>
      <w:szCs w:val="20"/>
    </w:rPr>
  </w:style>
  <w:style w:type="paragraph" w:customStyle="1" w:styleId="Table2Hdgs">
    <w:name w:val="Table2/Hdgs"/>
    <w:basedOn w:val="Table3Data"/>
    <w:pPr>
      <w:spacing w:before="120" w:after="120"/>
    </w:pPr>
    <w:rPr>
      <w:b/>
      <w:bCs/>
    </w:rPr>
  </w:style>
  <w:style w:type="paragraph" w:customStyle="1" w:styleId="BulletSS">
    <w:name w:val="Bullet SS"/>
    <w:basedOn w:val="Normal"/>
    <w:pPr>
      <w:tabs>
        <w:tab w:val="left" w:pos="187"/>
        <w:tab w:val="left" w:pos="504"/>
        <w:tab w:val="left" w:pos="706"/>
      </w:tabs>
      <w:spacing w:line="240" w:lineRule="auto"/>
      <w:ind w:left="187" w:hanging="187"/>
    </w:pPr>
    <w:rPr>
      <w:rFonts w:ascii="Times" w:hAnsi="Times" w:cs="Times"/>
      <w:sz w:val="23"/>
      <w:szCs w:val="23"/>
    </w:rPr>
  </w:style>
  <w:style w:type="paragraph" w:styleId="BodyTextIndent">
    <w:name w:val="Body Text Indent"/>
    <w:basedOn w:val="Normal"/>
    <w:semiHidden/>
    <w:pPr>
      <w:spacing w:line="240" w:lineRule="auto"/>
      <w:ind w:firstLine="576"/>
    </w:pPr>
    <w:rPr>
      <w:sz w:val="24"/>
      <w:szCs w:val="24"/>
    </w:rPr>
  </w:style>
  <w:style w:type="character" w:customStyle="1" w:styleId="BodyText2Char">
    <w:name w:val="Body Text 2 Char"/>
    <w:rPr>
      <w:rFonts w:ascii="Arial" w:hAnsi="Arial" w:cs="Arial"/>
      <w:lang w:val="x-none" w:eastAsia="en-US"/>
    </w:rPr>
  </w:style>
  <w:style w:type="character" w:customStyle="1" w:styleId="BodyTextIndentChar">
    <w:name w:val="Body Text Indent Char"/>
    <w:rPr>
      <w:rFonts w:ascii="Times New Roman" w:hAnsi="Times New Roman" w:cs="Times New Roman"/>
      <w:sz w:val="24"/>
      <w:szCs w:val="24"/>
    </w:rPr>
  </w:style>
  <w:style w:type="paragraph" w:customStyle="1" w:styleId="Numbr10DS">
    <w:name w:val="Numbr 10+ DS"/>
    <w:basedOn w:val="Normal"/>
    <w:pPr>
      <w:tabs>
        <w:tab w:val="left" w:pos="547"/>
        <w:tab w:val="left" w:pos="878"/>
      </w:tabs>
      <w:spacing w:after="260" w:line="240" w:lineRule="auto"/>
    </w:pPr>
    <w:rPr>
      <w:rFonts w:ascii="Times" w:hAnsi="Times" w:cs="Times"/>
      <w:sz w:val="23"/>
      <w:szCs w:val="23"/>
    </w:rPr>
  </w:style>
  <w:style w:type="paragraph" w:styleId="BodyText">
    <w:name w:val="Body Text"/>
    <w:basedOn w:val="Normal"/>
    <w:semiHidden/>
    <w:pPr>
      <w:jc w:val="both"/>
    </w:pPr>
  </w:style>
  <w:style w:type="character" w:customStyle="1" w:styleId="BodyTextChar">
    <w:name w:val="Body Text Char"/>
    <w:rPr>
      <w:rFonts w:ascii="Arial" w:eastAsia="Malgun Gothic" w:hAnsi="Arial" w:cs="Arial"/>
      <w:lang w:val="x-none" w:eastAsia="en-US"/>
    </w:rPr>
  </w:style>
  <w:style w:type="character" w:styleId="FollowedHyperlink">
    <w:name w:val="FollowedHyperlink"/>
    <w:semiHidden/>
    <w:rPr>
      <w:color w:val="800080"/>
      <w:u w:val="single"/>
    </w:rPr>
  </w:style>
  <w:style w:type="character" w:styleId="CommentReference">
    <w:name w:val="annotation reference"/>
    <w:uiPriority w:val="99"/>
    <w:semiHidden/>
    <w:unhideWhenUsed/>
    <w:rsid w:val="00715D2A"/>
    <w:rPr>
      <w:sz w:val="16"/>
      <w:szCs w:val="16"/>
    </w:rPr>
  </w:style>
  <w:style w:type="paragraph" w:styleId="CommentText">
    <w:name w:val="annotation text"/>
    <w:basedOn w:val="Normal"/>
    <w:link w:val="CommentTextChar"/>
    <w:uiPriority w:val="99"/>
    <w:semiHidden/>
    <w:unhideWhenUsed/>
    <w:rsid w:val="00715D2A"/>
    <w:rPr>
      <w:sz w:val="20"/>
      <w:szCs w:val="20"/>
    </w:rPr>
  </w:style>
  <w:style w:type="character" w:customStyle="1" w:styleId="CommentTextChar">
    <w:name w:val="Comment Text Char"/>
    <w:link w:val="CommentText"/>
    <w:uiPriority w:val="99"/>
    <w:semiHidden/>
    <w:rsid w:val="00715D2A"/>
    <w:rPr>
      <w:rFonts w:ascii="Arial" w:eastAsia="Malgun Gothic" w:hAnsi="Arial" w:cs="Arial"/>
    </w:rPr>
  </w:style>
  <w:style w:type="paragraph" w:styleId="CommentSubject">
    <w:name w:val="annotation subject"/>
    <w:basedOn w:val="CommentText"/>
    <w:next w:val="CommentText"/>
    <w:link w:val="CommentSubjectChar"/>
    <w:uiPriority w:val="99"/>
    <w:semiHidden/>
    <w:unhideWhenUsed/>
    <w:rsid w:val="00715D2A"/>
    <w:rPr>
      <w:b/>
      <w:bCs/>
    </w:rPr>
  </w:style>
  <w:style w:type="character" w:customStyle="1" w:styleId="CommentSubjectChar">
    <w:name w:val="Comment Subject Char"/>
    <w:link w:val="CommentSubject"/>
    <w:uiPriority w:val="99"/>
    <w:semiHidden/>
    <w:rsid w:val="00715D2A"/>
    <w:rPr>
      <w:rFonts w:ascii="Arial" w:eastAsia="Malgun Gothic" w:hAnsi="Arial" w:cs="Arial"/>
      <w:b/>
      <w:bCs/>
    </w:rPr>
  </w:style>
  <w:style w:type="paragraph" w:styleId="ListParagraph">
    <w:name w:val="List Paragraph"/>
    <w:basedOn w:val="Normal"/>
    <w:uiPriority w:val="34"/>
    <w:qFormat/>
    <w:rsid w:val="008307B1"/>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line="260" w:lineRule="atLeast"/>
    </w:pPr>
    <w:rPr>
      <w:rFonts w:ascii="Arial" w:eastAsia="Malgun Gothic" w:hAnsi="Arial" w:cs="Arial"/>
      <w:sz w:val="22"/>
      <w:szCs w:val="22"/>
    </w:rPr>
  </w:style>
  <w:style w:type="paragraph" w:styleId="Heading1">
    <w:name w:val="heading 1"/>
    <w:basedOn w:val="Normal"/>
    <w:next w:val="Normal"/>
    <w:qFormat/>
    <w:pPr>
      <w:keepNext/>
      <w:numPr>
        <w:numId w:val="9"/>
      </w:numPr>
      <w:spacing w:line="400" w:lineRule="atLeast"/>
      <w:outlineLvl w:val="0"/>
    </w:pPr>
    <w:rPr>
      <w:sz w:val="36"/>
      <w:szCs w:val="36"/>
    </w:rPr>
  </w:style>
  <w:style w:type="paragraph" w:styleId="Heading2">
    <w:name w:val="heading 2"/>
    <w:basedOn w:val="Normal"/>
    <w:next w:val="Normal"/>
    <w:qFormat/>
    <w:pPr>
      <w:keepNext/>
      <w:spacing w:line="320" w:lineRule="atLeast"/>
      <w:outlineLvl w:val="1"/>
    </w:pPr>
    <w:rPr>
      <w:b/>
      <w:bCs/>
      <w:sz w:val="28"/>
      <w:szCs w:val="28"/>
    </w:rPr>
  </w:style>
  <w:style w:type="paragraph" w:styleId="Heading3">
    <w:name w:val="heading 3"/>
    <w:basedOn w:val="Normal"/>
    <w:next w:val="Normal"/>
    <w:qFormat/>
    <w:pPr>
      <w:keepNext/>
      <w:spacing w:line="320" w:lineRule="atLeast"/>
      <w:outlineLvl w:val="2"/>
    </w:pPr>
    <w:rPr>
      <w:b/>
      <w:bCs/>
      <w:i/>
      <w:iCs/>
      <w:sz w:val="28"/>
      <w:szCs w:val="28"/>
    </w:rPr>
  </w:style>
  <w:style w:type="paragraph" w:styleId="Heading4">
    <w:name w:val="heading 4"/>
    <w:basedOn w:val="Normal"/>
    <w:next w:val="Normal"/>
    <w:qFormat/>
    <w:pPr>
      <w:keepNext/>
      <w:numPr>
        <w:ilvl w:val="3"/>
        <w:numId w:val="9"/>
      </w:numPr>
      <w:spacing w:line="320" w:lineRule="atLeast"/>
      <w:outlineLvl w:val="3"/>
    </w:pPr>
    <w:rPr>
      <w:i/>
      <w:iCs/>
      <w:sz w:val="28"/>
      <w:szCs w:val="28"/>
    </w:rPr>
  </w:style>
  <w:style w:type="paragraph" w:styleId="Heading5">
    <w:name w:val="heading 5"/>
    <w:basedOn w:val="Normal"/>
    <w:next w:val="Normal"/>
    <w:qFormat/>
    <w:pPr>
      <w:keepNext/>
      <w:numPr>
        <w:ilvl w:val="4"/>
        <w:numId w:val="9"/>
      </w:numPr>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Arial" w:eastAsia="Malgun Gothic" w:hAnsi="Arial" w:cs="Arial"/>
      <w:sz w:val="36"/>
      <w:szCs w:val="36"/>
      <w:lang w:val="x-none" w:eastAsia="en-US"/>
    </w:rPr>
  </w:style>
  <w:style w:type="character" w:customStyle="1" w:styleId="Heading2Char">
    <w:name w:val="Heading 2 Char"/>
    <w:rPr>
      <w:rFonts w:ascii="Cambria" w:eastAsia="Malgun Gothic" w:hAnsi="Cambria" w:cs="Cambria"/>
      <w:b/>
      <w:bCs/>
      <w:i/>
      <w:iCs/>
      <w:sz w:val="28"/>
      <w:szCs w:val="28"/>
      <w:lang w:val="x-none" w:eastAsia="en-US"/>
    </w:rPr>
  </w:style>
  <w:style w:type="character" w:customStyle="1" w:styleId="Heading3Char">
    <w:name w:val="Heading 3 Char"/>
    <w:rPr>
      <w:rFonts w:ascii="Cambria" w:eastAsia="Malgun Gothic" w:hAnsi="Cambria" w:cs="Cambria"/>
      <w:b/>
      <w:bCs/>
      <w:sz w:val="26"/>
      <w:szCs w:val="26"/>
      <w:lang w:val="x-none" w:eastAsia="en-US"/>
    </w:rPr>
  </w:style>
  <w:style w:type="character" w:customStyle="1" w:styleId="Heading4Char">
    <w:name w:val="Heading 4 Char"/>
    <w:rPr>
      <w:rFonts w:ascii="Arial" w:eastAsia="Malgun Gothic" w:hAnsi="Arial" w:cs="Arial"/>
      <w:i/>
      <w:iCs/>
      <w:sz w:val="28"/>
      <w:szCs w:val="28"/>
      <w:lang w:val="x-none" w:eastAsia="en-US"/>
    </w:rPr>
  </w:style>
  <w:style w:type="character" w:customStyle="1" w:styleId="Heading5Char">
    <w:name w:val="Heading 5 Char"/>
    <w:rPr>
      <w:rFonts w:ascii="Arial" w:eastAsia="Malgun Gothic" w:hAnsi="Arial" w:cs="Arial"/>
      <w:i/>
      <w:iCs/>
      <w:lang w:val="x-none" w:eastAsia="en-US"/>
    </w:rPr>
  </w:style>
  <w:style w:type="paragraph" w:customStyle="1" w:styleId="Base">
    <w:name w:val="Base"/>
    <w:pPr>
      <w:spacing w:line="200" w:lineRule="atLeast"/>
    </w:pPr>
    <w:rPr>
      <w:rFonts w:ascii="Arial" w:eastAsia="Malgun Gothic" w:hAnsi="Arial" w:cs="Arial"/>
      <w:sz w:val="16"/>
      <w:szCs w:val="16"/>
    </w:rPr>
  </w:style>
  <w:style w:type="paragraph" w:customStyle="1" w:styleId="Legalcopy">
    <w:name w:val="Legal copy"/>
    <w:basedOn w:val="Base"/>
    <w:pPr>
      <w:framePr w:hSpace="187" w:vSpace="187" w:wrap="auto" w:hAnchor="text" w:yAlign="bottom"/>
      <w:spacing w:before="40" w:line="140" w:lineRule="atLeast"/>
    </w:pPr>
    <w:rPr>
      <w:sz w:val="12"/>
      <w:szCs w:val="12"/>
    </w:rPr>
  </w:style>
  <w:style w:type="character" w:styleId="PageNumber">
    <w:name w:val="page number"/>
    <w:semiHidden/>
    <w:rPr>
      <w:rFonts w:ascii="Arial" w:hAnsi="Arial" w:cs="Arial"/>
      <w:sz w:val="20"/>
      <w:szCs w:val="20"/>
      <w:u w:val="none"/>
    </w:rPr>
  </w:style>
  <w:style w:type="paragraph" w:customStyle="1" w:styleId="Filestamp">
    <w:name w:val="Filestamp"/>
    <w:basedOn w:val="Base"/>
    <w:pPr>
      <w:spacing w:line="120" w:lineRule="atLeast"/>
    </w:pPr>
    <w:rPr>
      <w:noProof/>
      <w:sz w:val="12"/>
      <w:szCs w:val="12"/>
    </w:rPr>
  </w:style>
  <w:style w:type="paragraph" w:styleId="FootnoteText">
    <w:name w:val="footnote text"/>
    <w:basedOn w:val="Normal"/>
    <w:semiHidden/>
    <w:pPr>
      <w:spacing w:after="120"/>
    </w:pPr>
    <w:rPr>
      <w:sz w:val="18"/>
      <w:szCs w:val="18"/>
    </w:rPr>
  </w:style>
  <w:style w:type="character" w:customStyle="1" w:styleId="FootnoteTextChar">
    <w:name w:val="Footnote Text Char"/>
    <w:rPr>
      <w:rFonts w:ascii="Arial" w:hAnsi="Arial" w:cs="Arial"/>
      <w:sz w:val="20"/>
      <w:szCs w:val="20"/>
      <w:lang w:val="x-none" w:eastAsia="en-US"/>
    </w:rPr>
  </w:style>
  <w:style w:type="paragraph" w:customStyle="1" w:styleId="LetterDate">
    <w:name w:val="Letter Date"/>
    <w:basedOn w:val="Base"/>
    <w:next w:val="Normal"/>
    <w:pPr>
      <w:spacing w:after="680" w:line="360" w:lineRule="atLeast"/>
    </w:pPr>
    <w:rPr>
      <w:caps/>
      <w:sz w:val="28"/>
      <w:szCs w:val="28"/>
    </w:rPr>
  </w:style>
  <w:style w:type="paragraph" w:customStyle="1" w:styleId="TableLogoText">
    <w:name w:val="Table Logo Text"/>
    <w:basedOn w:val="Base"/>
    <w:pPr>
      <w:spacing w:line="240" w:lineRule="auto"/>
    </w:pPr>
    <w:rPr>
      <w:sz w:val="24"/>
      <w:szCs w:val="24"/>
    </w:rPr>
  </w:style>
  <w:style w:type="paragraph" w:customStyle="1" w:styleId="ReportTitle">
    <w:name w:val="Report Title"/>
    <w:basedOn w:val="Base"/>
    <w:next w:val="Normal"/>
    <w:pPr>
      <w:spacing w:before="300" w:line="440" w:lineRule="atLeast"/>
    </w:pPr>
    <w:rPr>
      <w:b/>
      <w:bCs/>
      <w:caps/>
      <w:sz w:val="44"/>
      <w:szCs w:val="44"/>
    </w:rPr>
  </w:style>
  <w:style w:type="paragraph" w:customStyle="1" w:styleId="ClientName">
    <w:name w:val="Client Name"/>
    <w:basedOn w:val="Base"/>
    <w:pPr>
      <w:spacing w:line="440" w:lineRule="atLeast"/>
    </w:pPr>
    <w:rPr>
      <w:caps/>
      <w:sz w:val="44"/>
      <w:szCs w:val="44"/>
    </w:rPr>
  </w:style>
  <w:style w:type="paragraph" w:customStyle="1" w:styleId="ReportCrossRef">
    <w:name w:val="Report Cross Ref"/>
    <w:basedOn w:val="Base"/>
    <w:rPr>
      <w:b/>
      <w:bCs/>
      <w:caps/>
    </w:rPr>
  </w:style>
  <w:style w:type="paragraph" w:customStyle="1" w:styleId="ClientNameCrossRef">
    <w:name w:val="Client Name Cross Ref"/>
    <w:basedOn w:val="Base"/>
    <w:rPr>
      <w:caps/>
    </w:rPr>
  </w:style>
  <w:style w:type="paragraph" w:styleId="TOC1">
    <w:name w:val="toc 1"/>
    <w:basedOn w:val="Normal"/>
    <w:next w:val="Normal"/>
    <w:autoRedefine/>
    <w:semiHidden/>
    <w:pPr>
      <w:numPr>
        <w:numId w:val="2"/>
      </w:numPr>
      <w:tabs>
        <w:tab w:val="left" w:pos="432"/>
        <w:tab w:val="right" w:leader="dot" w:pos="8640"/>
      </w:tabs>
      <w:spacing w:before="300" w:line="300" w:lineRule="exact"/>
    </w:pPr>
    <w:rPr>
      <w:noProof/>
    </w:rPr>
  </w:style>
  <w:style w:type="paragraph" w:styleId="TOC2">
    <w:name w:val="toc 2"/>
    <w:basedOn w:val="Normal"/>
    <w:next w:val="Normal"/>
    <w:autoRedefine/>
    <w:semiHidden/>
    <w:pPr>
      <w:numPr>
        <w:numId w:val="3"/>
      </w:numPr>
      <w:tabs>
        <w:tab w:val="left" w:pos="720"/>
        <w:tab w:val="right" w:leader="dot" w:pos="8640"/>
      </w:tabs>
      <w:spacing w:line="300" w:lineRule="exact"/>
    </w:pPr>
    <w:rPr>
      <w:noProof/>
    </w:rPr>
  </w:style>
  <w:style w:type="paragraph" w:customStyle="1" w:styleId="SectionIntro">
    <w:name w:val="Section Intro"/>
    <w:basedOn w:val="Normal"/>
    <w:pPr>
      <w:spacing w:line="240" w:lineRule="auto"/>
    </w:pPr>
    <w:rPr>
      <w:sz w:val="28"/>
      <w:szCs w:val="28"/>
    </w:rPr>
  </w:style>
  <w:style w:type="paragraph" w:customStyle="1" w:styleId="AppendixStart">
    <w:name w:val="Appendix Start"/>
    <w:basedOn w:val="Normal"/>
    <w:next w:val="AppendixHeading1"/>
    <w:pPr>
      <w:keepNext/>
      <w:pageBreakBefore/>
      <w:numPr>
        <w:numId w:val="4"/>
      </w:numPr>
      <w:pBdr>
        <w:bottom w:val="single" w:sz="12" w:space="0" w:color="auto"/>
      </w:pBdr>
      <w:spacing w:after="360" w:line="240" w:lineRule="auto"/>
    </w:pPr>
    <w:rPr>
      <w:caps/>
      <w:sz w:val="48"/>
      <w:szCs w:val="48"/>
    </w:rPr>
  </w:style>
  <w:style w:type="paragraph" w:styleId="NoteHeading">
    <w:name w:val="Note Heading"/>
    <w:basedOn w:val="Normal"/>
    <w:next w:val="NoteText"/>
    <w:semiHidden/>
    <w:pPr>
      <w:spacing w:before="200" w:line="200" w:lineRule="atLeast"/>
    </w:pPr>
    <w:rPr>
      <w:caps/>
      <w:sz w:val="18"/>
      <w:szCs w:val="18"/>
    </w:rPr>
  </w:style>
  <w:style w:type="character" w:customStyle="1" w:styleId="NoteHeadingChar">
    <w:name w:val="Note Heading Char"/>
    <w:rPr>
      <w:rFonts w:ascii="Arial" w:hAnsi="Arial" w:cs="Arial"/>
      <w:lang w:val="x-none" w:eastAsia="en-US"/>
    </w:rPr>
  </w:style>
  <w:style w:type="paragraph" w:customStyle="1" w:styleId="NoteText">
    <w:name w:val="Note Text"/>
    <w:basedOn w:val="Normal"/>
    <w:pPr>
      <w:spacing w:line="200" w:lineRule="atLeast"/>
    </w:pPr>
    <w:rPr>
      <w:sz w:val="18"/>
      <w:szCs w:val="18"/>
    </w:rPr>
  </w:style>
  <w:style w:type="character" w:styleId="FootnoteReference">
    <w:name w:val="footnote reference"/>
    <w:semiHidden/>
    <w:rPr>
      <w:rFonts w:ascii="Times New Roman" w:hAnsi="Times New Roman" w:cs="Times New Roman"/>
      <w:vertAlign w:val="superscript"/>
    </w:rPr>
  </w:style>
  <w:style w:type="paragraph" w:customStyle="1" w:styleId="SectionStart">
    <w:name w:val="Section Start"/>
    <w:basedOn w:val="Normal"/>
    <w:next w:val="Heading1"/>
    <w:pPr>
      <w:keepNext/>
      <w:pageBreakBefore/>
      <w:numPr>
        <w:numId w:val="1"/>
      </w:numPr>
      <w:pBdr>
        <w:bottom w:val="single" w:sz="12" w:space="1" w:color="auto"/>
      </w:pBdr>
      <w:spacing w:after="380" w:line="240" w:lineRule="auto"/>
    </w:pPr>
    <w:rPr>
      <w:sz w:val="72"/>
      <w:szCs w:val="72"/>
    </w:rPr>
  </w:style>
  <w:style w:type="paragraph" w:customStyle="1" w:styleId="AddressBlock">
    <w:name w:val="Address Block"/>
    <w:basedOn w:val="Base"/>
    <w:pPr>
      <w:spacing w:line="180" w:lineRule="atLeast"/>
    </w:pPr>
  </w:style>
  <w:style w:type="paragraph" w:styleId="TOCHeading">
    <w:name w:val="TOC Heading"/>
    <w:basedOn w:val="Base"/>
    <w:qFormat/>
    <w:pPr>
      <w:spacing w:line="360" w:lineRule="atLeast"/>
    </w:pPr>
    <w:rPr>
      <w:caps/>
      <w:sz w:val="36"/>
      <w:szCs w:val="36"/>
    </w:rPr>
  </w:style>
  <w:style w:type="paragraph" w:styleId="TOC3">
    <w:name w:val="toc 3"/>
    <w:basedOn w:val="Normal"/>
    <w:next w:val="Normal"/>
    <w:autoRedefine/>
    <w:semiHidden/>
    <w:pPr>
      <w:numPr>
        <w:numId w:val="6"/>
      </w:numPr>
      <w:tabs>
        <w:tab w:val="left" w:pos="864"/>
        <w:tab w:val="left" w:pos="1170"/>
        <w:tab w:val="right" w:leader="dot" w:pos="8640"/>
      </w:tabs>
      <w:spacing w:line="300" w:lineRule="exact"/>
    </w:pPr>
  </w:style>
  <w:style w:type="paragraph" w:styleId="Header">
    <w:name w:val="header"/>
    <w:basedOn w:val="Normal"/>
    <w:semiHidden/>
    <w:pPr>
      <w:tabs>
        <w:tab w:val="center" w:pos="4320"/>
        <w:tab w:val="right" w:pos="8640"/>
      </w:tabs>
    </w:pPr>
  </w:style>
  <w:style w:type="character" w:customStyle="1" w:styleId="HeaderChar">
    <w:name w:val="Header Char"/>
    <w:rPr>
      <w:rFonts w:ascii="Arial" w:hAnsi="Arial" w:cs="Arial"/>
      <w:lang w:val="x-none" w:eastAsia="en-US"/>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rFonts w:ascii="Arial" w:hAnsi="Arial" w:cs="Arial"/>
      <w:lang w:val="x-none" w:eastAsia="en-US"/>
    </w:rPr>
  </w:style>
  <w:style w:type="paragraph" w:customStyle="1" w:styleId="AppendixHeading1">
    <w:name w:val="Appendix Heading 1"/>
    <w:basedOn w:val="Normal"/>
    <w:next w:val="Normal"/>
    <w:pPr>
      <w:keepNext/>
      <w:spacing w:line="400" w:lineRule="atLeast"/>
      <w:outlineLvl w:val="0"/>
    </w:pPr>
    <w:rPr>
      <w:sz w:val="36"/>
      <w:szCs w:val="36"/>
    </w:rPr>
  </w:style>
  <w:style w:type="paragraph" w:styleId="TOC9">
    <w:name w:val="toc 9"/>
    <w:basedOn w:val="Normal"/>
    <w:next w:val="Normal"/>
    <w:autoRedefine/>
    <w:semiHidden/>
    <w:pPr>
      <w:numPr>
        <w:numId w:val="5"/>
      </w:numPr>
      <w:tabs>
        <w:tab w:val="left" w:pos="1361"/>
        <w:tab w:val="right" w:leader="dot" w:pos="8641"/>
      </w:tabs>
      <w:spacing w:before="240"/>
    </w:pPr>
    <w:rPr>
      <w:noProof/>
    </w:rPr>
  </w:style>
  <w:style w:type="paragraph" w:styleId="TOC4">
    <w:name w:val="toc 4"/>
    <w:basedOn w:val="Normal"/>
    <w:next w:val="Normal"/>
    <w:autoRedefine/>
    <w:semiHidden/>
    <w:pPr>
      <w:numPr>
        <w:numId w:val="7"/>
      </w:numPr>
      <w:tabs>
        <w:tab w:val="right" w:leader="dot" w:pos="8640"/>
      </w:tabs>
      <w:spacing w:line="300" w:lineRule="exact"/>
    </w:pPr>
  </w:style>
  <w:style w:type="paragraph" w:customStyle="1" w:styleId="AppendixHeading2">
    <w:name w:val="Appendix Heading 2"/>
    <w:basedOn w:val="Normal"/>
    <w:next w:val="Normal"/>
    <w:pPr>
      <w:keepNext/>
      <w:numPr>
        <w:ilvl w:val="1"/>
        <w:numId w:val="9"/>
      </w:numPr>
      <w:spacing w:line="320" w:lineRule="atLeast"/>
      <w:outlineLvl w:val="1"/>
    </w:pPr>
    <w:rPr>
      <w:b/>
      <w:bCs/>
      <w:sz w:val="28"/>
      <w:szCs w:val="28"/>
    </w:rPr>
  </w:style>
  <w:style w:type="paragraph" w:customStyle="1" w:styleId="AppendixHeading3">
    <w:name w:val="Appendix Heading 3"/>
    <w:basedOn w:val="Normal"/>
    <w:next w:val="Normal"/>
    <w:pPr>
      <w:keepNext/>
      <w:numPr>
        <w:ilvl w:val="2"/>
        <w:numId w:val="9"/>
      </w:numPr>
      <w:spacing w:line="320" w:lineRule="atLeast"/>
      <w:outlineLvl w:val="2"/>
    </w:pPr>
    <w:rPr>
      <w:b/>
      <w:bCs/>
      <w:i/>
      <w:iCs/>
      <w:sz w:val="28"/>
      <w:szCs w:val="28"/>
    </w:rPr>
  </w:style>
  <w:style w:type="paragraph" w:customStyle="1" w:styleId="Logo">
    <w:name w:val="Logo"/>
    <w:basedOn w:val="Normal"/>
    <w:pPr>
      <w:spacing w:line="560" w:lineRule="exact"/>
      <w:jc w:val="center"/>
    </w:pPr>
    <w:rPr>
      <w:sz w:val="16"/>
      <w:szCs w:val="16"/>
    </w:rPr>
  </w:style>
  <w:style w:type="paragraph" w:customStyle="1" w:styleId="CompanyName">
    <w:name w:val="Company Name"/>
    <w:basedOn w:val="ClientNameCrossRef"/>
    <w:rPr>
      <w:caps w:val="0"/>
    </w:rPr>
  </w:style>
  <w:style w:type="paragraph" w:customStyle="1" w:styleId="BaseBold">
    <w:name w:val="Base Bold"/>
    <w:next w:val="Base"/>
    <w:pPr>
      <w:spacing w:line="200" w:lineRule="atLeast"/>
    </w:pPr>
    <w:rPr>
      <w:rFonts w:ascii="Arial" w:eastAsia="Malgun Gothic" w:hAnsi="Arial" w:cs="Arial"/>
      <w:b/>
      <w:bCs/>
      <w:sz w:val="16"/>
      <w:szCs w:val="16"/>
    </w:rPr>
  </w:style>
  <w:style w:type="character" w:customStyle="1" w:styleId="LogoChar">
    <w:name w:val="Logo Char"/>
    <w:rPr>
      <w:rFonts w:ascii="Arial" w:hAnsi="Arial" w:cs="Arial"/>
      <w:sz w:val="16"/>
      <w:szCs w:val="16"/>
    </w:rPr>
  </w:style>
  <w:style w:type="character" w:customStyle="1" w:styleId="BaseBoldChar">
    <w:name w:val="Base Bold Char"/>
    <w:rPr>
      <w:rFonts w:ascii="Arial" w:hAnsi="Arial" w:cs="Arial"/>
      <w:b/>
      <w:bCs/>
      <w:sz w:val="16"/>
      <w:szCs w:val="16"/>
      <w:lang w:val="en-US" w:eastAsia="en-US"/>
    </w:rPr>
  </w:style>
  <w:style w:type="paragraph" w:customStyle="1" w:styleId="LogoHide">
    <w:name w:val="Logo Hide"/>
    <w:basedOn w:val="Base"/>
    <w:next w:val="Base"/>
    <w:pPr>
      <w:spacing w:line="20" w:lineRule="exact"/>
      <w:jc w:val="right"/>
    </w:pPr>
    <w:rPr>
      <w:noProof/>
      <w:sz w:val="2"/>
      <w:szCs w:val="2"/>
    </w:rPr>
  </w:style>
  <w:style w:type="character" w:customStyle="1" w:styleId="LogoHideChar">
    <w:name w:val="Logo Hide Char"/>
    <w:rPr>
      <w:rFonts w:ascii="Arial" w:hAnsi="Arial" w:cs="Arial"/>
      <w:noProof/>
      <w:sz w:val="16"/>
      <w:szCs w:val="16"/>
    </w:rPr>
  </w:style>
  <w:style w:type="paragraph" w:customStyle="1" w:styleId="LogoHide2">
    <w:name w:val="Logo Hide 2"/>
    <w:basedOn w:val="Base"/>
    <w:next w:val="Base"/>
    <w:pPr>
      <w:jc w:val="right"/>
    </w:pPr>
    <w:rPr>
      <w:noProof/>
    </w:rPr>
  </w:style>
  <w:style w:type="character" w:customStyle="1" w:styleId="LogoHide2Char">
    <w:name w:val="Logo Hide 2 Char"/>
    <w:rPr>
      <w:rFonts w:ascii="Arial" w:hAnsi="Arial" w:cs="Arial"/>
      <w:noProof/>
      <w:sz w:val="16"/>
      <w:szCs w:val="16"/>
    </w:rPr>
  </w:style>
  <w:style w:type="character" w:customStyle="1" w:styleId="TextHide">
    <w:name w:val="Text Hide"/>
    <w:rPr>
      <w:rFonts w:ascii="Times New Roman" w:hAnsi="Times New Roman" w:cs="Times New Roman"/>
    </w:rPr>
  </w:style>
  <w:style w:type="paragraph" w:styleId="ListBullet">
    <w:name w:val="List Bullet"/>
    <w:basedOn w:val="Normal"/>
    <w:autoRedefine/>
    <w:semiHidden/>
    <w:rsid w:val="009B5470"/>
    <w:pPr>
      <w:numPr>
        <w:ilvl w:val="4"/>
        <w:numId w:val="20"/>
      </w:numPr>
      <w:spacing w:line="270" w:lineRule="atLeast"/>
      <w:jc w:val="both"/>
      <w:outlineLvl w:val="4"/>
    </w:pPr>
  </w:style>
  <w:style w:type="paragraph" w:styleId="ListBullet2">
    <w:name w:val="List Bullet 2"/>
    <w:basedOn w:val="Normal"/>
    <w:autoRedefine/>
    <w:semiHidden/>
    <w:pPr>
      <w:numPr>
        <w:ilvl w:val="5"/>
        <w:numId w:val="8"/>
      </w:numPr>
      <w:outlineLvl w:val="5"/>
    </w:pPr>
  </w:style>
  <w:style w:type="paragraph" w:styleId="ListBullet3">
    <w:name w:val="List Bullet 3"/>
    <w:basedOn w:val="Normal"/>
    <w:autoRedefine/>
    <w:semiHidden/>
    <w:pPr>
      <w:numPr>
        <w:ilvl w:val="6"/>
        <w:numId w:val="8"/>
      </w:numPr>
      <w:outlineLvl w:val="6"/>
    </w:pPr>
  </w:style>
  <w:style w:type="paragraph" w:styleId="ListBullet4">
    <w:name w:val="List Bullet 4"/>
    <w:basedOn w:val="Normal"/>
    <w:autoRedefine/>
    <w:semiHidden/>
    <w:pPr>
      <w:numPr>
        <w:ilvl w:val="7"/>
        <w:numId w:val="20"/>
      </w:numPr>
      <w:spacing w:line="270" w:lineRule="atLeast"/>
      <w:outlineLvl w:val="7"/>
    </w:pPr>
  </w:style>
  <w:style w:type="paragraph" w:customStyle="1" w:styleId="TableBullet1">
    <w:name w:val="Table Bullet 1"/>
    <w:basedOn w:val="Normal"/>
    <w:pPr>
      <w:numPr>
        <w:ilvl w:val="4"/>
        <w:numId w:val="10"/>
      </w:numPr>
      <w:spacing w:before="40" w:after="40" w:line="240" w:lineRule="auto"/>
      <w:outlineLvl w:val="4"/>
    </w:pPr>
    <w:rPr>
      <w:sz w:val="16"/>
      <w:szCs w:val="16"/>
    </w:rPr>
  </w:style>
  <w:style w:type="character" w:customStyle="1" w:styleId="TableBullet1Char">
    <w:name w:val="Table Bullet 1 Char"/>
    <w:basedOn w:val="LogoChar"/>
    <w:rPr>
      <w:rFonts w:ascii="Arial" w:hAnsi="Arial" w:cs="Arial"/>
      <w:sz w:val="16"/>
      <w:szCs w:val="16"/>
    </w:rPr>
  </w:style>
  <w:style w:type="paragraph" w:customStyle="1" w:styleId="TableBullet2">
    <w:name w:val="Table Bullet 2"/>
    <w:basedOn w:val="Normal"/>
    <w:pPr>
      <w:numPr>
        <w:ilvl w:val="5"/>
        <w:numId w:val="10"/>
      </w:numPr>
      <w:spacing w:before="40" w:after="40" w:line="240" w:lineRule="auto"/>
      <w:outlineLvl w:val="5"/>
    </w:pPr>
    <w:rPr>
      <w:sz w:val="16"/>
      <w:szCs w:val="16"/>
    </w:rPr>
  </w:style>
  <w:style w:type="character" w:customStyle="1" w:styleId="TableBullet2Char">
    <w:name w:val="Table Bullet 2 Char"/>
    <w:basedOn w:val="LogoChar"/>
    <w:rPr>
      <w:rFonts w:ascii="Arial" w:hAnsi="Arial" w:cs="Arial"/>
      <w:sz w:val="16"/>
      <w:szCs w:val="16"/>
    </w:rPr>
  </w:style>
  <w:style w:type="paragraph" w:customStyle="1" w:styleId="TableBullet3">
    <w:name w:val="Table Bullet 3"/>
    <w:basedOn w:val="Normal"/>
    <w:pPr>
      <w:numPr>
        <w:ilvl w:val="6"/>
        <w:numId w:val="10"/>
      </w:numPr>
      <w:spacing w:before="40" w:after="40" w:line="240" w:lineRule="auto"/>
      <w:outlineLvl w:val="6"/>
    </w:pPr>
    <w:rPr>
      <w:sz w:val="16"/>
      <w:szCs w:val="16"/>
    </w:rPr>
  </w:style>
  <w:style w:type="character" w:customStyle="1" w:styleId="TableBullet3Char">
    <w:name w:val="Table Bullet 3 Char"/>
    <w:basedOn w:val="LogoChar"/>
    <w:rPr>
      <w:rFonts w:ascii="Arial" w:hAnsi="Arial" w:cs="Arial"/>
      <w:sz w:val="16"/>
      <w:szCs w:val="16"/>
    </w:rPr>
  </w:style>
  <w:style w:type="paragraph" w:customStyle="1" w:styleId="TableBullet4">
    <w:name w:val="Table Bullet 4"/>
    <w:basedOn w:val="Normal"/>
    <w:pPr>
      <w:numPr>
        <w:ilvl w:val="7"/>
        <w:numId w:val="10"/>
      </w:numPr>
      <w:spacing w:before="40" w:after="40" w:line="240" w:lineRule="auto"/>
      <w:outlineLvl w:val="7"/>
    </w:pPr>
    <w:rPr>
      <w:sz w:val="16"/>
      <w:szCs w:val="16"/>
    </w:rPr>
  </w:style>
  <w:style w:type="character" w:customStyle="1" w:styleId="TableBullet4Char">
    <w:name w:val="Table Bullet 4 Char"/>
    <w:basedOn w:val="LogoChar"/>
    <w:rPr>
      <w:rFonts w:ascii="Arial" w:hAnsi="Arial" w:cs="Arial"/>
      <w:sz w:val="16"/>
      <w:szCs w:val="16"/>
    </w:rPr>
  </w:style>
  <w:style w:type="paragraph" w:styleId="ListNumber">
    <w:name w:val="List Number"/>
    <w:basedOn w:val="Normal"/>
    <w:semiHidden/>
    <w:pPr>
      <w:numPr>
        <w:ilvl w:val="5"/>
        <w:numId w:val="11"/>
      </w:numPr>
      <w:outlineLvl w:val="5"/>
    </w:pPr>
  </w:style>
  <w:style w:type="paragraph" w:styleId="ListNumber2">
    <w:name w:val="List Number 2"/>
    <w:basedOn w:val="Normal"/>
    <w:semiHidden/>
    <w:pPr>
      <w:numPr>
        <w:ilvl w:val="6"/>
        <w:numId w:val="11"/>
      </w:numPr>
      <w:outlineLvl w:val="6"/>
    </w:pPr>
  </w:style>
  <w:style w:type="paragraph" w:styleId="ListNumber3">
    <w:name w:val="List Number 3"/>
    <w:basedOn w:val="Normal"/>
    <w:semiHidden/>
    <w:pPr>
      <w:numPr>
        <w:ilvl w:val="7"/>
        <w:numId w:val="11"/>
      </w:numPr>
      <w:outlineLvl w:val="7"/>
    </w:pPr>
  </w:style>
  <w:style w:type="paragraph" w:styleId="ListNumber4">
    <w:name w:val="List Number 4"/>
    <w:basedOn w:val="Normal"/>
    <w:semiHidden/>
    <w:pPr>
      <w:numPr>
        <w:ilvl w:val="8"/>
        <w:numId w:val="11"/>
      </w:numPr>
      <w:outlineLvl w:val="8"/>
    </w:pPr>
  </w:style>
  <w:style w:type="paragraph" w:customStyle="1" w:styleId="NormalIndent1">
    <w:name w:val="Normal Indent 1"/>
    <w:basedOn w:val="Normal"/>
    <w:pPr>
      <w:ind w:left="360"/>
    </w:pPr>
  </w:style>
  <w:style w:type="character" w:customStyle="1" w:styleId="NormalIndent1Char">
    <w:name w:val="Normal Indent 1 Char"/>
    <w:basedOn w:val="LogoChar"/>
    <w:rPr>
      <w:rFonts w:ascii="Arial" w:hAnsi="Arial" w:cs="Arial"/>
      <w:sz w:val="16"/>
      <w:szCs w:val="16"/>
    </w:rPr>
  </w:style>
  <w:style w:type="paragraph" w:customStyle="1" w:styleId="NormalIndent2">
    <w:name w:val="Normal Indent 2"/>
    <w:basedOn w:val="Normal"/>
    <w:pPr>
      <w:ind w:left="720"/>
    </w:pPr>
  </w:style>
  <w:style w:type="character" w:customStyle="1" w:styleId="NormalIndent2Char">
    <w:name w:val="Normal Indent 2 Char"/>
    <w:basedOn w:val="LogoChar"/>
    <w:rPr>
      <w:rFonts w:ascii="Arial" w:hAnsi="Arial" w:cs="Arial"/>
      <w:sz w:val="16"/>
      <w:szCs w:val="16"/>
    </w:rPr>
  </w:style>
  <w:style w:type="paragraph" w:customStyle="1" w:styleId="NormalIndent3">
    <w:name w:val="Normal Indent 3"/>
    <w:basedOn w:val="Normal"/>
    <w:pPr>
      <w:ind w:left="1080"/>
    </w:pPr>
  </w:style>
  <w:style w:type="character" w:customStyle="1" w:styleId="NormalIndent3Char">
    <w:name w:val="Normal Indent 3 Char"/>
    <w:basedOn w:val="LogoChar"/>
    <w:rPr>
      <w:rFonts w:ascii="Arial" w:hAnsi="Arial" w:cs="Arial"/>
      <w:sz w:val="16"/>
      <w:szCs w:val="16"/>
    </w:rPr>
  </w:style>
  <w:style w:type="paragraph" w:customStyle="1" w:styleId="NormalIndent4">
    <w:name w:val="Normal Indent 4"/>
    <w:basedOn w:val="Normal"/>
    <w:pPr>
      <w:ind w:left="1440"/>
    </w:pPr>
  </w:style>
  <w:style w:type="character" w:customStyle="1" w:styleId="NormalIndent4Char">
    <w:name w:val="Normal Indent 4 Char"/>
    <w:basedOn w:val="LogoChar"/>
    <w:rPr>
      <w:rFonts w:ascii="Arial" w:hAnsi="Arial" w:cs="Arial"/>
      <w:sz w:val="16"/>
      <w:szCs w:val="16"/>
    </w:rPr>
  </w:style>
  <w:style w:type="paragraph" w:customStyle="1" w:styleId="TableHeadingText">
    <w:name w:val="Table Heading Text"/>
    <w:basedOn w:val="Normal"/>
    <w:pPr>
      <w:keepNext/>
      <w:spacing w:before="40" w:after="40" w:line="240" w:lineRule="auto"/>
    </w:pPr>
    <w:rPr>
      <w:b/>
      <w:bCs/>
      <w:sz w:val="18"/>
      <w:szCs w:val="18"/>
    </w:rPr>
  </w:style>
  <w:style w:type="character" w:customStyle="1" w:styleId="TableHeadingTextChar">
    <w:name w:val="Table Heading Text Char"/>
    <w:rPr>
      <w:rFonts w:ascii="Arial" w:hAnsi="Arial" w:cs="Arial"/>
      <w:b/>
      <w:bCs/>
      <w:sz w:val="16"/>
      <w:szCs w:val="16"/>
    </w:rPr>
  </w:style>
  <w:style w:type="paragraph" w:customStyle="1" w:styleId="TableText">
    <w:name w:val="Table Text"/>
    <w:basedOn w:val="Normal"/>
    <w:pPr>
      <w:spacing w:before="40" w:after="40" w:line="240" w:lineRule="auto"/>
    </w:pPr>
    <w:rPr>
      <w:sz w:val="16"/>
      <w:szCs w:val="16"/>
    </w:rPr>
  </w:style>
  <w:style w:type="character" w:customStyle="1" w:styleId="TableTextChar">
    <w:name w:val="Table Text Char"/>
    <w:basedOn w:val="LogoChar"/>
    <w:rPr>
      <w:rFonts w:ascii="Arial" w:hAnsi="Arial" w:cs="Arial"/>
      <w:sz w:val="16"/>
      <w:szCs w:val="16"/>
    </w:rPr>
  </w:style>
  <w:style w:type="character" w:styleId="Hyperlink">
    <w:name w:val="Hyperlink"/>
    <w:semiHidden/>
    <w:rPr>
      <w:rFonts w:ascii="Times New Roman" w:hAnsi="Times New Roman" w:cs="Times New Roman"/>
      <w:color w:val="0000FF"/>
      <w:u w:val="single"/>
    </w:rPr>
  </w:style>
  <w:style w:type="paragraph" w:customStyle="1" w:styleId="NormalDS">
    <w:name w:val="Normal DS"/>
    <w:basedOn w:val="Normal"/>
    <w:pPr>
      <w:spacing w:after="260" w:line="240" w:lineRule="auto"/>
    </w:pPr>
    <w:rPr>
      <w:rFonts w:ascii="Times" w:hAnsi="Times" w:cs="Times"/>
      <w:sz w:val="23"/>
      <w:szCs w:val="23"/>
    </w:rPr>
  </w:style>
  <w:style w:type="paragraph" w:styleId="BalloonText">
    <w:name w:val="Balloon Text"/>
    <w:basedOn w:val="Normal"/>
    <w:pPr>
      <w:spacing w:line="270" w:lineRule="atLeast"/>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3Data">
    <w:name w:val="Table3/Data"/>
    <w:basedOn w:val="Normal"/>
    <w:pPr>
      <w:spacing w:line="240" w:lineRule="auto"/>
    </w:pPr>
    <w:rPr>
      <w:rFonts w:ascii="Times" w:hAnsi="Times" w:cs="Times"/>
      <w:sz w:val="20"/>
      <w:szCs w:val="20"/>
    </w:rPr>
  </w:style>
  <w:style w:type="paragraph" w:customStyle="1" w:styleId="Table3Data-Bullet">
    <w:name w:val="Table3/Data-Bullet"/>
    <w:basedOn w:val="Normal"/>
    <w:pPr>
      <w:tabs>
        <w:tab w:val="left" w:pos="187"/>
        <w:tab w:val="num" w:pos="360"/>
      </w:tabs>
      <w:spacing w:line="240" w:lineRule="auto"/>
      <w:ind w:left="346" w:hanging="346"/>
    </w:pPr>
    <w:rPr>
      <w:rFonts w:ascii="Times" w:hAnsi="Times" w:cs="Times"/>
      <w:sz w:val="20"/>
      <w:szCs w:val="20"/>
    </w:rPr>
  </w:style>
  <w:style w:type="paragraph" w:customStyle="1" w:styleId="Table2Hdgs">
    <w:name w:val="Table2/Hdgs"/>
    <w:basedOn w:val="Table3Data"/>
    <w:pPr>
      <w:spacing w:before="120" w:after="120"/>
    </w:pPr>
    <w:rPr>
      <w:b/>
      <w:bCs/>
    </w:rPr>
  </w:style>
  <w:style w:type="paragraph" w:customStyle="1" w:styleId="BulletSS">
    <w:name w:val="Bullet SS"/>
    <w:basedOn w:val="Normal"/>
    <w:pPr>
      <w:tabs>
        <w:tab w:val="left" w:pos="187"/>
        <w:tab w:val="left" w:pos="504"/>
        <w:tab w:val="left" w:pos="706"/>
      </w:tabs>
      <w:spacing w:line="240" w:lineRule="auto"/>
      <w:ind w:left="187" w:hanging="187"/>
    </w:pPr>
    <w:rPr>
      <w:rFonts w:ascii="Times" w:hAnsi="Times" w:cs="Times"/>
      <w:sz w:val="23"/>
      <w:szCs w:val="23"/>
    </w:rPr>
  </w:style>
  <w:style w:type="paragraph" w:styleId="BodyTextIndent">
    <w:name w:val="Body Text Indent"/>
    <w:basedOn w:val="Normal"/>
    <w:semiHidden/>
    <w:pPr>
      <w:spacing w:line="240" w:lineRule="auto"/>
      <w:ind w:firstLine="576"/>
    </w:pPr>
    <w:rPr>
      <w:sz w:val="24"/>
      <w:szCs w:val="24"/>
    </w:rPr>
  </w:style>
  <w:style w:type="character" w:customStyle="1" w:styleId="BodyText2Char">
    <w:name w:val="Body Text 2 Char"/>
    <w:rPr>
      <w:rFonts w:ascii="Arial" w:hAnsi="Arial" w:cs="Arial"/>
      <w:lang w:val="x-none" w:eastAsia="en-US"/>
    </w:rPr>
  </w:style>
  <w:style w:type="character" w:customStyle="1" w:styleId="BodyTextIndentChar">
    <w:name w:val="Body Text Indent Char"/>
    <w:rPr>
      <w:rFonts w:ascii="Times New Roman" w:hAnsi="Times New Roman" w:cs="Times New Roman"/>
      <w:sz w:val="24"/>
      <w:szCs w:val="24"/>
    </w:rPr>
  </w:style>
  <w:style w:type="paragraph" w:customStyle="1" w:styleId="Numbr10DS">
    <w:name w:val="Numbr 10+ DS"/>
    <w:basedOn w:val="Normal"/>
    <w:pPr>
      <w:tabs>
        <w:tab w:val="left" w:pos="547"/>
        <w:tab w:val="left" w:pos="878"/>
      </w:tabs>
      <w:spacing w:after="260" w:line="240" w:lineRule="auto"/>
    </w:pPr>
    <w:rPr>
      <w:rFonts w:ascii="Times" w:hAnsi="Times" w:cs="Times"/>
      <w:sz w:val="23"/>
      <w:szCs w:val="23"/>
    </w:rPr>
  </w:style>
  <w:style w:type="paragraph" w:styleId="BodyText">
    <w:name w:val="Body Text"/>
    <w:basedOn w:val="Normal"/>
    <w:semiHidden/>
    <w:pPr>
      <w:jc w:val="both"/>
    </w:pPr>
  </w:style>
  <w:style w:type="character" w:customStyle="1" w:styleId="BodyTextChar">
    <w:name w:val="Body Text Char"/>
    <w:rPr>
      <w:rFonts w:ascii="Arial" w:eastAsia="Malgun Gothic" w:hAnsi="Arial" w:cs="Arial"/>
      <w:lang w:val="x-none" w:eastAsia="en-US"/>
    </w:rPr>
  </w:style>
  <w:style w:type="character" w:styleId="FollowedHyperlink">
    <w:name w:val="FollowedHyperlink"/>
    <w:semiHidden/>
    <w:rPr>
      <w:color w:val="800080"/>
      <w:u w:val="single"/>
    </w:rPr>
  </w:style>
  <w:style w:type="character" w:styleId="CommentReference">
    <w:name w:val="annotation reference"/>
    <w:uiPriority w:val="99"/>
    <w:semiHidden/>
    <w:unhideWhenUsed/>
    <w:rsid w:val="00715D2A"/>
    <w:rPr>
      <w:sz w:val="16"/>
      <w:szCs w:val="16"/>
    </w:rPr>
  </w:style>
  <w:style w:type="paragraph" w:styleId="CommentText">
    <w:name w:val="annotation text"/>
    <w:basedOn w:val="Normal"/>
    <w:link w:val="CommentTextChar"/>
    <w:uiPriority w:val="99"/>
    <w:semiHidden/>
    <w:unhideWhenUsed/>
    <w:rsid w:val="00715D2A"/>
    <w:rPr>
      <w:sz w:val="20"/>
      <w:szCs w:val="20"/>
    </w:rPr>
  </w:style>
  <w:style w:type="character" w:customStyle="1" w:styleId="CommentTextChar">
    <w:name w:val="Comment Text Char"/>
    <w:link w:val="CommentText"/>
    <w:uiPriority w:val="99"/>
    <w:semiHidden/>
    <w:rsid w:val="00715D2A"/>
    <w:rPr>
      <w:rFonts w:ascii="Arial" w:eastAsia="Malgun Gothic" w:hAnsi="Arial" w:cs="Arial"/>
    </w:rPr>
  </w:style>
  <w:style w:type="paragraph" w:styleId="CommentSubject">
    <w:name w:val="annotation subject"/>
    <w:basedOn w:val="CommentText"/>
    <w:next w:val="CommentText"/>
    <w:link w:val="CommentSubjectChar"/>
    <w:uiPriority w:val="99"/>
    <w:semiHidden/>
    <w:unhideWhenUsed/>
    <w:rsid w:val="00715D2A"/>
    <w:rPr>
      <w:b/>
      <w:bCs/>
    </w:rPr>
  </w:style>
  <w:style w:type="character" w:customStyle="1" w:styleId="CommentSubjectChar">
    <w:name w:val="Comment Subject Char"/>
    <w:link w:val="CommentSubject"/>
    <w:uiPriority w:val="99"/>
    <w:semiHidden/>
    <w:rsid w:val="00715D2A"/>
    <w:rPr>
      <w:rFonts w:ascii="Arial" w:eastAsia="Malgun Gothic" w:hAnsi="Arial" w:cs="Arial"/>
      <w:b/>
      <w:bCs/>
    </w:rPr>
  </w:style>
  <w:style w:type="paragraph" w:styleId="ListParagraph">
    <w:name w:val="List Paragraph"/>
    <w:basedOn w:val="Normal"/>
    <w:uiPriority w:val="34"/>
    <w:qFormat/>
    <w:rsid w:val="008307B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49950">
      <w:bodyDiv w:val="1"/>
      <w:marLeft w:val="0"/>
      <w:marRight w:val="0"/>
      <w:marTop w:val="0"/>
      <w:marBottom w:val="0"/>
      <w:divBdr>
        <w:top w:val="none" w:sz="0" w:space="0" w:color="auto"/>
        <w:left w:val="none" w:sz="0" w:space="0" w:color="auto"/>
        <w:bottom w:val="none" w:sz="0" w:space="0" w:color="auto"/>
        <w:right w:val="none" w:sz="0" w:space="0" w:color="auto"/>
      </w:divBdr>
    </w:div>
    <w:div w:id="216163757">
      <w:bodyDiv w:val="1"/>
      <w:marLeft w:val="0"/>
      <w:marRight w:val="0"/>
      <w:marTop w:val="0"/>
      <w:marBottom w:val="0"/>
      <w:divBdr>
        <w:top w:val="none" w:sz="0" w:space="0" w:color="auto"/>
        <w:left w:val="none" w:sz="0" w:space="0" w:color="auto"/>
        <w:bottom w:val="none" w:sz="0" w:space="0" w:color="auto"/>
        <w:right w:val="none" w:sz="0" w:space="0" w:color="auto"/>
      </w:divBdr>
    </w:div>
    <w:div w:id="1307005089">
      <w:bodyDiv w:val="1"/>
      <w:marLeft w:val="0"/>
      <w:marRight w:val="0"/>
      <w:marTop w:val="0"/>
      <w:marBottom w:val="0"/>
      <w:divBdr>
        <w:top w:val="none" w:sz="0" w:space="0" w:color="auto"/>
        <w:left w:val="none" w:sz="0" w:space="0" w:color="auto"/>
        <w:bottom w:val="none" w:sz="0" w:space="0" w:color="auto"/>
        <w:right w:val="none" w:sz="0" w:space="0" w:color="auto"/>
      </w:divBdr>
    </w:div>
    <w:div w:id="1937441943">
      <w:bodyDiv w:val="1"/>
      <w:marLeft w:val="0"/>
      <w:marRight w:val="0"/>
      <w:marTop w:val="0"/>
      <w:marBottom w:val="0"/>
      <w:divBdr>
        <w:top w:val="none" w:sz="0" w:space="0" w:color="auto"/>
        <w:left w:val="none" w:sz="0" w:space="0" w:color="auto"/>
        <w:bottom w:val="none" w:sz="0" w:space="0" w:color="auto"/>
        <w:right w:val="none" w:sz="0" w:space="0" w:color="auto"/>
      </w:divBdr>
    </w:div>
    <w:div w:id="196700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joanna.fulford@itamaraty.gov.br" TargetMode="External"/><Relationship Id="rId18" Type="http://schemas.openxmlformats.org/officeDocument/2006/relationships/oleObject" Target="embeddings/oleObject2.bin"/><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joanna.fulford@itamaraty.gov.br" TargetMode="External"/><Relationship Id="rId17" Type="http://schemas.openxmlformats.org/officeDocument/2006/relationships/image" Target="media/image2.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amir.funchal@itamaraty.gov.br" TargetMode="External"/><Relationship Id="rId22" Type="http://schemas.openxmlformats.org/officeDocument/2006/relationships/package" Target="embeddings/Microsoft_Excel_Worksheet1.xls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21</Pages>
  <Words>4779</Words>
  <Characters>27261</Characters>
  <Application>Microsoft Office Word</Application>
  <DocSecurity>0</DocSecurity>
  <Lines>227</Lines>
  <Paragraphs>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Report (Vertical)</vt:lpstr>
      <vt:lpstr>Report (Vertical)</vt:lpstr>
    </vt:vector>
  </TitlesOfParts>
  <Company>Mercer (US) Inc.</Company>
  <LinksUpToDate>false</LinksUpToDate>
  <CharactersWithSpaces>31977</CharactersWithSpaces>
  <SharedDoc>false</SharedDoc>
  <HLinks>
    <vt:vector size="30" baseType="variant">
      <vt:variant>
        <vt:i4>43</vt:i4>
      </vt:variant>
      <vt:variant>
        <vt:i4>48</vt:i4>
      </vt:variant>
      <vt:variant>
        <vt:i4>0</vt:i4>
      </vt:variant>
      <vt:variant>
        <vt:i4>5</vt:i4>
      </vt:variant>
      <vt:variant>
        <vt:lpwstr>mailto:samir.funchal@itamaraty.gov.br</vt:lpwstr>
      </vt:variant>
      <vt:variant>
        <vt:lpwstr/>
      </vt:variant>
      <vt:variant>
        <vt:i4>4849784</vt:i4>
      </vt:variant>
      <vt:variant>
        <vt:i4>45</vt:i4>
      </vt:variant>
      <vt:variant>
        <vt:i4>0</vt:i4>
      </vt:variant>
      <vt:variant>
        <vt:i4>5</vt:i4>
      </vt:variant>
      <vt:variant>
        <vt:lpwstr>mailto:ricardo.mendes@itamaraty.gov.br</vt:lpwstr>
      </vt:variant>
      <vt:variant>
        <vt:lpwstr/>
      </vt:variant>
      <vt:variant>
        <vt:i4>43</vt:i4>
      </vt:variant>
      <vt:variant>
        <vt:i4>42</vt:i4>
      </vt:variant>
      <vt:variant>
        <vt:i4>0</vt:i4>
      </vt:variant>
      <vt:variant>
        <vt:i4>5</vt:i4>
      </vt:variant>
      <vt:variant>
        <vt:lpwstr>mailto:samir.funchal@itamaraty.gov.br</vt:lpwstr>
      </vt:variant>
      <vt:variant>
        <vt:lpwstr/>
      </vt:variant>
      <vt:variant>
        <vt:i4>655401</vt:i4>
      </vt:variant>
      <vt:variant>
        <vt:i4>39</vt:i4>
      </vt:variant>
      <vt:variant>
        <vt:i4>0</vt:i4>
      </vt:variant>
      <vt:variant>
        <vt:i4>5</vt:i4>
      </vt:variant>
      <vt:variant>
        <vt:lpwstr>mailto:joanna.fulford@itamaraty.gov.br</vt:lpwstr>
      </vt:variant>
      <vt:variant>
        <vt:lpwstr/>
      </vt:variant>
      <vt:variant>
        <vt:i4>43</vt:i4>
      </vt:variant>
      <vt:variant>
        <vt:i4>36</vt:i4>
      </vt:variant>
      <vt:variant>
        <vt:i4>0</vt:i4>
      </vt:variant>
      <vt:variant>
        <vt:i4>5</vt:i4>
      </vt:variant>
      <vt:variant>
        <vt:lpwstr>mailto:samir.funchal@itamaraty.gov.br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(Vertical)</dc:title>
  <dc:subject>Request for Proposal nº 1/2014International Medical, Dental, Life Insurance and AD&amp;D Plan</dc:subject>
  <dc:creator>MC</dc:creator>
  <dc:description>MMCOA TemplatesMarsh &amp; McLennan Companies</dc:description>
  <cp:lastModifiedBy>Samir Funchal</cp:lastModifiedBy>
  <cp:revision>11</cp:revision>
  <cp:lastPrinted>2019-11-26T17:53:00Z</cp:lastPrinted>
  <dcterms:created xsi:type="dcterms:W3CDTF">2020-01-23T17:31:00Z</dcterms:created>
  <dcterms:modified xsi:type="dcterms:W3CDTF">2020-02-13T17:46:00Z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MCOA_Template">
    <vt:lpwstr>ReportVertical.dot</vt:lpwstr>
  </property>
  <property fmtid="{D5CDD505-2E9C-101B-9397-08002B2CF9AE}" pid="3" name="MMCOA_PaperResize">
    <vt:lpwstr>StdAndCustom</vt:lpwstr>
  </property>
  <property fmtid="{D5CDD505-2E9C-101B-9397-08002B2CF9AE}" pid="4" name="MMCOA_CurrentPaperSetup">
    <vt:lpwstr>USLetter</vt:lpwstr>
  </property>
  <property fmtid="{D5CDD505-2E9C-101B-9397-08002B2CF9AE}" pid="5" name="MMCOA_Redate">
    <vt:lpwstr>Date;</vt:lpwstr>
  </property>
  <property fmtid="{D5CDD505-2E9C-101B-9397-08002B2CF9AE}" pid="6" name="MMCOA_BIC">
    <vt:bool>true</vt:bool>
  </property>
  <property fmtid="{D5CDD505-2E9C-101B-9397-08002B2CF9AE}" pid="7" name="BICCompanyNameNo1">
    <vt:lpwstr>Mercer (US) Inc.</vt:lpwstr>
  </property>
  <property fmtid="{D5CDD505-2E9C-101B-9397-08002B2CF9AE}" pid="8" name="BICCompanyNameNo2">
    <vt:lpwstr> </vt:lpwstr>
  </property>
  <property fmtid="{D5CDD505-2E9C-101B-9397-08002B2CF9AE}" pid="9" name="BICCompanyNameNo3">
    <vt:lpwstr> </vt:lpwstr>
  </property>
  <property fmtid="{D5CDD505-2E9C-101B-9397-08002B2CF9AE}" pid="10" name="BICCompanyNameNo4">
    <vt:lpwstr> </vt:lpwstr>
  </property>
  <property fmtid="{D5CDD505-2E9C-101B-9397-08002B2CF9AE}" pid="11" name="BICCompanyAddressNo1">
    <vt:lpwstr>1166 Avenue of the AmericasNew York, NY 10036</vt:lpwstr>
  </property>
  <property fmtid="{D5CDD505-2E9C-101B-9397-08002B2CF9AE}" pid="12" name="BICCompanyAddressNo2">
    <vt:lpwstr> </vt:lpwstr>
  </property>
  <property fmtid="{D5CDD505-2E9C-101B-9397-08002B2CF9AE}" pid="13" name="BICCompanyAddressNo3">
    <vt:lpwstr> </vt:lpwstr>
  </property>
  <property fmtid="{D5CDD505-2E9C-101B-9397-08002B2CF9AE}" pid="14" name="BICCompanyAddressNo4">
    <vt:lpwstr> </vt:lpwstr>
  </property>
  <property fmtid="{D5CDD505-2E9C-101B-9397-08002B2CF9AE}" pid="15" name="BICCompanyPhoneNo1">
    <vt:lpwstr>+1 212 345 7000</vt:lpwstr>
  </property>
  <property fmtid="{D5CDD505-2E9C-101B-9397-08002B2CF9AE}" pid="16" name="BICCompanyPhoneNo2">
    <vt:lpwstr> </vt:lpwstr>
  </property>
  <property fmtid="{D5CDD505-2E9C-101B-9397-08002B2CF9AE}" pid="17" name="BICCompanyPhoneNo3">
    <vt:lpwstr> </vt:lpwstr>
  </property>
  <property fmtid="{D5CDD505-2E9C-101B-9397-08002B2CF9AE}" pid="18" name="BICCompanyPhoneNo4">
    <vt:lpwstr> </vt:lpwstr>
  </property>
  <property fmtid="{D5CDD505-2E9C-101B-9397-08002B2CF9AE}" pid="19" name="BICCompanyAbbreviatedNameNo1">
    <vt:lpwstr>Mercer</vt:lpwstr>
  </property>
  <property fmtid="{D5CDD505-2E9C-101B-9397-08002B2CF9AE}" pid="20" name="BICCompanyAbbreviatedNameNo2">
    <vt:lpwstr> </vt:lpwstr>
  </property>
  <property fmtid="{D5CDD505-2E9C-101B-9397-08002B2CF9AE}" pid="21" name="BICCompanyAbbreviatedNameNo3">
    <vt:lpwstr> </vt:lpwstr>
  </property>
  <property fmtid="{D5CDD505-2E9C-101B-9397-08002B2CF9AE}" pid="22" name="BICCompanyAbbreviatedNameNo4">
    <vt:lpwstr> </vt:lpwstr>
  </property>
  <property fmtid="{D5CDD505-2E9C-101B-9397-08002B2CF9AE}" pid="23" name="BICCompanyAbbreviationNo1">
    <vt:lpwstr>MER</vt:lpwstr>
  </property>
  <property fmtid="{D5CDD505-2E9C-101B-9397-08002B2CF9AE}" pid="24" name="BICCompanyAbbreviationNo2">
    <vt:lpwstr> </vt:lpwstr>
  </property>
  <property fmtid="{D5CDD505-2E9C-101B-9397-08002B2CF9AE}" pid="25" name="BICCompanyAbbreviationNo3">
    <vt:lpwstr> </vt:lpwstr>
  </property>
  <property fmtid="{D5CDD505-2E9C-101B-9397-08002B2CF9AE}" pid="26" name="BICCompanyAbbreviationNo4">
    <vt:lpwstr> </vt:lpwstr>
  </property>
  <property fmtid="{D5CDD505-2E9C-101B-9397-08002B2CF9AE}" pid="27" name="MMCOA_TemplateVersion">
    <vt:lpwstr>5.1</vt:lpwstr>
  </property>
  <property fmtid="{D5CDD505-2E9C-101B-9397-08002B2CF9AE}" pid="28" name="MMCOA_CoverColour">
    <vt:lpwstr>MMC_NoCover</vt:lpwstr>
  </property>
  <property fmtid="{D5CDD505-2E9C-101B-9397-08002B2CF9AE}" pid="29" name="MMCOA_StyleMap">
    <vt:lpwstr>UnNumbered</vt:lpwstr>
  </property>
  <property fmtid="{D5CDD505-2E9C-101B-9397-08002B2CF9AE}" pid="30" name="LogoBICPosition">
    <vt:lpwstr>1,2</vt:lpwstr>
  </property>
  <property fmtid="{D5CDD505-2E9C-101B-9397-08002B2CF9AE}" pid="31" name="MMCOA_SectionNewPage">
    <vt:lpwstr>Yes</vt:lpwstr>
  </property>
  <property fmtid="{D5CDD505-2E9C-101B-9397-08002B2CF9AE}" pid="32" name="MMCOA_UseBlackHeadings">
    <vt:lpwstr>Yes</vt:lpwstr>
  </property>
  <property fmtid="{D5CDD505-2E9C-101B-9397-08002B2CF9AE}" pid="33" name="MMCOA_UI_Language">
    <vt:lpwstr>en-US</vt:lpwstr>
  </property>
  <property fmtid="{D5CDD505-2E9C-101B-9397-08002B2CF9AE}" pid="34" name="MMCOA_Language">
    <vt:lpwstr>en-US</vt:lpwstr>
  </property>
  <property fmtid="{D5CDD505-2E9C-101B-9397-08002B2CF9AE}" pid="35" name="MMCOA_LanguageDateFormat">
    <vt:lpwstr>MMMM d, yyyy</vt:lpwstr>
  </property>
  <property fmtid="{D5CDD505-2E9C-101B-9397-08002B2CF9AE}" pid="36" name="MMCOA_Date">
    <vt:lpwstr>December 12, 2013</vt:lpwstr>
  </property>
  <property fmtid="{D5CDD505-2E9C-101B-9397-08002B2CF9AE}" pid="37" name="MMCOA_CompanyOption">
    <vt:lpwstr>79</vt:lpwstr>
  </property>
  <property fmtid="{D5CDD505-2E9C-101B-9397-08002B2CF9AE}" pid="38" name="MMCOA_BaseStyle">
    <vt:lpwstr>Base</vt:lpwstr>
  </property>
  <property fmtid="{D5CDD505-2E9C-101B-9397-08002B2CF9AE}" pid="39" name="MMCOA_TableStyles">
    <vt:lpwstr>Table Heading Text;Table Text</vt:lpwstr>
  </property>
  <property fmtid="{D5CDD505-2E9C-101B-9397-08002B2CF9AE}" pid="40" name="MMCOA_SuppressLogo">
    <vt:lpwstr>Logo Hide;Logo Hide 2;</vt:lpwstr>
  </property>
  <property fmtid="{D5CDD505-2E9C-101B-9397-08002B2CF9AE}" pid="41" name="MMCOA_SuppressLogoAddress">
    <vt:lpwstr>Logo Hide;Logo Hide 2;Text Hide;</vt:lpwstr>
  </property>
  <property fmtid="{D5CDD505-2E9C-101B-9397-08002B2CF9AE}" pid="42" name="MMCOA_StyleKeyBindings">
    <vt:lpwstr>NormalþHeading 1þHeading 2þHeading 3þList BulletþList Bullet 2þList Bullet 3þList Bullet 4þList NumberþList Number 2þList Number 3þList Number 4þNormal Indent 1þNormal Indent 2þNormal Indent 3þNormal </vt:lpwstr>
  </property>
  <property fmtid="{D5CDD505-2E9C-101B-9397-08002B2CF9AE}" pid="43" name="MMCOA_StyleKeyBindings2">
    <vt:lpwstr>Indent 4þHeading 1þHeading 2þHeading 3þHeading 5þList BulletþList Bullet 2þList Bullet 3þList Bullet 4</vt:lpwstr>
  </property>
  <property fmtid="{D5CDD505-2E9C-101B-9397-08002B2CF9AE}" pid="44" name="MMCOA_StyleKeyBindingsKeys">
    <vt:lpwstr>846þ1585þ1586þ1587þ1590þ1591þ1592þ1593þ1648þ1649þ1650þ1651þ1653þ1654þ1655þ1656þ1585þ1586þ1587þ1589þ1590þ1591þ1592þ1593</vt:lpwstr>
  </property>
  <property fmtid="{D5CDD505-2E9C-101B-9397-08002B2CF9AE}" pid="45" name="MMCOA_TOCStyles">
    <vt:lpwstr>Appendix Heading 1,9</vt:lpwstr>
  </property>
  <property fmtid="{D5CDD505-2E9C-101B-9397-08002B2CF9AE}" pid="46" name="MPR_DocID">
    <vt:lpwstr>d20562af11ad4dd796c84ef17e939e74</vt:lpwstr>
  </property>
</Properties>
</file>