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0035CA">
        <w:rPr>
          <w:rFonts w:ascii="Arial" w:hAnsi="Arial" w:cs="Arial"/>
          <w:b/>
          <w:bCs/>
          <w:color w:val="000080"/>
        </w:rPr>
        <w:t>5</w:t>
      </w:r>
      <w:r w:rsidR="0066357A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B84451">
        <w:rPr>
          <w:rFonts w:ascii="Arial" w:hAnsi="Arial" w:cs="Arial"/>
          <w:b/>
          <w:bCs/>
          <w:color w:val="000080"/>
        </w:rPr>
        <w:t>2</w:t>
      </w:r>
      <w:r w:rsidR="000C4662">
        <w:rPr>
          <w:rFonts w:ascii="Arial" w:hAnsi="Arial" w:cs="Arial"/>
          <w:b/>
          <w:bCs/>
          <w:color w:val="000080"/>
        </w:rPr>
        <w:t>8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F222B" w:rsidRPr="007848D3" w:rsidRDefault="00DF222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8545C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6357A" w:rsidRPr="009B2BBB" w:rsidRDefault="0066357A" w:rsidP="0066357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B2BBB">
        <w:rPr>
          <w:rFonts w:ascii="Arial" w:hAnsi="Arial" w:cs="Arial"/>
          <w:b/>
        </w:rPr>
        <w:t>O SECRETÁRIO DE PLANEJAMENTO E DESENVOLVIMENTO ENERGÉTICO DO MINISTÉRIO DE MINAS E ENERGIA</w:t>
      </w:r>
      <w:r w:rsidRPr="009B2BBB">
        <w:rPr>
          <w:rFonts w:ascii="Arial" w:hAnsi="Arial" w:cs="Arial"/>
        </w:rPr>
        <w:t>, no uso da competência que lhe foi delegada pelo art. 1</w:t>
      </w:r>
      <w:bookmarkStart w:id="0" w:name="_GoBack"/>
      <w:r w:rsidRPr="0066357A">
        <w:rPr>
          <w:rFonts w:ascii="Arial" w:hAnsi="Arial" w:cs="Arial"/>
          <w:u w:val="words"/>
          <w:vertAlign w:val="superscript"/>
        </w:rPr>
        <w:t>o</w:t>
      </w:r>
      <w:bookmarkEnd w:id="0"/>
      <w:r w:rsidRPr="009B2BBB">
        <w:rPr>
          <w:rFonts w:ascii="Arial" w:hAnsi="Arial" w:cs="Arial"/>
        </w:rPr>
        <w:t>, inciso I, da Portaria MME n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 xml:space="preserve"> 281, de 29 de junho de 2016, tendo em vista o disposto no art. 6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 xml:space="preserve"> do Decreto n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 xml:space="preserve"> 6.144, de 3 de julho de 2007, no art. 2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>, § 3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>, da Portaria MME n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 xml:space="preserve"> 274, de 19 de agosto de 2013, e o que consta do Processo n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 xml:space="preserve"> </w:t>
      </w:r>
      <w:r w:rsidRPr="009B2BBB">
        <w:rPr>
          <w:rFonts w:ascii="Arial" w:hAnsi="Arial" w:cs="Arial"/>
          <w:bCs/>
          <w:noProof/>
        </w:rPr>
        <w:t>48500.004020/2017-00</w:t>
      </w:r>
      <w:r w:rsidRPr="009B2BBB">
        <w:rPr>
          <w:rFonts w:ascii="Arial" w:hAnsi="Arial" w:cs="Arial"/>
        </w:rPr>
        <w:t>, resolve:</w:t>
      </w:r>
    </w:p>
    <w:p w:rsidR="0066357A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6357A" w:rsidRPr="009B2BBB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B2BBB">
        <w:rPr>
          <w:rFonts w:ascii="Arial" w:hAnsi="Arial" w:cs="Arial"/>
          <w:color w:val="000000"/>
        </w:rPr>
        <w:t>Art. 1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1 do Leilão n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</w:t>
      </w:r>
      <w:r w:rsidRPr="009B2BBB">
        <w:rPr>
          <w:rFonts w:ascii="Arial" w:hAnsi="Arial" w:cs="Arial"/>
          <w:noProof/>
          <w:color w:val="000000"/>
        </w:rPr>
        <w:t>05/2016-ANEEL</w:t>
      </w:r>
      <w:r w:rsidRPr="009B2BBB">
        <w:rPr>
          <w:rFonts w:ascii="Arial" w:hAnsi="Arial" w:cs="Arial"/>
          <w:color w:val="000000"/>
        </w:rPr>
        <w:t xml:space="preserve">, de titularidade da empresa </w:t>
      </w:r>
      <w:r w:rsidRPr="009B2BBB">
        <w:rPr>
          <w:rFonts w:ascii="Arial" w:hAnsi="Arial" w:cs="Arial"/>
          <w:noProof/>
          <w:color w:val="000000"/>
        </w:rPr>
        <w:t>ERB1 - Elétricas Reunidas do Brasil S.A.</w:t>
      </w:r>
      <w:r w:rsidRPr="009B2BBB">
        <w:rPr>
          <w:rFonts w:ascii="Arial" w:hAnsi="Arial" w:cs="Arial"/>
          <w:color w:val="000000"/>
        </w:rPr>
        <w:t>, inscrita no CNPJ/MF sob o n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> </w:t>
      </w:r>
      <w:r w:rsidRPr="009B2BBB">
        <w:rPr>
          <w:rFonts w:ascii="Arial" w:hAnsi="Arial" w:cs="Arial"/>
          <w:noProof/>
          <w:color w:val="000000"/>
        </w:rPr>
        <w:t>28.052.123/0001-95</w:t>
      </w:r>
      <w:r w:rsidRPr="009B2BBB">
        <w:rPr>
          <w:rFonts w:ascii="Arial" w:hAnsi="Arial" w:cs="Arial"/>
          <w:color w:val="000000"/>
        </w:rPr>
        <w:t>, detalhado no Anexo à presente Portaria.</w:t>
      </w:r>
    </w:p>
    <w:p w:rsidR="0066357A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6357A" w:rsidRPr="009B2BBB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B2BBB">
        <w:rPr>
          <w:rFonts w:ascii="Arial" w:hAnsi="Arial" w:cs="Arial"/>
          <w:color w:val="000000"/>
        </w:rPr>
        <w:t xml:space="preserve">Parágrafo único. O Projeto de que trata o </w:t>
      </w:r>
      <w:r w:rsidRPr="009B2BBB">
        <w:rPr>
          <w:rFonts w:ascii="Arial" w:hAnsi="Arial" w:cs="Arial"/>
          <w:b/>
          <w:color w:val="000000"/>
        </w:rPr>
        <w:t>caput</w:t>
      </w:r>
      <w:r w:rsidRPr="009B2BBB">
        <w:rPr>
          <w:rFonts w:ascii="Arial" w:hAnsi="Arial" w:cs="Arial"/>
          <w:color w:val="000000"/>
        </w:rPr>
        <w:t xml:space="preserve">, objeto do </w:t>
      </w:r>
      <w:r w:rsidRPr="009B2BBB">
        <w:rPr>
          <w:rFonts w:ascii="Arial" w:hAnsi="Arial" w:cs="Arial"/>
        </w:rPr>
        <w:t>Contrato de Concessão n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 xml:space="preserve"> </w:t>
      </w:r>
      <w:r w:rsidRPr="009B2BBB">
        <w:rPr>
          <w:rFonts w:ascii="Arial" w:hAnsi="Arial" w:cs="Arial"/>
          <w:noProof/>
        </w:rPr>
        <w:t>22/2017-ANEEL</w:t>
      </w:r>
      <w:r w:rsidRPr="009B2BBB">
        <w:rPr>
          <w:rFonts w:ascii="Arial" w:hAnsi="Arial" w:cs="Arial"/>
        </w:rPr>
        <w:t xml:space="preserve">, celebrado em </w:t>
      </w:r>
      <w:r w:rsidRPr="009B2BBB">
        <w:rPr>
          <w:rFonts w:ascii="Arial" w:hAnsi="Arial" w:cs="Arial"/>
          <w:noProof/>
        </w:rPr>
        <w:t>11 de agosto de 2017</w:t>
      </w:r>
      <w:r w:rsidRPr="009B2BBB">
        <w:rPr>
          <w:rFonts w:ascii="Arial" w:hAnsi="Arial" w:cs="Arial"/>
          <w:color w:val="000000"/>
        </w:rPr>
        <w:t xml:space="preserve">, é alcançado pelo art. </w:t>
      </w:r>
      <w:r w:rsidRPr="009B2BBB">
        <w:rPr>
          <w:rFonts w:ascii="Arial" w:hAnsi="Arial" w:cs="Arial"/>
        </w:rPr>
        <w:t>4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>, inciso II, da Portaria MME n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274, de 19 de agosto de 2013.</w:t>
      </w:r>
    </w:p>
    <w:p w:rsidR="0066357A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6357A" w:rsidRPr="009B2BBB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B2BBB">
        <w:rPr>
          <w:rFonts w:ascii="Arial" w:hAnsi="Arial" w:cs="Arial"/>
          <w:color w:val="000000"/>
        </w:rPr>
        <w:t>Art. 2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As estimativas dos investimentos têm por base o mês de </w:t>
      </w:r>
      <w:r w:rsidRPr="009B2BBB">
        <w:rPr>
          <w:rFonts w:ascii="Arial" w:hAnsi="Arial" w:cs="Arial"/>
          <w:noProof/>
          <w:color w:val="000000"/>
        </w:rPr>
        <w:t>julho de 2017</w:t>
      </w:r>
      <w:r w:rsidRPr="009B2BBB">
        <w:rPr>
          <w:rFonts w:ascii="Arial" w:hAnsi="Arial" w:cs="Arial"/>
          <w:color w:val="000000"/>
        </w:rPr>
        <w:t xml:space="preserve"> e são de exclusiva responsabilidade da </w:t>
      </w:r>
      <w:r w:rsidRPr="009B2BBB">
        <w:rPr>
          <w:rFonts w:ascii="Arial" w:hAnsi="Arial" w:cs="Arial"/>
          <w:noProof/>
          <w:color w:val="000000"/>
        </w:rPr>
        <w:t>ERB1 - Elétricas Reunidas do Brasil S.A.</w:t>
      </w:r>
      <w:r w:rsidRPr="009B2BBB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6357A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6357A" w:rsidRPr="009B2BBB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B2BBB">
        <w:rPr>
          <w:rFonts w:ascii="Arial" w:hAnsi="Arial" w:cs="Arial"/>
          <w:color w:val="000000"/>
        </w:rPr>
        <w:t>Art. 3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A </w:t>
      </w:r>
      <w:r w:rsidRPr="009B2BBB">
        <w:rPr>
          <w:rFonts w:ascii="Arial" w:hAnsi="Arial" w:cs="Arial"/>
          <w:noProof/>
          <w:color w:val="000000"/>
        </w:rPr>
        <w:t>ERB1 - Elétricas Reunidas do Brasil S.A.</w:t>
      </w:r>
      <w:r w:rsidRPr="009B2BBB">
        <w:rPr>
          <w:rFonts w:ascii="Arial" w:hAnsi="Arial" w:cs="Arial"/>
        </w:rPr>
        <w:t xml:space="preserve"> </w:t>
      </w:r>
      <w:r w:rsidRPr="009B2BBB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6357A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6357A" w:rsidRPr="009B2BBB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B2BBB">
        <w:rPr>
          <w:rFonts w:ascii="Arial" w:hAnsi="Arial" w:cs="Arial"/>
          <w:color w:val="000000"/>
        </w:rPr>
        <w:t>Art. 4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Alterações técnicas ou de titularidade do Projeto</w:t>
      </w:r>
      <w:r w:rsidRPr="009B2BBB">
        <w:rPr>
          <w:rFonts w:ascii="Arial" w:hAnsi="Arial" w:cs="Arial"/>
          <w:color w:val="FF0000"/>
        </w:rPr>
        <w:t xml:space="preserve"> </w:t>
      </w:r>
      <w:r w:rsidRPr="009B2BBB">
        <w:rPr>
          <w:rFonts w:ascii="Arial" w:hAnsi="Arial" w:cs="Arial"/>
        </w:rPr>
        <w:t>de que trata esta Portaria</w:t>
      </w:r>
      <w:r w:rsidRPr="009B2BBB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66357A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6357A" w:rsidRPr="009B2BBB" w:rsidRDefault="0066357A" w:rsidP="0066357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B2BBB">
        <w:rPr>
          <w:rFonts w:ascii="Arial" w:hAnsi="Arial" w:cs="Arial"/>
          <w:color w:val="000000"/>
        </w:rPr>
        <w:t>Art. 5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6357A" w:rsidRDefault="0066357A" w:rsidP="0066357A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66357A" w:rsidRPr="009B2BBB" w:rsidRDefault="0066357A" w:rsidP="0066357A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B2BBB">
        <w:rPr>
          <w:rFonts w:ascii="Arial" w:hAnsi="Arial" w:cs="Arial"/>
          <w:color w:val="000000"/>
        </w:rPr>
        <w:t>Art. 6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A </w:t>
      </w:r>
      <w:r w:rsidRPr="009B2BBB">
        <w:rPr>
          <w:rFonts w:ascii="Arial" w:hAnsi="Arial" w:cs="Arial"/>
          <w:noProof/>
          <w:color w:val="000000"/>
        </w:rPr>
        <w:t xml:space="preserve">ERB1 - Elétricas Reunidas do Brasil S.A. </w:t>
      </w:r>
      <w:r w:rsidRPr="009B2BBB">
        <w:rPr>
          <w:rFonts w:ascii="Arial" w:hAnsi="Arial" w:cs="Arial"/>
          <w:color w:val="000000"/>
        </w:rPr>
        <w:t>deverá observar, no que couber, as disposições constantes na Lei n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11.488, de 15 de junho de 2007, no Decreto n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6.144, de 3 de julho de 2007, na Portaria MME </w:t>
      </w:r>
      <w:r w:rsidRPr="009B2BBB">
        <w:rPr>
          <w:rFonts w:ascii="Arial" w:hAnsi="Arial" w:cs="Arial"/>
        </w:rPr>
        <w:t>n</w:t>
      </w:r>
      <w:r w:rsidRPr="0066357A">
        <w:rPr>
          <w:rFonts w:ascii="Arial" w:hAnsi="Arial" w:cs="Arial"/>
          <w:u w:val="words"/>
          <w:vertAlign w:val="superscript"/>
        </w:rPr>
        <w:t>o</w:t>
      </w:r>
      <w:r w:rsidRPr="009B2BBB">
        <w:rPr>
          <w:rFonts w:ascii="Arial" w:hAnsi="Arial" w:cs="Arial"/>
        </w:rPr>
        <w:t xml:space="preserve"> 274, de 2013</w:t>
      </w:r>
      <w:r w:rsidRPr="009B2BBB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9B2BBB">
        <w:rPr>
          <w:rFonts w:ascii="Arial" w:hAnsi="Arial" w:cs="Arial"/>
          <w:color w:val="000000"/>
        </w:rPr>
        <w:t>arts</w:t>
      </w:r>
      <w:proofErr w:type="spellEnd"/>
      <w:r w:rsidRPr="009B2BBB">
        <w:rPr>
          <w:rFonts w:ascii="Arial" w:hAnsi="Arial" w:cs="Arial"/>
          <w:color w:val="000000"/>
        </w:rPr>
        <w:t>. 9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e 14, do Decreto n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66357A" w:rsidRDefault="0066357A" w:rsidP="0066357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6357A" w:rsidRPr="009B2BBB" w:rsidRDefault="0066357A" w:rsidP="0066357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B2BBB">
        <w:rPr>
          <w:rFonts w:ascii="Arial" w:hAnsi="Arial" w:cs="Arial"/>
          <w:color w:val="000000"/>
        </w:rPr>
        <w:t>Art. 7</w:t>
      </w:r>
      <w:r w:rsidRPr="0066357A">
        <w:rPr>
          <w:rFonts w:ascii="Arial" w:hAnsi="Arial" w:cs="Arial"/>
          <w:color w:val="000000"/>
          <w:u w:val="words"/>
          <w:vertAlign w:val="superscript"/>
        </w:rPr>
        <w:t>o</w:t>
      </w:r>
      <w:r w:rsidRPr="009B2BB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857DDC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857DDC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851769">
        <w:rPr>
          <w:rFonts w:ascii="Arial" w:hAnsi="Arial" w:cs="Arial"/>
          <w:color w:val="FF0000"/>
        </w:rPr>
        <w:t>2</w:t>
      </w:r>
      <w:r w:rsidR="00B84451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13"/>
        <w:gridCol w:w="4176"/>
        <w:gridCol w:w="214"/>
        <w:gridCol w:w="4111"/>
      </w:tblGrid>
      <w:tr w:rsidR="0066357A" w:rsidRPr="009B2BBB" w:rsidTr="0066357A">
        <w:trPr>
          <w:trHeight w:val="360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B2BB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052" w:type="dxa"/>
            <w:gridSpan w:val="5"/>
            <w:vAlign w:val="center"/>
          </w:tcPr>
          <w:p w:rsidR="0066357A" w:rsidRPr="009B2BBB" w:rsidRDefault="0066357A" w:rsidP="0051426A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9B2BBB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66357A" w:rsidRPr="009B2BBB" w:rsidTr="0066357A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B2BB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66357A" w:rsidRPr="009B2BBB" w:rsidTr="0066357A">
        <w:trPr>
          <w:trHeight w:val="223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01 - Nome Empresarial</w:t>
            </w:r>
          </w:p>
        </w:tc>
      </w:tr>
      <w:tr w:rsidR="0066357A" w:rsidRPr="009B2BBB" w:rsidTr="0066357A">
        <w:trPr>
          <w:trHeight w:val="22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  <w:noProof/>
                <w:szCs w:val="22"/>
              </w:rPr>
              <w:t>ERB1 - Elétricas Reunidas do Brasil S.A.</w:t>
            </w:r>
          </w:p>
        </w:tc>
      </w:tr>
      <w:tr w:rsidR="0066357A" w:rsidRPr="009B2BBB" w:rsidTr="0066357A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03 - Telefone</w:t>
            </w:r>
          </w:p>
        </w:tc>
      </w:tr>
      <w:tr w:rsidR="0066357A" w:rsidRPr="009B2BBB" w:rsidTr="0066357A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  <w:noProof/>
                <w:color w:val="000000"/>
              </w:rPr>
              <w:t>28.052.123/0001-95.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(11) 3138-7020.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052" w:type="dxa"/>
            <w:gridSpan w:val="5"/>
          </w:tcPr>
          <w:p w:rsidR="0066357A" w:rsidRPr="009B2BBB" w:rsidRDefault="0066357A" w:rsidP="0051426A">
            <w:pPr>
              <w:jc w:val="both"/>
              <w:rPr>
                <w:rFonts w:ascii="Arial" w:hAnsi="Arial" w:cs="Arial"/>
                <w:bCs/>
              </w:rPr>
            </w:pPr>
            <w:r w:rsidRPr="009B2BBB">
              <w:rPr>
                <w:rFonts w:ascii="Arial" w:hAnsi="Arial" w:cs="Arial"/>
              </w:rPr>
              <w:t xml:space="preserve">04 - </w:t>
            </w:r>
            <w:r w:rsidRPr="009B2BBB">
              <w:rPr>
                <w:rFonts w:ascii="Arial" w:hAnsi="Arial" w:cs="Arial"/>
                <w:bCs/>
              </w:rPr>
              <w:t>DADOS DO PROJETO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  <w:r w:rsidRPr="009B2BB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501" w:type="dxa"/>
            <w:gridSpan w:val="3"/>
            <w:tcBorders>
              <w:bottom w:val="single" w:sz="4" w:space="0" w:color="auto"/>
            </w:tcBorders>
          </w:tcPr>
          <w:p w:rsidR="0066357A" w:rsidRPr="0066357A" w:rsidRDefault="0066357A" w:rsidP="0066357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Lote 1 do Leilão n</w:t>
            </w:r>
            <w:r w:rsidRPr="0066357A">
              <w:rPr>
                <w:rFonts w:ascii="Arial" w:hAnsi="Arial" w:cs="Arial"/>
                <w:sz w:val="23"/>
                <w:szCs w:val="23"/>
                <w:u w:val="words"/>
                <w:vertAlign w:val="superscript"/>
              </w:rPr>
              <w:t>o</w:t>
            </w:r>
            <w:r w:rsidRPr="0066357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6357A">
              <w:rPr>
                <w:rFonts w:ascii="Arial" w:hAnsi="Arial" w:cs="Arial"/>
                <w:noProof/>
                <w:sz w:val="23"/>
                <w:szCs w:val="23"/>
              </w:rPr>
              <w:t>05/2016</w:t>
            </w:r>
            <w:r w:rsidRPr="0066357A">
              <w:rPr>
                <w:rFonts w:ascii="Arial" w:hAnsi="Arial" w:cs="Arial"/>
                <w:sz w:val="23"/>
                <w:szCs w:val="23"/>
              </w:rPr>
              <w:t>-ANEEL (Contrato de Concessão n</w:t>
            </w:r>
            <w:r w:rsidRPr="0066357A">
              <w:rPr>
                <w:rFonts w:ascii="Arial" w:hAnsi="Arial" w:cs="Arial"/>
                <w:sz w:val="23"/>
                <w:szCs w:val="23"/>
                <w:u w:val="words"/>
                <w:vertAlign w:val="superscript"/>
              </w:rPr>
              <w:t>o</w:t>
            </w:r>
            <w:r w:rsidRPr="0066357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6357A">
              <w:rPr>
                <w:rFonts w:ascii="Arial" w:hAnsi="Arial" w:cs="Arial"/>
                <w:noProof/>
                <w:sz w:val="23"/>
                <w:szCs w:val="23"/>
              </w:rPr>
              <w:t>22/2017-ANEEL</w:t>
            </w:r>
            <w:r w:rsidRPr="0066357A">
              <w:rPr>
                <w:rFonts w:ascii="Arial" w:hAnsi="Arial" w:cs="Arial"/>
                <w:sz w:val="23"/>
                <w:szCs w:val="23"/>
              </w:rPr>
              <w:t xml:space="preserve">, celebrado em </w:t>
            </w:r>
            <w:r w:rsidRPr="0066357A">
              <w:rPr>
                <w:rFonts w:ascii="Arial" w:hAnsi="Arial" w:cs="Arial"/>
                <w:noProof/>
                <w:sz w:val="23"/>
                <w:szCs w:val="23"/>
              </w:rPr>
              <w:t>11 de agosto de 2017).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51" w:type="dxa"/>
            <w:gridSpan w:val="2"/>
            <w:vMerge w:val="restart"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  <w:r w:rsidRPr="009B2BB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501" w:type="dxa"/>
            <w:gridSpan w:val="3"/>
          </w:tcPr>
          <w:p w:rsidR="0066357A" w:rsidRPr="0066357A" w:rsidRDefault="0066357A" w:rsidP="0066357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Projeto de Transmissão de Energia Elétrica, relativo ao Lote 1 do Leilão n</w:t>
            </w:r>
            <w:r w:rsidRPr="0066357A">
              <w:rPr>
                <w:rFonts w:ascii="Arial" w:hAnsi="Arial" w:cs="Arial"/>
                <w:color w:val="000000"/>
                <w:sz w:val="23"/>
                <w:szCs w:val="23"/>
                <w:u w:val="words"/>
                <w:vertAlign w:val="superscript"/>
              </w:rPr>
              <w:t>o</w:t>
            </w:r>
            <w:r w:rsidRPr="0066357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6357A">
              <w:rPr>
                <w:rFonts w:ascii="Arial" w:hAnsi="Arial" w:cs="Arial"/>
                <w:noProof/>
                <w:sz w:val="23"/>
                <w:szCs w:val="23"/>
              </w:rPr>
              <w:t>05/2016-ANEEL</w:t>
            </w:r>
            <w:r w:rsidRPr="0066357A">
              <w:rPr>
                <w:rFonts w:ascii="Arial" w:hAnsi="Arial" w:cs="Arial"/>
                <w:sz w:val="23"/>
                <w:szCs w:val="23"/>
              </w:rPr>
              <w:t>, compreendendo: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57A" w:rsidRPr="0066357A" w:rsidRDefault="0066357A" w:rsidP="006635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I - Linha de Transmissão Foz do Iguaçu - Guaíra, em 525 kV, Circuito Duplo, com extensão aproximada de cento e setenta e três quilômetros, com origem na Subestação Foz do Iguaçu e término na Subestação Guaíra;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57A" w:rsidRPr="0066357A" w:rsidRDefault="0066357A" w:rsidP="006635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II - novo Pátio 525 kV na Subestação Guaíra, Unidades de Transformação 525/230 kV, 6 x 224 MVA com Unidade Reserva;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57A" w:rsidRPr="0066357A" w:rsidRDefault="0066357A" w:rsidP="006635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III - Linha de Transmissão Guaíra - Sarandi, em 525 kV, Circuito Duplo, com extensão aproximada de duzentos e sessenta e seis quilômetros, com origem na Subestação Guaíra e término na Subestação Sarandi;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531"/>
          <w:jc w:val="center"/>
        </w:trPr>
        <w:tc>
          <w:tcPr>
            <w:tcW w:w="2551" w:type="dxa"/>
            <w:gridSpan w:val="2"/>
            <w:vMerge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57A" w:rsidRPr="0066357A" w:rsidRDefault="0066357A" w:rsidP="006635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IV - novo Pátio 525 kV na Subestação Sarandi, Unidades de Transformação 525/230 kV, 6 x 224 MVA com Unidade Reserva;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57A" w:rsidRPr="0066357A" w:rsidRDefault="0066357A" w:rsidP="006635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V - Linha de Transmissão Sarandi - Londrina (</w:t>
            </w:r>
            <w:proofErr w:type="spellStart"/>
            <w:r w:rsidRPr="0066357A">
              <w:rPr>
                <w:rFonts w:ascii="Arial" w:hAnsi="Arial" w:cs="Arial"/>
                <w:sz w:val="23"/>
                <w:szCs w:val="23"/>
              </w:rPr>
              <w:t>Eletrosul</w:t>
            </w:r>
            <w:proofErr w:type="spellEnd"/>
            <w:r w:rsidRPr="0066357A">
              <w:rPr>
                <w:rFonts w:ascii="Arial" w:hAnsi="Arial" w:cs="Arial"/>
                <w:sz w:val="23"/>
                <w:szCs w:val="23"/>
              </w:rPr>
              <w:t>), em 525 kV, Circuito Duplo, com extensão aproximada de setenta e cinco quilômetros, com origem na Subestação Sarandi e término na Subestação Londrina (</w:t>
            </w:r>
            <w:proofErr w:type="spellStart"/>
            <w:r w:rsidRPr="0066357A">
              <w:rPr>
                <w:rFonts w:ascii="Arial" w:hAnsi="Arial" w:cs="Arial"/>
                <w:sz w:val="23"/>
                <w:szCs w:val="23"/>
              </w:rPr>
              <w:t>Eletrosul</w:t>
            </w:r>
            <w:proofErr w:type="spellEnd"/>
            <w:r w:rsidRPr="0066357A">
              <w:rPr>
                <w:rFonts w:ascii="Arial" w:hAnsi="Arial" w:cs="Arial"/>
                <w:sz w:val="23"/>
                <w:szCs w:val="23"/>
              </w:rPr>
              <w:t>);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57A" w:rsidRPr="0066357A" w:rsidRDefault="0066357A" w:rsidP="006635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VI - Linha de Transmissão Sarandi - Paranavaí Norte, em 230 kV, Circuito Duplo, com extensão aproximada de oitenta e cinco quilômetros, com origem na Subestação Sarandi e término na Subestação Paranavaí Norte;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57A" w:rsidRPr="0066357A" w:rsidRDefault="0066357A" w:rsidP="006635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VII - nova Subestação 230/138 kV Paranavaí Norte, Unidades de Transformação 230/138 kV, 6 x 50 MVA com Unidade Reserva; e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57A" w:rsidRPr="0066357A" w:rsidRDefault="0066357A" w:rsidP="0066357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VIII - Módulos Gerais, Conexões de Unidades de Transformação, Conexões de Reatores e de Bancos de Capacitores, Entradas de Linha, Interligações de Barramento,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501" w:type="dxa"/>
            <w:gridSpan w:val="3"/>
            <w:tcBorders>
              <w:top w:val="single" w:sz="4" w:space="0" w:color="auto"/>
            </w:tcBorders>
          </w:tcPr>
          <w:p w:rsidR="0066357A" w:rsidRPr="0066357A" w:rsidRDefault="0066357A" w:rsidP="0066357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>De 11/8/2017 a 11/8/2022.</w:t>
            </w:r>
          </w:p>
        </w:tc>
      </w:tr>
      <w:tr w:rsidR="0066357A" w:rsidRPr="009B2BBB" w:rsidTr="0066357A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501" w:type="dxa"/>
            <w:gridSpan w:val="3"/>
          </w:tcPr>
          <w:p w:rsidR="0066357A" w:rsidRPr="0066357A" w:rsidRDefault="0066357A" w:rsidP="0066357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6357A">
              <w:rPr>
                <w:rFonts w:ascii="Arial" w:hAnsi="Arial" w:cs="Arial"/>
                <w:sz w:val="23"/>
                <w:szCs w:val="23"/>
              </w:rPr>
              <w:t xml:space="preserve">Municípios de Foz do Iguaçu, Santa Terezinha de Itaipu, São Miguel do Iguaçu, Itaipulândia, Missal, </w:t>
            </w:r>
            <w:proofErr w:type="spellStart"/>
            <w:r w:rsidRPr="0066357A">
              <w:rPr>
                <w:rFonts w:ascii="Arial" w:hAnsi="Arial" w:cs="Arial"/>
                <w:sz w:val="23"/>
                <w:szCs w:val="23"/>
              </w:rPr>
              <w:t>Ramilândia</w:t>
            </w:r>
            <w:proofErr w:type="spellEnd"/>
            <w:r w:rsidRPr="0066357A">
              <w:rPr>
                <w:rFonts w:ascii="Arial" w:hAnsi="Arial" w:cs="Arial"/>
                <w:sz w:val="23"/>
                <w:szCs w:val="23"/>
              </w:rPr>
              <w:t xml:space="preserve">, Santa Helena, Diamante D'Oeste, São José das Palmeiras, Entre Rios do Oeste, Marechal Cândido Rondon, Mercedes, Terra Roxa, Guaíra, Francisco Alves, Iporã, Cafezal do Sul, </w:t>
            </w:r>
            <w:proofErr w:type="spellStart"/>
            <w:r w:rsidRPr="0066357A">
              <w:rPr>
                <w:rFonts w:ascii="Arial" w:hAnsi="Arial" w:cs="Arial"/>
                <w:sz w:val="23"/>
                <w:szCs w:val="23"/>
              </w:rPr>
              <w:t>Perobal</w:t>
            </w:r>
            <w:proofErr w:type="spellEnd"/>
            <w:r w:rsidRPr="0066357A">
              <w:rPr>
                <w:rFonts w:ascii="Arial" w:hAnsi="Arial" w:cs="Arial"/>
                <w:sz w:val="23"/>
                <w:szCs w:val="23"/>
              </w:rPr>
              <w:t xml:space="preserve">, Umuarama, Cruzeiro do Oeste, </w:t>
            </w:r>
            <w:proofErr w:type="spellStart"/>
            <w:r w:rsidRPr="0066357A">
              <w:rPr>
                <w:rFonts w:ascii="Arial" w:hAnsi="Arial" w:cs="Arial"/>
                <w:sz w:val="23"/>
                <w:szCs w:val="23"/>
              </w:rPr>
              <w:t>Tuneiras</w:t>
            </w:r>
            <w:proofErr w:type="spellEnd"/>
            <w:r w:rsidRPr="0066357A">
              <w:rPr>
                <w:rFonts w:ascii="Arial" w:hAnsi="Arial" w:cs="Arial"/>
                <w:sz w:val="23"/>
                <w:szCs w:val="23"/>
              </w:rPr>
              <w:t xml:space="preserve"> do Oeste, Tapejara, Cianorte, Jussara, Terra Boa, Doutor Camargo, </w:t>
            </w:r>
            <w:proofErr w:type="spellStart"/>
            <w:r w:rsidRPr="0066357A">
              <w:rPr>
                <w:rFonts w:ascii="Arial" w:hAnsi="Arial" w:cs="Arial"/>
                <w:sz w:val="23"/>
                <w:szCs w:val="23"/>
              </w:rPr>
              <w:t>Ivatuba</w:t>
            </w:r>
            <w:proofErr w:type="spellEnd"/>
            <w:r w:rsidRPr="0066357A">
              <w:rPr>
                <w:rFonts w:ascii="Arial" w:hAnsi="Arial" w:cs="Arial"/>
                <w:sz w:val="23"/>
                <w:szCs w:val="23"/>
              </w:rPr>
              <w:t>, Floresta, Maringá, Marialva, Sarandi, Mandaguari, Apucarana, Arapongas, Londrina, Mandaguaçu, Atalaia, Nova Esperança, Uniflor, Alto Paraná e Paranavaí, Estado do Paraná.</w:t>
            </w:r>
          </w:p>
        </w:tc>
      </w:tr>
      <w:tr w:rsidR="0066357A" w:rsidRPr="009B2BBB" w:rsidTr="0066357A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  <w:bCs/>
              </w:rPr>
            </w:pPr>
            <w:r w:rsidRPr="009B2BBB">
              <w:rPr>
                <w:rFonts w:ascii="Arial" w:hAnsi="Arial" w:cs="Arial"/>
              </w:rPr>
              <w:t xml:space="preserve">05 - </w:t>
            </w:r>
            <w:r w:rsidRPr="009B2BBB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66357A" w:rsidRPr="009B2BBB" w:rsidTr="0066357A">
        <w:trPr>
          <w:trHeight w:hRule="exact"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9B2BBB">
              <w:rPr>
                <w:rFonts w:ascii="Arial" w:hAnsi="Arial" w:cs="Arial"/>
                <w:szCs w:val="22"/>
              </w:rPr>
              <w:t>Edwaldo</w:t>
            </w:r>
            <w:proofErr w:type="spellEnd"/>
            <w:r w:rsidRPr="009B2BBB">
              <w:rPr>
                <w:rFonts w:ascii="Arial" w:hAnsi="Arial" w:cs="Arial"/>
                <w:szCs w:val="22"/>
              </w:rPr>
              <w:t xml:space="preserve"> Oliveira </w:t>
            </w:r>
            <w:proofErr w:type="spellStart"/>
            <w:r w:rsidRPr="009B2BBB">
              <w:rPr>
                <w:rFonts w:ascii="Arial" w:hAnsi="Arial" w:cs="Arial"/>
                <w:szCs w:val="22"/>
              </w:rPr>
              <w:t>Lippe</w:t>
            </w:r>
            <w:proofErr w:type="spellEnd"/>
            <w:r w:rsidRPr="009B2BBB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CPF: 067.815.408-23.</w:t>
            </w:r>
          </w:p>
        </w:tc>
      </w:tr>
      <w:tr w:rsidR="0066357A" w:rsidRPr="009B2BBB" w:rsidTr="0066357A">
        <w:trPr>
          <w:trHeight w:hRule="exact"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Nome: Luiz Roberto de Azevedo.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CPF: 972.508.308-30.</w:t>
            </w:r>
          </w:p>
        </w:tc>
      </w:tr>
      <w:tr w:rsidR="0066357A" w:rsidRPr="009B2BBB" w:rsidTr="0066357A">
        <w:trPr>
          <w:trHeight w:hRule="exact"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Nome: Vinicius Silva de Andrade.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 xml:space="preserve">CPF: 372.440.638-06. </w:t>
            </w:r>
          </w:p>
        </w:tc>
      </w:tr>
      <w:tr w:rsidR="0066357A" w:rsidRPr="009B2BBB" w:rsidTr="0066357A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  <w:bCs/>
              </w:rPr>
            </w:pPr>
            <w:r w:rsidRPr="009B2BBB">
              <w:rPr>
                <w:rFonts w:ascii="Arial" w:hAnsi="Arial" w:cs="Arial"/>
              </w:rPr>
              <w:lastRenderedPageBreak/>
              <w:t xml:space="preserve">06 - </w:t>
            </w:r>
            <w:r w:rsidRPr="009B2BBB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66357A" w:rsidRPr="009B2BBB" w:rsidTr="0066357A">
        <w:trPr>
          <w:trHeight w:val="1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jc w:val="right"/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980.462.600,36.</w:t>
            </w:r>
          </w:p>
        </w:tc>
      </w:tr>
      <w:tr w:rsidR="0066357A" w:rsidRPr="009B2BBB" w:rsidTr="0066357A">
        <w:trPr>
          <w:trHeight w:val="14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jc w:val="right"/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446.455.901,88.</w:t>
            </w:r>
          </w:p>
        </w:tc>
      </w:tr>
      <w:tr w:rsidR="0066357A" w:rsidRPr="009B2BBB" w:rsidTr="0066357A">
        <w:trPr>
          <w:trHeight w:val="1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jc w:val="right"/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362.986.659,40.</w:t>
            </w:r>
          </w:p>
        </w:tc>
      </w:tr>
      <w:tr w:rsidR="0066357A" w:rsidRPr="009B2BBB" w:rsidTr="0066357A">
        <w:trPr>
          <w:trHeight w:val="14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  <w:r w:rsidRPr="009B2BBB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9B2BBB">
              <w:rPr>
                <w:rFonts w:ascii="Arial" w:hAnsi="Arial" w:cs="Arial"/>
                <w:b/>
                <w:szCs w:val="22"/>
              </w:rPr>
              <w:t>1.789.905.161,64.</w:t>
            </w:r>
          </w:p>
        </w:tc>
      </w:tr>
      <w:tr w:rsidR="0066357A" w:rsidRPr="009B2BBB" w:rsidTr="0066357A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A" w:rsidRPr="009B2BBB" w:rsidRDefault="0066357A" w:rsidP="0051426A">
            <w:pPr>
              <w:rPr>
                <w:rFonts w:ascii="Arial" w:hAnsi="Arial" w:cs="Arial"/>
                <w:bCs/>
              </w:rPr>
            </w:pPr>
            <w:r w:rsidRPr="009B2BBB">
              <w:rPr>
                <w:rFonts w:ascii="Arial" w:hAnsi="Arial" w:cs="Arial"/>
              </w:rPr>
              <w:t xml:space="preserve">07 - </w:t>
            </w:r>
            <w:r w:rsidRPr="009B2BBB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66357A" w:rsidRPr="009B2BBB" w:rsidTr="0066357A">
        <w:trPr>
          <w:trHeight w:val="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Bens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jc w:val="right"/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907.835.741,08.</w:t>
            </w:r>
          </w:p>
        </w:tc>
      </w:tr>
      <w:tr w:rsidR="0066357A" w:rsidRPr="009B2BBB" w:rsidTr="0066357A">
        <w:trPr>
          <w:trHeight w:val="2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Serviços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jc w:val="right"/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430.734.106,97.</w:t>
            </w:r>
          </w:p>
        </w:tc>
      </w:tr>
      <w:tr w:rsidR="0066357A" w:rsidRPr="009B2BBB" w:rsidTr="0066357A">
        <w:trPr>
          <w:trHeight w:val="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</w:rPr>
            </w:pPr>
            <w:r w:rsidRPr="009B2BBB">
              <w:rPr>
                <w:rFonts w:ascii="Arial" w:hAnsi="Arial" w:cs="Arial"/>
              </w:rPr>
              <w:t>Outros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jc w:val="right"/>
              <w:rPr>
                <w:rFonts w:ascii="Arial" w:hAnsi="Arial" w:cs="Arial"/>
                <w:szCs w:val="22"/>
              </w:rPr>
            </w:pPr>
            <w:r w:rsidRPr="009B2BBB">
              <w:rPr>
                <w:rFonts w:ascii="Arial" w:hAnsi="Arial" w:cs="Arial"/>
                <w:szCs w:val="22"/>
              </w:rPr>
              <w:t>362.986.659,40.</w:t>
            </w:r>
          </w:p>
        </w:tc>
      </w:tr>
      <w:tr w:rsidR="0066357A" w:rsidRPr="009B2BBB" w:rsidTr="0066357A">
        <w:trPr>
          <w:trHeight w:val="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rPr>
                <w:rFonts w:ascii="Arial" w:hAnsi="Arial" w:cs="Arial"/>
                <w:b/>
              </w:rPr>
            </w:pPr>
            <w:r w:rsidRPr="009B2BBB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7A" w:rsidRPr="009B2BBB" w:rsidRDefault="0066357A" w:rsidP="0051426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9B2BBB">
              <w:rPr>
                <w:rFonts w:ascii="Arial" w:hAnsi="Arial" w:cs="Arial"/>
                <w:b/>
                <w:szCs w:val="22"/>
              </w:rPr>
              <w:t>1.701.556.507,45.</w:t>
            </w:r>
          </w:p>
        </w:tc>
      </w:tr>
    </w:tbl>
    <w:p w:rsidR="00BB206C" w:rsidRDefault="00BB206C" w:rsidP="0066357A">
      <w:pPr>
        <w:jc w:val="center"/>
        <w:rPr>
          <w:rFonts w:ascii="Arial" w:hAnsi="Arial" w:cs="Arial"/>
          <w:sz w:val="2"/>
          <w:szCs w:val="2"/>
        </w:rPr>
      </w:pPr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466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0035CA">
      <w:rPr>
        <w:rFonts w:ascii="Arial" w:hAnsi="Arial" w:cs="Arial"/>
      </w:rPr>
      <w:t>5</w:t>
    </w:r>
    <w:r w:rsidR="0066357A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B84451">
      <w:rPr>
        <w:rFonts w:ascii="Arial" w:hAnsi="Arial" w:cs="Arial"/>
      </w:rPr>
      <w:t>2</w:t>
    </w:r>
    <w:r w:rsidR="000C4662">
      <w:rPr>
        <w:rFonts w:ascii="Arial" w:hAnsi="Arial" w:cs="Arial"/>
      </w:rPr>
      <w:t>8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66357A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35CA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662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580"/>
    <w:rsid w:val="000E273C"/>
    <w:rsid w:val="000E2C5F"/>
    <w:rsid w:val="000E3164"/>
    <w:rsid w:val="000E3BFB"/>
    <w:rsid w:val="000E409D"/>
    <w:rsid w:val="000E434F"/>
    <w:rsid w:val="000E583A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B1E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0BB6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0AF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3DB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CD0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357A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57E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1769"/>
    <w:rsid w:val="00853BE0"/>
    <w:rsid w:val="00853DD5"/>
    <w:rsid w:val="008542BE"/>
    <w:rsid w:val="00854395"/>
    <w:rsid w:val="008545CE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57DDC"/>
    <w:rsid w:val="008610EC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4451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17C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03D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22B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2689"/>
    <o:shapelayout v:ext="edit">
      <o:idmap v:ext="edit" data="1"/>
    </o:shapelayout>
  </w:shapeDefaults>
  <w:decimalSymbol w:val=","/>
  <w:listSeparator w:val=";"/>
  <w14:docId w14:val="2BC8115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572-E8B8-49AC-AD07-55F554F9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2017-11-29T11:21:00Z</dcterms:created>
  <dcterms:modified xsi:type="dcterms:W3CDTF">2017-11-29T11:21:00Z</dcterms:modified>
</cp:coreProperties>
</file>