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>
        <w:rPr>
          <w:rFonts w:ascii="Arial" w:hAnsi="Arial" w:cs="Arial"/>
          <w:b/>
          <w:bCs/>
          <w:color w:val="000080"/>
        </w:rPr>
        <w:t>PORTARIA 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>
        <w:rPr>
          <w:rFonts w:ascii="Arial" w:hAnsi="Arial" w:cs="Arial"/>
          <w:b/>
          <w:bCs/>
          <w:color w:val="000080"/>
        </w:rPr>
        <w:t xml:space="preserve"> </w:t>
      </w:r>
      <w:r w:rsidR="004056E0">
        <w:rPr>
          <w:rFonts w:ascii="Arial" w:hAnsi="Arial" w:cs="Arial"/>
          <w:b/>
          <w:bCs/>
          <w:color w:val="000080"/>
        </w:rPr>
        <w:t>3</w:t>
      </w:r>
      <w:r w:rsidR="00C560D2">
        <w:rPr>
          <w:rFonts w:ascii="Arial" w:hAnsi="Arial" w:cs="Arial"/>
          <w:b/>
          <w:bCs/>
          <w:color w:val="000080"/>
        </w:rPr>
        <w:t>3</w:t>
      </w:r>
      <w:r>
        <w:rPr>
          <w:rFonts w:ascii="Arial" w:hAnsi="Arial" w:cs="Arial"/>
          <w:b/>
          <w:bCs/>
          <w:color w:val="000080"/>
        </w:rPr>
        <w:t xml:space="preserve">, DE </w:t>
      </w:r>
      <w:r w:rsidR="001275BA">
        <w:rPr>
          <w:rFonts w:ascii="Arial" w:hAnsi="Arial" w:cs="Arial"/>
          <w:b/>
          <w:bCs/>
          <w:color w:val="000080"/>
        </w:rPr>
        <w:t>20</w:t>
      </w:r>
      <w:r w:rsidR="00E72EA5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983437">
        <w:rPr>
          <w:rFonts w:ascii="Arial" w:hAnsi="Arial" w:cs="Arial"/>
          <w:b/>
          <w:bCs/>
          <w:color w:val="000080"/>
        </w:rPr>
        <w:t>FEVER</w:t>
      </w:r>
      <w:r w:rsidR="000E00D9">
        <w:rPr>
          <w:rFonts w:ascii="Arial" w:hAnsi="Arial" w:cs="Arial"/>
          <w:b/>
          <w:bCs/>
          <w:color w:val="000080"/>
        </w:rPr>
        <w:t xml:space="preserve">EIRO </w:t>
      </w:r>
      <w:r>
        <w:rPr>
          <w:rFonts w:ascii="Arial" w:hAnsi="Arial" w:cs="Arial"/>
          <w:b/>
          <w:bCs/>
          <w:color w:val="000080"/>
        </w:rPr>
        <w:t>DE 201</w:t>
      </w:r>
      <w:r w:rsidR="000E00D9">
        <w:rPr>
          <w:rFonts w:ascii="Arial" w:hAnsi="Arial" w:cs="Arial"/>
          <w:b/>
          <w:bCs/>
          <w:color w:val="000080"/>
        </w:rPr>
        <w:t>7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  <w:bookmarkStart w:id="0" w:name="_GoBack"/>
      <w:bookmarkEnd w:id="0"/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560D2" w:rsidRPr="00B43BA1" w:rsidRDefault="00C560D2" w:rsidP="00C560D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  <w:r w:rsidRPr="00B43BA1">
        <w:rPr>
          <w:rFonts w:ascii="Arial" w:hAnsi="Arial" w:cs="Arial"/>
          <w:b/>
          <w:lang w:eastAsia="en-US"/>
        </w:rPr>
        <w:t>O SECRETÁRIO DE PLANEJAMENTO E DESENVOLVIMENTO ENERGÉTICO DO MINISTÉRIO DE MINAS E ENERGIA</w:t>
      </w:r>
      <w:r w:rsidRPr="00B43BA1">
        <w:rPr>
          <w:rFonts w:ascii="Arial" w:hAnsi="Arial" w:cs="Arial"/>
          <w:lang w:eastAsia="en-US"/>
        </w:rPr>
        <w:t>, no uso da competência que lhe foi delegada pelo art. 1</w:t>
      </w:r>
      <w:r w:rsidR="00445E63" w:rsidRPr="00445E63">
        <w:rPr>
          <w:rFonts w:ascii="Arial" w:hAnsi="Arial" w:cs="Arial"/>
          <w:u w:val="words"/>
          <w:vertAlign w:val="superscript"/>
          <w:lang w:eastAsia="en-US"/>
        </w:rPr>
        <w:t>o</w:t>
      </w:r>
      <w:r w:rsidRPr="00B43BA1">
        <w:rPr>
          <w:rFonts w:ascii="Arial" w:hAnsi="Arial" w:cs="Arial"/>
          <w:lang w:eastAsia="en-US"/>
        </w:rPr>
        <w:t>, inciso I, da Portaria MME n</w:t>
      </w:r>
      <w:r w:rsidR="00445E63" w:rsidRPr="00445E63">
        <w:rPr>
          <w:rFonts w:ascii="Arial" w:hAnsi="Arial" w:cs="Arial"/>
          <w:u w:val="words"/>
          <w:vertAlign w:val="superscript"/>
          <w:lang w:eastAsia="en-US"/>
        </w:rPr>
        <w:t>o</w:t>
      </w:r>
      <w:r w:rsidRPr="00B43BA1">
        <w:rPr>
          <w:rFonts w:ascii="Arial" w:hAnsi="Arial" w:cs="Arial"/>
          <w:lang w:eastAsia="en-US"/>
        </w:rPr>
        <w:t xml:space="preserve"> 281, de 29 de junho de 2016, tendo em vista o disposto no art. 6</w:t>
      </w:r>
      <w:r w:rsidR="00445E63" w:rsidRPr="00445E63">
        <w:rPr>
          <w:rFonts w:ascii="Arial" w:hAnsi="Arial" w:cs="Arial"/>
          <w:u w:val="words"/>
          <w:vertAlign w:val="superscript"/>
          <w:lang w:eastAsia="en-US"/>
        </w:rPr>
        <w:t>o</w:t>
      </w:r>
      <w:r w:rsidRPr="00B43BA1">
        <w:rPr>
          <w:rFonts w:ascii="Arial" w:hAnsi="Arial" w:cs="Arial"/>
          <w:lang w:eastAsia="en-US"/>
        </w:rPr>
        <w:t xml:space="preserve"> do Decreto n</w:t>
      </w:r>
      <w:r w:rsidR="00445E63" w:rsidRPr="00445E63">
        <w:rPr>
          <w:rFonts w:ascii="Arial" w:hAnsi="Arial" w:cs="Arial"/>
          <w:u w:val="words"/>
          <w:vertAlign w:val="superscript"/>
          <w:lang w:eastAsia="en-US"/>
        </w:rPr>
        <w:t>o</w:t>
      </w:r>
      <w:r w:rsidRPr="00B43BA1">
        <w:rPr>
          <w:rFonts w:ascii="Arial" w:hAnsi="Arial" w:cs="Arial"/>
          <w:lang w:eastAsia="en-US"/>
        </w:rPr>
        <w:t xml:space="preserve"> 6.144, de 3 de julho de 2007, no art. 2</w:t>
      </w:r>
      <w:r w:rsidR="00445E63" w:rsidRPr="00445E63">
        <w:rPr>
          <w:rFonts w:ascii="Arial" w:hAnsi="Arial" w:cs="Arial"/>
          <w:u w:val="words"/>
          <w:vertAlign w:val="superscript"/>
          <w:lang w:eastAsia="en-US"/>
        </w:rPr>
        <w:t>o</w:t>
      </w:r>
      <w:r w:rsidRPr="00B43BA1">
        <w:rPr>
          <w:rFonts w:ascii="Arial" w:hAnsi="Arial" w:cs="Arial"/>
          <w:lang w:eastAsia="en-US"/>
        </w:rPr>
        <w:t>, § 3</w:t>
      </w:r>
      <w:r w:rsidR="00445E63" w:rsidRPr="00445E63">
        <w:rPr>
          <w:rFonts w:ascii="Arial" w:hAnsi="Arial" w:cs="Arial"/>
          <w:u w:val="words"/>
          <w:vertAlign w:val="superscript"/>
          <w:lang w:eastAsia="en-US"/>
        </w:rPr>
        <w:t>o</w:t>
      </w:r>
      <w:r w:rsidRPr="00B43BA1">
        <w:rPr>
          <w:rFonts w:ascii="Arial" w:hAnsi="Arial" w:cs="Arial"/>
          <w:lang w:eastAsia="en-US"/>
        </w:rPr>
        <w:t>, da Portaria MME n</w:t>
      </w:r>
      <w:r w:rsidR="00445E63" w:rsidRPr="00445E63">
        <w:rPr>
          <w:rFonts w:ascii="Arial" w:hAnsi="Arial" w:cs="Arial"/>
          <w:u w:val="words"/>
          <w:vertAlign w:val="superscript"/>
          <w:lang w:eastAsia="en-US"/>
        </w:rPr>
        <w:t>o</w:t>
      </w:r>
      <w:r w:rsidRPr="00B43BA1">
        <w:rPr>
          <w:rFonts w:ascii="Arial" w:hAnsi="Arial" w:cs="Arial"/>
          <w:lang w:eastAsia="en-US"/>
        </w:rPr>
        <w:t xml:space="preserve"> 274, de 19 de agosto de 2013, e o que consta do Processo n</w:t>
      </w:r>
      <w:r w:rsidR="00445E63" w:rsidRPr="00445E63">
        <w:rPr>
          <w:rFonts w:ascii="Arial" w:hAnsi="Arial" w:cs="Arial"/>
          <w:u w:val="words"/>
          <w:vertAlign w:val="superscript"/>
          <w:lang w:eastAsia="en-US"/>
        </w:rPr>
        <w:t>o</w:t>
      </w:r>
      <w:r w:rsidRPr="00B43BA1">
        <w:rPr>
          <w:rFonts w:ascii="Arial" w:hAnsi="Arial" w:cs="Arial"/>
          <w:lang w:eastAsia="en-US"/>
        </w:rPr>
        <w:t xml:space="preserve"> </w:t>
      </w:r>
      <w:r w:rsidRPr="00B43BA1">
        <w:rPr>
          <w:rFonts w:ascii="Arial" w:hAnsi="Arial" w:cs="Arial"/>
          <w:bCs/>
          <w:noProof/>
          <w:lang w:eastAsia="en-US"/>
        </w:rPr>
        <w:t>48500.004473/2016-47</w:t>
      </w:r>
      <w:r w:rsidRPr="00B43BA1">
        <w:rPr>
          <w:rFonts w:ascii="Arial" w:hAnsi="Arial" w:cs="Arial"/>
          <w:lang w:eastAsia="en-US"/>
        </w:rPr>
        <w:t>, resolve:</w:t>
      </w:r>
    </w:p>
    <w:p w:rsidR="00C560D2" w:rsidRDefault="00C560D2" w:rsidP="00C560D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C560D2" w:rsidRPr="00B43BA1" w:rsidRDefault="00C560D2" w:rsidP="00C560D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B43BA1">
        <w:rPr>
          <w:rFonts w:ascii="Arial" w:hAnsi="Arial" w:cs="Arial"/>
          <w:color w:val="000000"/>
          <w:lang w:eastAsia="en-US"/>
        </w:rPr>
        <w:t>Art. 1</w:t>
      </w:r>
      <w:r w:rsidR="00445E63" w:rsidRPr="00445E63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B43BA1">
        <w:rPr>
          <w:rFonts w:ascii="Arial" w:hAnsi="Arial" w:cs="Arial"/>
          <w:color w:val="000000"/>
          <w:lang w:eastAsia="en-US"/>
        </w:rPr>
        <w:t xml:space="preserve"> Aprovar o enquadramento no Regime Especial de Incentivos para o Desenvolvimento da Infraestrutura - REIDI do projeto de reforços em instalações de transmissão de energia elétrica, objeto Parcial da </w:t>
      </w:r>
      <w:r w:rsidRPr="00B43BA1">
        <w:rPr>
          <w:rFonts w:ascii="Arial" w:hAnsi="Arial" w:cs="Arial"/>
          <w:noProof/>
          <w:color w:val="000000"/>
          <w:lang w:eastAsia="en-US"/>
        </w:rPr>
        <w:t>Resolução Autorizativa ANEEL n</w:t>
      </w:r>
      <w:r w:rsidR="00445E63" w:rsidRPr="00445E63">
        <w:rPr>
          <w:rFonts w:ascii="Arial" w:hAnsi="Arial" w:cs="Arial"/>
          <w:noProof/>
          <w:color w:val="000000"/>
          <w:u w:val="words"/>
          <w:vertAlign w:val="superscript"/>
          <w:lang w:eastAsia="en-US"/>
        </w:rPr>
        <w:t>o</w:t>
      </w:r>
      <w:r w:rsidRPr="00B43BA1">
        <w:rPr>
          <w:rFonts w:ascii="Arial" w:hAnsi="Arial" w:cs="Arial"/>
          <w:noProof/>
          <w:color w:val="000000"/>
          <w:lang w:eastAsia="en-US"/>
        </w:rPr>
        <w:t xml:space="preserve"> 5.654, de 23 de fevereiro de 2016</w:t>
      </w:r>
      <w:r w:rsidRPr="00B43BA1">
        <w:rPr>
          <w:rFonts w:ascii="Arial" w:hAnsi="Arial" w:cs="Arial"/>
          <w:color w:val="000000"/>
          <w:lang w:eastAsia="en-US"/>
        </w:rPr>
        <w:t xml:space="preserve">, de titularidade da empresa </w:t>
      </w:r>
      <w:r w:rsidRPr="00B43BA1">
        <w:rPr>
          <w:rFonts w:ascii="Arial" w:hAnsi="Arial" w:cs="Arial"/>
          <w:noProof/>
          <w:color w:val="000000"/>
          <w:lang w:eastAsia="en-US"/>
        </w:rPr>
        <w:t>Companhia Hidro Elétrica do São Francisco - Chesf</w:t>
      </w:r>
      <w:r w:rsidRPr="00B43BA1">
        <w:rPr>
          <w:rFonts w:ascii="Arial" w:hAnsi="Arial" w:cs="Arial"/>
          <w:color w:val="000000"/>
          <w:lang w:eastAsia="en-US"/>
        </w:rPr>
        <w:t>, inscrita no CNPJ/MF sob o n</w:t>
      </w:r>
      <w:r w:rsidR="00445E63" w:rsidRPr="00445E63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B43BA1">
        <w:rPr>
          <w:rFonts w:ascii="Arial" w:hAnsi="Arial" w:cs="Arial"/>
          <w:color w:val="000000"/>
          <w:lang w:eastAsia="en-US"/>
        </w:rPr>
        <w:t> </w:t>
      </w:r>
      <w:r w:rsidRPr="00B43BA1">
        <w:rPr>
          <w:rFonts w:ascii="Arial" w:hAnsi="Arial" w:cs="Arial"/>
          <w:noProof/>
          <w:color w:val="000000"/>
          <w:lang w:eastAsia="en-US"/>
        </w:rPr>
        <w:t>33.541.368/0001-16</w:t>
      </w:r>
      <w:r w:rsidRPr="00B43BA1">
        <w:rPr>
          <w:rFonts w:ascii="Arial" w:hAnsi="Arial" w:cs="Arial"/>
          <w:color w:val="000000"/>
          <w:lang w:eastAsia="en-US"/>
        </w:rPr>
        <w:t>, detalhado no Anexo à presente Portaria.</w:t>
      </w:r>
    </w:p>
    <w:p w:rsidR="00C560D2" w:rsidRDefault="00C560D2" w:rsidP="00C560D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C560D2" w:rsidRPr="00B43BA1" w:rsidRDefault="00C560D2" w:rsidP="00C560D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B43BA1">
        <w:rPr>
          <w:rFonts w:ascii="Arial" w:hAnsi="Arial" w:cs="Arial"/>
          <w:color w:val="000000"/>
          <w:lang w:eastAsia="en-US"/>
        </w:rPr>
        <w:t xml:space="preserve">Parágrafo único. O projeto de que trata o </w:t>
      </w:r>
      <w:r w:rsidRPr="00B43BA1">
        <w:rPr>
          <w:rFonts w:ascii="Arial" w:hAnsi="Arial" w:cs="Arial"/>
          <w:b/>
          <w:color w:val="000000"/>
          <w:lang w:eastAsia="en-US"/>
        </w:rPr>
        <w:t>caput</w:t>
      </w:r>
      <w:r w:rsidRPr="00B43BA1">
        <w:rPr>
          <w:rFonts w:ascii="Arial" w:hAnsi="Arial" w:cs="Arial"/>
          <w:color w:val="000000"/>
          <w:lang w:eastAsia="en-US"/>
        </w:rPr>
        <w:t xml:space="preserve"> é alcançado pelo art. </w:t>
      </w:r>
      <w:r w:rsidRPr="00B43BA1">
        <w:rPr>
          <w:rFonts w:ascii="Arial" w:hAnsi="Arial" w:cs="Arial"/>
          <w:lang w:eastAsia="en-US"/>
        </w:rPr>
        <w:t>4</w:t>
      </w:r>
      <w:r w:rsidR="00445E63" w:rsidRPr="00445E63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B43BA1">
        <w:rPr>
          <w:rFonts w:ascii="Arial" w:hAnsi="Arial" w:cs="Arial"/>
          <w:color w:val="000000"/>
          <w:lang w:eastAsia="en-US"/>
        </w:rPr>
        <w:t>, inciso III, da Portaria MME n</w:t>
      </w:r>
      <w:r w:rsidR="00445E63" w:rsidRPr="00445E63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B43BA1">
        <w:rPr>
          <w:rFonts w:ascii="Arial" w:hAnsi="Arial" w:cs="Arial"/>
          <w:color w:val="000000"/>
          <w:lang w:eastAsia="en-US"/>
        </w:rPr>
        <w:t xml:space="preserve"> 274, de 19 de agosto de 2013.</w:t>
      </w:r>
    </w:p>
    <w:p w:rsidR="00C560D2" w:rsidRDefault="00C560D2" w:rsidP="00C560D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C560D2" w:rsidRPr="00B43BA1" w:rsidRDefault="00C560D2" w:rsidP="00C560D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B43BA1">
        <w:rPr>
          <w:rFonts w:ascii="Arial" w:hAnsi="Arial" w:cs="Arial"/>
          <w:color w:val="000000"/>
          <w:lang w:eastAsia="en-US"/>
        </w:rPr>
        <w:t>Art. 2</w:t>
      </w:r>
      <w:r w:rsidR="00445E63" w:rsidRPr="00445E63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B43BA1">
        <w:rPr>
          <w:rFonts w:ascii="Arial" w:hAnsi="Arial" w:cs="Arial"/>
          <w:color w:val="000000"/>
          <w:lang w:eastAsia="en-US"/>
        </w:rPr>
        <w:t xml:space="preserve"> As estimativas dos investimentos têm por base o mês de </w:t>
      </w:r>
      <w:r w:rsidRPr="00B43BA1">
        <w:rPr>
          <w:rFonts w:ascii="Arial" w:hAnsi="Arial" w:cs="Arial"/>
          <w:noProof/>
          <w:color w:val="000000"/>
          <w:lang w:eastAsia="en-US"/>
        </w:rPr>
        <w:t>março de 2016</w:t>
      </w:r>
      <w:r w:rsidRPr="00B43BA1">
        <w:rPr>
          <w:rFonts w:ascii="Arial" w:hAnsi="Arial" w:cs="Arial"/>
          <w:color w:val="000000"/>
          <w:lang w:eastAsia="en-US"/>
        </w:rPr>
        <w:t xml:space="preserve"> e são de exclusiva responsabilidade da </w:t>
      </w:r>
      <w:r w:rsidRPr="00B43BA1">
        <w:rPr>
          <w:rFonts w:ascii="Arial" w:hAnsi="Arial" w:cs="Arial"/>
          <w:noProof/>
          <w:color w:val="000000"/>
          <w:lang w:eastAsia="en-US"/>
        </w:rPr>
        <w:t>Companhia Hidro Elétrica do São Francisco - Chesf</w:t>
      </w:r>
      <w:r w:rsidRPr="00B43BA1">
        <w:rPr>
          <w:rFonts w:ascii="Arial" w:hAnsi="Arial" w:cs="Arial"/>
          <w:color w:val="000000"/>
          <w:lang w:eastAsia="en-US"/>
        </w:rPr>
        <w:t>, cuja razoabilidade foi atestada pela Agência Nacional de Energia Elétrica - ANEEL.</w:t>
      </w:r>
    </w:p>
    <w:p w:rsidR="00C560D2" w:rsidRDefault="00C560D2" w:rsidP="00C560D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C560D2" w:rsidRPr="00B43BA1" w:rsidRDefault="00C560D2" w:rsidP="00C560D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B43BA1">
        <w:rPr>
          <w:rFonts w:ascii="Arial" w:hAnsi="Arial" w:cs="Arial"/>
          <w:color w:val="000000"/>
          <w:lang w:eastAsia="en-US"/>
        </w:rPr>
        <w:t>Art. 3</w:t>
      </w:r>
      <w:r w:rsidR="00445E63" w:rsidRPr="00445E63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B43BA1">
        <w:rPr>
          <w:rFonts w:ascii="Arial" w:hAnsi="Arial" w:cs="Arial"/>
          <w:color w:val="000000"/>
          <w:lang w:eastAsia="en-US"/>
        </w:rPr>
        <w:t xml:space="preserve"> A </w:t>
      </w:r>
      <w:r w:rsidRPr="00B43BA1">
        <w:rPr>
          <w:rFonts w:ascii="Arial" w:hAnsi="Arial" w:cs="Arial"/>
          <w:noProof/>
          <w:color w:val="000000"/>
          <w:lang w:eastAsia="en-US"/>
        </w:rPr>
        <w:t>Companhia Hidro Elétrica do São Francisco - Chesf</w:t>
      </w:r>
      <w:r w:rsidRPr="00B43BA1">
        <w:rPr>
          <w:rFonts w:ascii="Arial" w:hAnsi="Arial" w:cs="Arial"/>
          <w:lang w:eastAsia="en-US"/>
        </w:rPr>
        <w:t xml:space="preserve"> </w:t>
      </w:r>
      <w:r w:rsidRPr="00B43BA1">
        <w:rPr>
          <w:rFonts w:ascii="Arial" w:hAnsi="Arial" w:cs="Arial"/>
          <w:color w:val="000000"/>
          <w:lang w:eastAsia="en-US"/>
        </w:rPr>
        <w:t xml:space="preserve">deverá informar à Secretaria da Receita Federal do Brasil a entrada em Operação Comercial do projeto aprovado </w:t>
      </w:r>
      <w:proofErr w:type="gramStart"/>
      <w:r w:rsidRPr="00B43BA1">
        <w:rPr>
          <w:rFonts w:ascii="Arial" w:hAnsi="Arial" w:cs="Arial"/>
          <w:color w:val="000000"/>
          <w:lang w:eastAsia="en-US"/>
        </w:rPr>
        <w:t>nesta</w:t>
      </w:r>
      <w:proofErr w:type="gramEnd"/>
      <w:r w:rsidRPr="00B43BA1">
        <w:rPr>
          <w:rFonts w:ascii="Arial" w:hAnsi="Arial" w:cs="Arial"/>
          <w:color w:val="000000"/>
          <w:lang w:eastAsia="en-US"/>
        </w:rPr>
        <w:t xml:space="preserve"> Portaria, mediante a entrega de cópia do Termo de Liberação Definitivo emitido pelo Operador Nacional do Sistema Elétrico - ONS, no prazo de até trinta dias de sua emissão.</w:t>
      </w:r>
    </w:p>
    <w:p w:rsidR="00C560D2" w:rsidRDefault="00C560D2" w:rsidP="00C560D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C560D2" w:rsidRPr="00B43BA1" w:rsidRDefault="00C560D2" w:rsidP="00C560D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B43BA1">
        <w:rPr>
          <w:rFonts w:ascii="Arial" w:hAnsi="Arial" w:cs="Arial"/>
          <w:color w:val="000000"/>
          <w:lang w:eastAsia="en-US"/>
        </w:rPr>
        <w:t>Art. 4</w:t>
      </w:r>
      <w:r w:rsidR="00445E63" w:rsidRPr="00445E63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B43BA1">
        <w:rPr>
          <w:rFonts w:ascii="Arial" w:hAnsi="Arial" w:cs="Arial"/>
          <w:color w:val="000000"/>
          <w:lang w:eastAsia="en-US"/>
        </w:rPr>
        <w:t xml:space="preserve"> Alterações técnicas ou de titularidade do projeto</w:t>
      </w:r>
      <w:r w:rsidRPr="00B43BA1">
        <w:rPr>
          <w:rFonts w:ascii="Arial" w:hAnsi="Arial" w:cs="Arial"/>
          <w:color w:val="FF0000"/>
          <w:lang w:eastAsia="en-US"/>
        </w:rPr>
        <w:t xml:space="preserve"> </w:t>
      </w:r>
      <w:r w:rsidRPr="00B43BA1">
        <w:rPr>
          <w:rFonts w:ascii="Arial" w:hAnsi="Arial" w:cs="Arial"/>
          <w:color w:val="000000"/>
          <w:lang w:eastAsia="en-US"/>
        </w:rPr>
        <w:t>de que trata esta</w:t>
      </w:r>
      <w:r w:rsidRPr="00B43BA1">
        <w:rPr>
          <w:rFonts w:ascii="Arial" w:hAnsi="Arial" w:cs="Arial"/>
          <w:lang w:eastAsia="en-US"/>
        </w:rPr>
        <w:t xml:space="preserve"> Portaria</w:t>
      </w:r>
      <w:r w:rsidRPr="00B43BA1">
        <w:rPr>
          <w:rFonts w:ascii="Arial" w:hAnsi="Arial" w:cs="Arial"/>
          <w:color w:val="000000"/>
          <w:lang w:eastAsia="en-US"/>
        </w:rPr>
        <w:t>, autorizadas pela ANEEL ou pelo Ministério de Minas e Energia, não ensejarão a publicação de nova Portaria de enquadramento no REIDI.</w:t>
      </w:r>
    </w:p>
    <w:p w:rsidR="00C560D2" w:rsidRDefault="00C560D2" w:rsidP="00C560D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C560D2" w:rsidRPr="00B43BA1" w:rsidRDefault="00C560D2" w:rsidP="00C560D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B43BA1">
        <w:rPr>
          <w:rFonts w:ascii="Arial" w:hAnsi="Arial" w:cs="Arial"/>
          <w:color w:val="000000"/>
          <w:lang w:eastAsia="en-US"/>
        </w:rPr>
        <w:t>Art. 5</w:t>
      </w:r>
      <w:r w:rsidR="00445E63" w:rsidRPr="00445E63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B43BA1">
        <w:rPr>
          <w:rFonts w:ascii="Arial" w:hAnsi="Arial" w:cs="Arial"/>
          <w:color w:val="000000"/>
          <w:lang w:eastAsia="en-US"/>
        </w:rPr>
        <w:t xml:space="preserve"> A habilitação do projeto no REIDI e o cancelamento da habilitação deverão ser requeridos à Secretaria da Receita Federal do Brasil.</w:t>
      </w:r>
    </w:p>
    <w:p w:rsidR="00C560D2" w:rsidRDefault="00C560D2" w:rsidP="00C560D2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  <w:lang w:eastAsia="en-US"/>
        </w:rPr>
      </w:pPr>
    </w:p>
    <w:p w:rsidR="00C560D2" w:rsidRPr="00B43BA1" w:rsidRDefault="00C560D2" w:rsidP="00C560D2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  <w:lang w:eastAsia="en-US"/>
        </w:rPr>
      </w:pPr>
      <w:r w:rsidRPr="00B43BA1">
        <w:rPr>
          <w:rFonts w:ascii="Arial" w:hAnsi="Arial" w:cs="Arial"/>
          <w:color w:val="000000"/>
          <w:lang w:eastAsia="en-US"/>
        </w:rPr>
        <w:t>Art. 6</w:t>
      </w:r>
      <w:r w:rsidR="00445E63" w:rsidRPr="00445E63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B43BA1">
        <w:rPr>
          <w:rFonts w:ascii="Arial" w:hAnsi="Arial" w:cs="Arial"/>
          <w:color w:val="000000"/>
          <w:lang w:eastAsia="en-US"/>
        </w:rPr>
        <w:t xml:space="preserve"> A </w:t>
      </w:r>
      <w:r w:rsidRPr="00B43BA1">
        <w:rPr>
          <w:rFonts w:ascii="Arial" w:hAnsi="Arial" w:cs="Arial"/>
          <w:noProof/>
          <w:color w:val="000000"/>
          <w:lang w:eastAsia="en-US"/>
        </w:rPr>
        <w:t xml:space="preserve">Companhia Hidro Elétrica do São Francisco - Chesf </w:t>
      </w:r>
      <w:r w:rsidRPr="00B43BA1">
        <w:rPr>
          <w:rFonts w:ascii="Arial" w:hAnsi="Arial" w:cs="Arial"/>
          <w:color w:val="000000"/>
          <w:lang w:eastAsia="en-US"/>
        </w:rPr>
        <w:t>deverá observar, no que couber, as disposições constantes na Lei n</w:t>
      </w:r>
      <w:r w:rsidR="00445E63" w:rsidRPr="00445E63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B43BA1">
        <w:rPr>
          <w:rFonts w:ascii="Arial" w:hAnsi="Arial" w:cs="Arial"/>
          <w:color w:val="000000"/>
          <w:lang w:eastAsia="en-US"/>
        </w:rPr>
        <w:t xml:space="preserve"> 11.488, de 15 de junho de 2007, no Decreto n</w:t>
      </w:r>
      <w:r w:rsidR="00445E63" w:rsidRPr="00445E63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B43BA1">
        <w:rPr>
          <w:rFonts w:ascii="Arial" w:hAnsi="Arial" w:cs="Arial"/>
          <w:color w:val="000000"/>
          <w:lang w:eastAsia="en-US"/>
        </w:rPr>
        <w:t xml:space="preserve"> 6.144, de 3 de julho de 2007, na Portaria MME </w:t>
      </w:r>
      <w:r w:rsidRPr="00B43BA1">
        <w:rPr>
          <w:rFonts w:ascii="Arial" w:hAnsi="Arial" w:cs="Arial"/>
          <w:lang w:eastAsia="en-US"/>
        </w:rPr>
        <w:t>n</w:t>
      </w:r>
      <w:r w:rsidR="00445E63" w:rsidRPr="00445E63">
        <w:rPr>
          <w:rFonts w:ascii="Arial" w:hAnsi="Arial" w:cs="Arial"/>
          <w:u w:val="words"/>
          <w:vertAlign w:val="superscript"/>
          <w:lang w:eastAsia="en-US"/>
        </w:rPr>
        <w:t>o</w:t>
      </w:r>
      <w:r w:rsidRPr="00B43BA1">
        <w:rPr>
          <w:rFonts w:ascii="Arial" w:hAnsi="Arial" w:cs="Arial"/>
          <w:lang w:eastAsia="en-US"/>
        </w:rPr>
        <w:t xml:space="preserve"> 274, de 2013</w:t>
      </w:r>
      <w:r w:rsidRPr="00B43BA1">
        <w:rPr>
          <w:rFonts w:ascii="Arial" w:hAnsi="Arial" w:cs="Arial"/>
          <w:color w:val="000000"/>
          <w:lang w:eastAsia="en-US"/>
        </w:rPr>
        <w:t xml:space="preserve">, e na legislação e normas vigentes e supervenientes, sujeitando-se às penalidades legais, inclusive aquelas previstas nos </w:t>
      </w:r>
      <w:proofErr w:type="spellStart"/>
      <w:r w:rsidRPr="00B43BA1">
        <w:rPr>
          <w:rFonts w:ascii="Arial" w:hAnsi="Arial" w:cs="Arial"/>
          <w:color w:val="000000"/>
          <w:lang w:eastAsia="en-US"/>
        </w:rPr>
        <w:t>arts</w:t>
      </w:r>
      <w:proofErr w:type="spellEnd"/>
      <w:r w:rsidRPr="00B43BA1">
        <w:rPr>
          <w:rFonts w:ascii="Arial" w:hAnsi="Arial" w:cs="Arial"/>
          <w:color w:val="000000"/>
          <w:lang w:eastAsia="en-US"/>
        </w:rPr>
        <w:t>.  9</w:t>
      </w:r>
      <w:r w:rsidR="00445E63" w:rsidRPr="00445E63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B43BA1">
        <w:rPr>
          <w:rFonts w:ascii="Arial" w:hAnsi="Arial" w:cs="Arial"/>
          <w:color w:val="000000"/>
          <w:lang w:eastAsia="en-US"/>
        </w:rPr>
        <w:t xml:space="preserve"> e 14, do Decreto n</w:t>
      </w:r>
      <w:r w:rsidR="00445E63" w:rsidRPr="00445E63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B43BA1">
        <w:rPr>
          <w:rFonts w:ascii="Arial" w:hAnsi="Arial" w:cs="Arial"/>
          <w:color w:val="000000"/>
          <w:lang w:eastAsia="en-US"/>
        </w:rPr>
        <w:t xml:space="preserve"> 6.144, de 2007, sujeitas à fiscalização da Secretaria da Receita Federal do Brasil.</w:t>
      </w:r>
    </w:p>
    <w:p w:rsidR="00C560D2" w:rsidRDefault="00C560D2" w:rsidP="00C560D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C560D2" w:rsidRPr="00B43BA1" w:rsidRDefault="00C560D2" w:rsidP="00C560D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B43BA1">
        <w:rPr>
          <w:rFonts w:ascii="Arial" w:hAnsi="Arial" w:cs="Arial"/>
          <w:color w:val="000000"/>
          <w:lang w:eastAsia="en-US"/>
        </w:rPr>
        <w:t>Art. 7</w:t>
      </w:r>
      <w:r w:rsidR="00445E63" w:rsidRPr="00445E63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B43BA1">
        <w:rPr>
          <w:rFonts w:ascii="Arial" w:hAnsi="Arial" w:cs="Arial"/>
          <w:color w:val="000000"/>
          <w:lang w:eastAsia="en-US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D97EA5" w:rsidRPr="004809C9" w:rsidRDefault="00D97EA5" w:rsidP="00D97EA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00C41">
        <w:rPr>
          <w:rFonts w:ascii="Arial" w:hAnsi="Arial" w:cs="Arial"/>
          <w:b/>
        </w:rPr>
        <w:t>EDUARDO AZEVEDO RODRIGUES</w:t>
      </w:r>
    </w:p>
    <w:p w:rsidR="00AB7575" w:rsidRPr="00E02BED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1275BA">
        <w:rPr>
          <w:rFonts w:ascii="Arial" w:hAnsi="Arial" w:cs="Arial"/>
          <w:color w:val="FF0000"/>
        </w:rPr>
        <w:t>2</w:t>
      </w:r>
      <w:r w:rsidR="00EF3EB9">
        <w:rPr>
          <w:rFonts w:ascii="Arial" w:hAnsi="Arial" w:cs="Arial"/>
          <w:color w:val="FF0000"/>
        </w:rPr>
        <w:t>1</w:t>
      </w:r>
      <w:r w:rsidRPr="000E3164">
        <w:rPr>
          <w:rFonts w:ascii="Arial" w:hAnsi="Arial" w:cs="Arial"/>
          <w:color w:val="FF0000"/>
        </w:rPr>
        <w:t>.</w:t>
      </w:r>
      <w:r w:rsidR="00983437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</w:t>
      </w:r>
      <w:r w:rsidR="000E00D9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172B0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72B0F">
        <w:rPr>
          <w:rFonts w:ascii="Arial" w:hAnsi="Arial" w:cs="Arial"/>
          <w:b/>
          <w:color w:val="000000"/>
        </w:rPr>
        <w:lastRenderedPageBreak/>
        <w:t>ANEXO</w:t>
      </w:r>
    </w:p>
    <w:p w:rsidR="00D758D0" w:rsidRPr="00B10632" w:rsidRDefault="00D758D0" w:rsidP="00D758D0">
      <w:pPr>
        <w:rPr>
          <w:sz w:val="16"/>
          <w:szCs w:val="16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849"/>
        <w:gridCol w:w="843"/>
        <w:gridCol w:w="1986"/>
        <w:gridCol w:w="3119"/>
      </w:tblGrid>
      <w:tr w:rsidR="00C560D2" w:rsidRPr="00B43BA1" w:rsidTr="00C560D2">
        <w:trPr>
          <w:trHeight w:val="360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2" w:rsidRPr="00B43BA1" w:rsidRDefault="00C560D2" w:rsidP="00AA18D0">
            <w:pPr>
              <w:spacing w:before="60" w:after="6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43BA1">
              <w:rPr>
                <w:rFonts w:ascii="Arial" w:hAnsi="Arial" w:cs="Arial"/>
                <w:b/>
                <w:bCs/>
                <w:lang w:eastAsia="en-US"/>
              </w:rPr>
              <w:t>MINISTÉRIO DE MINAS E ENERGIA</w:t>
            </w:r>
          </w:p>
        </w:tc>
      </w:tr>
      <w:tr w:rsidR="00C560D2" w:rsidRPr="00B43BA1" w:rsidTr="00C560D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348" w:type="dxa"/>
            <w:gridSpan w:val="5"/>
            <w:vAlign w:val="center"/>
          </w:tcPr>
          <w:p w:rsidR="00C560D2" w:rsidRPr="00B43BA1" w:rsidRDefault="00C560D2" w:rsidP="00AA18D0">
            <w:pPr>
              <w:keepNext/>
              <w:outlineLvl w:val="0"/>
              <w:rPr>
                <w:rFonts w:ascii="Arial" w:hAnsi="Arial" w:cs="Arial"/>
                <w:bCs/>
                <w:lang w:eastAsia="en-US"/>
              </w:rPr>
            </w:pPr>
            <w:r w:rsidRPr="00B43BA1">
              <w:rPr>
                <w:rFonts w:ascii="Arial" w:hAnsi="Arial" w:cs="Arial"/>
                <w:bCs/>
                <w:lang w:eastAsia="en-US"/>
              </w:rPr>
              <w:t>INFORMAÇÕES DO PROJETO DE ENQUADRAMENTO NO REIDI - REGIME ESPECIAL DE INCENTIVOS PARA O DESENVOLVIMENTO DA INFRAESTRUTURA</w:t>
            </w:r>
          </w:p>
        </w:tc>
      </w:tr>
      <w:tr w:rsidR="00C560D2" w:rsidRPr="00B43BA1" w:rsidTr="00C560D2">
        <w:trPr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D2" w:rsidRPr="00B43BA1" w:rsidRDefault="00C560D2" w:rsidP="00AA18D0">
            <w:pPr>
              <w:keepNext/>
              <w:ind w:left="-70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B43BA1">
              <w:rPr>
                <w:rFonts w:ascii="Arial" w:hAnsi="Arial" w:cs="Arial"/>
                <w:bCs/>
                <w:lang w:eastAsia="en-US"/>
              </w:rPr>
              <w:t>PESSOA JURÍDICA TITULAR DO PROJETO</w:t>
            </w:r>
          </w:p>
        </w:tc>
      </w:tr>
      <w:tr w:rsidR="00C560D2" w:rsidRPr="00B43BA1" w:rsidTr="00C560D2">
        <w:trPr>
          <w:trHeight w:val="223"/>
          <w:jc w:val="center"/>
        </w:trPr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2" w:rsidRPr="00B43BA1" w:rsidRDefault="00C560D2" w:rsidP="00AA18D0">
            <w:pPr>
              <w:ind w:left="-70"/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>01 - Nome Empresarial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2" w:rsidRPr="00B43BA1" w:rsidRDefault="00C560D2" w:rsidP="00AA18D0">
            <w:pPr>
              <w:ind w:left="-70"/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>02 - CNPJ</w:t>
            </w:r>
          </w:p>
        </w:tc>
      </w:tr>
      <w:tr w:rsidR="00C560D2" w:rsidRPr="00B43BA1" w:rsidTr="00C560D2">
        <w:trPr>
          <w:trHeight w:val="227"/>
          <w:jc w:val="center"/>
        </w:trPr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2" w:rsidRPr="00B43BA1" w:rsidRDefault="00C560D2" w:rsidP="00AA18D0">
            <w:pPr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noProof/>
                <w:szCs w:val="22"/>
                <w:lang w:eastAsia="en-US"/>
              </w:rPr>
              <w:t>Companhia Hidro Elétrica do São Francisco - Chesf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2" w:rsidRPr="00B43BA1" w:rsidRDefault="00C560D2" w:rsidP="00AA18D0">
            <w:pPr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noProof/>
                <w:color w:val="000000"/>
                <w:lang w:eastAsia="en-US"/>
              </w:rPr>
              <w:t>33.541.368/0001-16</w:t>
            </w:r>
          </w:p>
        </w:tc>
      </w:tr>
      <w:tr w:rsidR="00C560D2" w:rsidRPr="00B43BA1" w:rsidTr="00C560D2">
        <w:trPr>
          <w:jc w:val="center"/>
        </w:trPr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2" w:rsidRPr="00B43BA1" w:rsidRDefault="00C560D2" w:rsidP="00AA18D0">
            <w:pPr>
              <w:ind w:left="-70"/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 xml:space="preserve">03 - Logradouro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2" w:rsidRPr="00B43BA1" w:rsidRDefault="00C560D2" w:rsidP="00AA18D0">
            <w:pPr>
              <w:ind w:left="-70"/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>04 - Número</w:t>
            </w:r>
          </w:p>
        </w:tc>
      </w:tr>
      <w:tr w:rsidR="00C560D2" w:rsidRPr="00B43BA1" w:rsidTr="00C560D2">
        <w:trPr>
          <w:jc w:val="center"/>
        </w:trPr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2" w:rsidRPr="00B43BA1" w:rsidRDefault="00C560D2" w:rsidP="00AA18D0">
            <w:pPr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>Rua Delmiro Gouveia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2" w:rsidRPr="00B43BA1" w:rsidRDefault="00C560D2" w:rsidP="00AA18D0">
            <w:pPr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>333</w:t>
            </w:r>
          </w:p>
        </w:tc>
      </w:tr>
      <w:tr w:rsidR="00C560D2" w:rsidRPr="00B43BA1" w:rsidTr="00C560D2">
        <w:trPr>
          <w:jc w:val="center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2" w:rsidRPr="00B43BA1" w:rsidRDefault="00C560D2" w:rsidP="00AA18D0">
            <w:pPr>
              <w:ind w:left="-70"/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 xml:space="preserve">05 - Complemento 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2" w:rsidRPr="00B43BA1" w:rsidRDefault="00C560D2" w:rsidP="00AA18D0">
            <w:pPr>
              <w:ind w:left="-70"/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>06 - Bairro/Distrito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2" w:rsidRPr="00B43BA1" w:rsidRDefault="00C560D2" w:rsidP="00AA18D0">
            <w:pPr>
              <w:ind w:left="-70"/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>07 - CEP</w:t>
            </w:r>
          </w:p>
        </w:tc>
      </w:tr>
      <w:tr w:rsidR="00C560D2" w:rsidRPr="00B43BA1" w:rsidTr="00C560D2">
        <w:trPr>
          <w:jc w:val="center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2" w:rsidRPr="00B43BA1" w:rsidRDefault="00C560D2" w:rsidP="00AA18D0">
            <w:pPr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>Edifício André Falcão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2" w:rsidRPr="00B43BA1" w:rsidRDefault="00C560D2" w:rsidP="00AA18D0">
            <w:pPr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>San Martin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2" w:rsidRPr="00B43BA1" w:rsidRDefault="00C560D2" w:rsidP="00AA18D0">
            <w:pPr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>50761-901</w:t>
            </w:r>
          </w:p>
        </w:tc>
      </w:tr>
      <w:tr w:rsidR="00C560D2" w:rsidRPr="00B43BA1" w:rsidTr="00C560D2">
        <w:trPr>
          <w:jc w:val="center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2" w:rsidRPr="00B43BA1" w:rsidRDefault="00C560D2" w:rsidP="00AA18D0">
            <w:pPr>
              <w:ind w:left="-70"/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>08 - Município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2" w:rsidRPr="00B43BA1" w:rsidRDefault="00C560D2" w:rsidP="00AA18D0">
            <w:pPr>
              <w:ind w:left="-70"/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>09 - UF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2" w:rsidRPr="00B43BA1" w:rsidRDefault="00C560D2" w:rsidP="00AA18D0">
            <w:pPr>
              <w:ind w:left="-70"/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>10 - Telefone</w:t>
            </w:r>
          </w:p>
        </w:tc>
      </w:tr>
      <w:tr w:rsidR="00C560D2" w:rsidRPr="00B43BA1" w:rsidTr="00C560D2">
        <w:trPr>
          <w:jc w:val="center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2" w:rsidRPr="00B43BA1" w:rsidRDefault="00C560D2" w:rsidP="00AA18D0">
            <w:pPr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>Recife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2" w:rsidRPr="00B43BA1" w:rsidRDefault="00C560D2" w:rsidP="00AA18D0">
            <w:pPr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>PE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2" w:rsidRPr="00B43BA1" w:rsidRDefault="00C560D2" w:rsidP="00AA18D0">
            <w:pPr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>(81) 3229-2330</w:t>
            </w:r>
          </w:p>
        </w:tc>
      </w:tr>
      <w:tr w:rsidR="00C560D2" w:rsidRPr="00B43BA1" w:rsidTr="00C560D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348" w:type="dxa"/>
            <w:gridSpan w:val="5"/>
          </w:tcPr>
          <w:p w:rsidR="00C560D2" w:rsidRPr="00B43BA1" w:rsidRDefault="00C560D2" w:rsidP="00AA18D0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 xml:space="preserve">11 - </w:t>
            </w:r>
            <w:r w:rsidRPr="00B43BA1">
              <w:rPr>
                <w:rFonts w:ascii="Arial" w:hAnsi="Arial" w:cs="Arial"/>
                <w:bCs/>
                <w:lang w:eastAsia="en-US"/>
              </w:rPr>
              <w:t>DADOS DO PROJETO</w:t>
            </w:r>
          </w:p>
        </w:tc>
      </w:tr>
      <w:tr w:rsidR="00C560D2" w:rsidRPr="00B43BA1" w:rsidTr="00C560D2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:rsidR="00C560D2" w:rsidRPr="00B43BA1" w:rsidRDefault="00C560D2" w:rsidP="00AA18D0">
            <w:pPr>
              <w:rPr>
                <w:rFonts w:ascii="Arial" w:hAnsi="Arial" w:cs="Arial"/>
                <w:b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 xml:space="preserve">Nome do Projeto </w:t>
            </w:r>
          </w:p>
        </w:tc>
        <w:tc>
          <w:tcPr>
            <w:tcW w:w="7801" w:type="dxa"/>
            <w:gridSpan w:val="4"/>
            <w:tcBorders>
              <w:bottom w:val="single" w:sz="4" w:space="0" w:color="auto"/>
            </w:tcBorders>
          </w:tcPr>
          <w:p w:rsidR="00C560D2" w:rsidRPr="00C560D2" w:rsidRDefault="00C560D2" w:rsidP="00445E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60D2">
              <w:rPr>
                <w:rFonts w:ascii="Arial" w:hAnsi="Arial" w:cs="Arial"/>
                <w:sz w:val="22"/>
                <w:szCs w:val="22"/>
                <w:lang w:eastAsia="en-US"/>
              </w:rPr>
              <w:t>Reforços em Instalações de Transmissão de Energia Elétrica (Resolução Autorizativa ANEEL n</w:t>
            </w:r>
            <w:r w:rsidR="00445E63" w:rsidRPr="00445E63">
              <w:rPr>
                <w:rFonts w:ascii="Arial" w:hAnsi="Arial" w:cs="Arial"/>
                <w:sz w:val="22"/>
                <w:szCs w:val="22"/>
                <w:u w:val="words"/>
                <w:vertAlign w:val="superscript"/>
                <w:lang w:eastAsia="en-US"/>
              </w:rPr>
              <w:t>o</w:t>
            </w:r>
            <w:r w:rsidRPr="00C560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5.654, de 23 de fevereiro de 2016 </w:t>
            </w:r>
            <w:r w:rsidR="00445E63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C560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Parcial).</w:t>
            </w:r>
          </w:p>
        </w:tc>
      </w:tr>
      <w:tr w:rsidR="00C560D2" w:rsidRPr="00B43BA1" w:rsidTr="00C560D2">
        <w:tblPrEx>
          <w:tblLook w:val="0000" w:firstRow="0" w:lastRow="0" w:firstColumn="0" w:lastColumn="0" w:noHBand="0" w:noVBand="0"/>
        </w:tblPrEx>
        <w:trPr>
          <w:trHeight w:val="276"/>
          <w:jc w:val="center"/>
        </w:trPr>
        <w:tc>
          <w:tcPr>
            <w:tcW w:w="2547" w:type="dxa"/>
            <w:vMerge w:val="restart"/>
          </w:tcPr>
          <w:p w:rsidR="00C560D2" w:rsidRPr="00B43BA1" w:rsidRDefault="00C560D2" w:rsidP="00AA18D0">
            <w:pPr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>Descrição do Projeto</w:t>
            </w:r>
          </w:p>
        </w:tc>
        <w:tc>
          <w:tcPr>
            <w:tcW w:w="7801" w:type="dxa"/>
            <w:gridSpan w:val="4"/>
          </w:tcPr>
          <w:p w:rsidR="00C560D2" w:rsidRPr="00C560D2" w:rsidRDefault="00C560D2" w:rsidP="00445E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60D2">
              <w:rPr>
                <w:rFonts w:ascii="Arial" w:hAnsi="Arial" w:cs="Arial"/>
                <w:sz w:val="22"/>
                <w:szCs w:val="22"/>
                <w:lang w:eastAsia="en-US"/>
              </w:rPr>
              <w:t>Reforços em Instalações de Transmissão de Energia Elétrica, compreendendo:</w:t>
            </w:r>
          </w:p>
        </w:tc>
      </w:tr>
      <w:tr w:rsidR="00C560D2" w:rsidRPr="00B43BA1" w:rsidTr="00C560D2">
        <w:tblPrEx>
          <w:tblLook w:val="0000" w:firstRow="0" w:lastRow="0" w:firstColumn="0" w:lastColumn="0" w:noHBand="0" w:noVBand="0"/>
        </w:tblPrEx>
        <w:trPr>
          <w:trHeight w:val="552"/>
          <w:jc w:val="center"/>
        </w:trPr>
        <w:tc>
          <w:tcPr>
            <w:tcW w:w="2547" w:type="dxa"/>
            <w:vMerge/>
          </w:tcPr>
          <w:p w:rsidR="00C560D2" w:rsidRPr="00B43BA1" w:rsidRDefault="00C560D2" w:rsidP="00AA18D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801" w:type="dxa"/>
            <w:gridSpan w:val="4"/>
          </w:tcPr>
          <w:p w:rsidR="00C560D2" w:rsidRPr="00C560D2" w:rsidRDefault="00C560D2" w:rsidP="00445E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60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I - Linha de Transmissão 230 kV Paulo Afonso III </w:t>
            </w:r>
            <w:r w:rsidR="00445E63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C560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Garanhuns II C4: substituir cabo para-raios convencional por 205 km de cabo para-raios com 12 fibras óticas;</w:t>
            </w:r>
          </w:p>
        </w:tc>
      </w:tr>
      <w:tr w:rsidR="00C560D2" w:rsidRPr="00B43BA1" w:rsidTr="00C560D2">
        <w:tblPrEx>
          <w:tblLook w:val="0000" w:firstRow="0" w:lastRow="0" w:firstColumn="0" w:lastColumn="0" w:noHBand="0" w:noVBand="0"/>
        </w:tblPrEx>
        <w:trPr>
          <w:trHeight w:val="553"/>
          <w:jc w:val="center"/>
        </w:trPr>
        <w:tc>
          <w:tcPr>
            <w:tcW w:w="2547" w:type="dxa"/>
            <w:vMerge/>
          </w:tcPr>
          <w:p w:rsidR="00C560D2" w:rsidRPr="00B43BA1" w:rsidRDefault="00C560D2" w:rsidP="00AA18D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801" w:type="dxa"/>
            <w:gridSpan w:val="4"/>
          </w:tcPr>
          <w:p w:rsidR="00C560D2" w:rsidRPr="00C560D2" w:rsidRDefault="00C560D2" w:rsidP="00445E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60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II - Linha de Transmissão 500 kV Garanhuns II </w:t>
            </w:r>
            <w:r w:rsidR="00445E63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C560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Angelim II C1: substituir cabo para-raios convencional por 12 km de cabo para-raios com 36 fibras óticas; e</w:t>
            </w:r>
          </w:p>
        </w:tc>
      </w:tr>
      <w:tr w:rsidR="00C560D2" w:rsidRPr="00B43BA1" w:rsidTr="00C560D2">
        <w:tblPrEx>
          <w:tblLook w:val="0000" w:firstRow="0" w:lastRow="0" w:firstColumn="0" w:lastColumn="0" w:noHBand="0" w:noVBand="0"/>
        </w:tblPrEx>
        <w:trPr>
          <w:trHeight w:val="595"/>
          <w:jc w:val="center"/>
        </w:trPr>
        <w:tc>
          <w:tcPr>
            <w:tcW w:w="2547" w:type="dxa"/>
            <w:vMerge/>
          </w:tcPr>
          <w:p w:rsidR="00C560D2" w:rsidRPr="00B43BA1" w:rsidRDefault="00C560D2" w:rsidP="00AA18D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801" w:type="dxa"/>
            <w:gridSpan w:val="4"/>
          </w:tcPr>
          <w:p w:rsidR="00C560D2" w:rsidRPr="00C560D2" w:rsidRDefault="00C560D2" w:rsidP="00445E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60D2">
              <w:rPr>
                <w:rFonts w:ascii="Arial" w:hAnsi="Arial" w:cs="Arial"/>
                <w:sz w:val="22"/>
                <w:szCs w:val="22"/>
                <w:lang w:eastAsia="en-US"/>
              </w:rPr>
              <w:t>III - Linha de Transmissão 500 kV Angelim II – Recife II C2: substituir cabo para-raios convencional por 170 km de cabo para-raios com 12 fibras óticas.</w:t>
            </w:r>
          </w:p>
        </w:tc>
      </w:tr>
      <w:tr w:rsidR="00C560D2" w:rsidRPr="00B43BA1" w:rsidTr="00C560D2">
        <w:tblPrEx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C560D2" w:rsidRPr="00B43BA1" w:rsidRDefault="00C560D2" w:rsidP="00AA18D0">
            <w:pPr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>Período de Execução</w:t>
            </w:r>
          </w:p>
        </w:tc>
        <w:tc>
          <w:tcPr>
            <w:tcW w:w="7801" w:type="dxa"/>
            <w:gridSpan w:val="4"/>
            <w:tcBorders>
              <w:top w:val="single" w:sz="4" w:space="0" w:color="auto"/>
            </w:tcBorders>
          </w:tcPr>
          <w:p w:rsidR="00C560D2" w:rsidRPr="00B43BA1" w:rsidRDefault="00C560D2" w:rsidP="00AA18D0">
            <w:pPr>
              <w:jc w:val="both"/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szCs w:val="22"/>
                <w:lang w:eastAsia="en-US"/>
              </w:rPr>
              <w:t>De 1</w:t>
            </w:r>
            <w:r w:rsidR="00445E63" w:rsidRPr="00445E63">
              <w:rPr>
                <w:rFonts w:ascii="Arial" w:hAnsi="Arial" w:cs="Arial"/>
                <w:u w:val="words"/>
                <w:vertAlign w:val="superscript"/>
                <w:lang w:eastAsia="en-US"/>
              </w:rPr>
              <w:t>o</w:t>
            </w:r>
            <w:r w:rsidRPr="00B43BA1">
              <w:rPr>
                <w:rFonts w:ascii="Arial" w:hAnsi="Arial" w:cs="Arial"/>
                <w:szCs w:val="22"/>
                <w:lang w:eastAsia="en-US"/>
              </w:rPr>
              <w:t>/3/2016 a 1</w:t>
            </w:r>
            <w:r w:rsidR="00445E63" w:rsidRPr="00445E63">
              <w:rPr>
                <w:rFonts w:ascii="Arial" w:hAnsi="Arial" w:cs="Arial"/>
                <w:u w:val="words"/>
                <w:vertAlign w:val="superscript"/>
                <w:lang w:eastAsia="en-US"/>
              </w:rPr>
              <w:t>o</w:t>
            </w:r>
            <w:r w:rsidRPr="00B43BA1">
              <w:rPr>
                <w:rFonts w:ascii="Arial" w:hAnsi="Arial" w:cs="Arial"/>
                <w:szCs w:val="22"/>
                <w:lang w:eastAsia="en-US"/>
              </w:rPr>
              <w:t>/7/2017.</w:t>
            </w:r>
          </w:p>
        </w:tc>
      </w:tr>
      <w:tr w:rsidR="00C560D2" w:rsidRPr="00B43BA1" w:rsidTr="00C560D2">
        <w:tblPrEx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2547" w:type="dxa"/>
            <w:tcBorders>
              <w:top w:val="single" w:sz="4" w:space="0" w:color="auto"/>
            </w:tcBorders>
          </w:tcPr>
          <w:p w:rsidR="00C560D2" w:rsidRPr="00B43BA1" w:rsidRDefault="00C560D2" w:rsidP="00AA18D0">
            <w:pPr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>Localidade do Projeto [Município(s)/UF(s)]</w:t>
            </w:r>
          </w:p>
        </w:tc>
        <w:tc>
          <w:tcPr>
            <w:tcW w:w="7801" w:type="dxa"/>
            <w:gridSpan w:val="4"/>
          </w:tcPr>
          <w:p w:rsidR="00C560D2" w:rsidRPr="00C560D2" w:rsidRDefault="00C560D2" w:rsidP="00AA18D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60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Municípios de Água Branca, Canapi, Delmiro Gouveia, Inhapi, Maravilha e </w:t>
            </w:r>
            <w:proofErr w:type="spellStart"/>
            <w:r w:rsidRPr="00C560D2">
              <w:rPr>
                <w:rFonts w:ascii="Arial" w:hAnsi="Arial" w:cs="Arial"/>
                <w:sz w:val="22"/>
                <w:szCs w:val="22"/>
                <w:lang w:eastAsia="en-US"/>
              </w:rPr>
              <w:t>Pariconha</w:t>
            </w:r>
            <w:proofErr w:type="spellEnd"/>
            <w:r w:rsidRPr="00C560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Estado de Alagoas; Água Preta, Águas Belas, Angelim, Bom Conselho, Brejão, Cabo de Santo Agostinho, Canhotinho, Catende, Escada, Gameleira, Garanhuns, </w:t>
            </w:r>
            <w:proofErr w:type="spellStart"/>
            <w:r w:rsidRPr="00C560D2">
              <w:rPr>
                <w:rFonts w:ascii="Arial" w:hAnsi="Arial" w:cs="Arial"/>
                <w:sz w:val="22"/>
                <w:szCs w:val="22"/>
                <w:lang w:eastAsia="en-US"/>
              </w:rPr>
              <w:t>Iati</w:t>
            </w:r>
            <w:proofErr w:type="spellEnd"/>
            <w:r w:rsidRPr="00C560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Itaíba, Jaboatão dos Guararapes, Jatobá, Joaquim Nabuco, Maraial, Moreno, Palmares, Primavera, Quipapá, Ribeirão, </w:t>
            </w:r>
            <w:proofErr w:type="spellStart"/>
            <w:r w:rsidRPr="00C560D2">
              <w:rPr>
                <w:rFonts w:ascii="Arial" w:hAnsi="Arial" w:cs="Arial"/>
                <w:sz w:val="22"/>
                <w:szCs w:val="22"/>
                <w:lang w:eastAsia="en-US"/>
              </w:rPr>
              <w:t>Saloá</w:t>
            </w:r>
            <w:proofErr w:type="spellEnd"/>
            <w:r w:rsidRPr="00C560D2">
              <w:rPr>
                <w:rFonts w:ascii="Arial" w:hAnsi="Arial" w:cs="Arial"/>
                <w:sz w:val="22"/>
                <w:szCs w:val="22"/>
                <w:lang w:eastAsia="en-US"/>
              </w:rPr>
              <w:t>, São Benedito do Sul, São João e Terezinha, Estado de Pernambuco.</w:t>
            </w:r>
          </w:p>
        </w:tc>
      </w:tr>
      <w:tr w:rsidR="00C560D2" w:rsidRPr="00B43BA1" w:rsidTr="00C560D2">
        <w:trPr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2" w:rsidRPr="00B43BA1" w:rsidRDefault="00C560D2" w:rsidP="00AA18D0">
            <w:pPr>
              <w:ind w:left="-70"/>
              <w:rPr>
                <w:rFonts w:ascii="Arial" w:hAnsi="Arial" w:cs="Arial"/>
                <w:bCs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 xml:space="preserve">12 - </w:t>
            </w:r>
            <w:r w:rsidRPr="00B43BA1">
              <w:rPr>
                <w:rFonts w:ascii="Arial" w:hAnsi="Arial" w:cs="Arial"/>
                <w:bCs/>
                <w:lang w:eastAsia="en-US"/>
              </w:rPr>
              <w:t>PRESIDENTE, RESPONSÁVEL TÉCNICO E CONTADOR DA PESSOA JURÍDICA</w:t>
            </w:r>
          </w:p>
        </w:tc>
      </w:tr>
      <w:tr w:rsidR="00C560D2" w:rsidRPr="00B43BA1" w:rsidTr="00C560D2">
        <w:trPr>
          <w:trHeight w:hRule="exact" w:val="284"/>
          <w:jc w:val="center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D2" w:rsidRPr="00B43BA1" w:rsidRDefault="00C560D2" w:rsidP="00AA18D0">
            <w:pPr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>Nome: José Carlos de Miranda Farias.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D2" w:rsidRPr="00B43BA1" w:rsidRDefault="00C560D2" w:rsidP="00AA18D0">
            <w:pPr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>CPF: 090.244.174-49.</w:t>
            </w:r>
          </w:p>
        </w:tc>
      </w:tr>
      <w:tr w:rsidR="00C560D2" w:rsidRPr="00B43BA1" w:rsidTr="00C560D2">
        <w:trPr>
          <w:trHeight w:hRule="exact" w:val="284"/>
          <w:jc w:val="center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D2" w:rsidRPr="00B43BA1" w:rsidRDefault="00C560D2" w:rsidP="00AA18D0">
            <w:pPr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>Nome: Roberto Sampaio Pires Ferreira.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D2" w:rsidRPr="00B43BA1" w:rsidRDefault="00C560D2" w:rsidP="00AA18D0">
            <w:pPr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>CPF: 172.565.854-20.</w:t>
            </w:r>
          </w:p>
        </w:tc>
      </w:tr>
      <w:tr w:rsidR="00C560D2" w:rsidRPr="00B43BA1" w:rsidTr="00C560D2">
        <w:trPr>
          <w:trHeight w:hRule="exact" w:val="284"/>
          <w:jc w:val="center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D2" w:rsidRPr="00B43BA1" w:rsidRDefault="00C560D2" w:rsidP="00AA18D0">
            <w:pPr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 xml:space="preserve">Nome: </w:t>
            </w:r>
            <w:proofErr w:type="spellStart"/>
            <w:r w:rsidRPr="00B43BA1">
              <w:rPr>
                <w:rFonts w:ascii="Arial" w:hAnsi="Arial" w:cs="Arial"/>
                <w:lang w:eastAsia="en-US"/>
              </w:rPr>
              <w:t>Denilson</w:t>
            </w:r>
            <w:proofErr w:type="spellEnd"/>
            <w:r w:rsidRPr="00B43BA1">
              <w:rPr>
                <w:rFonts w:ascii="Arial" w:hAnsi="Arial" w:cs="Arial"/>
                <w:lang w:eastAsia="en-US"/>
              </w:rPr>
              <w:t xml:space="preserve"> Veronese da Costa.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D2" w:rsidRPr="00B43BA1" w:rsidRDefault="00C560D2" w:rsidP="00AA18D0">
            <w:pPr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>CPF: 025.971.457-78.</w:t>
            </w:r>
          </w:p>
        </w:tc>
      </w:tr>
      <w:tr w:rsidR="00C560D2" w:rsidRPr="00B43BA1" w:rsidTr="00C560D2">
        <w:trPr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2" w:rsidRPr="00B43BA1" w:rsidRDefault="00C560D2" w:rsidP="00AA18D0">
            <w:pPr>
              <w:ind w:left="-70"/>
              <w:rPr>
                <w:rFonts w:ascii="Arial" w:hAnsi="Arial" w:cs="Arial"/>
                <w:bCs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 xml:space="preserve">13 - </w:t>
            </w:r>
            <w:r w:rsidRPr="00B43BA1">
              <w:rPr>
                <w:rFonts w:ascii="Arial" w:hAnsi="Arial" w:cs="Arial"/>
                <w:bCs/>
                <w:lang w:eastAsia="en-US"/>
              </w:rPr>
              <w:t>ESTIMATIVAS DOS VALORES DOS BENS E SERVIÇOS DO PROJETO COM INCIDÊNCIA DE PIS/PASEP E COFINS (R$)</w:t>
            </w:r>
          </w:p>
        </w:tc>
      </w:tr>
      <w:tr w:rsidR="00C560D2" w:rsidRPr="00B43BA1" w:rsidTr="00C560D2">
        <w:trPr>
          <w:trHeight w:val="14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D2" w:rsidRPr="00B43BA1" w:rsidRDefault="00C560D2" w:rsidP="00AA18D0">
            <w:pPr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>Bens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2" w:rsidRPr="00B43BA1" w:rsidRDefault="00C560D2" w:rsidP="00AA18D0">
            <w:pPr>
              <w:jc w:val="right"/>
              <w:rPr>
                <w:rFonts w:ascii="Arial" w:hAnsi="Arial" w:cs="Arial"/>
              </w:rPr>
            </w:pPr>
            <w:r w:rsidRPr="00B43BA1">
              <w:rPr>
                <w:rFonts w:ascii="Arial" w:hAnsi="Arial" w:cs="Arial"/>
              </w:rPr>
              <w:t>0,00.</w:t>
            </w:r>
          </w:p>
        </w:tc>
      </w:tr>
      <w:tr w:rsidR="00C560D2" w:rsidRPr="00B43BA1" w:rsidTr="00C560D2">
        <w:trPr>
          <w:trHeight w:val="14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D2" w:rsidRPr="00B43BA1" w:rsidRDefault="00C560D2" w:rsidP="00AA18D0">
            <w:pPr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>Serviços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2" w:rsidRPr="00B43BA1" w:rsidRDefault="00C560D2" w:rsidP="00AA18D0">
            <w:pPr>
              <w:jc w:val="right"/>
              <w:rPr>
                <w:rFonts w:ascii="Arial" w:hAnsi="Arial" w:cs="Arial"/>
              </w:rPr>
            </w:pPr>
            <w:r w:rsidRPr="00B43BA1">
              <w:rPr>
                <w:rFonts w:ascii="Arial" w:hAnsi="Arial" w:cs="Arial"/>
              </w:rPr>
              <w:t>5.193.655,18.</w:t>
            </w:r>
          </w:p>
        </w:tc>
      </w:tr>
      <w:tr w:rsidR="00C560D2" w:rsidRPr="00B43BA1" w:rsidTr="00C560D2">
        <w:trPr>
          <w:trHeight w:val="15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D2" w:rsidRPr="00B43BA1" w:rsidRDefault="00C560D2" w:rsidP="00AA18D0">
            <w:pPr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>Outros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2" w:rsidRPr="00B43BA1" w:rsidRDefault="00C560D2" w:rsidP="00AA18D0">
            <w:pPr>
              <w:jc w:val="right"/>
              <w:rPr>
                <w:rFonts w:ascii="Arial" w:hAnsi="Arial" w:cs="Arial"/>
              </w:rPr>
            </w:pPr>
            <w:r w:rsidRPr="00B43BA1">
              <w:rPr>
                <w:rFonts w:ascii="Arial" w:hAnsi="Arial" w:cs="Arial"/>
              </w:rPr>
              <w:t>2.144.389,80.</w:t>
            </w:r>
          </w:p>
        </w:tc>
      </w:tr>
      <w:tr w:rsidR="00C560D2" w:rsidRPr="00B43BA1" w:rsidTr="00C560D2">
        <w:trPr>
          <w:trHeight w:val="14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D2" w:rsidRPr="00B43BA1" w:rsidRDefault="00C560D2" w:rsidP="00AA18D0">
            <w:pPr>
              <w:rPr>
                <w:rFonts w:ascii="Arial" w:hAnsi="Arial" w:cs="Arial"/>
                <w:b/>
                <w:lang w:eastAsia="en-US"/>
              </w:rPr>
            </w:pPr>
            <w:r w:rsidRPr="00B43BA1">
              <w:rPr>
                <w:rFonts w:ascii="Arial" w:hAnsi="Arial" w:cs="Arial"/>
                <w:b/>
                <w:lang w:eastAsia="en-US"/>
              </w:rPr>
              <w:t>Total (1)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2" w:rsidRPr="00B43BA1" w:rsidRDefault="00C560D2" w:rsidP="00AA18D0">
            <w:pPr>
              <w:jc w:val="right"/>
              <w:rPr>
                <w:rFonts w:ascii="Arial" w:hAnsi="Arial" w:cs="Arial"/>
                <w:b/>
              </w:rPr>
            </w:pPr>
            <w:r w:rsidRPr="00B43BA1">
              <w:rPr>
                <w:rFonts w:ascii="Arial" w:hAnsi="Arial" w:cs="Arial"/>
                <w:b/>
              </w:rPr>
              <w:t>7.338.044,98.</w:t>
            </w:r>
          </w:p>
        </w:tc>
      </w:tr>
      <w:tr w:rsidR="00C560D2" w:rsidRPr="00B43BA1" w:rsidTr="00C560D2">
        <w:trPr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2" w:rsidRPr="00B43BA1" w:rsidRDefault="00C560D2" w:rsidP="00AA18D0">
            <w:pPr>
              <w:ind w:left="-70"/>
              <w:rPr>
                <w:rFonts w:ascii="Arial" w:hAnsi="Arial" w:cs="Arial"/>
                <w:bCs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 xml:space="preserve">14 - </w:t>
            </w:r>
            <w:r w:rsidRPr="00B43BA1">
              <w:rPr>
                <w:rFonts w:ascii="Arial" w:hAnsi="Arial" w:cs="Arial"/>
                <w:bCs/>
                <w:lang w:eastAsia="en-US"/>
              </w:rPr>
              <w:t>ESTIMATIVAS DOS VALORES DOS BENS E SERVIÇOS DO PROJETO SEM INCIDÊNCIA DE PIS/PASEP E COFINS (R$)</w:t>
            </w:r>
          </w:p>
        </w:tc>
      </w:tr>
      <w:tr w:rsidR="00C560D2" w:rsidRPr="00B43BA1" w:rsidTr="00C560D2">
        <w:trPr>
          <w:trHeight w:val="99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D2" w:rsidRPr="00B43BA1" w:rsidRDefault="00C560D2" w:rsidP="00AA18D0">
            <w:pPr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>Bens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2" w:rsidRPr="00B43BA1" w:rsidRDefault="00C560D2" w:rsidP="00AA18D0">
            <w:pPr>
              <w:jc w:val="right"/>
              <w:rPr>
                <w:rFonts w:ascii="Arial" w:hAnsi="Arial" w:cs="Arial"/>
              </w:rPr>
            </w:pPr>
            <w:r w:rsidRPr="00B43BA1">
              <w:rPr>
                <w:rFonts w:ascii="Arial" w:hAnsi="Arial" w:cs="Arial"/>
              </w:rPr>
              <w:t>0,00.</w:t>
            </w:r>
          </w:p>
        </w:tc>
      </w:tr>
      <w:tr w:rsidR="00C560D2" w:rsidRPr="00B43BA1" w:rsidTr="00C560D2">
        <w:trPr>
          <w:trHeight w:val="23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D2" w:rsidRPr="00B43BA1" w:rsidRDefault="00C560D2" w:rsidP="00AA18D0">
            <w:pPr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>Serviços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2" w:rsidRPr="00B43BA1" w:rsidRDefault="00C560D2" w:rsidP="00AA18D0">
            <w:pPr>
              <w:jc w:val="right"/>
              <w:rPr>
                <w:rFonts w:ascii="Arial" w:hAnsi="Arial" w:cs="Arial"/>
              </w:rPr>
            </w:pPr>
            <w:r w:rsidRPr="00B43BA1">
              <w:rPr>
                <w:rFonts w:ascii="Arial" w:hAnsi="Arial" w:cs="Arial"/>
              </w:rPr>
              <w:t>5.004.086,77.</w:t>
            </w:r>
          </w:p>
        </w:tc>
      </w:tr>
      <w:tr w:rsidR="00C560D2" w:rsidRPr="00B43BA1" w:rsidTr="00C560D2">
        <w:trPr>
          <w:trHeight w:val="9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D2" w:rsidRPr="00B43BA1" w:rsidRDefault="00C560D2" w:rsidP="00AA18D0">
            <w:pPr>
              <w:rPr>
                <w:rFonts w:ascii="Arial" w:hAnsi="Arial" w:cs="Arial"/>
                <w:lang w:eastAsia="en-US"/>
              </w:rPr>
            </w:pPr>
            <w:r w:rsidRPr="00B43BA1">
              <w:rPr>
                <w:rFonts w:ascii="Arial" w:hAnsi="Arial" w:cs="Arial"/>
                <w:lang w:eastAsia="en-US"/>
              </w:rPr>
              <w:t>Outros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2" w:rsidRPr="00B43BA1" w:rsidRDefault="00C560D2" w:rsidP="00AA18D0">
            <w:pPr>
              <w:jc w:val="right"/>
              <w:rPr>
                <w:rFonts w:ascii="Arial" w:hAnsi="Arial" w:cs="Arial"/>
              </w:rPr>
            </w:pPr>
            <w:r w:rsidRPr="00B43BA1">
              <w:rPr>
                <w:rFonts w:ascii="Arial" w:hAnsi="Arial" w:cs="Arial"/>
              </w:rPr>
              <w:t>1.946.033,74.</w:t>
            </w:r>
          </w:p>
        </w:tc>
      </w:tr>
      <w:tr w:rsidR="00C560D2" w:rsidRPr="00B43BA1" w:rsidTr="00C560D2">
        <w:trPr>
          <w:trHeight w:val="8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D2" w:rsidRPr="00B43BA1" w:rsidRDefault="00C560D2" w:rsidP="00AA18D0">
            <w:pPr>
              <w:rPr>
                <w:rFonts w:ascii="Arial" w:hAnsi="Arial" w:cs="Arial"/>
                <w:b/>
                <w:lang w:eastAsia="en-US"/>
              </w:rPr>
            </w:pPr>
            <w:r w:rsidRPr="00B43BA1">
              <w:rPr>
                <w:rFonts w:ascii="Arial" w:hAnsi="Arial" w:cs="Arial"/>
                <w:b/>
                <w:lang w:eastAsia="en-US"/>
              </w:rPr>
              <w:t>Total (2)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2" w:rsidRPr="00B43BA1" w:rsidRDefault="00C560D2" w:rsidP="00AA18D0">
            <w:pPr>
              <w:jc w:val="right"/>
              <w:rPr>
                <w:rFonts w:ascii="Arial" w:hAnsi="Arial" w:cs="Arial"/>
                <w:b/>
              </w:rPr>
            </w:pPr>
            <w:r w:rsidRPr="00B43BA1">
              <w:rPr>
                <w:rFonts w:ascii="Arial" w:hAnsi="Arial" w:cs="Arial"/>
                <w:b/>
              </w:rPr>
              <w:t>6.950.120,51.</w:t>
            </w:r>
          </w:p>
        </w:tc>
      </w:tr>
    </w:tbl>
    <w:p w:rsidR="004056E0" w:rsidRPr="00B079EE" w:rsidRDefault="004056E0" w:rsidP="00445E63">
      <w:pPr>
        <w:rPr>
          <w:rFonts w:ascii="Arial" w:hAnsi="Arial" w:cs="Arial"/>
          <w:sz w:val="20"/>
          <w:szCs w:val="20"/>
        </w:rPr>
      </w:pPr>
    </w:p>
    <w:sectPr w:rsidR="004056E0" w:rsidRPr="00B079EE" w:rsidSect="00ED6108">
      <w:headerReference w:type="default" r:id="rId10"/>
      <w:headerReference w:type="first" r:id="rId11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4056E0">
      <w:rPr>
        <w:rFonts w:ascii="Arial" w:hAnsi="Arial" w:cs="Arial"/>
      </w:rPr>
      <w:t>30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EF3EB9">
      <w:rPr>
        <w:rFonts w:ascii="Arial" w:hAnsi="Arial" w:cs="Arial"/>
      </w:rPr>
      <w:t>1</w:t>
    </w:r>
    <w:r w:rsidR="00FE69D0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275BA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46E64">
      <w:rPr>
        <w:rFonts w:ascii="Arial" w:hAnsi="Arial" w:cs="Arial"/>
      </w:rPr>
      <w:t>2</w:t>
    </w:r>
    <w:r w:rsidR="00FE69D0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017A9A">
      <w:rPr>
        <w:rFonts w:ascii="Arial" w:hAnsi="Arial" w:cs="Arial"/>
      </w:rPr>
      <w:t>1</w:t>
    </w:r>
    <w:r w:rsidR="00FE69D0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7C25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C560D2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4056E0">
      <w:rPr>
        <w:rFonts w:ascii="Arial" w:hAnsi="Arial" w:cs="Arial"/>
      </w:rPr>
      <w:t>3</w:t>
    </w:r>
    <w:r w:rsidR="00C560D2">
      <w:rPr>
        <w:rFonts w:ascii="Arial" w:hAnsi="Arial" w:cs="Arial"/>
      </w:rPr>
      <w:t>3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1275BA"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C0A97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97EA5" w:rsidRDefault="00D97E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0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5BA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63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0A97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0D2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17F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61"/>
    <o:shapelayout v:ext="edit">
      <o:idmap v:ext="edit" data="1"/>
    </o:shapelayout>
  </w:shapeDefaults>
  <w:decimalSymbol w:val=","/>
  <w:listSeparator w:val=";"/>
  <w14:docId w14:val="34A90A73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990B7-8631-4F19-B9CC-16E6E87E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813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3</cp:revision>
  <cp:lastPrinted>2010-07-14T20:23:00Z</cp:lastPrinted>
  <dcterms:created xsi:type="dcterms:W3CDTF">2017-02-21T11:36:00Z</dcterms:created>
  <dcterms:modified xsi:type="dcterms:W3CDTF">2017-02-21T11:37:00Z</dcterms:modified>
</cp:coreProperties>
</file>