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026571">
        <w:rPr>
          <w:rFonts w:ascii="Arial" w:hAnsi="Arial" w:cs="Arial"/>
          <w:b/>
          <w:bCs/>
          <w:color w:val="000080"/>
        </w:rPr>
        <w:t>90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C12CF">
        <w:rPr>
          <w:rFonts w:ascii="Arial" w:hAnsi="Arial" w:cs="Arial"/>
          <w:b/>
          <w:bCs/>
          <w:color w:val="000080"/>
        </w:rPr>
        <w:t>4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F0879">
        <w:rPr>
          <w:rFonts w:ascii="Arial" w:hAnsi="Arial" w:cs="Arial"/>
        </w:rPr>
        <w:t>, no uso da competência que lhe foi delegada pelo art. 1</w:t>
      </w:r>
      <w:bookmarkStart w:id="0" w:name="_GoBack"/>
      <w:r w:rsidR="00E14917" w:rsidRPr="00E14917">
        <w:rPr>
          <w:rFonts w:ascii="Arial" w:hAnsi="Arial" w:cs="Arial"/>
          <w:u w:val="words"/>
          <w:vertAlign w:val="superscript"/>
        </w:rPr>
        <w:t>o</w:t>
      </w:r>
      <w:bookmarkEnd w:id="0"/>
      <w:r w:rsidRPr="006F0879">
        <w:rPr>
          <w:rFonts w:ascii="Arial" w:hAnsi="Arial" w:cs="Arial"/>
        </w:rPr>
        <w:t>, inciso I, da Portaria MME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281, de 29 de junho de 2016, tendo em vista o disposto no art. 6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do Decreto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6.144, de 3 de julho de 2007, no art. 2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>, § 3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>, da Portaria MME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274, de 19 de agosto de 2013, e o que consta do Processo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48500.002902/2016-41, resolve: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1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Usina Hidrelétrica denominada UHE Tibagi Montante, cadastrada com o Código Único do Empreendimento de Geração - CEG: UHE.PH.PR.032923-1.01, de titularidade da empresa Tibagi Energia SPE S.A., inscrita no CNPJ/MF sob o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> 23.080.281/0001-35, detalhado no Anexo à presente Portaria.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 xml:space="preserve">Parágrafo único. O projeto de que trata o </w:t>
      </w:r>
      <w:r w:rsidRPr="006F0879">
        <w:rPr>
          <w:rFonts w:ascii="Arial" w:hAnsi="Arial" w:cs="Arial"/>
          <w:b/>
          <w:bCs/>
        </w:rPr>
        <w:t>caput</w:t>
      </w:r>
      <w:r w:rsidRPr="006F0879">
        <w:rPr>
          <w:rFonts w:ascii="Arial" w:hAnsi="Arial" w:cs="Arial"/>
        </w:rPr>
        <w:t>, autorizado por meio da Portaria MME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486, de 20 de outubro de 2015, é alcançado pelo art. 4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>, inciso I, da Portaria MME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274, de 19 de agosto de 2013.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2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As estimativas dos investimentos têm por base o mês de abril de 2017 e são de exclusiva responsabilidade da Tibagi Energia SPE S.A., cuja razoabilidade foi atestada pela Agência Nacional de Energia Elétrica - ANEEL.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3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 Tibagi Energia SPE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4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5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6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A Tibagi Energia SPE S.A. deverá observar, no que couber, as disposições constantes na Lei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11.488, de 15 de junho de 2007, no Decreto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6.144, de 2007, na Portaria MME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e 14, do Decreto n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6.144, de 2007, sujeitas à fiscalização da Secretaria da Receita Federal do Brasil.</w:t>
      </w:r>
    </w:p>
    <w:p w:rsidR="00026571" w:rsidRDefault="00026571" w:rsidP="00026571">
      <w:pPr>
        <w:ind w:firstLine="1134"/>
        <w:jc w:val="both"/>
        <w:rPr>
          <w:rFonts w:ascii="Arial" w:hAnsi="Arial" w:cs="Arial"/>
        </w:rPr>
      </w:pPr>
    </w:p>
    <w:p w:rsidR="00026571" w:rsidRPr="006F0879" w:rsidRDefault="00026571" w:rsidP="00026571">
      <w:pPr>
        <w:ind w:firstLine="1134"/>
        <w:jc w:val="both"/>
        <w:rPr>
          <w:rFonts w:ascii="Arial" w:hAnsi="Arial" w:cs="Arial"/>
        </w:rPr>
      </w:pPr>
      <w:r w:rsidRPr="006F0879">
        <w:rPr>
          <w:rFonts w:ascii="Arial" w:hAnsi="Arial" w:cs="Arial"/>
        </w:rPr>
        <w:t>Art. 7</w:t>
      </w:r>
      <w:r w:rsidR="00E14917" w:rsidRPr="00E14917">
        <w:rPr>
          <w:rFonts w:ascii="Arial" w:hAnsi="Arial" w:cs="Arial"/>
          <w:u w:val="words"/>
          <w:vertAlign w:val="superscript"/>
        </w:rPr>
        <w:t>o</w:t>
      </w:r>
      <w:r w:rsidRPr="006F0879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C12CF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1984"/>
        <w:gridCol w:w="2268"/>
        <w:gridCol w:w="426"/>
        <w:gridCol w:w="2984"/>
      </w:tblGrid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center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center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center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PESSOA JURÍDICA TITULAR DO PROJETO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7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01 - Nome Empresarial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Tibagi Energia SPE S.A.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02 - CNPJ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23.080.281/0001-35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72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03 - Logradouro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Avenida Getúlio Vargas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04 - Número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874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05 - Complemento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16</w:t>
            </w:r>
            <w:r w:rsidR="00E14917" w:rsidRPr="00E1491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F0879">
              <w:rPr>
                <w:rFonts w:ascii="Arial" w:hAnsi="Arial" w:cs="Arial"/>
              </w:rPr>
              <w:t xml:space="preserve"> andar, Sala 1.601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06 - Bairro/Distrito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Funcionários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07 - CEP</w:t>
            </w:r>
          </w:p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30112-020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08 - Município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09 - UF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026571">
            <w:pPr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10 - Telefone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11 - DADOS DO PROJETO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Nome do Projeto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UHE Tibagi Montante (Autorizada pela Portaria MME n</w:t>
            </w:r>
            <w:r w:rsidR="00E14917" w:rsidRPr="00E1491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F0879">
              <w:rPr>
                <w:rFonts w:ascii="Arial" w:hAnsi="Arial" w:cs="Arial"/>
              </w:rPr>
              <w:t xml:space="preserve"> 486, de 20 de outubro de 2015 - Leilão n</w:t>
            </w:r>
            <w:r w:rsidR="00E14917" w:rsidRPr="00E1491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F0879">
              <w:rPr>
                <w:rFonts w:ascii="Arial" w:hAnsi="Arial" w:cs="Arial"/>
              </w:rPr>
              <w:t xml:space="preserve"> 03/2015-ANEEL).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Usina Hidrelétrica denominada UHE Tibagi Montante, compreendendo: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I - Duas Unidades Geradoras de 16.000 kW, totalizando 32.000 kW de capacidade instalada; e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II - Sistema de Transmissão de Interesse Restrito constituído de uma Subestação Elevadora de 13,8/138 kV, junto à Central Geradora, e uma Linha de Transmissão em 138 kV, com cerca de quatro quilômetros de extensão, em Circuito Simples, interligando a Subestação Elevadora ao Barramento de 138 kV da Subestação Tibagi, de propriedade da Copel Distribuição S.A.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De 01/07/2017 a 31/12/2019.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Localidade do Projeto</w:t>
            </w:r>
          </w:p>
        </w:tc>
        <w:tc>
          <w:tcPr>
            <w:tcW w:w="7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Município de Tibagi, Estado do Paraná.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Nome: Marcio Barata Diniz.</w:t>
            </w:r>
          </w:p>
        </w:tc>
        <w:tc>
          <w:tcPr>
            <w:tcW w:w="3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CPF: 391.837.856-04.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Nome: Roberto Ferreira da Rocha Alves.</w:t>
            </w:r>
          </w:p>
        </w:tc>
        <w:tc>
          <w:tcPr>
            <w:tcW w:w="3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CPF: 895.776.206-04.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Nome: Wilian Calixto de Assis.</w:t>
            </w:r>
          </w:p>
        </w:tc>
        <w:tc>
          <w:tcPr>
            <w:tcW w:w="3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CPF: 783.633.578-04.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Bens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109.900.997,62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Serviços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128.389.169,84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Outros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59.137.700,70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  <w:b/>
                <w:bCs/>
              </w:rPr>
              <w:t>297.427.868,16</w:t>
            </w:r>
          </w:p>
        </w:tc>
      </w:tr>
      <w:tr w:rsidR="00026571" w:rsidRPr="006F0879" w:rsidTr="00B16550">
        <w:trPr>
          <w:tblCellSpacing w:w="0" w:type="dxa"/>
          <w:jc w:val="center"/>
        </w:trPr>
        <w:tc>
          <w:tcPr>
            <w:tcW w:w="102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Bens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99.735.155,34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Serviços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123.702.965,14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Outros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</w:rPr>
              <w:t>59.137.700,70</w:t>
            </w:r>
          </w:p>
        </w:tc>
      </w:tr>
      <w:tr w:rsidR="00026571" w:rsidRPr="006F0879" w:rsidTr="00026571">
        <w:trPr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571" w:rsidRPr="006F0879" w:rsidRDefault="00026571" w:rsidP="00B1655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0879">
              <w:rPr>
                <w:rFonts w:ascii="Arial" w:hAnsi="Arial" w:cs="Arial"/>
                <w:b/>
                <w:bCs/>
              </w:rPr>
              <w:t>282.575.821,18</w:t>
            </w:r>
          </w:p>
        </w:tc>
      </w:tr>
    </w:tbl>
    <w:p w:rsidR="006D5478" w:rsidRPr="000B27F3" w:rsidRDefault="006D5478" w:rsidP="000265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026571">
      <w:rPr>
        <w:rFonts w:ascii="Arial" w:hAnsi="Arial" w:cs="Arial"/>
      </w:rPr>
      <w:t>90</w:t>
    </w:r>
    <w:r w:rsidRPr="00804BC7">
      <w:rPr>
        <w:rFonts w:ascii="Arial" w:hAnsi="Arial" w:cs="Arial"/>
      </w:rPr>
      <w:t xml:space="preserve">, de </w:t>
    </w:r>
    <w:r w:rsidR="003C12CF">
      <w:rPr>
        <w:rFonts w:ascii="Arial" w:hAnsi="Arial" w:cs="Arial"/>
      </w:rPr>
      <w:t>4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1491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6913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F4E1-1BC7-439C-A22B-7C5FA110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2017-07-06T11:36:00Z</dcterms:created>
  <dcterms:modified xsi:type="dcterms:W3CDTF">2017-07-06T11:46:00Z</dcterms:modified>
</cp:coreProperties>
</file>