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871C6E">
        <w:rPr>
          <w:rFonts w:ascii="Arial" w:hAnsi="Arial" w:cs="Arial"/>
          <w:b/>
          <w:bCs/>
          <w:color w:val="000080"/>
        </w:rPr>
        <w:t>64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 xml:space="preserve">20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71C6E" w:rsidRPr="00743773" w:rsidRDefault="00871C6E" w:rsidP="00871C6E">
      <w:pPr>
        <w:ind w:firstLine="1134"/>
        <w:jc w:val="both"/>
        <w:rPr>
          <w:rFonts w:ascii="Arial" w:hAnsi="Arial" w:cs="Arial"/>
        </w:rPr>
      </w:pPr>
      <w:r w:rsidRPr="0074377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743773">
        <w:rPr>
          <w:rFonts w:ascii="Arial" w:hAnsi="Arial" w:cs="Arial"/>
        </w:rPr>
        <w:t>, no uso da competência que lhe foi delegada pelo art. 1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>, inciso I, da Portaria MME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281, de 29 de junho de 2016, tendo em vista o disposto no art. 6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do Decreto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6.144, de 3 de julho de 2007, no art. 2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>, § 3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>, da Portaria MME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274, de 19 de agosto de 2013, e o que consta do Processo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48500.001017/2017-26, resolve:</w:t>
      </w:r>
    </w:p>
    <w:p w:rsidR="00871C6E" w:rsidRDefault="00871C6E" w:rsidP="00871C6E">
      <w:pPr>
        <w:ind w:firstLine="1134"/>
        <w:jc w:val="both"/>
        <w:rPr>
          <w:rFonts w:ascii="Arial" w:hAnsi="Arial" w:cs="Arial"/>
        </w:rPr>
      </w:pPr>
    </w:p>
    <w:p w:rsidR="00871C6E" w:rsidRPr="00743773" w:rsidRDefault="00871C6E" w:rsidP="00871C6E">
      <w:pPr>
        <w:ind w:firstLine="1134"/>
        <w:jc w:val="both"/>
        <w:rPr>
          <w:rFonts w:ascii="Arial" w:hAnsi="Arial" w:cs="Arial"/>
        </w:rPr>
      </w:pPr>
      <w:r w:rsidRPr="00743773">
        <w:rPr>
          <w:rFonts w:ascii="Arial" w:hAnsi="Arial" w:cs="Arial"/>
        </w:rPr>
        <w:t>Art. 1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17 do Leilão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13/2015-ANEEL - 2ª Etapa, de titularidade da empresa Janaúba Transmissora de Energia Elétrica S.A., inscrita no CNPJ/MF sob o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> 26.617.923/0001-80, detalhado no Anexo à presente Portaria.</w:t>
      </w:r>
    </w:p>
    <w:p w:rsidR="00871C6E" w:rsidRDefault="00871C6E" w:rsidP="00871C6E">
      <w:pPr>
        <w:ind w:firstLine="1134"/>
        <w:jc w:val="both"/>
        <w:rPr>
          <w:rFonts w:ascii="Arial" w:hAnsi="Arial" w:cs="Arial"/>
        </w:rPr>
      </w:pPr>
    </w:p>
    <w:p w:rsidR="00871C6E" w:rsidRPr="00743773" w:rsidRDefault="00871C6E" w:rsidP="00871C6E">
      <w:pPr>
        <w:ind w:firstLine="1134"/>
        <w:jc w:val="both"/>
        <w:rPr>
          <w:rFonts w:ascii="Arial" w:hAnsi="Arial" w:cs="Arial"/>
        </w:rPr>
      </w:pPr>
      <w:r w:rsidRPr="00743773">
        <w:rPr>
          <w:rFonts w:ascii="Arial" w:hAnsi="Arial" w:cs="Arial"/>
        </w:rPr>
        <w:t xml:space="preserve">Parágrafo único. O projeto de que trata o </w:t>
      </w:r>
      <w:r w:rsidRPr="00743773">
        <w:rPr>
          <w:rFonts w:ascii="Arial" w:hAnsi="Arial" w:cs="Arial"/>
          <w:b/>
          <w:bCs/>
        </w:rPr>
        <w:t>caput</w:t>
      </w:r>
      <w:r w:rsidRPr="00743773">
        <w:rPr>
          <w:rFonts w:ascii="Arial" w:hAnsi="Arial" w:cs="Arial"/>
        </w:rPr>
        <w:t>, objeto do Contrato de Concessão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15/2017-ANEEL, celebrado em 10 de fevereiro de 2017, é alcançado pelo art. 4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>, inciso II, da Portaria MME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274, de 19 de agosto de 2013.</w:t>
      </w:r>
    </w:p>
    <w:p w:rsidR="00871C6E" w:rsidRDefault="00871C6E" w:rsidP="00871C6E">
      <w:pPr>
        <w:ind w:firstLine="1134"/>
        <w:jc w:val="both"/>
        <w:rPr>
          <w:rFonts w:ascii="Arial" w:hAnsi="Arial" w:cs="Arial"/>
        </w:rPr>
      </w:pPr>
    </w:p>
    <w:p w:rsidR="00871C6E" w:rsidRPr="00743773" w:rsidRDefault="00871C6E" w:rsidP="00871C6E">
      <w:pPr>
        <w:ind w:firstLine="1134"/>
        <w:jc w:val="both"/>
        <w:rPr>
          <w:rFonts w:ascii="Arial" w:hAnsi="Arial" w:cs="Arial"/>
        </w:rPr>
      </w:pPr>
      <w:r w:rsidRPr="00743773">
        <w:rPr>
          <w:rFonts w:ascii="Arial" w:hAnsi="Arial" w:cs="Arial"/>
        </w:rPr>
        <w:t>Art. 2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As estimativas dos investimentos têm por base o mês de novembro de 2016 e são de exclusiva responsabilidade da Janaúba Transmissora de Energia Elétrica S.A., cuja razoabilidade foi atestada pela Agência Nacional de Energia Elétrica - ANEEL.</w:t>
      </w:r>
    </w:p>
    <w:p w:rsidR="00871C6E" w:rsidRDefault="00871C6E" w:rsidP="00871C6E">
      <w:pPr>
        <w:ind w:firstLine="1134"/>
        <w:jc w:val="both"/>
        <w:rPr>
          <w:rFonts w:ascii="Arial" w:hAnsi="Arial" w:cs="Arial"/>
        </w:rPr>
      </w:pPr>
    </w:p>
    <w:p w:rsidR="00871C6E" w:rsidRPr="00743773" w:rsidRDefault="00871C6E" w:rsidP="00871C6E">
      <w:pPr>
        <w:ind w:firstLine="1134"/>
        <w:jc w:val="both"/>
        <w:rPr>
          <w:rFonts w:ascii="Arial" w:hAnsi="Arial" w:cs="Arial"/>
        </w:rPr>
      </w:pPr>
      <w:r w:rsidRPr="00743773">
        <w:rPr>
          <w:rFonts w:ascii="Arial" w:hAnsi="Arial" w:cs="Arial"/>
        </w:rPr>
        <w:t>Art. 3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A Janaúba Transmissora de Energia Elétrica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71C6E" w:rsidRDefault="00871C6E" w:rsidP="00871C6E">
      <w:pPr>
        <w:ind w:firstLine="1134"/>
        <w:jc w:val="both"/>
        <w:rPr>
          <w:rFonts w:ascii="Arial" w:hAnsi="Arial" w:cs="Arial"/>
        </w:rPr>
      </w:pPr>
    </w:p>
    <w:p w:rsidR="00871C6E" w:rsidRPr="00743773" w:rsidRDefault="00871C6E" w:rsidP="00871C6E">
      <w:pPr>
        <w:ind w:firstLine="1134"/>
        <w:jc w:val="both"/>
        <w:rPr>
          <w:rFonts w:ascii="Arial" w:hAnsi="Arial" w:cs="Arial"/>
        </w:rPr>
      </w:pPr>
      <w:r w:rsidRPr="00743773">
        <w:rPr>
          <w:rFonts w:ascii="Arial" w:hAnsi="Arial" w:cs="Arial"/>
        </w:rPr>
        <w:t>Art. 4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871C6E" w:rsidRDefault="00871C6E" w:rsidP="00871C6E">
      <w:pPr>
        <w:ind w:firstLine="1134"/>
        <w:jc w:val="both"/>
        <w:rPr>
          <w:rFonts w:ascii="Arial" w:hAnsi="Arial" w:cs="Arial"/>
        </w:rPr>
      </w:pPr>
    </w:p>
    <w:p w:rsidR="00871C6E" w:rsidRPr="00743773" w:rsidRDefault="00871C6E" w:rsidP="00871C6E">
      <w:pPr>
        <w:ind w:firstLine="1134"/>
        <w:jc w:val="both"/>
        <w:rPr>
          <w:rFonts w:ascii="Arial" w:hAnsi="Arial" w:cs="Arial"/>
        </w:rPr>
      </w:pPr>
      <w:r w:rsidRPr="00743773">
        <w:rPr>
          <w:rFonts w:ascii="Arial" w:hAnsi="Arial" w:cs="Arial"/>
        </w:rPr>
        <w:t>Art. 5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71C6E" w:rsidRDefault="00871C6E" w:rsidP="00871C6E">
      <w:pPr>
        <w:ind w:firstLine="1134"/>
        <w:jc w:val="both"/>
        <w:rPr>
          <w:rFonts w:ascii="Arial" w:hAnsi="Arial" w:cs="Arial"/>
        </w:rPr>
      </w:pPr>
    </w:p>
    <w:p w:rsidR="00871C6E" w:rsidRPr="00743773" w:rsidRDefault="00871C6E" w:rsidP="00871C6E">
      <w:pPr>
        <w:ind w:firstLine="1134"/>
        <w:jc w:val="both"/>
        <w:rPr>
          <w:rFonts w:ascii="Arial" w:hAnsi="Arial" w:cs="Arial"/>
        </w:rPr>
      </w:pPr>
      <w:r w:rsidRPr="00743773">
        <w:rPr>
          <w:rFonts w:ascii="Arial" w:hAnsi="Arial" w:cs="Arial"/>
        </w:rPr>
        <w:t>Art. 6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A Janaúba Transmissora de Energia Elétrica S.A. deverá observar, no que couber, as disposições constantes na Lei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11.488, de 15 de junho de 2007, no Decreto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6.144, de 3 de julho de 2007, na Portaria MME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743773">
        <w:rPr>
          <w:rFonts w:ascii="Arial" w:hAnsi="Arial" w:cs="Arial"/>
        </w:rPr>
        <w:t>arts</w:t>
      </w:r>
      <w:proofErr w:type="spellEnd"/>
      <w:r w:rsidRPr="00743773">
        <w:rPr>
          <w:rFonts w:ascii="Arial" w:hAnsi="Arial" w:cs="Arial"/>
        </w:rPr>
        <w:t>. 9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e 14, do Decreto n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6.144, de 2007, sujeitas à fiscalização da Secretaria da Receita Federal do Brasil.</w:t>
      </w:r>
    </w:p>
    <w:p w:rsidR="00871C6E" w:rsidRDefault="00871C6E" w:rsidP="00871C6E">
      <w:pPr>
        <w:ind w:firstLine="1134"/>
        <w:jc w:val="both"/>
        <w:rPr>
          <w:rFonts w:ascii="Arial" w:hAnsi="Arial" w:cs="Arial"/>
        </w:rPr>
      </w:pPr>
    </w:p>
    <w:p w:rsidR="00871C6E" w:rsidRPr="00743773" w:rsidRDefault="00871C6E" w:rsidP="00871C6E">
      <w:pPr>
        <w:ind w:firstLine="1134"/>
        <w:jc w:val="both"/>
        <w:rPr>
          <w:rFonts w:ascii="Arial" w:hAnsi="Arial" w:cs="Arial"/>
        </w:rPr>
      </w:pPr>
      <w:r w:rsidRPr="00743773">
        <w:rPr>
          <w:rFonts w:ascii="Arial" w:hAnsi="Arial" w:cs="Arial"/>
        </w:rPr>
        <w:t>Art. 7</w:t>
      </w:r>
      <w:r w:rsidRPr="00871C6E">
        <w:rPr>
          <w:rFonts w:ascii="Arial" w:hAnsi="Arial" w:cs="Arial"/>
          <w:u w:val="words"/>
          <w:vertAlign w:val="superscript"/>
        </w:rPr>
        <w:t>o</w:t>
      </w:r>
      <w:r w:rsidRPr="00743773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871C6E">
        <w:rPr>
          <w:rFonts w:ascii="Arial" w:hAnsi="Arial" w:cs="Arial"/>
          <w:color w:val="FF0000"/>
        </w:rPr>
        <w:t>21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Pr="00871C6E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536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251"/>
        <w:gridCol w:w="2411"/>
        <w:gridCol w:w="566"/>
        <w:gridCol w:w="2977"/>
      </w:tblGrid>
      <w:tr w:rsidR="00871C6E" w:rsidRPr="00743773" w:rsidTr="0020433A">
        <w:trPr>
          <w:trHeight w:val="360"/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871C6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PESSOA JURÍDICA TITULAR DO PROJETO</w:t>
            </w:r>
          </w:p>
        </w:tc>
      </w:tr>
      <w:tr w:rsidR="00871C6E" w:rsidRPr="00743773" w:rsidTr="0020433A">
        <w:trPr>
          <w:trHeight w:val="225"/>
          <w:tblCellSpacing w:w="0" w:type="dxa"/>
          <w:jc w:val="center"/>
        </w:trPr>
        <w:tc>
          <w:tcPr>
            <w:tcW w:w="76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02 - CNPJ</w:t>
            </w:r>
          </w:p>
        </w:tc>
      </w:tr>
      <w:tr w:rsidR="00871C6E" w:rsidRPr="00743773" w:rsidTr="0020433A">
        <w:trPr>
          <w:trHeight w:val="225"/>
          <w:tblCellSpacing w:w="0" w:type="dxa"/>
          <w:jc w:val="center"/>
        </w:trPr>
        <w:tc>
          <w:tcPr>
            <w:tcW w:w="76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Janaúba Transmissora de Energia Elétrica S.A.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26.617.923/0001-80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76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03 - Logradouro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04 - Número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76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Praça Quinze de Novembro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20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4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05 - Complemento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06 - Bairro/Distrito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07 - CEP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4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Sala 602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Centro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20010-010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4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08 - Município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09 - UF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10 - Telefone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4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Rio de Janeiro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RJ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(21) 2212-6000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11 - DADOS DO PROJETO</w:t>
            </w:r>
          </w:p>
        </w:tc>
      </w:tr>
      <w:tr w:rsidR="00871C6E" w:rsidRPr="00743773" w:rsidTr="0020433A">
        <w:trPr>
          <w:trHeight w:val="150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Nome do Projeto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871C6E" w:rsidRDefault="00871C6E" w:rsidP="00871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C6E">
              <w:rPr>
                <w:rFonts w:ascii="Arial" w:hAnsi="Arial" w:cs="Arial"/>
                <w:sz w:val="20"/>
                <w:szCs w:val="20"/>
              </w:rPr>
              <w:t>Lote 17 do Leilão n</w:t>
            </w:r>
            <w:r w:rsidRPr="00871C6E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871C6E">
              <w:rPr>
                <w:rFonts w:ascii="Arial" w:hAnsi="Arial" w:cs="Arial"/>
                <w:sz w:val="20"/>
                <w:szCs w:val="20"/>
              </w:rPr>
              <w:t xml:space="preserve"> 13/2015-ANEEL - 2ª Etapa (Contrato de Concessão n° 15/2017-ANEEL, celebrado em 10 de fevereiro de 2017).</w:t>
            </w:r>
          </w:p>
        </w:tc>
      </w:tr>
      <w:tr w:rsidR="00871C6E" w:rsidRPr="00743773" w:rsidTr="0020433A">
        <w:trPr>
          <w:trHeight w:val="465"/>
          <w:tblCellSpacing w:w="0" w:type="dxa"/>
          <w:jc w:val="center"/>
        </w:trPr>
        <w:tc>
          <w:tcPr>
            <w:tcW w:w="2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871C6E" w:rsidRDefault="00871C6E" w:rsidP="00871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C6E">
              <w:rPr>
                <w:rFonts w:ascii="Arial" w:hAnsi="Arial" w:cs="Arial"/>
                <w:sz w:val="20"/>
                <w:szCs w:val="20"/>
              </w:rPr>
              <w:t>Projeto de Transmissão de Energia Elétrica, relativo ao Lote 17 do Leilão n</w:t>
            </w:r>
            <w:r w:rsidRPr="00871C6E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871C6E">
              <w:rPr>
                <w:rFonts w:ascii="Arial" w:hAnsi="Arial" w:cs="Arial"/>
                <w:sz w:val="20"/>
                <w:szCs w:val="20"/>
              </w:rPr>
              <w:t xml:space="preserve"> 13/2015-ANEEL - 2ª Etapa, compreendendo:</w:t>
            </w:r>
          </w:p>
        </w:tc>
      </w:tr>
      <w:tr w:rsidR="00871C6E" w:rsidRPr="00743773" w:rsidTr="0020433A">
        <w:trPr>
          <w:trHeight w:val="150"/>
          <w:tblCellSpacing w:w="0" w:type="dxa"/>
          <w:jc w:val="center"/>
        </w:trPr>
        <w:tc>
          <w:tcPr>
            <w:tcW w:w="2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C6E" w:rsidRPr="00743773" w:rsidRDefault="00871C6E" w:rsidP="00E85A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871C6E" w:rsidRDefault="00871C6E" w:rsidP="00871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C6E">
              <w:rPr>
                <w:rFonts w:ascii="Arial" w:hAnsi="Arial" w:cs="Arial"/>
                <w:sz w:val="20"/>
                <w:szCs w:val="20"/>
              </w:rPr>
              <w:t>I - Linha de Transmissão Pirapora 2 - Janaúba 3, em 500 kV, Circuito Simples, com extensão aproximada de 238 km, com origem na Subestação Pirapora 2 e término na Subestação Janaúba 3;</w:t>
            </w:r>
          </w:p>
        </w:tc>
      </w:tr>
      <w:tr w:rsidR="00871C6E" w:rsidRPr="00743773" w:rsidTr="0020433A">
        <w:trPr>
          <w:trHeight w:val="150"/>
          <w:tblCellSpacing w:w="0" w:type="dxa"/>
          <w:jc w:val="center"/>
        </w:trPr>
        <w:tc>
          <w:tcPr>
            <w:tcW w:w="2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C6E" w:rsidRPr="00743773" w:rsidRDefault="00871C6E" w:rsidP="00E85A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871C6E" w:rsidRDefault="00871C6E" w:rsidP="00871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C6E">
              <w:rPr>
                <w:rFonts w:ascii="Arial" w:hAnsi="Arial" w:cs="Arial"/>
                <w:sz w:val="20"/>
                <w:szCs w:val="20"/>
              </w:rPr>
              <w:t>II - Linha de Transmissão Bom Jesus da Lapa II - Janaúba 3, em 500 kV, Circuito Simples, com extensão aproximada de 304 km, com origem na Subestação Bom Jesus da Lapa II e término na Subestação Janaúba 3;</w:t>
            </w:r>
          </w:p>
        </w:tc>
      </w:tr>
      <w:tr w:rsidR="00871C6E" w:rsidRPr="00743773" w:rsidTr="0020433A">
        <w:trPr>
          <w:trHeight w:val="255"/>
          <w:tblCellSpacing w:w="0" w:type="dxa"/>
          <w:jc w:val="center"/>
        </w:trPr>
        <w:tc>
          <w:tcPr>
            <w:tcW w:w="2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C6E" w:rsidRPr="00743773" w:rsidRDefault="00871C6E" w:rsidP="00E85A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871C6E" w:rsidRDefault="00871C6E" w:rsidP="00871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C6E">
              <w:rPr>
                <w:rFonts w:ascii="Arial" w:hAnsi="Arial" w:cs="Arial"/>
                <w:sz w:val="20"/>
                <w:szCs w:val="20"/>
              </w:rPr>
              <w:t>III - Subestação Janaúba 3 500 kV; e</w:t>
            </w:r>
          </w:p>
        </w:tc>
      </w:tr>
      <w:tr w:rsidR="00871C6E" w:rsidRPr="00743773" w:rsidTr="0020433A">
        <w:trPr>
          <w:trHeight w:val="236"/>
          <w:tblCellSpacing w:w="0" w:type="dxa"/>
          <w:jc w:val="center"/>
        </w:trPr>
        <w:tc>
          <w:tcPr>
            <w:tcW w:w="2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C6E" w:rsidRPr="00743773" w:rsidRDefault="00871C6E" w:rsidP="00E85A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871C6E" w:rsidRDefault="00871C6E" w:rsidP="00871C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C6E">
              <w:rPr>
                <w:rFonts w:ascii="Arial" w:hAnsi="Arial" w:cs="Arial"/>
                <w:sz w:val="20"/>
                <w:szCs w:val="20"/>
              </w:rPr>
              <w:t>IV - Conexões de unidades de reatores de barra e de linha, entradas de linha, interligações de barramentos, barramentos, instalações vinculadas e demais instalações necessárias as funções de medição, supervisão, proteção, comando, controle, telecomunicação, administração e apoio.</w:t>
            </w:r>
          </w:p>
        </w:tc>
      </w:tr>
      <w:tr w:rsidR="00871C6E" w:rsidRPr="00743773" w:rsidTr="0020433A">
        <w:trPr>
          <w:trHeight w:val="150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De 10/2/2017 a 9/2/2022.</w:t>
            </w:r>
          </w:p>
        </w:tc>
      </w:tr>
      <w:tr w:rsidR="00871C6E" w:rsidRPr="00743773" w:rsidTr="0020433A">
        <w:trPr>
          <w:trHeight w:val="270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C6E" w:rsidRDefault="00871C6E" w:rsidP="00871C6E">
            <w:pPr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Localidade do Projeto</w:t>
            </w:r>
          </w:p>
          <w:p w:rsidR="00871C6E" w:rsidRPr="00743773" w:rsidRDefault="00871C6E" w:rsidP="00871C6E">
            <w:pPr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[Município(s)/UF(s)]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871C6E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C6E">
              <w:rPr>
                <w:rFonts w:ascii="Arial" w:hAnsi="Arial" w:cs="Arial"/>
                <w:sz w:val="20"/>
                <w:szCs w:val="20"/>
              </w:rPr>
              <w:t xml:space="preserve">Municípios de Bom Jesus da Lapa, Matina, Palmas de Monte Alto, Riacho de Santana e Sebastião Laranjeiras, Estado da Bahia; Buritizeiro, Capitão Eneias, </w:t>
            </w:r>
            <w:proofErr w:type="spellStart"/>
            <w:r w:rsidRPr="00871C6E">
              <w:rPr>
                <w:rFonts w:ascii="Arial" w:hAnsi="Arial" w:cs="Arial"/>
                <w:sz w:val="20"/>
                <w:szCs w:val="20"/>
              </w:rPr>
              <w:t>Catuti</w:t>
            </w:r>
            <w:proofErr w:type="spellEnd"/>
            <w:r w:rsidRPr="00871C6E">
              <w:rPr>
                <w:rFonts w:ascii="Arial" w:hAnsi="Arial" w:cs="Arial"/>
                <w:sz w:val="20"/>
                <w:szCs w:val="20"/>
              </w:rPr>
              <w:t xml:space="preserve">, Claro dos Poções, Coração de Jesus, Espinosa, Francisco Sá, Gameleiras, Jaíba, Janaúba, </w:t>
            </w:r>
            <w:proofErr w:type="spellStart"/>
            <w:r w:rsidRPr="00871C6E">
              <w:rPr>
                <w:rFonts w:ascii="Arial" w:hAnsi="Arial" w:cs="Arial"/>
                <w:sz w:val="20"/>
                <w:szCs w:val="20"/>
              </w:rPr>
              <w:t>Jequitaí</w:t>
            </w:r>
            <w:proofErr w:type="spellEnd"/>
            <w:r w:rsidRPr="00871C6E">
              <w:rPr>
                <w:rFonts w:ascii="Arial" w:hAnsi="Arial" w:cs="Arial"/>
                <w:sz w:val="20"/>
                <w:szCs w:val="20"/>
              </w:rPr>
              <w:t xml:space="preserve">, Lagoa dos Patos, Mirabela, Monte Azul, Montes Claros, Nova Porteirinha, Pai Pedro, Pirapora, Porteirinha, São João da Lagoa, Várzea da Palma e </w:t>
            </w:r>
            <w:proofErr w:type="spellStart"/>
            <w:r w:rsidRPr="00871C6E">
              <w:rPr>
                <w:rFonts w:ascii="Arial" w:hAnsi="Arial" w:cs="Arial"/>
                <w:sz w:val="20"/>
                <w:szCs w:val="20"/>
              </w:rPr>
              <w:t>Verdelândia</w:t>
            </w:r>
            <w:proofErr w:type="spellEnd"/>
            <w:r w:rsidRPr="00871C6E">
              <w:rPr>
                <w:rFonts w:ascii="Arial" w:hAnsi="Arial" w:cs="Arial"/>
                <w:sz w:val="20"/>
                <w:szCs w:val="20"/>
              </w:rPr>
              <w:t>, Estado de Minas Gerais.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871C6E" w:rsidRPr="00743773" w:rsidTr="0020433A">
        <w:trPr>
          <w:trHeight w:val="285"/>
          <w:tblCellSpacing w:w="0" w:type="dxa"/>
          <w:jc w:val="center"/>
        </w:trPr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 xml:space="preserve">Nome: Marcus Pereira </w:t>
            </w:r>
            <w:proofErr w:type="spellStart"/>
            <w:r w:rsidRPr="00743773">
              <w:rPr>
                <w:rFonts w:ascii="Arial" w:hAnsi="Arial" w:cs="Arial"/>
              </w:rPr>
              <w:t>Aucélio</w:t>
            </w:r>
            <w:proofErr w:type="spellEnd"/>
            <w:r w:rsidRPr="00743773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CPF: 393.486.601-87.</w:t>
            </w:r>
          </w:p>
        </w:tc>
      </w:tr>
      <w:tr w:rsidR="00871C6E" w:rsidRPr="00743773" w:rsidTr="0020433A">
        <w:trPr>
          <w:trHeight w:val="285"/>
          <w:tblCellSpacing w:w="0" w:type="dxa"/>
          <w:jc w:val="center"/>
        </w:trPr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Nome: Marco Antonio Resende Faria.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CPF: 326.820.696-49.</w:t>
            </w:r>
          </w:p>
        </w:tc>
      </w:tr>
      <w:tr w:rsidR="00871C6E" w:rsidRPr="00743773" w:rsidTr="0020433A">
        <w:trPr>
          <w:trHeight w:val="285"/>
          <w:tblCellSpacing w:w="0" w:type="dxa"/>
          <w:jc w:val="center"/>
        </w:trPr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Nome: Luiz Carlos de Andrade.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CPF: 696.385.517-04.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871C6E" w:rsidRPr="00743773" w:rsidTr="0020433A">
        <w:trPr>
          <w:trHeight w:val="150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Bens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376.501.742,00</w:t>
            </w:r>
          </w:p>
        </w:tc>
      </w:tr>
      <w:tr w:rsidR="00871C6E" w:rsidRPr="00743773" w:rsidTr="0020433A">
        <w:trPr>
          <w:trHeight w:val="150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Serviços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403.458.636,00</w:t>
            </w:r>
          </w:p>
        </w:tc>
      </w:tr>
      <w:tr w:rsidR="00871C6E" w:rsidRPr="00743773" w:rsidTr="0020433A">
        <w:trPr>
          <w:trHeight w:val="150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Outros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162.638.390,00</w:t>
            </w:r>
          </w:p>
        </w:tc>
      </w:tr>
      <w:tr w:rsidR="00871C6E" w:rsidRPr="00743773" w:rsidTr="0020433A">
        <w:trPr>
          <w:trHeight w:val="135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  <w:b/>
                <w:bCs/>
              </w:rPr>
              <w:t>942.598.768,00</w:t>
            </w:r>
          </w:p>
        </w:tc>
      </w:tr>
      <w:tr w:rsidR="00871C6E" w:rsidRPr="00743773" w:rsidTr="0020433A">
        <w:trPr>
          <w:tblCellSpacing w:w="0" w:type="dxa"/>
          <w:jc w:val="center"/>
        </w:trPr>
        <w:tc>
          <w:tcPr>
            <w:tcW w:w="10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871C6E" w:rsidRPr="00743773" w:rsidTr="0020433A">
        <w:trPr>
          <w:trHeight w:val="105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Bens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346.381.603,00</w:t>
            </w:r>
          </w:p>
        </w:tc>
      </w:tr>
      <w:tr w:rsidR="00871C6E" w:rsidRPr="00743773" w:rsidTr="0020433A">
        <w:trPr>
          <w:trHeight w:val="225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Serviços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371.181.945,00</w:t>
            </w:r>
          </w:p>
        </w:tc>
      </w:tr>
      <w:tr w:rsidR="00871C6E" w:rsidRPr="00743773" w:rsidTr="0020433A">
        <w:trPr>
          <w:trHeight w:val="90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Outros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</w:rPr>
              <w:t>157.759.238,00</w:t>
            </w:r>
          </w:p>
        </w:tc>
      </w:tr>
      <w:tr w:rsidR="00871C6E" w:rsidRPr="00743773" w:rsidTr="0020433A">
        <w:trPr>
          <w:trHeight w:val="90"/>
          <w:tblCellSpacing w:w="0" w:type="dxa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C6E" w:rsidRPr="00743773" w:rsidRDefault="00871C6E" w:rsidP="00E85A4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43773">
              <w:rPr>
                <w:rFonts w:ascii="Arial" w:hAnsi="Arial" w:cs="Arial"/>
                <w:b/>
                <w:bCs/>
              </w:rPr>
              <w:t>875.322.786,00</w:t>
            </w:r>
          </w:p>
        </w:tc>
      </w:tr>
    </w:tbl>
    <w:p w:rsidR="00F32DF7" w:rsidRPr="00871C6E" w:rsidRDefault="00F32DF7" w:rsidP="00871C6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"/>
          <w:szCs w:val="2"/>
        </w:rPr>
      </w:pPr>
    </w:p>
    <w:sectPr w:rsidR="00F32DF7" w:rsidRPr="00871C6E" w:rsidSect="00871C6E">
      <w:headerReference w:type="default" r:id="rId10"/>
      <w:pgSz w:w="11906" w:h="16838"/>
      <w:pgMar w:top="1418" w:right="992" w:bottom="624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B5AB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871C6E">
      <w:rPr>
        <w:rFonts w:ascii="Arial" w:hAnsi="Arial" w:cs="Arial"/>
      </w:rPr>
      <w:t>64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 xml:space="preserve">20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0433A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33A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2577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F530-7627-44E5-913F-224A58D7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863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2017-06-21T13:15:00Z</dcterms:created>
  <dcterms:modified xsi:type="dcterms:W3CDTF">2017-06-21T13:19:00Z</dcterms:modified>
</cp:coreProperties>
</file>