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AF3571">
        <w:rPr>
          <w:rFonts w:ascii="Arial" w:hAnsi="Arial" w:cs="Arial"/>
          <w:b/>
          <w:bCs/>
          <w:color w:val="000080"/>
        </w:rPr>
        <w:t>2</w:t>
      </w:r>
      <w:r w:rsidR="009C11A3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E7CE9">
        <w:rPr>
          <w:rFonts w:ascii="Arial" w:hAnsi="Arial" w:cs="Arial"/>
          <w:b/>
          <w:bCs/>
          <w:color w:val="000080"/>
        </w:rPr>
        <w:t>1</w:t>
      </w:r>
      <w:r w:rsidR="00823B7E">
        <w:rPr>
          <w:rFonts w:ascii="Arial" w:hAnsi="Arial" w:cs="Arial"/>
          <w:b/>
          <w:bCs/>
          <w:color w:val="000080"/>
        </w:rPr>
        <w:t>7</w:t>
      </w:r>
      <w:r w:rsidR="0021055F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85835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85835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11A3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11A3" w:rsidRPr="00402E34" w:rsidRDefault="009C11A3" w:rsidP="009C11A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E34">
        <w:rPr>
          <w:rFonts w:ascii="Arial" w:hAnsi="Arial" w:cs="Arial"/>
          <w:b/>
        </w:rPr>
        <w:t>O SECRETÁRIO DE PLANEJAMENTO E DESENVOLVIMENTO ENERGÉTICO DO MINISTÉRIO DE MINAS E ENERGIA</w:t>
      </w:r>
      <w:r w:rsidRPr="00402E34">
        <w:rPr>
          <w:rFonts w:ascii="Arial" w:hAnsi="Arial" w:cs="Arial"/>
        </w:rPr>
        <w:t>, no uso da competência que lhe foi delegada pelo art. 1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 xml:space="preserve">, inciso I, da Portaria MME </w:t>
      </w:r>
      <w:proofErr w:type="gramStart"/>
      <w:r w:rsidRPr="00402E34">
        <w:rPr>
          <w:rFonts w:ascii="Arial" w:hAnsi="Arial" w:cs="Arial"/>
        </w:rPr>
        <w:t>n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 xml:space="preserve"> 281</w:t>
      </w:r>
      <w:proofErr w:type="gramEnd"/>
      <w:r w:rsidRPr="00402E34">
        <w:rPr>
          <w:rFonts w:ascii="Arial" w:hAnsi="Arial" w:cs="Arial"/>
        </w:rPr>
        <w:t>, de 29 de junho de 2016, tendo em vista o disposto no art. 6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 xml:space="preserve"> do Decreto n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 xml:space="preserve"> 6.144, de 3 de julho de 2007, no art. 2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>, § 3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>, da Portaria MME n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 xml:space="preserve"> 274, de 19 de agosto de 2013, e o que consta do Processo n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 xml:space="preserve"> </w:t>
      </w:r>
      <w:r w:rsidRPr="00402E34">
        <w:rPr>
          <w:rFonts w:ascii="Arial" w:hAnsi="Arial" w:cs="Arial"/>
          <w:bCs/>
          <w:noProof/>
        </w:rPr>
        <w:t>48500.004671/2016-19</w:t>
      </w:r>
      <w:r w:rsidRPr="00402E34">
        <w:rPr>
          <w:rFonts w:ascii="Arial" w:hAnsi="Arial" w:cs="Arial"/>
        </w:rPr>
        <w:t>, resolve:</w:t>
      </w:r>
    </w:p>
    <w:p w:rsidR="009C11A3" w:rsidRPr="00402E34" w:rsidRDefault="009C11A3" w:rsidP="009C11A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>Art. 1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</w:t>
      </w:r>
      <w:r w:rsidRPr="00402E34">
        <w:rPr>
          <w:rStyle w:val="txt10pxnormal"/>
          <w:rFonts w:ascii="Arial" w:hAnsi="Arial" w:cs="Arial"/>
        </w:rPr>
        <w:t>Lote C do Leilão n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Style w:val="txt10pxnormal"/>
          <w:rFonts w:ascii="Arial" w:hAnsi="Arial" w:cs="Arial"/>
        </w:rPr>
        <w:t xml:space="preserve"> 13/2015-ANEEL</w:t>
      </w:r>
      <w:r w:rsidRPr="00402E34">
        <w:rPr>
          <w:rFonts w:ascii="Arial" w:hAnsi="Arial" w:cs="Arial"/>
          <w:color w:val="000000"/>
        </w:rPr>
        <w:t xml:space="preserve">, de titularidade da empresa </w:t>
      </w:r>
      <w:r w:rsidRPr="00402E34">
        <w:rPr>
          <w:rFonts w:ascii="Arial" w:hAnsi="Arial" w:cs="Arial"/>
          <w:noProof/>
          <w:color w:val="000000"/>
        </w:rPr>
        <w:t>Paranaíta Ribeirãozinho Transmissora de Energia S.A.</w:t>
      </w:r>
      <w:r w:rsidRPr="00402E34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402E34">
        <w:rPr>
          <w:rFonts w:ascii="Arial" w:hAnsi="Arial" w:cs="Arial"/>
          <w:color w:val="000000"/>
        </w:rPr>
        <w:t>n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> </w:t>
      </w:r>
      <w:r w:rsidRPr="00402E34">
        <w:rPr>
          <w:rFonts w:ascii="Arial" w:hAnsi="Arial" w:cs="Arial"/>
          <w:noProof/>
          <w:color w:val="000000"/>
        </w:rPr>
        <w:t>24.875.996/0001-47</w:t>
      </w:r>
      <w:r w:rsidRPr="00402E34">
        <w:rPr>
          <w:rFonts w:ascii="Arial" w:hAnsi="Arial" w:cs="Arial"/>
          <w:color w:val="000000"/>
        </w:rPr>
        <w:t xml:space="preserve">, detalhado no Anexo </w:t>
      </w:r>
      <w:proofErr w:type="gramStart"/>
      <w:r w:rsidRPr="00402E34">
        <w:rPr>
          <w:rFonts w:ascii="Arial" w:hAnsi="Arial" w:cs="Arial"/>
          <w:color w:val="000000"/>
        </w:rPr>
        <w:t>à</w:t>
      </w:r>
      <w:proofErr w:type="gramEnd"/>
      <w:r w:rsidRPr="00402E34">
        <w:rPr>
          <w:rFonts w:ascii="Arial" w:hAnsi="Arial" w:cs="Arial"/>
          <w:color w:val="000000"/>
        </w:rPr>
        <w:t xml:space="preserve"> presente Portaria.</w:t>
      </w: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 xml:space="preserve">Parágrafo único. O projeto de que trata o </w:t>
      </w:r>
      <w:r w:rsidRPr="00402E34">
        <w:rPr>
          <w:rFonts w:ascii="Arial" w:hAnsi="Arial" w:cs="Arial"/>
          <w:b/>
          <w:color w:val="000000"/>
        </w:rPr>
        <w:t>caput</w:t>
      </w:r>
      <w:r w:rsidRPr="00402E34">
        <w:rPr>
          <w:rFonts w:ascii="Arial" w:hAnsi="Arial" w:cs="Arial"/>
          <w:color w:val="000000"/>
        </w:rPr>
        <w:t xml:space="preserve">, objeto do </w:t>
      </w:r>
      <w:r w:rsidRPr="00402E34">
        <w:rPr>
          <w:rFonts w:ascii="Arial" w:hAnsi="Arial" w:cs="Arial"/>
          <w:noProof/>
        </w:rPr>
        <w:t>Contrato de Concessão n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noProof/>
        </w:rPr>
        <w:t xml:space="preserve"> 10/2016, celebrado em 25 de agosto de 2016</w:t>
      </w:r>
      <w:r w:rsidRPr="00402E34">
        <w:rPr>
          <w:rFonts w:ascii="Arial" w:hAnsi="Arial" w:cs="Arial"/>
          <w:color w:val="000000"/>
        </w:rPr>
        <w:t xml:space="preserve">, é alcançado pelo art. </w:t>
      </w:r>
      <w:r w:rsidRPr="00402E34">
        <w:rPr>
          <w:rFonts w:ascii="Arial" w:hAnsi="Arial" w:cs="Arial"/>
        </w:rPr>
        <w:t>4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, inciso II, da Portaria MME </w:t>
      </w:r>
      <w:proofErr w:type="gramStart"/>
      <w:r w:rsidRPr="00402E34">
        <w:rPr>
          <w:rFonts w:ascii="Arial" w:hAnsi="Arial" w:cs="Arial"/>
          <w:color w:val="000000"/>
        </w:rPr>
        <w:t>n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274</w:t>
      </w:r>
      <w:proofErr w:type="gramEnd"/>
      <w:r w:rsidRPr="00402E34">
        <w:rPr>
          <w:rFonts w:ascii="Arial" w:hAnsi="Arial" w:cs="Arial"/>
          <w:color w:val="000000"/>
        </w:rPr>
        <w:t>, de 19 de agosto de 2013.</w:t>
      </w: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>Art. 2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As estimativas dos investimentos têm por base o mês de </w:t>
      </w:r>
      <w:r w:rsidRPr="00402E34">
        <w:rPr>
          <w:rFonts w:ascii="Arial" w:hAnsi="Arial" w:cs="Arial"/>
          <w:noProof/>
          <w:color w:val="000000"/>
        </w:rPr>
        <w:t>setembro de 2016</w:t>
      </w:r>
      <w:r w:rsidRPr="00402E34">
        <w:rPr>
          <w:rFonts w:ascii="Arial" w:hAnsi="Arial" w:cs="Arial"/>
          <w:color w:val="000000"/>
        </w:rPr>
        <w:t xml:space="preserve"> e são de exclusiva responsabilidade da </w:t>
      </w:r>
      <w:r w:rsidRPr="00402E34">
        <w:rPr>
          <w:rFonts w:ascii="Arial" w:hAnsi="Arial" w:cs="Arial"/>
          <w:noProof/>
          <w:color w:val="000000"/>
        </w:rPr>
        <w:t>Paranaíta Ribeirãozinho Transmissora de Energia S.A.</w:t>
      </w:r>
      <w:r w:rsidRPr="00402E3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>Art. 3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A </w:t>
      </w:r>
      <w:r w:rsidRPr="00402E34">
        <w:rPr>
          <w:rFonts w:ascii="Arial" w:hAnsi="Arial" w:cs="Arial"/>
          <w:noProof/>
          <w:color w:val="000000"/>
        </w:rPr>
        <w:t>Paranaíta Ribeirãozinho Transmissora de Energia S.A.</w:t>
      </w:r>
      <w:r w:rsidRPr="00402E34">
        <w:rPr>
          <w:rFonts w:ascii="Arial" w:hAnsi="Arial" w:cs="Arial"/>
        </w:rPr>
        <w:t xml:space="preserve"> </w:t>
      </w:r>
      <w:r w:rsidRPr="00402E3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>Art. 4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Alterações técnicas ou de titularidade do projeto</w:t>
      </w:r>
      <w:r w:rsidRPr="00402E34">
        <w:rPr>
          <w:rFonts w:ascii="Arial" w:hAnsi="Arial" w:cs="Arial"/>
          <w:color w:val="FF0000"/>
        </w:rPr>
        <w:t xml:space="preserve"> </w:t>
      </w:r>
      <w:r w:rsidRPr="00402E34">
        <w:rPr>
          <w:rFonts w:ascii="Arial" w:hAnsi="Arial" w:cs="Arial"/>
        </w:rPr>
        <w:t>de que trata esta Portaria</w:t>
      </w:r>
      <w:r w:rsidRPr="00402E34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>Art. 5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11A3" w:rsidRPr="00402E34" w:rsidRDefault="009C11A3" w:rsidP="009C11A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>Art. 6</w:t>
      </w:r>
      <w:r w:rsidRPr="00402E34">
        <w:rPr>
          <w:rFonts w:ascii="Arial" w:hAnsi="Arial" w:cs="Arial"/>
          <w:color w:val="000000"/>
          <w:u w:val="single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A </w:t>
      </w:r>
      <w:r w:rsidRPr="00402E34">
        <w:rPr>
          <w:rFonts w:ascii="Arial" w:hAnsi="Arial" w:cs="Arial"/>
          <w:noProof/>
          <w:color w:val="000000"/>
        </w:rPr>
        <w:t xml:space="preserve">Paranaíta Ribeirãozinho Transmissora de Energia S.A. </w:t>
      </w:r>
      <w:r w:rsidRPr="00402E34">
        <w:rPr>
          <w:rFonts w:ascii="Arial" w:hAnsi="Arial" w:cs="Arial"/>
          <w:color w:val="000000"/>
        </w:rPr>
        <w:t>deverá observar, no que couber, as disposições constantes na Lei n</w:t>
      </w:r>
      <w:r w:rsidRPr="00402E34">
        <w:rPr>
          <w:rFonts w:ascii="Arial" w:hAnsi="Arial" w:cs="Arial"/>
          <w:color w:val="000000"/>
          <w:u w:val="single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11.488, de 15 de junho de 2007, no Decreto n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6.144, de </w:t>
      </w:r>
      <w:proofErr w:type="gramStart"/>
      <w:r w:rsidRPr="00402E34">
        <w:rPr>
          <w:rFonts w:ascii="Arial" w:hAnsi="Arial" w:cs="Arial"/>
          <w:color w:val="000000"/>
        </w:rPr>
        <w:t>3</w:t>
      </w:r>
      <w:proofErr w:type="gramEnd"/>
      <w:r w:rsidRPr="00402E34">
        <w:rPr>
          <w:rFonts w:ascii="Arial" w:hAnsi="Arial" w:cs="Arial"/>
          <w:color w:val="000000"/>
        </w:rPr>
        <w:t xml:space="preserve"> de julho de 2007, na Portaria MME </w:t>
      </w:r>
      <w:r w:rsidRPr="00402E34">
        <w:rPr>
          <w:rFonts w:ascii="Arial" w:hAnsi="Arial" w:cs="Arial"/>
        </w:rPr>
        <w:t>n</w:t>
      </w:r>
      <w:r w:rsidRPr="00402E34">
        <w:rPr>
          <w:rFonts w:ascii="Arial" w:hAnsi="Arial" w:cs="Arial"/>
          <w:u w:val="words"/>
          <w:vertAlign w:val="superscript"/>
        </w:rPr>
        <w:t>o</w:t>
      </w:r>
      <w:r w:rsidRPr="00402E34">
        <w:rPr>
          <w:rFonts w:ascii="Arial" w:hAnsi="Arial" w:cs="Arial"/>
        </w:rPr>
        <w:t xml:space="preserve"> 274, de 2013</w:t>
      </w:r>
      <w:r w:rsidRPr="00402E34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402E34">
        <w:rPr>
          <w:rFonts w:ascii="Arial" w:hAnsi="Arial" w:cs="Arial"/>
          <w:color w:val="000000"/>
        </w:rPr>
        <w:t>arts</w:t>
      </w:r>
      <w:proofErr w:type="spellEnd"/>
      <w:r w:rsidRPr="00402E34">
        <w:rPr>
          <w:rFonts w:ascii="Arial" w:hAnsi="Arial" w:cs="Arial"/>
          <w:color w:val="000000"/>
        </w:rPr>
        <w:t>.  9</w:t>
      </w:r>
      <w:r w:rsidRPr="00402E34">
        <w:rPr>
          <w:rFonts w:ascii="Arial" w:hAnsi="Arial" w:cs="Arial"/>
          <w:color w:val="000000"/>
          <w:u w:val="single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e 14, do Decreto n</w:t>
      </w:r>
      <w:r w:rsidRPr="00402E34">
        <w:rPr>
          <w:rFonts w:ascii="Arial" w:hAnsi="Arial" w:cs="Arial"/>
          <w:color w:val="000000"/>
          <w:u w:val="single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C11A3" w:rsidRPr="00402E34" w:rsidRDefault="009C11A3" w:rsidP="009C11A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11A3" w:rsidRPr="00402E34" w:rsidRDefault="009C11A3" w:rsidP="009C11A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E34">
        <w:rPr>
          <w:rFonts w:ascii="Arial" w:hAnsi="Arial" w:cs="Arial"/>
          <w:color w:val="000000"/>
        </w:rPr>
        <w:t>Art. 7</w:t>
      </w:r>
      <w:r w:rsidRPr="00402E34">
        <w:rPr>
          <w:rFonts w:ascii="Arial" w:hAnsi="Arial" w:cs="Arial"/>
          <w:color w:val="000000"/>
          <w:u w:val="words"/>
          <w:vertAlign w:val="superscript"/>
        </w:rPr>
        <w:t>o</w:t>
      </w:r>
      <w:r w:rsidRPr="00402E3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164F34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3571" w:rsidRPr="009D6704" w:rsidRDefault="00AF3571" w:rsidP="00164F3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704">
        <w:rPr>
          <w:rFonts w:ascii="Arial" w:hAnsi="Arial" w:cs="Arial"/>
          <w:b/>
          <w:bCs/>
        </w:rPr>
        <w:t>EDUARDO AZEVEDO RODRIGUES</w:t>
      </w:r>
    </w:p>
    <w:p w:rsidR="00BC062F" w:rsidRPr="00164F34" w:rsidRDefault="00BC062F" w:rsidP="00164F34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3571">
        <w:rPr>
          <w:rFonts w:ascii="Arial" w:hAnsi="Arial" w:cs="Arial"/>
          <w:color w:val="FF0000"/>
        </w:rPr>
        <w:t>1</w:t>
      </w:r>
      <w:r w:rsidR="00823B7E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1D7604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1D7604" w:rsidRDefault="00DE332A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B2E6E" w:rsidRPr="001D7604" w:rsidRDefault="00AB2E6E" w:rsidP="004F3FEB">
      <w:pPr>
        <w:rPr>
          <w:rFonts w:ascii="Arial" w:hAnsi="Arial" w:cs="Arial"/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970"/>
        <w:gridCol w:w="421"/>
        <w:gridCol w:w="2409"/>
        <w:gridCol w:w="425"/>
        <w:gridCol w:w="2762"/>
      </w:tblGrid>
      <w:tr w:rsidR="009C11A3" w:rsidRPr="00402E34" w:rsidTr="001D7604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A3" w:rsidRPr="00402E34" w:rsidRDefault="009C11A3" w:rsidP="009C11A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02E34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9C11A3" w:rsidRPr="00402E34" w:rsidTr="001D7604">
        <w:trPr>
          <w:trHeight w:val="22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02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 xml:space="preserve">CNPJ      </w:t>
            </w:r>
          </w:p>
        </w:tc>
      </w:tr>
      <w:tr w:rsidR="009C11A3" w:rsidRPr="00402E34" w:rsidTr="001D7604">
        <w:trPr>
          <w:trHeight w:val="2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  <w:noProof/>
              </w:rPr>
              <w:t>Paranaíta Ribeirãozinho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  <w:noProof/>
                <w:color w:val="000000"/>
              </w:rPr>
              <w:t>24.875.996/0001-47</w:t>
            </w:r>
          </w:p>
        </w:tc>
      </w:tr>
      <w:tr w:rsidR="009C11A3" w:rsidRPr="00402E3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Número</w:t>
            </w:r>
          </w:p>
        </w:tc>
      </w:tr>
      <w:tr w:rsidR="009C11A3" w:rsidRPr="00402E3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Avenida Presidente Vargas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955</w:t>
            </w:r>
          </w:p>
        </w:tc>
      </w:tr>
      <w:tr w:rsidR="009C11A3" w:rsidRPr="00402E3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CEP</w:t>
            </w:r>
          </w:p>
        </w:tc>
      </w:tr>
      <w:tr w:rsidR="009C11A3" w:rsidRPr="00402E3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14</w:t>
            </w:r>
            <w:r w:rsidRPr="00402E3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02E34">
              <w:rPr>
                <w:rFonts w:ascii="Arial" w:hAnsi="Arial" w:cs="Arial"/>
              </w:rPr>
              <w:t xml:space="preserve"> Andar, Sala 1401 (parte</w:t>
            </w:r>
            <w:proofErr w:type="gramStart"/>
            <w:r w:rsidRPr="00402E34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20071-004</w:t>
            </w:r>
          </w:p>
        </w:tc>
      </w:tr>
      <w:tr w:rsidR="009C11A3" w:rsidRPr="00402E3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Telefone</w:t>
            </w:r>
          </w:p>
        </w:tc>
      </w:tr>
      <w:tr w:rsidR="009C11A3" w:rsidRPr="00402E3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1A3" w:rsidRPr="00402E34" w:rsidRDefault="009C11A3" w:rsidP="009C11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(21) 2223-7347</w:t>
            </w:r>
          </w:p>
        </w:tc>
      </w:tr>
    </w:tbl>
    <w:p w:rsidR="001D7604" w:rsidRPr="001D7604" w:rsidRDefault="001D7604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049"/>
        <w:gridCol w:w="7938"/>
      </w:tblGrid>
      <w:tr w:rsidR="009C11A3" w:rsidRPr="00402E34" w:rsidTr="001D7604">
        <w:tc>
          <w:tcPr>
            <w:tcW w:w="431" w:type="dxa"/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11</w:t>
            </w:r>
          </w:p>
        </w:tc>
        <w:tc>
          <w:tcPr>
            <w:tcW w:w="9987" w:type="dxa"/>
            <w:gridSpan w:val="2"/>
            <w:vAlign w:val="center"/>
          </w:tcPr>
          <w:p w:rsidR="009C11A3" w:rsidRPr="00402E34" w:rsidRDefault="009C11A3" w:rsidP="009C11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2E34">
              <w:rPr>
                <w:rFonts w:ascii="Arial" w:hAnsi="Arial" w:cs="Arial"/>
                <w:bCs/>
              </w:rPr>
              <w:t>DADOS DO PROJETO</w:t>
            </w:r>
          </w:p>
        </w:tc>
      </w:tr>
      <w:tr w:rsidR="009C11A3" w:rsidRPr="00402E34" w:rsidTr="001D7604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9C11A3" w:rsidRPr="00402E34" w:rsidRDefault="009C11A3" w:rsidP="009C11A3">
            <w:pPr>
              <w:rPr>
                <w:rFonts w:ascii="Arial" w:hAnsi="Arial" w:cs="Arial"/>
                <w:b/>
              </w:rPr>
            </w:pPr>
            <w:r w:rsidRPr="00402E3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Style w:val="txt10pxnormal"/>
                <w:rFonts w:ascii="Arial" w:hAnsi="Arial" w:cs="Arial"/>
              </w:rPr>
              <w:t>Lote C do Leilão n</w:t>
            </w:r>
            <w:r w:rsidRPr="00402E34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02E34">
              <w:rPr>
                <w:rStyle w:val="txt10pxnormal"/>
                <w:rFonts w:ascii="Arial" w:hAnsi="Arial" w:cs="Arial"/>
              </w:rPr>
              <w:t xml:space="preserve"> 13/2015-ANEEL</w:t>
            </w:r>
            <w:r w:rsidRPr="00402E34">
              <w:rPr>
                <w:rFonts w:ascii="Arial" w:hAnsi="Arial" w:cs="Arial"/>
                <w:bCs/>
              </w:rPr>
              <w:t xml:space="preserve"> (</w:t>
            </w:r>
            <w:r w:rsidRPr="00402E34">
              <w:rPr>
                <w:rFonts w:ascii="Arial" w:hAnsi="Arial" w:cs="Arial"/>
                <w:noProof/>
              </w:rPr>
              <w:t>Contrato de Concessão n</w:t>
            </w:r>
            <w:r w:rsidRPr="00402E34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02E34">
              <w:rPr>
                <w:rFonts w:ascii="Arial" w:hAnsi="Arial" w:cs="Arial"/>
                <w:noProof/>
              </w:rPr>
              <w:t xml:space="preserve"> 10/2016, celebrado em 25 de agosto de 2016)</w:t>
            </w:r>
            <w:r w:rsidRPr="00402E34">
              <w:rPr>
                <w:rFonts w:ascii="Arial" w:hAnsi="Arial" w:cs="Arial"/>
              </w:rPr>
              <w:t>.</w:t>
            </w:r>
          </w:p>
        </w:tc>
      </w:tr>
      <w:tr w:rsidR="009C11A3" w:rsidRPr="00402E34" w:rsidTr="001D7604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9C11A3" w:rsidRPr="00402E34" w:rsidRDefault="009C11A3" w:rsidP="009C11A3">
            <w:pPr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9C1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 xml:space="preserve">Projeto de Transmissão de Energia Elétrica, relativo ao </w:t>
            </w:r>
            <w:r w:rsidRPr="00402E34">
              <w:rPr>
                <w:rStyle w:val="txt10pxnormal"/>
                <w:rFonts w:ascii="Arial" w:hAnsi="Arial" w:cs="Arial"/>
              </w:rPr>
              <w:t>Lote C do Leilão n</w:t>
            </w:r>
            <w:r w:rsidRPr="00402E34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02E34">
              <w:rPr>
                <w:rStyle w:val="txt10pxnormal"/>
                <w:rFonts w:ascii="Arial" w:hAnsi="Arial" w:cs="Arial"/>
              </w:rPr>
              <w:t xml:space="preserve"> 13/2015-ANEEL</w:t>
            </w:r>
            <w:r w:rsidRPr="00402E34">
              <w:rPr>
                <w:rFonts w:ascii="Arial" w:hAnsi="Arial" w:cs="Arial"/>
              </w:rPr>
              <w:t>, compreendendo:</w:t>
            </w:r>
          </w:p>
        </w:tc>
      </w:tr>
      <w:tr w:rsidR="009C11A3" w:rsidRPr="00402E34" w:rsidTr="001D760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9C11A3" w:rsidRPr="00402E34" w:rsidRDefault="009C11A3" w:rsidP="009C11A3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1A3" w:rsidRPr="00402E34" w:rsidRDefault="009C11A3" w:rsidP="001D7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 xml:space="preserve">I - Linha de Transmissão, em 500 kV, entre as Subestações Paranaíta </w:t>
            </w:r>
            <w:r w:rsidR="001D7604">
              <w:rPr>
                <w:rFonts w:ascii="Arial" w:hAnsi="Arial" w:cs="Arial"/>
              </w:rPr>
              <w:t>-</w:t>
            </w:r>
            <w:r w:rsidRPr="00402E34">
              <w:rPr>
                <w:rFonts w:ascii="Arial" w:hAnsi="Arial" w:cs="Arial"/>
              </w:rPr>
              <w:t xml:space="preserve"> Cláudia </w:t>
            </w:r>
            <w:r w:rsidR="001D7604">
              <w:rPr>
                <w:rFonts w:ascii="Arial" w:hAnsi="Arial" w:cs="Arial"/>
              </w:rPr>
              <w:t>-</w:t>
            </w:r>
            <w:r w:rsidRPr="00402E34">
              <w:rPr>
                <w:rFonts w:ascii="Arial" w:hAnsi="Arial" w:cs="Arial"/>
              </w:rPr>
              <w:t xml:space="preserve"> Paranatinga - </w:t>
            </w:r>
            <w:proofErr w:type="spellStart"/>
            <w:r w:rsidRPr="00402E34">
              <w:rPr>
                <w:rFonts w:ascii="Arial" w:hAnsi="Arial" w:cs="Arial"/>
              </w:rPr>
              <w:t>Ribeirãozinho</w:t>
            </w:r>
            <w:proofErr w:type="spellEnd"/>
            <w:r w:rsidRPr="00402E34">
              <w:rPr>
                <w:rFonts w:ascii="Arial" w:hAnsi="Arial" w:cs="Arial"/>
              </w:rPr>
              <w:t xml:space="preserve">, </w:t>
            </w:r>
            <w:r w:rsidR="001D7604" w:rsidRPr="00402E34">
              <w:rPr>
                <w:rFonts w:ascii="Arial" w:hAnsi="Arial" w:cs="Arial"/>
              </w:rPr>
              <w:t>Terc</w:t>
            </w:r>
            <w:bookmarkStart w:id="1" w:name="_GoBack"/>
            <w:bookmarkEnd w:id="1"/>
            <w:r w:rsidR="001D7604" w:rsidRPr="00402E34">
              <w:rPr>
                <w:rFonts w:ascii="Arial" w:hAnsi="Arial" w:cs="Arial"/>
              </w:rPr>
              <w:t xml:space="preserve">eiro </w:t>
            </w:r>
            <w:r w:rsidRPr="00402E34">
              <w:rPr>
                <w:rFonts w:ascii="Arial" w:hAnsi="Arial" w:cs="Arial"/>
              </w:rPr>
              <w:t>Circuito, Circuito Simples, com extensão aproximada de um mil e cinco quilômetros; e</w:t>
            </w:r>
          </w:p>
        </w:tc>
      </w:tr>
      <w:tr w:rsidR="009C11A3" w:rsidRPr="00402E34" w:rsidTr="001D7604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9C11A3" w:rsidRPr="00402E34" w:rsidRDefault="009C11A3" w:rsidP="009C11A3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3" w:rsidRPr="00402E34" w:rsidRDefault="009C11A3" w:rsidP="009C1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II - Equipamentos de Compensação de Reativos, Entradas de Linha, Interligações de Barramentos,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9C11A3" w:rsidRPr="00402E34" w:rsidTr="001D7604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1A3" w:rsidRPr="00402E34" w:rsidRDefault="009C11A3" w:rsidP="009C11A3">
            <w:pPr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De 25/8/2016 a 27/6/2021.</w:t>
            </w:r>
          </w:p>
        </w:tc>
      </w:tr>
      <w:tr w:rsidR="009C11A3" w:rsidRPr="00402E34" w:rsidTr="001D7604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9C11A3" w:rsidRPr="00402E34" w:rsidRDefault="009C11A3" w:rsidP="009C11A3">
            <w:pPr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>Localidade do Projeto [Município(s</w:t>
            </w:r>
            <w:proofErr w:type="gramStart"/>
            <w:r w:rsidRPr="00402E34">
              <w:rPr>
                <w:rFonts w:ascii="Arial" w:hAnsi="Arial" w:cs="Arial"/>
              </w:rPr>
              <w:t>)</w:t>
            </w:r>
            <w:proofErr w:type="gramEnd"/>
            <w:r w:rsidRPr="00402E34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9C11A3" w:rsidRPr="00402E34" w:rsidRDefault="009C11A3" w:rsidP="009C11A3">
            <w:pPr>
              <w:jc w:val="both"/>
              <w:rPr>
                <w:rFonts w:ascii="Arial" w:hAnsi="Arial" w:cs="Arial"/>
              </w:rPr>
            </w:pPr>
            <w:r w:rsidRPr="00402E34">
              <w:rPr>
                <w:rFonts w:ascii="Arial" w:hAnsi="Arial" w:cs="Arial"/>
              </w:rPr>
              <w:t xml:space="preserve">Municípios de Alta Floresta, Carlinda, Cláudia, Colíder, General Carneiro, Guiratinga, </w:t>
            </w:r>
            <w:proofErr w:type="spellStart"/>
            <w:r w:rsidRPr="00402E34">
              <w:rPr>
                <w:rFonts w:ascii="Arial" w:hAnsi="Arial" w:cs="Arial"/>
              </w:rPr>
              <w:t>Itaúba</w:t>
            </w:r>
            <w:proofErr w:type="spellEnd"/>
            <w:r w:rsidRPr="00402E34">
              <w:rPr>
                <w:rFonts w:ascii="Arial" w:hAnsi="Arial" w:cs="Arial"/>
              </w:rPr>
              <w:t xml:space="preserve">, Nova Canaã do Norte, Nova Ubiratã, Novo São Joaquim, Paranaíta, Paranatinga, </w:t>
            </w:r>
            <w:proofErr w:type="spellStart"/>
            <w:r w:rsidRPr="00402E34">
              <w:rPr>
                <w:rFonts w:ascii="Arial" w:hAnsi="Arial" w:cs="Arial"/>
              </w:rPr>
              <w:t>Ribeirãozinho</w:t>
            </w:r>
            <w:proofErr w:type="spellEnd"/>
            <w:r w:rsidRPr="00402E34">
              <w:rPr>
                <w:rFonts w:ascii="Arial" w:hAnsi="Arial" w:cs="Arial"/>
              </w:rPr>
              <w:t xml:space="preserve">, Santa Carmem, Santo Antônio do Leste, Sinop, Tesouro, Vera e </w:t>
            </w:r>
            <w:proofErr w:type="spellStart"/>
            <w:r w:rsidRPr="00402E34">
              <w:rPr>
                <w:rFonts w:ascii="Arial" w:hAnsi="Arial" w:cs="Arial"/>
              </w:rPr>
              <w:t>Torixoréu</w:t>
            </w:r>
            <w:proofErr w:type="spellEnd"/>
            <w:r w:rsidRPr="00402E34">
              <w:rPr>
                <w:rFonts w:ascii="Arial" w:hAnsi="Arial" w:cs="Arial"/>
              </w:rPr>
              <w:t>, todos no Estado de Mato Grosso.</w:t>
            </w:r>
          </w:p>
        </w:tc>
      </w:tr>
    </w:tbl>
    <w:p w:rsidR="004F3FEB" w:rsidRPr="001D7604" w:rsidRDefault="004F3FEB" w:rsidP="00785835">
      <w:pPr>
        <w:rPr>
          <w:rFonts w:ascii="Arial" w:hAnsi="Arial" w:cs="Arial"/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6564"/>
        <w:gridCol w:w="3423"/>
      </w:tblGrid>
      <w:tr w:rsidR="001D7604" w:rsidRPr="001D760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4" w:rsidRPr="001D7604" w:rsidRDefault="001D7604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12</w:t>
            </w:r>
          </w:p>
        </w:tc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7604">
              <w:rPr>
                <w:rFonts w:ascii="Arial" w:hAnsi="Arial" w:cs="Arial"/>
              </w:rPr>
              <w:t>REPRESENTANTE LEGAL</w:t>
            </w:r>
            <w:r w:rsidRPr="001D7604">
              <w:rPr>
                <w:rFonts w:ascii="Arial" w:hAnsi="Arial" w:cs="Arial"/>
                <w:bCs/>
              </w:rPr>
              <w:t xml:space="preserve">, RESPONSÁVEL TÉCNICO E CONTADOR DA PESSOA </w:t>
            </w:r>
            <w:proofErr w:type="gramStart"/>
            <w:r w:rsidRPr="001D7604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1D7604" w:rsidRPr="001D7604" w:rsidTr="001D7604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Nome: André Luiz dos Santos Mattos.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  <w:bCs/>
              </w:rPr>
            </w:pPr>
            <w:r w:rsidRPr="001D7604">
              <w:rPr>
                <w:rFonts w:ascii="Arial" w:hAnsi="Arial" w:cs="Arial"/>
                <w:bCs/>
              </w:rPr>
              <w:t>CPF: 026.068.267-52.</w:t>
            </w:r>
          </w:p>
        </w:tc>
      </w:tr>
      <w:tr w:rsidR="001D7604" w:rsidRPr="001D7604" w:rsidTr="001D7604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Nome: Marcos Freitas de Sousa.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  <w:bCs/>
              </w:rPr>
            </w:pPr>
            <w:r w:rsidRPr="001D7604">
              <w:rPr>
                <w:rFonts w:ascii="Arial" w:hAnsi="Arial" w:cs="Arial"/>
                <w:bCs/>
              </w:rPr>
              <w:t>CPF: 829.894.196-91.</w:t>
            </w:r>
          </w:p>
        </w:tc>
      </w:tr>
      <w:tr w:rsidR="001D7604" w:rsidRPr="001D7604" w:rsidTr="001D7604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  <w:color w:val="A6A6A6"/>
              </w:rPr>
            </w:pPr>
            <w:r w:rsidRPr="001D7604">
              <w:rPr>
                <w:rFonts w:ascii="Arial" w:hAnsi="Arial" w:cs="Arial"/>
              </w:rPr>
              <w:t xml:space="preserve">Nome: </w:t>
            </w:r>
            <w:proofErr w:type="spellStart"/>
            <w:r w:rsidRPr="001D7604">
              <w:rPr>
                <w:rFonts w:ascii="Arial" w:hAnsi="Arial" w:cs="Arial"/>
              </w:rPr>
              <w:t>Aldrea</w:t>
            </w:r>
            <w:proofErr w:type="spellEnd"/>
            <w:r w:rsidRPr="001D7604">
              <w:rPr>
                <w:rFonts w:ascii="Arial" w:hAnsi="Arial" w:cs="Arial"/>
              </w:rPr>
              <w:t xml:space="preserve"> </w:t>
            </w:r>
            <w:proofErr w:type="spellStart"/>
            <w:r w:rsidRPr="001D7604">
              <w:rPr>
                <w:rFonts w:ascii="Arial" w:hAnsi="Arial" w:cs="Arial"/>
              </w:rPr>
              <w:t>Giorgia</w:t>
            </w:r>
            <w:proofErr w:type="spellEnd"/>
            <w:r w:rsidRPr="001D7604">
              <w:rPr>
                <w:rFonts w:ascii="Arial" w:hAnsi="Arial" w:cs="Arial"/>
              </w:rPr>
              <w:t xml:space="preserve"> Werneck</w:t>
            </w:r>
            <w:r w:rsidRPr="001D7604">
              <w:rPr>
                <w:rFonts w:ascii="Arial" w:hAnsi="Arial" w:cs="Arial"/>
                <w:color w:val="A6A6A6"/>
              </w:rPr>
              <w:t>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 xml:space="preserve">CPF: </w:t>
            </w:r>
            <w:r w:rsidRPr="001D7604">
              <w:rPr>
                <w:rFonts w:ascii="Arial" w:hAnsi="Arial" w:cs="Arial"/>
                <w:bCs/>
              </w:rPr>
              <w:t>053.411.387-75</w:t>
            </w:r>
            <w:r w:rsidRPr="001D7604">
              <w:rPr>
                <w:rFonts w:ascii="Arial" w:hAnsi="Arial" w:cs="Arial"/>
              </w:rPr>
              <w:t xml:space="preserve">. </w:t>
            </w:r>
          </w:p>
        </w:tc>
      </w:tr>
    </w:tbl>
    <w:p w:rsidR="001D7604" w:rsidRPr="001D7604" w:rsidRDefault="001D7604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2338"/>
        <w:gridCol w:w="6662"/>
      </w:tblGrid>
      <w:tr w:rsidR="001D7604" w:rsidRPr="001D760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4" w:rsidRPr="001D7604" w:rsidRDefault="001D7604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13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7604">
              <w:rPr>
                <w:rFonts w:ascii="Arial" w:hAnsi="Arial" w:cs="Arial"/>
                <w:bCs/>
              </w:rPr>
              <w:t>ESTIMATIVAS DOS VALORES DOS BENS E SERVIÇOS</w:t>
            </w:r>
          </w:p>
          <w:p w:rsidR="001D7604" w:rsidRPr="001D7604" w:rsidRDefault="001D7604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7604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1D7604" w:rsidRPr="001D7604" w:rsidTr="001D7604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Bens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1.491.778.785,26.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1D7604" w:rsidRPr="001D7604" w:rsidTr="001D7604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Serviços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254.691.229,83.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1D7604" w:rsidRPr="001D7604" w:rsidTr="001D7604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Outros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107.429.223,80.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1D7604" w:rsidRPr="001D7604" w:rsidTr="001D7604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  <w:b/>
              </w:rPr>
            </w:pPr>
            <w:r w:rsidRPr="001D7604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1D7604">
              <w:rPr>
                <w:rFonts w:ascii="Arial" w:hAnsi="Arial" w:cs="Arial"/>
                <w:b/>
              </w:rPr>
              <w:t>1.853.899.238,89</w:t>
            </w:r>
            <w:r w:rsidRPr="001D7604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D7604" w:rsidRPr="001D7604" w:rsidRDefault="001D7604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2338"/>
        <w:gridCol w:w="6662"/>
      </w:tblGrid>
      <w:tr w:rsidR="001D7604" w:rsidRPr="001D7604" w:rsidTr="001D76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4" w:rsidRPr="001D7604" w:rsidRDefault="001D7604" w:rsidP="00CB55DA">
            <w:pPr>
              <w:ind w:left="-70"/>
              <w:jc w:val="center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14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7604">
              <w:rPr>
                <w:rFonts w:ascii="Arial" w:hAnsi="Arial" w:cs="Arial"/>
                <w:bCs/>
              </w:rPr>
              <w:t>ESTIMATIVAS DOS VALORES DOS BENS E SERVIÇOS</w:t>
            </w:r>
          </w:p>
          <w:p w:rsidR="001D7604" w:rsidRPr="001D7604" w:rsidRDefault="001D7604" w:rsidP="00CB55D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7604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1D7604" w:rsidRPr="001D7604" w:rsidTr="001D7604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Bens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1.368.408.679,72.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1D7604" w:rsidRPr="001D7604" w:rsidTr="001D7604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Serviços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233.628.265,12.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1D7604" w:rsidRPr="001D7604" w:rsidTr="001D7604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Outros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D7604">
              <w:rPr>
                <w:rFonts w:ascii="Arial" w:hAnsi="Arial" w:cs="Arial"/>
              </w:rPr>
              <w:t>98.544.826,99.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</w:rPr>
            </w:pPr>
          </w:p>
        </w:tc>
      </w:tr>
      <w:tr w:rsidR="001D7604" w:rsidRPr="001D7604" w:rsidTr="001D7604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rPr>
                <w:rFonts w:ascii="Arial" w:hAnsi="Arial" w:cs="Arial"/>
                <w:b/>
              </w:rPr>
            </w:pPr>
            <w:r w:rsidRPr="001D7604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604" w:rsidRPr="001D7604" w:rsidRDefault="001D7604" w:rsidP="00CB55D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1D7604">
              <w:rPr>
                <w:rFonts w:ascii="Arial" w:hAnsi="Arial" w:cs="Arial"/>
                <w:b/>
              </w:rPr>
              <w:t>1.700.581.771,83</w:t>
            </w:r>
            <w:r w:rsidRPr="001D7604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604" w:rsidRPr="001D7604" w:rsidRDefault="001D7604" w:rsidP="00CB55D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D7604" w:rsidRPr="00DE7CE9" w:rsidRDefault="001D7604" w:rsidP="001D7604">
      <w:pPr>
        <w:rPr>
          <w:rFonts w:ascii="Arial" w:hAnsi="Arial" w:cs="Arial"/>
          <w:sz w:val="2"/>
          <w:szCs w:val="2"/>
        </w:rPr>
      </w:pPr>
    </w:p>
    <w:sectPr w:rsidR="001D7604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A3" w:rsidRDefault="009C11A3">
      <w:r>
        <w:separator/>
      </w:r>
    </w:p>
  </w:endnote>
  <w:endnote w:type="continuationSeparator" w:id="0">
    <w:p w:rsidR="009C11A3" w:rsidRDefault="009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A3" w:rsidRDefault="009C11A3">
      <w:r>
        <w:separator/>
      </w:r>
    </w:p>
  </w:footnote>
  <w:footnote w:type="continuationSeparator" w:id="0">
    <w:p w:rsidR="009C11A3" w:rsidRDefault="009C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3" w:rsidRDefault="009C11A3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>
      <w:rPr>
        <w:rFonts w:ascii="Arial" w:hAnsi="Arial" w:cs="Arial"/>
      </w:rPr>
      <w:t xml:space="preserve"> 17 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D760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C11A3" w:rsidRPr="00A93206" w:rsidRDefault="009C11A3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3" w:rsidRDefault="009C11A3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D760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C11A3" w:rsidRDefault="009C11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33B265E1"/>
    <w:multiLevelType w:val="hybridMultilevel"/>
    <w:tmpl w:val="6D967F9E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73F98"/>
    <w:multiLevelType w:val="hybridMultilevel"/>
    <w:tmpl w:val="87EC1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960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604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1A3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EAB7-F63D-4539-BAE9-83AB0E2D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2016-11-18T10:43:00Z</dcterms:created>
  <dcterms:modified xsi:type="dcterms:W3CDTF">2016-11-18T10:43:00Z</dcterms:modified>
</cp:coreProperties>
</file>