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AF3571">
        <w:rPr>
          <w:rFonts w:ascii="Arial" w:hAnsi="Arial" w:cs="Arial"/>
          <w:b/>
          <w:bCs/>
          <w:color w:val="000080"/>
        </w:rPr>
        <w:t>2</w:t>
      </w:r>
      <w:r w:rsidR="00164F34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F3571">
        <w:rPr>
          <w:rFonts w:ascii="Arial" w:hAnsi="Arial" w:cs="Arial"/>
          <w:b/>
          <w:bCs/>
          <w:color w:val="000080"/>
        </w:rPr>
        <w:t>9</w:t>
      </w:r>
      <w:r w:rsidR="0021055F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64F34" w:rsidRPr="00386F2C" w:rsidRDefault="00164F34" w:rsidP="00164F3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86F2C">
        <w:rPr>
          <w:rFonts w:ascii="Arial" w:hAnsi="Arial" w:cs="Arial"/>
          <w:b/>
        </w:rPr>
        <w:t>O SECRETÁRIO DE PLANEJAMENTO E DESENVOLVIMENTO ENERGÉTICO DO MINISTÉRIO DE MINAS E ENERGIA</w:t>
      </w:r>
      <w:r w:rsidRPr="00386F2C">
        <w:rPr>
          <w:rFonts w:ascii="Arial" w:hAnsi="Arial" w:cs="Arial"/>
        </w:rPr>
        <w:t>, no uso da competência que lhe foi delegada pelo art. 1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 xml:space="preserve">, inciso I, da Portaria MME </w:t>
      </w:r>
      <w:proofErr w:type="gramStart"/>
      <w:r w:rsidRPr="00386F2C">
        <w:rPr>
          <w:rFonts w:ascii="Arial" w:hAnsi="Arial" w:cs="Arial"/>
        </w:rPr>
        <w:t>n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 xml:space="preserve"> 281</w:t>
      </w:r>
      <w:proofErr w:type="gramEnd"/>
      <w:r w:rsidRPr="00386F2C">
        <w:rPr>
          <w:rFonts w:ascii="Arial" w:hAnsi="Arial" w:cs="Arial"/>
        </w:rPr>
        <w:t>, de 29 de junho de 2016, tendo em vista o disposto no art. 6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 xml:space="preserve"> do Decreto n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 xml:space="preserve"> 6.144, de 3 de julho de 2007, no art. 2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>, § 3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>, da Portaria MME n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 xml:space="preserve"> 274, de 19 de agosto de 2013, e o que consta do Processo n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 xml:space="preserve"> </w:t>
      </w:r>
      <w:r w:rsidRPr="00386F2C">
        <w:rPr>
          <w:rFonts w:ascii="Arial" w:hAnsi="Arial" w:cs="Arial"/>
          <w:bCs/>
          <w:noProof/>
        </w:rPr>
        <w:t>48500.004213/2016-71</w:t>
      </w:r>
      <w:r w:rsidRPr="00386F2C">
        <w:rPr>
          <w:rFonts w:ascii="Arial" w:hAnsi="Arial" w:cs="Arial"/>
        </w:rPr>
        <w:t>, resolve:</w:t>
      </w:r>
    </w:p>
    <w:p w:rsidR="00164F34" w:rsidRPr="00386F2C" w:rsidRDefault="00164F34" w:rsidP="00164F3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</w:rPr>
      </w:pP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6F2C">
        <w:rPr>
          <w:rFonts w:ascii="Arial" w:hAnsi="Arial" w:cs="Arial"/>
          <w:color w:val="000000"/>
        </w:rPr>
        <w:t>Art. 1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386F2C">
        <w:rPr>
          <w:rFonts w:ascii="Arial" w:hAnsi="Arial" w:cs="Arial"/>
          <w:noProof/>
          <w:color w:val="000000"/>
        </w:rPr>
        <w:t>A</w:t>
      </w:r>
      <w:r w:rsidRPr="00386F2C">
        <w:rPr>
          <w:rFonts w:ascii="Arial" w:hAnsi="Arial" w:cs="Arial"/>
          <w:color w:val="000000"/>
        </w:rPr>
        <w:t xml:space="preserve"> do Leilão n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</w:t>
      </w:r>
      <w:r w:rsidRPr="00386F2C">
        <w:rPr>
          <w:rFonts w:ascii="Arial" w:hAnsi="Arial" w:cs="Arial"/>
          <w:noProof/>
          <w:color w:val="000000"/>
        </w:rPr>
        <w:t>13/2015</w:t>
      </w:r>
      <w:r w:rsidRPr="00386F2C">
        <w:rPr>
          <w:rFonts w:ascii="Arial" w:hAnsi="Arial" w:cs="Arial"/>
          <w:color w:val="000000"/>
        </w:rPr>
        <w:t xml:space="preserve">-ANEEL, de titularidade da empresa </w:t>
      </w:r>
      <w:proofErr w:type="spellStart"/>
      <w:r w:rsidRPr="00386F2C">
        <w:rPr>
          <w:rFonts w:ascii="Arial" w:hAnsi="Arial" w:cs="Arial"/>
        </w:rPr>
        <w:t>Argo</w:t>
      </w:r>
      <w:proofErr w:type="spellEnd"/>
      <w:r w:rsidRPr="00386F2C">
        <w:rPr>
          <w:rFonts w:ascii="Arial" w:hAnsi="Arial" w:cs="Arial"/>
        </w:rPr>
        <w:t xml:space="preserve"> Transmissão de Energia S.A.</w:t>
      </w:r>
      <w:r w:rsidRPr="00386F2C">
        <w:rPr>
          <w:rFonts w:ascii="Arial" w:hAnsi="Arial" w:cs="Arial"/>
          <w:color w:val="000000"/>
        </w:rPr>
        <w:t>, inscrita no CNPJ/MF sob o n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> </w:t>
      </w:r>
      <w:r w:rsidRPr="00386F2C">
        <w:rPr>
          <w:rFonts w:ascii="Arial" w:hAnsi="Arial" w:cs="Arial"/>
          <w:noProof/>
          <w:color w:val="000000"/>
        </w:rPr>
        <w:t>24.624.490/0001-65</w:t>
      </w:r>
      <w:r w:rsidRPr="00386F2C">
        <w:rPr>
          <w:rFonts w:ascii="Arial" w:hAnsi="Arial" w:cs="Arial"/>
          <w:color w:val="000000"/>
        </w:rPr>
        <w:t xml:space="preserve">, detalhado no Anexo </w:t>
      </w:r>
      <w:proofErr w:type="gramStart"/>
      <w:r w:rsidRPr="00386F2C">
        <w:rPr>
          <w:rFonts w:ascii="Arial" w:hAnsi="Arial" w:cs="Arial"/>
          <w:color w:val="000000"/>
        </w:rPr>
        <w:t>à</w:t>
      </w:r>
      <w:proofErr w:type="gramEnd"/>
      <w:r w:rsidRPr="00386F2C">
        <w:rPr>
          <w:rFonts w:ascii="Arial" w:hAnsi="Arial" w:cs="Arial"/>
          <w:color w:val="000000"/>
        </w:rPr>
        <w:t xml:space="preserve"> presente Portaria.</w:t>
      </w: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6F2C">
        <w:rPr>
          <w:rFonts w:ascii="Arial" w:hAnsi="Arial" w:cs="Arial"/>
          <w:color w:val="000000"/>
        </w:rPr>
        <w:t xml:space="preserve">Parágrafo único. O projeto de que trata o </w:t>
      </w:r>
      <w:r w:rsidRPr="00386F2C">
        <w:rPr>
          <w:rFonts w:ascii="Arial" w:hAnsi="Arial" w:cs="Arial"/>
          <w:b/>
          <w:color w:val="000000"/>
        </w:rPr>
        <w:t>caput</w:t>
      </w:r>
      <w:r w:rsidRPr="00386F2C">
        <w:rPr>
          <w:rFonts w:ascii="Arial" w:hAnsi="Arial" w:cs="Arial"/>
          <w:color w:val="000000"/>
        </w:rPr>
        <w:t xml:space="preserve">, objeto do </w:t>
      </w:r>
      <w:r w:rsidRPr="00386F2C">
        <w:rPr>
          <w:rFonts w:ascii="Arial" w:hAnsi="Arial" w:cs="Arial"/>
          <w:noProof/>
        </w:rPr>
        <w:t>Contrato de Concessão n</w:t>
      </w:r>
      <w:r>
        <w:rPr>
          <w:rFonts w:ascii="Arial" w:hAnsi="Arial" w:cs="Arial"/>
          <w:noProof/>
          <w:u w:val="single"/>
          <w:vertAlign w:val="superscript"/>
        </w:rPr>
        <w:t>o</w:t>
      </w:r>
      <w:r w:rsidRPr="00386F2C">
        <w:rPr>
          <w:rFonts w:ascii="Arial" w:hAnsi="Arial" w:cs="Arial"/>
          <w:noProof/>
        </w:rPr>
        <w:t xml:space="preserve"> 09/2016-ANEEL, celebrado em 27 de junho de 2016</w:t>
      </w:r>
      <w:r w:rsidRPr="00386F2C">
        <w:rPr>
          <w:rFonts w:ascii="Arial" w:hAnsi="Arial" w:cs="Arial"/>
          <w:color w:val="000000"/>
        </w:rPr>
        <w:t xml:space="preserve">, é alcançado pelo art. </w:t>
      </w:r>
      <w:r w:rsidRPr="00386F2C">
        <w:rPr>
          <w:rFonts w:ascii="Arial" w:hAnsi="Arial" w:cs="Arial"/>
        </w:rPr>
        <w:t>4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, inciso II, da Portaria MME </w:t>
      </w:r>
      <w:proofErr w:type="gramStart"/>
      <w:r w:rsidRPr="00386F2C">
        <w:rPr>
          <w:rFonts w:ascii="Arial" w:hAnsi="Arial" w:cs="Arial"/>
          <w:color w:val="000000"/>
        </w:rPr>
        <w:t>n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274</w:t>
      </w:r>
      <w:proofErr w:type="gramEnd"/>
      <w:r w:rsidRPr="00386F2C">
        <w:rPr>
          <w:rFonts w:ascii="Arial" w:hAnsi="Arial" w:cs="Arial"/>
          <w:color w:val="000000"/>
        </w:rPr>
        <w:t>, de 19 de agosto de 2013.</w:t>
      </w: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6F2C">
        <w:rPr>
          <w:rFonts w:ascii="Arial" w:hAnsi="Arial" w:cs="Arial"/>
          <w:color w:val="000000"/>
        </w:rPr>
        <w:t>Art. 2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As estimativas dos investimentos têm por base o mês de </w:t>
      </w:r>
      <w:r w:rsidRPr="00386F2C">
        <w:rPr>
          <w:rFonts w:ascii="Arial" w:hAnsi="Arial" w:cs="Arial"/>
          <w:noProof/>
          <w:color w:val="000000"/>
        </w:rPr>
        <w:t>julho de 2016</w:t>
      </w:r>
      <w:r w:rsidRPr="00386F2C">
        <w:rPr>
          <w:rFonts w:ascii="Arial" w:hAnsi="Arial" w:cs="Arial"/>
          <w:color w:val="000000"/>
        </w:rPr>
        <w:t xml:space="preserve"> e são de exclusiva responsabilidade da </w:t>
      </w:r>
      <w:proofErr w:type="spellStart"/>
      <w:r w:rsidRPr="00386F2C">
        <w:rPr>
          <w:rFonts w:ascii="Arial" w:hAnsi="Arial" w:cs="Arial"/>
        </w:rPr>
        <w:t>Argo</w:t>
      </w:r>
      <w:proofErr w:type="spellEnd"/>
      <w:r w:rsidRPr="00386F2C">
        <w:rPr>
          <w:rFonts w:ascii="Arial" w:hAnsi="Arial" w:cs="Arial"/>
        </w:rPr>
        <w:t xml:space="preserve"> Transmissão de Energia S.A.</w:t>
      </w:r>
      <w:r w:rsidRPr="00386F2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6F2C">
        <w:rPr>
          <w:rFonts w:ascii="Arial" w:hAnsi="Arial" w:cs="Arial"/>
          <w:color w:val="000000"/>
        </w:rPr>
        <w:t>Art. 3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A </w:t>
      </w:r>
      <w:proofErr w:type="spellStart"/>
      <w:r w:rsidRPr="00386F2C">
        <w:rPr>
          <w:rFonts w:ascii="Arial" w:hAnsi="Arial" w:cs="Arial"/>
        </w:rPr>
        <w:t>Argo</w:t>
      </w:r>
      <w:proofErr w:type="spellEnd"/>
      <w:r w:rsidRPr="00386F2C">
        <w:rPr>
          <w:rFonts w:ascii="Arial" w:hAnsi="Arial" w:cs="Arial"/>
        </w:rPr>
        <w:t xml:space="preserve"> Transmissão de Energia S.A. </w:t>
      </w:r>
      <w:r w:rsidRPr="00386F2C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6F2C">
        <w:rPr>
          <w:rFonts w:ascii="Arial" w:hAnsi="Arial" w:cs="Arial"/>
          <w:color w:val="000000"/>
        </w:rPr>
        <w:t>Art. 4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Alterações técnicas ou de titularidade do projeto</w:t>
      </w:r>
      <w:r w:rsidRPr="00386F2C">
        <w:rPr>
          <w:rFonts w:ascii="Arial" w:hAnsi="Arial" w:cs="Arial"/>
          <w:color w:val="FF0000"/>
        </w:rPr>
        <w:t xml:space="preserve"> </w:t>
      </w:r>
      <w:r w:rsidRPr="00386F2C">
        <w:rPr>
          <w:rFonts w:ascii="Arial" w:hAnsi="Arial" w:cs="Arial"/>
        </w:rPr>
        <w:t>de que trata esta Portaria</w:t>
      </w:r>
      <w:r w:rsidRPr="00386F2C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6F2C">
        <w:rPr>
          <w:rFonts w:ascii="Arial" w:hAnsi="Arial" w:cs="Arial"/>
          <w:color w:val="000000"/>
        </w:rPr>
        <w:t>Art. 5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4F34" w:rsidRPr="00386F2C" w:rsidRDefault="00164F34" w:rsidP="00164F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6F2C">
        <w:rPr>
          <w:rFonts w:ascii="Arial" w:hAnsi="Arial" w:cs="Arial"/>
          <w:color w:val="000000"/>
        </w:rPr>
        <w:t>Art. 6</w:t>
      </w:r>
      <w:r w:rsidRPr="00386F2C">
        <w:rPr>
          <w:rFonts w:ascii="Arial" w:hAnsi="Arial" w:cs="Arial"/>
          <w:color w:val="000000"/>
          <w:u w:val="single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A </w:t>
      </w:r>
      <w:proofErr w:type="spellStart"/>
      <w:r w:rsidRPr="00386F2C">
        <w:rPr>
          <w:rFonts w:ascii="Arial" w:hAnsi="Arial" w:cs="Arial"/>
        </w:rPr>
        <w:t>Argo</w:t>
      </w:r>
      <w:proofErr w:type="spellEnd"/>
      <w:r w:rsidRPr="00386F2C">
        <w:rPr>
          <w:rFonts w:ascii="Arial" w:hAnsi="Arial" w:cs="Arial"/>
        </w:rPr>
        <w:t xml:space="preserve"> Transmissão de Energia S.A.</w:t>
      </w:r>
      <w:r w:rsidRPr="00386F2C">
        <w:rPr>
          <w:rFonts w:ascii="Arial" w:hAnsi="Arial" w:cs="Arial"/>
          <w:noProof/>
          <w:color w:val="000000"/>
        </w:rPr>
        <w:t xml:space="preserve"> </w:t>
      </w:r>
      <w:r w:rsidRPr="00386F2C">
        <w:rPr>
          <w:rFonts w:ascii="Arial" w:hAnsi="Arial" w:cs="Arial"/>
          <w:color w:val="000000"/>
        </w:rPr>
        <w:t>deverá observar, no que couber, as disposições constantes na Lei n</w:t>
      </w:r>
      <w:r w:rsidRPr="00386F2C">
        <w:rPr>
          <w:rFonts w:ascii="Arial" w:hAnsi="Arial" w:cs="Arial"/>
          <w:color w:val="000000"/>
          <w:u w:val="single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11.488, de 15 de junho de 2007, no Decreto n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6.144, de </w:t>
      </w:r>
      <w:proofErr w:type="gramStart"/>
      <w:r w:rsidRPr="00386F2C">
        <w:rPr>
          <w:rFonts w:ascii="Arial" w:hAnsi="Arial" w:cs="Arial"/>
          <w:color w:val="000000"/>
        </w:rPr>
        <w:t>3</w:t>
      </w:r>
      <w:proofErr w:type="gramEnd"/>
      <w:r w:rsidRPr="00386F2C">
        <w:rPr>
          <w:rFonts w:ascii="Arial" w:hAnsi="Arial" w:cs="Arial"/>
          <w:color w:val="000000"/>
        </w:rPr>
        <w:t xml:space="preserve"> de julho de 2007, na Portaria MME </w:t>
      </w:r>
      <w:r w:rsidRPr="00386F2C">
        <w:rPr>
          <w:rFonts w:ascii="Arial" w:hAnsi="Arial" w:cs="Arial"/>
        </w:rPr>
        <w:t>n</w:t>
      </w:r>
      <w:r w:rsidRPr="00386F2C">
        <w:rPr>
          <w:rFonts w:ascii="Arial" w:hAnsi="Arial" w:cs="Arial"/>
          <w:u w:val="words"/>
          <w:vertAlign w:val="superscript"/>
        </w:rPr>
        <w:t>o</w:t>
      </w:r>
      <w:r w:rsidRPr="00386F2C">
        <w:rPr>
          <w:rFonts w:ascii="Arial" w:hAnsi="Arial" w:cs="Arial"/>
        </w:rPr>
        <w:t xml:space="preserve"> 274, de 2013</w:t>
      </w:r>
      <w:r w:rsidRPr="00386F2C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386F2C">
        <w:rPr>
          <w:rFonts w:ascii="Arial" w:hAnsi="Arial" w:cs="Arial"/>
          <w:color w:val="000000"/>
        </w:rPr>
        <w:t>arts</w:t>
      </w:r>
      <w:proofErr w:type="spellEnd"/>
      <w:r w:rsidRPr="00386F2C">
        <w:rPr>
          <w:rFonts w:ascii="Arial" w:hAnsi="Arial" w:cs="Arial"/>
          <w:color w:val="000000"/>
        </w:rPr>
        <w:t>.  9</w:t>
      </w:r>
      <w:r w:rsidRPr="00386F2C">
        <w:rPr>
          <w:rFonts w:ascii="Arial" w:hAnsi="Arial" w:cs="Arial"/>
          <w:color w:val="000000"/>
          <w:u w:val="single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e 14, do Decreto n</w:t>
      </w:r>
      <w:r w:rsidRPr="00386F2C">
        <w:rPr>
          <w:rFonts w:ascii="Arial" w:hAnsi="Arial" w:cs="Arial"/>
          <w:color w:val="000000"/>
          <w:u w:val="single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64F34" w:rsidRPr="00386F2C" w:rsidRDefault="00164F34" w:rsidP="00164F3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4F34" w:rsidRPr="00386F2C" w:rsidRDefault="00164F34" w:rsidP="00164F3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6F2C">
        <w:rPr>
          <w:rFonts w:ascii="Arial" w:hAnsi="Arial" w:cs="Arial"/>
          <w:color w:val="000000"/>
        </w:rPr>
        <w:t>Art. 7</w:t>
      </w:r>
      <w:r w:rsidRPr="00386F2C">
        <w:rPr>
          <w:rFonts w:ascii="Arial" w:hAnsi="Arial" w:cs="Arial"/>
          <w:color w:val="000000"/>
          <w:u w:val="words"/>
          <w:vertAlign w:val="superscript"/>
        </w:rPr>
        <w:t>o</w:t>
      </w:r>
      <w:r w:rsidRPr="00386F2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164F34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3571" w:rsidRPr="009D6704" w:rsidRDefault="00AF3571" w:rsidP="00164F3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704">
        <w:rPr>
          <w:rFonts w:ascii="Arial" w:hAnsi="Arial" w:cs="Arial"/>
          <w:b/>
          <w:bCs/>
        </w:rPr>
        <w:t>EDUARDO AZEVEDO RODRIGUES</w:t>
      </w:r>
    </w:p>
    <w:p w:rsidR="00BC062F" w:rsidRPr="00164F34" w:rsidRDefault="00BC062F" w:rsidP="00164F34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3571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3F684E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3F684E" w:rsidRDefault="00DE332A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D40F9" w:rsidRPr="003F684E" w:rsidRDefault="008D40F9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97"/>
        <w:gridCol w:w="425"/>
        <w:gridCol w:w="2410"/>
        <w:gridCol w:w="425"/>
        <w:gridCol w:w="2835"/>
      </w:tblGrid>
      <w:tr w:rsidR="00164F34" w:rsidRPr="00386F2C" w:rsidTr="00164F34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386F2C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164F34" w:rsidRPr="00386F2C" w:rsidTr="00164F34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01</w:t>
            </w:r>
          </w:p>
        </w:tc>
        <w:tc>
          <w:tcPr>
            <w:tcW w:w="67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 xml:space="preserve">CNPJ      </w:t>
            </w:r>
          </w:p>
        </w:tc>
      </w:tr>
      <w:tr w:rsidR="00164F34" w:rsidRPr="00386F2C" w:rsidTr="00164F34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proofErr w:type="spellStart"/>
            <w:r w:rsidRPr="00386F2C">
              <w:rPr>
                <w:rFonts w:ascii="Arial" w:hAnsi="Arial" w:cs="Arial"/>
              </w:rPr>
              <w:t>Argo</w:t>
            </w:r>
            <w:proofErr w:type="spellEnd"/>
            <w:r w:rsidRPr="00386F2C">
              <w:rPr>
                <w:rFonts w:ascii="Arial" w:hAnsi="Arial" w:cs="Arial"/>
              </w:rPr>
              <w:t xml:space="preserve"> Transmissão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  <w:noProof/>
                <w:color w:val="000000"/>
              </w:rPr>
              <w:t>24.624.490/0001-65</w:t>
            </w:r>
          </w:p>
        </w:tc>
      </w:tr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03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Número</w:t>
            </w:r>
          </w:p>
        </w:tc>
      </w:tr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Avenida Brigadeiro Faria Lima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3.144</w:t>
            </w:r>
          </w:p>
        </w:tc>
      </w:tr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CEP</w:t>
            </w:r>
          </w:p>
        </w:tc>
      </w:tr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 xml:space="preserve">Andar </w:t>
            </w:r>
            <w:proofErr w:type="gramStart"/>
            <w:r w:rsidRPr="00386F2C">
              <w:rPr>
                <w:rFonts w:ascii="Arial" w:hAnsi="Arial" w:cs="Arial"/>
              </w:rPr>
              <w:t>3</w:t>
            </w:r>
            <w:proofErr w:type="gramEnd"/>
            <w:r w:rsidRPr="00386F2C">
              <w:rPr>
                <w:rFonts w:ascii="Arial" w:hAnsi="Arial" w:cs="Arial"/>
              </w:rPr>
              <w:t>, Sala 303C01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Jardim Paulistano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01451-000</w:t>
            </w:r>
          </w:p>
        </w:tc>
      </w:tr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Telefone</w:t>
            </w:r>
          </w:p>
        </w:tc>
      </w:tr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(11) 3039-9696</w:t>
            </w:r>
          </w:p>
        </w:tc>
      </w:tr>
    </w:tbl>
    <w:p w:rsidR="00164F34" w:rsidRPr="003F684E" w:rsidRDefault="00164F34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54"/>
        <w:gridCol w:w="7938"/>
      </w:tblGrid>
      <w:tr w:rsidR="00164F34" w:rsidRPr="00386F2C" w:rsidTr="00164F34">
        <w:tc>
          <w:tcPr>
            <w:tcW w:w="426" w:type="dxa"/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11</w:t>
            </w:r>
          </w:p>
        </w:tc>
        <w:tc>
          <w:tcPr>
            <w:tcW w:w="9992" w:type="dxa"/>
            <w:gridSpan w:val="2"/>
            <w:vAlign w:val="center"/>
          </w:tcPr>
          <w:p w:rsidR="00164F34" w:rsidRPr="00386F2C" w:rsidRDefault="00164F34" w:rsidP="00164F3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6F2C">
              <w:rPr>
                <w:rFonts w:ascii="Arial" w:hAnsi="Arial" w:cs="Arial"/>
                <w:bCs/>
              </w:rPr>
              <w:t>DADOS DO PROJETO</w:t>
            </w:r>
          </w:p>
        </w:tc>
      </w:tr>
      <w:tr w:rsidR="00164F34" w:rsidRPr="00386F2C" w:rsidTr="00164F34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  <w:b/>
              </w:rPr>
            </w:pPr>
            <w:r w:rsidRPr="00386F2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 xml:space="preserve">Lote </w:t>
            </w:r>
            <w:r w:rsidRPr="00386F2C">
              <w:rPr>
                <w:rFonts w:ascii="Arial" w:hAnsi="Arial" w:cs="Arial"/>
                <w:noProof/>
              </w:rPr>
              <w:t>A</w:t>
            </w:r>
            <w:r w:rsidRPr="00386F2C">
              <w:rPr>
                <w:rFonts w:ascii="Arial" w:hAnsi="Arial" w:cs="Arial"/>
              </w:rPr>
              <w:t xml:space="preserve"> do Leilão n</w:t>
            </w:r>
            <w:r w:rsidRPr="00386F2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86F2C">
              <w:rPr>
                <w:rFonts w:ascii="Arial" w:hAnsi="Arial" w:cs="Arial"/>
              </w:rPr>
              <w:t xml:space="preserve"> </w:t>
            </w:r>
            <w:r w:rsidRPr="00386F2C">
              <w:rPr>
                <w:rFonts w:ascii="Arial" w:hAnsi="Arial" w:cs="Arial"/>
                <w:noProof/>
              </w:rPr>
              <w:t>13/2015</w:t>
            </w:r>
            <w:r w:rsidRPr="00386F2C">
              <w:rPr>
                <w:rFonts w:ascii="Arial" w:hAnsi="Arial" w:cs="Arial"/>
              </w:rPr>
              <w:t>-ANEEL (</w:t>
            </w:r>
            <w:r w:rsidRPr="00386F2C">
              <w:rPr>
                <w:rFonts w:ascii="Arial" w:hAnsi="Arial" w:cs="Arial"/>
                <w:noProof/>
              </w:rPr>
              <w:t>Contrato de Concessão n</w:t>
            </w:r>
            <w:r w:rsidRPr="00386F2C">
              <w:rPr>
                <w:rFonts w:ascii="Arial" w:hAnsi="Arial" w:cs="Arial"/>
                <w:strike/>
                <w:noProof/>
              </w:rPr>
              <w:t>º</w:t>
            </w:r>
            <w:r w:rsidRPr="00386F2C">
              <w:rPr>
                <w:rFonts w:ascii="Arial" w:hAnsi="Arial" w:cs="Arial"/>
                <w:noProof/>
              </w:rPr>
              <w:t xml:space="preserve"> 09/2016-ANEEL, celebrado em 27 de junho de 2016, e </w:t>
            </w:r>
            <w:r w:rsidRPr="00386F2C">
              <w:rPr>
                <w:rFonts w:ascii="Arial" w:hAnsi="Arial" w:cs="Arial"/>
              </w:rPr>
              <w:t>Despacho do Superintendente de Concessões, Permissões e Autorizações de Transmissão e Distribuição da ANEEL, de 31 de outubro de 2016).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684E">
              <w:rPr>
                <w:rFonts w:ascii="Arial" w:hAnsi="Arial" w:cs="Arial"/>
              </w:rPr>
              <w:t xml:space="preserve">Projeto de Transmissão de Energia Elétrica correspondente ao Lote </w:t>
            </w:r>
            <w:r w:rsidRPr="003F684E">
              <w:rPr>
                <w:rFonts w:ascii="Arial" w:hAnsi="Arial" w:cs="Arial"/>
                <w:noProof/>
              </w:rPr>
              <w:t>A</w:t>
            </w:r>
            <w:r w:rsidRPr="003F684E">
              <w:rPr>
                <w:rFonts w:ascii="Arial" w:hAnsi="Arial" w:cs="Arial"/>
              </w:rPr>
              <w:t xml:space="preserve"> do Leilão n</w:t>
            </w:r>
            <w:r w:rsidRPr="003F684E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3F684E">
              <w:rPr>
                <w:rFonts w:ascii="Arial" w:hAnsi="Arial" w:cs="Arial"/>
              </w:rPr>
              <w:t xml:space="preserve"> </w:t>
            </w:r>
            <w:r w:rsidRPr="003F684E">
              <w:rPr>
                <w:rFonts w:ascii="Arial" w:hAnsi="Arial" w:cs="Arial"/>
                <w:noProof/>
              </w:rPr>
              <w:t>13/2015</w:t>
            </w:r>
            <w:r w:rsidRPr="003F684E">
              <w:rPr>
                <w:rFonts w:ascii="Arial" w:hAnsi="Arial" w:cs="Arial"/>
              </w:rPr>
              <w:t>-ANEEL, compreendendo: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684E">
              <w:rPr>
                <w:rFonts w:ascii="Arial" w:hAnsi="Arial" w:cs="Arial"/>
              </w:rPr>
              <w:t xml:space="preserve">I - Linha de Transmissão 500 </w:t>
            </w:r>
            <w:proofErr w:type="gramStart"/>
            <w:r w:rsidRPr="003F684E">
              <w:rPr>
                <w:rFonts w:ascii="Arial" w:hAnsi="Arial" w:cs="Arial"/>
              </w:rPr>
              <w:t>kV</w:t>
            </w:r>
            <w:proofErr w:type="gramEnd"/>
            <w:r w:rsidRPr="003F684E">
              <w:rPr>
                <w:rFonts w:ascii="Arial" w:hAnsi="Arial" w:cs="Arial"/>
              </w:rPr>
              <w:t xml:space="preserve"> </w:t>
            </w:r>
            <w:proofErr w:type="spellStart"/>
            <w:r w:rsidRPr="003F684E">
              <w:rPr>
                <w:rFonts w:ascii="Arial" w:hAnsi="Arial" w:cs="Arial"/>
              </w:rPr>
              <w:t>Bacabeira</w:t>
            </w:r>
            <w:proofErr w:type="spellEnd"/>
            <w:r w:rsidRPr="003F684E">
              <w:rPr>
                <w:rFonts w:ascii="Arial" w:hAnsi="Arial" w:cs="Arial"/>
              </w:rPr>
              <w:t>- Parnaíba III C1 e C2, circuitos simples, com aproximadamente 312 km cada;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684E">
              <w:rPr>
                <w:rFonts w:ascii="Arial" w:hAnsi="Arial" w:cs="Arial"/>
              </w:rPr>
              <w:t xml:space="preserve">II - Linha de Transmissão 500 </w:t>
            </w:r>
            <w:proofErr w:type="gramStart"/>
            <w:r w:rsidRPr="003F684E">
              <w:rPr>
                <w:rFonts w:ascii="Arial" w:hAnsi="Arial" w:cs="Arial"/>
              </w:rPr>
              <w:t>kV</w:t>
            </w:r>
            <w:proofErr w:type="gramEnd"/>
            <w:r w:rsidRPr="003F684E">
              <w:rPr>
                <w:rFonts w:ascii="Arial" w:hAnsi="Arial" w:cs="Arial"/>
              </w:rPr>
              <w:t xml:space="preserve"> Parnaíba III - Acaraú III, circuito simples, com aproximadamente 191 km;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684E">
              <w:rPr>
                <w:rFonts w:ascii="Arial" w:hAnsi="Arial" w:cs="Arial"/>
              </w:rPr>
              <w:t xml:space="preserve">III - Linha de Transmissão 500 </w:t>
            </w:r>
            <w:proofErr w:type="gramStart"/>
            <w:r w:rsidRPr="003F684E">
              <w:rPr>
                <w:rFonts w:ascii="Arial" w:hAnsi="Arial" w:cs="Arial"/>
              </w:rPr>
              <w:t>kV</w:t>
            </w:r>
            <w:proofErr w:type="gramEnd"/>
            <w:r w:rsidRPr="003F684E">
              <w:rPr>
                <w:rFonts w:ascii="Arial" w:hAnsi="Arial" w:cs="Arial"/>
              </w:rPr>
              <w:t xml:space="preserve"> Acaraú III - </w:t>
            </w:r>
            <w:proofErr w:type="spellStart"/>
            <w:r w:rsidRPr="003F684E">
              <w:rPr>
                <w:rFonts w:ascii="Arial" w:hAnsi="Arial" w:cs="Arial"/>
              </w:rPr>
              <w:t>Pecém</w:t>
            </w:r>
            <w:proofErr w:type="spellEnd"/>
            <w:r w:rsidRPr="003F684E">
              <w:rPr>
                <w:rFonts w:ascii="Arial" w:hAnsi="Arial" w:cs="Arial"/>
              </w:rPr>
              <w:t xml:space="preserve"> II, circuito simples, com aproximadamente 161 km;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684E">
              <w:rPr>
                <w:rFonts w:ascii="Arial" w:hAnsi="Arial" w:cs="Arial"/>
              </w:rPr>
              <w:t xml:space="preserve">IV - Linha de Transmissão 500 </w:t>
            </w:r>
            <w:proofErr w:type="gramStart"/>
            <w:r w:rsidRPr="003F684E">
              <w:rPr>
                <w:rFonts w:ascii="Arial" w:hAnsi="Arial" w:cs="Arial"/>
              </w:rPr>
              <w:t>kV</w:t>
            </w:r>
            <w:proofErr w:type="gramEnd"/>
            <w:r w:rsidRPr="003F684E">
              <w:rPr>
                <w:rFonts w:ascii="Arial" w:hAnsi="Arial" w:cs="Arial"/>
              </w:rPr>
              <w:t xml:space="preserve"> Acaraú III - Tianguá II, circuito simples, com aproximadamente 150 km;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684E">
              <w:rPr>
                <w:rFonts w:ascii="Arial" w:hAnsi="Arial" w:cs="Arial"/>
              </w:rPr>
              <w:t xml:space="preserve">V - Subestação </w:t>
            </w:r>
            <w:proofErr w:type="spellStart"/>
            <w:r w:rsidRPr="003F684E">
              <w:rPr>
                <w:rFonts w:ascii="Arial" w:hAnsi="Arial" w:cs="Arial"/>
              </w:rPr>
              <w:t>Bacabeira</w:t>
            </w:r>
            <w:proofErr w:type="spellEnd"/>
            <w:r w:rsidRPr="003F684E">
              <w:rPr>
                <w:rFonts w:ascii="Arial" w:hAnsi="Arial" w:cs="Arial"/>
              </w:rPr>
              <w:t xml:space="preserve"> 500 </w:t>
            </w:r>
            <w:proofErr w:type="gramStart"/>
            <w:r w:rsidRPr="003F684E">
              <w:rPr>
                <w:rFonts w:ascii="Arial" w:hAnsi="Arial" w:cs="Arial"/>
              </w:rPr>
              <w:t>kV</w:t>
            </w:r>
            <w:proofErr w:type="gramEnd"/>
            <w:r w:rsidRPr="003F684E">
              <w:rPr>
                <w:rFonts w:ascii="Arial" w:hAnsi="Arial" w:cs="Arial"/>
              </w:rPr>
              <w:t>;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684E">
              <w:rPr>
                <w:rFonts w:ascii="Arial" w:hAnsi="Arial" w:cs="Arial"/>
              </w:rPr>
              <w:t xml:space="preserve">VI - Subestação Parnaíba III 500 </w:t>
            </w:r>
            <w:proofErr w:type="gramStart"/>
            <w:r w:rsidRPr="003F684E">
              <w:rPr>
                <w:rFonts w:ascii="Arial" w:hAnsi="Arial" w:cs="Arial"/>
              </w:rPr>
              <w:t>kV</w:t>
            </w:r>
            <w:proofErr w:type="gramEnd"/>
            <w:r w:rsidRPr="003F684E">
              <w:rPr>
                <w:rFonts w:ascii="Arial" w:hAnsi="Arial" w:cs="Arial"/>
              </w:rPr>
              <w:t xml:space="preserve"> e Compensador Estático (-150/300) </w:t>
            </w:r>
            <w:proofErr w:type="spellStart"/>
            <w:r w:rsidRPr="003F684E">
              <w:rPr>
                <w:rFonts w:ascii="Arial" w:hAnsi="Arial" w:cs="Arial"/>
              </w:rPr>
              <w:t>Mvar</w:t>
            </w:r>
            <w:proofErr w:type="spellEnd"/>
            <w:r w:rsidRPr="003F684E">
              <w:rPr>
                <w:rFonts w:ascii="Arial" w:hAnsi="Arial" w:cs="Arial"/>
              </w:rPr>
              <w:t>;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F684E">
              <w:rPr>
                <w:rFonts w:ascii="Arial" w:hAnsi="Arial" w:cs="Arial"/>
                <w:sz w:val="23"/>
                <w:szCs w:val="23"/>
              </w:rPr>
              <w:t xml:space="preserve">VII - Subestação Acaraú II 500 </w:t>
            </w:r>
            <w:proofErr w:type="gramStart"/>
            <w:r w:rsidRPr="003F684E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3F684E">
              <w:rPr>
                <w:rFonts w:ascii="Arial" w:hAnsi="Arial" w:cs="Arial"/>
                <w:sz w:val="23"/>
                <w:szCs w:val="23"/>
              </w:rPr>
              <w:t>;</w:t>
            </w:r>
          </w:p>
        </w:tc>
      </w:tr>
      <w:tr w:rsidR="00164F34" w:rsidRPr="00386F2C" w:rsidTr="00164F3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F684E">
              <w:rPr>
                <w:rFonts w:ascii="Arial" w:hAnsi="Arial" w:cs="Arial"/>
                <w:sz w:val="23"/>
                <w:szCs w:val="23"/>
              </w:rPr>
              <w:t xml:space="preserve">VIII - Subestação Tianguá II 500 </w:t>
            </w:r>
            <w:proofErr w:type="gramStart"/>
            <w:r w:rsidRPr="003F684E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3F684E">
              <w:rPr>
                <w:rFonts w:ascii="Arial" w:hAnsi="Arial" w:cs="Arial"/>
                <w:sz w:val="23"/>
                <w:szCs w:val="23"/>
              </w:rPr>
              <w:t>; e</w:t>
            </w:r>
          </w:p>
        </w:tc>
      </w:tr>
      <w:tr w:rsidR="00164F34" w:rsidRPr="00386F2C" w:rsidTr="003F684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F684E">
              <w:rPr>
                <w:rFonts w:ascii="Arial" w:hAnsi="Arial" w:cs="Arial"/>
                <w:sz w:val="23"/>
                <w:szCs w:val="23"/>
              </w:rPr>
              <w:t>IX - Conexões de unidades de transformação, entradas de linha, interligações de barramentos, barramentos, instalações, vinculadas e demais instalações necessárias às funções de medição, supervisão, proteção, comando; controle, telecomunicação, administração e apoio;</w:t>
            </w:r>
          </w:p>
        </w:tc>
      </w:tr>
      <w:tr w:rsidR="00164F34" w:rsidRPr="00386F2C" w:rsidTr="003F684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F684E">
              <w:rPr>
                <w:rFonts w:ascii="Arial" w:hAnsi="Arial" w:cs="Arial"/>
                <w:sz w:val="23"/>
                <w:szCs w:val="23"/>
              </w:rPr>
              <w:t xml:space="preserve">X - Implementação de trechos de Linha de Transmissão em 500 </w:t>
            </w:r>
            <w:proofErr w:type="gramStart"/>
            <w:r w:rsidRPr="003F684E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3F684E">
              <w:rPr>
                <w:rFonts w:ascii="Arial" w:hAnsi="Arial" w:cs="Arial"/>
                <w:sz w:val="23"/>
                <w:szCs w:val="23"/>
              </w:rPr>
              <w:t xml:space="preserve">, circuito simples, com extensão aproximada de um quilômetro, compreendido entre o ponto de seccionamento da Linha de Transmissão Miranda II - São Luís II C1 e a Subestação </w:t>
            </w:r>
            <w:proofErr w:type="spellStart"/>
            <w:r w:rsidRPr="003F684E">
              <w:rPr>
                <w:rFonts w:ascii="Arial" w:hAnsi="Arial" w:cs="Arial"/>
                <w:sz w:val="23"/>
                <w:szCs w:val="23"/>
              </w:rPr>
              <w:t>Bacabeira</w:t>
            </w:r>
            <w:proofErr w:type="spellEnd"/>
            <w:r w:rsidRPr="003F684E">
              <w:rPr>
                <w:rFonts w:ascii="Arial" w:hAnsi="Arial" w:cs="Arial"/>
                <w:sz w:val="23"/>
                <w:szCs w:val="23"/>
              </w:rPr>
              <w:t xml:space="preserve">, setor 500 kV; as entradas de linha correspondentes na Subestação </w:t>
            </w:r>
            <w:proofErr w:type="spellStart"/>
            <w:r w:rsidRPr="003F684E">
              <w:rPr>
                <w:rFonts w:ascii="Arial" w:hAnsi="Arial" w:cs="Arial"/>
                <w:sz w:val="23"/>
                <w:szCs w:val="23"/>
              </w:rPr>
              <w:t>Bacabeira</w:t>
            </w:r>
            <w:proofErr w:type="spellEnd"/>
            <w:r w:rsidRPr="003F684E">
              <w:rPr>
                <w:rFonts w:ascii="Arial" w:hAnsi="Arial" w:cs="Arial"/>
                <w:sz w:val="23"/>
                <w:szCs w:val="23"/>
              </w:rPr>
              <w:t>, e a aquisição dos equipamentos necessários às modificações, substituições e adequações nas entradas de linha das Subestações Miranda II e São Luís;</w:t>
            </w:r>
          </w:p>
          <w:p w:rsidR="003F684E" w:rsidRPr="003F684E" w:rsidRDefault="003F684E" w:rsidP="003F6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F684E">
              <w:rPr>
                <w:rFonts w:ascii="Arial" w:hAnsi="Arial" w:cs="Arial"/>
                <w:sz w:val="23"/>
                <w:szCs w:val="23"/>
              </w:rPr>
              <w:t xml:space="preserve">XI - Implementação de trechos de Linha de Transmissão em 500 </w:t>
            </w:r>
            <w:proofErr w:type="gramStart"/>
            <w:r w:rsidRPr="003F684E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3F684E">
              <w:rPr>
                <w:rFonts w:ascii="Arial" w:hAnsi="Arial" w:cs="Arial"/>
                <w:sz w:val="23"/>
                <w:szCs w:val="23"/>
              </w:rPr>
              <w:t xml:space="preserve">, circuito simples, com extensão aproximada de um quilômetro cada, compreendido entre o ponto de seccionamento da Linha de Transmissão Miranda II - São Luís II C2 e a Subestação </w:t>
            </w:r>
            <w:proofErr w:type="spellStart"/>
            <w:r w:rsidRPr="003F684E">
              <w:rPr>
                <w:rFonts w:ascii="Arial" w:hAnsi="Arial" w:cs="Arial"/>
                <w:sz w:val="23"/>
                <w:szCs w:val="23"/>
              </w:rPr>
              <w:t>Bacabeira</w:t>
            </w:r>
            <w:proofErr w:type="spellEnd"/>
            <w:r w:rsidRPr="003F684E">
              <w:rPr>
                <w:rFonts w:ascii="Arial" w:hAnsi="Arial" w:cs="Arial"/>
                <w:sz w:val="23"/>
                <w:szCs w:val="23"/>
              </w:rPr>
              <w:t xml:space="preserve">, setor 500 kV; as entradas de linha correspondentes na Subestação </w:t>
            </w:r>
            <w:proofErr w:type="spellStart"/>
            <w:r w:rsidRPr="003F684E">
              <w:rPr>
                <w:rFonts w:ascii="Arial" w:hAnsi="Arial" w:cs="Arial"/>
                <w:sz w:val="23"/>
                <w:szCs w:val="23"/>
              </w:rPr>
              <w:t>Bacabeira</w:t>
            </w:r>
            <w:proofErr w:type="spellEnd"/>
            <w:r w:rsidRPr="003F684E">
              <w:rPr>
                <w:rFonts w:ascii="Arial" w:hAnsi="Arial" w:cs="Arial"/>
                <w:sz w:val="23"/>
                <w:szCs w:val="23"/>
              </w:rPr>
              <w:t>, e a aquisição dos equipamentos necessários às modificações, substituições e adequações nas entradas de linha das Subestações Miranda II e São Luís;</w:t>
            </w:r>
          </w:p>
        </w:tc>
      </w:tr>
      <w:tr w:rsidR="00164F34" w:rsidRPr="00386F2C" w:rsidTr="003F684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F684E" w:rsidRDefault="00164F34" w:rsidP="00164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684E">
              <w:rPr>
                <w:rFonts w:ascii="Arial" w:hAnsi="Arial" w:cs="Arial"/>
              </w:rPr>
              <w:t xml:space="preserve">XII - Implementação de trechos de Linha de Transmissão em 500 </w:t>
            </w:r>
            <w:proofErr w:type="gramStart"/>
            <w:r w:rsidRPr="003F684E">
              <w:rPr>
                <w:rFonts w:ascii="Arial" w:hAnsi="Arial" w:cs="Arial"/>
              </w:rPr>
              <w:t>kV</w:t>
            </w:r>
            <w:proofErr w:type="gramEnd"/>
            <w:r w:rsidRPr="003F684E">
              <w:rPr>
                <w:rFonts w:ascii="Arial" w:hAnsi="Arial" w:cs="Arial"/>
              </w:rPr>
              <w:t>, circuito simples, com extensão aproximada de dezoito quilômetros cada, compreendid</w:t>
            </w:r>
            <w:bookmarkStart w:id="1" w:name="_GoBack"/>
            <w:bookmarkEnd w:id="1"/>
            <w:r w:rsidRPr="003F684E">
              <w:rPr>
                <w:rFonts w:ascii="Arial" w:hAnsi="Arial" w:cs="Arial"/>
              </w:rPr>
              <w:t>o entre o ponto de seccionamento da Linha de Transmissão em 500 kV Teresina II - Sobral III e a Subestação5 Tianguá II, setor 500 kV; as entradas de linha correspondentes na Subestação Tianguá II, e a aquisição dos equipamentos necessários às modificações, substituições e adequações nas entradas de linha das subestações Teresina II e Sobral III.</w:t>
            </w:r>
          </w:p>
        </w:tc>
      </w:tr>
      <w:tr w:rsidR="00164F34" w:rsidRPr="00386F2C" w:rsidTr="003F684E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De 27/6/2016 a 27/6/2021.</w:t>
            </w:r>
          </w:p>
        </w:tc>
      </w:tr>
      <w:tr w:rsidR="00164F34" w:rsidRPr="00386F2C" w:rsidTr="00164F34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Localidade do Projeto [Município(s</w:t>
            </w:r>
            <w:proofErr w:type="gramStart"/>
            <w:r w:rsidRPr="00386F2C">
              <w:rPr>
                <w:rFonts w:ascii="Arial" w:hAnsi="Arial" w:cs="Arial"/>
              </w:rPr>
              <w:t>)</w:t>
            </w:r>
            <w:proofErr w:type="gramEnd"/>
            <w:r w:rsidRPr="00386F2C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164F34" w:rsidRPr="00386F2C" w:rsidRDefault="00164F34" w:rsidP="00164F34">
            <w:pPr>
              <w:jc w:val="both"/>
              <w:rPr>
                <w:rFonts w:ascii="Arial" w:hAnsi="Arial" w:cs="Arial"/>
                <w:color w:val="FF0000"/>
              </w:rPr>
            </w:pPr>
            <w:r w:rsidRPr="00386F2C">
              <w:rPr>
                <w:rFonts w:ascii="Arial" w:hAnsi="Arial" w:cs="Arial"/>
              </w:rPr>
              <w:t xml:space="preserve">Municípios de </w:t>
            </w:r>
            <w:proofErr w:type="spellStart"/>
            <w:r w:rsidRPr="00386F2C">
              <w:rPr>
                <w:rFonts w:ascii="Arial" w:hAnsi="Arial" w:cs="Arial"/>
              </w:rPr>
              <w:t>Bacabeira</w:t>
            </w:r>
            <w:proofErr w:type="spellEnd"/>
            <w:r w:rsidRPr="00386F2C">
              <w:rPr>
                <w:rFonts w:ascii="Arial" w:hAnsi="Arial" w:cs="Arial"/>
              </w:rPr>
              <w:t xml:space="preserve">, Rosário, Presidente Juscelino, Axixá, Cachoeira Grande, Morros, Icatu, Humberto de Campos, Primeira Cruz, Santo Amaro do Maranhão, Barreirinhas, Paulino Neves, Tutóia, Água Doce do Maranhão, Santana do Maranhão, São Bernardo, Araioses e Magalhães de Almeida, Estado do Maranhão; Municípios de Buriti dos Lopes, Parnaíba, Bom Principio do Piauí, Luis Correia e Cajueiro da Praia, Estado do Piauí; Municípios de </w:t>
            </w:r>
            <w:proofErr w:type="spellStart"/>
            <w:r w:rsidRPr="00386F2C">
              <w:rPr>
                <w:rFonts w:ascii="Arial" w:hAnsi="Arial" w:cs="Arial"/>
              </w:rPr>
              <w:t>Chaval</w:t>
            </w:r>
            <w:proofErr w:type="spellEnd"/>
            <w:r w:rsidRPr="00386F2C">
              <w:rPr>
                <w:rFonts w:ascii="Arial" w:hAnsi="Arial" w:cs="Arial"/>
              </w:rPr>
              <w:t xml:space="preserve">, </w:t>
            </w:r>
            <w:proofErr w:type="spellStart"/>
            <w:r w:rsidRPr="00386F2C">
              <w:rPr>
                <w:rFonts w:ascii="Arial" w:hAnsi="Arial" w:cs="Arial"/>
              </w:rPr>
              <w:t>Barroquinha</w:t>
            </w:r>
            <w:proofErr w:type="spellEnd"/>
            <w:r w:rsidRPr="00386F2C">
              <w:rPr>
                <w:rFonts w:ascii="Arial" w:hAnsi="Arial" w:cs="Arial"/>
              </w:rPr>
              <w:t xml:space="preserve">, Camocim, Granja, Bela Cruz, Cruz, Acaraú, Marco, Senador Sá, </w:t>
            </w:r>
            <w:proofErr w:type="spellStart"/>
            <w:r w:rsidRPr="00386F2C">
              <w:rPr>
                <w:rFonts w:ascii="Arial" w:hAnsi="Arial" w:cs="Arial"/>
              </w:rPr>
              <w:t>Uruoca</w:t>
            </w:r>
            <w:proofErr w:type="spellEnd"/>
            <w:r w:rsidRPr="00386F2C">
              <w:rPr>
                <w:rFonts w:ascii="Arial" w:hAnsi="Arial" w:cs="Arial"/>
              </w:rPr>
              <w:t xml:space="preserve">, </w:t>
            </w:r>
            <w:proofErr w:type="spellStart"/>
            <w:r w:rsidRPr="00386F2C">
              <w:rPr>
                <w:rFonts w:ascii="Arial" w:hAnsi="Arial" w:cs="Arial"/>
              </w:rPr>
              <w:t>Moraújo</w:t>
            </w:r>
            <w:proofErr w:type="spellEnd"/>
            <w:r w:rsidRPr="00386F2C">
              <w:rPr>
                <w:rFonts w:ascii="Arial" w:hAnsi="Arial" w:cs="Arial"/>
              </w:rPr>
              <w:t>, Tianguá, Viçosa do Ceará, Itarema, Amontada, Itapipoca, Trairi, Paraipaba e São Gonçalo do Amarante, Estado do Ceará.</w:t>
            </w:r>
          </w:p>
        </w:tc>
      </w:tr>
    </w:tbl>
    <w:p w:rsidR="00164F34" w:rsidRPr="003F684E" w:rsidRDefault="00164F34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143"/>
        <w:gridCol w:w="3849"/>
      </w:tblGrid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12</w:t>
            </w:r>
          </w:p>
        </w:tc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386F2C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386F2C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164F34" w:rsidRPr="00386F2C" w:rsidTr="00164F34">
        <w:trPr>
          <w:trHeight w:hRule="exact" w:val="284"/>
        </w:trPr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Nome: Bruno de Rossi Chevalier.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CPF: 890.253.267-49.</w:t>
            </w:r>
          </w:p>
        </w:tc>
      </w:tr>
      <w:tr w:rsidR="00164F34" w:rsidRPr="00386F2C" w:rsidTr="00164F34">
        <w:trPr>
          <w:trHeight w:hRule="exact" w:val="284"/>
        </w:trPr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Nome: João Lucas da Costa Ribeiro.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CPF: 043.032.497-93.</w:t>
            </w:r>
          </w:p>
        </w:tc>
      </w:tr>
      <w:tr w:rsidR="00164F34" w:rsidRPr="00386F2C" w:rsidTr="00164F34">
        <w:trPr>
          <w:trHeight w:hRule="exact" w:val="284"/>
        </w:trPr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 xml:space="preserve">Nome: Marcia Abreu </w:t>
            </w:r>
            <w:proofErr w:type="spellStart"/>
            <w:r w:rsidRPr="00386F2C">
              <w:rPr>
                <w:rFonts w:ascii="Arial" w:hAnsi="Arial" w:cs="Arial"/>
              </w:rPr>
              <w:t>Tavernari</w:t>
            </w:r>
            <w:proofErr w:type="spellEnd"/>
            <w:r w:rsidRPr="00386F2C">
              <w:rPr>
                <w:rFonts w:ascii="Arial" w:hAnsi="Arial" w:cs="Arial"/>
              </w:rPr>
              <w:t>.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 xml:space="preserve">CPF: 102.529.647-80. </w:t>
            </w:r>
          </w:p>
        </w:tc>
      </w:tr>
    </w:tbl>
    <w:p w:rsidR="00164F34" w:rsidRPr="003F684E" w:rsidRDefault="00164F34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2268"/>
        <w:gridCol w:w="6804"/>
      </w:tblGrid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13</w:t>
            </w: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6F2C">
              <w:rPr>
                <w:rFonts w:ascii="Arial" w:hAnsi="Arial" w:cs="Arial"/>
                <w:bCs/>
              </w:rPr>
              <w:t>ESTIMATIVAS DOS VALORES DOS BENS E SERVIÇOS</w:t>
            </w:r>
          </w:p>
          <w:p w:rsidR="00164F34" w:rsidRPr="00386F2C" w:rsidRDefault="00164F34" w:rsidP="00164F3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6F2C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164F34" w:rsidRPr="00386F2C" w:rsidTr="00164F34">
        <w:trPr>
          <w:trHeight w:val="14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Bens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1.089.174.102,20.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</w:p>
        </w:tc>
      </w:tr>
      <w:tr w:rsidR="00164F34" w:rsidRPr="00386F2C" w:rsidTr="00164F34">
        <w:trPr>
          <w:trHeight w:val="147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Serviços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1.125.697.331,20.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</w:p>
        </w:tc>
      </w:tr>
      <w:tr w:rsidR="00164F34" w:rsidRPr="00386F2C" w:rsidTr="00164F34">
        <w:trPr>
          <w:trHeight w:val="152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Outros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154.553.980,30.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</w:p>
        </w:tc>
      </w:tr>
      <w:tr w:rsidR="00164F34" w:rsidRPr="00386F2C" w:rsidTr="00164F34">
        <w:trPr>
          <w:trHeight w:val="141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  <w:b/>
              </w:rPr>
            </w:pPr>
            <w:r w:rsidRPr="00386F2C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  <w:b/>
              </w:rPr>
            </w:pPr>
            <w:r w:rsidRPr="00386F2C">
              <w:rPr>
                <w:rFonts w:ascii="Arial" w:hAnsi="Arial" w:cs="Arial"/>
                <w:b/>
              </w:rPr>
              <w:t>2.369.425.413,70</w:t>
            </w:r>
            <w:r w:rsidRPr="00164F34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64F34" w:rsidRPr="003F684E" w:rsidRDefault="00164F34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2268"/>
        <w:gridCol w:w="6804"/>
      </w:tblGrid>
      <w:tr w:rsidR="00164F34" w:rsidRPr="00386F2C" w:rsidTr="0016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386F2C" w:rsidRDefault="00164F34" w:rsidP="00164F34">
            <w:pPr>
              <w:ind w:left="-70"/>
              <w:jc w:val="center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14</w:t>
            </w: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6F2C">
              <w:rPr>
                <w:rFonts w:ascii="Arial" w:hAnsi="Arial" w:cs="Arial"/>
                <w:bCs/>
              </w:rPr>
              <w:t>ESTIMATIVAS DOS VALORES DOS BENS E SERVIÇOS</w:t>
            </w:r>
          </w:p>
          <w:p w:rsidR="00164F34" w:rsidRPr="00386F2C" w:rsidRDefault="00164F34" w:rsidP="00164F3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6F2C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164F34" w:rsidRPr="00386F2C" w:rsidTr="00164F34">
        <w:trPr>
          <w:trHeight w:val="99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Bens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988.425.497,70.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</w:p>
        </w:tc>
      </w:tr>
      <w:tr w:rsidR="00164F34" w:rsidRPr="00386F2C" w:rsidTr="00164F34">
        <w:trPr>
          <w:trHeight w:val="232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Serviços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1.021.570.328,10.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</w:p>
        </w:tc>
      </w:tr>
      <w:tr w:rsidR="00164F34" w:rsidRPr="00386F2C" w:rsidTr="00164F34">
        <w:trPr>
          <w:trHeight w:val="9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Outros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  <w:r w:rsidRPr="00386F2C">
              <w:rPr>
                <w:rFonts w:ascii="Arial" w:hAnsi="Arial" w:cs="Arial"/>
              </w:rPr>
              <w:t>151.017.699,50.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</w:rPr>
            </w:pPr>
          </w:p>
        </w:tc>
      </w:tr>
      <w:tr w:rsidR="00164F34" w:rsidRPr="00386F2C" w:rsidTr="00164F34">
        <w:trPr>
          <w:trHeight w:val="8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rPr>
                <w:rFonts w:ascii="Arial" w:hAnsi="Arial" w:cs="Arial"/>
                <w:b/>
              </w:rPr>
            </w:pPr>
            <w:r w:rsidRPr="00386F2C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  <w:b/>
              </w:rPr>
            </w:pPr>
            <w:r w:rsidRPr="00386F2C">
              <w:rPr>
                <w:rFonts w:ascii="Arial" w:hAnsi="Arial" w:cs="Arial"/>
                <w:b/>
              </w:rPr>
              <w:t>2.161.013.525,30</w:t>
            </w:r>
            <w:r w:rsidRPr="00164F34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4" w:rsidRPr="00386F2C" w:rsidRDefault="00164F34" w:rsidP="00164F3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B2E6E" w:rsidRPr="00537E3F" w:rsidRDefault="00AB2E6E" w:rsidP="003F684E">
      <w:pPr>
        <w:pStyle w:val="Cabealho"/>
        <w:rPr>
          <w:rFonts w:ascii="Arial" w:hAnsi="Arial" w:cs="Arial"/>
          <w:sz w:val="2"/>
          <w:szCs w:val="2"/>
        </w:rPr>
      </w:pPr>
    </w:p>
    <w:sectPr w:rsidR="00AB2E6E" w:rsidRPr="00537E3F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34" w:rsidRDefault="00164F34">
      <w:r>
        <w:separator/>
      </w:r>
    </w:p>
  </w:endnote>
  <w:endnote w:type="continuationSeparator" w:id="0">
    <w:p w:rsidR="00164F34" w:rsidRDefault="0016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34" w:rsidRDefault="00164F34">
      <w:r>
        <w:separator/>
      </w:r>
    </w:p>
  </w:footnote>
  <w:footnote w:type="continuationSeparator" w:id="0">
    <w:p w:rsidR="00164F34" w:rsidRDefault="0016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34" w:rsidRDefault="00164F34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</w:t>
    </w:r>
    <w:r w:rsidR="003F684E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F684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64F34" w:rsidRPr="00A93206" w:rsidRDefault="00164F34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34" w:rsidRDefault="00164F34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F684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64F34" w:rsidRDefault="00164F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4B2E-2BCA-428D-A2A6-FC020799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1133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2016-11-10T10:04:00Z</dcterms:created>
  <dcterms:modified xsi:type="dcterms:W3CDTF">2016-11-10T10:04:00Z</dcterms:modified>
</cp:coreProperties>
</file>