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F910C8">
        <w:rPr>
          <w:rFonts w:ascii="Arial" w:hAnsi="Arial" w:cs="Arial"/>
          <w:b/>
          <w:bCs/>
          <w:color w:val="000080"/>
        </w:rPr>
        <w:t>7</w:t>
      </w:r>
      <w:r w:rsidR="00EC422E">
        <w:rPr>
          <w:rFonts w:ascii="Arial" w:hAnsi="Arial" w:cs="Arial"/>
          <w:b/>
          <w:bCs/>
          <w:color w:val="000080"/>
        </w:rPr>
        <w:t>0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F910C8">
        <w:rPr>
          <w:rFonts w:ascii="Arial" w:hAnsi="Arial" w:cs="Arial"/>
          <w:b/>
          <w:bCs/>
          <w:color w:val="000080"/>
        </w:rPr>
        <w:t>13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1C7C50">
        <w:rPr>
          <w:rFonts w:ascii="Arial" w:hAnsi="Arial" w:cs="Arial"/>
          <w:b/>
          <w:bCs/>
          <w:color w:val="000080"/>
        </w:rPr>
        <w:t xml:space="preserve">SETEMBRO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F910C8" w:rsidRPr="00904CBA" w:rsidRDefault="00F910C8" w:rsidP="00F910C8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04CBA">
        <w:rPr>
          <w:rFonts w:ascii="Arial" w:hAnsi="Arial" w:cs="Arial"/>
          <w:b/>
        </w:rPr>
        <w:t>O SECRETÁRIO DE PLANEJAMENTO E DESENVOLVIMENTO ENERGÉTICO DO MINISTÉRIO DE MINAS E ENERGIA</w:t>
      </w:r>
      <w:r w:rsidRPr="00904CBA">
        <w:rPr>
          <w:rFonts w:ascii="Arial" w:hAnsi="Arial" w:cs="Arial"/>
        </w:rPr>
        <w:t>, no uso da competência que lhe foi delegada pelo art. 1</w:t>
      </w:r>
      <w:r w:rsidRPr="00904CBA">
        <w:rPr>
          <w:rFonts w:ascii="Arial" w:hAnsi="Arial" w:cs="Arial"/>
          <w:u w:val="words"/>
          <w:vertAlign w:val="superscript"/>
        </w:rPr>
        <w:t>o</w:t>
      </w:r>
      <w:r w:rsidRPr="00904CBA">
        <w:rPr>
          <w:rFonts w:ascii="Arial" w:hAnsi="Arial" w:cs="Arial"/>
        </w:rPr>
        <w:t xml:space="preserve">, inciso I, da Portaria MME </w:t>
      </w:r>
      <w:proofErr w:type="gramStart"/>
      <w:r w:rsidRPr="00904CBA">
        <w:rPr>
          <w:rFonts w:ascii="Arial" w:hAnsi="Arial" w:cs="Arial"/>
        </w:rPr>
        <w:t>n</w:t>
      </w:r>
      <w:r w:rsidRPr="00904CBA">
        <w:rPr>
          <w:rFonts w:ascii="Arial" w:hAnsi="Arial" w:cs="Arial"/>
          <w:u w:val="words"/>
          <w:vertAlign w:val="superscript"/>
        </w:rPr>
        <w:t>o</w:t>
      </w:r>
      <w:r w:rsidRPr="00904CBA">
        <w:rPr>
          <w:rFonts w:ascii="Arial" w:hAnsi="Arial" w:cs="Arial"/>
        </w:rPr>
        <w:t xml:space="preserve"> 281</w:t>
      </w:r>
      <w:proofErr w:type="gramEnd"/>
      <w:r w:rsidRPr="00904CBA">
        <w:rPr>
          <w:rFonts w:ascii="Arial" w:hAnsi="Arial" w:cs="Arial"/>
        </w:rPr>
        <w:t>, de 29 de junho de 2016, tendo em vista o disposto no art. 6</w:t>
      </w:r>
      <w:r w:rsidRPr="00904CBA">
        <w:rPr>
          <w:rFonts w:ascii="Arial" w:hAnsi="Arial" w:cs="Arial"/>
          <w:u w:val="words"/>
          <w:vertAlign w:val="superscript"/>
        </w:rPr>
        <w:t>o</w:t>
      </w:r>
      <w:r w:rsidRPr="00904CBA">
        <w:rPr>
          <w:rFonts w:ascii="Arial" w:hAnsi="Arial" w:cs="Arial"/>
        </w:rPr>
        <w:t xml:space="preserve"> do Decreto n</w:t>
      </w:r>
      <w:r w:rsidRPr="00904CBA">
        <w:rPr>
          <w:rFonts w:ascii="Arial" w:hAnsi="Arial" w:cs="Arial"/>
          <w:u w:val="words"/>
          <w:vertAlign w:val="superscript"/>
        </w:rPr>
        <w:t>o</w:t>
      </w:r>
      <w:r w:rsidRPr="00904CBA">
        <w:rPr>
          <w:rFonts w:ascii="Arial" w:hAnsi="Arial" w:cs="Arial"/>
        </w:rPr>
        <w:t xml:space="preserve"> 6.144, de 3 de julho de 2007, no art. 2</w:t>
      </w:r>
      <w:r w:rsidRPr="00904CBA">
        <w:rPr>
          <w:rFonts w:ascii="Arial" w:hAnsi="Arial" w:cs="Arial"/>
          <w:u w:val="words"/>
          <w:vertAlign w:val="superscript"/>
        </w:rPr>
        <w:t>o</w:t>
      </w:r>
      <w:r w:rsidRPr="00904CBA">
        <w:rPr>
          <w:rFonts w:ascii="Arial" w:hAnsi="Arial" w:cs="Arial"/>
        </w:rPr>
        <w:t>, § 3</w:t>
      </w:r>
      <w:r w:rsidRPr="00904CBA">
        <w:rPr>
          <w:rFonts w:ascii="Arial" w:hAnsi="Arial" w:cs="Arial"/>
          <w:u w:val="words"/>
          <w:vertAlign w:val="superscript"/>
        </w:rPr>
        <w:t>o</w:t>
      </w:r>
      <w:r w:rsidRPr="00904CBA">
        <w:rPr>
          <w:rFonts w:ascii="Arial" w:hAnsi="Arial" w:cs="Arial"/>
        </w:rPr>
        <w:t>, da Portaria MME n</w:t>
      </w:r>
      <w:r w:rsidRPr="00904CBA">
        <w:rPr>
          <w:rFonts w:ascii="Arial" w:hAnsi="Arial" w:cs="Arial"/>
          <w:u w:val="words"/>
          <w:vertAlign w:val="superscript"/>
        </w:rPr>
        <w:t>o</w:t>
      </w:r>
      <w:r w:rsidRPr="00904CBA">
        <w:rPr>
          <w:rFonts w:ascii="Arial" w:hAnsi="Arial" w:cs="Arial"/>
        </w:rPr>
        <w:t xml:space="preserve"> 274, de 19 de agosto de 2013, e o que consta do Processo n</w:t>
      </w:r>
      <w:r w:rsidRPr="00904CBA">
        <w:rPr>
          <w:rFonts w:ascii="Arial" w:hAnsi="Arial" w:cs="Arial"/>
          <w:u w:val="words"/>
          <w:vertAlign w:val="superscript"/>
        </w:rPr>
        <w:t>o</w:t>
      </w:r>
      <w:r w:rsidRPr="00904CBA">
        <w:rPr>
          <w:rFonts w:ascii="Arial" w:hAnsi="Arial" w:cs="Arial"/>
        </w:rPr>
        <w:t xml:space="preserve"> </w:t>
      </w:r>
      <w:r w:rsidRPr="00904CBA">
        <w:rPr>
          <w:rFonts w:ascii="Arial" w:hAnsi="Arial" w:cs="Arial"/>
          <w:bCs/>
          <w:noProof/>
        </w:rPr>
        <w:t>48500.003507/2016-86</w:t>
      </w:r>
      <w:r w:rsidRPr="00904CBA">
        <w:rPr>
          <w:rFonts w:ascii="Arial" w:hAnsi="Arial" w:cs="Arial"/>
        </w:rPr>
        <w:t>, resolve:</w:t>
      </w:r>
    </w:p>
    <w:p w:rsidR="00F910C8" w:rsidRPr="00904CBA" w:rsidRDefault="00F910C8" w:rsidP="00F910C8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</w:rPr>
      </w:pPr>
    </w:p>
    <w:p w:rsidR="00F910C8" w:rsidRPr="00904CBA" w:rsidRDefault="00F910C8" w:rsidP="00F910C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04CBA">
        <w:rPr>
          <w:rFonts w:ascii="Arial" w:hAnsi="Arial" w:cs="Arial"/>
          <w:color w:val="000000"/>
        </w:rPr>
        <w:t>Art. 1</w:t>
      </w:r>
      <w:r w:rsidRPr="00904CBA">
        <w:rPr>
          <w:rFonts w:ascii="Arial" w:hAnsi="Arial" w:cs="Arial"/>
          <w:color w:val="000000"/>
          <w:u w:val="words"/>
          <w:vertAlign w:val="superscript"/>
        </w:rPr>
        <w:t>o</w:t>
      </w:r>
      <w:r w:rsidRPr="00904CBA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transmissão de energia elétrica, correspondente ao Lote </w:t>
      </w:r>
      <w:r w:rsidRPr="00904CBA">
        <w:rPr>
          <w:rFonts w:ascii="Arial" w:hAnsi="Arial" w:cs="Arial"/>
          <w:noProof/>
          <w:color w:val="000000"/>
        </w:rPr>
        <w:t>A</w:t>
      </w:r>
      <w:r w:rsidRPr="00904CBA">
        <w:rPr>
          <w:rFonts w:ascii="Arial" w:hAnsi="Arial" w:cs="Arial"/>
          <w:color w:val="000000"/>
        </w:rPr>
        <w:t xml:space="preserve"> do Leilão n</w:t>
      </w:r>
      <w:r w:rsidRPr="00904CBA">
        <w:rPr>
          <w:rFonts w:ascii="Arial" w:hAnsi="Arial" w:cs="Arial"/>
          <w:color w:val="000000"/>
          <w:u w:val="words"/>
          <w:vertAlign w:val="superscript"/>
        </w:rPr>
        <w:t>o</w:t>
      </w:r>
      <w:r w:rsidRPr="00904CBA">
        <w:rPr>
          <w:rFonts w:ascii="Arial" w:hAnsi="Arial" w:cs="Arial"/>
          <w:color w:val="000000"/>
        </w:rPr>
        <w:t xml:space="preserve"> </w:t>
      </w:r>
      <w:r w:rsidRPr="00904CBA">
        <w:rPr>
          <w:rFonts w:ascii="Arial" w:hAnsi="Arial" w:cs="Arial"/>
          <w:noProof/>
          <w:color w:val="000000"/>
        </w:rPr>
        <w:t>05/2015</w:t>
      </w:r>
      <w:r w:rsidRPr="00904CBA">
        <w:rPr>
          <w:rFonts w:ascii="Arial" w:hAnsi="Arial" w:cs="Arial"/>
          <w:color w:val="000000"/>
        </w:rPr>
        <w:t xml:space="preserve">-ANEEL, de titularidade da empresa </w:t>
      </w:r>
      <w:r w:rsidRPr="00904CBA">
        <w:rPr>
          <w:rFonts w:ascii="Arial" w:hAnsi="Arial" w:cs="Arial"/>
          <w:noProof/>
          <w:color w:val="000000"/>
        </w:rPr>
        <w:t>Mantiqueira Transmissora de Energia S.A.</w:t>
      </w:r>
      <w:r w:rsidRPr="00904CBA">
        <w:rPr>
          <w:rFonts w:ascii="Arial" w:hAnsi="Arial" w:cs="Arial"/>
          <w:color w:val="000000"/>
        </w:rPr>
        <w:t>, inscrita no CNPJ/MF sob o n</w:t>
      </w:r>
      <w:r w:rsidRPr="00904CBA">
        <w:rPr>
          <w:rFonts w:ascii="Arial" w:hAnsi="Arial" w:cs="Arial"/>
          <w:color w:val="000000"/>
          <w:u w:val="words"/>
          <w:vertAlign w:val="superscript"/>
        </w:rPr>
        <w:t>o</w:t>
      </w:r>
      <w:r w:rsidRPr="00904CBA">
        <w:rPr>
          <w:rFonts w:ascii="Arial" w:hAnsi="Arial" w:cs="Arial"/>
          <w:color w:val="000000"/>
        </w:rPr>
        <w:t> </w:t>
      </w:r>
      <w:r w:rsidRPr="00904CBA">
        <w:rPr>
          <w:rFonts w:ascii="Arial" w:hAnsi="Arial" w:cs="Arial"/>
          <w:noProof/>
          <w:color w:val="000000"/>
        </w:rPr>
        <w:t>24.176.892/0001-44</w:t>
      </w:r>
      <w:r w:rsidRPr="00904CBA">
        <w:rPr>
          <w:rFonts w:ascii="Arial" w:hAnsi="Arial" w:cs="Arial"/>
          <w:color w:val="000000"/>
        </w:rPr>
        <w:t xml:space="preserve">, detalhado no Anexo </w:t>
      </w:r>
      <w:proofErr w:type="gramStart"/>
      <w:r w:rsidRPr="00904CBA">
        <w:rPr>
          <w:rFonts w:ascii="Arial" w:hAnsi="Arial" w:cs="Arial"/>
          <w:color w:val="000000"/>
        </w:rPr>
        <w:t>à</w:t>
      </w:r>
      <w:proofErr w:type="gramEnd"/>
      <w:r w:rsidRPr="00904CBA">
        <w:rPr>
          <w:rFonts w:ascii="Arial" w:hAnsi="Arial" w:cs="Arial"/>
          <w:color w:val="000000"/>
        </w:rPr>
        <w:t xml:space="preserve"> presente Portaria.</w:t>
      </w:r>
    </w:p>
    <w:p w:rsidR="00F910C8" w:rsidRPr="00904CBA" w:rsidRDefault="00F910C8" w:rsidP="00F910C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910C8" w:rsidRPr="00904CBA" w:rsidRDefault="00F910C8" w:rsidP="00F910C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04CBA">
        <w:rPr>
          <w:rFonts w:ascii="Arial" w:hAnsi="Arial" w:cs="Arial"/>
          <w:color w:val="000000"/>
        </w:rPr>
        <w:t xml:space="preserve">Parágrafo único. O projeto de que trata o </w:t>
      </w:r>
      <w:r w:rsidRPr="00904CBA">
        <w:rPr>
          <w:rFonts w:ascii="Arial" w:hAnsi="Arial" w:cs="Arial"/>
          <w:b/>
          <w:color w:val="000000"/>
        </w:rPr>
        <w:t>caput</w:t>
      </w:r>
      <w:r w:rsidRPr="00904CBA">
        <w:rPr>
          <w:rFonts w:ascii="Arial" w:hAnsi="Arial" w:cs="Arial"/>
          <w:color w:val="000000"/>
        </w:rPr>
        <w:t xml:space="preserve">, objeto do </w:t>
      </w:r>
      <w:r w:rsidRPr="00904CBA">
        <w:rPr>
          <w:rFonts w:ascii="Arial" w:hAnsi="Arial" w:cs="Arial"/>
          <w:noProof/>
        </w:rPr>
        <w:t>Contrato de Concessão n</w:t>
      </w:r>
      <w:r w:rsidRPr="00904CBA">
        <w:rPr>
          <w:rFonts w:ascii="Arial" w:hAnsi="Arial" w:cs="Arial"/>
          <w:strike/>
          <w:noProof/>
        </w:rPr>
        <w:t>º</w:t>
      </w:r>
      <w:r w:rsidRPr="00904CBA">
        <w:rPr>
          <w:rFonts w:ascii="Arial" w:hAnsi="Arial" w:cs="Arial"/>
          <w:noProof/>
        </w:rPr>
        <w:t xml:space="preserve"> 05/2016-ANEEL, celebrado em 3 de junho de 2016</w:t>
      </w:r>
      <w:r w:rsidRPr="00904CBA">
        <w:rPr>
          <w:rFonts w:ascii="Arial" w:hAnsi="Arial" w:cs="Arial"/>
          <w:color w:val="000000"/>
        </w:rPr>
        <w:t xml:space="preserve">, é alcançado pelo art. </w:t>
      </w:r>
      <w:r w:rsidRPr="00904CBA">
        <w:rPr>
          <w:rFonts w:ascii="Arial" w:hAnsi="Arial" w:cs="Arial"/>
        </w:rPr>
        <w:t>4</w:t>
      </w:r>
      <w:r w:rsidRPr="00904CBA">
        <w:rPr>
          <w:rFonts w:ascii="Arial" w:hAnsi="Arial" w:cs="Arial"/>
          <w:color w:val="000000"/>
          <w:u w:val="words"/>
          <w:vertAlign w:val="superscript"/>
        </w:rPr>
        <w:t>o</w:t>
      </w:r>
      <w:r w:rsidRPr="00904CBA">
        <w:rPr>
          <w:rFonts w:ascii="Arial" w:hAnsi="Arial" w:cs="Arial"/>
          <w:color w:val="000000"/>
        </w:rPr>
        <w:t xml:space="preserve">, inciso II, da Portaria MME </w:t>
      </w:r>
      <w:proofErr w:type="gramStart"/>
      <w:r w:rsidRPr="00904CBA">
        <w:rPr>
          <w:rFonts w:ascii="Arial" w:hAnsi="Arial" w:cs="Arial"/>
          <w:color w:val="000000"/>
        </w:rPr>
        <w:t>n</w:t>
      </w:r>
      <w:r w:rsidRPr="00904CBA">
        <w:rPr>
          <w:rFonts w:ascii="Arial" w:hAnsi="Arial" w:cs="Arial"/>
          <w:color w:val="000000"/>
          <w:u w:val="words"/>
          <w:vertAlign w:val="superscript"/>
        </w:rPr>
        <w:t>o</w:t>
      </w:r>
      <w:r w:rsidRPr="00904CBA">
        <w:rPr>
          <w:rFonts w:ascii="Arial" w:hAnsi="Arial" w:cs="Arial"/>
          <w:color w:val="000000"/>
        </w:rPr>
        <w:t xml:space="preserve"> 274</w:t>
      </w:r>
      <w:proofErr w:type="gramEnd"/>
      <w:r w:rsidRPr="00904CBA">
        <w:rPr>
          <w:rFonts w:ascii="Arial" w:hAnsi="Arial" w:cs="Arial"/>
          <w:color w:val="000000"/>
        </w:rPr>
        <w:t>, de 19 de agosto de 2013.</w:t>
      </w:r>
    </w:p>
    <w:p w:rsidR="00F910C8" w:rsidRPr="00904CBA" w:rsidRDefault="00F910C8" w:rsidP="00F910C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910C8" w:rsidRPr="00904CBA" w:rsidRDefault="00F910C8" w:rsidP="00F910C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04CBA">
        <w:rPr>
          <w:rFonts w:ascii="Arial" w:hAnsi="Arial" w:cs="Arial"/>
          <w:color w:val="000000"/>
        </w:rPr>
        <w:t>Art. 2</w:t>
      </w:r>
      <w:r w:rsidRPr="00904CBA">
        <w:rPr>
          <w:rFonts w:ascii="Arial" w:hAnsi="Arial" w:cs="Arial"/>
          <w:color w:val="000000"/>
          <w:u w:val="words"/>
          <w:vertAlign w:val="superscript"/>
        </w:rPr>
        <w:t>o</w:t>
      </w:r>
      <w:r w:rsidRPr="00904CBA">
        <w:rPr>
          <w:rFonts w:ascii="Arial" w:hAnsi="Arial" w:cs="Arial"/>
          <w:color w:val="000000"/>
        </w:rPr>
        <w:t xml:space="preserve"> As estimativas dos investimentos têm por base o mês de </w:t>
      </w:r>
      <w:r w:rsidRPr="00904CBA">
        <w:rPr>
          <w:rFonts w:ascii="Arial" w:hAnsi="Arial" w:cs="Arial"/>
          <w:noProof/>
          <w:color w:val="000000"/>
        </w:rPr>
        <w:t>junho de 2016</w:t>
      </w:r>
      <w:r w:rsidRPr="00904CBA">
        <w:rPr>
          <w:rFonts w:ascii="Arial" w:hAnsi="Arial" w:cs="Arial"/>
          <w:color w:val="000000"/>
        </w:rPr>
        <w:t xml:space="preserve"> e são de exclusiva responsabilidade da </w:t>
      </w:r>
      <w:r w:rsidRPr="00904CBA">
        <w:rPr>
          <w:rFonts w:ascii="Arial" w:hAnsi="Arial" w:cs="Arial"/>
          <w:noProof/>
          <w:color w:val="000000"/>
        </w:rPr>
        <w:t>Mantiqueira Transmissora de Energia S.A.</w:t>
      </w:r>
      <w:r w:rsidRPr="00904CBA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F910C8" w:rsidRPr="00904CBA" w:rsidRDefault="00F910C8" w:rsidP="00F910C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910C8" w:rsidRPr="00904CBA" w:rsidRDefault="00F910C8" w:rsidP="00F910C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04CBA">
        <w:rPr>
          <w:rFonts w:ascii="Arial" w:hAnsi="Arial" w:cs="Arial"/>
          <w:color w:val="000000"/>
        </w:rPr>
        <w:t>Art. 3</w:t>
      </w:r>
      <w:r w:rsidRPr="00904CBA">
        <w:rPr>
          <w:rFonts w:ascii="Arial" w:hAnsi="Arial" w:cs="Arial"/>
          <w:color w:val="000000"/>
          <w:u w:val="words"/>
          <w:vertAlign w:val="superscript"/>
        </w:rPr>
        <w:t>o</w:t>
      </w:r>
      <w:r w:rsidRPr="00904CBA">
        <w:rPr>
          <w:rFonts w:ascii="Arial" w:hAnsi="Arial" w:cs="Arial"/>
          <w:color w:val="000000"/>
        </w:rPr>
        <w:t xml:space="preserve"> A </w:t>
      </w:r>
      <w:r w:rsidRPr="00904CBA">
        <w:rPr>
          <w:rFonts w:ascii="Arial" w:hAnsi="Arial" w:cs="Arial"/>
          <w:noProof/>
          <w:color w:val="000000"/>
        </w:rPr>
        <w:t>Mantiqueira Transmissora de Energia S.A.</w:t>
      </w:r>
      <w:r w:rsidRPr="00904CBA">
        <w:rPr>
          <w:rFonts w:ascii="Arial" w:hAnsi="Arial" w:cs="Arial"/>
        </w:rPr>
        <w:t xml:space="preserve"> </w:t>
      </w:r>
      <w:r w:rsidRPr="00904CBA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F910C8" w:rsidRPr="00904CBA" w:rsidRDefault="00F910C8" w:rsidP="00F910C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910C8" w:rsidRPr="00904CBA" w:rsidRDefault="00F910C8" w:rsidP="00F910C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04CBA">
        <w:rPr>
          <w:rFonts w:ascii="Arial" w:hAnsi="Arial" w:cs="Arial"/>
          <w:color w:val="000000"/>
        </w:rPr>
        <w:t>Art. 4</w:t>
      </w:r>
      <w:r w:rsidRPr="00904CBA">
        <w:rPr>
          <w:rFonts w:ascii="Arial" w:hAnsi="Arial" w:cs="Arial"/>
          <w:color w:val="000000"/>
          <w:u w:val="words"/>
          <w:vertAlign w:val="superscript"/>
        </w:rPr>
        <w:t>o</w:t>
      </w:r>
      <w:r w:rsidRPr="00904CBA">
        <w:rPr>
          <w:rFonts w:ascii="Arial" w:hAnsi="Arial" w:cs="Arial"/>
          <w:color w:val="000000"/>
        </w:rPr>
        <w:t xml:space="preserve"> Alterações técnicas ou de titularidade do projeto</w:t>
      </w:r>
      <w:r w:rsidRPr="00904CBA">
        <w:rPr>
          <w:rFonts w:ascii="Arial" w:hAnsi="Arial" w:cs="Arial"/>
          <w:color w:val="FF0000"/>
        </w:rPr>
        <w:t xml:space="preserve"> </w:t>
      </w:r>
      <w:r w:rsidRPr="00904CBA">
        <w:rPr>
          <w:rFonts w:ascii="Arial" w:hAnsi="Arial" w:cs="Arial"/>
        </w:rPr>
        <w:t>de que trata esta Portaria</w:t>
      </w:r>
      <w:r w:rsidRPr="00904CBA">
        <w:rPr>
          <w:rFonts w:ascii="Arial" w:hAnsi="Arial" w:cs="Arial"/>
          <w:color w:val="000000"/>
        </w:rPr>
        <w:t>, autorizadas pela ANEEL ou pelo Ministério de Minas e Energia, não ensejarão a publicação de nova Portaria de enquadramento no REIDI.</w:t>
      </w:r>
    </w:p>
    <w:p w:rsidR="00F910C8" w:rsidRPr="00904CBA" w:rsidRDefault="00F910C8" w:rsidP="00F910C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910C8" w:rsidRPr="00904CBA" w:rsidRDefault="00F910C8" w:rsidP="00F910C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04CBA">
        <w:rPr>
          <w:rFonts w:ascii="Arial" w:hAnsi="Arial" w:cs="Arial"/>
          <w:color w:val="000000"/>
        </w:rPr>
        <w:t>Art. 5</w:t>
      </w:r>
      <w:r w:rsidRPr="00904CBA">
        <w:rPr>
          <w:rFonts w:ascii="Arial" w:hAnsi="Arial" w:cs="Arial"/>
          <w:color w:val="000000"/>
          <w:u w:val="words"/>
          <w:vertAlign w:val="superscript"/>
        </w:rPr>
        <w:t>o</w:t>
      </w:r>
      <w:r w:rsidRPr="00904CBA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F910C8" w:rsidRPr="00904CBA" w:rsidRDefault="00F910C8" w:rsidP="00F910C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910C8" w:rsidRPr="00904CBA" w:rsidRDefault="00F910C8" w:rsidP="00F910C8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  <w:r w:rsidRPr="00904CBA">
        <w:rPr>
          <w:rFonts w:ascii="Arial" w:hAnsi="Arial" w:cs="Arial"/>
          <w:color w:val="000000"/>
        </w:rPr>
        <w:t>Art. 6</w:t>
      </w:r>
      <w:r w:rsidRPr="00904CBA">
        <w:rPr>
          <w:rFonts w:ascii="Arial" w:hAnsi="Arial" w:cs="Arial"/>
          <w:color w:val="000000"/>
          <w:u w:val="single"/>
          <w:vertAlign w:val="superscript"/>
        </w:rPr>
        <w:t>o</w:t>
      </w:r>
      <w:r w:rsidRPr="00904CBA">
        <w:rPr>
          <w:rFonts w:ascii="Arial" w:hAnsi="Arial" w:cs="Arial"/>
          <w:color w:val="000000"/>
        </w:rPr>
        <w:t xml:space="preserve"> A </w:t>
      </w:r>
      <w:r w:rsidRPr="00904CBA">
        <w:rPr>
          <w:rFonts w:ascii="Arial" w:hAnsi="Arial" w:cs="Arial"/>
          <w:noProof/>
          <w:color w:val="000000"/>
        </w:rPr>
        <w:t xml:space="preserve">Mantiqueira Transmissora de Energia S.A. </w:t>
      </w:r>
      <w:r w:rsidRPr="00904CBA">
        <w:rPr>
          <w:rFonts w:ascii="Arial" w:hAnsi="Arial" w:cs="Arial"/>
          <w:color w:val="000000"/>
        </w:rPr>
        <w:t>deverá observar, no que couber, as disposições constantes na Lei n</w:t>
      </w:r>
      <w:r w:rsidRPr="00904CBA">
        <w:rPr>
          <w:rFonts w:ascii="Arial" w:hAnsi="Arial" w:cs="Arial"/>
          <w:color w:val="000000"/>
          <w:u w:val="single"/>
          <w:vertAlign w:val="superscript"/>
        </w:rPr>
        <w:t>o</w:t>
      </w:r>
      <w:r w:rsidRPr="00904CBA">
        <w:rPr>
          <w:rFonts w:ascii="Arial" w:hAnsi="Arial" w:cs="Arial"/>
          <w:color w:val="000000"/>
        </w:rPr>
        <w:t xml:space="preserve"> 11.488, de 15 de junho de 2007, no Decreto n</w:t>
      </w:r>
      <w:r w:rsidRPr="00904CBA">
        <w:rPr>
          <w:rFonts w:ascii="Arial" w:hAnsi="Arial" w:cs="Arial"/>
          <w:color w:val="000000"/>
          <w:u w:val="words"/>
          <w:vertAlign w:val="superscript"/>
        </w:rPr>
        <w:t>o</w:t>
      </w:r>
      <w:r w:rsidRPr="00904CBA">
        <w:rPr>
          <w:rFonts w:ascii="Arial" w:hAnsi="Arial" w:cs="Arial"/>
          <w:color w:val="000000"/>
        </w:rPr>
        <w:t xml:space="preserve"> 6.144, de </w:t>
      </w:r>
      <w:proofErr w:type="gramStart"/>
      <w:r w:rsidRPr="00904CBA">
        <w:rPr>
          <w:rFonts w:ascii="Arial" w:hAnsi="Arial" w:cs="Arial"/>
          <w:color w:val="000000"/>
        </w:rPr>
        <w:t>3</w:t>
      </w:r>
      <w:proofErr w:type="gramEnd"/>
      <w:r w:rsidRPr="00904CBA">
        <w:rPr>
          <w:rFonts w:ascii="Arial" w:hAnsi="Arial" w:cs="Arial"/>
          <w:color w:val="000000"/>
        </w:rPr>
        <w:t xml:space="preserve"> de julho de 2007, na Portaria MME </w:t>
      </w:r>
      <w:r w:rsidRPr="00904CBA">
        <w:rPr>
          <w:rFonts w:ascii="Arial" w:hAnsi="Arial" w:cs="Arial"/>
        </w:rPr>
        <w:t>n</w:t>
      </w:r>
      <w:r w:rsidRPr="00904CBA">
        <w:rPr>
          <w:rFonts w:ascii="Arial" w:hAnsi="Arial" w:cs="Arial"/>
          <w:u w:val="words"/>
          <w:vertAlign w:val="superscript"/>
        </w:rPr>
        <w:t>o</w:t>
      </w:r>
      <w:r w:rsidRPr="00904CBA">
        <w:rPr>
          <w:rFonts w:ascii="Arial" w:hAnsi="Arial" w:cs="Arial"/>
        </w:rPr>
        <w:t xml:space="preserve"> 274, de 2013</w:t>
      </w:r>
      <w:r w:rsidRPr="00904CBA">
        <w:rPr>
          <w:rFonts w:ascii="Arial" w:hAnsi="Arial" w:cs="Arial"/>
          <w:color w:val="000000"/>
        </w:rPr>
        <w:t xml:space="preserve">, e na legislação e normas vigentes e supervenientes, sujeitando-se às penalidades legais, inclusive aquelas previstas nos </w:t>
      </w:r>
      <w:proofErr w:type="spellStart"/>
      <w:r w:rsidRPr="00904CBA">
        <w:rPr>
          <w:rFonts w:ascii="Arial" w:hAnsi="Arial" w:cs="Arial"/>
          <w:color w:val="000000"/>
        </w:rPr>
        <w:t>arts</w:t>
      </w:r>
      <w:proofErr w:type="spellEnd"/>
      <w:r w:rsidRPr="00904CBA">
        <w:rPr>
          <w:rFonts w:ascii="Arial" w:hAnsi="Arial" w:cs="Arial"/>
          <w:color w:val="000000"/>
        </w:rPr>
        <w:t>.  9</w:t>
      </w:r>
      <w:r w:rsidRPr="00904CBA">
        <w:rPr>
          <w:rFonts w:ascii="Arial" w:hAnsi="Arial" w:cs="Arial"/>
          <w:color w:val="000000"/>
          <w:u w:val="single"/>
          <w:vertAlign w:val="superscript"/>
        </w:rPr>
        <w:t>o</w:t>
      </w:r>
      <w:r w:rsidRPr="00904CBA">
        <w:rPr>
          <w:rFonts w:ascii="Arial" w:hAnsi="Arial" w:cs="Arial"/>
          <w:color w:val="000000"/>
        </w:rPr>
        <w:t xml:space="preserve"> e 14, do Decreto n</w:t>
      </w:r>
      <w:r w:rsidRPr="00904CBA">
        <w:rPr>
          <w:rFonts w:ascii="Arial" w:hAnsi="Arial" w:cs="Arial"/>
          <w:color w:val="000000"/>
          <w:u w:val="single"/>
          <w:vertAlign w:val="superscript"/>
        </w:rPr>
        <w:t>o</w:t>
      </w:r>
      <w:r w:rsidRPr="00904CBA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F910C8" w:rsidRPr="00904CBA" w:rsidRDefault="00F910C8" w:rsidP="00F910C8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910C8" w:rsidRPr="00904CBA" w:rsidRDefault="00F910C8" w:rsidP="00F910C8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04CBA">
        <w:rPr>
          <w:rFonts w:ascii="Arial" w:hAnsi="Arial" w:cs="Arial"/>
          <w:color w:val="000000"/>
        </w:rPr>
        <w:t>Art. 7</w:t>
      </w:r>
      <w:r w:rsidRPr="00904CBA">
        <w:rPr>
          <w:rFonts w:ascii="Arial" w:hAnsi="Arial" w:cs="Arial"/>
          <w:color w:val="000000"/>
          <w:u w:val="words"/>
          <w:vertAlign w:val="superscript"/>
        </w:rPr>
        <w:t>o</w:t>
      </w:r>
      <w:r w:rsidRPr="00904CBA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E02BED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3B6810" w:rsidRPr="00904CBA" w:rsidRDefault="003B6810" w:rsidP="003B6810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04CBA">
        <w:rPr>
          <w:rFonts w:ascii="Arial" w:hAnsi="Arial" w:cs="Arial"/>
          <w:b/>
          <w:bCs/>
        </w:rPr>
        <w:t>EDUARDO AZEVEDO RODRIGUES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F910C8">
        <w:rPr>
          <w:rFonts w:ascii="Arial" w:hAnsi="Arial" w:cs="Arial"/>
          <w:color w:val="FF0000"/>
        </w:rPr>
        <w:t>14</w:t>
      </w:r>
      <w:r w:rsidRPr="000E3164">
        <w:rPr>
          <w:rFonts w:ascii="Arial" w:hAnsi="Arial" w:cs="Arial"/>
          <w:color w:val="FF0000"/>
        </w:rPr>
        <w:t>.</w:t>
      </w:r>
      <w:r w:rsidR="005812B0">
        <w:rPr>
          <w:rFonts w:ascii="Arial" w:hAnsi="Arial" w:cs="Arial"/>
          <w:color w:val="FF0000"/>
        </w:rPr>
        <w:t>9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Pr="00904CBA" w:rsidRDefault="00F910C8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04CBA">
        <w:rPr>
          <w:rFonts w:ascii="Arial" w:hAnsi="Arial" w:cs="Arial"/>
          <w:b/>
          <w:color w:val="000000"/>
        </w:rPr>
        <w:lastRenderedPageBreak/>
        <w:t>ANEXO</w:t>
      </w:r>
    </w:p>
    <w:p w:rsidR="00F910C8" w:rsidRPr="003B6810" w:rsidRDefault="00F910C8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F910C8" w:rsidRPr="00904CBA" w:rsidTr="00F910C8">
        <w:trPr>
          <w:trHeight w:val="36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8" w:rsidRPr="00904CBA" w:rsidRDefault="00F910C8" w:rsidP="00D013C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904CBA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B95054" w:rsidRPr="00B95054" w:rsidRDefault="00B95054">
      <w:pPr>
        <w:rPr>
          <w:sz w:val="12"/>
          <w:szCs w:val="12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910C8" w:rsidRPr="00904CBA" w:rsidTr="00F910C8">
        <w:tc>
          <w:tcPr>
            <w:tcW w:w="10206" w:type="dxa"/>
            <w:vAlign w:val="center"/>
          </w:tcPr>
          <w:p w:rsidR="00F910C8" w:rsidRPr="00904CBA" w:rsidRDefault="00F910C8" w:rsidP="00D013C9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904CBA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B95054" w:rsidRPr="00B95054" w:rsidRDefault="00B95054">
      <w:pPr>
        <w:rPr>
          <w:sz w:val="12"/>
          <w:szCs w:val="12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3968"/>
        <w:gridCol w:w="421"/>
        <w:gridCol w:w="2411"/>
        <w:gridCol w:w="425"/>
        <w:gridCol w:w="2551"/>
      </w:tblGrid>
      <w:tr w:rsidR="00F910C8" w:rsidRPr="00904CBA" w:rsidTr="00F910C8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0C8" w:rsidRPr="00904CBA" w:rsidRDefault="00F910C8" w:rsidP="00D013C9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904CBA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F910C8" w:rsidRPr="00904CBA" w:rsidTr="00F910C8">
        <w:trPr>
          <w:trHeight w:val="22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8" w:rsidRPr="00904CBA" w:rsidRDefault="00F910C8" w:rsidP="00D013C9">
            <w:pPr>
              <w:ind w:left="-70"/>
              <w:jc w:val="center"/>
              <w:rPr>
                <w:rFonts w:ascii="Arial" w:hAnsi="Arial" w:cs="Arial"/>
              </w:rPr>
            </w:pPr>
            <w:r w:rsidRPr="00904CBA">
              <w:rPr>
                <w:rFonts w:ascii="Arial" w:hAnsi="Arial" w:cs="Arial"/>
              </w:rPr>
              <w:t>01</w:t>
            </w:r>
          </w:p>
        </w:tc>
        <w:tc>
          <w:tcPr>
            <w:tcW w:w="68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10C8" w:rsidRPr="00904CBA" w:rsidRDefault="00F910C8" w:rsidP="00D013C9">
            <w:pPr>
              <w:jc w:val="both"/>
              <w:rPr>
                <w:rFonts w:ascii="Arial" w:hAnsi="Arial" w:cs="Arial"/>
              </w:rPr>
            </w:pPr>
            <w:r w:rsidRPr="00904CBA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8" w:rsidRPr="00904CBA" w:rsidRDefault="00F910C8" w:rsidP="00D013C9">
            <w:pPr>
              <w:ind w:left="-70"/>
              <w:jc w:val="center"/>
              <w:rPr>
                <w:rFonts w:ascii="Arial" w:hAnsi="Arial" w:cs="Arial"/>
              </w:rPr>
            </w:pPr>
            <w:r w:rsidRPr="00904CBA">
              <w:rPr>
                <w:rFonts w:ascii="Arial" w:hAnsi="Arial" w:cs="Arial"/>
              </w:rPr>
              <w:t>02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10C8" w:rsidRPr="00904CBA" w:rsidRDefault="00F910C8" w:rsidP="00D013C9">
            <w:pPr>
              <w:jc w:val="both"/>
              <w:rPr>
                <w:rFonts w:ascii="Arial" w:hAnsi="Arial" w:cs="Arial"/>
              </w:rPr>
            </w:pPr>
            <w:r w:rsidRPr="00904CBA">
              <w:rPr>
                <w:rFonts w:ascii="Arial" w:hAnsi="Arial" w:cs="Arial"/>
              </w:rPr>
              <w:t xml:space="preserve">CNPJ      </w:t>
            </w:r>
          </w:p>
        </w:tc>
      </w:tr>
      <w:tr w:rsidR="00F910C8" w:rsidRPr="00904CBA" w:rsidTr="00F910C8">
        <w:trPr>
          <w:trHeight w:val="22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10C8" w:rsidRPr="00904CBA" w:rsidRDefault="00F910C8" w:rsidP="00D013C9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0C8" w:rsidRPr="00904CBA" w:rsidRDefault="00F910C8" w:rsidP="00D013C9">
            <w:pPr>
              <w:jc w:val="both"/>
              <w:rPr>
                <w:rFonts w:ascii="Arial" w:hAnsi="Arial" w:cs="Arial"/>
              </w:rPr>
            </w:pPr>
            <w:r w:rsidRPr="00904CBA">
              <w:rPr>
                <w:rFonts w:ascii="Arial" w:hAnsi="Arial" w:cs="Arial"/>
                <w:noProof/>
              </w:rPr>
              <w:t>Mantiqueira Transmissora de Energia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910C8" w:rsidRPr="00904CBA" w:rsidRDefault="00F910C8" w:rsidP="00D013C9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0C8" w:rsidRPr="00904CBA" w:rsidRDefault="00F910C8" w:rsidP="00D013C9">
            <w:pPr>
              <w:jc w:val="both"/>
              <w:rPr>
                <w:rFonts w:ascii="Arial" w:hAnsi="Arial" w:cs="Arial"/>
              </w:rPr>
            </w:pPr>
            <w:r w:rsidRPr="00904CBA">
              <w:rPr>
                <w:rFonts w:ascii="Arial" w:hAnsi="Arial" w:cs="Arial"/>
                <w:noProof/>
                <w:color w:val="000000"/>
              </w:rPr>
              <w:t>24.176.892/0001-44</w:t>
            </w:r>
          </w:p>
        </w:tc>
      </w:tr>
      <w:tr w:rsidR="00F910C8" w:rsidRPr="00904CBA" w:rsidTr="00F910C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8" w:rsidRPr="00904CBA" w:rsidRDefault="00F910C8" w:rsidP="00D013C9">
            <w:pPr>
              <w:ind w:left="-70"/>
              <w:jc w:val="center"/>
              <w:rPr>
                <w:rFonts w:ascii="Arial" w:hAnsi="Arial" w:cs="Arial"/>
              </w:rPr>
            </w:pPr>
            <w:r w:rsidRPr="00904CBA">
              <w:rPr>
                <w:rFonts w:ascii="Arial" w:hAnsi="Arial" w:cs="Arial"/>
              </w:rPr>
              <w:t>03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10C8" w:rsidRPr="00904CBA" w:rsidRDefault="00F910C8" w:rsidP="00D013C9">
            <w:pPr>
              <w:jc w:val="both"/>
              <w:rPr>
                <w:rFonts w:ascii="Arial" w:hAnsi="Arial" w:cs="Arial"/>
              </w:rPr>
            </w:pPr>
            <w:r w:rsidRPr="00904CBA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8" w:rsidRPr="00904CBA" w:rsidRDefault="00F910C8" w:rsidP="00D013C9">
            <w:pPr>
              <w:ind w:left="-70"/>
              <w:jc w:val="center"/>
              <w:rPr>
                <w:rFonts w:ascii="Arial" w:hAnsi="Arial" w:cs="Arial"/>
              </w:rPr>
            </w:pPr>
            <w:r w:rsidRPr="00904CBA">
              <w:rPr>
                <w:rFonts w:ascii="Arial" w:hAnsi="Arial" w:cs="Arial"/>
              </w:rPr>
              <w:t>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10C8" w:rsidRPr="00904CBA" w:rsidRDefault="00F910C8" w:rsidP="00D013C9">
            <w:pPr>
              <w:jc w:val="both"/>
              <w:rPr>
                <w:rFonts w:ascii="Arial" w:hAnsi="Arial" w:cs="Arial"/>
              </w:rPr>
            </w:pPr>
            <w:r w:rsidRPr="00904CBA">
              <w:rPr>
                <w:rFonts w:ascii="Arial" w:hAnsi="Arial" w:cs="Arial"/>
              </w:rPr>
              <w:t>Número</w:t>
            </w:r>
          </w:p>
        </w:tc>
      </w:tr>
      <w:tr w:rsidR="00F910C8" w:rsidRPr="00904CBA" w:rsidTr="00F910C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10C8" w:rsidRPr="00904CBA" w:rsidRDefault="00F910C8" w:rsidP="00D013C9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10C8" w:rsidRPr="00904CBA" w:rsidRDefault="00F910C8" w:rsidP="00D013C9">
            <w:pPr>
              <w:jc w:val="both"/>
              <w:rPr>
                <w:rFonts w:ascii="Arial" w:hAnsi="Arial" w:cs="Arial"/>
              </w:rPr>
            </w:pPr>
            <w:r w:rsidRPr="00904CBA">
              <w:rPr>
                <w:rFonts w:ascii="Arial" w:hAnsi="Arial" w:cs="Arial"/>
              </w:rPr>
              <w:t>Avenida Presidente Wilson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0C8" w:rsidRPr="00904CBA" w:rsidRDefault="00F910C8" w:rsidP="00D013C9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10C8" w:rsidRPr="00904CBA" w:rsidRDefault="00F910C8" w:rsidP="00D013C9">
            <w:pPr>
              <w:jc w:val="both"/>
              <w:rPr>
                <w:rFonts w:ascii="Arial" w:hAnsi="Arial" w:cs="Arial"/>
              </w:rPr>
            </w:pPr>
            <w:r w:rsidRPr="00904CBA">
              <w:rPr>
                <w:rFonts w:ascii="Arial" w:hAnsi="Arial" w:cs="Arial"/>
              </w:rPr>
              <w:t>231</w:t>
            </w:r>
          </w:p>
        </w:tc>
      </w:tr>
      <w:tr w:rsidR="00F910C8" w:rsidRPr="00904CBA" w:rsidTr="00F910C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8" w:rsidRPr="00904CBA" w:rsidRDefault="00F910C8" w:rsidP="00D013C9">
            <w:pPr>
              <w:ind w:left="-70"/>
              <w:jc w:val="center"/>
              <w:rPr>
                <w:rFonts w:ascii="Arial" w:hAnsi="Arial" w:cs="Arial"/>
              </w:rPr>
            </w:pPr>
            <w:r w:rsidRPr="00904CBA">
              <w:rPr>
                <w:rFonts w:ascii="Arial" w:hAnsi="Arial" w:cs="Arial"/>
              </w:rPr>
              <w:t>05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10C8" w:rsidRPr="00904CBA" w:rsidRDefault="00F910C8" w:rsidP="00D013C9">
            <w:pPr>
              <w:jc w:val="both"/>
              <w:rPr>
                <w:rFonts w:ascii="Arial" w:hAnsi="Arial" w:cs="Arial"/>
              </w:rPr>
            </w:pPr>
            <w:r w:rsidRPr="00904CBA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8" w:rsidRPr="00904CBA" w:rsidRDefault="00F910C8" w:rsidP="00D013C9">
            <w:pPr>
              <w:ind w:left="-70"/>
              <w:jc w:val="center"/>
              <w:rPr>
                <w:rFonts w:ascii="Arial" w:hAnsi="Arial" w:cs="Arial"/>
              </w:rPr>
            </w:pPr>
            <w:r w:rsidRPr="00904CBA">
              <w:rPr>
                <w:rFonts w:ascii="Arial" w:hAnsi="Arial" w:cs="Arial"/>
              </w:rPr>
              <w:t>06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10C8" w:rsidRPr="00904CBA" w:rsidRDefault="00F910C8" w:rsidP="00D013C9">
            <w:pPr>
              <w:jc w:val="both"/>
              <w:rPr>
                <w:rFonts w:ascii="Arial" w:hAnsi="Arial" w:cs="Arial"/>
              </w:rPr>
            </w:pPr>
            <w:r w:rsidRPr="00904CBA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8" w:rsidRPr="00904CBA" w:rsidRDefault="00F910C8" w:rsidP="00D013C9">
            <w:pPr>
              <w:ind w:left="-70"/>
              <w:jc w:val="center"/>
              <w:rPr>
                <w:rFonts w:ascii="Arial" w:hAnsi="Arial" w:cs="Arial"/>
              </w:rPr>
            </w:pPr>
            <w:r w:rsidRPr="00904CBA">
              <w:rPr>
                <w:rFonts w:ascii="Arial" w:hAnsi="Arial" w:cs="Arial"/>
              </w:rPr>
              <w:t>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10C8" w:rsidRPr="00904CBA" w:rsidRDefault="00F910C8" w:rsidP="00D013C9">
            <w:pPr>
              <w:jc w:val="both"/>
              <w:rPr>
                <w:rFonts w:ascii="Arial" w:hAnsi="Arial" w:cs="Arial"/>
              </w:rPr>
            </w:pPr>
            <w:r w:rsidRPr="00904CBA">
              <w:rPr>
                <w:rFonts w:ascii="Arial" w:hAnsi="Arial" w:cs="Arial"/>
              </w:rPr>
              <w:t>CEP</w:t>
            </w:r>
          </w:p>
        </w:tc>
      </w:tr>
      <w:tr w:rsidR="00F910C8" w:rsidRPr="00904CBA" w:rsidTr="00F910C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10C8" w:rsidRPr="00904CBA" w:rsidRDefault="00F910C8" w:rsidP="00D013C9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0C8" w:rsidRPr="00904CBA" w:rsidRDefault="00F910C8" w:rsidP="00D013C9">
            <w:pPr>
              <w:jc w:val="both"/>
              <w:rPr>
                <w:rFonts w:ascii="Arial" w:hAnsi="Arial" w:cs="Arial"/>
              </w:rPr>
            </w:pPr>
            <w:r w:rsidRPr="00904CBA">
              <w:rPr>
                <w:rFonts w:ascii="Arial" w:hAnsi="Arial" w:cs="Arial"/>
              </w:rPr>
              <w:t>Sala 802 (parte)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0C8" w:rsidRPr="00904CBA" w:rsidRDefault="00F910C8" w:rsidP="00D013C9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0C8" w:rsidRPr="00904CBA" w:rsidRDefault="00F910C8" w:rsidP="00D013C9">
            <w:pPr>
              <w:jc w:val="both"/>
              <w:rPr>
                <w:rFonts w:ascii="Arial" w:hAnsi="Arial" w:cs="Arial"/>
              </w:rPr>
            </w:pPr>
            <w:r w:rsidRPr="00904CBA">
              <w:rPr>
                <w:rFonts w:ascii="Arial" w:hAnsi="Arial" w:cs="Arial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0C8" w:rsidRPr="00904CBA" w:rsidRDefault="00F910C8" w:rsidP="00D013C9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0C8" w:rsidRPr="00904CBA" w:rsidRDefault="00F910C8" w:rsidP="00D013C9">
            <w:pPr>
              <w:jc w:val="both"/>
              <w:rPr>
                <w:rFonts w:ascii="Arial" w:hAnsi="Arial" w:cs="Arial"/>
              </w:rPr>
            </w:pPr>
            <w:r w:rsidRPr="00904CBA">
              <w:rPr>
                <w:rFonts w:ascii="Arial" w:hAnsi="Arial" w:cs="Arial"/>
              </w:rPr>
              <w:t>20030-021</w:t>
            </w:r>
          </w:p>
        </w:tc>
      </w:tr>
      <w:tr w:rsidR="00F910C8" w:rsidRPr="00904CBA" w:rsidTr="00F910C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8" w:rsidRPr="00904CBA" w:rsidRDefault="00F910C8" w:rsidP="00D013C9">
            <w:pPr>
              <w:ind w:left="-70"/>
              <w:jc w:val="center"/>
              <w:rPr>
                <w:rFonts w:ascii="Arial" w:hAnsi="Arial" w:cs="Arial"/>
              </w:rPr>
            </w:pPr>
            <w:r w:rsidRPr="00904CBA">
              <w:rPr>
                <w:rFonts w:ascii="Arial" w:hAnsi="Arial" w:cs="Arial"/>
              </w:rPr>
              <w:t>08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10C8" w:rsidRPr="00904CBA" w:rsidRDefault="00F910C8" w:rsidP="00D013C9">
            <w:pPr>
              <w:jc w:val="both"/>
              <w:rPr>
                <w:rFonts w:ascii="Arial" w:hAnsi="Arial" w:cs="Arial"/>
              </w:rPr>
            </w:pPr>
            <w:r w:rsidRPr="00904CBA">
              <w:rPr>
                <w:rFonts w:ascii="Arial" w:hAnsi="Arial" w:cs="Arial"/>
              </w:rPr>
              <w:t>Município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8" w:rsidRPr="00904CBA" w:rsidRDefault="00F910C8" w:rsidP="00D013C9">
            <w:pPr>
              <w:ind w:left="-70"/>
              <w:jc w:val="center"/>
              <w:rPr>
                <w:rFonts w:ascii="Arial" w:hAnsi="Arial" w:cs="Arial"/>
              </w:rPr>
            </w:pPr>
            <w:r w:rsidRPr="00904CBA">
              <w:rPr>
                <w:rFonts w:ascii="Arial" w:hAnsi="Arial" w:cs="Arial"/>
              </w:rPr>
              <w:t>09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10C8" w:rsidRPr="00904CBA" w:rsidRDefault="00F910C8" w:rsidP="00D013C9">
            <w:pPr>
              <w:jc w:val="both"/>
              <w:rPr>
                <w:rFonts w:ascii="Arial" w:hAnsi="Arial" w:cs="Arial"/>
              </w:rPr>
            </w:pPr>
            <w:r w:rsidRPr="00904CBA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8" w:rsidRPr="00904CBA" w:rsidRDefault="00F910C8" w:rsidP="00D013C9">
            <w:pPr>
              <w:ind w:left="-70"/>
              <w:jc w:val="center"/>
              <w:rPr>
                <w:rFonts w:ascii="Arial" w:hAnsi="Arial" w:cs="Arial"/>
              </w:rPr>
            </w:pPr>
            <w:r w:rsidRPr="00904CBA">
              <w:rPr>
                <w:rFonts w:ascii="Arial" w:hAnsi="Arial" w:cs="Arial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10C8" w:rsidRPr="00904CBA" w:rsidRDefault="00F910C8" w:rsidP="00D013C9">
            <w:pPr>
              <w:jc w:val="both"/>
              <w:rPr>
                <w:rFonts w:ascii="Arial" w:hAnsi="Arial" w:cs="Arial"/>
              </w:rPr>
            </w:pPr>
            <w:r w:rsidRPr="00904CBA">
              <w:rPr>
                <w:rFonts w:ascii="Arial" w:hAnsi="Arial" w:cs="Arial"/>
              </w:rPr>
              <w:t>Telefone</w:t>
            </w:r>
          </w:p>
        </w:tc>
      </w:tr>
      <w:tr w:rsidR="00F910C8" w:rsidRPr="00904CBA" w:rsidTr="00F910C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10C8" w:rsidRPr="00904CBA" w:rsidRDefault="00F910C8" w:rsidP="00D013C9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0C8" w:rsidRPr="00904CBA" w:rsidRDefault="00F910C8" w:rsidP="00D013C9">
            <w:pPr>
              <w:jc w:val="both"/>
              <w:rPr>
                <w:rFonts w:ascii="Arial" w:hAnsi="Arial" w:cs="Arial"/>
              </w:rPr>
            </w:pPr>
            <w:r w:rsidRPr="00904CBA">
              <w:rPr>
                <w:rFonts w:ascii="Arial" w:hAnsi="Arial" w:cs="Arial"/>
              </w:rPr>
              <w:t>Rio de Janeiro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0C8" w:rsidRPr="00904CBA" w:rsidRDefault="00F910C8" w:rsidP="00D013C9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0C8" w:rsidRPr="00904CBA" w:rsidRDefault="00F910C8" w:rsidP="00D013C9">
            <w:pPr>
              <w:jc w:val="both"/>
              <w:rPr>
                <w:rFonts w:ascii="Arial" w:hAnsi="Arial" w:cs="Arial"/>
              </w:rPr>
            </w:pPr>
            <w:r w:rsidRPr="00904CBA">
              <w:rPr>
                <w:rFonts w:ascii="Arial" w:hAnsi="Arial" w:cs="Arial"/>
              </w:rPr>
              <w:t>RJ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0C8" w:rsidRPr="00904CBA" w:rsidRDefault="00F910C8" w:rsidP="00D013C9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0C8" w:rsidRPr="00904CBA" w:rsidRDefault="00F910C8" w:rsidP="00D013C9">
            <w:pPr>
              <w:jc w:val="both"/>
              <w:rPr>
                <w:rFonts w:ascii="Arial" w:hAnsi="Arial" w:cs="Arial"/>
              </w:rPr>
            </w:pPr>
            <w:r w:rsidRPr="00904CBA">
              <w:rPr>
                <w:rFonts w:ascii="Arial" w:hAnsi="Arial" w:cs="Arial"/>
              </w:rPr>
              <w:t>(21) 2101-9900</w:t>
            </w:r>
          </w:p>
        </w:tc>
      </w:tr>
    </w:tbl>
    <w:p w:rsidR="003B6810" w:rsidRPr="00B95054" w:rsidRDefault="003B6810">
      <w:pPr>
        <w:rPr>
          <w:sz w:val="12"/>
          <w:szCs w:val="12"/>
        </w:rPr>
      </w:pPr>
      <w:bookmarkStart w:id="0" w:name="_GoBack"/>
      <w:bookmarkEnd w:id="0"/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122"/>
        <w:gridCol w:w="7654"/>
      </w:tblGrid>
      <w:tr w:rsidR="00F910C8" w:rsidRPr="00904CBA" w:rsidTr="00F910C8">
        <w:tc>
          <w:tcPr>
            <w:tcW w:w="430" w:type="dxa"/>
          </w:tcPr>
          <w:p w:rsidR="00F910C8" w:rsidRPr="00904CBA" w:rsidRDefault="00F910C8" w:rsidP="00D013C9">
            <w:pPr>
              <w:jc w:val="both"/>
              <w:rPr>
                <w:rFonts w:ascii="Arial" w:hAnsi="Arial" w:cs="Arial"/>
              </w:rPr>
            </w:pPr>
            <w:r w:rsidRPr="00904CBA">
              <w:rPr>
                <w:rFonts w:ascii="Arial" w:hAnsi="Arial" w:cs="Arial"/>
              </w:rPr>
              <w:t>11</w:t>
            </w:r>
          </w:p>
        </w:tc>
        <w:tc>
          <w:tcPr>
            <w:tcW w:w="9776" w:type="dxa"/>
            <w:gridSpan w:val="2"/>
            <w:vAlign w:val="center"/>
          </w:tcPr>
          <w:p w:rsidR="00F910C8" w:rsidRPr="00904CBA" w:rsidRDefault="00F910C8" w:rsidP="00D013C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04CBA">
              <w:rPr>
                <w:rFonts w:ascii="Arial" w:hAnsi="Arial" w:cs="Arial"/>
                <w:bCs/>
              </w:rPr>
              <w:t>DADOS DO PROJETO</w:t>
            </w:r>
          </w:p>
        </w:tc>
      </w:tr>
      <w:tr w:rsidR="00F910C8" w:rsidRPr="00904CBA" w:rsidTr="00F910C8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F910C8" w:rsidRPr="00904CBA" w:rsidRDefault="00F910C8" w:rsidP="00D013C9">
            <w:pPr>
              <w:rPr>
                <w:rFonts w:ascii="Arial" w:hAnsi="Arial" w:cs="Arial"/>
                <w:b/>
              </w:rPr>
            </w:pPr>
            <w:r w:rsidRPr="00904CBA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F910C8" w:rsidRPr="00904CBA" w:rsidRDefault="00F910C8" w:rsidP="00D013C9">
            <w:pPr>
              <w:jc w:val="both"/>
              <w:rPr>
                <w:rFonts w:ascii="Arial" w:hAnsi="Arial" w:cs="Arial"/>
              </w:rPr>
            </w:pPr>
            <w:r w:rsidRPr="00904CBA">
              <w:rPr>
                <w:rFonts w:ascii="Arial" w:hAnsi="Arial" w:cs="Arial"/>
              </w:rPr>
              <w:t xml:space="preserve">Lote </w:t>
            </w:r>
            <w:r w:rsidRPr="00904CBA">
              <w:rPr>
                <w:rFonts w:ascii="Arial" w:hAnsi="Arial" w:cs="Arial"/>
                <w:noProof/>
              </w:rPr>
              <w:t>A</w:t>
            </w:r>
            <w:r w:rsidRPr="00904CBA">
              <w:rPr>
                <w:rFonts w:ascii="Arial" w:hAnsi="Arial" w:cs="Arial"/>
              </w:rPr>
              <w:t xml:space="preserve"> do Leilão n</w:t>
            </w:r>
            <w:r w:rsidRPr="00904CBA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904CBA">
              <w:rPr>
                <w:rFonts w:ascii="Arial" w:hAnsi="Arial" w:cs="Arial"/>
              </w:rPr>
              <w:t xml:space="preserve"> </w:t>
            </w:r>
            <w:r w:rsidRPr="00904CBA">
              <w:rPr>
                <w:rFonts w:ascii="Arial" w:hAnsi="Arial" w:cs="Arial"/>
                <w:noProof/>
              </w:rPr>
              <w:t>05/2015</w:t>
            </w:r>
            <w:r w:rsidRPr="00904CBA">
              <w:rPr>
                <w:rFonts w:ascii="Arial" w:hAnsi="Arial" w:cs="Arial"/>
              </w:rPr>
              <w:t>-ANEEL (</w:t>
            </w:r>
            <w:r w:rsidRPr="00904CBA">
              <w:rPr>
                <w:rFonts w:ascii="Arial" w:hAnsi="Arial" w:cs="Arial"/>
                <w:noProof/>
              </w:rPr>
              <w:t>Contrato de Concessão n</w:t>
            </w:r>
            <w:r w:rsidRPr="00904CBA">
              <w:rPr>
                <w:rFonts w:ascii="Arial" w:hAnsi="Arial" w:cs="Arial"/>
                <w:strike/>
                <w:noProof/>
              </w:rPr>
              <w:t>º</w:t>
            </w:r>
            <w:r w:rsidRPr="00904CBA">
              <w:rPr>
                <w:rFonts w:ascii="Arial" w:hAnsi="Arial" w:cs="Arial"/>
                <w:noProof/>
              </w:rPr>
              <w:t xml:space="preserve"> 05/2016-ANEEL, celebrado em 3 de junho de 2016</w:t>
            </w:r>
            <w:r w:rsidRPr="00904CBA">
              <w:rPr>
                <w:rFonts w:ascii="Arial" w:hAnsi="Arial" w:cs="Arial"/>
              </w:rPr>
              <w:t>).</w:t>
            </w:r>
          </w:p>
        </w:tc>
      </w:tr>
      <w:tr w:rsidR="00F910C8" w:rsidRPr="00904CBA" w:rsidTr="00F910C8">
        <w:trPr>
          <w:trHeight w:val="205"/>
        </w:trPr>
        <w:tc>
          <w:tcPr>
            <w:tcW w:w="2552" w:type="dxa"/>
            <w:gridSpan w:val="2"/>
            <w:vMerge w:val="restart"/>
            <w:tcBorders>
              <w:right w:val="single" w:sz="4" w:space="0" w:color="auto"/>
            </w:tcBorders>
          </w:tcPr>
          <w:p w:rsidR="00F910C8" w:rsidRPr="00904CBA" w:rsidRDefault="00F910C8" w:rsidP="00D013C9">
            <w:pPr>
              <w:rPr>
                <w:rFonts w:ascii="Arial" w:hAnsi="Arial" w:cs="Arial"/>
              </w:rPr>
            </w:pPr>
            <w:r w:rsidRPr="00904CBA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F910C8" w:rsidRPr="003B6810" w:rsidRDefault="00F910C8" w:rsidP="00D013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810">
              <w:rPr>
                <w:rFonts w:ascii="Arial" w:hAnsi="Arial" w:cs="Arial"/>
                <w:sz w:val="22"/>
                <w:szCs w:val="22"/>
              </w:rPr>
              <w:t xml:space="preserve">Projeto de Transmissão de Energia Elétrica, relativo ao Lote </w:t>
            </w:r>
            <w:r w:rsidRPr="003B6810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3B6810">
              <w:rPr>
                <w:rFonts w:ascii="Arial" w:hAnsi="Arial" w:cs="Arial"/>
                <w:sz w:val="22"/>
                <w:szCs w:val="22"/>
              </w:rPr>
              <w:t xml:space="preserve"> do Leilão n</w:t>
            </w:r>
            <w:r w:rsidRPr="003B6810">
              <w:rPr>
                <w:rFonts w:ascii="Arial" w:hAnsi="Arial" w:cs="Arial"/>
                <w:color w:val="000000"/>
                <w:sz w:val="22"/>
                <w:szCs w:val="22"/>
                <w:u w:val="words"/>
                <w:vertAlign w:val="superscript"/>
              </w:rPr>
              <w:t>o</w:t>
            </w:r>
            <w:r w:rsidRPr="003B68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B6810">
              <w:rPr>
                <w:rFonts w:ascii="Arial" w:hAnsi="Arial" w:cs="Arial"/>
                <w:noProof/>
                <w:sz w:val="22"/>
                <w:szCs w:val="22"/>
              </w:rPr>
              <w:t>05/2015</w:t>
            </w:r>
            <w:r w:rsidRPr="003B6810">
              <w:rPr>
                <w:rFonts w:ascii="Arial" w:hAnsi="Arial" w:cs="Arial"/>
                <w:sz w:val="22"/>
                <w:szCs w:val="22"/>
              </w:rPr>
              <w:t>-ANEEL, compreendendo:</w:t>
            </w:r>
          </w:p>
        </w:tc>
      </w:tr>
      <w:tr w:rsidR="00F910C8" w:rsidRPr="00904CBA" w:rsidTr="00F910C8">
        <w:trPr>
          <w:trHeight w:val="205"/>
        </w:trPr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</w:tcPr>
          <w:p w:rsidR="00F910C8" w:rsidRPr="00904CBA" w:rsidRDefault="00F910C8" w:rsidP="00D013C9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F910C8" w:rsidRPr="003B6810" w:rsidRDefault="00F910C8" w:rsidP="00D013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810">
              <w:rPr>
                <w:rFonts w:ascii="Arial" w:hAnsi="Arial" w:cs="Arial"/>
                <w:sz w:val="22"/>
                <w:szCs w:val="22"/>
              </w:rPr>
              <w:t xml:space="preserve">I - Linha de Transmissão </w:t>
            </w:r>
            <w:proofErr w:type="spellStart"/>
            <w:r w:rsidRPr="003B6810">
              <w:rPr>
                <w:rFonts w:ascii="Arial" w:hAnsi="Arial" w:cs="Arial"/>
                <w:sz w:val="22"/>
                <w:szCs w:val="22"/>
              </w:rPr>
              <w:t>Irapé</w:t>
            </w:r>
            <w:proofErr w:type="spellEnd"/>
            <w:r w:rsidRPr="003B6810">
              <w:rPr>
                <w:rFonts w:ascii="Arial" w:hAnsi="Arial" w:cs="Arial"/>
                <w:sz w:val="22"/>
                <w:szCs w:val="22"/>
              </w:rPr>
              <w:t xml:space="preserve"> - Janaúba </w:t>
            </w:r>
            <w:proofErr w:type="gramStart"/>
            <w:r w:rsidRPr="003B6810">
              <w:rPr>
                <w:rFonts w:ascii="Arial" w:hAnsi="Arial" w:cs="Arial"/>
                <w:sz w:val="22"/>
                <w:szCs w:val="22"/>
              </w:rPr>
              <w:t>3</w:t>
            </w:r>
            <w:proofErr w:type="gramEnd"/>
            <w:r w:rsidRPr="003B6810">
              <w:rPr>
                <w:rFonts w:ascii="Arial" w:hAnsi="Arial" w:cs="Arial"/>
                <w:sz w:val="22"/>
                <w:szCs w:val="22"/>
              </w:rPr>
              <w:t xml:space="preserve">, em 230 kV, circuito simples, com extensão aproximada de 130 km, com origem na Subestação </w:t>
            </w:r>
            <w:proofErr w:type="spellStart"/>
            <w:r w:rsidRPr="003B6810">
              <w:rPr>
                <w:rFonts w:ascii="Arial" w:hAnsi="Arial" w:cs="Arial"/>
                <w:sz w:val="22"/>
                <w:szCs w:val="22"/>
              </w:rPr>
              <w:t>Irapé</w:t>
            </w:r>
            <w:proofErr w:type="spellEnd"/>
            <w:r w:rsidRPr="003B6810">
              <w:rPr>
                <w:rFonts w:ascii="Arial" w:hAnsi="Arial" w:cs="Arial"/>
                <w:sz w:val="22"/>
                <w:szCs w:val="22"/>
              </w:rPr>
              <w:t xml:space="preserve"> e término na Subestação Janaúba 3; </w:t>
            </w:r>
          </w:p>
        </w:tc>
      </w:tr>
      <w:tr w:rsidR="00F910C8" w:rsidRPr="00904CBA" w:rsidTr="00F910C8">
        <w:trPr>
          <w:trHeight w:val="205"/>
        </w:trPr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</w:tcPr>
          <w:p w:rsidR="00F910C8" w:rsidRPr="00904CBA" w:rsidRDefault="00F910C8" w:rsidP="00D013C9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F910C8" w:rsidRPr="003B6810" w:rsidRDefault="00F910C8" w:rsidP="003B68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810">
              <w:rPr>
                <w:rFonts w:ascii="Arial" w:hAnsi="Arial" w:cs="Arial"/>
                <w:sz w:val="22"/>
                <w:szCs w:val="22"/>
              </w:rPr>
              <w:t xml:space="preserve">II - Linha de Transmissão </w:t>
            </w:r>
            <w:proofErr w:type="spellStart"/>
            <w:r w:rsidRPr="003B6810">
              <w:rPr>
                <w:rFonts w:ascii="Arial" w:hAnsi="Arial" w:cs="Arial"/>
                <w:sz w:val="22"/>
                <w:szCs w:val="22"/>
              </w:rPr>
              <w:t>Irapé</w:t>
            </w:r>
            <w:proofErr w:type="spellEnd"/>
            <w:r w:rsidRPr="003B6810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3B6810">
              <w:rPr>
                <w:rFonts w:ascii="Arial" w:hAnsi="Arial" w:cs="Arial"/>
                <w:sz w:val="22"/>
                <w:szCs w:val="22"/>
              </w:rPr>
              <w:t>Araçuai</w:t>
            </w:r>
            <w:proofErr w:type="spellEnd"/>
            <w:r w:rsidRPr="003B681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3B6810">
              <w:rPr>
                <w:rFonts w:ascii="Arial" w:hAnsi="Arial" w:cs="Arial"/>
                <w:sz w:val="22"/>
                <w:szCs w:val="22"/>
              </w:rPr>
              <w:t>2</w:t>
            </w:r>
            <w:proofErr w:type="gramEnd"/>
            <w:r w:rsidRPr="003B6810">
              <w:rPr>
                <w:rFonts w:ascii="Arial" w:hAnsi="Arial" w:cs="Arial"/>
                <w:sz w:val="22"/>
                <w:szCs w:val="22"/>
              </w:rPr>
              <w:t xml:space="preserve"> C2, em 230 kV, circuito</w:t>
            </w:r>
            <w:r w:rsidR="003B6810" w:rsidRPr="003B68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B6810">
              <w:rPr>
                <w:rFonts w:ascii="Arial" w:hAnsi="Arial" w:cs="Arial"/>
                <w:sz w:val="22"/>
                <w:szCs w:val="22"/>
              </w:rPr>
              <w:t xml:space="preserve">simples, com extensão aproximada de 61 km, com origem na Subestação </w:t>
            </w:r>
            <w:proofErr w:type="spellStart"/>
            <w:r w:rsidRPr="003B6810">
              <w:rPr>
                <w:rFonts w:ascii="Arial" w:hAnsi="Arial" w:cs="Arial"/>
                <w:sz w:val="22"/>
                <w:szCs w:val="22"/>
              </w:rPr>
              <w:t>Irapé</w:t>
            </w:r>
            <w:proofErr w:type="spellEnd"/>
            <w:r w:rsidRPr="003B6810">
              <w:rPr>
                <w:rFonts w:ascii="Arial" w:hAnsi="Arial" w:cs="Arial"/>
                <w:sz w:val="22"/>
                <w:szCs w:val="22"/>
              </w:rPr>
              <w:t xml:space="preserve"> e término na Subestação </w:t>
            </w:r>
            <w:proofErr w:type="spellStart"/>
            <w:r w:rsidRPr="003B6810">
              <w:rPr>
                <w:rFonts w:ascii="Arial" w:hAnsi="Arial" w:cs="Arial"/>
                <w:sz w:val="22"/>
                <w:szCs w:val="22"/>
              </w:rPr>
              <w:t>Araçuai</w:t>
            </w:r>
            <w:proofErr w:type="spellEnd"/>
            <w:r w:rsidRPr="003B6810">
              <w:rPr>
                <w:rFonts w:ascii="Arial" w:hAnsi="Arial" w:cs="Arial"/>
                <w:sz w:val="22"/>
                <w:szCs w:val="22"/>
              </w:rPr>
              <w:t xml:space="preserve"> 2; </w:t>
            </w:r>
          </w:p>
        </w:tc>
      </w:tr>
      <w:tr w:rsidR="00F910C8" w:rsidRPr="00904CBA" w:rsidTr="00F910C8">
        <w:trPr>
          <w:trHeight w:val="205"/>
        </w:trPr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</w:tcPr>
          <w:p w:rsidR="00F910C8" w:rsidRPr="00904CBA" w:rsidRDefault="00F910C8" w:rsidP="00D013C9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F910C8" w:rsidRPr="003B6810" w:rsidRDefault="00F910C8" w:rsidP="00D013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810">
              <w:rPr>
                <w:rFonts w:ascii="Arial" w:hAnsi="Arial" w:cs="Arial"/>
                <w:sz w:val="22"/>
                <w:szCs w:val="22"/>
              </w:rPr>
              <w:t xml:space="preserve">III - Subestação Janaúba </w:t>
            </w:r>
            <w:proofErr w:type="gramStart"/>
            <w:r w:rsidRPr="003B6810">
              <w:rPr>
                <w:rFonts w:ascii="Arial" w:hAnsi="Arial" w:cs="Arial"/>
                <w:sz w:val="22"/>
                <w:szCs w:val="22"/>
              </w:rPr>
              <w:t>3</w:t>
            </w:r>
            <w:proofErr w:type="gramEnd"/>
            <w:r w:rsidRPr="003B6810">
              <w:rPr>
                <w:rFonts w:ascii="Arial" w:hAnsi="Arial" w:cs="Arial"/>
                <w:sz w:val="22"/>
                <w:szCs w:val="22"/>
              </w:rPr>
              <w:t xml:space="preserve">, em 230/138 kV, (3+1R)x75 MVA; </w:t>
            </w:r>
          </w:p>
        </w:tc>
      </w:tr>
      <w:tr w:rsidR="00F910C8" w:rsidRPr="00904CBA" w:rsidTr="00F910C8">
        <w:trPr>
          <w:trHeight w:val="205"/>
        </w:trPr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</w:tcPr>
          <w:p w:rsidR="00F910C8" w:rsidRPr="00904CBA" w:rsidRDefault="00F910C8" w:rsidP="00D013C9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F910C8" w:rsidRPr="003B6810" w:rsidRDefault="00F910C8" w:rsidP="00D013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810">
              <w:rPr>
                <w:rFonts w:ascii="Arial" w:hAnsi="Arial" w:cs="Arial"/>
                <w:sz w:val="22"/>
                <w:szCs w:val="22"/>
              </w:rPr>
              <w:t xml:space="preserve">IV - Linha de Transmissão Itabira 5 - Itabira </w:t>
            </w:r>
            <w:proofErr w:type="gramStart"/>
            <w:r w:rsidRPr="003B6810">
              <w:rPr>
                <w:rFonts w:ascii="Arial" w:hAnsi="Arial" w:cs="Arial"/>
                <w:sz w:val="22"/>
                <w:szCs w:val="22"/>
              </w:rPr>
              <w:t>2</w:t>
            </w:r>
            <w:proofErr w:type="gramEnd"/>
            <w:r w:rsidRPr="003B6810">
              <w:rPr>
                <w:rFonts w:ascii="Arial" w:hAnsi="Arial" w:cs="Arial"/>
                <w:sz w:val="22"/>
                <w:szCs w:val="22"/>
              </w:rPr>
              <w:t xml:space="preserve">, C2, em 230 kV, com extensão aproximada de 16 km, com origem na Subestação Itabira 5 e término na Subestação Itabira 2; </w:t>
            </w:r>
          </w:p>
        </w:tc>
      </w:tr>
      <w:tr w:rsidR="00F910C8" w:rsidRPr="00904CBA" w:rsidTr="003B6810">
        <w:trPr>
          <w:trHeight w:val="213"/>
        </w:trPr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</w:tcPr>
          <w:p w:rsidR="00F910C8" w:rsidRPr="00904CBA" w:rsidRDefault="00F910C8" w:rsidP="00D013C9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F910C8" w:rsidRPr="003B6810" w:rsidRDefault="00F910C8" w:rsidP="00D013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810">
              <w:rPr>
                <w:rFonts w:ascii="Arial" w:hAnsi="Arial" w:cs="Arial"/>
                <w:sz w:val="22"/>
                <w:szCs w:val="22"/>
              </w:rPr>
              <w:t xml:space="preserve">V - Subestação Itabira </w:t>
            </w:r>
            <w:proofErr w:type="gramStart"/>
            <w:r w:rsidRPr="003B6810">
              <w:rPr>
                <w:rFonts w:ascii="Arial" w:hAnsi="Arial" w:cs="Arial"/>
                <w:sz w:val="22"/>
                <w:szCs w:val="22"/>
              </w:rPr>
              <w:t>5</w:t>
            </w:r>
            <w:proofErr w:type="gramEnd"/>
            <w:r w:rsidRPr="003B6810">
              <w:rPr>
                <w:rFonts w:ascii="Arial" w:hAnsi="Arial" w:cs="Arial"/>
                <w:sz w:val="22"/>
                <w:szCs w:val="22"/>
              </w:rPr>
              <w:t xml:space="preserve">, 500/230 kV, (6+1R)x250 MVA ; </w:t>
            </w:r>
          </w:p>
        </w:tc>
      </w:tr>
      <w:tr w:rsidR="00F910C8" w:rsidRPr="00904CBA" w:rsidTr="003B6810">
        <w:trPr>
          <w:trHeight w:val="473"/>
        </w:trPr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</w:tcPr>
          <w:p w:rsidR="00F910C8" w:rsidRPr="00904CBA" w:rsidRDefault="00F910C8" w:rsidP="00D013C9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F910C8" w:rsidRPr="003B6810" w:rsidRDefault="00F910C8" w:rsidP="00D013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810">
              <w:rPr>
                <w:rFonts w:ascii="Arial" w:hAnsi="Arial" w:cs="Arial"/>
                <w:sz w:val="22"/>
                <w:szCs w:val="22"/>
              </w:rPr>
              <w:t xml:space="preserve">VI - Subestação Braúnas, 230/161-138 </w:t>
            </w:r>
            <w:proofErr w:type="gramStart"/>
            <w:r w:rsidRPr="003B6810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3B6810">
              <w:rPr>
                <w:rFonts w:ascii="Arial" w:hAnsi="Arial" w:cs="Arial"/>
                <w:sz w:val="22"/>
                <w:szCs w:val="22"/>
              </w:rPr>
              <w:t xml:space="preserve"> com (3+1R) x 53,33 MVA e 230/138 kV com 3x53,33 MVA; </w:t>
            </w:r>
          </w:p>
        </w:tc>
      </w:tr>
      <w:tr w:rsidR="00F910C8" w:rsidRPr="00904CBA" w:rsidTr="003B6810">
        <w:trPr>
          <w:trHeight w:val="225"/>
        </w:trPr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</w:tcPr>
          <w:p w:rsidR="00F910C8" w:rsidRPr="00904CBA" w:rsidRDefault="00F910C8" w:rsidP="00D013C9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F910C8" w:rsidRPr="003B6810" w:rsidRDefault="00F910C8" w:rsidP="00D013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810">
              <w:rPr>
                <w:rFonts w:ascii="Arial" w:hAnsi="Arial" w:cs="Arial"/>
                <w:sz w:val="22"/>
                <w:szCs w:val="22"/>
              </w:rPr>
              <w:t xml:space="preserve">VII - Subestação João Monlevade </w:t>
            </w:r>
            <w:proofErr w:type="gramStart"/>
            <w:r w:rsidRPr="003B6810">
              <w:rPr>
                <w:rFonts w:ascii="Arial" w:hAnsi="Arial" w:cs="Arial"/>
                <w:sz w:val="22"/>
                <w:szCs w:val="22"/>
              </w:rPr>
              <w:t>4</w:t>
            </w:r>
            <w:proofErr w:type="gramEnd"/>
            <w:r w:rsidRPr="003B6810">
              <w:rPr>
                <w:rFonts w:ascii="Arial" w:hAnsi="Arial" w:cs="Arial"/>
                <w:sz w:val="22"/>
                <w:szCs w:val="22"/>
              </w:rPr>
              <w:t xml:space="preserve">, 230/69 kV, (3+1R) x 25 MVA; </w:t>
            </w:r>
          </w:p>
        </w:tc>
      </w:tr>
      <w:tr w:rsidR="00F910C8" w:rsidRPr="00904CBA" w:rsidTr="003B6810">
        <w:trPr>
          <w:trHeight w:val="245"/>
        </w:trPr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</w:tcPr>
          <w:p w:rsidR="00F910C8" w:rsidRPr="00904CBA" w:rsidRDefault="00F910C8" w:rsidP="00D013C9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F910C8" w:rsidRPr="003B6810" w:rsidRDefault="00F910C8" w:rsidP="00D013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810">
              <w:rPr>
                <w:rFonts w:ascii="Arial" w:hAnsi="Arial" w:cs="Arial"/>
                <w:sz w:val="22"/>
                <w:szCs w:val="22"/>
              </w:rPr>
              <w:t xml:space="preserve">VIII - Novo pátio na Subestação Timóteo </w:t>
            </w:r>
            <w:proofErr w:type="gramStart"/>
            <w:r w:rsidRPr="003B6810">
              <w:rPr>
                <w:rFonts w:ascii="Arial" w:hAnsi="Arial" w:cs="Arial"/>
                <w:sz w:val="22"/>
                <w:szCs w:val="22"/>
              </w:rPr>
              <w:t>2</w:t>
            </w:r>
            <w:proofErr w:type="gramEnd"/>
            <w:r w:rsidRPr="003B6810">
              <w:rPr>
                <w:rFonts w:ascii="Arial" w:hAnsi="Arial" w:cs="Arial"/>
                <w:sz w:val="22"/>
                <w:szCs w:val="22"/>
              </w:rPr>
              <w:t xml:space="preserve">, 230/69 kV, (3+1R) x 20 MVA; </w:t>
            </w:r>
          </w:p>
        </w:tc>
      </w:tr>
      <w:tr w:rsidR="00F910C8" w:rsidRPr="00904CBA" w:rsidTr="00F910C8">
        <w:trPr>
          <w:trHeight w:val="532"/>
        </w:trPr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</w:tcPr>
          <w:p w:rsidR="00F910C8" w:rsidRPr="00904CBA" w:rsidRDefault="00F910C8" w:rsidP="00D013C9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F910C8" w:rsidRPr="003B6810" w:rsidRDefault="00F910C8" w:rsidP="00D013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810">
              <w:rPr>
                <w:rFonts w:ascii="Arial" w:hAnsi="Arial" w:cs="Arial"/>
                <w:sz w:val="22"/>
                <w:szCs w:val="22"/>
              </w:rPr>
              <w:t xml:space="preserve">IX - Linha de Transmissão Pirapora 2 - Presidente Juscelino - C1, em 500 </w:t>
            </w:r>
            <w:proofErr w:type="gramStart"/>
            <w:r w:rsidRPr="003B6810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3B6810">
              <w:rPr>
                <w:rFonts w:ascii="Arial" w:hAnsi="Arial" w:cs="Arial"/>
                <w:sz w:val="22"/>
                <w:szCs w:val="22"/>
              </w:rPr>
              <w:t xml:space="preserve">, circuito simples, com extensão aproximada de 177 km, com origem na Subestação Pirapora 2 e término na Subestação Presidente Juscelino; </w:t>
            </w:r>
          </w:p>
        </w:tc>
      </w:tr>
      <w:tr w:rsidR="00F910C8" w:rsidRPr="00904CBA" w:rsidTr="00F910C8">
        <w:trPr>
          <w:trHeight w:val="532"/>
        </w:trPr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</w:tcPr>
          <w:p w:rsidR="00F910C8" w:rsidRPr="00904CBA" w:rsidRDefault="00F910C8" w:rsidP="00D013C9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</w:tcPr>
          <w:p w:rsidR="00F910C8" w:rsidRPr="003B6810" w:rsidRDefault="00F910C8" w:rsidP="00D013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810">
              <w:rPr>
                <w:rFonts w:ascii="Arial" w:hAnsi="Arial" w:cs="Arial"/>
                <w:sz w:val="22"/>
                <w:szCs w:val="22"/>
              </w:rPr>
              <w:t xml:space="preserve">X - Linha de Transmissão Pirapora 2 - Presidente Juscelino - C2, em 500 </w:t>
            </w:r>
            <w:proofErr w:type="gramStart"/>
            <w:r w:rsidRPr="003B6810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3B6810">
              <w:rPr>
                <w:rFonts w:ascii="Arial" w:hAnsi="Arial" w:cs="Arial"/>
                <w:sz w:val="22"/>
                <w:szCs w:val="22"/>
              </w:rPr>
              <w:t xml:space="preserve">, circuito simples, com extensão aproximada de 177 km, com origem na Subestação Pirapora 2 e término na Subestação Presidente Juscelino; </w:t>
            </w:r>
          </w:p>
        </w:tc>
      </w:tr>
      <w:tr w:rsidR="00F910C8" w:rsidRPr="00904CBA" w:rsidTr="003B6810">
        <w:trPr>
          <w:trHeight w:val="532"/>
        </w:trPr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</w:tcPr>
          <w:p w:rsidR="00F910C8" w:rsidRPr="00904CBA" w:rsidRDefault="00F910C8" w:rsidP="00D013C9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10C8" w:rsidRPr="003B6810" w:rsidRDefault="00F910C8" w:rsidP="00D013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810">
              <w:rPr>
                <w:rFonts w:ascii="Arial" w:hAnsi="Arial" w:cs="Arial"/>
                <w:sz w:val="22"/>
                <w:szCs w:val="22"/>
              </w:rPr>
              <w:t xml:space="preserve">XI - Linha de Transmissão Presidente Juscelino - Itabira </w:t>
            </w:r>
            <w:proofErr w:type="gramStart"/>
            <w:r w:rsidRPr="003B6810">
              <w:rPr>
                <w:rFonts w:ascii="Arial" w:hAnsi="Arial" w:cs="Arial"/>
                <w:sz w:val="22"/>
                <w:szCs w:val="22"/>
              </w:rPr>
              <w:t>5</w:t>
            </w:r>
            <w:proofErr w:type="gramEnd"/>
            <w:r w:rsidRPr="003B6810">
              <w:rPr>
                <w:rFonts w:ascii="Arial" w:hAnsi="Arial" w:cs="Arial"/>
                <w:sz w:val="22"/>
                <w:szCs w:val="22"/>
              </w:rPr>
              <w:t xml:space="preserve">, em 500 kV, circuito simples, com extensão aproximada de 162 km, com origem na Subestação Presidente Juscelino e término na Subestação Itabira 5; </w:t>
            </w:r>
          </w:p>
        </w:tc>
      </w:tr>
      <w:tr w:rsidR="00F910C8" w:rsidRPr="00904CBA" w:rsidTr="003B6810">
        <w:trPr>
          <w:trHeight w:val="987"/>
        </w:trPr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</w:tcPr>
          <w:p w:rsidR="00F910C8" w:rsidRPr="00904CBA" w:rsidRDefault="00F910C8" w:rsidP="00D013C9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nil"/>
            </w:tcBorders>
          </w:tcPr>
          <w:p w:rsidR="00F910C8" w:rsidRPr="003B6810" w:rsidRDefault="00F910C8" w:rsidP="00D013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810">
              <w:rPr>
                <w:rFonts w:ascii="Arial" w:hAnsi="Arial" w:cs="Arial"/>
                <w:sz w:val="22"/>
                <w:szCs w:val="22"/>
              </w:rPr>
              <w:t xml:space="preserve">XII - Linha de Transmissão Presidente Juscelino - Sete Lagoas 4 - C1, em 345 </w:t>
            </w:r>
            <w:proofErr w:type="gramStart"/>
            <w:r w:rsidRPr="003B6810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3B6810">
              <w:rPr>
                <w:rFonts w:ascii="Arial" w:hAnsi="Arial" w:cs="Arial"/>
                <w:sz w:val="22"/>
                <w:szCs w:val="22"/>
              </w:rPr>
              <w:t xml:space="preserve">, circuito simples, com extensão aproximada de 101 km, com origem na Subestação Presidente Juscelino e término na Subestação Sete Lagoas 4; </w:t>
            </w:r>
          </w:p>
        </w:tc>
      </w:tr>
      <w:tr w:rsidR="00F910C8" w:rsidRPr="00904CBA" w:rsidTr="003B6810">
        <w:trPr>
          <w:trHeight w:val="973"/>
        </w:trPr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</w:tcPr>
          <w:p w:rsidR="00F910C8" w:rsidRPr="00904CBA" w:rsidRDefault="00F910C8" w:rsidP="00D013C9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FFFFFF"/>
            </w:tcBorders>
          </w:tcPr>
          <w:p w:rsidR="00F910C8" w:rsidRPr="003B6810" w:rsidRDefault="00F910C8" w:rsidP="003B68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810">
              <w:rPr>
                <w:rFonts w:ascii="Arial" w:hAnsi="Arial" w:cs="Arial"/>
                <w:sz w:val="22"/>
                <w:szCs w:val="22"/>
              </w:rPr>
              <w:t xml:space="preserve">XIII - Linha de Transmissão Presidente Juscelino - Sete Lagoas 4 - C2, em 345 </w:t>
            </w:r>
            <w:proofErr w:type="gramStart"/>
            <w:r w:rsidRPr="003B6810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3B6810">
              <w:rPr>
                <w:rFonts w:ascii="Arial" w:hAnsi="Arial" w:cs="Arial"/>
                <w:sz w:val="22"/>
                <w:szCs w:val="22"/>
              </w:rPr>
              <w:t>, circuito simples, com extensão aproximada de 101 km, com origem na Subestação Presidente Juscelino e término na Subestação</w:t>
            </w:r>
            <w:r w:rsidR="003B6810" w:rsidRPr="003B68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B6810">
              <w:rPr>
                <w:rFonts w:ascii="Arial" w:hAnsi="Arial" w:cs="Arial"/>
                <w:sz w:val="22"/>
                <w:szCs w:val="22"/>
              </w:rPr>
              <w:t>Sete Lagoas 4;</w:t>
            </w:r>
          </w:p>
        </w:tc>
      </w:tr>
      <w:tr w:rsidR="00F910C8" w:rsidRPr="00904CBA" w:rsidTr="003B6810">
        <w:trPr>
          <w:trHeight w:val="790"/>
        </w:trPr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</w:tcPr>
          <w:p w:rsidR="00F910C8" w:rsidRPr="00904CBA" w:rsidRDefault="00F910C8" w:rsidP="00D013C9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</w:tcPr>
          <w:p w:rsidR="00F910C8" w:rsidRPr="003B6810" w:rsidRDefault="00F910C8" w:rsidP="00D013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810">
              <w:rPr>
                <w:rFonts w:ascii="Arial" w:hAnsi="Arial" w:cs="Arial"/>
                <w:sz w:val="22"/>
                <w:szCs w:val="22"/>
              </w:rPr>
              <w:t xml:space="preserve">XIV - Linha de Transmissão Sete Lagoas 4 - Betim </w:t>
            </w:r>
            <w:proofErr w:type="gramStart"/>
            <w:r w:rsidRPr="003B6810">
              <w:rPr>
                <w:rFonts w:ascii="Arial" w:hAnsi="Arial" w:cs="Arial"/>
                <w:sz w:val="22"/>
                <w:szCs w:val="22"/>
              </w:rPr>
              <w:t>6</w:t>
            </w:r>
            <w:proofErr w:type="gramEnd"/>
            <w:r w:rsidRPr="003B6810">
              <w:rPr>
                <w:rFonts w:ascii="Arial" w:hAnsi="Arial" w:cs="Arial"/>
                <w:sz w:val="22"/>
                <w:szCs w:val="22"/>
              </w:rPr>
              <w:t>, em 345 kV, circuito simples, com extensão aproximada de 47 km, com origem na Subestação Sete Lagoas 4 e término na Subestação Betim 6;</w:t>
            </w:r>
          </w:p>
        </w:tc>
      </w:tr>
      <w:tr w:rsidR="00F910C8" w:rsidRPr="00904CBA" w:rsidTr="003B6810">
        <w:trPr>
          <w:trHeight w:val="778"/>
        </w:trPr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</w:tcPr>
          <w:p w:rsidR="00F910C8" w:rsidRPr="00904CBA" w:rsidRDefault="00F910C8" w:rsidP="00D013C9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</w:tcPr>
          <w:p w:rsidR="00F910C8" w:rsidRPr="003B6810" w:rsidRDefault="00F910C8" w:rsidP="00D013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810">
              <w:rPr>
                <w:rFonts w:ascii="Arial" w:hAnsi="Arial" w:cs="Arial"/>
                <w:sz w:val="22"/>
                <w:szCs w:val="22"/>
              </w:rPr>
              <w:t xml:space="preserve">XV - Linha de Transmissão Betim 6 - Sarzedo, em 345 </w:t>
            </w:r>
            <w:proofErr w:type="gramStart"/>
            <w:r w:rsidRPr="003B6810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3B6810">
              <w:rPr>
                <w:rFonts w:ascii="Arial" w:hAnsi="Arial" w:cs="Arial"/>
                <w:sz w:val="22"/>
                <w:szCs w:val="22"/>
              </w:rPr>
              <w:t>, circuito simples, com extensão aproximada de 23 km, com origem na Subestação Betim 6 e término na Subestação - Sarzedo;</w:t>
            </w:r>
          </w:p>
        </w:tc>
      </w:tr>
      <w:tr w:rsidR="00F910C8" w:rsidRPr="00904CBA" w:rsidTr="00F910C8">
        <w:trPr>
          <w:trHeight w:val="687"/>
        </w:trPr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</w:tcPr>
          <w:p w:rsidR="00F910C8" w:rsidRPr="00904CBA" w:rsidRDefault="00F910C8" w:rsidP="00D013C9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:rsidR="00F910C8" w:rsidRPr="003B6810" w:rsidRDefault="00F910C8" w:rsidP="00D013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810">
              <w:rPr>
                <w:rFonts w:ascii="Arial" w:hAnsi="Arial" w:cs="Arial"/>
                <w:sz w:val="22"/>
                <w:szCs w:val="22"/>
              </w:rPr>
              <w:t xml:space="preserve">XVI - Linha de Transmissão Itabirito 2 - Barro Branco, em 345 </w:t>
            </w:r>
            <w:proofErr w:type="gramStart"/>
            <w:r w:rsidRPr="003B6810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3B6810">
              <w:rPr>
                <w:rFonts w:ascii="Arial" w:hAnsi="Arial" w:cs="Arial"/>
                <w:sz w:val="22"/>
                <w:szCs w:val="22"/>
              </w:rPr>
              <w:t>, circuito simples, com extensão aproximada de 57 km, com origem na Subestação Itabirito 2 e término na Subestação Barro Branco;</w:t>
            </w:r>
          </w:p>
        </w:tc>
      </w:tr>
      <w:tr w:rsidR="00F910C8" w:rsidRPr="00904CBA" w:rsidTr="00F910C8">
        <w:trPr>
          <w:trHeight w:val="713"/>
        </w:trPr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</w:tcPr>
          <w:p w:rsidR="00F910C8" w:rsidRPr="00904CBA" w:rsidRDefault="00F910C8" w:rsidP="00D013C9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:rsidR="00F910C8" w:rsidRPr="003B6810" w:rsidRDefault="00F910C8" w:rsidP="00D013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810">
              <w:rPr>
                <w:rFonts w:ascii="Arial" w:hAnsi="Arial" w:cs="Arial"/>
                <w:sz w:val="22"/>
                <w:szCs w:val="22"/>
              </w:rPr>
              <w:t xml:space="preserve">XVII - Linha de Transmissão Itabirito 2 - </w:t>
            </w:r>
            <w:proofErr w:type="spellStart"/>
            <w:r w:rsidRPr="003B6810">
              <w:rPr>
                <w:rFonts w:ascii="Arial" w:hAnsi="Arial" w:cs="Arial"/>
                <w:sz w:val="22"/>
                <w:szCs w:val="22"/>
              </w:rPr>
              <w:t>Jeceaba</w:t>
            </w:r>
            <w:proofErr w:type="spellEnd"/>
            <w:r w:rsidRPr="003B6810">
              <w:rPr>
                <w:rFonts w:ascii="Arial" w:hAnsi="Arial" w:cs="Arial"/>
                <w:sz w:val="22"/>
                <w:szCs w:val="22"/>
              </w:rPr>
              <w:t xml:space="preserve">, C2, em 345 </w:t>
            </w:r>
            <w:proofErr w:type="gramStart"/>
            <w:r w:rsidRPr="003B6810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3B6810">
              <w:rPr>
                <w:rFonts w:ascii="Arial" w:hAnsi="Arial" w:cs="Arial"/>
                <w:sz w:val="22"/>
                <w:szCs w:val="22"/>
              </w:rPr>
              <w:t xml:space="preserve">, circuito simples, com extensão aproximada de 44 km, com origem na Subestação Itabirito 2 e término na Subestação </w:t>
            </w:r>
            <w:proofErr w:type="spellStart"/>
            <w:r w:rsidRPr="003B6810">
              <w:rPr>
                <w:rFonts w:ascii="Arial" w:hAnsi="Arial" w:cs="Arial"/>
                <w:sz w:val="22"/>
                <w:szCs w:val="22"/>
              </w:rPr>
              <w:t>Jeceaba</w:t>
            </w:r>
            <w:proofErr w:type="spellEnd"/>
            <w:r w:rsidRPr="003B6810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F910C8" w:rsidRPr="00904CBA" w:rsidTr="00F910C8">
        <w:trPr>
          <w:trHeight w:val="724"/>
        </w:trPr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</w:tcPr>
          <w:p w:rsidR="00F910C8" w:rsidRPr="00904CBA" w:rsidRDefault="00F910C8" w:rsidP="00D013C9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:rsidR="00F910C8" w:rsidRPr="003B6810" w:rsidRDefault="00F910C8" w:rsidP="00D013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810">
              <w:rPr>
                <w:rFonts w:ascii="Arial" w:hAnsi="Arial" w:cs="Arial"/>
                <w:sz w:val="22"/>
                <w:szCs w:val="22"/>
              </w:rPr>
              <w:t xml:space="preserve">XVIII - Linha de Transmissão </w:t>
            </w:r>
            <w:proofErr w:type="spellStart"/>
            <w:r w:rsidRPr="003B6810">
              <w:rPr>
                <w:rFonts w:ascii="Arial" w:hAnsi="Arial" w:cs="Arial"/>
                <w:sz w:val="22"/>
                <w:szCs w:val="22"/>
              </w:rPr>
              <w:t>Jeceaba</w:t>
            </w:r>
            <w:proofErr w:type="spellEnd"/>
            <w:r w:rsidRPr="003B6810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3B6810">
              <w:rPr>
                <w:rFonts w:ascii="Arial" w:hAnsi="Arial" w:cs="Arial"/>
                <w:sz w:val="22"/>
                <w:szCs w:val="22"/>
              </w:rPr>
              <w:t>Itutinga</w:t>
            </w:r>
            <w:proofErr w:type="spellEnd"/>
            <w:r w:rsidRPr="003B6810">
              <w:rPr>
                <w:rFonts w:ascii="Arial" w:hAnsi="Arial" w:cs="Arial"/>
                <w:sz w:val="22"/>
                <w:szCs w:val="22"/>
              </w:rPr>
              <w:t xml:space="preserve">, em 345 </w:t>
            </w:r>
            <w:proofErr w:type="gramStart"/>
            <w:r w:rsidRPr="003B6810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3B6810">
              <w:rPr>
                <w:rFonts w:ascii="Arial" w:hAnsi="Arial" w:cs="Arial"/>
                <w:sz w:val="22"/>
                <w:szCs w:val="22"/>
              </w:rPr>
              <w:t xml:space="preserve">, circuito simples, com extensão aproximada de 106 km, com origem na Subestação </w:t>
            </w:r>
            <w:proofErr w:type="spellStart"/>
            <w:r w:rsidRPr="003B6810">
              <w:rPr>
                <w:rFonts w:ascii="Arial" w:hAnsi="Arial" w:cs="Arial"/>
                <w:sz w:val="22"/>
                <w:szCs w:val="22"/>
              </w:rPr>
              <w:t>Jeceaba</w:t>
            </w:r>
            <w:proofErr w:type="spellEnd"/>
            <w:r w:rsidRPr="003B6810">
              <w:rPr>
                <w:rFonts w:ascii="Arial" w:hAnsi="Arial" w:cs="Arial"/>
                <w:sz w:val="22"/>
                <w:szCs w:val="22"/>
              </w:rPr>
              <w:t xml:space="preserve"> e término na Subestação </w:t>
            </w:r>
            <w:proofErr w:type="spellStart"/>
            <w:r w:rsidRPr="003B6810">
              <w:rPr>
                <w:rFonts w:ascii="Arial" w:hAnsi="Arial" w:cs="Arial"/>
                <w:sz w:val="22"/>
                <w:szCs w:val="22"/>
              </w:rPr>
              <w:t>Itutinga</w:t>
            </w:r>
            <w:proofErr w:type="spellEnd"/>
            <w:r w:rsidRPr="003B6810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</w:tc>
      </w:tr>
      <w:tr w:rsidR="00F910C8" w:rsidRPr="00904CBA" w:rsidTr="003B6810">
        <w:trPr>
          <w:trHeight w:val="239"/>
        </w:trPr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</w:tcPr>
          <w:p w:rsidR="00F910C8" w:rsidRPr="00904CBA" w:rsidRDefault="00F910C8" w:rsidP="00D013C9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:rsidR="00F910C8" w:rsidRPr="003B6810" w:rsidRDefault="00F910C8" w:rsidP="00D013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810">
              <w:rPr>
                <w:rFonts w:ascii="Arial" w:hAnsi="Arial" w:cs="Arial"/>
                <w:sz w:val="22"/>
                <w:szCs w:val="22"/>
              </w:rPr>
              <w:t xml:space="preserve">XIX - Subestação 345 </w:t>
            </w:r>
            <w:proofErr w:type="gramStart"/>
            <w:r w:rsidRPr="003B6810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3B6810">
              <w:rPr>
                <w:rFonts w:ascii="Arial" w:hAnsi="Arial" w:cs="Arial"/>
                <w:sz w:val="22"/>
                <w:szCs w:val="22"/>
              </w:rPr>
              <w:t xml:space="preserve"> Sarzedo; </w:t>
            </w:r>
          </w:p>
        </w:tc>
      </w:tr>
      <w:tr w:rsidR="00F910C8" w:rsidRPr="00904CBA" w:rsidTr="00F910C8">
        <w:trPr>
          <w:trHeight w:val="280"/>
        </w:trPr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</w:tcPr>
          <w:p w:rsidR="00F910C8" w:rsidRPr="00904CBA" w:rsidRDefault="00F910C8" w:rsidP="00D013C9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:rsidR="00F910C8" w:rsidRPr="003B6810" w:rsidRDefault="00F910C8" w:rsidP="00D013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810">
              <w:rPr>
                <w:rFonts w:ascii="Arial" w:hAnsi="Arial" w:cs="Arial"/>
                <w:sz w:val="22"/>
                <w:szCs w:val="22"/>
              </w:rPr>
              <w:t xml:space="preserve">XX - Subestação 500/345 </w:t>
            </w:r>
            <w:proofErr w:type="gramStart"/>
            <w:r w:rsidRPr="003B6810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3B6810">
              <w:rPr>
                <w:rFonts w:ascii="Arial" w:hAnsi="Arial" w:cs="Arial"/>
                <w:sz w:val="22"/>
                <w:szCs w:val="22"/>
              </w:rPr>
              <w:t xml:space="preserve"> Presidente Juscelino (3+1R) x 400 MVA;</w:t>
            </w:r>
          </w:p>
        </w:tc>
      </w:tr>
      <w:tr w:rsidR="00F910C8" w:rsidRPr="00904CBA" w:rsidTr="003B6810">
        <w:trPr>
          <w:trHeight w:val="247"/>
        </w:trPr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</w:tcPr>
          <w:p w:rsidR="00F910C8" w:rsidRPr="00904CBA" w:rsidRDefault="00F910C8" w:rsidP="00D013C9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:rsidR="00F910C8" w:rsidRPr="003B6810" w:rsidRDefault="00F910C8" w:rsidP="003B68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810">
              <w:rPr>
                <w:rFonts w:ascii="Arial" w:hAnsi="Arial" w:cs="Arial"/>
                <w:sz w:val="22"/>
                <w:szCs w:val="22"/>
              </w:rPr>
              <w:t xml:space="preserve">XXI </w:t>
            </w:r>
            <w:r w:rsidR="003B6810" w:rsidRPr="003B6810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3B6810">
              <w:rPr>
                <w:rFonts w:ascii="Arial" w:hAnsi="Arial" w:cs="Arial"/>
                <w:sz w:val="22"/>
                <w:szCs w:val="22"/>
              </w:rPr>
              <w:t xml:space="preserve">Subestação 345/138 </w:t>
            </w:r>
            <w:proofErr w:type="gramStart"/>
            <w:r w:rsidRPr="003B6810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3B6810">
              <w:rPr>
                <w:rFonts w:ascii="Arial" w:hAnsi="Arial" w:cs="Arial"/>
                <w:sz w:val="22"/>
                <w:szCs w:val="22"/>
              </w:rPr>
              <w:t xml:space="preserve"> Betim 6, (6+1R) x 100 MVA; </w:t>
            </w:r>
          </w:p>
        </w:tc>
      </w:tr>
      <w:tr w:rsidR="00F910C8" w:rsidRPr="00904CBA" w:rsidTr="00F910C8">
        <w:trPr>
          <w:trHeight w:val="290"/>
        </w:trPr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</w:tcPr>
          <w:p w:rsidR="00F910C8" w:rsidRPr="00904CBA" w:rsidRDefault="00F910C8" w:rsidP="00D013C9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:rsidR="00F910C8" w:rsidRPr="003B6810" w:rsidRDefault="00F910C8" w:rsidP="00D013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810">
              <w:rPr>
                <w:rFonts w:ascii="Arial" w:hAnsi="Arial" w:cs="Arial"/>
                <w:sz w:val="22"/>
                <w:szCs w:val="22"/>
              </w:rPr>
              <w:t xml:space="preserve">XXII - Subestação Varginha </w:t>
            </w:r>
            <w:proofErr w:type="gramStart"/>
            <w:r w:rsidRPr="003B6810">
              <w:rPr>
                <w:rFonts w:ascii="Arial" w:hAnsi="Arial" w:cs="Arial"/>
                <w:sz w:val="22"/>
                <w:szCs w:val="22"/>
              </w:rPr>
              <w:t>4</w:t>
            </w:r>
            <w:proofErr w:type="gramEnd"/>
            <w:r w:rsidRPr="003B6810">
              <w:rPr>
                <w:rFonts w:ascii="Arial" w:hAnsi="Arial" w:cs="Arial"/>
                <w:sz w:val="22"/>
                <w:szCs w:val="22"/>
              </w:rPr>
              <w:t>, 345/138 kV, (6+1R) x 75MVA;</w:t>
            </w:r>
          </w:p>
        </w:tc>
      </w:tr>
      <w:tr w:rsidR="00F910C8" w:rsidRPr="00904CBA" w:rsidTr="00F910C8">
        <w:trPr>
          <w:trHeight w:val="205"/>
        </w:trPr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</w:tcPr>
          <w:p w:rsidR="00F910C8" w:rsidRPr="00904CBA" w:rsidRDefault="00F910C8" w:rsidP="00D013C9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:rsidR="00F910C8" w:rsidRPr="003B6810" w:rsidRDefault="00F910C8" w:rsidP="00D013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810">
              <w:rPr>
                <w:rFonts w:ascii="Arial" w:hAnsi="Arial" w:cs="Arial"/>
                <w:sz w:val="22"/>
                <w:szCs w:val="22"/>
              </w:rPr>
              <w:t>XXIII - Módulos gerais, conexões de unidades de transformação, equipamentos de compensação reativa, conexões de reatores, entradas de linha, interligações de barramento, barramentos, instalações vinculadas e demais instalações necessárias às funções de medição, supervisão, proteção, comando, controle, telecomunicação, administração e apoio;</w:t>
            </w:r>
          </w:p>
        </w:tc>
      </w:tr>
      <w:tr w:rsidR="00F910C8" w:rsidRPr="00904CBA" w:rsidTr="003B6810">
        <w:trPr>
          <w:trHeight w:val="205"/>
        </w:trPr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</w:tcPr>
          <w:p w:rsidR="00F910C8" w:rsidRPr="00904CBA" w:rsidRDefault="00F910C8" w:rsidP="00D013C9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:rsidR="00F910C8" w:rsidRPr="003B6810" w:rsidRDefault="00F910C8" w:rsidP="00D013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810">
              <w:rPr>
                <w:rFonts w:ascii="Arial" w:hAnsi="Arial" w:cs="Arial"/>
                <w:sz w:val="22"/>
                <w:szCs w:val="22"/>
              </w:rPr>
              <w:t xml:space="preserve">XXIV - trechos de Linha de Transmissão em 345 </w:t>
            </w:r>
            <w:proofErr w:type="gramStart"/>
            <w:r w:rsidRPr="003B6810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3B6810">
              <w:rPr>
                <w:rFonts w:ascii="Arial" w:hAnsi="Arial" w:cs="Arial"/>
                <w:sz w:val="22"/>
                <w:szCs w:val="22"/>
              </w:rPr>
              <w:t xml:space="preserve">, circuito simples, com extensão aproximada de 12 km cada, compreendido entre o ponto de seccionamento da Linha de Transmissão 345 kV Neves 1 - Barreiro e a Subestação Betim 6, a instalação das entradas de linha correspondentes nas Subestação Betim 6, a aquisição e instalação dos equipamentos necessários às modificações, substituições e adequações nas entradas de linha das subestações Neves 1, Barreiro, e a aquisição e instalação de cabos OPGW para sistema de telecomunicações e </w:t>
            </w:r>
            <w:proofErr w:type="spellStart"/>
            <w:r w:rsidRPr="003B6810">
              <w:rPr>
                <w:rFonts w:ascii="Arial" w:hAnsi="Arial" w:cs="Arial"/>
                <w:sz w:val="22"/>
                <w:szCs w:val="22"/>
              </w:rPr>
              <w:t>teleproteção</w:t>
            </w:r>
            <w:proofErr w:type="spellEnd"/>
            <w:r w:rsidRPr="003B6810">
              <w:rPr>
                <w:rFonts w:ascii="Arial" w:hAnsi="Arial" w:cs="Arial"/>
                <w:sz w:val="22"/>
                <w:szCs w:val="22"/>
              </w:rPr>
              <w:t xml:space="preserve"> entre os pontos de seccionamentos da linha de transmissão Barreiro - Neves 1 e as subestações Barreiro e Neves 1;</w:t>
            </w:r>
          </w:p>
        </w:tc>
      </w:tr>
      <w:tr w:rsidR="00F910C8" w:rsidRPr="00904CBA" w:rsidTr="003B6810">
        <w:trPr>
          <w:trHeight w:val="205"/>
        </w:trPr>
        <w:tc>
          <w:tcPr>
            <w:tcW w:w="2552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F910C8" w:rsidRPr="00904CBA" w:rsidRDefault="00F910C8" w:rsidP="00D013C9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</w:tcPr>
          <w:p w:rsidR="00F910C8" w:rsidRPr="003B6810" w:rsidRDefault="00F910C8" w:rsidP="00D013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810">
              <w:rPr>
                <w:rFonts w:ascii="Arial" w:hAnsi="Arial" w:cs="Arial"/>
                <w:sz w:val="22"/>
                <w:szCs w:val="22"/>
              </w:rPr>
              <w:t xml:space="preserve">XXV - trechos de Linha de Transmissão em 345 </w:t>
            </w:r>
            <w:proofErr w:type="gramStart"/>
            <w:r w:rsidRPr="003B6810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3B6810">
              <w:rPr>
                <w:rFonts w:ascii="Arial" w:hAnsi="Arial" w:cs="Arial"/>
                <w:sz w:val="22"/>
                <w:szCs w:val="22"/>
              </w:rPr>
              <w:t xml:space="preserve">, circuito duplo, com extensão aproximada de 2 km, compreendido entre o ponto de seccionamento da Linha de Transmissão em 345 kV Pimenta - Barreiro e a Subestação Sarzedo, a instalação das ENTRADAS DE LINHA correspondentes nas Subestação Sarzedo, a aquisição e instalação dos equipamentos necessários às modificações, substituições e adequações nas ENTRADAS DE LINHA das subestações Barreiro e Pimenta, e a aquisição e instalação de cabos OPGW para sistema de telecomunicações e </w:t>
            </w:r>
            <w:proofErr w:type="spellStart"/>
            <w:r w:rsidRPr="003B6810">
              <w:rPr>
                <w:rFonts w:ascii="Arial" w:hAnsi="Arial" w:cs="Arial"/>
                <w:sz w:val="22"/>
                <w:szCs w:val="22"/>
              </w:rPr>
              <w:t>teleproteção</w:t>
            </w:r>
            <w:proofErr w:type="spellEnd"/>
            <w:r w:rsidRPr="003B6810">
              <w:rPr>
                <w:rFonts w:ascii="Arial" w:hAnsi="Arial" w:cs="Arial"/>
                <w:sz w:val="22"/>
                <w:szCs w:val="22"/>
              </w:rPr>
              <w:t xml:space="preserve"> entre os pontos de seccionamentos da linha de transmissão Barreiro - Pimenta e as subestações Barreiro e Pimenta;</w:t>
            </w:r>
          </w:p>
        </w:tc>
      </w:tr>
      <w:tr w:rsidR="00F910C8" w:rsidRPr="00904CBA" w:rsidTr="003B6810">
        <w:trPr>
          <w:trHeight w:val="205"/>
        </w:trPr>
        <w:tc>
          <w:tcPr>
            <w:tcW w:w="2552" w:type="dxa"/>
            <w:gridSpan w:val="2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910C8" w:rsidRPr="00904CBA" w:rsidRDefault="00F910C8" w:rsidP="00D013C9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FFFFFF"/>
            </w:tcBorders>
          </w:tcPr>
          <w:p w:rsidR="00F910C8" w:rsidRPr="003B6810" w:rsidRDefault="00F910C8" w:rsidP="00D013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810">
              <w:rPr>
                <w:rFonts w:ascii="Arial" w:hAnsi="Arial" w:cs="Arial"/>
                <w:sz w:val="22"/>
                <w:szCs w:val="22"/>
              </w:rPr>
              <w:t xml:space="preserve">XXVI - trechos de Linha de Transmissão em 345 </w:t>
            </w:r>
            <w:proofErr w:type="gramStart"/>
            <w:r w:rsidRPr="003B6810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3B6810">
              <w:rPr>
                <w:rFonts w:ascii="Arial" w:hAnsi="Arial" w:cs="Arial"/>
                <w:sz w:val="22"/>
                <w:szCs w:val="22"/>
              </w:rPr>
              <w:t xml:space="preserve">, circuito simples, com extensão aproximada de 38 km cada, compreendido entre o ponto de seccionamento da Linha de Transmissão 345 kV Furnas - </w:t>
            </w:r>
            <w:proofErr w:type="spellStart"/>
            <w:r w:rsidRPr="003B6810">
              <w:rPr>
                <w:rFonts w:ascii="Arial" w:hAnsi="Arial" w:cs="Arial"/>
                <w:sz w:val="22"/>
                <w:szCs w:val="22"/>
              </w:rPr>
              <w:t>Itutinga</w:t>
            </w:r>
            <w:proofErr w:type="spellEnd"/>
            <w:r w:rsidRPr="003B6810">
              <w:rPr>
                <w:rFonts w:ascii="Arial" w:hAnsi="Arial" w:cs="Arial"/>
                <w:sz w:val="22"/>
                <w:szCs w:val="22"/>
              </w:rPr>
              <w:t xml:space="preserve"> C2 e a Subestação Varginha 4; a instalação das entradas de linha correspondentes nas Subestações Varginha 4, a aquisição e instalação dos equipamentos necessários às modificações, substituições e adequações nas entradas de linha das subestações Varginha 4, e a aquisição e instalação de cabos OPGW para sistema de telecomunicações e </w:t>
            </w:r>
            <w:proofErr w:type="spellStart"/>
            <w:r w:rsidRPr="003B6810">
              <w:rPr>
                <w:rFonts w:ascii="Arial" w:hAnsi="Arial" w:cs="Arial"/>
                <w:sz w:val="22"/>
                <w:szCs w:val="22"/>
              </w:rPr>
              <w:t>teleproteção</w:t>
            </w:r>
            <w:proofErr w:type="spellEnd"/>
            <w:r w:rsidRPr="003B6810">
              <w:rPr>
                <w:rFonts w:ascii="Arial" w:hAnsi="Arial" w:cs="Arial"/>
                <w:sz w:val="22"/>
                <w:szCs w:val="22"/>
              </w:rPr>
              <w:t xml:space="preserve"> entre os pontos de seccionamentos da linha de transmissão 345 kV Furnas - </w:t>
            </w:r>
            <w:proofErr w:type="spellStart"/>
            <w:r w:rsidRPr="003B6810">
              <w:rPr>
                <w:rFonts w:ascii="Arial" w:hAnsi="Arial" w:cs="Arial"/>
                <w:sz w:val="22"/>
                <w:szCs w:val="22"/>
              </w:rPr>
              <w:t>Itutinga</w:t>
            </w:r>
            <w:proofErr w:type="spellEnd"/>
            <w:r w:rsidRPr="003B6810">
              <w:rPr>
                <w:rFonts w:ascii="Arial" w:hAnsi="Arial" w:cs="Arial"/>
                <w:sz w:val="22"/>
                <w:szCs w:val="22"/>
              </w:rPr>
              <w:t xml:space="preserve"> C2 e as Subestações Fumas e </w:t>
            </w:r>
            <w:proofErr w:type="spellStart"/>
            <w:r w:rsidRPr="003B6810">
              <w:rPr>
                <w:rFonts w:ascii="Arial" w:hAnsi="Arial" w:cs="Arial"/>
                <w:sz w:val="22"/>
                <w:szCs w:val="22"/>
              </w:rPr>
              <w:t>Itutinga</w:t>
            </w:r>
            <w:proofErr w:type="spellEnd"/>
            <w:r w:rsidRPr="003B6810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F910C8" w:rsidRPr="00904CBA" w:rsidTr="003B6810">
        <w:trPr>
          <w:trHeight w:val="205"/>
        </w:trPr>
        <w:tc>
          <w:tcPr>
            <w:tcW w:w="255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10C8" w:rsidRPr="00904CBA" w:rsidRDefault="00F910C8" w:rsidP="00D013C9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</w:tcPr>
          <w:p w:rsidR="003B6810" w:rsidRDefault="00F910C8" w:rsidP="003B68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810">
              <w:rPr>
                <w:rFonts w:ascii="Arial" w:hAnsi="Arial" w:cs="Arial"/>
                <w:sz w:val="22"/>
                <w:szCs w:val="22"/>
              </w:rPr>
              <w:t xml:space="preserve">XXVII - trechos de Linha de Transmissão em 500 </w:t>
            </w:r>
            <w:proofErr w:type="gramStart"/>
            <w:r w:rsidRPr="003B6810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3B6810">
              <w:rPr>
                <w:rFonts w:ascii="Arial" w:hAnsi="Arial" w:cs="Arial"/>
                <w:sz w:val="22"/>
                <w:szCs w:val="22"/>
              </w:rPr>
              <w:t>, circuito simples, com extensão aproximada de 1 km cada, compreendidos entre o ponto de seccionamento da Linha de Transmissão Neves 1 - Mesquita e a Subestação Itabira 5; a instalação das entradas de linha correspondentes nas Subestação Itabira 5, a aquisição e instalação dos equipamentos necessários às modificações, substituições e adequações nas entradas de linha das subestações Neves 1 e Mesquita;</w:t>
            </w:r>
          </w:p>
          <w:p w:rsidR="003B6810" w:rsidRPr="003B6810" w:rsidRDefault="003B6810" w:rsidP="003B68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10C8" w:rsidRPr="00904CBA" w:rsidTr="003B6810">
        <w:trPr>
          <w:trHeight w:val="205"/>
        </w:trPr>
        <w:tc>
          <w:tcPr>
            <w:tcW w:w="2552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F910C8" w:rsidRPr="00904CBA" w:rsidRDefault="00F910C8" w:rsidP="00D013C9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</w:tcPr>
          <w:p w:rsidR="00F910C8" w:rsidRPr="003B6810" w:rsidRDefault="00F910C8" w:rsidP="00D013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810">
              <w:rPr>
                <w:rFonts w:ascii="Arial" w:hAnsi="Arial" w:cs="Arial"/>
                <w:sz w:val="22"/>
                <w:szCs w:val="22"/>
              </w:rPr>
              <w:t xml:space="preserve">XXVIII - trechos de Linha de Transmissão em 500 </w:t>
            </w:r>
            <w:proofErr w:type="gramStart"/>
            <w:r w:rsidRPr="003B6810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3B6810">
              <w:rPr>
                <w:rFonts w:ascii="Arial" w:hAnsi="Arial" w:cs="Arial"/>
                <w:sz w:val="22"/>
                <w:szCs w:val="22"/>
              </w:rPr>
              <w:t>, circuito simples, com extensão aproximada de 1 km cada, compreendidos entre o ponto de seccionamento da Linha de Transmissão Mesquita - Vespasiano 2 e a Subestação Itabira 5, a instalação das entradas de linha correspondentes nas Subestação Itabira 5, a aquisição e instalação dos equipamentos necessários às modificações, substituições e adequações nas entradas de linha das subestações Vespasiano 2 e Mesquita;</w:t>
            </w:r>
          </w:p>
        </w:tc>
      </w:tr>
      <w:tr w:rsidR="00F910C8" w:rsidRPr="00904CBA" w:rsidTr="003B6810">
        <w:trPr>
          <w:trHeight w:val="205"/>
        </w:trPr>
        <w:tc>
          <w:tcPr>
            <w:tcW w:w="2552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F910C8" w:rsidRPr="00904CBA" w:rsidRDefault="00F910C8" w:rsidP="00D013C9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:rsidR="00F910C8" w:rsidRPr="003B6810" w:rsidRDefault="00F910C8" w:rsidP="00D013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810">
              <w:rPr>
                <w:rFonts w:ascii="Arial" w:hAnsi="Arial" w:cs="Arial"/>
                <w:sz w:val="22"/>
                <w:szCs w:val="22"/>
              </w:rPr>
              <w:t xml:space="preserve">XXIX - trechos de Linha de Transmissão em 230 </w:t>
            </w:r>
            <w:proofErr w:type="gramStart"/>
            <w:r w:rsidRPr="003B6810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3B6810">
              <w:rPr>
                <w:rFonts w:ascii="Arial" w:hAnsi="Arial" w:cs="Arial"/>
                <w:sz w:val="22"/>
                <w:szCs w:val="22"/>
              </w:rPr>
              <w:t>, circuito duplo, com extensão aproximada de 1,5 km, compreendidos entre o ponto de seccionamento da Linha de Transmissão Itabira 2 - Itabira 4 e a Subestação Itabira 5, a instalação das entradas de linha correspondentes nas Subestação Itabira 5, a aquisição e instalação dos equipamentos necessários às modificações, substituições e adequações nas entradas de linha das subestações Itabira 2 e Itabira 4;</w:t>
            </w:r>
          </w:p>
        </w:tc>
      </w:tr>
      <w:tr w:rsidR="00F910C8" w:rsidRPr="00904CBA" w:rsidTr="00F910C8">
        <w:trPr>
          <w:trHeight w:val="1481"/>
        </w:trPr>
        <w:tc>
          <w:tcPr>
            <w:tcW w:w="255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10C8" w:rsidRPr="00904CBA" w:rsidRDefault="00F910C8" w:rsidP="00D013C9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</w:tcPr>
          <w:p w:rsidR="00F910C8" w:rsidRPr="003B6810" w:rsidRDefault="00F910C8" w:rsidP="00D013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810">
              <w:rPr>
                <w:rFonts w:ascii="Arial" w:hAnsi="Arial" w:cs="Arial"/>
                <w:sz w:val="22"/>
                <w:szCs w:val="22"/>
              </w:rPr>
              <w:t xml:space="preserve">XXX - trechos de Linha de Transmissão em 230 </w:t>
            </w:r>
            <w:proofErr w:type="gramStart"/>
            <w:r w:rsidRPr="003B6810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3B6810">
              <w:rPr>
                <w:rFonts w:ascii="Arial" w:hAnsi="Arial" w:cs="Arial"/>
                <w:sz w:val="22"/>
                <w:szCs w:val="22"/>
              </w:rPr>
              <w:t>, circuito simples, com extensão aproximada de 4 km cada, compreendidos entre o ponto de seccionamento da Linha de Transmissão João Monlevade 2 - Itabira 2 e a Subestação João Monlevade 4, a instalação das entradas de linha correspondentes nas Subestação João Monlevade 4, a aquisição e instalação dos equipamentos necessários às modificações, substituições e adequações nas entradas de linha das subestações João Monlevade 2 e Itabira 2; e</w:t>
            </w:r>
          </w:p>
        </w:tc>
      </w:tr>
      <w:tr w:rsidR="00F910C8" w:rsidRPr="00904CBA" w:rsidTr="00F910C8">
        <w:trPr>
          <w:trHeight w:val="205"/>
        </w:trPr>
        <w:tc>
          <w:tcPr>
            <w:tcW w:w="2552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F910C8" w:rsidRPr="00904CBA" w:rsidRDefault="00F910C8" w:rsidP="00D013C9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910C8" w:rsidRPr="003B6810" w:rsidRDefault="00F910C8" w:rsidP="00D013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810">
              <w:rPr>
                <w:rFonts w:ascii="Arial" w:hAnsi="Arial" w:cs="Arial"/>
                <w:sz w:val="22"/>
                <w:szCs w:val="22"/>
              </w:rPr>
              <w:t xml:space="preserve">XXXI - trechos de Linha de Transmissão em 230 </w:t>
            </w:r>
            <w:proofErr w:type="gramStart"/>
            <w:r w:rsidRPr="003B6810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3B6810">
              <w:rPr>
                <w:rFonts w:ascii="Arial" w:hAnsi="Arial" w:cs="Arial"/>
                <w:sz w:val="22"/>
                <w:szCs w:val="22"/>
              </w:rPr>
              <w:t>, circuito duplo, com extensão aproximada de 1 km, compreendidos entre o ponto de seccionamento da Linha de Transmissão Porto Estrela - Itabira 2 e a Subestação Braúnas, a Subestação Braúnas, a instalação das entradas de linha correspondentes nas Subestação Braúnas, a aquisição e instalação dos equipamentos necessários às modificações, substituições e adequações nas entradas de linha das subestações Porto Estreia e Itabira 2.</w:t>
            </w:r>
          </w:p>
        </w:tc>
      </w:tr>
      <w:tr w:rsidR="00F910C8" w:rsidRPr="00904CBA" w:rsidTr="00F910C8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10C8" w:rsidRPr="00904CBA" w:rsidRDefault="00F910C8" w:rsidP="00D013C9">
            <w:pPr>
              <w:rPr>
                <w:rFonts w:ascii="Arial" w:hAnsi="Arial" w:cs="Arial"/>
              </w:rPr>
            </w:pPr>
            <w:r w:rsidRPr="00904CBA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F910C8" w:rsidRPr="003B6810" w:rsidRDefault="00F910C8" w:rsidP="00D013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810">
              <w:rPr>
                <w:rFonts w:ascii="Arial" w:hAnsi="Arial" w:cs="Arial"/>
                <w:sz w:val="22"/>
                <w:szCs w:val="22"/>
              </w:rPr>
              <w:t>De 3/6/2016 a 4/3/2021.</w:t>
            </w:r>
          </w:p>
        </w:tc>
      </w:tr>
      <w:tr w:rsidR="00F910C8" w:rsidRPr="00904CBA" w:rsidTr="00F910C8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F910C8" w:rsidRPr="00904CBA" w:rsidRDefault="00F910C8" w:rsidP="00D013C9">
            <w:pPr>
              <w:rPr>
                <w:rFonts w:ascii="Arial" w:hAnsi="Arial" w:cs="Arial"/>
              </w:rPr>
            </w:pPr>
            <w:r w:rsidRPr="00904CBA">
              <w:rPr>
                <w:rFonts w:ascii="Arial" w:hAnsi="Arial" w:cs="Arial"/>
              </w:rPr>
              <w:t>Localidade do Projeto [Município(s</w:t>
            </w:r>
            <w:proofErr w:type="gramStart"/>
            <w:r w:rsidRPr="00904CBA">
              <w:rPr>
                <w:rFonts w:ascii="Arial" w:hAnsi="Arial" w:cs="Arial"/>
              </w:rPr>
              <w:t>)</w:t>
            </w:r>
            <w:proofErr w:type="gramEnd"/>
            <w:r w:rsidRPr="00904CBA">
              <w:rPr>
                <w:rFonts w:ascii="Arial" w:hAnsi="Arial" w:cs="Arial"/>
              </w:rPr>
              <w:t>/UF(s)]</w:t>
            </w:r>
          </w:p>
        </w:tc>
        <w:tc>
          <w:tcPr>
            <w:tcW w:w="7654" w:type="dxa"/>
          </w:tcPr>
          <w:p w:rsidR="00F910C8" w:rsidRPr="003B6810" w:rsidRDefault="00F910C8" w:rsidP="00D013C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3B6810">
              <w:rPr>
                <w:rFonts w:ascii="Arial" w:hAnsi="Arial" w:cs="Arial"/>
                <w:sz w:val="21"/>
                <w:szCs w:val="21"/>
              </w:rPr>
              <w:t xml:space="preserve">Municípios de Varginha, Três Pontas, Santana da Vargem, Coqueiral, </w:t>
            </w:r>
            <w:proofErr w:type="spellStart"/>
            <w:r w:rsidRPr="003B6810">
              <w:rPr>
                <w:rFonts w:ascii="Arial" w:hAnsi="Arial" w:cs="Arial"/>
                <w:sz w:val="21"/>
                <w:szCs w:val="21"/>
              </w:rPr>
              <w:t>Itutinga</w:t>
            </w:r>
            <w:proofErr w:type="spellEnd"/>
            <w:r w:rsidRPr="003B6810">
              <w:rPr>
                <w:rFonts w:ascii="Arial" w:hAnsi="Arial" w:cs="Arial"/>
                <w:sz w:val="21"/>
                <w:szCs w:val="21"/>
              </w:rPr>
              <w:t xml:space="preserve">, Nazareno, Conceição da Barra de Minas, Ritápolis, Resende Costa, Entre Rios de Minas, São Brás do Suaçuí, </w:t>
            </w:r>
            <w:proofErr w:type="spellStart"/>
            <w:r w:rsidRPr="003B6810">
              <w:rPr>
                <w:rFonts w:ascii="Arial" w:hAnsi="Arial" w:cs="Arial"/>
                <w:sz w:val="21"/>
                <w:szCs w:val="21"/>
              </w:rPr>
              <w:t>Jeceaba</w:t>
            </w:r>
            <w:proofErr w:type="spellEnd"/>
            <w:r w:rsidRPr="003B6810">
              <w:rPr>
                <w:rFonts w:ascii="Arial" w:hAnsi="Arial" w:cs="Arial"/>
                <w:sz w:val="21"/>
                <w:szCs w:val="21"/>
              </w:rPr>
              <w:t xml:space="preserve">, Congonhas, Ouro Preto, Mariana, Sarzedo, Betim, Esmeraldas, Inhaúma, Sete Lagoas, Paraopeba, Caetanópolis, Cordisburgo, Curvelo, Presidente Juscelino, Santana de </w:t>
            </w:r>
            <w:proofErr w:type="spellStart"/>
            <w:r w:rsidRPr="003B6810">
              <w:rPr>
                <w:rFonts w:ascii="Arial" w:hAnsi="Arial" w:cs="Arial"/>
                <w:sz w:val="21"/>
                <w:szCs w:val="21"/>
              </w:rPr>
              <w:t>Pirapama</w:t>
            </w:r>
            <w:proofErr w:type="spellEnd"/>
            <w:r w:rsidRPr="003B6810">
              <w:rPr>
                <w:rFonts w:ascii="Arial" w:hAnsi="Arial" w:cs="Arial"/>
                <w:sz w:val="21"/>
                <w:szCs w:val="21"/>
              </w:rPr>
              <w:t xml:space="preserve">, Jequitibá, Baldim, Jaboticatubas, </w:t>
            </w:r>
            <w:proofErr w:type="spellStart"/>
            <w:r w:rsidRPr="003B6810">
              <w:rPr>
                <w:rFonts w:ascii="Arial" w:hAnsi="Arial" w:cs="Arial"/>
                <w:sz w:val="21"/>
                <w:szCs w:val="21"/>
              </w:rPr>
              <w:t>Taquaraçu</w:t>
            </w:r>
            <w:proofErr w:type="spellEnd"/>
            <w:r w:rsidRPr="003B6810">
              <w:rPr>
                <w:rFonts w:ascii="Arial" w:hAnsi="Arial" w:cs="Arial"/>
                <w:sz w:val="21"/>
                <w:szCs w:val="21"/>
              </w:rPr>
              <w:t xml:space="preserve"> de Minas, Nova União, Itabira, Corinto, </w:t>
            </w:r>
            <w:proofErr w:type="spellStart"/>
            <w:r w:rsidRPr="003B6810">
              <w:rPr>
                <w:rFonts w:ascii="Arial" w:hAnsi="Arial" w:cs="Arial"/>
                <w:sz w:val="21"/>
                <w:szCs w:val="21"/>
              </w:rPr>
              <w:t>Lassance</w:t>
            </w:r>
            <w:proofErr w:type="spellEnd"/>
            <w:r w:rsidRPr="003B6810">
              <w:rPr>
                <w:rFonts w:ascii="Arial" w:hAnsi="Arial" w:cs="Arial"/>
                <w:sz w:val="21"/>
                <w:szCs w:val="21"/>
              </w:rPr>
              <w:t>, Várzea da Palma, Pirapora, Janaúba, Porteirinha, Riacho dos Machados, Grão Mogol, Berilo, Virgem da Lapa, Araçuaí, Bela Vista de Minas, Timóteo e Braúnas, Estado de Minas Gerais.</w:t>
            </w:r>
          </w:p>
        </w:tc>
      </w:tr>
    </w:tbl>
    <w:p w:rsidR="003B6810" w:rsidRPr="003B6810" w:rsidRDefault="003B6810">
      <w:pPr>
        <w:rPr>
          <w:sz w:val="12"/>
          <w:szCs w:val="12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6516"/>
        <w:gridCol w:w="3260"/>
      </w:tblGrid>
      <w:tr w:rsidR="00F910C8" w:rsidRPr="00904CBA" w:rsidTr="00F910C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8" w:rsidRPr="00904CBA" w:rsidRDefault="00F910C8" w:rsidP="00D013C9">
            <w:pPr>
              <w:ind w:left="-70"/>
              <w:jc w:val="center"/>
              <w:rPr>
                <w:rFonts w:ascii="Arial" w:hAnsi="Arial" w:cs="Arial"/>
              </w:rPr>
            </w:pPr>
            <w:r w:rsidRPr="00904CBA">
              <w:rPr>
                <w:rFonts w:ascii="Arial" w:hAnsi="Arial" w:cs="Arial"/>
              </w:rPr>
              <w:t>12</w:t>
            </w:r>
          </w:p>
        </w:tc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0C8" w:rsidRPr="00904CBA" w:rsidRDefault="00F910C8" w:rsidP="00D013C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04CBA">
              <w:rPr>
                <w:rFonts w:ascii="Arial" w:hAnsi="Arial" w:cs="Arial"/>
                <w:bCs/>
              </w:rPr>
              <w:t xml:space="preserve">REPRESENTANTES, RESPONSÁVEL TÉCNICO E CONTADOR DA PESSOA </w:t>
            </w:r>
            <w:proofErr w:type="gramStart"/>
            <w:r w:rsidRPr="00904CBA">
              <w:rPr>
                <w:rFonts w:ascii="Arial" w:hAnsi="Arial" w:cs="Arial"/>
                <w:bCs/>
              </w:rPr>
              <w:t>JURÍDICA</w:t>
            </w:r>
            <w:proofErr w:type="gramEnd"/>
          </w:p>
        </w:tc>
      </w:tr>
      <w:tr w:rsidR="00F910C8" w:rsidRPr="00904CBA" w:rsidTr="003B6810">
        <w:trPr>
          <w:trHeight w:hRule="exact" w:val="284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0C8" w:rsidRPr="00904CBA" w:rsidRDefault="00F910C8" w:rsidP="00D013C9">
            <w:pPr>
              <w:rPr>
                <w:rFonts w:ascii="Arial" w:hAnsi="Arial" w:cs="Arial"/>
              </w:rPr>
            </w:pPr>
            <w:r w:rsidRPr="00904CBA">
              <w:rPr>
                <w:rFonts w:ascii="Arial" w:hAnsi="Arial" w:cs="Arial"/>
              </w:rPr>
              <w:t>Nome: Dalmo Silva de Almeida.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0C8" w:rsidRPr="00904CBA" w:rsidRDefault="00F910C8" w:rsidP="00D013C9">
            <w:pPr>
              <w:rPr>
                <w:rFonts w:ascii="Arial" w:hAnsi="Arial" w:cs="Arial"/>
              </w:rPr>
            </w:pPr>
            <w:r w:rsidRPr="00904CBA">
              <w:rPr>
                <w:rFonts w:ascii="Arial" w:hAnsi="Arial" w:cs="Arial"/>
              </w:rPr>
              <w:t>CPF: 866.958.607-00.</w:t>
            </w:r>
          </w:p>
        </w:tc>
      </w:tr>
      <w:tr w:rsidR="00F910C8" w:rsidRPr="00904CBA" w:rsidTr="003B6810">
        <w:trPr>
          <w:trHeight w:hRule="exact" w:val="284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0C8" w:rsidRPr="00904CBA" w:rsidRDefault="00F910C8" w:rsidP="00D013C9">
            <w:pPr>
              <w:rPr>
                <w:rFonts w:ascii="Arial" w:hAnsi="Arial" w:cs="Arial"/>
              </w:rPr>
            </w:pPr>
            <w:r w:rsidRPr="00904CBA">
              <w:rPr>
                <w:rFonts w:ascii="Arial" w:hAnsi="Arial" w:cs="Arial"/>
              </w:rPr>
              <w:t xml:space="preserve">Nome: Marcelo Vargas </w:t>
            </w:r>
            <w:proofErr w:type="spellStart"/>
            <w:r w:rsidRPr="00904CBA">
              <w:rPr>
                <w:rFonts w:ascii="Arial" w:hAnsi="Arial" w:cs="Arial"/>
              </w:rPr>
              <w:t>Rêdes</w:t>
            </w:r>
            <w:proofErr w:type="spellEnd"/>
            <w:r w:rsidRPr="00904CBA">
              <w:rPr>
                <w:rFonts w:ascii="Arial" w:hAnsi="Arial" w:cs="Arial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0C8" w:rsidRPr="00904CBA" w:rsidRDefault="00F910C8" w:rsidP="00D013C9">
            <w:pPr>
              <w:rPr>
                <w:rFonts w:ascii="Arial" w:hAnsi="Arial" w:cs="Arial"/>
              </w:rPr>
            </w:pPr>
            <w:r w:rsidRPr="00904CBA">
              <w:rPr>
                <w:rFonts w:ascii="Arial" w:hAnsi="Arial" w:cs="Arial"/>
              </w:rPr>
              <w:t>CPF: 014.586.747-11.</w:t>
            </w:r>
          </w:p>
        </w:tc>
      </w:tr>
      <w:tr w:rsidR="00F910C8" w:rsidRPr="00904CBA" w:rsidTr="003B6810">
        <w:trPr>
          <w:trHeight w:hRule="exact" w:val="284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0C8" w:rsidRPr="00904CBA" w:rsidRDefault="00F910C8" w:rsidP="00D013C9">
            <w:pPr>
              <w:rPr>
                <w:rFonts w:ascii="Arial" w:hAnsi="Arial" w:cs="Arial"/>
              </w:rPr>
            </w:pPr>
            <w:r w:rsidRPr="00904CBA">
              <w:rPr>
                <w:rFonts w:ascii="Arial" w:hAnsi="Arial" w:cs="Arial"/>
              </w:rPr>
              <w:t>Nome: Michelle Milena Soares Silveira.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0C8" w:rsidRPr="00904CBA" w:rsidRDefault="00F910C8" w:rsidP="00D013C9">
            <w:pPr>
              <w:rPr>
                <w:rFonts w:ascii="Arial" w:hAnsi="Arial" w:cs="Arial"/>
              </w:rPr>
            </w:pPr>
            <w:r w:rsidRPr="00904CBA">
              <w:rPr>
                <w:rFonts w:ascii="Arial" w:hAnsi="Arial" w:cs="Arial"/>
              </w:rPr>
              <w:t xml:space="preserve">CPF: 104.594.457-23. </w:t>
            </w:r>
          </w:p>
        </w:tc>
      </w:tr>
    </w:tbl>
    <w:p w:rsidR="003B6810" w:rsidRPr="003B6810" w:rsidRDefault="003B6810">
      <w:pPr>
        <w:rPr>
          <w:sz w:val="12"/>
          <w:szCs w:val="12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988"/>
        <w:gridCol w:w="2126"/>
        <w:gridCol w:w="6662"/>
      </w:tblGrid>
      <w:tr w:rsidR="00F910C8" w:rsidRPr="00904CBA" w:rsidTr="00F910C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8" w:rsidRPr="00904CBA" w:rsidRDefault="00F910C8" w:rsidP="00D013C9">
            <w:pPr>
              <w:ind w:left="-70"/>
              <w:jc w:val="center"/>
              <w:rPr>
                <w:rFonts w:ascii="Arial" w:hAnsi="Arial" w:cs="Arial"/>
              </w:rPr>
            </w:pPr>
            <w:r w:rsidRPr="00904CBA">
              <w:rPr>
                <w:rFonts w:ascii="Arial" w:hAnsi="Arial" w:cs="Arial"/>
              </w:rPr>
              <w:t>13</w:t>
            </w:r>
          </w:p>
        </w:tc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0C8" w:rsidRPr="00904CBA" w:rsidRDefault="00F910C8" w:rsidP="00D013C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04CBA">
              <w:rPr>
                <w:rFonts w:ascii="Arial" w:hAnsi="Arial" w:cs="Arial"/>
                <w:bCs/>
              </w:rPr>
              <w:t>ESTIMATIVAS DOS VALORES DOS BENS E SERVIÇOS</w:t>
            </w:r>
          </w:p>
          <w:p w:rsidR="00F910C8" w:rsidRPr="00904CBA" w:rsidRDefault="00F910C8" w:rsidP="00D013C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04CBA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F910C8" w:rsidRPr="00904CBA" w:rsidTr="003B6810">
        <w:trPr>
          <w:trHeight w:val="14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0C8" w:rsidRPr="00904CBA" w:rsidRDefault="00F910C8" w:rsidP="00D013C9">
            <w:pPr>
              <w:rPr>
                <w:rFonts w:ascii="Arial" w:hAnsi="Arial" w:cs="Arial"/>
              </w:rPr>
            </w:pPr>
            <w:r w:rsidRPr="00904CBA">
              <w:rPr>
                <w:rFonts w:ascii="Arial" w:hAnsi="Arial" w:cs="Arial"/>
              </w:rPr>
              <w:t>Bens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10C8" w:rsidRPr="00904CBA" w:rsidRDefault="00F910C8" w:rsidP="00D013C9">
            <w:pPr>
              <w:tabs>
                <w:tab w:val="left" w:pos="1418"/>
              </w:tabs>
              <w:autoSpaceDE w:val="0"/>
              <w:autoSpaceDN w:val="0"/>
              <w:adjustRightInd w:val="0"/>
              <w:ind w:right="-73"/>
              <w:jc w:val="right"/>
              <w:rPr>
                <w:rFonts w:ascii="Arial" w:hAnsi="Arial" w:cs="Arial"/>
              </w:rPr>
            </w:pPr>
            <w:r w:rsidRPr="00904CBA">
              <w:rPr>
                <w:rFonts w:ascii="Arial" w:hAnsi="Arial" w:cs="Arial"/>
              </w:rPr>
              <w:t>1.516.407.830,00.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0C8" w:rsidRPr="00904CBA" w:rsidRDefault="00F910C8" w:rsidP="00D013C9">
            <w:pPr>
              <w:jc w:val="right"/>
              <w:rPr>
                <w:rFonts w:ascii="Arial" w:hAnsi="Arial" w:cs="Arial"/>
              </w:rPr>
            </w:pPr>
          </w:p>
        </w:tc>
      </w:tr>
      <w:tr w:rsidR="00F910C8" w:rsidRPr="00904CBA" w:rsidTr="003B6810">
        <w:trPr>
          <w:trHeight w:val="14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0C8" w:rsidRPr="00904CBA" w:rsidRDefault="00F910C8" w:rsidP="00D013C9">
            <w:pPr>
              <w:rPr>
                <w:rFonts w:ascii="Arial" w:hAnsi="Arial" w:cs="Arial"/>
              </w:rPr>
            </w:pPr>
            <w:r w:rsidRPr="00904CBA">
              <w:rPr>
                <w:rFonts w:ascii="Arial" w:hAnsi="Arial" w:cs="Arial"/>
              </w:rPr>
              <w:t>Serviços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10C8" w:rsidRPr="00904CBA" w:rsidRDefault="00F910C8" w:rsidP="00D013C9">
            <w:pPr>
              <w:tabs>
                <w:tab w:val="left" w:pos="1418"/>
              </w:tabs>
              <w:autoSpaceDE w:val="0"/>
              <w:autoSpaceDN w:val="0"/>
              <w:adjustRightInd w:val="0"/>
              <w:ind w:right="-73"/>
              <w:jc w:val="right"/>
              <w:rPr>
                <w:rFonts w:ascii="Arial" w:hAnsi="Arial" w:cs="Arial"/>
              </w:rPr>
            </w:pPr>
            <w:r w:rsidRPr="00904CBA">
              <w:rPr>
                <w:rFonts w:ascii="Arial" w:hAnsi="Arial" w:cs="Arial"/>
              </w:rPr>
              <w:t>935.612.852,00.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0C8" w:rsidRPr="00904CBA" w:rsidRDefault="00F910C8" w:rsidP="00D013C9">
            <w:pPr>
              <w:jc w:val="right"/>
              <w:rPr>
                <w:rFonts w:ascii="Arial" w:hAnsi="Arial" w:cs="Arial"/>
              </w:rPr>
            </w:pPr>
          </w:p>
        </w:tc>
      </w:tr>
      <w:tr w:rsidR="00F910C8" w:rsidRPr="00904CBA" w:rsidTr="003B6810">
        <w:trPr>
          <w:trHeight w:val="15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0C8" w:rsidRPr="00904CBA" w:rsidRDefault="00F910C8" w:rsidP="00D013C9">
            <w:pPr>
              <w:rPr>
                <w:rFonts w:ascii="Arial" w:hAnsi="Arial" w:cs="Arial"/>
              </w:rPr>
            </w:pPr>
            <w:r w:rsidRPr="00904CBA">
              <w:rPr>
                <w:rFonts w:ascii="Arial" w:hAnsi="Arial" w:cs="Arial"/>
              </w:rPr>
              <w:t>Outros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10C8" w:rsidRPr="00904CBA" w:rsidRDefault="00F910C8" w:rsidP="00D013C9">
            <w:pPr>
              <w:tabs>
                <w:tab w:val="left" w:pos="1418"/>
              </w:tabs>
              <w:autoSpaceDE w:val="0"/>
              <w:autoSpaceDN w:val="0"/>
              <w:adjustRightInd w:val="0"/>
              <w:ind w:right="-73"/>
              <w:jc w:val="right"/>
              <w:rPr>
                <w:rFonts w:ascii="Arial" w:hAnsi="Arial" w:cs="Arial"/>
              </w:rPr>
            </w:pPr>
            <w:r w:rsidRPr="00904CBA">
              <w:rPr>
                <w:rFonts w:ascii="Arial" w:hAnsi="Arial" w:cs="Arial"/>
              </w:rPr>
              <w:t>404.719.466,00.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0C8" w:rsidRPr="00904CBA" w:rsidRDefault="00F910C8" w:rsidP="00D013C9">
            <w:pPr>
              <w:jc w:val="right"/>
              <w:rPr>
                <w:rFonts w:ascii="Arial" w:hAnsi="Arial" w:cs="Arial"/>
              </w:rPr>
            </w:pPr>
          </w:p>
        </w:tc>
      </w:tr>
      <w:tr w:rsidR="00F910C8" w:rsidRPr="00904CBA" w:rsidTr="003B6810">
        <w:trPr>
          <w:trHeight w:val="141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0C8" w:rsidRPr="00904CBA" w:rsidRDefault="00F910C8" w:rsidP="00D013C9">
            <w:pPr>
              <w:rPr>
                <w:rFonts w:ascii="Arial" w:hAnsi="Arial" w:cs="Arial"/>
                <w:b/>
              </w:rPr>
            </w:pPr>
            <w:r w:rsidRPr="00904CBA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10C8" w:rsidRPr="00904CBA" w:rsidRDefault="00F910C8" w:rsidP="00D013C9">
            <w:pPr>
              <w:tabs>
                <w:tab w:val="left" w:pos="1418"/>
              </w:tabs>
              <w:autoSpaceDE w:val="0"/>
              <w:autoSpaceDN w:val="0"/>
              <w:adjustRightInd w:val="0"/>
              <w:ind w:right="-73"/>
              <w:jc w:val="right"/>
              <w:rPr>
                <w:rFonts w:ascii="Arial" w:hAnsi="Arial" w:cs="Arial"/>
                <w:b/>
              </w:rPr>
            </w:pPr>
            <w:r w:rsidRPr="00904CBA">
              <w:rPr>
                <w:rFonts w:ascii="Arial" w:hAnsi="Arial" w:cs="Arial"/>
                <w:b/>
              </w:rPr>
              <w:t>2.856.740.148,00</w:t>
            </w:r>
            <w:r w:rsidRPr="003B6810">
              <w:rPr>
                <w:rFonts w:ascii="Arial" w:hAnsi="Arial" w:cs="Arial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0C8" w:rsidRPr="00904CBA" w:rsidRDefault="00F910C8" w:rsidP="00D013C9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3B6810" w:rsidRPr="003B6810" w:rsidRDefault="003B6810">
      <w:pPr>
        <w:rPr>
          <w:sz w:val="12"/>
          <w:szCs w:val="12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988"/>
        <w:gridCol w:w="2126"/>
        <w:gridCol w:w="6662"/>
      </w:tblGrid>
      <w:tr w:rsidR="00F910C8" w:rsidRPr="00904CBA" w:rsidTr="00F910C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8" w:rsidRPr="00904CBA" w:rsidRDefault="00F910C8" w:rsidP="00D013C9">
            <w:pPr>
              <w:ind w:left="-70"/>
              <w:jc w:val="center"/>
              <w:rPr>
                <w:rFonts w:ascii="Arial" w:hAnsi="Arial" w:cs="Arial"/>
              </w:rPr>
            </w:pPr>
            <w:r w:rsidRPr="00904CBA">
              <w:rPr>
                <w:rFonts w:ascii="Arial" w:hAnsi="Arial" w:cs="Arial"/>
              </w:rPr>
              <w:t>14</w:t>
            </w:r>
          </w:p>
        </w:tc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0C8" w:rsidRPr="00904CBA" w:rsidRDefault="00F910C8" w:rsidP="00D013C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04CBA">
              <w:rPr>
                <w:rFonts w:ascii="Arial" w:hAnsi="Arial" w:cs="Arial"/>
                <w:bCs/>
              </w:rPr>
              <w:t>ESTIMATIVAS DOS VALORES DOS BENS E SERVIÇOS</w:t>
            </w:r>
          </w:p>
          <w:p w:rsidR="00F910C8" w:rsidRPr="00904CBA" w:rsidRDefault="00F910C8" w:rsidP="00D013C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04CBA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F910C8" w:rsidRPr="00904CBA" w:rsidTr="003B6810">
        <w:trPr>
          <w:trHeight w:val="9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0C8" w:rsidRPr="00904CBA" w:rsidRDefault="00F910C8" w:rsidP="00D013C9">
            <w:pPr>
              <w:rPr>
                <w:rFonts w:ascii="Arial" w:hAnsi="Arial" w:cs="Arial"/>
              </w:rPr>
            </w:pPr>
            <w:r w:rsidRPr="00904CBA">
              <w:rPr>
                <w:rFonts w:ascii="Arial" w:hAnsi="Arial" w:cs="Arial"/>
              </w:rPr>
              <w:t>Bens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10C8" w:rsidRPr="00904CBA" w:rsidRDefault="00F910C8" w:rsidP="00D013C9">
            <w:pPr>
              <w:tabs>
                <w:tab w:val="left" w:pos="1418"/>
              </w:tabs>
              <w:autoSpaceDE w:val="0"/>
              <w:autoSpaceDN w:val="0"/>
              <w:adjustRightInd w:val="0"/>
              <w:ind w:right="-73"/>
              <w:jc w:val="right"/>
              <w:rPr>
                <w:rFonts w:ascii="Arial" w:hAnsi="Arial" w:cs="Arial"/>
              </w:rPr>
            </w:pPr>
            <w:r w:rsidRPr="00904CBA">
              <w:rPr>
                <w:rFonts w:ascii="Arial" w:hAnsi="Arial" w:cs="Arial"/>
              </w:rPr>
              <w:t>1.376.140.106,00.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0C8" w:rsidRPr="00904CBA" w:rsidRDefault="00F910C8" w:rsidP="00D013C9">
            <w:pPr>
              <w:jc w:val="right"/>
              <w:rPr>
                <w:rFonts w:ascii="Arial" w:hAnsi="Arial" w:cs="Arial"/>
              </w:rPr>
            </w:pPr>
          </w:p>
        </w:tc>
      </w:tr>
      <w:tr w:rsidR="00F910C8" w:rsidRPr="00904CBA" w:rsidTr="003B6810">
        <w:trPr>
          <w:trHeight w:val="23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0C8" w:rsidRPr="00904CBA" w:rsidRDefault="00F910C8" w:rsidP="00D013C9">
            <w:pPr>
              <w:rPr>
                <w:rFonts w:ascii="Arial" w:hAnsi="Arial" w:cs="Arial"/>
              </w:rPr>
            </w:pPr>
            <w:r w:rsidRPr="00904CBA">
              <w:rPr>
                <w:rFonts w:ascii="Arial" w:hAnsi="Arial" w:cs="Arial"/>
              </w:rPr>
              <w:t>Serviços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10C8" w:rsidRPr="00904CBA" w:rsidRDefault="00F910C8" w:rsidP="00D013C9">
            <w:pPr>
              <w:tabs>
                <w:tab w:val="left" w:pos="1418"/>
              </w:tabs>
              <w:autoSpaceDE w:val="0"/>
              <w:autoSpaceDN w:val="0"/>
              <w:adjustRightInd w:val="0"/>
              <w:ind w:right="-73"/>
              <w:jc w:val="right"/>
              <w:rPr>
                <w:rFonts w:ascii="Arial" w:hAnsi="Arial" w:cs="Arial"/>
              </w:rPr>
            </w:pPr>
            <w:r w:rsidRPr="00904CBA">
              <w:rPr>
                <w:rFonts w:ascii="Arial" w:hAnsi="Arial" w:cs="Arial"/>
              </w:rPr>
              <w:t>901.462.983,00.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0C8" w:rsidRPr="00904CBA" w:rsidRDefault="00F910C8" w:rsidP="00D013C9">
            <w:pPr>
              <w:jc w:val="right"/>
              <w:rPr>
                <w:rFonts w:ascii="Arial" w:hAnsi="Arial" w:cs="Arial"/>
              </w:rPr>
            </w:pPr>
          </w:p>
        </w:tc>
      </w:tr>
      <w:tr w:rsidR="00F910C8" w:rsidRPr="00904CBA" w:rsidTr="003B6810">
        <w:trPr>
          <w:trHeight w:val="9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0C8" w:rsidRPr="00904CBA" w:rsidRDefault="00F910C8" w:rsidP="00D013C9">
            <w:pPr>
              <w:rPr>
                <w:rFonts w:ascii="Arial" w:hAnsi="Arial" w:cs="Arial"/>
              </w:rPr>
            </w:pPr>
            <w:r w:rsidRPr="00904CBA">
              <w:rPr>
                <w:rFonts w:ascii="Arial" w:hAnsi="Arial" w:cs="Arial"/>
              </w:rPr>
              <w:t>Outros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10C8" w:rsidRPr="00904CBA" w:rsidRDefault="00F910C8" w:rsidP="00D013C9">
            <w:pPr>
              <w:tabs>
                <w:tab w:val="left" w:pos="1418"/>
              </w:tabs>
              <w:autoSpaceDE w:val="0"/>
              <w:autoSpaceDN w:val="0"/>
              <w:adjustRightInd w:val="0"/>
              <w:ind w:right="-73"/>
              <w:jc w:val="right"/>
              <w:rPr>
                <w:rFonts w:ascii="Arial" w:hAnsi="Arial" w:cs="Arial"/>
              </w:rPr>
            </w:pPr>
            <w:r w:rsidRPr="00904CBA">
              <w:rPr>
                <w:rFonts w:ascii="Arial" w:hAnsi="Arial" w:cs="Arial"/>
              </w:rPr>
              <w:t>404.719.466,00.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0C8" w:rsidRPr="00904CBA" w:rsidRDefault="00F910C8" w:rsidP="00D013C9">
            <w:pPr>
              <w:jc w:val="right"/>
              <w:rPr>
                <w:rFonts w:ascii="Arial" w:hAnsi="Arial" w:cs="Arial"/>
              </w:rPr>
            </w:pPr>
          </w:p>
        </w:tc>
      </w:tr>
      <w:tr w:rsidR="00F910C8" w:rsidRPr="00904CBA" w:rsidTr="003B6810">
        <w:trPr>
          <w:trHeight w:val="8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0C8" w:rsidRPr="00904CBA" w:rsidRDefault="00F910C8" w:rsidP="00D013C9">
            <w:pPr>
              <w:rPr>
                <w:rFonts w:ascii="Arial" w:hAnsi="Arial" w:cs="Arial"/>
                <w:b/>
              </w:rPr>
            </w:pPr>
            <w:r w:rsidRPr="00904CBA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10C8" w:rsidRPr="00904CBA" w:rsidRDefault="00F910C8" w:rsidP="00D013C9">
            <w:pPr>
              <w:tabs>
                <w:tab w:val="left" w:pos="1418"/>
              </w:tabs>
              <w:autoSpaceDE w:val="0"/>
              <w:autoSpaceDN w:val="0"/>
              <w:adjustRightInd w:val="0"/>
              <w:ind w:right="-73"/>
              <w:jc w:val="right"/>
              <w:rPr>
                <w:rFonts w:ascii="Arial" w:hAnsi="Arial" w:cs="Arial"/>
                <w:b/>
              </w:rPr>
            </w:pPr>
            <w:r w:rsidRPr="00904CBA">
              <w:rPr>
                <w:rFonts w:ascii="Arial" w:hAnsi="Arial" w:cs="Arial"/>
                <w:b/>
              </w:rPr>
              <w:t>2.682.322.555,00.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0C8" w:rsidRPr="00904CBA" w:rsidRDefault="00F910C8" w:rsidP="00D013C9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F910C8" w:rsidRPr="003B6810" w:rsidRDefault="00F910C8" w:rsidP="003B681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4"/>
          <w:szCs w:val="4"/>
        </w:rPr>
      </w:pPr>
    </w:p>
    <w:sectPr w:rsidR="00F910C8" w:rsidRPr="003B6810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3C9" w:rsidRDefault="00D013C9">
      <w:r>
        <w:separator/>
      </w:r>
    </w:p>
  </w:endnote>
  <w:endnote w:type="continuationSeparator" w:id="0">
    <w:p w:rsidR="00D013C9" w:rsidRDefault="00D0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3C9" w:rsidRDefault="00D013C9">
      <w:r>
        <w:separator/>
      </w:r>
    </w:p>
  </w:footnote>
  <w:footnote w:type="continuationSeparator" w:id="0">
    <w:p w:rsidR="00D013C9" w:rsidRDefault="00D01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3C9" w:rsidRDefault="00D013C9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17</w:t>
    </w:r>
    <w:r w:rsidR="00EC422E">
      <w:rPr>
        <w:rFonts w:ascii="Arial" w:hAnsi="Arial" w:cs="Arial"/>
      </w:rPr>
      <w:t>0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13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setembro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B95054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013C9" w:rsidRPr="00A93206" w:rsidRDefault="00D013C9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3C9" w:rsidRDefault="00D013C9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17</w:t>
    </w:r>
    <w:r w:rsidR="00EC422E">
      <w:rPr>
        <w:rFonts w:ascii="Arial" w:hAnsi="Arial" w:cs="Arial"/>
      </w:rPr>
      <w:t>0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13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setembro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B95054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D013C9" w:rsidRDefault="00D013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6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054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A3331-92E3-41EB-B235-0FBE24935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1989</Words>
  <Characters>10654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12618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5</cp:revision>
  <cp:lastPrinted>2010-07-14T20:23:00Z</cp:lastPrinted>
  <dcterms:created xsi:type="dcterms:W3CDTF">2016-09-14T11:32:00Z</dcterms:created>
  <dcterms:modified xsi:type="dcterms:W3CDTF">2016-09-14T12:13:00Z</dcterms:modified>
</cp:coreProperties>
</file>