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951730">
        <w:rPr>
          <w:rFonts w:ascii="Arial" w:hAnsi="Arial" w:cs="Arial"/>
          <w:b/>
          <w:bCs/>
          <w:color w:val="000080"/>
        </w:rPr>
        <w:t>80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34503">
        <w:rPr>
          <w:rFonts w:ascii="Arial" w:hAnsi="Arial" w:cs="Arial"/>
          <w:b/>
          <w:bCs/>
          <w:color w:val="000080"/>
        </w:rPr>
        <w:t>1</w:t>
      </w:r>
      <w:r w:rsidR="00951730">
        <w:rPr>
          <w:rFonts w:ascii="Arial" w:hAnsi="Arial" w:cs="Arial"/>
          <w:b/>
          <w:bCs/>
          <w:color w:val="000080"/>
        </w:rPr>
        <w:t>4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951730" w:rsidRPr="00A52DDF" w:rsidRDefault="00951730" w:rsidP="0095173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52DD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52DDF">
        <w:rPr>
          <w:rFonts w:ascii="Arial" w:hAnsi="Arial" w:cs="Arial"/>
          <w:color w:val="000000"/>
        </w:rPr>
        <w:t>, no uso da competência que lhe foi delegada pelo art. 1</w:t>
      </w:r>
      <w:r w:rsidRPr="00A52DDF">
        <w:rPr>
          <w:rFonts w:ascii="Arial" w:hAnsi="Arial" w:cs="Arial"/>
          <w:color w:val="000000"/>
          <w:u w:val="words"/>
          <w:vertAlign w:val="superscript"/>
        </w:rPr>
        <w:t>o</w:t>
      </w:r>
      <w:r w:rsidRPr="00A52DDF">
        <w:rPr>
          <w:rFonts w:ascii="Arial" w:hAnsi="Arial" w:cs="Arial"/>
          <w:color w:val="000000"/>
        </w:rPr>
        <w:t xml:space="preserve"> da Portaria MME </w:t>
      </w:r>
      <w:proofErr w:type="gramStart"/>
      <w:r w:rsidRPr="00A52DDF">
        <w:rPr>
          <w:rFonts w:ascii="Arial" w:hAnsi="Arial" w:cs="Arial"/>
          <w:color w:val="000000"/>
        </w:rPr>
        <w:t>n</w:t>
      </w:r>
      <w:r w:rsidRPr="00A52DDF">
        <w:rPr>
          <w:rFonts w:ascii="Arial" w:hAnsi="Arial" w:cs="Arial"/>
          <w:color w:val="000000"/>
          <w:u w:val="single"/>
          <w:vertAlign w:val="superscript"/>
        </w:rPr>
        <w:t>o</w:t>
      </w:r>
      <w:r w:rsidRPr="00A52DDF">
        <w:rPr>
          <w:rFonts w:ascii="Arial" w:hAnsi="Arial" w:cs="Arial"/>
          <w:color w:val="000000"/>
        </w:rPr>
        <w:t xml:space="preserve"> 440</w:t>
      </w:r>
      <w:proofErr w:type="gramEnd"/>
      <w:r w:rsidRPr="00A52DDF">
        <w:rPr>
          <w:rFonts w:ascii="Arial" w:hAnsi="Arial" w:cs="Arial"/>
          <w:color w:val="000000"/>
        </w:rPr>
        <w:t>, de 20 de julho de 2012, tendo em vista o disposto no art. 6</w:t>
      </w:r>
      <w:r w:rsidRPr="00A52DDF">
        <w:rPr>
          <w:rFonts w:ascii="Arial" w:hAnsi="Arial" w:cs="Arial"/>
          <w:color w:val="000000"/>
          <w:u w:val="single"/>
          <w:vertAlign w:val="superscript"/>
        </w:rPr>
        <w:t>o</w:t>
      </w:r>
      <w:r w:rsidRPr="00A52DDF">
        <w:rPr>
          <w:rFonts w:ascii="Arial" w:hAnsi="Arial" w:cs="Arial"/>
          <w:color w:val="000000"/>
        </w:rPr>
        <w:t xml:space="preserve"> do Decreto n</w:t>
      </w:r>
      <w:r w:rsidRPr="00A52DDF">
        <w:rPr>
          <w:rFonts w:ascii="Arial" w:hAnsi="Arial" w:cs="Arial"/>
          <w:color w:val="000000"/>
          <w:u w:val="words"/>
          <w:vertAlign w:val="superscript"/>
        </w:rPr>
        <w:t>o</w:t>
      </w:r>
      <w:r w:rsidRPr="00A52DDF">
        <w:rPr>
          <w:rFonts w:ascii="Arial" w:hAnsi="Arial" w:cs="Arial"/>
          <w:color w:val="000000"/>
        </w:rPr>
        <w:t xml:space="preserve"> 6.144, de 3 de julho de </w:t>
      </w:r>
      <w:r w:rsidRPr="00A52DDF">
        <w:rPr>
          <w:rFonts w:ascii="Arial" w:hAnsi="Arial" w:cs="Arial"/>
        </w:rPr>
        <w:t>2007, no art. 2</w:t>
      </w:r>
      <w:r w:rsidRPr="00A52DDF">
        <w:rPr>
          <w:rFonts w:ascii="Arial" w:hAnsi="Arial" w:cs="Arial"/>
          <w:u w:val="words"/>
          <w:vertAlign w:val="superscript"/>
        </w:rPr>
        <w:t>o</w:t>
      </w:r>
      <w:r w:rsidRPr="00A52DDF">
        <w:rPr>
          <w:rFonts w:ascii="Arial" w:hAnsi="Arial" w:cs="Arial"/>
        </w:rPr>
        <w:t>, § 3</w:t>
      </w:r>
      <w:r w:rsidRPr="00A52DDF">
        <w:rPr>
          <w:rFonts w:ascii="Arial" w:hAnsi="Arial" w:cs="Arial"/>
          <w:u w:val="words"/>
          <w:vertAlign w:val="superscript"/>
        </w:rPr>
        <w:t>o</w:t>
      </w:r>
      <w:r w:rsidRPr="00A52DDF">
        <w:rPr>
          <w:rFonts w:ascii="Arial" w:hAnsi="Arial" w:cs="Arial"/>
        </w:rPr>
        <w:t>, da Portaria MME n</w:t>
      </w:r>
      <w:r w:rsidRPr="00A52DDF">
        <w:rPr>
          <w:rFonts w:ascii="Arial" w:hAnsi="Arial" w:cs="Arial"/>
          <w:u w:val="words"/>
          <w:vertAlign w:val="superscript"/>
        </w:rPr>
        <w:t>o</w:t>
      </w:r>
      <w:r w:rsidRPr="00A52DDF">
        <w:rPr>
          <w:rFonts w:ascii="Arial" w:hAnsi="Arial" w:cs="Arial"/>
        </w:rPr>
        <w:t xml:space="preserve"> 274, de 19 de agosto de 2013, e o q</w:t>
      </w:r>
      <w:r w:rsidRPr="00A52DDF">
        <w:rPr>
          <w:rFonts w:ascii="Arial" w:hAnsi="Arial" w:cs="Arial"/>
          <w:color w:val="000000"/>
        </w:rPr>
        <w:t xml:space="preserve">ue consta </w:t>
      </w:r>
      <w:r w:rsidRPr="00A52DDF">
        <w:rPr>
          <w:rFonts w:ascii="Arial" w:hAnsi="Arial" w:cs="Arial"/>
        </w:rPr>
        <w:t>do Processo n</w:t>
      </w:r>
      <w:r w:rsidRPr="00A52DDF">
        <w:rPr>
          <w:rFonts w:ascii="Arial" w:hAnsi="Arial" w:cs="Arial"/>
          <w:u w:val="words"/>
          <w:vertAlign w:val="superscript"/>
        </w:rPr>
        <w:t>o</w:t>
      </w:r>
      <w:r w:rsidRPr="00A52DDF">
        <w:rPr>
          <w:rFonts w:ascii="Arial" w:hAnsi="Arial" w:cs="Arial"/>
        </w:rPr>
        <w:t xml:space="preserve"> </w:t>
      </w:r>
      <w:r w:rsidRPr="00A52DDF">
        <w:rPr>
          <w:rFonts w:ascii="Arial" w:hAnsi="Arial" w:cs="Arial"/>
          <w:noProof/>
        </w:rPr>
        <w:t>48500.002969/2015-03</w:t>
      </w:r>
      <w:r w:rsidRPr="00A52DDF">
        <w:rPr>
          <w:rFonts w:ascii="Arial" w:hAnsi="Arial" w:cs="Arial"/>
        </w:rPr>
        <w:t>, resolve:</w:t>
      </w:r>
    </w:p>
    <w:p w:rsidR="00951730" w:rsidRPr="00A52DDF" w:rsidRDefault="00951730" w:rsidP="0095173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51730" w:rsidRPr="00A52DDF" w:rsidRDefault="00951730" w:rsidP="0095173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52DDF">
        <w:rPr>
          <w:rFonts w:ascii="Arial" w:hAnsi="Arial" w:cs="Arial"/>
        </w:rPr>
        <w:t>Art. 1</w:t>
      </w:r>
      <w:r w:rsidRPr="00A52DDF">
        <w:rPr>
          <w:rFonts w:ascii="Arial" w:hAnsi="Arial" w:cs="Arial"/>
          <w:u w:val="words"/>
          <w:vertAlign w:val="superscript"/>
        </w:rPr>
        <w:t>o</w:t>
      </w:r>
      <w:r w:rsidRPr="00A52DDF">
        <w:rPr>
          <w:rFonts w:ascii="Arial" w:hAnsi="Arial" w:cs="Arial"/>
        </w:rPr>
        <w:t xml:space="preserve"> Aprovar o enquadramento </w:t>
      </w:r>
      <w:r w:rsidRPr="00A52DDF">
        <w:rPr>
          <w:rFonts w:ascii="Arial" w:hAnsi="Arial" w:cs="Arial"/>
          <w:color w:val="000000"/>
        </w:rPr>
        <w:t>no Regime Especial de Incentivos para o Desenvolvimento da Infraestrutura - REIDI do projeto de transmissão de energia elétrica, correspondente ao Lote A do Leilão n</w:t>
      </w:r>
      <w:r w:rsidRPr="00A52DDF">
        <w:rPr>
          <w:rFonts w:ascii="Arial" w:hAnsi="Arial" w:cs="Arial"/>
          <w:u w:val="single"/>
          <w:vertAlign w:val="superscript"/>
        </w:rPr>
        <w:t>o</w:t>
      </w:r>
      <w:r w:rsidRPr="00A52DDF">
        <w:rPr>
          <w:rFonts w:ascii="Arial" w:hAnsi="Arial" w:cs="Arial"/>
          <w:color w:val="000000"/>
        </w:rPr>
        <w:t xml:space="preserve"> </w:t>
      </w:r>
      <w:r w:rsidRPr="00A52DDF">
        <w:rPr>
          <w:rFonts w:ascii="Arial" w:hAnsi="Arial" w:cs="Arial"/>
          <w:noProof/>
          <w:color w:val="000000"/>
        </w:rPr>
        <w:t>07/2014</w:t>
      </w:r>
      <w:r w:rsidRPr="00A52DDF">
        <w:rPr>
          <w:rFonts w:ascii="Arial" w:hAnsi="Arial" w:cs="Arial"/>
          <w:color w:val="000000"/>
        </w:rPr>
        <w:t xml:space="preserve">-ANEEL, de titularidade da </w:t>
      </w:r>
      <w:r w:rsidRPr="00A52DDF">
        <w:rPr>
          <w:rFonts w:ascii="Arial" w:hAnsi="Arial" w:cs="Arial"/>
        </w:rPr>
        <w:t xml:space="preserve">empresa </w:t>
      </w:r>
      <w:r w:rsidRPr="00A52DDF">
        <w:rPr>
          <w:rFonts w:ascii="Arial" w:hAnsi="Arial" w:cs="Arial"/>
          <w:noProof/>
          <w:color w:val="000000"/>
        </w:rPr>
        <w:t>Transmissora José Maria de Macedo de Eletricidade S.A.</w:t>
      </w:r>
      <w:r w:rsidRPr="00A52DDF">
        <w:rPr>
          <w:rFonts w:ascii="Arial" w:hAnsi="Arial" w:cs="Arial"/>
          <w:color w:val="000000"/>
        </w:rPr>
        <w:t>, inscrita no CNPJ/MF sob o n</w:t>
      </w:r>
      <w:r w:rsidRPr="00A52DDF">
        <w:rPr>
          <w:rFonts w:ascii="Arial" w:hAnsi="Arial" w:cs="Arial"/>
          <w:color w:val="000000"/>
          <w:u w:val="words"/>
          <w:vertAlign w:val="superscript"/>
        </w:rPr>
        <w:t>o</w:t>
      </w:r>
      <w:r w:rsidRPr="00A52DDF">
        <w:rPr>
          <w:rFonts w:ascii="Arial" w:hAnsi="Arial" w:cs="Arial"/>
          <w:color w:val="000000"/>
          <w:u w:val="words"/>
        </w:rPr>
        <w:t xml:space="preserve"> </w:t>
      </w:r>
      <w:r w:rsidRPr="00A52DDF">
        <w:rPr>
          <w:rFonts w:ascii="Arial" w:hAnsi="Arial" w:cs="Arial"/>
          <w:noProof/>
          <w:color w:val="000000"/>
        </w:rPr>
        <w:t>21.728.083/0001-00</w:t>
      </w:r>
      <w:r w:rsidRPr="00A52DDF">
        <w:rPr>
          <w:rFonts w:ascii="Arial" w:hAnsi="Arial" w:cs="Arial"/>
          <w:color w:val="000000"/>
        </w:rPr>
        <w:t xml:space="preserve">, detalhado no Anexo </w:t>
      </w:r>
      <w:proofErr w:type="gramStart"/>
      <w:r w:rsidRPr="00A52DDF">
        <w:rPr>
          <w:rFonts w:ascii="Arial" w:hAnsi="Arial" w:cs="Arial"/>
          <w:color w:val="000000"/>
        </w:rPr>
        <w:t>à</w:t>
      </w:r>
      <w:proofErr w:type="gramEnd"/>
      <w:r w:rsidRPr="00A52DDF">
        <w:rPr>
          <w:rFonts w:ascii="Arial" w:hAnsi="Arial" w:cs="Arial"/>
          <w:color w:val="000000"/>
        </w:rPr>
        <w:t xml:space="preserve"> presente Portaria.</w:t>
      </w:r>
    </w:p>
    <w:p w:rsidR="00951730" w:rsidRPr="00A52DDF" w:rsidRDefault="00951730" w:rsidP="0095173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51730" w:rsidRPr="00A52DDF" w:rsidRDefault="00951730" w:rsidP="00951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52DDF">
        <w:rPr>
          <w:rFonts w:ascii="Arial" w:hAnsi="Arial" w:cs="Arial"/>
        </w:rPr>
        <w:t xml:space="preserve">Parágrafo único. O projeto de que trata o </w:t>
      </w:r>
      <w:r w:rsidRPr="00A52DDF">
        <w:rPr>
          <w:rFonts w:ascii="Arial" w:hAnsi="Arial" w:cs="Arial"/>
          <w:b/>
        </w:rPr>
        <w:t>caput</w:t>
      </w:r>
      <w:r w:rsidRPr="00A52DDF">
        <w:rPr>
          <w:rFonts w:ascii="Arial" w:hAnsi="Arial" w:cs="Arial"/>
        </w:rPr>
        <w:t xml:space="preserve">, objeto do Contrato de Concessão </w:t>
      </w:r>
      <w:r w:rsidRPr="00A52DDF">
        <w:rPr>
          <w:rFonts w:ascii="Arial" w:hAnsi="Arial" w:cs="Arial"/>
        </w:rPr>
        <w:br/>
        <w:t>n</w:t>
      </w:r>
      <w:r w:rsidRPr="00A52DDF">
        <w:rPr>
          <w:rFonts w:ascii="Arial" w:hAnsi="Arial" w:cs="Arial"/>
          <w:u w:val="words"/>
          <w:vertAlign w:val="superscript"/>
        </w:rPr>
        <w:t>o</w:t>
      </w:r>
      <w:r w:rsidRPr="00A52DDF">
        <w:rPr>
          <w:rFonts w:ascii="Arial" w:hAnsi="Arial" w:cs="Arial"/>
        </w:rPr>
        <w:t xml:space="preserve"> </w:t>
      </w:r>
      <w:r w:rsidRPr="00A52DDF">
        <w:rPr>
          <w:rFonts w:ascii="Arial" w:hAnsi="Arial" w:cs="Arial"/>
          <w:noProof/>
        </w:rPr>
        <w:t>05/2015, celebrado em 27 de março de 2015</w:t>
      </w:r>
      <w:r w:rsidRPr="00A52DDF">
        <w:rPr>
          <w:rFonts w:ascii="Arial" w:hAnsi="Arial" w:cs="Arial"/>
        </w:rPr>
        <w:t>, é alcançado pelo art. 4</w:t>
      </w:r>
      <w:r w:rsidRPr="00A52DDF">
        <w:rPr>
          <w:rFonts w:ascii="Arial" w:hAnsi="Arial" w:cs="Arial"/>
          <w:u w:val="words"/>
          <w:vertAlign w:val="superscript"/>
        </w:rPr>
        <w:t>o</w:t>
      </w:r>
      <w:r w:rsidRPr="00A52DDF">
        <w:rPr>
          <w:rFonts w:ascii="Arial" w:hAnsi="Arial" w:cs="Arial"/>
        </w:rPr>
        <w:t xml:space="preserve">, inciso II, da Portaria MME </w:t>
      </w:r>
      <w:proofErr w:type="gramStart"/>
      <w:r w:rsidRPr="00A52DDF">
        <w:rPr>
          <w:rFonts w:ascii="Arial" w:hAnsi="Arial" w:cs="Arial"/>
        </w:rPr>
        <w:t>n</w:t>
      </w:r>
      <w:r w:rsidRPr="00A52DDF">
        <w:rPr>
          <w:rFonts w:ascii="Arial" w:hAnsi="Arial" w:cs="Arial"/>
          <w:u w:val="words"/>
          <w:vertAlign w:val="superscript"/>
        </w:rPr>
        <w:t>o</w:t>
      </w:r>
      <w:r w:rsidRPr="00A52DDF">
        <w:rPr>
          <w:rFonts w:ascii="Arial" w:hAnsi="Arial" w:cs="Arial"/>
        </w:rPr>
        <w:t xml:space="preserve"> 274</w:t>
      </w:r>
      <w:proofErr w:type="gramEnd"/>
      <w:r w:rsidRPr="00A52DDF">
        <w:rPr>
          <w:rFonts w:ascii="Arial" w:hAnsi="Arial" w:cs="Arial"/>
        </w:rPr>
        <w:t>, de 19 de agosto de 2013.</w:t>
      </w:r>
    </w:p>
    <w:p w:rsidR="00951730" w:rsidRPr="00A52DDF" w:rsidRDefault="00951730" w:rsidP="0095173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51730" w:rsidRPr="00A52DDF" w:rsidRDefault="00951730" w:rsidP="00951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52DDF">
        <w:rPr>
          <w:rFonts w:ascii="Arial" w:hAnsi="Arial" w:cs="Arial"/>
          <w:color w:val="000000"/>
        </w:rPr>
        <w:t>Art. 2</w:t>
      </w:r>
      <w:r w:rsidRPr="00A52DDF">
        <w:rPr>
          <w:rFonts w:ascii="Arial" w:hAnsi="Arial" w:cs="Arial"/>
          <w:color w:val="000000"/>
          <w:u w:val="words"/>
          <w:vertAlign w:val="superscript"/>
        </w:rPr>
        <w:t>o</w:t>
      </w:r>
      <w:r w:rsidRPr="00A52DDF">
        <w:rPr>
          <w:rFonts w:ascii="Arial" w:hAnsi="Arial" w:cs="Arial"/>
          <w:color w:val="000000"/>
        </w:rPr>
        <w:t xml:space="preserve"> As estimativas dos investimentos têm por base o mês de </w:t>
      </w:r>
      <w:r w:rsidRPr="00A52DDF">
        <w:rPr>
          <w:rFonts w:ascii="Arial" w:hAnsi="Arial" w:cs="Arial"/>
        </w:rPr>
        <w:t xml:space="preserve">junho de 2015 </w:t>
      </w:r>
      <w:r w:rsidRPr="00A52DDF">
        <w:rPr>
          <w:rFonts w:ascii="Arial" w:hAnsi="Arial" w:cs="Arial"/>
          <w:color w:val="000000"/>
        </w:rPr>
        <w:t xml:space="preserve">e são de exclusiva responsabilidade da </w:t>
      </w:r>
      <w:r w:rsidRPr="00A52DDF">
        <w:rPr>
          <w:rFonts w:ascii="Arial" w:hAnsi="Arial" w:cs="Arial"/>
          <w:noProof/>
          <w:color w:val="000000"/>
        </w:rPr>
        <w:t>Transmissora José Maria de Macedo de Eletricidade S.A.</w:t>
      </w:r>
      <w:r w:rsidRPr="00A52DDF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951730" w:rsidRPr="00A52DDF" w:rsidRDefault="00951730" w:rsidP="00951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51730" w:rsidRPr="00A52DDF" w:rsidRDefault="00951730" w:rsidP="00951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52DDF">
        <w:rPr>
          <w:rFonts w:ascii="Arial" w:hAnsi="Arial" w:cs="Arial"/>
          <w:color w:val="000000"/>
        </w:rPr>
        <w:t>Art. 3</w:t>
      </w:r>
      <w:r w:rsidRPr="00A52DDF">
        <w:rPr>
          <w:rFonts w:ascii="Arial" w:hAnsi="Arial" w:cs="Arial"/>
          <w:color w:val="000000"/>
          <w:u w:val="words"/>
          <w:vertAlign w:val="superscript"/>
        </w:rPr>
        <w:t>o</w:t>
      </w:r>
      <w:r w:rsidRPr="00A52DDF">
        <w:rPr>
          <w:rFonts w:ascii="Arial" w:hAnsi="Arial" w:cs="Arial"/>
          <w:color w:val="000000"/>
        </w:rPr>
        <w:t xml:space="preserve"> A </w:t>
      </w:r>
      <w:r w:rsidRPr="00A52DDF">
        <w:rPr>
          <w:rFonts w:ascii="Arial" w:hAnsi="Arial" w:cs="Arial"/>
          <w:noProof/>
          <w:color w:val="000000"/>
        </w:rPr>
        <w:t xml:space="preserve">Transmissora José Maria de Macedo de Eletricidade S.A. </w:t>
      </w:r>
      <w:r w:rsidRPr="00A52DDF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951730" w:rsidRPr="00A52DDF" w:rsidRDefault="00951730" w:rsidP="00951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51730" w:rsidRPr="00A52DDF" w:rsidRDefault="00951730" w:rsidP="0095173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52DDF">
        <w:rPr>
          <w:rFonts w:ascii="Arial" w:hAnsi="Arial" w:cs="Arial"/>
          <w:color w:val="000000"/>
        </w:rPr>
        <w:t>Art. 4</w:t>
      </w:r>
      <w:r w:rsidRPr="00A52DDF">
        <w:rPr>
          <w:rFonts w:ascii="Arial" w:hAnsi="Arial" w:cs="Arial"/>
          <w:color w:val="000000"/>
          <w:u w:val="words"/>
          <w:vertAlign w:val="superscript"/>
        </w:rPr>
        <w:t>o</w:t>
      </w:r>
      <w:r w:rsidRPr="00A52DDF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951730" w:rsidRPr="00A52DDF" w:rsidRDefault="00951730" w:rsidP="0095173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51730" w:rsidRPr="00A52DDF" w:rsidRDefault="00951730" w:rsidP="0095173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52DDF">
        <w:rPr>
          <w:rFonts w:ascii="Arial" w:hAnsi="Arial" w:cs="Arial"/>
          <w:color w:val="000000"/>
        </w:rPr>
        <w:t>Art. 5</w:t>
      </w:r>
      <w:r w:rsidRPr="00A52DDF">
        <w:rPr>
          <w:rFonts w:ascii="Arial" w:hAnsi="Arial" w:cs="Arial"/>
          <w:color w:val="000000"/>
          <w:u w:val="words"/>
          <w:vertAlign w:val="superscript"/>
        </w:rPr>
        <w:t>o</w:t>
      </w:r>
      <w:r w:rsidRPr="00A52DD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51730" w:rsidRPr="00A52DDF" w:rsidRDefault="00951730" w:rsidP="0095173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51730" w:rsidRPr="00A52DDF" w:rsidRDefault="00951730" w:rsidP="0095173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52DDF">
        <w:rPr>
          <w:rFonts w:ascii="Arial" w:hAnsi="Arial" w:cs="Arial"/>
          <w:color w:val="000000"/>
        </w:rPr>
        <w:t>Art. 6</w:t>
      </w:r>
      <w:r w:rsidRPr="00A52DDF">
        <w:rPr>
          <w:rFonts w:ascii="Arial" w:hAnsi="Arial" w:cs="Arial"/>
          <w:color w:val="000000"/>
          <w:u w:val="words"/>
          <w:vertAlign w:val="superscript"/>
        </w:rPr>
        <w:t>o</w:t>
      </w:r>
      <w:r w:rsidRPr="00A52DD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A29F6">
        <w:rPr>
          <w:rFonts w:ascii="Arial" w:hAnsi="Arial" w:cs="Arial"/>
          <w:color w:val="FF0000"/>
        </w:rPr>
        <w:t>1</w:t>
      </w:r>
      <w:r w:rsidR="00951730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951730" w:rsidRDefault="009517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51730" w:rsidRPr="00A52DDF" w:rsidRDefault="00951730" w:rsidP="0095173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52DDF">
        <w:rPr>
          <w:rFonts w:ascii="Arial" w:hAnsi="Arial" w:cs="Arial"/>
          <w:b/>
          <w:color w:val="000000"/>
        </w:rPr>
        <w:lastRenderedPageBreak/>
        <w:t>ANEXO</w:t>
      </w:r>
    </w:p>
    <w:p w:rsidR="00951730" w:rsidRPr="00A52DDF" w:rsidRDefault="00951730" w:rsidP="0095173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951730" w:rsidRPr="00A52DDF" w:rsidTr="005311ED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0" w:rsidRPr="00A52DDF" w:rsidRDefault="00951730" w:rsidP="005311E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52DD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51730" w:rsidRPr="00A52DDF" w:rsidRDefault="00951730" w:rsidP="00951730">
      <w:pPr>
        <w:keepNext/>
        <w:jc w:val="center"/>
        <w:outlineLvl w:val="0"/>
        <w:rPr>
          <w:rFonts w:ascii="Arial" w:hAnsi="Arial" w:cs="Arial"/>
          <w:b/>
          <w:bCs/>
          <w:sz w:val="4"/>
          <w:szCs w:val="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51730" w:rsidRPr="00A52DDF" w:rsidTr="005311ED">
        <w:tc>
          <w:tcPr>
            <w:tcW w:w="10490" w:type="dxa"/>
            <w:vAlign w:val="center"/>
          </w:tcPr>
          <w:p w:rsidR="00951730" w:rsidRPr="00A52DDF" w:rsidRDefault="00951730" w:rsidP="005311E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52DDF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951730" w:rsidRPr="00A52DDF" w:rsidRDefault="00951730" w:rsidP="00951730">
      <w:pPr>
        <w:rPr>
          <w:rFonts w:ascii="Arial" w:hAnsi="Arial" w:cs="Arial"/>
          <w:sz w:val="4"/>
          <w:szCs w:val="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835"/>
      </w:tblGrid>
      <w:tr w:rsidR="00951730" w:rsidRPr="00A52DDF" w:rsidTr="005311E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A52DDF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951730" w:rsidRPr="00A52DDF" w:rsidTr="005311ED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 xml:space="preserve">CNPJ      </w:t>
            </w:r>
          </w:p>
        </w:tc>
      </w:tr>
      <w:tr w:rsidR="00951730" w:rsidRPr="00A52DDF" w:rsidTr="005311ED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  <w:noProof/>
              </w:rPr>
              <w:t>Transmissora José Maria de Macedo de Eletricidade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  <w:noProof/>
              </w:rPr>
              <w:t>21.728.083/0001-00</w:t>
            </w:r>
          </w:p>
        </w:tc>
      </w:tr>
      <w:tr w:rsidR="00951730" w:rsidRPr="00A52DDF" w:rsidTr="005311E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Número</w:t>
            </w:r>
          </w:p>
        </w:tc>
      </w:tr>
      <w:tr w:rsidR="00951730" w:rsidRPr="00A52DDF" w:rsidTr="005311E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Avenida Presidente Wilson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231</w:t>
            </w:r>
          </w:p>
        </w:tc>
      </w:tr>
      <w:tr w:rsidR="00951730" w:rsidRPr="00A52DDF" w:rsidTr="005311E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CEP</w:t>
            </w:r>
          </w:p>
        </w:tc>
      </w:tr>
      <w:tr w:rsidR="00951730" w:rsidRPr="00A52DDF" w:rsidTr="005311E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Sala 802 - Parte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20230-021</w:t>
            </w:r>
          </w:p>
        </w:tc>
      </w:tr>
      <w:tr w:rsidR="00951730" w:rsidRPr="00A52DDF" w:rsidTr="005311E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Telefone</w:t>
            </w:r>
          </w:p>
        </w:tc>
      </w:tr>
      <w:tr w:rsidR="00951730" w:rsidRPr="00A52DDF" w:rsidTr="005311E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(21) 2102-9900</w:t>
            </w:r>
          </w:p>
        </w:tc>
      </w:tr>
    </w:tbl>
    <w:p w:rsidR="00951730" w:rsidRPr="00A52DDF" w:rsidRDefault="00951730" w:rsidP="00951730">
      <w:pPr>
        <w:rPr>
          <w:rFonts w:ascii="Arial" w:hAnsi="Arial" w:cs="Arial"/>
          <w:b/>
          <w:bCs/>
          <w:sz w:val="4"/>
          <w:szCs w:val="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938"/>
      </w:tblGrid>
      <w:tr w:rsidR="00951730" w:rsidRPr="00A52DDF" w:rsidTr="005311ED">
        <w:tc>
          <w:tcPr>
            <w:tcW w:w="432" w:type="dxa"/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11</w:t>
            </w:r>
          </w:p>
        </w:tc>
        <w:tc>
          <w:tcPr>
            <w:tcW w:w="10058" w:type="dxa"/>
            <w:gridSpan w:val="2"/>
            <w:vAlign w:val="center"/>
          </w:tcPr>
          <w:p w:rsidR="00951730" w:rsidRPr="00A52DDF" w:rsidRDefault="00951730" w:rsidP="005311E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52DDF">
              <w:rPr>
                <w:rFonts w:ascii="Arial" w:hAnsi="Arial" w:cs="Arial"/>
                <w:bCs/>
              </w:rPr>
              <w:t>DADOS DO PROJETO</w:t>
            </w:r>
          </w:p>
        </w:tc>
      </w:tr>
      <w:tr w:rsidR="00951730" w:rsidRPr="00A52DDF" w:rsidTr="00951730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51730" w:rsidRPr="00A52DDF" w:rsidRDefault="00951730" w:rsidP="005311ED">
            <w:pPr>
              <w:rPr>
                <w:rFonts w:ascii="Arial" w:hAnsi="Arial" w:cs="Arial"/>
                <w:b/>
              </w:rPr>
            </w:pPr>
            <w:r w:rsidRPr="00A52DD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  <w:color w:val="000000"/>
              </w:rPr>
              <w:t>Lote A do Leilão n</w:t>
            </w:r>
            <w:r w:rsidRPr="00A52DDF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52DDF">
              <w:rPr>
                <w:rFonts w:ascii="Arial" w:hAnsi="Arial" w:cs="Arial"/>
                <w:color w:val="000000"/>
              </w:rPr>
              <w:t xml:space="preserve"> </w:t>
            </w:r>
            <w:r w:rsidRPr="00A52DDF">
              <w:rPr>
                <w:rFonts w:ascii="Arial" w:hAnsi="Arial" w:cs="Arial"/>
                <w:noProof/>
                <w:color w:val="000000"/>
              </w:rPr>
              <w:t>07/2014</w:t>
            </w:r>
            <w:r w:rsidRPr="00A52DDF">
              <w:rPr>
                <w:rFonts w:ascii="Arial" w:hAnsi="Arial" w:cs="Arial"/>
                <w:color w:val="000000"/>
              </w:rPr>
              <w:t>-ANEEL</w:t>
            </w:r>
            <w:r w:rsidRPr="00A52DDF">
              <w:rPr>
                <w:rFonts w:ascii="Arial" w:hAnsi="Arial" w:cs="Arial"/>
              </w:rPr>
              <w:t xml:space="preserve"> (Contrato de Concessão n</w:t>
            </w:r>
            <w:r w:rsidRPr="00A52DD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52DDF">
              <w:rPr>
                <w:rFonts w:ascii="Arial" w:hAnsi="Arial" w:cs="Arial"/>
              </w:rPr>
              <w:t xml:space="preserve"> </w:t>
            </w:r>
            <w:r w:rsidRPr="00A52DDF">
              <w:rPr>
                <w:rFonts w:ascii="Arial" w:hAnsi="Arial" w:cs="Arial"/>
                <w:noProof/>
              </w:rPr>
              <w:t>05/2015, celebrado em 27 de março de 2015</w:t>
            </w:r>
            <w:r w:rsidRPr="00A52DDF">
              <w:rPr>
                <w:rFonts w:ascii="Arial" w:hAnsi="Arial" w:cs="Arial"/>
              </w:rPr>
              <w:t xml:space="preserve">). </w:t>
            </w:r>
          </w:p>
        </w:tc>
      </w:tr>
      <w:tr w:rsidR="00951730" w:rsidRPr="00A52DDF" w:rsidTr="00951730">
        <w:trPr>
          <w:trHeight w:val="100"/>
        </w:trPr>
        <w:tc>
          <w:tcPr>
            <w:tcW w:w="2552" w:type="dxa"/>
            <w:gridSpan w:val="2"/>
            <w:vMerge w:val="restart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951730" w:rsidRPr="00A52DDF" w:rsidRDefault="00951730" w:rsidP="005311ED">
            <w:pPr>
              <w:pStyle w:val="Default"/>
              <w:jc w:val="both"/>
            </w:pPr>
            <w:r w:rsidRPr="00A52DDF">
              <w:t>Projeto de Transmissão de Energia Elétrica, relativo ao Lote A do Leilão n</w:t>
            </w:r>
            <w:r w:rsidRPr="00A52DDF">
              <w:rPr>
                <w:u w:val="single"/>
                <w:vertAlign w:val="superscript"/>
              </w:rPr>
              <w:t>o</w:t>
            </w:r>
            <w:r w:rsidRPr="00A52DDF">
              <w:t xml:space="preserve"> </w:t>
            </w:r>
            <w:r w:rsidRPr="00A52DDF">
              <w:rPr>
                <w:noProof/>
              </w:rPr>
              <w:t>07/2014</w:t>
            </w:r>
            <w:r w:rsidRPr="00A52DDF">
              <w:t>-ANEEL, compreendendo:</w:t>
            </w:r>
          </w:p>
        </w:tc>
      </w:tr>
      <w:tr w:rsidR="00951730" w:rsidRPr="00A52DDF" w:rsidTr="00951730">
        <w:trPr>
          <w:trHeight w:val="277"/>
        </w:trPr>
        <w:tc>
          <w:tcPr>
            <w:tcW w:w="2552" w:type="dxa"/>
            <w:gridSpan w:val="2"/>
            <w:vMerge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51730" w:rsidRPr="00951730" w:rsidRDefault="00951730" w:rsidP="005311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51730">
              <w:rPr>
                <w:rFonts w:ascii="Arial" w:hAnsi="Arial" w:cs="Arial"/>
                <w:sz w:val="23"/>
                <w:szCs w:val="23"/>
              </w:rPr>
              <w:t xml:space="preserve">I - Linha de Transmissão Gilbués II - Gentio do Ouro II, em 500 </w:t>
            </w:r>
            <w:proofErr w:type="gramStart"/>
            <w:r w:rsidRPr="00951730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951730">
              <w:rPr>
                <w:rFonts w:ascii="Arial" w:hAnsi="Arial" w:cs="Arial"/>
                <w:sz w:val="23"/>
                <w:szCs w:val="23"/>
              </w:rPr>
              <w:t>, Circuito Simples, com extensão aproximada  de trezentos e cinquenta e sete quilômetros, com origem na Subestação Gilbués II e término na Subestação Gentio do Ouro II;</w:t>
            </w:r>
          </w:p>
        </w:tc>
      </w:tr>
      <w:tr w:rsidR="00951730" w:rsidRPr="00A52DDF" w:rsidTr="00951730">
        <w:trPr>
          <w:trHeight w:val="277"/>
        </w:trPr>
        <w:tc>
          <w:tcPr>
            <w:tcW w:w="2552" w:type="dxa"/>
            <w:gridSpan w:val="2"/>
            <w:vMerge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51730" w:rsidRPr="00951730" w:rsidRDefault="00951730" w:rsidP="005311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51730">
              <w:rPr>
                <w:rFonts w:ascii="Arial" w:hAnsi="Arial" w:cs="Arial"/>
                <w:sz w:val="23"/>
                <w:szCs w:val="23"/>
              </w:rPr>
              <w:t xml:space="preserve">II - Linha de Transmissão Gentio do Ouro II - Brotas de Macaúbas, em 230 </w:t>
            </w:r>
            <w:proofErr w:type="gramStart"/>
            <w:r w:rsidRPr="00951730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951730">
              <w:rPr>
                <w:rFonts w:ascii="Arial" w:hAnsi="Arial" w:cs="Arial"/>
                <w:sz w:val="23"/>
                <w:szCs w:val="23"/>
              </w:rPr>
              <w:t xml:space="preserve">, Circuito Simples, com extensão aproximada de cento e vinte e oito quilômetros, com origem na Subestação Gentio do Ouro II e término na Subestação Brotas de Macaúbas; </w:t>
            </w:r>
          </w:p>
        </w:tc>
      </w:tr>
      <w:tr w:rsidR="00951730" w:rsidRPr="00A52DDF" w:rsidTr="00951730">
        <w:trPr>
          <w:trHeight w:val="277"/>
        </w:trPr>
        <w:tc>
          <w:tcPr>
            <w:tcW w:w="2552" w:type="dxa"/>
            <w:gridSpan w:val="2"/>
            <w:vMerge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51730" w:rsidRPr="00951730" w:rsidRDefault="00951730" w:rsidP="005311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51730">
              <w:rPr>
                <w:rFonts w:ascii="Arial" w:hAnsi="Arial" w:cs="Arial"/>
                <w:sz w:val="23"/>
                <w:szCs w:val="23"/>
              </w:rPr>
              <w:t xml:space="preserve">III - Linha de Transmissão Gentio do Ouro II - Ourolândia II, em 500 </w:t>
            </w:r>
            <w:proofErr w:type="gramStart"/>
            <w:r w:rsidRPr="00951730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951730">
              <w:rPr>
                <w:rFonts w:ascii="Arial" w:hAnsi="Arial" w:cs="Arial"/>
                <w:sz w:val="23"/>
                <w:szCs w:val="23"/>
              </w:rPr>
              <w:t>, Circuito Simples, com  extensão aproximada de cento e cinquenta e sete quilômetros, com origem na Subestação Gentio do Ouro II e término na Subestação Ourolândia II;</w:t>
            </w:r>
          </w:p>
        </w:tc>
      </w:tr>
      <w:tr w:rsidR="00951730" w:rsidRPr="00A52DDF" w:rsidTr="00951730">
        <w:trPr>
          <w:trHeight w:val="277"/>
        </w:trPr>
        <w:tc>
          <w:tcPr>
            <w:tcW w:w="2552" w:type="dxa"/>
            <w:gridSpan w:val="2"/>
            <w:vMerge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51730" w:rsidRPr="00951730" w:rsidRDefault="00951730" w:rsidP="005311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51730">
              <w:rPr>
                <w:rFonts w:ascii="Arial" w:hAnsi="Arial" w:cs="Arial"/>
                <w:sz w:val="23"/>
                <w:szCs w:val="23"/>
              </w:rPr>
              <w:t xml:space="preserve">IV - Linha de Transmissão Ourolândia II - Morro do Chapéu II, em 500 </w:t>
            </w:r>
            <w:proofErr w:type="gramStart"/>
            <w:r w:rsidRPr="00951730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951730">
              <w:rPr>
                <w:rFonts w:ascii="Arial" w:hAnsi="Arial" w:cs="Arial"/>
                <w:sz w:val="23"/>
                <w:szCs w:val="23"/>
              </w:rPr>
              <w:t xml:space="preserve">, Circuito Simples, com extensão aproximada de cento e vinte e cinco quilômetros, com origem na Subestação Ourolândia II e término na Subestação Morro do Chapéu II; </w:t>
            </w:r>
          </w:p>
        </w:tc>
      </w:tr>
      <w:tr w:rsidR="00951730" w:rsidRPr="00A52DDF" w:rsidTr="00951730">
        <w:trPr>
          <w:trHeight w:val="277"/>
        </w:trPr>
        <w:tc>
          <w:tcPr>
            <w:tcW w:w="2552" w:type="dxa"/>
            <w:gridSpan w:val="2"/>
            <w:vMerge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51730" w:rsidRPr="00951730" w:rsidRDefault="00951730" w:rsidP="005311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51730">
              <w:rPr>
                <w:rFonts w:ascii="Arial" w:hAnsi="Arial" w:cs="Arial"/>
                <w:sz w:val="23"/>
                <w:szCs w:val="23"/>
              </w:rPr>
              <w:t xml:space="preserve">V - Linha de Transmissão Igaporã III - </w:t>
            </w:r>
            <w:proofErr w:type="spellStart"/>
            <w:r w:rsidRPr="00951730">
              <w:rPr>
                <w:rFonts w:ascii="Arial" w:hAnsi="Arial" w:cs="Arial"/>
                <w:sz w:val="23"/>
                <w:szCs w:val="23"/>
              </w:rPr>
              <w:t>Pindaí</w:t>
            </w:r>
            <w:proofErr w:type="spellEnd"/>
            <w:r w:rsidRPr="00951730">
              <w:rPr>
                <w:rFonts w:ascii="Arial" w:hAnsi="Arial" w:cs="Arial"/>
                <w:sz w:val="23"/>
                <w:szCs w:val="23"/>
              </w:rPr>
              <w:t xml:space="preserve"> II, em 230 </w:t>
            </w:r>
            <w:proofErr w:type="gramStart"/>
            <w:r w:rsidRPr="00951730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951730">
              <w:rPr>
                <w:rFonts w:ascii="Arial" w:hAnsi="Arial" w:cs="Arial"/>
                <w:sz w:val="23"/>
                <w:szCs w:val="23"/>
              </w:rPr>
              <w:t xml:space="preserve">, Circuito Duplo, com extensão de cinquenta quilômetros, com origem na Subestação Igaporã III e término na Subestação </w:t>
            </w:r>
            <w:proofErr w:type="spellStart"/>
            <w:r w:rsidRPr="00951730">
              <w:rPr>
                <w:rFonts w:ascii="Arial" w:hAnsi="Arial" w:cs="Arial"/>
                <w:sz w:val="23"/>
                <w:szCs w:val="23"/>
              </w:rPr>
              <w:t>Pindaí</w:t>
            </w:r>
            <w:proofErr w:type="spellEnd"/>
            <w:r w:rsidRPr="00951730">
              <w:rPr>
                <w:rFonts w:ascii="Arial" w:hAnsi="Arial" w:cs="Arial"/>
                <w:sz w:val="23"/>
                <w:szCs w:val="23"/>
              </w:rPr>
              <w:t> II;</w:t>
            </w:r>
          </w:p>
        </w:tc>
      </w:tr>
      <w:tr w:rsidR="00951730" w:rsidRPr="00A52DDF" w:rsidTr="00951730">
        <w:trPr>
          <w:trHeight w:val="277"/>
        </w:trPr>
        <w:tc>
          <w:tcPr>
            <w:tcW w:w="2552" w:type="dxa"/>
            <w:gridSpan w:val="2"/>
            <w:vMerge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51730" w:rsidRPr="00951730" w:rsidRDefault="00951730" w:rsidP="005311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51730">
              <w:rPr>
                <w:rFonts w:ascii="Arial" w:hAnsi="Arial" w:cs="Arial"/>
                <w:sz w:val="23"/>
                <w:szCs w:val="23"/>
              </w:rPr>
              <w:t xml:space="preserve">VI - Subestação Gentio do Ouro II, </w:t>
            </w:r>
            <w:proofErr w:type="gramStart"/>
            <w:r w:rsidRPr="00951730">
              <w:rPr>
                <w:rFonts w:ascii="Arial" w:hAnsi="Arial" w:cs="Arial"/>
                <w:sz w:val="23"/>
                <w:szCs w:val="23"/>
              </w:rPr>
              <w:t>500/230/13,</w:t>
            </w:r>
            <w:proofErr w:type="gramEnd"/>
            <w:r w:rsidRPr="00951730">
              <w:rPr>
                <w:rFonts w:ascii="Arial" w:hAnsi="Arial" w:cs="Arial"/>
                <w:sz w:val="23"/>
                <w:szCs w:val="23"/>
              </w:rPr>
              <w:t xml:space="preserve">8 kV, (6+1R)x300 MVA e Compensador Estático (-100/+200) </w:t>
            </w:r>
            <w:proofErr w:type="spellStart"/>
            <w:r w:rsidRPr="00951730">
              <w:rPr>
                <w:rFonts w:ascii="Arial" w:hAnsi="Arial" w:cs="Arial"/>
                <w:sz w:val="23"/>
                <w:szCs w:val="23"/>
              </w:rPr>
              <w:t>Mvar</w:t>
            </w:r>
            <w:proofErr w:type="spellEnd"/>
            <w:r w:rsidRPr="00951730">
              <w:rPr>
                <w:rFonts w:ascii="Arial" w:hAnsi="Arial" w:cs="Arial"/>
                <w:sz w:val="23"/>
                <w:szCs w:val="23"/>
              </w:rPr>
              <w:t xml:space="preserve"> e respectivas Conexões;</w:t>
            </w:r>
          </w:p>
        </w:tc>
      </w:tr>
      <w:tr w:rsidR="00951730" w:rsidRPr="00A52DDF" w:rsidTr="00951730">
        <w:trPr>
          <w:trHeight w:val="277"/>
        </w:trPr>
        <w:tc>
          <w:tcPr>
            <w:tcW w:w="2552" w:type="dxa"/>
            <w:gridSpan w:val="2"/>
            <w:vMerge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51730" w:rsidRPr="00951730" w:rsidRDefault="00951730" w:rsidP="005311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51730">
              <w:rPr>
                <w:rFonts w:ascii="Arial" w:hAnsi="Arial" w:cs="Arial"/>
                <w:sz w:val="23"/>
                <w:szCs w:val="23"/>
              </w:rPr>
              <w:t xml:space="preserve">VII - Subestação Ourolândia II, </w:t>
            </w:r>
            <w:proofErr w:type="gramStart"/>
            <w:r w:rsidRPr="00951730">
              <w:rPr>
                <w:rFonts w:ascii="Arial" w:hAnsi="Arial" w:cs="Arial"/>
                <w:sz w:val="23"/>
                <w:szCs w:val="23"/>
              </w:rPr>
              <w:t>500/230/13,</w:t>
            </w:r>
            <w:proofErr w:type="gramEnd"/>
            <w:r w:rsidRPr="00951730">
              <w:rPr>
                <w:rFonts w:ascii="Arial" w:hAnsi="Arial" w:cs="Arial"/>
                <w:sz w:val="23"/>
                <w:szCs w:val="23"/>
              </w:rPr>
              <w:t xml:space="preserve">8 kV, (6+1R)x300 MVA e respectivas Conexões; </w:t>
            </w:r>
          </w:p>
        </w:tc>
      </w:tr>
      <w:tr w:rsidR="00951730" w:rsidRPr="00A52DDF" w:rsidTr="00951730">
        <w:trPr>
          <w:trHeight w:val="277"/>
        </w:trPr>
        <w:tc>
          <w:tcPr>
            <w:tcW w:w="2552" w:type="dxa"/>
            <w:gridSpan w:val="2"/>
            <w:vMerge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51730" w:rsidRPr="00951730" w:rsidRDefault="00951730" w:rsidP="005311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51730">
              <w:rPr>
                <w:rFonts w:ascii="Arial" w:hAnsi="Arial" w:cs="Arial"/>
                <w:sz w:val="23"/>
                <w:szCs w:val="23"/>
              </w:rPr>
              <w:t xml:space="preserve">VIII - dois Trechos de Linha de Transmissão, em 230 </w:t>
            </w:r>
            <w:proofErr w:type="gramStart"/>
            <w:r w:rsidRPr="00951730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951730">
              <w:rPr>
                <w:rFonts w:ascii="Arial" w:hAnsi="Arial" w:cs="Arial"/>
                <w:sz w:val="23"/>
                <w:szCs w:val="23"/>
              </w:rPr>
              <w:t xml:space="preserve">, Circuito Simples, com extensão aproximada de vinte e seis quilômetros cada, compreendidos entre o Ponto de Seccionamento de Linha de Transmissão, em 230 kV, Irecê - Senhor do Bonfim II e a Subestação Ourolândia II, as Entradas de Linha correspondentes na Subestação Ourolândia II, e a aquisição dos Equipamentos necessários às modificações, substituições e adequações nas Entradas de Linha das Subestações Irecê e Senhor do Bonfim II; e </w:t>
            </w:r>
          </w:p>
        </w:tc>
      </w:tr>
      <w:tr w:rsidR="00951730" w:rsidRPr="00A52DDF" w:rsidTr="00951730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951730" w:rsidRPr="00951730" w:rsidRDefault="00951730" w:rsidP="005311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51730">
              <w:rPr>
                <w:rFonts w:ascii="Arial" w:hAnsi="Arial" w:cs="Arial"/>
                <w:sz w:val="23"/>
                <w:szCs w:val="23"/>
              </w:rPr>
              <w:t>IX - Conexões de Unidades de Transformação, Entradas de Linha, Interligações de Barramentos, Barramentos, Equipamentos de Compensação Reativa e res</w:t>
            </w:r>
            <w:bookmarkStart w:id="0" w:name="_GoBack"/>
            <w:bookmarkEnd w:id="0"/>
            <w:r w:rsidRPr="00951730">
              <w:rPr>
                <w:rFonts w:ascii="Arial" w:hAnsi="Arial" w:cs="Arial"/>
                <w:sz w:val="23"/>
                <w:szCs w:val="23"/>
              </w:rPr>
              <w:t>pectivas Conexões, Instalações Vinculadas e demais instalações necessárias às funções de medição, supervisão, proteção, comando, controle, telecomunicação, administração e apoio.</w:t>
            </w:r>
          </w:p>
        </w:tc>
      </w:tr>
      <w:tr w:rsidR="00951730" w:rsidRPr="00A52DDF" w:rsidTr="0095173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lastRenderedPageBreak/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  <w:noProof/>
              </w:rPr>
              <w:t xml:space="preserve">De </w:t>
            </w:r>
            <w:r w:rsidRPr="00A52DDF">
              <w:rPr>
                <w:rFonts w:ascii="Arial" w:hAnsi="Arial" w:cs="Arial"/>
              </w:rPr>
              <w:t>27/3/2015 a 27/3/2018.</w:t>
            </w:r>
          </w:p>
        </w:tc>
      </w:tr>
      <w:tr w:rsidR="00951730" w:rsidRPr="00A52DDF" w:rsidTr="0095173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Localidade do Projeto [Município(s</w:t>
            </w:r>
            <w:proofErr w:type="gramStart"/>
            <w:r w:rsidRPr="00A52DDF">
              <w:rPr>
                <w:rFonts w:ascii="Arial" w:hAnsi="Arial" w:cs="Arial"/>
              </w:rPr>
              <w:t>)</w:t>
            </w:r>
            <w:proofErr w:type="gramEnd"/>
            <w:r w:rsidRPr="00A52DDF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951730" w:rsidRPr="00A52DDF" w:rsidRDefault="00951730" w:rsidP="005311ED">
            <w:pPr>
              <w:jc w:val="both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 xml:space="preserve">Municípios de Gilbués, Júlio Borges, Monte Alegre do Piauí, </w:t>
            </w:r>
            <w:proofErr w:type="spellStart"/>
            <w:r w:rsidRPr="00A52DDF">
              <w:rPr>
                <w:rFonts w:ascii="Arial" w:hAnsi="Arial" w:cs="Arial"/>
              </w:rPr>
              <w:t>Parnaguá</w:t>
            </w:r>
            <w:proofErr w:type="spellEnd"/>
            <w:r w:rsidRPr="00A52DDF">
              <w:rPr>
                <w:rFonts w:ascii="Arial" w:hAnsi="Arial" w:cs="Arial"/>
              </w:rPr>
              <w:t xml:space="preserve">, Riacho Frio, Estado do Piauí e Municípios de América Dourada, Barra, Brotas de Macaúbas, </w:t>
            </w:r>
            <w:proofErr w:type="spellStart"/>
            <w:r w:rsidRPr="00A52DDF">
              <w:rPr>
                <w:rFonts w:ascii="Arial" w:hAnsi="Arial" w:cs="Arial"/>
              </w:rPr>
              <w:t>Buritirama</w:t>
            </w:r>
            <w:proofErr w:type="spellEnd"/>
            <w:r w:rsidRPr="00A52DDF">
              <w:rPr>
                <w:rFonts w:ascii="Arial" w:hAnsi="Arial" w:cs="Arial"/>
              </w:rPr>
              <w:t xml:space="preserve">, Caetité, Cafarnaum, Central, Gentio do Ouro, Guanambi, </w:t>
            </w:r>
            <w:proofErr w:type="spellStart"/>
            <w:r w:rsidRPr="00A52DDF">
              <w:rPr>
                <w:rFonts w:ascii="Arial" w:hAnsi="Arial" w:cs="Arial"/>
              </w:rPr>
              <w:t>Ipupiara</w:t>
            </w:r>
            <w:proofErr w:type="spellEnd"/>
            <w:r w:rsidRPr="00A52DDF">
              <w:rPr>
                <w:rFonts w:ascii="Arial" w:hAnsi="Arial" w:cs="Arial"/>
              </w:rPr>
              <w:t xml:space="preserve">, Itaguaçu da Bahia, João Dourado, Jussara, Morro do Chapéu, Ourolândia, </w:t>
            </w:r>
            <w:proofErr w:type="spellStart"/>
            <w:r w:rsidRPr="00A52DDF">
              <w:rPr>
                <w:rFonts w:ascii="Arial" w:hAnsi="Arial" w:cs="Arial"/>
              </w:rPr>
              <w:t>Pindaí</w:t>
            </w:r>
            <w:proofErr w:type="spellEnd"/>
            <w:r w:rsidRPr="00A52DDF">
              <w:rPr>
                <w:rFonts w:ascii="Arial" w:hAnsi="Arial" w:cs="Arial"/>
              </w:rPr>
              <w:t>, São Gabriel, Várzea Nova e Xique-Xique, Estado da Bahia.</w:t>
            </w:r>
          </w:p>
        </w:tc>
      </w:tr>
    </w:tbl>
    <w:p w:rsidR="00951730" w:rsidRPr="00A52DDF" w:rsidRDefault="00951730" w:rsidP="00951730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493"/>
      </w:tblGrid>
      <w:tr w:rsidR="00951730" w:rsidRPr="00A52DDF" w:rsidTr="005311E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12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52DDF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A52DDF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951730" w:rsidRPr="00A52DDF" w:rsidTr="005311ED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 xml:space="preserve">Nome: Maria Teresa </w:t>
            </w:r>
            <w:proofErr w:type="spellStart"/>
            <w:r w:rsidRPr="00A52DDF">
              <w:rPr>
                <w:rFonts w:ascii="Arial" w:hAnsi="Arial" w:cs="Arial"/>
              </w:rPr>
              <w:t>Ballesta</w:t>
            </w:r>
            <w:proofErr w:type="spellEnd"/>
            <w:r w:rsidRPr="00A52DDF">
              <w:rPr>
                <w:rFonts w:ascii="Arial" w:hAnsi="Arial" w:cs="Arial"/>
              </w:rPr>
              <w:t xml:space="preserve"> López.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CPF: 057.828.237-20.</w:t>
            </w:r>
          </w:p>
        </w:tc>
      </w:tr>
      <w:tr w:rsidR="00951730" w:rsidRPr="00A52DDF" w:rsidTr="005311ED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 xml:space="preserve">Nome: Carlos Eduardo Assumpção </w:t>
            </w:r>
            <w:proofErr w:type="spellStart"/>
            <w:r w:rsidRPr="00A52DDF">
              <w:rPr>
                <w:rFonts w:ascii="Arial" w:hAnsi="Arial" w:cs="Arial"/>
              </w:rPr>
              <w:t>Olesko</w:t>
            </w:r>
            <w:proofErr w:type="spellEnd"/>
            <w:r w:rsidRPr="00A52DDF">
              <w:rPr>
                <w:rFonts w:ascii="Arial" w:hAnsi="Arial" w:cs="Arial"/>
              </w:rPr>
              <w:t>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CPF: 024.186.359-70.</w:t>
            </w:r>
          </w:p>
        </w:tc>
      </w:tr>
      <w:tr w:rsidR="00951730" w:rsidRPr="00A52DDF" w:rsidTr="005311ED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Nome: Michelle Milena Soares Silveira.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 xml:space="preserve">CPF: 104.594.457-23. </w:t>
            </w:r>
          </w:p>
        </w:tc>
      </w:tr>
    </w:tbl>
    <w:p w:rsidR="00951730" w:rsidRPr="00A52DDF" w:rsidRDefault="00951730" w:rsidP="00951730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267"/>
        <w:gridCol w:w="6804"/>
      </w:tblGrid>
      <w:tr w:rsidR="00951730" w:rsidRPr="00A52DDF" w:rsidTr="005311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13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52DDF">
              <w:rPr>
                <w:rFonts w:ascii="Arial" w:hAnsi="Arial" w:cs="Arial"/>
                <w:bCs/>
              </w:rPr>
              <w:t>ESTIMATIVAS DOS VALORES DOS BENS E SERVIÇOS</w:t>
            </w:r>
          </w:p>
          <w:p w:rsidR="00951730" w:rsidRPr="00A52DDF" w:rsidRDefault="00951730" w:rsidP="005311E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52DDF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951730" w:rsidRPr="00A52DDF" w:rsidTr="005311ED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Bens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713.950.110,00.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</w:p>
        </w:tc>
      </w:tr>
      <w:tr w:rsidR="00951730" w:rsidRPr="00A52DDF" w:rsidTr="005311ED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Serviços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482.268.693,00.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</w:p>
        </w:tc>
      </w:tr>
      <w:tr w:rsidR="00951730" w:rsidRPr="00A52DDF" w:rsidTr="005311ED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Outros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37.589.197,00.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</w:p>
        </w:tc>
      </w:tr>
      <w:tr w:rsidR="00951730" w:rsidRPr="00A52DDF" w:rsidTr="005311ED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  <w:b/>
              </w:rPr>
            </w:pPr>
            <w:r w:rsidRPr="00A52DDF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  <w:b/>
              </w:rPr>
              <w:t>1.233.808.000,00</w:t>
            </w:r>
            <w:r w:rsidRPr="00A52DDF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51730" w:rsidRPr="00A52DDF" w:rsidRDefault="00951730" w:rsidP="00951730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2267"/>
        <w:gridCol w:w="6804"/>
      </w:tblGrid>
      <w:tr w:rsidR="00951730" w:rsidRPr="00A52DDF" w:rsidTr="005311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0" w:rsidRPr="00A52DDF" w:rsidRDefault="00951730" w:rsidP="005311ED">
            <w:pPr>
              <w:ind w:left="-70"/>
              <w:jc w:val="center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14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52DDF">
              <w:rPr>
                <w:rFonts w:ascii="Arial" w:hAnsi="Arial" w:cs="Arial"/>
                <w:bCs/>
              </w:rPr>
              <w:t>ESTIMATIVAS DOS VALORES DOS BENS E SERVIÇOS</w:t>
            </w:r>
          </w:p>
          <w:p w:rsidR="00951730" w:rsidRPr="00A52DDF" w:rsidRDefault="00951730" w:rsidP="005311E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52DDF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951730" w:rsidRPr="00A52DDF" w:rsidTr="005311ED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Bens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660.363.822,00.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</w:p>
        </w:tc>
      </w:tr>
      <w:tr w:rsidR="00951730" w:rsidRPr="00A52DDF" w:rsidTr="005311ED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Serviços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438.854.479,00.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</w:p>
        </w:tc>
      </w:tr>
      <w:tr w:rsidR="00951730" w:rsidRPr="00A52DDF" w:rsidTr="005311ED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Outros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</w:rPr>
              <w:t>35.495.767,00.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</w:p>
        </w:tc>
      </w:tr>
      <w:tr w:rsidR="00951730" w:rsidRPr="00A52DDF" w:rsidTr="005311ED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rPr>
                <w:rFonts w:ascii="Arial" w:hAnsi="Arial" w:cs="Arial"/>
                <w:b/>
              </w:rPr>
            </w:pPr>
            <w:r w:rsidRPr="00A52DDF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</w:rPr>
            </w:pPr>
            <w:r w:rsidRPr="00A52DDF">
              <w:rPr>
                <w:rFonts w:ascii="Arial" w:hAnsi="Arial" w:cs="Arial"/>
                <w:b/>
              </w:rPr>
              <w:t>1.134.714.068,00</w:t>
            </w:r>
            <w:r w:rsidRPr="00A52DDF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30" w:rsidRPr="00A52DDF" w:rsidRDefault="00951730" w:rsidP="005311E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51730" w:rsidRPr="00A52DDF" w:rsidRDefault="00951730" w:rsidP="009517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"/>
          <w:szCs w:val="2"/>
        </w:rPr>
      </w:pPr>
    </w:p>
    <w:sectPr w:rsidR="00951730" w:rsidRPr="00A52DDF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B" w:rsidRDefault="00CA7F8B">
      <w:r>
        <w:separator/>
      </w:r>
    </w:p>
  </w:endnote>
  <w:endnote w:type="continuationSeparator" w:id="0">
    <w:p w:rsidR="00CA7F8B" w:rsidRDefault="00C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B" w:rsidRDefault="00CA7F8B">
      <w:r>
        <w:separator/>
      </w:r>
    </w:p>
  </w:footnote>
  <w:footnote w:type="continuationSeparator" w:id="0">
    <w:p w:rsidR="00CA7F8B" w:rsidRDefault="00C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F364D4" w:rsidRDefault="00CA7F8B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951730">
      <w:rPr>
        <w:rFonts w:ascii="Arial" w:hAnsi="Arial" w:cs="Arial"/>
      </w:rPr>
      <w:t>80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1</w:t>
    </w:r>
    <w:r w:rsidR="00951730">
      <w:rPr>
        <w:rFonts w:ascii="Arial" w:hAnsi="Arial" w:cs="Arial"/>
      </w:rPr>
      <w:t>4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951730"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A7F8B" w:rsidRDefault="00CA7F8B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45CC-61DE-49E1-928A-B2069B6C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2015-08-17T11:09:00Z</dcterms:created>
  <dcterms:modified xsi:type="dcterms:W3CDTF">2015-08-17T11:09:00Z</dcterms:modified>
</cp:coreProperties>
</file>