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F73A56">
        <w:rPr>
          <w:rFonts w:ascii="Arial" w:hAnsi="Arial" w:cs="Arial"/>
          <w:b/>
          <w:bCs/>
          <w:color w:val="000080"/>
        </w:rPr>
        <w:t>80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244C91">
        <w:rPr>
          <w:rFonts w:ascii="Arial" w:hAnsi="Arial" w:cs="Arial"/>
          <w:b/>
          <w:bCs/>
          <w:color w:val="000080"/>
        </w:rPr>
        <w:t>3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73A56" w:rsidRPr="008B0AF3" w:rsidRDefault="00F73A56" w:rsidP="00F73A56">
      <w:pPr>
        <w:ind w:firstLine="1134"/>
        <w:jc w:val="both"/>
        <w:rPr>
          <w:rFonts w:ascii="Arial" w:hAnsi="Arial" w:cs="Arial"/>
        </w:rPr>
      </w:pPr>
      <w:r w:rsidRPr="008B0AF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B0AF3">
        <w:rPr>
          <w:rFonts w:ascii="Arial" w:hAnsi="Arial" w:cs="Arial"/>
        </w:rPr>
        <w:t>, no uso da competência que lhe foi delegada pelo art. 1</w:t>
      </w:r>
      <w:bookmarkStart w:id="0" w:name="_GoBack"/>
      <w:r w:rsidRPr="00F73A56">
        <w:rPr>
          <w:rFonts w:ascii="Arial" w:hAnsi="Arial" w:cs="Arial"/>
          <w:u w:val="words"/>
          <w:vertAlign w:val="superscript"/>
        </w:rPr>
        <w:t>o</w:t>
      </w:r>
      <w:bookmarkEnd w:id="0"/>
      <w:r w:rsidRPr="008B0AF3">
        <w:rPr>
          <w:rFonts w:ascii="Arial" w:hAnsi="Arial" w:cs="Arial"/>
        </w:rPr>
        <w:t>, inciso VI, da Portaria MME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281, de 29 de junho de 2016, tendo em vista o disposto no art. 4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do Decreto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8.874, de 11 de outubro de 2016, no art. 4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da Portaria MME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364, de 13 de setembro de 2017, e o que consta do Processo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</w:t>
      </w:r>
      <w:r w:rsidRPr="008B0AF3">
        <w:rPr>
          <w:rFonts w:ascii="Arial" w:hAnsi="Arial" w:cs="Arial"/>
          <w:bCs/>
        </w:rPr>
        <w:t>48340.004685/2017-95</w:t>
      </w:r>
      <w:r w:rsidRPr="008B0AF3">
        <w:rPr>
          <w:rFonts w:ascii="Arial" w:hAnsi="Arial" w:cs="Arial"/>
        </w:rPr>
        <w:t>, resolve:</w:t>
      </w:r>
    </w:p>
    <w:p w:rsidR="00F73A56" w:rsidRPr="008B0AF3" w:rsidRDefault="00F73A56" w:rsidP="00F73A56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B0AF3">
        <w:rPr>
          <w:rFonts w:ascii="Arial" w:hAnsi="Arial" w:cs="Arial"/>
        </w:rPr>
        <w:t>Art. 1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Aprovar como prioritário, na forma do art. 2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, </w:t>
      </w:r>
      <w:r w:rsidRPr="008B0AF3">
        <w:rPr>
          <w:rFonts w:ascii="Arial" w:hAnsi="Arial" w:cs="Arial"/>
          <w:b/>
        </w:rPr>
        <w:t>caput</w:t>
      </w:r>
      <w:r w:rsidRPr="008B0AF3">
        <w:rPr>
          <w:rFonts w:ascii="Arial" w:hAnsi="Arial" w:cs="Arial"/>
        </w:rPr>
        <w:t xml:space="preserve"> e § 1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>, inciso III, do Decreto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8.874, de 11 de outubro de 2016, o projeto da Pequena Central Hidrelétrica denominada PCH Armando Ribeiro, cadastrada com o Código Único do Empreendimento de Geração - CEG: PCH.PH.RN.035096-6.01, de titularidade da empresa Central Geradora Hidrelétrica Armando Ribeiro S.A., inscrita no CNPJ/MF sob o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12.895.803/0001-30, para os fins do art. 2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da Lei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12.431, de 24 de junho de 2011, descrito no Anexo à presente Portaria.</w:t>
      </w: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B0AF3">
        <w:rPr>
          <w:rFonts w:ascii="Arial" w:hAnsi="Arial" w:cs="Arial"/>
        </w:rPr>
        <w:t>Art. 2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A Central Geradora Hidrelétrica Armando Ribeiro S.A. e a Sociedade Controladora deverão:</w:t>
      </w: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F73A56" w:rsidRPr="008B0AF3" w:rsidRDefault="00F73A56" w:rsidP="00F73A56">
      <w:pPr>
        <w:ind w:firstLine="1134"/>
        <w:jc w:val="both"/>
        <w:rPr>
          <w:rFonts w:ascii="Arial" w:hAnsi="Arial" w:cs="Arial"/>
        </w:rPr>
      </w:pPr>
      <w:r w:rsidRPr="008B0AF3">
        <w:rPr>
          <w:rFonts w:ascii="Arial" w:hAnsi="Arial" w:cs="Arial"/>
        </w:rPr>
        <w:t xml:space="preserve">I - </w:t>
      </w:r>
      <w:proofErr w:type="gramStart"/>
      <w:r w:rsidRPr="008B0AF3">
        <w:rPr>
          <w:rFonts w:ascii="Arial" w:hAnsi="Arial" w:cs="Arial"/>
        </w:rPr>
        <w:t>manter</w:t>
      </w:r>
      <w:proofErr w:type="gramEnd"/>
      <w:r w:rsidRPr="008B0AF3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F73A56" w:rsidRPr="008B0AF3" w:rsidRDefault="00F73A56" w:rsidP="00F73A56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73A56" w:rsidRPr="008B0AF3" w:rsidRDefault="00F73A56" w:rsidP="00F73A56">
      <w:pPr>
        <w:ind w:firstLine="1134"/>
        <w:jc w:val="both"/>
        <w:rPr>
          <w:rFonts w:ascii="Arial" w:hAnsi="Arial" w:cs="Arial"/>
        </w:rPr>
      </w:pPr>
      <w:r w:rsidRPr="008B0AF3">
        <w:rPr>
          <w:rFonts w:ascii="Arial" w:hAnsi="Arial" w:cs="Arial"/>
        </w:rPr>
        <w:t xml:space="preserve">II - </w:t>
      </w:r>
      <w:proofErr w:type="gramStart"/>
      <w:r w:rsidRPr="008B0AF3">
        <w:rPr>
          <w:rFonts w:ascii="Arial" w:hAnsi="Arial" w:cs="Arial"/>
        </w:rPr>
        <w:t>destacar</w:t>
      </w:r>
      <w:proofErr w:type="gramEnd"/>
      <w:r w:rsidRPr="008B0AF3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F73A56" w:rsidRPr="008B0AF3" w:rsidRDefault="00F73A56" w:rsidP="00F73A56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73A56" w:rsidRPr="008B0AF3" w:rsidRDefault="00F73A56" w:rsidP="00F73A56">
      <w:pPr>
        <w:ind w:firstLine="1134"/>
        <w:jc w:val="both"/>
        <w:rPr>
          <w:rFonts w:ascii="Arial" w:hAnsi="Arial" w:cs="Arial"/>
        </w:rPr>
      </w:pPr>
      <w:r w:rsidRPr="008B0AF3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F73A56" w:rsidRPr="008B0AF3" w:rsidRDefault="00F73A56" w:rsidP="00F73A56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73A56" w:rsidRPr="008B0AF3" w:rsidRDefault="00F73A56" w:rsidP="00F73A56">
      <w:pPr>
        <w:ind w:firstLine="1134"/>
        <w:jc w:val="both"/>
        <w:rPr>
          <w:rFonts w:ascii="Arial" w:hAnsi="Arial" w:cs="Arial"/>
        </w:rPr>
      </w:pPr>
      <w:r w:rsidRPr="008B0AF3">
        <w:rPr>
          <w:rFonts w:ascii="Arial" w:hAnsi="Arial" w:cs="Arial"/>
        </w:rPr>
        <w:t xml:space="preserve">IV - </w:t>
      </w:r>
      <w:proofErr w:type="gramStart"/>
      <w:r w:rsidRPr="008B0AF3">
        <w:rPr>
          <w:rFonts w:ascii="Arial" w:hAnsi="Arial" w:cs="Arial"/>
        </w:rPr>
        <w:t>observar</w:t>
      </w:r>
      <w:proofErr w:type="gramEnd"/>
      <w:r w:rsidRPr="008B0AF3">
        <w:rPr>
          <w:rFonts w:ascii="Arial" w:hAnsi="Arial" w:cs="Arial"/>
        </w:rPr>
        <w:t xml:space="preserve"> as demais disposições constantes na Lei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12.431, de 2011, no Decreto n</w:t>
      </w:r>
      <w:r w:rsidRPr="008B0AF3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8.874, de 2016, na Portaria MME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>, § 5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>, da referida Lei, a ser aplicada pela Secretaria da Receita Federal do Brasil.</w:t>
      </w: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B0AF3">
        <w:rPr>
          <w:rFonts w:ascii="Arial" w:hAnsi="Arial" w:cs="Arial"/>
        </w:rPr>
        <w:t>Art. 3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Geradora Hidrelétrica Armando Ribeiro S.A., a ocorrência de situações que evidenciem a não implantação do projeto aprovado nesta Portaria.</w:t>
      </w: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B0AF3">
        <w:rPr>
          <w:rFonts w:ascii="Arial" w:hAnsi="Arial" w:cs="Arial"/>
        </w:rPr>
        <w:t>Art. 4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da Lei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12.431, de 2011.</w:t>
      </w: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B0AF3">
        <w:rPr>
          <w:rFonts w:ascii="Arial" w:hAnsi="Arial" w:cs="Arial"/>
        </w:rPr>
        <w:lastRenderedPageBreak/>
        <w:t>Parágrafo único. A Data de Entrada em Operação constante no Anexo à presente Portaria foi informada pela Central Geradora Hidrelétrica Armando Ribeiro S.A. e deve ser considerada unicamente para fins de aprovação do Projeto como prioritário, não eximindo a titular do Compromisso com o Prazo de Conclusão estipulado na Portaria MME n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90, de 7 de março de 2017.</w:t>
      </w: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B0AF3">
        <w:rPr>
          <w:rFonts w:ascii="Arial" w:hAnsi="Arial" w:cs="Arial"/>
        </w:rPr>
        <w:t>Art. 5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  <w:sz w:val="16"/>
          <w:szCs w:val="16"/>
        </w:rPr>
      </w:pPr>
    </w:p>
    <w:p w:rsidR="00F73A56" w:rsidRPr="008B0AF3" w:rsidRDefault="00F73A56" w:rsidP="00F73A5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8B0AF3">
        <w:rPr>
          <w:rFonts w:ascii="Arial" w:hAnsi="Arial" w:cs="Arial"/>
        </w:rPr>
        <w:t>Art. 6</w:t>
      </w:r>
      <w:r w:rsidRPr="00F73A56">
        <w:rPr>
          <w:rFonts w:ascii="Arial" w:hAnsi="Arial" w:cs="Arial"/>
          <w:u w:val="words"/>
          <w:vertAlign w:val="superscript"/>
        </w:rPr>
        <w:t>o</w:t>
      </w:r>
      <w:r w:rsidRPr="008B0AF3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244C91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244C91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F73A56" w:rsidRPr="008B0AF3" w:rsidTr="00EA77D3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B0AF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73A56" w:rsidRPr="008B0AF3" w:rsidTr="00EA77D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Razão Social</w:t>
            </w:r>
          </w:p>
        </w:tc>
      </w:tr>
      <w:tr w:rsidR="00F73A56" w:rsidRPr="008B0AF3" w:rsidTr="00EA77D3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Central Geradora Hidrelétrica Armando Ribeiro S.A.</w:t>
            </w:r>
          </w:p>
        </w:tc>
      </w:tr>
      <w:tr w:rsidR="00F73A56" w:rsidRPr="008B0AF3" w:rsidTr="00EA77D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Telefone</w:t>
            </w:r>
          </w:p>
        </w:tc>
      </w:tr>
      <w:tr w:rsidR="00F73A56" w:rsidRPr="008B0AF3" w:rsidTr="00EA77D3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12.895.803/0001-30.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(62) 3242-5553.</w:t>
            </w:r>
          </w:p>
        </w:tc>
      </w:tr>
    </w:tbl>
    <w:p w:rsidR="00F73A56" w:rsidRPr="008B0AF3" w:rsidRDefault="00F73A56" w:rsidP="00F73A56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F73A56" w:rsidRPr="008B0AF3" w:rsidTr="00EA77D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B0AF3">
              <w:rPr>
                <w:rFonts w:ascii="Arial" w:hAnsi="Arial" w:cs="Arial"/>
              </w:rPr>
              <w:t xml:space="preserve">RELAÇÃO DOS ACIONISTAS DA EMPRESA TITULAR </w:t>
            </w:r>
            <w:r w:rsidRPr="008B0AF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73A56" w:rsidRPr="008B0AF3" w:rsidTr="00EA77D3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Participação (%)</w:t>
            </w:r>
          </w:p>
        </w:tc>
      </w:tr>
      <w:tr w:rsidR="00F73A56" w:rsidRPr="008B0AF3" w:rsidTr="00EA77D3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A56" w:rsidRPr="008B0AF3" w:rsidRDefault="00F73A56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JMP Energia Ltda.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A56" w:rsidRPr="008B0AF3" w:rsidRDefault="00F73A56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14.638.953/0001-94.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85%.</w:t>
            </w:r>
          </w:p>
        </w:tc>
      </w:tr>
      <w:tr w:rsidR="00F73A56" w:rsidRPr="008B0AF3" w:rsidTr="00EA77D3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3A56" w:rsidRPr="008B0AF3" w:rsidRDefault="00F73A56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Rodrigo Pedroso Engenharia Ltda.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3A56" w:rsidRPr="008B0AF3" w:rsidRDefault="00F73A56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09.018.116/0001-22.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3A56" w:rsidRPr="008B0AF3" w:rsidRDefault="00F73A56" w:rsidP="00EA77D3">
            <w:pPr>
              <w:pStyle w:val="textoalinhadoesquerdaespacamentosimples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15%.</w:t>
            </w:r>
          </w:p>
        </w:tc>
      </w:tr>
    </w:tbl>
    <w:p w:rsidR="00F73A56" w:rsidRPr="008B0AF3" w:rsidRDefault="00F73A56" w:rsidP="00F73A56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F73A56" w:rsidRPr="008B0AF3" w:rsidTr="00EA77D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B0AF3">
              <w:rPr>
                <w:rFonts w:ascii="Arial" w:hAnsi="Arial" w:cs="Arial"/>
              </w:rPr>
              <w:t xml:space="preserve">PESSOA JURÍDICA CONTROLADORA DA EMPRESA </w:t>
            </w:r>
            <w:r w:rsidRPr="008B0AF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73A56" w:rsidRPr="008B0AF3" w:rsidTr="00EA77D3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CNPJ</w:t>
            </w:r>
          </w:p>
        </w:tc>
      </w:tr>
      <w:tr w:rsidR="00F73A56" w:rsidRPr="008B0AF3" w:rsidTr="00EA77D3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56" w:rsidRPr="008B0AF3" w:rsidRDefault="00F73A56" w:rsidP="00EA77D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56" w:rsidRPr="008B0AF3" w:rsidRDefault="00F73A56" w:rsidP="00EA77D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Não se aplica.</w:t>
            </w:r>
          </w:p>
        </w:tc>
      </w:tr>
    </w:tbl>
    <w:p w:rsidR="00F73A56" w:rsidRPr="008B0AF3" w:rsidRDefault="00F73A56" w:rsidP="00F73A56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F73A56" w:rsidRPr="008B0AF3" w:rsidTr="00EA77D3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B0AF3">
              <w:rPr>
                <w:rFonts w:ascii="Arial" w:hAnsi="Arial" w:cs="Arial"/>
              </w:rPr>
              <w:t>CARACTERÍSTICAS DO PROJETO</w:t>
            </w:r>
          </w:p>
        </w:tc>
      </w:tr>
      <w:tr w:rsidR="00F73A56" w:rsidRPr="008B0AF3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Outorga de Autorização</w:t>
            </w:r>
          </w:p>
        </w:tc>
      </w:tr>
      <w:tr w:rsidR="00F73A56" w:rsidRPr="008B0AF3" w:rsidTr="00EA77D3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  <w:i/>
              </w:rPr>
            </w:pPr>
            <w:r w:rsidRPr="008B0AF3">
              <w:rPr>
                <w:rFonts w:ascii="Arial" w:hAnsi="Arial" w:cs="Arial"/>
              </w:rPr>
              <w:t>Portaria MME n</w:t>
            </w:r>
            <w:r w:rsidRPr="00F73A5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B0AF3">
              <w:rPr>
                <w:rFonts w:ascii="Arial" w:hAnsi="Arial" w:cs="Arial"/>
              </w:rPr>
              <w:t xml:space="preserve"> 90, de 7 de março de 2017.</w:t>
            </w:r>
          </w:p>
        </w:tc>
      </w:tr>
      <w:tr w:rsidR="00F73A56" w:rsidRPr="008B0AF3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Denominação do Projeto</w:t>
            </w:r>
          </w:p>
        </w:tc>
      </w:tr>
      <w:tr w:rsidR="00F73A56" w:rsidRPr="008B0AF3" w:rsidTr="00EA77D3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56" w:rsidRPr="008B0AF3" w:rsidRDefault="00F73A56" w:rsidP="00EA77D3">
            <w:pPr>
              <w:rPr>
                <w:rFonts w:ascii="Arial" w:hAnsi="Arial" w:cs="Arial"/>
                <w:i/>
              </w:rPr>
            </w:pPr>
            <w:r w:rsidRPr="008B0AF3">
              <w:rPr>
                <w:rFonts w:ascii="Arial" w:hAnsi="Arial" w:cs="Arial"/>
              </w:rPr>
              <w:t>PCH Armando Ribeiro - CEG: PCH.PH.RN.035096-6.01.</w:t>
            </w:r>
          </w:p>
        </w:tc>
      </w:tr>
      <w:tr w:rsidR="00F73A56" w:rsidRPr="008B0AF3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Descrição</w:t>
            </w:r>
          </w:p>
        </w:tc>
      </w:tr>
      <w:tr w:rsidR="00F73A56" w:rsidRPr="008B0AF3" w:rsidTr="00EA77D3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Pequena Central Hidrelétrica com 4.700 kW de Capacidade Instalada, constituída por duas Unidades Geradoras e Sistema de Transmissão de Interesse Restrito.</w:t>
            </w:r>
          </w:p>
        </w:tc>
      </w:tr>
      <w:tr w:rsidR="00F73A56" w:rsidRPr="008B0AF3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Localização [UF(s)]</w:t>
            </w:r>
          </w:p>
        </w:tc>
      </w:tr>
      <w:tr w:rsidR="00F73A56" w:rsidRPr="008B0AF3" w:rsidTr="00EA77D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6" w:rsidRPr="008B0AF3" w:rsidRDefault="00F73A56" w:rsidP="00EA77D3">
            <w:pPr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Estado do Rio Grande do Norte.</w:t>
            </w:r>
          </w:p>
        </w:tc>
      </w:tr>
      <w:tr w:rsidR="00F73A56" w:rsidRPr="008B0AF3" w:rsidTr="00EA77D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center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A56" w:rsidRPr="008B0AF3" w:rsidRDefault="00F73A56" w:rsidP="00EA77D3">
            <w:pPr>
              <w:jc w:val="both"/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Mês/Ano de Conclusão do Projeto</w:t>
            </w:r>
          </w:p>
        </w:tc>
      </w:tr>
      <w:tr w:rsidR="00F73A56" w:rsidRPr="008B0AF3" w:rsidTr="00EA77D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6" w:rsidRPr="008B0AF3" w:rsidRDefault="00F73A56" w:rsidP="00EA77D3">
            <w:pPr>
              <w:rPr>
                <w:rFonts w:ascii="Arial" w:hAnsi="Arial" w:cs="Arial"/>
              </w:rPr>
            </w:pPr>
            <w:r w:rsidRPr="008B0AF3">
              <w:rPr>
                <w:rFonts w:ascii="Arial" w:hAnsi="Arial" w:cs="Arial"/>
              </w:rPr>
              <w:t>Março/2020.</w:t>
            </w:r>
          </w:p>
        </w:tc>
      </w:tr>
    </w:tbl>
    <w:p w:rsidR="00F73A56" w:rsidRPr="008B0AF3" w:rsidRDefault="00F73A56" w:rsidP="00F73A56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F73A56" w:rsidRPr="008B0AF3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F305F0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F73A56">
      <w:rPr>
        <w:rFonts w:ascii="Arial" w:hAnsi="Arial" w:cs="Arial"/>
      </w:rPr>
      <w:t>80</w:t>
    </w:r>
    <w:r w:rsidRPr="00804BC7">
      <w:rPr>
        <w:rFonts w:ascii="Arial" w:hAnsi="Arial" w:cs="Arial"/>
      </w:rPr>
      <w:t xml:space="preserve">, de </w:t>
    </w:r>
    <w:r w:rsidR="00244C91">
      <w:rPr>
        <w:rFonts w:ascii="Arial" w:hAnsi="Arial" w:cs="Arial"/>
      </w:rPr>
      <w:t>3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73A56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6065"/>
    <o:shapelayout v:ext="edit">
      <o:idmap v:ext="edit" data="1"/>
    </o:shapelayout>
  </w:shapeDefaults>
  <w:decimalSymbol w:val=","/>
  <w:listSeparator w:val=";"/>
  <w14:docId w14:val="27ED1F77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7D5C-BFE8-4F35-B637-D13C549D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2017-10-05T10:57:00Z</dcterms:created>
  <dcterms:modified xsi:type="dcterms:W3CDTF">2017-10-05T10:57:00Z</dcterms:modified>
</cp:coreProperties>
</file>