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1B762E" w:rsidRPr="00977C56" w:rsidRDefault="001B762E" w:rsidP="001B76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9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1B762E" w:rsidRPr="00977C56" w:rsidRDefault="001B762E" w:rsidP="001B762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B762E" w:rsidRPr="00977C56" w:rsidRDefault="001B762E" w:rsidP="001B762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B762E" w:rsidRPr="00977C56" w:rsidRDefault="001B762E" w:rsidP="001B762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B762E" w:rsidRPr="00977C56" w:rsidRDefault="001B762E" w:rsidP="001B762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B762E" w:rsidRPr="00475942" w:rsidRDefault="001B762E" w:rsidP="001B762E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475942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475942">
        <w:rPr>
          <w:rFonts w:ascii="Arial" w:hAnsi="Arial" w:cs="Arial"/>
          <w:color w:val="000000"/>
        </w:rPr>
        <w:t>, inciso VI, da Portaria MME n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281, de 29 de junho de 2016, tendo em </w:t>
      </w:r>
      <w:r w:rsidRPr="00475942">
        <w:rPr>
          <w:rFonts w:ascii="Arial" w:hAnsi="Arial" w:cs="Arial"/>
        </w:rPr>
        <w:t>vista o disposto no art. 4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do Decreto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8.874, de 11 de outubro de 2016, no art. 5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  <w:u w:val="words"/>
          <w:vertAlign w:val="superscript"/>
        </w:rPr>
        <w:t xml:space="preserve"> </w:t>
      </w:r>
      <w:r w:rsidRPr="00475942">
        <w:rPr>
          <w:rFonts w:ascii="Arial" w:hAnsi="Arial" w:cs="Arial"/>
        </w:rPr>
        <w:t>da Portaria MME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505, </w:t>
      </w:r>
      <w:r w:rsidRPr="00475942">
        <w:rPr>
          <w:rFonts w:ascii="Arial" w:hAnsi="Arial" w:cs="Arial"/>
          <w:color w:val="000000"/>
        </w:rPr>
        <w:t>de 24 de outubro de 2016</w:t>
      </w:r>
      <w:r w:rsidRPr="00475942">
        <w:rPr>
          <w:rFonts w:ascii="Arial" w:hAnsi="Arial" w:cs="Arial"/>
        </w:rPr>
        <w:t>, e o que consta do Processo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48360.006515/2016-00, resolve:</w:t>
      </w:r>
    </w:p>
    <w:p w:rsidR="001B762E" w:rsidRPr="00475942" w:rsidRDefault="001B762E" w:rsidP="001B762E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Art. 1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Aprovar, na forma </w:t>
      </w:r>
      <w:r w:rsidRPr="00475942">
        <w:rPr>
          <w:rFonts w:ascii="Arial" w:hAnsi="Arial" w:cs="Arial"/>
        </w:rPr>
        <w:t>do art. 2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>, § 1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>, inciso III, do Decreto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8.874, de 11 de outubro de 2016, como prioritários os</w:t>
      </w:r>
      <w:r w:rsidRPr="00475942">
        <w:rPr>
          <w:rFonts w:ascii="Arial" w:hAnsi="Arial" w:cs="Arial"/>
          <w:color w:val="000000"/>
        </w:rPr>
        <w:t xml:space="preserve"> Projetos de Distribuição de Energia Elétrica, de titularidade da empresa </w:t>
      </w:r>
      <w:proofErr w:type="spellStart"/>
      <w:r w:rsidRPr="00475942">
        <w:rPr>
          <w:rFonts w:ascii="Arial" w:hAnsi="Arial" w:cs="Arial"/>
        </w:rPr>
        <w:t>Energisa</w:t>
      </w:r>
      <w:proofErr w:type="spellEnd"/>
      <w:r w:rsidRPr="00475942">
        <w:rPr>
          <w:rFonts w:ascii="Arial" w:hAnsi="Arial" w:cs="Arial"/>
        </w:rPr>
        <w:t xml:space="preserve"> Sergipe - Distribuidora de Energia S.A., inscrita no CNPJ/MF sob o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13.017.462/0001-63</w:t>
      </w:r>
      <w:r w:rsidRPr="00475942">
        <w:rPr>
          <w:rFonts w:ascii="Arial" w:hAnsi="Arial" w:cs="Arial"/>
          <w:color w:val="000000"/>
        </w:rPr>
        <w:t>, para os fins do art. 2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da Lei n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Art. 2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A </w:t>
      </w:r>
      <w:proofErr w:type="spellStart"/>
      <w:r w:rsidRPr="00475942">
        <w:rPr>
          <w:rFonts w:ascii="Arial" w:hAnsi="Arial" w:cs="Arial"/>
        </w:rPr>
        <w:t>Energisa</w:t>
      </w:r>
      <w:proofErr w:type="spellEnd"/>
      <w:r w:rsidRPr="00475942">
        <w:rPr>
          <w:rFonts w:ascii="Arial" w:hAnsi="Arial" w:cs="Arial"/>
        </w:rPr>
        <w:t xml:space="preserve"> Sergipe - Distribuidora de Energia S.A. </w:t>
      </w:r>
      <w:r w:rsidRPr="00475942">
        <w:rPr>
          <w:rFonts w:ascii="Arial" w:hAnsi="Arial" w:cs="Arial"/>
          <w:color w:val="000000"/>
        </w:rPr>
        <w:t>e a Sociedade Controladora deverão: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 xml:space="preserve">I - </w:t>
      </w:r>
      <w:proofErr w:type="gramStart"/>
      <w:r w:rsidRPr="00475942">
        <w:rPr>
          <w:rFonts w:ascii="Arial" w:hAnsi="Arial" w:cs="Arial"/>
          <w:color w:val="000000"/>
        </w:rPr>
        <w:t>atender</w:t>
      </w:r>
      <w:proofErr w:type="gramEnd"/>
      <w:r w:rsidRPr="00475942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 xml:space="preserve">II - </w:t>
      </w:r>
      <w:proofErr w:type="gramStart"/>
      <w:r w:rsidRPr="00475942">
        <w:rPr>
          <w:rFonts w:ascii="Arial" w:hAnsi="Arial" w:cs="Arial"/>
          <w:color w:val="000000"/>
        </w:rPr>
        <w:t>comprovar</w:t>
      </w:r>
      <w:proofErr w:type="gramEnd"/>
      <w:r w:rsidRPr="00475942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 xml:space="preserve">IV - </w:t>
      </w:r>
      <w:proofErr w:type="gramStart"/>
      <w:r w:rsidRPr="00475942">
        <w:rPr>
          <w:rFonts w:ascii="Arial" w:hAnsi="Arial" w:cs="Arial"/>
          <w:color w:val="000000"/>
        </w:rPr>
        <w:t>manter</w:t>
      </w:r>
      <w:proofErr w:type="gramEnd"/>
      <w:r w:rsidRPr="00475942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 xml:space="preserve">V - </w:t>
      </w:r>
      <w:proofErr w:type="gramStart"/>
      <w:r w:rsidRPr="00475942">
        <w:rPr>
          <w:rFonts w:ascii="Arial" w:hAnsi="Arial" w:cs="Arial"/>
          <w:color w:val="000000"/>
        </w:rPr>
        <w:t>destacar</w:t>
      </w:r>
      <w:proofErr w:type="gramEnd"/>
      <w:r w:rsidRPr="00475942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 xml:space="preserve">VI - </w:t>
      </w:r>
      <w:proofErr w:type="gramStart"/>
      <w:r w:rsidRPr="00475942">
        <w:rPr>
          <w:rFonts w:ascii="Arial" w:hAnsi="Arial" w:cs="Arial"/>
          <w:color w:val="000000"/>
        </w:rPr>
        <w:t>manter</w:t>
      </w:r>
      <w:proofErr w:type="gramEnd"/>
      <w:r w:rsidRPr="00475942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</w:rPr>
        <w:t>VII - observar as demais disposições constantes na Lei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12.431, de 2011, no Decreto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8.874, de 2016, na</w:t>
      </w:r>
      <w:r w:rsidRPr="00475942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>, § 5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5942">
        <w:rPr>
          <w:rFonts w:ascii="Arial" w:hAnsi="Arial" w:cs="Arial"/>
          <w:color w:val="000000"/>
        </w:rPr>
        <w:lastRenderedPageBreak/>
        <w:t>Art. 3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O registro no SIG-R de que trata o art. 2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475942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75942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Art. 4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da Portaria </w:t>
      </w:r>
      <w:r w:rsidRPr="00475942">
        <w:rPr>
          <w:rFonts w:ascii="Arial" w:hAnsi="Arial" w:cs="Arial"/>
        </w:rPr>
        <w:t>MME n</w:t>
      </w:r>
      <w:r w:rsidRPr="001B762E">
        <w:rPr>
          <w:rFonts w:ascii="Arial" w:hAnsi="Arial" w:cs="Arial"/>
          <w:u w:val="words"/>
          <w:vertAlign w:val="superscript"/>
        </w:rPr>
        <w:t>o</w:t>
      </w:r>
      <w:r w:rsidRPr="00475942">
        <w:rPr>
          <w:rFonts w:ascii="Arial" w:hAnsi="Arial" w:cs="Arial"/>
        </w:rPr>
        <w:t xml:space="preserve"> 505, </w:t>
      </w:r>
      <w:r w:rsidRPr="00475942">
        <w:rPr>
          <w:rFonts w:ascii="Arial" w:hAnsi="Arial" w:cs="Arial"/>
          <w:color w:val="000000"/>
        </w:rPr>
        <w:t>de 24 de outubro de 2016</w:t>
      </w:r>
      <w:r w:rsidRPr="00475942">
        <w:rPr>
          <w:rFonts w:ascii="Arial" w:hAnsi="Arial" w:cs="Arial"/>
        </w:rPr>
        <w:t xml:space="preserve">, tendo por base a </w:t>
      </w:r>
      <w:r w:rsidRPr="00475942">
        <w:rPr>
          <w:rFonts w:ascii="Arial" w:hAnsi="Arial" w:cs="Arial"/>
          <w:color w:val="000000"/>
        </w:rPr>
        <w:t>comprovação da execução no SIG-R.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Art. 5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da Lei n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12.431, de 2011.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 xml:space="preserve">Art. </w:t>
      </w:r>
      <w:r w:rsidRPr="00475942">
        <w:rPr>
          <w:rFonts w:ascii="Arial" w:hAnsi="Arial" w:cs="Arial"/>
        </w:rPr>
        <w:t>6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1B762E" w:rsidRPr="00475942" w:rsidRDefault="001B762E" w:rsidP="001B76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762E" w:rsidRPr="00475942" w:rsidRDefault="001B762E" w:rsidP="001B762E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75942">
        <w:rPr>
          <w:rFonts w:ascii="Arial" w:hAnsi="Arial" w:cs="Arial"/>
          <w:color w:val="000000"/>
        </w:rPr>
        <w:t>Art. 7</w:t>
      </w:r>
      <w:r w:rsidRPr="001B762E">
        <w:rPr>
          <w:rFonts w:ascii="Arial" w:hAnsi="Arial" w:cs="Arial"/>
          <w:color w:val="000000"/>
          <w:u w:val="words"/>
          <w:vertAlign w:val="superscript"/>
        </w:rPr>
        <w:t>o</w:t>
      </w:r>
      <w:r w:rsidRPr="0047594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B762E" w:rsidRPr="00F14D02" w:rsidRDefault="001B762E" w:rsidP="001B762E">
      <w:pPr>
        <w:pStyle w:val="Default"/>
        <w:jc w:val="center"/>
        <w:rPr>
          <w:color w:val="auto"/>
          <w:sz w:val="22"/>
          <w:szCs w:val="22"/>
        </w:rPr>
      </w:pPr>
    </w:p>
    <w:p w:rsidR="001B762E" w:rsidRPr="00F14D02" w:rsidRDefault="001B762E" w:rsidP="001B76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1B762E" w:rsidRPr="00977C56" w:rsidRDefault="001B762E" w:rsidP="001B762E">
      <w:pPr>
        <w:autoSpaceDE w:val="0"/>
        <w:ind w:right="-40"/>
        <w:jc w:val="center"/>
        <w:rPr>
          <w:rFonts w:ascii="Arial" w:hAnsi="Arial" w:cs="Arial"/>
          <w:b/>
        </w:rPr>
      </w:pP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EC4139" w:rsidRDefault="00EC4139" w:rsidP="00EC41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1B762E" w:rsidRPr="00987C7A" w:rsidTr="00C918F9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987C7A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1B762E" w:rsidRPr="00987C7A" w:rsidTr="00C918F9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987C7A">
              <w:rPr>
                <w:rFonts w:ascii="Arial" w:hAnsi="Arial" w:cs="Arial"/>
                <w:bCs/>
              </w:rPr>
              <w:t>CONCESSIONÁRIA</w:t>
            </w:r>
          </w:p>
        </w:tc>
      </w:tr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CNPJ</w:t>
            </w:r>
          </w:p>
        </w:tc>
      </w:tr>
      <w:tr w:rsidR="001B762E" w:rsidRPr="00987C7A" w:rsidTr="00C918F9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proofErr w:type="spellStart"/>
            <w:r w:rsidRPr="00987C7A">
              <w:rPr>
                <w:rFonts w:ascii="Arial" w:hAnsi="Arial" w:cs="Arial"/>
              </w:rPr>
              <w:t>Energisa</w:t>
            </w:r>
            <w:proofErr w:type="spellEnd"/>
            <w:r w:rsidRPr="00987C7A">
              <w:rPr>
                <w:rFonts w:ascii="Arial" w:hAnsi="Arial" w:cs="Arial"/>
              </w:rPr>
              <w:t xml:space="preserve"> Sergipe - Distribuidora de Energia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13.017.462/0001-63.</w:t>
            </w:r>
          </w:p>
        </w:tc>
      </w:tr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Número</w:t>
            </w:r>
          </w:p>
        </w:tc>
      </w:tr>
      <w:tr w:rsidR="001B762E" w:rsidRPr="00987C7A" w:rsidTr="00C918F9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Rua Ministro Apolônio Sales.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81.</w:t>
            </w:r>
          </w:p>
        </w:tc>
      </w:tr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CEP</w:t>
            </w:r>
          </w:p>
        </w:tc>
      </w:tr>
      <w:tr w:rsidR="001B762E" w:rsidRPr="00987C7A" w:rsidTr="00C918F9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Andar Térreo.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Inácio Barbosa.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49040-150.</w:t>
            </w:r>
          </w:p>
        </w:tc>
      </w:tr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Telefone</w:t>
            </w:r>
          </w:p>
        </w:tc>
      </w:tr>
      <w:tr w:rsidR="001B762E" w:rsidRPr="00987C7A" w:rsidTr="00C918F9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Aracaju.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Sergipe.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(21) 2122-6930.</w:t>
            </w:r>
          </w:p>
        </w:tc>
      </w:tr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Contrato de Concessão</w:t>
            </w:r>
          </w:p>
        </w:tc>
      </w:tr>
      <w:tr w:rsidR="001B762E" w:rsidRPr="00987C7A" w:rsidTr="00C918F9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Contrato de Concessão n</w:t>
            </w:r>
            <w:r w:rsidRPr="001B76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87C7A">
              <w:rPr>
                <w:rFonts w:ascii="Arial" w:hAnsi="Arial" w:cs="Arial"/>
              </w:rPr>
              <w:t xml:space="preserve"> 007/1997-ANEEL, de 23 de dezembro de 1997.</w:t>
            </w:r>
          </w:p>
        </w:tc>
      </w:tr>
    </w:tbl>
    <w:p w:rsidR="001B762E" w:rsidRPr="00987C7A" w:rsidRDefault="001B762E" w:rsidP="001B762E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7C7A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1B762E" w:rsidRPr="00987C7A" w:rsidTr="00C918F9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pStyle w:val="NormalWeb"/>
              <w:rPr>
                <w:rFonts w:ascii="Arial" w:hAnsi="Arial" w:cs="Arial"/>
              </w:rPr>
            </w:pPr>
            <w:r w:rsidRPr="00987C7A">
              <w:rPr>
                <w:rStyle w:val="Forte"/>
                <w:rFonts w:ascii="Arial" w:hAnsi="Arial" w:cs="Arial"/>
              </w:rPr>
              <w:t>Nome</w:t>
            </w:r>
            <w:r w:rsidRPr="00987C7A">
              <w:rPr>
                <w:rFonts w:ascii="Arial" w:hAnsi="Arial" w:cs="Arial"/>
              </w:rPr>
              <w:t>: Maurício Perez Botelho.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pStyle w:val="NormalWeb"/>
              <w:rPr>
                <w:rFonts w:ascii="Arial" w:hAnsi="Arial" w:cs="Arial"/>
              </w:rPr>
            </w:pPr>
            <w:r w:rsidRPr="00987C7A">
              <w:rPr>
                <w:rStyle w:val="Forte"/>
                <w:rFonts w:ascii="Arial" w:hAnsi="Arial" w:cs="Arial"/>
              </w:rPr>
              <w:t>CPF</w:t>
            </w:r>
            <w:r w:rsidRPr="00987C7A">
              <w:rPr>
                <w:rFonts w:ascii="Arial" w:hAnsi="Arial" w:cs="Arial"/>
              </w:rPr>
              <w:t>: 738.738.107-00.</w:t>
            </w:r>
          </w:p>
        </w:tc>
      </w:tr>
      <w:tr w:rsidR="001B762E" w:rsidRPr="00987C7A" w:rsidTr="00C918F9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pStyle w:val="NormalWeb"/>
              <w:rPr>
                <w:rFonts w:ascii="Arial" w:hAnsi="Arial" w:cs="Arial"/>
              </w:rPr>
            </w:pPr>
            <w:r w:rsidRPr="00987C7A">
              <w:rPr>
                <w:rStyle w:val="Forte"/>
                <w:rFonts w:ascii="Arial" w:hAnsi="Arial" w:cs="Arial"/>
              </w:rPr>
              <w:t>Nome</w:t>
            </w:r>
            <w:r w:rsidRPr="00987C7A">
              <w:rPr>
                <w:rFonts w:ascii="Arial" w:hAnsi="Arial" w:cs="Arial"/>
              </w:rPr>
              <w:t>: Fernando Cezar Maia.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pStyle w:val="NormalWeb"/>
              <w:rPr>
                <w:rFonts w:ascii="Arial" w:hAnsi="Arial" w:cs="Arial"/>
              </w:rPr>
            </w:pPr>
            <w:r w:rsidRPr="00987C7A">
              <w:rPr>
                <w:rStyle w:val="Forte"/>
                <w:rFonts w:ascii="Arial" w:hAnsi="Arial" w:cs="Arial"/>
              </w:rPr>
              <w:t>CPF</w:t>
            </w:r>
            <w:r w:rsidRPr="00987C7A">
              <w:rPr>
                <w:rFonts w:ascii="Arial" w:hAnsi="Arial" w:cs="Arial"/>
              </w:rPr>
              <w:t>: 443.096.007-00.</w:t>
            </w:r>
          </w:p>
        </w:tc>
      </w:tr>
    </w:tbl>
    <w:p w:rsidR="001B762E" w:rsidRPr="00987C7A" w:rsidRDefault="001B762E" w:rsidP="001B762E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1B762E" w:rsidRPr="00987C7A" w:rsidTr="00C918F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7C7A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1B762E" w:rsidRPr="00987C7A" w:rsidTr="00C918F9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Participação (%)</w:t>
            </w:r>
          </w:p>
        </w:tc>
      </w:tr>
      <w:tr w:rsidR="001B762E" w:rsidRPr="00987C7A" w:rsidTr="00C918F9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Não se aplica.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Não se aplica.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Não se aplica.</w:t>
            </w:r>
          </w:p>
        </w:tc>
      </w:tr>
    </w:tbl>
    <w:p w:rsidR="001B762E" w:rsidRPr="00987C7A" w:rsidRDefault="001B762E" w:rsidP="001B762E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1B762E" w:rsidRPr="00987C7A" w:rsidTr="00C918F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2E" w:rsidRPr="00987C7A" w:rsidRDefault="001B762E" w:rsidP="00C918F9">
            <w:pPr>
              <w:ind w:left="-70"/>
              <w:jc w:val="center"/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87C7A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1B762E" w:rsidRPr="00987C7A" w:rsidTr="00C918F9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rPr>
                <w:rFonts w:ascii="Arial" w:hAnsi="Arial" w:cs="Arial"/>
              </w:rPr>
            </w:pPr>
            <w:r w:rsidRPr="00987C7A">
              <w:rPr>
                <w:rFonts w:ascii="Arial" w:hAnsi="Arial" w:cs="Arial"/>
              </w:rPr>
              <w:t>CNPJ</w:t>
            </w:r>
          </w:p>
        </w:tc>
      </w:tr>
      <w:tr w:rsidR="001B762E" w:rsidRPr="00987C7A" w:rsidTr="00C918F9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2E" w:rsidRPr="00987C7A" w:rsidRDefault="001B762E" w:rsidP="00C918F9">
            <w:pPr>
              <w:jc w:val="both"/>
              <w:rPr>
                <w:rFonts w:ascii="Arial" w:hAnsi="Arial" w:cs="Arial"/>
                <w:highlight w:val="yellow"/>
              </w:rPr>
            </w:pPr>
            <w:r w:rsidRPr="00987C7A">
              <w:rPr>
                <w:rFonts w:ascii="Arial" w:hAnsi="Arial" w:cs="Arial"/>
                <w:noProof/>
              </w:rPr>
              <w:t>Energisa S.A.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2E" w:rsidRPr="00987C7A" w:rsidRDefault="001B762E" w:rsidP="00C918F9">
            <w:pPr>
              <w:rPr>
                <w:rFonts w:ascii="Arial" w:hAnsi="Arial" w:cs="Arial"/>
                <w:highlight w:val="yellow"/>
              </w:rPr>
            </w:pPr>
            <w:r w:rsidRPr="00987C7A">
              <w:rPr>
                <w:rFonts w:ascii="Arial" w:hAnsi="Arial" w:cs="Arial"/>
                <w:noProof/>
              </w:rPr>
              <w:t>00.864.214/0001-06.</w:t>
            </w:r>
          </w:p>
        </w:tc>
      </w:tr>
    </w:tbl>
    <w:p w:rsidR="001B762E" w:rsidRPr="00987C7A" w:rsidRDefault="001B762E" w:rsidP="001B762E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1B762E" w:rsidRPr="001B762E" w:rsidTr="00C918F9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PROJETO(S)</w:t>
            </w:r>
          </w:p>
        </w:tc>
      </w:tr>
      <w:tr w:rsidR="001B762E" w:rsidRPr="001B762E" w:rsidTr="00C918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N</w:t>
            </w:r>
            <w:r w:rsidRPr="001B762E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1B76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25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</w:t>
            </w:r>
            <w:r w:rsidRPr="001B762E">
              <w:rPr>
                <w:rFonts w:ascii="Arial" w:hAnsi="Arial" w:cs="Arial"/>
                <w:i/>
                <w:sz w:val="20"/>
                <w:szCs w:val="20"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>Data Prevista para Entrada em Operação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B1:O33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End w:id="1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na </w:t>
            </w: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 Urubu 21Z2 (19800).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um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15 kV de Corrente Nominal 600 A, Capacidade de Interrupção 12,5 kA, controle 125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Vcc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, por outro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Corrente Nominal 800 A, Capacidade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Interrupção 16 kA, Controle 125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Vcc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por fim de vida útil, localizado na Saída da Linha 01Z2, na Subestação de Distribuição - SED Urubu (69/13,8 kV).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lastRenderedPageBreak/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Aracaju,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na SED Urubu 21Z8 (19818).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um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15 kV de Corrente Nominal 600 A, Capacidade de Interrupção 12,5 kA, Controle 125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Vcc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, por outro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Corrente Nominal 800 A, Capacidade de Interrupção 16 kA, Controle 125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Vcc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por fim de vida útil, localizado na Saída da Linha 01Z8, na SED Urubu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Aracaju,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Disjuntor 12S3 SED Aracajú (19499).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Disjuntor 12S3, de 72,5 kV, de Corrente Nominal 1250 A e Capacidade de Interrupção 31,5 kA, ano 1991 (Pequeno Volume de Óleo), por outro com Corrente Nominal 2000 A e Capacidade de Interrupção 31,5 kA (Isolado a Gás), por fim de vida útil, na SED Aracajú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Aracaju,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Fevereiro/2018.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Implantação de Transformadores de Corrente na Subestação Itabaiana - (21365).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Implantação de três Transformadores de Corrente -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TCs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Número Operacional 92T4, de 72,5 kV, Classe de Exatidão 10B400/0,3C50, Relação De Transformação RTC 200/250/300 X 400/500/600-5A, localizados no Primário do Transformador de Força 02T4 (69/13,8kV) na SED Itabaiana.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Itabaiana,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Setembro/2017.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Melhoria na Linha de Distribuição de Alta Tensão - LDAT ITB RCH J4 (19831).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sete Estruturas Suporte de Concreto (Postes), de Tipo 13 metros / 600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Tipo 13 metros / 1000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por fim de vida útil, na Linha Itabaiana - Riachuelo,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Riachuelo,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Transformadores de Corrente -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TCs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deteriorados na SED RCH (19663).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sete Transformadores de Corrente -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TCs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kV, por fim de vida útil, na SED Riachuelo (69/13,8 kV), conforme indicado a seguir: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a) três Transformadores de Corrente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72,5 kV de 400-5A, Classe de Exatidão 2,5H400, por outros 72,5 kV, RTC 200/250/300 </w:t>
            </w:r>
            <w:proofErr w:type="gram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400/500/600-5A, Classe de Exatidão 10B400/0,3C50, localizados na Entrada da Linha 02J3;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b) três Transformadores de Corrente 72,5 kV de 400-5A, Classe de Exatidão 2,5H400, por outros 72,5 kV, RTC 200/250/300 </w:t>
            </w:r>
            <w:proofErr w:type="gram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400/500/600-5A, Classe de Exatidão 10B400/0,3C50, localizados na Entrada da Linha 02C3; e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c) um Transformador de Corrente 72,5 kV de 400-5A, Classe de Exatidão 2,5H400, por outros 72,5 kV, RTC 200/250/300 X 400/500/600-5A, Classe de Exatidão 10B400/0,3C50, localizados no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Transformador 02T1.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lastRenderedPageBreak/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Riachuelo,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Ampliação Subestação - SE Carrapicho (2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10/12,5 MVA) - (19392).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Ampliação da SED Carrapicho, com a instalação do 2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de Força, 10/12,5 MVA,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Neópolis,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Dezembro/2017.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Melhoria na LDAT Maruim - Porto M2 (19833).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treze Estruturas Suporte de Concreto (Postes), de Tipo 16 metros /600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16 metros / 1000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por fim de vida útil, na Linha Maruim - Porto,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Maruim,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Ativos SE Nossa Senhora das Dores (5907).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quatro Disjuntores de 72 kV, de Corrente Nominal 1250 A e Capacidade de Interrupção 15,4 kA (Pequeno Volume de Óleo), por outro com Corrente Nominal 2000 A e Capacidade de Interrupção 25 kA (Isolado a Gás), localizados nas Entradas das Linhas   02N1, 02N2 e 02N3 e Transformador de Força 02T1, por fim de vida útil, na SE Nossa Senhora das Dores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Nossa Senhora das Dores,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Junho/2016.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 Socorro-Siqueira-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Serigy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(15802).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Obra para conclusão da construção da Linha Nossa Senhora do Socorro -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Serigy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de 69 kV, com a instalação de nove quilômetros de Cabo CAL 740 MCM.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lastRenderedPageBreak/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Aracaju,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Janeiro/2018.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ativos SE Propriá (5906).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um Disjuntor 69 kV, de Corrente Nominal 1250 A e Capacidade de Interrupção 15,4 kA (Pequeno Volume de Óleo), por outro com Corrente Nominal 2000 A e Capacidade de Interrupção 25 kA (Isolado a Gás), e três Transformadores de Corrente de 72,5 kV, Classe de Exatidão 2,5H400, RTC 400-5A, por outros 72,5 kV, Classe de Exatidão 10B400/0,3C50, RTC 200/250/300 X 400/500/600-5A, todos localizados na Entrada da Linha 02N2, por fim de vida útil, na SE Propriá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Propriá,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Fevereiro/2018.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Deslocar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LDAT's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Faixa Invadida (503).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Neste projeto serão instalados um quilômetro e quinhentos metros de Cabo CAL 394 MCM, sendo retirado o Cabo CAA 336 MCM, e instalados Postes de Concreto de 22 metros / 2000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nas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LDAT’s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Jardim - Urubu e Aracaju - Urubu (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LDAT’s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em Circuito Duplo).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Aracaju,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Maio/2016.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Implantação de Ativos SE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(13970).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Implantação dos seguintes Ativos, por fim de vida útil, na SED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(69/13,8 kV):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a) Banco de Capacitores de 3,6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em 13,8 kV; e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b) Disjuntor 15 kV, com Corrente Nominal 2000 A e Capacidade de Interrupção 25 kA (Isolado a Gás), localizado no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Banco de Capacitor 01H2.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Nossa Senhora do Socorro,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Maio/2017.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Instalação de Banco de Capacitores na SE Lagarto (7183).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Banco de Capacitores de 3,6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em 15 kV, na SED Lagarto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Lagarto,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Estrutura para 03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Bay´s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 kV na SE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(13784).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Ampliação do Barramento da SE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(69/13,8 kV), com a instalação de três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Nossa Senhora do Socorro,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Maio/2017.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 Socorro-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Serigy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(1720).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Linha, interligando a SE Nossa Senhora do Socorro à SED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Serigy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com trecho subterrâneo de duzentos metros, Cabo Isolado Cu 240 mm², 69 kV. OBS: A Subestação Siqueira Campos será construída em data futura.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Aracaju,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Abril/2018.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Substituição de Ativos Subestação Riachuelo (5822).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doze  Transformadores</w:t>
            </w:r>
            <w:proofErr w:type="gram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Corrente -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TCs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, por fim de vida útil, na SE Riachuelo (69/13,8 kV), conforme indicado a seguir: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a) três Transformadores de Corrente 72,5 kV de 400-5A, Classe de Exatidão 2,5H400, por outros 72,5 kV, Classe de Exatidão 10B400/0,3C50, RTC 200/250/300 </w:t>
            </w:r>
            <w:proofErr w:type="gram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400/500/600-5A, localizados na Entrada da Linha 02C6;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b) três Transformadores de Corrente 72,5 kV de 400-5A, Classe de Exatidão 2,5H400, por outros 72,5 kV, Classe de Exatidão 10B400/0,3C50, RTC 200/250/300 </w:t>
            </w:r>
            <w:proofErr w:type="gram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400/500/600-5A, localizados na Entrada da Linha 02C9;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c) três Transformadores de Corrente 72,5 kV de 400-5A, Classe de Exatidão 2,5H400, por outros 72,5 kV, Classe de Exatidão 10B400/0,3C50, RTC 200/250/300 </w:t>
            </w:r>
            <w:proofErr w:type="gram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gram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400/500/600-5A, localizados na Entrada da Linha 02C4; e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d) três Transformadores de Corrente 72,5 kV de 400-5A, Classe de Exatidão 2,5H400, por outros 72,5 kV, Classe de Exatidão 10B400/0,3C50, RTC 200/250/300 X 400/500/600-5A, localizados na Entrada da Linha 02J4.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Riachuelo,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 Jardim-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- Conexão 2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Circuito (13816).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Obra de adequação do Segundo Circuito da Linha Jardim -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, de 69 kV, na Subestação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Taiçoca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(69/13,8 kV), com a construção de duas Entradas de Linhas 69 kV e um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Transferência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lastRenderedPageBreak/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Nossa Senhora do Socorro,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Seccionamento LDAT JDM-PGN e ARJ-PGN na SE Cabrita e troca de Cabos no Rio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Poxim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LDAT Socorro/Cabrita (3776).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Obra de Seccionamento das Linhas Jardim - Unidade Processamento de Gás Natural e Aracaju - Unidade Processamento de Gás Natural, ambas de 69 kV, na SED Cabrita, com construção de quatrocentos metros de LDAT com Cabo CAL 394 MCM e duzentos metros de Cabo Cu 240mm².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Haverá ainda a substituição de oitocentos metros de Cabo CAL 394 MCM por Cabo CAL 740 MCM, na LDAT Socorro - Cabrita.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São Cristóvão,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Março/2018.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Linha de Transmissão - LT Frei Paulo - Carira (1689).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Construção da Linha, interligando Frei Paulo à Carira, de 69 kV, com vinte e sete quilômetros e seiscentos e setenta metros, Cabo CAL 312 MCM.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Municípios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Frei Paulo e Carira,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Maio/2017.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Incorporação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DITs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- SE Xingo e LDAT ZBU/XNG (15761).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Tendo em vista a incorporação da Linha Zebu - Xingo, de 69 kV, e da Subestação Xingo (69/13,8 kV), serão realizadas as seguintes Obras na SE Xingo: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a) instalação de um Disjuntor de 13,8 kV; e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b) instalação de dois Disjuntores de 69 kV.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Nota: Transferência dos Ativos classificados como Distribuição de Energia, da Chesf para </w:t>
            </w:r>
            <w:proofErr w:type="spellStart"/>
            <w:r w:rsidRPr="001B762E">
              <w:rPr>
                <w:rFonts w:ascii="Arial" w:hAnsi="Arial" w:cs="Arial"/>
                <w:sz w:val="20"/>
                <w:szCs w:val="20"/>
              </w:rPr>
              <w:t>Energisa</w:t>
            </w:r>
            <w:proofErr w:type="spellEnd"/>
            <w:r w:rsidRPr="001B76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Canindé de São Francisco,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Abril/2018.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 Itabaiana (Modernização) - (1721).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Instalação, na Subestação Itabaiana (69/13,8 kV), de um Disjuntor de 13,8 kV e um Banco de Capacitores 7,2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em 13,8 kV.</w:t>
            </w:r>
          </w:p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Nota: Obra necessária para transferência dos Ativos de Distribuição, da Chesf para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Energisa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Subestação de Distribuição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Itabaiana,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Julho/2017.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Seccionadora Derivação Salgado (5519).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Seccionadora Derivação Salgado, de 69 kV, contendo </w:t>
            </w:r>
            <w:r w:rsidRPr="001B762E">
              <w:rPr>
                <w:rFonts w:ascii="Arial" w:hAnsi="Arial" w:cs="Arial"/>
                <w:sz w:val="20"/>
                <w:szCs w:val="20"/>
              </w:rPr>
              <w:t xml:space="preserve">três </w:t>
            </w:r>
            <w:proofErr w:type="spellStart"/>
            <w:r w:rsidRPr="001B762E">
              <w:rPr>
                <w:rFonts w:ascii="Arial" w:hAnsi="Arial" w:cs="Arial"/>
                <w:sz w:val="20"/>
                <w:szCs w:val="20"/>
              </w:rPr>
              <w:t>Bays</w:t>
            </w:r>
            <w:proofErr w:type="spellEnd"/>
            <w:r w:rsidRPr="001B762E">
              <w:rPr>
                <w:rFonts w:ascii="Arial" w:hAnsi="Arial" w:cs="Arial"/>
                <w:sz w:val="20"/>
                <w:szCs w:val="2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Salgado,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Maio/2019.</w:t>
            </w:r>
          </w:p>
        </w:tc>
      </w:tr>
      <w:tr w:rsidR="001B762E" w:rsidRPr="001B762E" w:rsidTr="00C9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B762E" w:rsidRPr="001B762E" w:rsidRDefault="001B762E" w:rsidP="00C91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Modificação </w:t>
            </w:r>
            <w:proofErr w:type="spellStart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LDAT´s</w:t>
            </w:r>
            <w:proofErr w:type="spellEnd"/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 - SE Socorro (Chesf) - (666).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Transferência de quatro Linhas de Distribuição de Alta Tensão - LDAT, de 69 kV, da Subestação - SE Jardim para a nova SE Nossa Senhora do Socorro, com a instalação de um quilômetro e seiscentos metros de Rede Subterrânea Cabo de Cu 240 mm² e de dois quilômetros e novecentos e setenta e seis metros de Rede Aérea Cabo CAL 740 MCM. As Linhas transferidas foram Jardim - Unidade Processamento de Gás Natural, Jardim - Aracaju C1, Jardim - Aracaju C2 e Jardim - Urubu.      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Sistema de Distribuição de Alta Tensão -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sz w:val="20"/>
                <w:szCs w:val="20"/>
              </w:rPr>
              <w:t xml:space="preserve">Município de </w:t>
            </w: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 xml:space="preserve">Nossa Senhora do Socorro, </w:t>
            </w:r>
            <w:r w:rsidRPr="001B762E">
              <w:rPr>
                <w:rFonts w:ascii="Arial" w:hAnsi="Arial" w:cs="Arial"/>
                <w:sz w:val="20"/>
                <w:szCs w:val="20"/>
              </w:rPr>
              <w:t>Estado de Sergipe.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762E" w:rsidRPr="001B762E" w:rsidRDefault="001B762E" w:rsidP="00C918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762E">
              <w:rPr>
                <w:rFonts w:ascii="Arial" w:hAnsi="Arial" w:cs="Arial"/>
                <w:color w:val="000000"/>
                <w:sz w:val="20"/>
                <w:szCs w:val="20"/>
              </w:rPr>
              <w:t>Abril/2016.</w:t>
            </w:r>
          </w:p>
        </w:tc>
      </w:tr>
    </w:tbl>
    <w:p w:rsidR="001B762E" w:rsidRPr="00987C7A" w:rsidRDefault="001B762E" w:rsidP="001B762E">
      <w:pPr>
        <w:rPr>
          <w:rFonts w:ascii="Arial" w:hAnsi="Arial" w:cs="Arial"/>
          <w:sz w:val="2"/>
          <w:szCs w:val="2"/>
        </w:rPr>
      </w:pPr>
    </w:p>
    <w:sectPr w:rsidR="001B762E" w:rsidRPr="00987C7A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1B762E">
      <w:rPr>
        <w:rFonts w:ascii="Arial" w:hAnsi="Arial" w:cs="Arial"/>
      </w:rPr>
      <w:t>23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B762E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B762E">
      <w:rPr>
        <w:rFonts w:ascii="Arial" w:hAnsi="Arial" w:cs="Arial"/>
      </w:rPr>
      <w:t>maio</w:t>
    </w:r>
    <w:r w:rsidR="005873BA">
      <w:rPr>
        <w:rFonts w:ascii="Arial" w:hAnsi="Arial" w:cs="Arial"/>
      </w:rPr>
      <w:t xml:space="preserve">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B762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1B762E">
      <w:rPr>
        <w:rFonts w:ascii="Arial" w:hAnsi="Arial" w:cs="Arial"/>
      </w:rPr>
      <w:t>23</w:t>
    </w:r>
    <w:r w:rsidRPr="001906C1">
      <w:rPr>
        <w:rFonts w:ascii="Arial" w:hAnsi="Arial" w:cs="Arial"/>
      </w:rPr>
      <w:t xml:space="preserve">, de </w:t>
    </w:r>
    <w:r w:rsidR="001B762E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B762E">
      <w:rPr>
        <w:rStyle w:val="Nmerodepgina"/>
        <w:rFonts w:ascii="Arial" w:hAnsi="Arial" w:cs="Arial"/>
        <w:noProof/>
      </w:rPr>
      <w:t>7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5873BA">
      <w:rPr>
        <w:rFonts w:ascii="Arial" w:hAnsi="Arial" w:cs="Arial"/>
      </w:rPr>
      <w:t>1</w:t>
    </w:r>
    <w:r w:rsidR="001B762E">
      <w:rPr>
        <w:rFonts w:ascii="Arial" w:hAnsi="Arial" w:cs="Arial"/>
      </w:rPr>
      <w:t>23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B762E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B762E">
      <w:rPr>
        <w:rFonts w:ascii="Arial" w:hAnsi="Arial" w:cs="Arial"/>
      </w:rPr>
      <w:t>maio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B762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81"/>
    <o:shapelayout v:ext="edit">
      <o:idmap v:ext="edit" data="1"/>
    </o:shapelayout>
  </w:shapeDefaults>
  <w:decimalSymbol w:val=","/>
  <w:listSeparator w:val=";"/>
  <w14:docId w14:val="1705A458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BD2F-D12D-43D1-8C36-5538316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2534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2017-05-10T11:14:00Z</dcterms:created>
  <dcterms:modified xsi:type="dcterms:W3CDTF">2017-05-10T11:14:00Z</dcterms:modified>
</cp:coreProperties>
</file>