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2423A4">
        <w:rPr>
          <w:rFonts w:ascii="Arial" w:hAnsi="Arial" w:cs="Arial"/>
          <w:b/>
          <w:bCs/>
          <w:color w:val="000080"/>
        </w:rPr>
        <w:t>20</w:t>
      </w:r>
      <w:r w:rsidR="00142416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42416">
        <w:rPr>
          <w:rFonts w:ascii="Arial" w:hAnsi="Arial" w:cs="Arial"/>
          <w:b/>
          <w:bCs/>
          <w:color w:val="000080"/>
        </w:rPr>
        <w:t>10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78" w:rsidRDefault="00882F78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78" w:rsidRDefault="00882F78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42416" w:rsidRPr="00BB3DD0" w:rsidRDefault="00142416" w:rsidP="0014241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BB3DD0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BB3DD0">
        <w:rPr>
          <w:rFonts w:ascii="Arial" w:hAnsi="Arial" w:cs="Arial"/>
          <w:color w:val="000000"/>
        </w:rPr>
        <w:t>, no uso da competência que lhe foi delegada pelo art. 1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BB3DD0">
        <w:rPr>
          <w:rFonts w:ascii="Arial" w:hAnsi="Arial" w:cs="Arial"/>
          <w:color w:val="000000"/>
        </w:rPr>
        <w:t>n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281</w:t>
      </w:r>
      <w:proofErr w:type="gramEnd"/>
      <w:r w:rsidRPr="00BB3DD0">
        <w:rPr>
          <w:rFonts w:ascii="Arial" w:hAnsi="Arial" w:cs="Arial"/>
          <w:color w:val="000000"/>
        </w:rPr>
        <w:t xml:space="preserve">, de 29 de junho de 2016, tendo em </w:t>
      </w:r>
      <w:r w:rsidRPr="00BB3DD0">
        <w:rPr>
          <w:rFonts w:ascii="Arial" w:hAnsi="Arial" w:cs="Arial"/>
        </w:rPr>
        <w:t>vista o disposto no art. 5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</w:rPr>
        <w:t xml:space="preserve"> do Decreto n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</w:rPr>
        <w:t xml:space="preserve"> 7.603, de 9 de novembro de 2011, no art. 5</w:t>
      </w:r>
      <w:r w:rsidRPr="00BB3DD0">
        <w:rPr>
          <w:rFonts w:ascii="Arial" w:hAnsi="Arial" w:cs="Arial"/>
          <w:u w:val="words"/>
          <w:vertAlign w:val="superscript"/>
        </w:rPr>
        <w:t xml:space="preserve">o </w:t>
      </w:r>
      <w:r w:rsidRPr="00BB3DD0">
        <w:rPr>
          <w:rFonts w:ascii="Arial" w:hAnsi="Arial" w:cs="Arial"/>
        </w:rPr>
        <w:t>da Portaria MME n</w:t>
      </w:r>
      <w:r w:rsidRPr="00BB3DD0">
        <w:rPr>
          <w:rFonts w:ascii="Arial" w:hAnsi="Arial" w:cs="Arial"/>
          <w:u w:val="words"/>
          <w:vertAlign w:val="superscript"/>
        </w:rPr>
        <w:t>o</w:t>
      </w:r>
      <w:r w:rsidRPr="00BB3DD0">
        <w:rPr>
          <w:rFonts w:ascii="Arial" w:hAnsi="Arial" w:cs="Arial"/>
        </w:rPr>
        <w:t xml:space="preserve"> 237, de 9 de junho de 2016, e o que consta do Processo n</w:t>
      </w:r>
      <w:r w:rsidRPr="00BB3DD0">
        <w:rPr>
          <w:rFonts w:ascii="Arial" w:hAnsi="Arial" w:cs="Arial"/>
          <w:u w:val="words"/>
          <w:vertAlign w:val="superscript"/>
        </w:rPr>
        <w:t>o</w:t>
      </w:r>
      <w:r w:rsidRPr="00BB3DD0">
        <w:rPr>
          <w:rFonts w:ascii="Arial" w:hAnsi="Arial" w:cs="Arial"/>
        </w:rPr>
        <w:t xml:space="preserve"> </w:t>
      </w:r>
      <w:r w:rsidRPr="00BB3DD0">
        <w:rPr>
          <w:rFonts w:ascii="Arial" w:hAnsi="Arial" w:cs="Arial"/>
          <w:color w:val="000000"/>
        </w:rPr>
        <w:t>48000.001367/2016-42</w:t>
      </w:r>
      <w:r w:rsidRPr="00BB3DD0">
        <w:rPr>
          <w:rFonts w:ascii="Arial" w:hAnsi="Arial" w:cs="Arial"/>
        </w:rPr>
        <w:t>, resolve:</w:t>
      </w:r>
    </w:p>
    <w:p w:rsidR="00142416" w:rsidRPr="00BB3DD0" w:rsidRDefault="00142416" w:rsidP="0014241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142416" w:rsidRPr="00BB3DD0" w:rsidRDefault="00142416" w:rsidP="0014241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>Art. 1</w:t>
      </w:r>
      <w:r w:rsidRPr="00BB3DD0">
        <w:rPr>
          <w:rFonts w:ascii="Arial" w:hAnsi="Arial" w:cs="Arial"/>
          <w:color w:val="000000"/>
          <w:u w:val="words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Aprovar, na forma do art. 2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>, inciso III, do Decreto n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7.603, de </w:t>
      </w:r>
      <w:proofErr w:type="gramStart"/>
      <w:r w:rsidRPr="00BB3DD0">
        <w:rPr>
          <w:rFonts w:ascii="Arial" w:hAnsi="Arial" w:cs="Arial"/>
          <w:color w:val="000000"/>
        </w:rPr>
        <w:t>9</w:t>
      </w:r>
      <w:proofErr w:type="gramEnd"/>
      <w:r w:rsidRPr="00BB3DD0">
        <w:rPr>
          <w:rFonts w:ascii="Arial" w:hAnsi="Arial" w:cs="Arial"/>
          <w:color w:val="000000"/>
        </w:rPr>
        <w:t xml:space="preserve"> de novembro de 2011, como prioritários os Projetos de Distribuição de Energia Elétrica, de titularidade da empresa Companhia de Eletricidade do Estado da Bahia - Coelba, inscrita no CNPJ/MF sob o </w:t>
      </w:r>
      <w:r w:rsidRPr="00BB3DD0">
        <w:rPr>
          <w:rFonts w:ascii="Arial" w:hAnsi="Arial" w:cs="Arial"/>
          <w:color w:val="000000"/>
        </w:rPr>
        <w:br/>
        <w:t>n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15.139.629/0001-94, para os fins do art. 2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da Lei n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12.431, de 24 de junho de 2011, descritos no Anexo à presente Portaria.</w:t>
      </w:r>
    </w:p>
    <w:p w:rsidR="00142416" w:rsidRPr="00BB3DD0" w:rsidRDefault="00142416" w:rsidP="0014241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>Art. 2</w:t>
      </w:r>
      <w:r w:rsidRPr="00BB3DD0">
        <w:rPr>
          <w:rFonts w:ascii="Arial" w:hAnsi="Arial" w:cs="Arial"/>
          <w:color w:val="000000"/>
          <w:u w:val="words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A Companhia de Eletricidade do Estado da Bahia - Coelba e a Sociedade Controladora deverão: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 xml:space="preserve">I - atender aos Procedimentos de Distribuição de Energia Elétrica - PRODIST e ao Manual de Controle Patrimonial do Setor Elétrico - MCPSE, aprovados pela Agência Nacional de Energia Elétrica - ANEEL; 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>II - comprovar a execução dos Projetos por meio de registro no Sistema de Informação Geográfica Regulatório - SIG-R, conforme PRODIST;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>IV - manter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>V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 xml:space="preserve">VI - manter a documentação relativa à utilização dos recursos captados, até cinco anos após o vencimento das debêntures emitidas, para consulta e fiscalização pelos Órgãos de Controle e Receita Federal do Brasil; </w:t>
      </w:r>
      <w:proofErr w:type="gramStart"/>
      <w:r w:rsidRPr="00BB3DD0">
        <w:rPr>
          <w:rFonts w:ascii="Arial" w:hAnsi="Arial" w:cs="Arial"/>
          <w:color w:val="000000"/>
        </w:rPr>
        <w:t>e</w:t>
      </w:r>
      <w:proofErr w:type="gramEnd"/>
      <w:r w:rsidRPr="00BB3DD0">
        <w:rPr>
          <w:rFonts w:ascii="Arial" w:hAnsi="Arial" w:cs="Arial"/>
          <w:color w:val="000000"/>
        </w:rPr>
        <w:t xml:space="preserve"> 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>VII - observar as demais disposições constantes na Lei n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12.431, de 2011, no Decreto n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7.603, e 2011, na legislação e normas vigentes e supervenientes, sujeitando-se às penalidades legais, inclusive aquela prevista no art. 2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>, § 5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142416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42416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B3DD0">
        <w:rPr>
          <w:rFonts w:ascii="Arial" w:hAnsi="Arial" w:cs="Arial"/>
          <w:color w:val="000000"/>
        </w:rPr>
        <w:lastRenderedPageBreak/>
        <w:t>Art. 3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O registro no SIG-R de que trata o art. 2</w:t>
      </w:r>
      <w:r w:rsidRPr="00BB3DD0">
        <w:rPr>
          <w:rFonts w:ascii="Arial" w:hAnsi="Arial" w:cs="Arial"/>
          <w:color w:val="000000"/>
          <w:u w:val="words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, inciso II, deverá ser realizado para todas as entidades que compõem cada Projeto aprovado, nos termos do </w:t>
      </w:r>
      <w:proofErr w:type="gramStart"/>
      <w:r w:rsidRPr="00BB3DD0">
        <w:rPr>
          <w:rFonts w:ascii="Arial" w:hAnsi="Arial" w:cs="Arial"/>
          <w:color w:val="000000"/>
        </w:rPr>
        <w:t>Módulo 10</w:t>
      </w:r>
      <w:proofErr w:type="gramEnd"/>
      <w:r w:rsidRPr="00BB3DD0">
        <w:rPr>
          <w:rFonts w:ascii="Arial" w:hAnsi="Arial" w:cs="Arial"/>
          <w:color w:val="000000"/>
        </w:rPr>
        <w:t xml:space="preserve"> do PRODIST,</w:t>
      </w:r>
      <w:r w:rsidRPr="00BB3DD0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B3DD0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>Art. 4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da Portaria </w:t>
      </w:r>
      <w:r w:rsidRPr="00BB3DD0">
        <w:rPr>
          <w:rFonts w:ascii="Arial" w:hAnsi="Arial" w:cs="Arial"/>
        </w:rPr>
        <w:t xml:space="preserve">MME </w:t>
      </w:r>
      <w:proofErr w:type="gramStart"/>
      <w:r w:rsidRPr="00BB3DD0">
        <w:rPr>
          <w:rFonts w:ascii="Arial" w:hAnsi="Arial" w:cs="Arial"/>
        </w:rPr>
        <w:t>n</w:t>
      </w:r>
      <w:r w:rsidRPr="00BB3DD0">
        <w:rPr>
          <w:rFonts w:ascii="Arial" w:hAnsi="Arial" w:cs="Arial"/>
          <w:u w:val="words"/>
          <w:vertAlign w:val="superscript"/>
        </w:rPr>
        <w:t>o</w:t>
      </w:r>
      <w:r w:rsidRPr="00BB3DD0">
        <w:rPr>
          <w:rFonts w:ascii="Arial" w:hAnsi="Arial" w:cs="Arial"/>
        </w:rPr>
        <w:t xml:space="preserve"> 237</w:t>
      </w:r>
      <w:proofErr w:type="gramEnd"/>
      <w:r w:rsidRPr="00BB3DD0">
        <w:rPr>
          <w:rFonts w:ascii="Arial" w:hAnsi="Arial" w:cs="Arial"/>
        </w:rPr>
        <w:t xml:space="preserve">, de 9 de junho de 2016, tendo por base a </w:t>
      </w:r>
      <w:r w:rsidRPr="00BB3DD0">
        <w:rPr>
          <w:rFonts w:ascii="Arial" w:hAnsi="Arial" w:cs="Arial"/>
          <w:color w:val="000000"/>
        </w:rPr>
        <w:t>comprovação da execução no SIG-R.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>Art. 5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da Lei n</w:t>
      </w:r>
      <w:r w:rsidRPr="00BB3DD0">
        <w:rPr>
          <w:rFonts w:ascii="Arial" w:hAnsi="Arial" w:cs="Arial"/>
          <w:color w:val="000000"/>
          <w:u w:val="single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12.431, de 2011.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 xml:space="preserve">Art. </w:t>
      </w:r>
      <w:r w:rsidRPr="00BB3DD0">
        <w:rPr>
          <w:rFonts w:ascii="Arial" w:hAnsi="Arial" w:cs="Arial"/>
        </w:rPr>
        <w:t>6</w:t>
      </w:r>
      <w:r w:rsidRPr="00BB3DD0">
        <w:rPr>
          <w:rFonts w:ascii="Arial" w:hAnsi="Arial" w:cs="Arial"/>
          <w:color w:val="000000"/>
          <w:u w:val="words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142416" w:rsidRPr="00BB3DD0" w:rsidRDefault="00142416" w:rsidP="0014241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42416" w:rsidRPr="00BB3DD0" w:rsidRDefault="00142416" w:rsidP="0014241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BB3DD0">
        <w:rPr>
          <w:rFonts w:ascii="Arial" w:hAnsi="Arial" w:cs="Arial"/>
          <w:color w:val="000000"/>
        </w:rPr>
        <w:t>Art. 7</w:t>
      </w:r>
      <w:r w:rsidRPr="00BB3DD0">
        <w:rPr>
          <w:rFonts w:ascii="Arial" w:hAnsi="Arial" w:cs="Arial"/>
          <w:color w:val="000000"/>
          <w:u w:val="words"/>
          <w:vertAlign w:val="superscript"/>
        </w:rPr>
        <w:t>o</w:t>
      </w:r>
      <w:r w:rsidRPr="00BB3DD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</w:t>
      </w:r>
      <w:r w:rsidR="00882F78">
        <w:rPr>
          <w:rFonts w:ascii="Arial" w:hAnsi="Arial" w:cs="Arial"/>
          <w:color w:val="FF0000"/>
        </w:rPr>
        <w:t xml:space="preserve">(Extrato) </w:t>
      </w:r>
      <w:r w:rsidRPr="000E3164">
        <w:rPr>
          <w:rFonts w:ascii="Arial" w:hAnsi="Arial" w:cs="Arial"/>
          <w:color w:val="FF0000"/>
        </w:rPr>
        <w:t xml:space="preserve">no DOU de </w:t>
      </w:r>
      <w:r w:rsidR="00142416">
        <w:rPr>
          <w:rFonts w:ascii="Arial" w:hAnsi="Arial" w:cs="Arial"/>
          <w:color w:val="FF0000"/>
        </w:rPr>
        <w:t>11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142416" w:rsidRPr="00BB3DD0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39"/>
        <w:gridCol w:w="425"/>
        <w:gridCol w:w="2126"/>
        <w:gridCol w:w="425"/>
        <w:gridCol w:w="2835"/>
      </w:tblGrid>
      <w:tr w:rsidR="00142416" w:rsidRPr="00BB3DD0" w:rsidTr="007A331B"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6" w:rsidRPr="00BB3DD0" w:rsidRDefault="00142416" w:rsidP="007A331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CONCESSIONÁRIA</w:t>
            </w:r>
          </w:p>
        </w:tc>
      </w:tr>
      <w:tr w:rsidR="00142416" w:rsidRPr="00BB3DD0" w:rsidTr="007A331B">
        <w:trPr>
          <w:trHeight w:val="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01</w:t>
            </w:r>
          </w:p>
        </w:tc>
        <w:tc>
          <w:tcPr>
            <w:tcW w:w="6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CNPJ</w:t>
            </w:r>
          </w:p>
        </w:tc>
      </w:tr>
      <w:tr w:rsidR="00142416" w:rsidRPr="00BB3DD0" w:rsidTr="007A331B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Companhia de Eletricidade do Estado da Bahia - Coelba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  <w:color w:val="000000"/>
              </w:rPr>
              <w:t>15.139.629/0001-94</w:t>
            </w:r>
          </w:p>
        </w:tc>
      </w:tr>
      <w:tr w:rsidR="00142416" w:rsidRPr="00BB3DD0" w:rsidTr="007A33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03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Número</w:t>
            </w:r>
          </w:p>
        </w:tc>
      </w:tr>
      <w:tr w:rsidR="00142416" w:rsidRPr="00BB3DD0" w:rsidTr="007A33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Avenida Edgard Santos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300</w:t>
            </w:r>
          </w:p>
        </w:tc>
      </w:tr>
      <w:tr w:rsidR="00142416" w:rsidRPr="00BB3DD0" w:rsidTr="007A33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05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CEP</w:t>
            </w:r>
          </w:p>
        </w:tc>
      </w:tr>
      <w:tr w:rsidR="00142416" w:rsidRPr="00BB3DD0" w:rsidTr="007A33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Narandiba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41181-900</w:t>
            </w:r>
          </w:p>
        </w:tc>
      </w:tr>
      <w:tr w:rsidR="00142416" w:rsidRPr="00BB3DD0" w:rsidTr="007A33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08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Telefone</w:t>
            </w:r>
          </w:p>
        </w:tc>
      </w:tr>
      <w:tr w:rsidR="00142416" w:rsidRPr="00BB3DD0" w:rsidTr="007A33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(71) 3370-5564</w:t>
            </w:r>
          </w:p>
        </w:tc>
      </w:tr>
      <w:tr w:rsidR="00142416" w:rsidRPr="00BB3DD0" w:rsidTr="007A33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11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Contrato de Concessão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</w:p>
        </w:tc>
      </w:tr>
      <w:tr w:rsidR="00142416" w:rsidRPr="00BB3DD0" w:rsidTr="007A33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proofErr w:type="gramStart"/>
            <w:r w:rsidRPr="00BB3DD0">
              <w:rPr>
                <w:rFonts w:ascii="Arial" w:hAnsi="Arial" w:cs="Arial"/>
              </w:rPr>
              <w:t>n</w:t>
            </w:r>
            <w:r w:rsidRPr="00BB3DD0">
              <w:rPr>
                <w:rFonts w:ascii="Arial" w:hAnsi="Arial" w:cs="Arial"/>
                <w:u w:val="single"/>
                <w:vertAlign w:val="superscript"/>
              </w:rPr>
              <w:t>o</w:t>
            </w:r>
            <w:proofErr w:type="gramEnd"/>
            <w:r w:rsidRPr="00BB3DD0">
              <w:rPr>
                <w:rFonts w:ascii="Arial" w:hAnsi="Arial" w:cs="Arial"/>
              </w:rPr>
              <w:t xml:space="preserve"> 10/1997-DNAEE, de 8 de agosto de 1997.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14"/>
        <w:gridCol w:w="3330"/>
      </w:tblGrid>
      <w:tr w:rsidR="00142416" w:rsidRPr="00BB3DD0" w:rsidTr="007A331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12</w:t>
            </w:r>
          </w:p>
        </w:tc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6" w:rsidRPr="00BB3DD0" w:rsidRDefault="00142416" w:rsidP="007A331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</w:rPr>
              <w:t xml:space="preserve">REPRESENTANTE(S) </w:t>
            </w:r>
            <w:proofErr w:type="gramStart"/>
            <w:r w:rsidRPr="00BB3DD0">
              <w:rPr>
                <w:rFonts w:ascii="Arial" w:hAnsi="Arial" w:cs="Arial"/>
              </w:rPr>
              <w:t>LEGAL(</w:t>
            </w:r>
            <w:proofErr w:type="gramEnd"/>
            <w:r w:rsidRPr="00BB3DD0">
              <w:rPr>
                <w:rFonts w:ascii="Arial" w:hAnsi="Arial" w:cs="Arial"/>
              </w:rPr>
              <w:t>IS) DA CONCESSIONÁRIA</w:t>
            </w:r>
          </w:p>
        </w:tc>
      </w:tr>
      <w:tr w:rsidR="00142416" w:rsidRPr="00BB3DD0" w:rsidTr="007A331B">
        <w:trPr>
          <w:trHeight w:hRule="exact" w:val="28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Nome: Tatiana Queiroga Vasques.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CPF: 792.433.635-49.</w:t>
            </w:r>
          </w:p>
        </w:tc>
      </w:tr>
      <w:tr w:rsidR="00142416" w:rsidRPr="00BB3DD0" w:rsidTr="007A331B">
        <w:trPr>
          <w:trHeight w:hRule="exact" w:val="284"/>
        </w:trPr>
        <w:tc>
          <w:tcPr>
            <w:tcW w:w="6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Nome: Renato de Almeida Rocha.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CPF: 088.419.287-35.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14"/>
        <w:gridCol w:w="3330"/>
      </w:tblGrid>
      <w:tr w:rsidR="00142416" w:rsidRPr="00BB3DD0" w:rsidTr="007A331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6" w:rsidRPr="00BB3DD0" w:rsidRDefault="00142416" w:rsidP="007A331B">
            <w:pPr>
              <w:ind w:left="-70"/>
              <w:jc w:val="center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14</w:t>
            </w:r>
          </w:p>
        </w:tc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6" w:rsidRPr="00BB3DD0" w:rsidRDefault="00142416" w:rsidP="007A331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</w:rPr>
              <w:t>PESSOA JURÍDICA CONTROLADORA DA CONCESSIONÁRIA (Cia. Aberta</w:t>
            </w:r>
            <w:proofErr w:type="gramStart"/>
            <w:r w:rsidRPr="00BB3DD0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142416" w:rsidRPr="00BB3DD0" w:rsidTr="007A331B">
        <w:trPr>
          <w:trHeight w:hRule="exact" w:val="28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Razão Social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CNPJ</w:t>
            </w:r>
          </w:p>
        </w:tc>
      </w:tr>
      <w:tr w:rsidR="00142416" w:rsidRPr="00BB3DD0" w:rsidTr="007A331B">
        <w:trPr>
          <w:trHeight w:hRule="exact" w:val="28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proofErr w:type="spellStart"/>
            <w:r w:rsidRPr="00BB3DD0">
              <w:rPr>
                <w:rFonts w:ascii="Arial" w:hAnsi="Arial" w:cs="Arial"/>
              </w:rPr>
              <w:t>Neoenergia</w:t>
            </w:r>
            <w:proofErr w:type="spellEnd"/>
            <w:r w:rsidRPr="00BB3DD0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01.083.200/0001-18.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BB3DD0">
              <w:rPr>
                <w:rFonts w:ascii="Arial" w:hAnsi="Arial" w:cs="Arial"/>
                <w:bCs/>
              </w:rPr>
              <w:t>1</w:t>
            </w:r>
            <w:proofErr w:type="gramEnd"/>
          </w:p>
        </w:tc>
      </w:tr>
      <w:tr w:rsidR="00142416" w:rsidRPr="00BB3DD0" w:rsidTr="007A331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DII - ILH.</w:t>
            </w:r>
          </w:p>
        </w:tc>
      </w:tr>
      <w:tr w:rsidR="00142416" w:rsidRPr="00BB3DD0" w:rsidTr="007A331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598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</w:t>
            </w:r>
            <w:proofErr w:type="spellStart"/>
            <w:r w:rsidRPr="00BB3DD0">
              <w:rPr>
                <w:rFonts w:ascii="Arial" w:hAnsi="Arial" w:cs="Arial"/>
              </w:rPr>
              <w:t>D.I.Ilhéus</w:t>
            </w:r>
            <w:proofErr w:type="spellEnd"/>
            <w:r w:rsidRPr="00BB3DD0">
              <w:rPr>
                <w:rFonts w:ascii="Arial" w:hAnsi="Arial" w:cs="Arial"/>
              </w:rPr>
              <w:t xml:space="preserve"> - Ilhéus, Circuito Simples, com Cabo Para-Raios e extensão aproximada de quatro quilômetros e duzentos e trinta metros de Linha de Transmissão Aérea (636 MCM)  e  dois quilômetros e quinhentos e sessenta metros de Linha de Transmissão Subterrânea (400 mm2 XLPE Cobre Isolado).</w:t>
            </w:r>
          </w:p>
        </w:tc>
      </w:tr>
      <w:tr w:rsidR="00142416" w:rsidRPr="00BB3DD0" w:rsidTr="007A331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7A331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Ilhéus, Estado da Bahia.</w:t>
            </w:r>
          </w:p>
        </w:tc>
      </w:tr>
      <w:tr w:rsidR="00142416" w:rsidRPr="00BB3DD0" w:rsidTr="007A331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BB3DD0">
              <w:rPr>
                <w:rFonts w:ascii="Arial" w:hAnsi="Arial" w:cs="Arial"/>
                <w:bCs/>
              </w:rPr>
              <w:t>2</w:t>
            </w:r>
            <w:proofErr w:type="gramEnd"/>
          </w:p>
        </w:tc>
      </w:tr>
      <w:tr w:rsidR="00142416" w:rsidRPr="00BB3DD0" w:rsidTr="007A331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FNL - IPU (Circuito II).</w:t>
            </w:r>
          </w:p>
        </w:tc>
      </w:tr>
      <w:tr w:rsidR="00142416" w:rsidRPr="00BB3DD0" w:rsidTr="007A331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do Segundo Circuito de uma Linha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em Estruturas de Concreto, com Cabo Para-Raios e extensão aproximada de trinta e quatro quilômetros e quinhentos metros de Circuito Aéreo Simples, Cabo 636 MCM, e um quilômetro e novecentos e setenta metros de Circuito Duplo Subterrâneo, Cabo 400 mm² XLPE Cobre Isolado.</w:t>
            </w:r>
          </w:p>
        </w:tc>
      </w:tr>
      <w:tr w:rsidR="00142416" w:rsidRPr="00BB3DD0" w:rsidTr="007A331B">
        <w:trPr>
          <w:trHeight w:val="1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Vitória da Conquista, Estado da Bahia.</w:t>
            </w:r>
          </w:p>
        </w:tc>
      </w:tr>
      <w:tr w:rsidR="00142416" w:rsidRPr="00BB3DD0" w:rsidTr="007A331B">
        <w:trPr>
          <w:trHeight w:val="1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8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Dezembro/2016.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lastRenderedPageBreak/>
              <w:t xml:space="preserve">PROJETO </w:t>
            </w:r>
            <w:proofErr w:type="gramStart"/>
            <w:r w:rsidRPr="00BB3DD0">
              <w:rPr>
                <w:rFonts w:ascii="Arial" w:hAnsi="Arial" w:cs="Arial"/>
                <w:bCs/>
              </w:rPr>
              <w:t>3</w:t>
            </w:r>
            <w:proofErr w:type="gramEnd"/>
          </w:p>
        </w:tc>
      </w:tr>
      <w:tr w:rsidR="00142416" w:rsidRPr="00BB3DD0" w:rsidTr="007A331B">
        <w:trPr>
          <w:trHeight w:val="2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VLN - Construção de Pátio 138 kV.</w:t>
            </w:r>
          </w:p>
        </w:tc>
      </w:tr>
      <w:tr w:rsidR="00142416" w:rsidRPr="00BB3DD0" w:rsidTr="007A331B">
        <w:trPr>
          <w:trHeight w:val="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64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Implementação da Transformação 138/69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 xml:space="preserve"> com a instalação de dois Transformadores 20/26,6 MVA, com LTC, Barramentos Principal e Transferência, construção de uma Entrada de Linha 138 kV com Disjunção e uma Saída de Linha em 69 kV para Conceição do Coité.</w:t>
            </w:r>
          </w:p>
        </w:tc>
      </w:tr>
      <w:tr w:rsidR="00142416" w:rsidRPr="00BB3DD0" w:rsidTr="007A331B">
        <w:trPr>
          <w:trHeight w:val="8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9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Valente, Estado da Bahia.</w:t>
            </w:r>
          </w:p>
        </w:tc>
      </w:tr>
      <w:tr w:rsidR="00142416" w:rsidRPr="00BB3DD0" w:rsidTr="007A331B">
        <w:trPr>
          <w:trHeight w:val="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8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Junho/2016.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BB3DD0">
              <w:rPr>
                <w:rFonts w:ascii="Arial" w:hAnsi="Arial" w:cs="Arial"/>
                <w:bCs/>
              </w:rPr>
              <w:t>4</w:t>
            </w:r>
            <w:proofErr w:type="gramEnd"/>
          </w:p>
        </w:tc>
      </w:tr>
      <w:tr w:rsidR="00142416" w:rsidRPr="00BB3DD0" w:rsidTr="007A331B">
        <w:trPr>
          <w:trHeight w:val="1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Guarajuba - Praia do Forte.</w:t>
            </w:r>
          </w:p>
        </w:tc>
      </w:tr>
      <w:tr w:rsidR="00142416" w:rsidRPr="00BB3DD0" w:rsidTr="007A331B">
        <w:trPr>
          <w:trHeight w:val="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29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Construção de treze quilômetros de Linha de Distribuição em Alta Tensão, 69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>, Circuito Simples, Cabo 636 MCM, Estrutura de Concreto Urbano, sem Cabo Para-Raios.</w:t>
            </w:r>
          </w:p>
        </w:tc>
      </w:tr>
      <w:tr w:rsidR="00142416" w:rsidRPr="00BB3DD0" w:rsidTr="007A331B">
        <w:trPr>
          <w:trHeight w:val="1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15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15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Camaçari,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14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Dezembro/2014.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91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BB3DD0">
              <w:rPr>
                <w:rFonts w:ascii="Arial" w:hAnsi="Arial" w:cs="Arial"/>
                <w:bCs/>
              </w:rPr>
              <w:t>5</w:t>
            </w:r>
            <w:proofErr w:type="gramEnd"/>
          </w:p>
        </w:tc>
      </w:tr>
      <w:tr w:rsidR="00142416" w:rsidRPr="00BB3DD0" w:rsidTr="007A331B">
        <w:trPr>
          <w:trHeight w:val="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8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BRN - Ampliação e duas Entradas de Linhas 13,8 kV.</w:t>
            </w:r>
          </w:p>
        </w:tc>
      </w:tr>
      <w:tr w:rsidR="00142416" w:rsidRPr="00BB3DD0" w:rsidTr="007A331B">
        <w:trPr>
          <w:trHeight w:val="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64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Instalação do Segundo Transformador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 xml:space="preserve">8 kV, 10/12,5 MVA, Conexão de Transformador de Força 69 kV com Disjuntor, e construção de duas Saídas de Linha em 13,8 kV. Instalar Disjuntor na Conexão 69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 xml:space="preserve"> do Transformador de Força atual.</w:t>
            </w:r>
          </w:p>
        </w:tc>
      </w:tr>
      <w:tr w:rsidR="00142416" w:rsidRPr="00BB3DD0" w:rsidTr="007A331B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9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21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Barreiras, Estado da Bahia.</w:t>
            </w:r>
          </w:p>
        </w:tc>
      </w:tr>
      <w:tr w:rsidR="00142416" w:rsidRPr="00BB3DD0" w:rsidTr="007A331B">
        <w:trPr>
          <w:trHeight w:val="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Agosto/2016.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5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BB3DD0">
              <w:rPr>
                <w:rFonts w:ascii="Arial" w:hAnsi="Arial" w:cs="Arial"/>
                <w:bCs/>
              </w:rPr>
              <w:t>6</w:t>
            </w:r>
            <w:proofErr w:type="gramEnd"/>
          </w:p>
        </w:tc>
      </w:tr>
      <w:tr w:rsidR="00142416" w:rsidRPr="00BB3DD0" w:rsidTr="007A331B">
        <w:trPr>
          <w:trHeight w:val="1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15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NBA - IMB.</w:t>
            </w:r>
          </w:p>
        </w:tc>
      </w:tr>
      <w:tr w:rsidR="00142416" w:rsidRPr="00BB3DD0" w:rsidTr="007A331B">
        <w:trPr>
          <w:trHeight w:val="1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14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Construção de três quilômetros e seiscentos metros de Linha em 69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>, Circuito Duplo, Cabo 2 x 465,4 MCM, Estrutura de Concreto Urbana, sem Cabo Para-Raios.</w:t>
            </w:r>
          </w:p>
        </w:tc>
      </w:tr>
      <w:tr w:rsidR="00142416" w:rsidRPr="00BB3DD0" w:rsidTr="007A331B">
        <w:trPr>
          <w:trHeight w:val="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7A331B">
        <w:trPr>
          <w:trHeight w:val="14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8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Default="00142416" w:rsidP="00142416">
      <w:pPr>
        <w:rPr>
          <w:rFonts w:ascii="Arial" w:hAnsi="Arial" w:cs="Arial"/>
          <w:sz w:val="16"/>
          <w:szCs w:val="16"/>
        </w:rPr>
      </w:pPr>
    </w:p>
    <w:p w:rsidR="007A331B" w:rsidRDefault="007A331B" w:rsidP="00142416">
      <w:pPr>
        <w:rPr>
          <w:rFonts w:ascii="Arial" w:hAnsi="Arial" w:cs="Arial"/>
          <w:sz w:val="16"/>
          <w:szCs w:val="16"/>
        </w:rPr>
      </w:pPr>
    </w:p>
    <w:p w:rsidR="007A331B" w:rsidRPr="007A331B" w:rsidRDefault="007A331B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231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lastRenderedPageBreak/>
              <w:t xml:space="preserve">PROJETO </w:t>
            </w:r>
            <w:proofErr w:type="gramStart"/>
            <w:r w:rsidRPr="00BB3DD0">
              <w:rPr>
                <w:rFonts w:ascii="Arial" w:hAnsi="Arial" w:cs="Arial"/>
                <w:bCs/>
              </w:rPr>
              <w:t>7</w:t>
            </w:r>
            <w:proofErr w:type="gramEnd"/>
          </w:p>
        </w:tc>
      </w:tr>
      <w:tr w:rsidR="00142416" w:rsidRPr="00BB3DD0" w:rsidTr="007A331B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22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QDD - VLN.</w:t>
            </w:r>
          </w:p>
        </w:tc>
      </w:tr>
      <w:tr w:rsidR="00142416" w:rsidRPr="00BB3DD0" w:rsidTr="007A331B">
        <w:trPr>
          <w:trHeight w:val="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17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>Construção de sessenta e sete quilômetros de Linha, Circuito Simples, Cabo 636 MCM, com Cabo Para-Raios.</w:t>
            </w:r>
          </w:p>
        </w:tc>
      </w:tr>
      <w:tr w:rsidR="00142416" w:rsidRPr="00BB3DD0" w:rsidTr="007A331B">
        <w:trPr>
          <w:trHeight w:val="8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8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Sistema de Distribuição de Alta Tensão - SDAT. </w:t>
            </w:r>
          </w:p>
        </w:tc>
      </w:tr>
      <w:tr w:rsidR="00142416" w:rsidRPr="00BB3DD0" w:rsidTr="007A331B">
        <w:trPr>
          <w:trHeight w:val="7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8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Valente,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5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BB3DD0">
              <w:rPr>
                <w:rFonts w:ascii="Arial" w:hAnsi="Arial" w:cs="Arial"/>
                <w:bCs/>
              </w:rPr>
              <w:t>8</w:t>
            </w:r>
            <w:proofErr w:type="gramEnd"/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14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TMB/FSU - FSD (Realocação BRT Feira).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15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Realocação de Linha 69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 xml:space="preserve"> Feira de Santana I - Feira de Santana II devido a obra do BRT da cidade de Feira de Santana.</w:t>
            </w:r>
          </w:p>
        </w:tc>
      </w:tr>
      <w:tr w:rsidR="00142416" w:rsidRPr="00BB3DD0" w:rsidTr="007A331B">
        <w:trPr>
          <w:trHeight w:val="1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15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14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Feira de Santana,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Setembro/2016.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88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BB3DD0">
              <w:rPr>
                <w:rFonts w:ascii="Arial" w:hAnsi="Arial" w:cs="Arial"/>
                <w:bCs/>
              </w:rPr>
              <w:t>9</w:t>
            </w:r>
            <w:proofErr w:type="gramEnd"/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Itinga </w:t>
            </w:r>
            <w:proofErr w:type="gramStart"/>
            <w:r w:rsidRPr="00BB3DD0">
              <w:rPr>
                <w:rFonts w:ascii="Arial" w:hAnsi="Arial" w:cs="Arial"/>
              </w:rPr>
              <w:t>69/11,</w:t>
            </w:r>
            <w:proofErr w:type="gramEnd"/>
            <w:r w:rsidRPr="00BB3DD0">
              <w:rPr>
                <w:rFonts w:ascii="Arial" w:hAnsi="Arial" w:cs="Arial"/>
              </w:rPr>
              <w:t>95 kV - Construção.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50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uma Subestação em SF6, compreendendo Barramentos Simples em 69 e 11,9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; um Transformador de Força 69/13,8/11,9 kV,15/20/25 MVA; duas Entradas de Linha 69 kV, com Disjuntores (SE CIT e LDF); uma Conexão de Transformador de Força 69 kV, com Disjuntor; uma Conexão de Transformador de Força 11,9 kV, com Disjuntor; cinco Entradas de Linha 11,9 kV.</w:t>
            </w:r>
          </w:p>
        </w:tc>
      </w:tr>
      <w:tr w:rsidR="00142416" w:rsidRPr="00BB3DD0" w:rsidTr="007A331B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7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Lauro de Freitas, Estado da Bahia.</w:t>
            </w:r>
          </w:p>
        </w:tc>
      </w:tr>
      <w:tr w:rsidR="00142416" w:rsidRPr="00BB3DD0" w:rsidTr="007A331B">
        <w:trPr>
          <w:trHeight w:val="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Dezembro/2015.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5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10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</w:t>
            </w:r>
            <w:proofErr w:type="spellStart"/>
            <w:r w:rsidRPr="00BB3DD0">
              <w:rPr>
                <w:rFonts w:ascii="Arial" w:hAnsi="Arial" w:cs="Arial"/>
              </w:rPr>
              <w:t>Periperi</w:t>
            </w:r>
            <w:proofErr w:type="spellEnd"/>
            <w:r w:rsidRPr="00BB3DD0">
              <w:rPr>
                <w:rFonts w:ascii="Arial" w:hAnsi="Arial" w:cs="Arial"/>
              </w:rPr>
              <w:t xml:space="preserve"> II 69 - 11,95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- Construção.</w:t>
            </w:r>
          </w:p>
        </w:tc>
      </w:tr>
      <w:tr w:rsidR="00142416" w:rsidRPr="00BB3DD0" w:rsidTr="007A331B">
        <w:trPr>
          <w:trHeight w:val="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76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uma Subestação, compreendendo um Transformador de Força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8/11,9 kV, 15/20/25 MVA; duas Entradas de Linha 69 kV, com Disjuntores; uma Conexão de Transformador de Força em 69 kV, com Disjuntor; uma Conexão de Transformador de Força 13,8 kV, com Disjuntor; quatro Entradas de Linha 13,8 kV, com Disjuntores; dois Bancos de Capacitores de 3,6 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7A331B">
        <w:trPr>
          <w:trHeight w:val="1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Julho/2015.</w:t>
            </w:r>
          </w:p>
        </w:tc>
      </w:tr>
    </w:tbl>
    <w:p w:rsidR="00142416" w:rsidRDefault="00142416" w:rsidP="00142416">
      <w:pPr>
        <w:rPr>
          <w:rFonts w:ascii="Arial" w:hAnsi="Arial" w:cs="Arial"/>
          <w:sz w:val="16"/>
          <w:szCs w:val="16"/>
        </w:rPr>
      </w:pPr>
    </w:p>
    <w:p w:rsidR="007A331B" w:rsidRPr="007A331B" w:rsidRDefault="007A331B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lastRenderedPageBreak/>
              <w:t>PROJETO 11</w:t>
            </w:r>
          </w:p>
        </w:tc>
      </w:tr>
      <w:tr w:rsidR="00142416" w:rsidRPr="00BB3DD0" w:rsidTr="007A331B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22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SMN - IRA.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21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uma Linha de Distribuição em Alta Tensão,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Circuito Simples, Cabo 636 MCM, com  extensão aproximada de vinte e cinco quilômetros.</w:t>
            </w:r>
          </w:p>
        </w:tc>
      </w:tr>
      <w:tr w:rsidR="00142416" w:rsidRPr="00BB3DD0" w:rsidTr="007A331B">
        <w:trPr>
          <w:trHeight w:val="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8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7A331B">
        <w:trPr>
          <w:trHeight w:val="7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8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Coração de Maria, Estado da Bahia.</w:t>
            </w:r>
          </w:p>
        </w:tc>
      </w:tr>
      <w:tr w:rsidR="00142416" w:rsidRPr="00BB3DD0" w:rsidTr="007A331B">
        <w:trPr>
          <w:trHeight w:val="2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7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5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12</w:t>
            </w:r>
          </w:p>
        </w:tc>
      </w:tr>
      <w:tr w:rsidR="00142416" w:rsidRPr="00BB3DD0" w:rsidTr="007A331B">
        <w:trPr>
          <w:trHeight w:val="1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EUN - Ampliação 13,8 kV.</w:t>
            </w:r>
          </w:p>
        </w:tc>
      </w:tr>
      <w:tr w:rsidR="00142416" w:rsidRPr="00BB3DD0" w:rsidTr="007A331B">
        <w:trPr>
          <w:trHeight w:val="1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14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Substituição do Autotransformador de Força 03T2,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138/34,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5-13,8 kV, 20/12-20 MVA, por um Transformador, 138/13,8 kV, 26,6 MVA.</w:t>
            </w:r>
          </w:p>
        </w:tc>
      </w:tr>
      <w:tr w:rsidR="00142416" w:rsidRPr="00BB3DD0" w:rsidTr="007A331B">
        <w:trPr>
          <w:trHeight w:val="1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15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1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14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Eunápolis,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13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Setembro/2016.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22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13</w:t>
            </w:r>
          </w:p>
        </w:tc>
      </w:tr>
      <w:tr w:rsidR="00142416" w:rsidRPr="00BB3DD0" w:rsidTr="007A331B">
        <w:trPr>
          <w:trHeight w:val="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6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SAT - Construção.</w:t>
            </w:r>
          </w:p>
        </w:tc>
      </w:tr>
      <w:tr w:rsidR="00142416" w:rsidRPr="00BB3DD0" w:rsidTr="007A331B">
        <w:trPr>
          <w:trHeight w:val="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54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Construção de uma Subestação com duas Entradas de Linha 69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 xml:space="preserve">, duas Conexões de Transformador de Força em 69 kV com Disjuntores, 2 x 10/12,5 MVA 69/13,8 kV, com LTC, duas Conexões de Transformador de Força em 13,8 kV com Disjuntores, seis Saídas em 13,8 kV com Disjuntores e um Banco de Capacitores de 1,8 </w:t>
            </w:r>
            <w:proofErr w:type="spellStart"/>
            <w:r w:rsidRPr="00BB3DD0">
              <w:rPr>
                <w:rFonts w:ascii="Arial" w:hAnsi="Arial" w:cs="Arial"/>
                <w:sz w:val="20"/>
                <w:szCs w:val="20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0"/>
                <w:szCs w:val="20"/>
              </w:rPr>
              <w:t>/13,8 kV.</w:t>
            </w:r>
          </w:p>
        </w:tc>
      </w:tr>
      <w:tr w:rsidR="00142416" w:rsidRPr="00BB3DD0" w:rsidTr="007A331B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9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7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Santo Antônio de Jesus, Estado da Bahia.</w:t>
            </w:r>
          </w:p>
        </w:tc>
      </w:tr>
      <w:tr w:rsidR="00142416" w:rsidRPr="00BB3DD0" w:rsidTr="007A331B">
        <w:trPr>
          <w:trHeight w:val="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Março/2017.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14</w:t>
            </w:r>
          </w:p>
        </w:tc>
      </w:tr>
      <w:tr w:rsidR="00142416" w:rsidRPr="00BB3DD0" w:rsidTr="007A331B">
        <w:trPr>
          <w:trHeight w:val="1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CIF - AMR - Construção.</w:t>
            </w:r>
          </w:p>
        </w:tc>
      </w:tr>
      <w:tr w:rsidR="00142416" w:rsidRPr="00BB3DD0" w:rsidTr="007A331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25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uma Linha de Distribuição em Alta Tensão,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Circuito Simples, Cabo 636 MCM, Estruturas de Concreto, sem Cabo Para-Raios, extensão aproximada de vinte quilômetros.</w:t>
            </w:r>
          </w:p>
        </w:tc>
      </w:tr>
      <w:tr w:rsidR="00142416" w:rsidRPr="00BB3DD0" w:rsidTr="007A331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10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7A331B">
        <w:trPr>
          <w:trHeight w:val="1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Amélia Rodrigues,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7A331B" w:rsidRDefault="007A331B" w:rsidP="00142416">
      <w:pPr>
        <w:rPr>
          <w:rFonts w:ascii="Arial" w:hAnsi="Arial" w:cs="Arial"/>
          <w:sz w:val="16"/>
          <w:szCs w:val="16"/>
        </w:rPr>
      </w:pPr>
    </w:p>
    <w:p w:rsidR="007A331B" w:rsidRDefault="007A331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15</w:t>
            </w:r>
          </w:p>
        </w:tc>
      </w:tr>
      <w:tr w:rsidR="00142416" w:rsidRPr="00BB3DD0" w:rsidTr="007A331B">
        <w:trPr>
          <w:trHeight w:val="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Gandu - Ampliação para </w:t>
            </w:r>
            <w:proofErr w:type="gramStart"/>
            <w:r w:rsidRPr="00BB3DD0">
              <w:rPr>
                <w:rFonts w:ascii="Arial" w:hAnsi="Arial" w:cs="Arial"/>
              </w:rPr>
              <w:t>2</w:t>
            </w:r>
            <w:proofErr w:type="gramEnd"/>
            <w:r w:rsidRPr="00BB3DD0">
              <w:rPr>
                <w:rFonts w:ascii="Arial" w:hAnsi="Arial" w:cs="Arial"/>
              </w:rPr>
              <w:t xml:space="preserve"> x 12,5 MVA.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85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Instalação do Segundo Transformador </w:t>
            </w:r>
            <w:proofErr w:type="gramStart"/>
            <w:r w:rsidRPr="00BB3DD0">
              <w:rPr>
                <w:rFonts w:ascii="Arial" w:hAnsi="Arial" w:cs="Arial"/>
              </w:rPr>
              <w:t>69/13,</w:t>
            </w:r>
            <w:proofErr w:type="gramEnd"/>
            <w:r w:rsidRPr="00BB3DD0">
              <w:rPr>
                <w:rFonts w:ascii="Arial" w:hAnsi="Arial" w:cs="Arial"/>
              </w:rPr>
              <w:t xml:space="preserve">8 kV, 10/12,5 MVA com LTC; Construção de uma Entrada de Linha 69 kV com Disjunção; Construção de uma Conexão de Transformador de Força 69 kV com Disjunção; Construção de uma Conexão de Transformador de Força 13,8 kV com </w:t>
            </w:r>
            <w:proofErr w:type="spellStart"/>
            <w:r w:rsidRPr="00BB3DD0">
              <w:rPr>
                <w:rFonts w:ascii="Arial" w:hAnsi="Arial" w:cs="Arial"/>
              </w:rPr>
              <w:t>Religador</w:t>
            </w:r>
            <w:proofErr w:type="spellEnd"/>
            <w:r w:rsidRPr="00BB3DD0">
              <w:rPr>
                <w:rFonts w:ascii="Arial" w:hAnsi="Arial" w:cs="Arial"/>
              </w:rPr>
              <w:t xml:space="preserve">; Construção da sétima  Entrada de Linha 13,8 kV com </w:t>
            </w:r>
            <w:proofErr w:type="spellStart"/>
            <w:r w:rsidRPr="00BB3DD0">
              <w:rPr>
                <w:rFonts w:ascii="Arial" w:hAnsi="Arial" w:cs="Arial"/>
              </w:rPr>
              <w:t>Religador</w:t>
            </w:r>
            <w:proofErr w:type="spellEnd"/>
            <w:r w:rsidRPr="00BB3DD0">
              <w:rPr>
                <w:rFonts w:ascii="Arial" w:hAnsi="Arial" w:cs="Arial"/>
              </w:rPr>
              <w:t>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Gandu,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Dezembro/2015.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04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16</w:t>
            </w:r>
          </w:p>
        </w:tc>
      </w:tr>
      <w:tr w:rsidR="00142416" w:rsidRPr="00BB3DD0" w:rsidTr="007A331B">
        <w:trPr>
          <w:trHeight w:val="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98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IGP - CAE.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de quinze quilômetros de Linha de Distribuição em Alta Tensão,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>, 636 MCM, Circuito Simples, com Cabo Para-Raios.</w:t>
            </w:r>
          </w:p>
        </w:tc>
      </w:tr>
      <w:tr w:rsidR="00142416" w:rsidRPr="00BB3DD0" w:rsidTr="007A331B">
        <w:trPr>
          <w:trHeight w:val="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Sistema de Distribuição de Alta Tensão - SDAT. 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Caetité,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17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Tucano - Ampliação p/ 12,5 MVA.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Troca do Transformador </w:t>
            </w:r>
            <w:proofErr w:type="gramStart"/>
            <w:r w:rsidRPr="00BB3DD0">
              <w:rPr>
                <w:rFonts w:ascii="Arial" w:hAnsi="Arial" w:cs="Arial"/>
              </w:rPr>
              <w:t>69/13,</w:t>
            </w:r>
            <w:proofErr w:type="gramEnd"/>
            <w:r w:rsidRPr="00BB3DD0">
              <w:rPr>
                <w:rFonts w:ascii="Arial" w:hAnsi="Arial" w:cs="Arial"/>
              </w:rPr>
              <w:t>8 kV,  5/6,25 MVA por outro de 10/12,5 MVA com LTC.</w:t>
            </w:r>
          </w:p>
        </w:tc>
      </w:tr>
      <w:tr w:rsidR="00142416" w:rsidRPr="00BB3DD0" w:rsidTr="007A331B">
        <w:trPr>
          <w:trHeight w:val="1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Tucano,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10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Dezembro/2015.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58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18</w:t>
            </w:r>
          </w:p>
        </w:tc>
      </w:tr>
      <w:tr w:rsidR="00142416" w:rsidRPr="00BB3DD0" w:rsidTr="007A331B">
        <w:trPr>
          <w:trHeight w:val="2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19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Entrada CIA III/L Freitas - Itinga.</w:t>
            </w:r>
          </w:p>
        </w:tc>
      </w:tr>
      <w:tr w:rsidR="00142416" w:rsidRPr="00BB3DD0" w:rsidTr="007A331B">
        <w:trPr>
          <w:trHeight w:val="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32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de dois quilômetros e quinhentos metros de Linha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>, Circuito Duplo, Cabo AAAC 2x465,4 MCM.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5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Dezembro/2015.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lastRenderedPageBreak/>
              <w:t>PROJETO 19</w:t>
            </w:r>
          </w:p>
        </w:tc>
      </w:tr>
      <w:tr w:rsidR="00142416" w:rsidRPr="00BB3DD0" w:rsidTr="007A331B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IPG - Ampliação 3x25 MVA.</w:t>
            </w:r>
          </w:p>
        </w:tc>
      </w:tr>
      <w:tr w:rsidR="00142416" w:rsidRPr="00BB3DD0" w:rsidTr="007A331B">
        <w:trPr>
          <w:trHeight w:val="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60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Ampliação e reconstrução do Barramento de 11,9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>, compreendendo Terceiro Transformador de Força 69/13,8/11,9 kV, 15/20/25 MVA; três Conexões de Transformador de Força de 69 kV com Disjuntores; três Conexões de Transformador de Força de 11,9 kV, com Disjuntores, para os Transformadores de Força T1,T2 e T3; quinze Entradas de Linha 11,9 kV.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8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</w:t>
            </w:r>
            <w:proofErr w:type="gramStart"/>
            <w:r w:rsidRPr="00BB3DD0">
              <w:rPr>
                <w:rFonts w:ascii="Arial" w:hAnsi="Arial" w:cs="Arial"/>
                <w:bCs/>
              </w:rPr>
              <w:t xml:space="preserve">  </w:t>
            </w:r>
            <w:proofErr w:type="gramEnd"/>
            <w:r w:rsidRPr="00BB3DD0">
              <w:rPr>
                <w:rFonts w:ascii="Arial" w:hAnsi="Arial" w:cs="Arial"/>
                <w:bCs/>
              </w:rPr>
              <w:t>20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ILD - Construção.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58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Construção de uma Subestação com duas Entradas de Linha 138 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 xml:space="preserve">; uma Conexão de Transformador de Força 138 kV com  Disjuntor; uma Conexão de Transformador de Força 13,8 kV com Disjuntor; um Transformador 138/13,8 kV, 26,6 MVA com LTC; cinco Entradas de Linha 13,8 kV com </w:t>
            </w:r>
            <w:proofErr w:type="spellStart"/>
            <w:r w:rsidRPr="00BB3DD0">
              <w:rPr>
                <w:rFonts w:ascii="Arial" w:hAnsi="Arial" w:cs="Arial"/>
                <w:sz w:val="20"/>
                <w:szCs w:val="20"/>
              </w:rPr>
              <w:t>Religadores</w:t>
            </w:r>
            <w:proofErr w:type="spellEnd"/>
            <w:r w:rsidRPr="00BB3DD0">
              <w:rPr>
                <w:rFonts w:ascii="Arial" w:hAnsi="Arial" w:cs="Arial"/>
                <w:sz w:val="20"/>
                <w:szCs w:val="20"/>
              </w:rPr>
              <w:t xml:space="preserve">; um Banco de Capacitor 13,8 kV 3,6 </w:t>
            </w:r>
            <w:proofErr w:type="spellStart"/>
            <w:r w:rsidRPr="00BB3DD0">
              <w:rPr>
                <w:rFonts w:ascii="Arial" w:hAnsi="Arial" w:cs="Arial"/>
                <w:sz w:val="20"/>
                <w:szCs w:val="20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</w:t>
            </w:r>
          </w:p>
        </w:tc>
      </w:tr>
      <w:tr w:rsidR="00142416" w:rsidRPr="00BB3DD0" w:rsidTr="007A331B">
        <w:trPr>
          <w:trHeight w:val="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Itabela,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Março/2017.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17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21</w:t>
            </w:r>
          </w:p>
        </w:tc>
      </w:tr>
      <w:tr w:rsidR="00142416" w:rsidRPr="00BB3DD0" w:rsidTr="007A331B">
        <w:trPr>
          <w:trHeight w:val="1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98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POO (Chesf) - CMT (2</w:t>
            </w:r>
            <w:r w:rsidRPr="00BB3DD0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B3DD0">
              <w:rPr>
                <w:rFonts w:ascii="Arial" w:hAnsi="Arial" w:cs="Arial"/>
              </w:rPr>
              <w:t xml:space="preserve"> Trecho).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24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Linha de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com extensão aproximada de dois quilômetros e setecentos metros, Circuito Duplo, Cabo AAAC 2 x 465,4 MCM (Cairo), Estrutura de Concreto Semiurbana, sem Cabo Para-Raios.</w:t>
            </w:r>
          </w:p>
        </w:tc>
      </w:tr>
      <w:tr w:rsidR="00142416" w:rsidRPr="00BB3DD0" w:rsidTr="007A331B">
        <w:trPr>
          <w:trHeight w:val="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10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7A331B">
        <w:trPr>
          <w:trHeight w:val="1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Camaçari, Estado da Bahia.</w:t>
            </w:r>
          </w:p>
        </w:tc>
      </w:tr>
      <w:tr w:rsidR="00142416" w:rsidRPr="00BB3DD0" w:rsidTr="007A331B">
        <w:trPr>
          <w:trHeight w:val="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9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43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22</w:t>
            </w:r>
          </w:p>
        </w:tc>
      </w:tr>
      <w:tr w:rsidR="00142416" w:rsidRPr="00BB3DD0" w:rsidTr="007A331B">
        <w:trPr>
          <w:trHeight w:val="1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17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São Miguel - Ampliação 34,5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e Entrada de Linha 34,5 kV.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31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Substituição do Transformador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69/34,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5 kV, 5/6,25 MVA, por um de 10/12,5 MVA, com LTC, e construção de uma saída de linha em 34,5 kV.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São Miguel das Matas,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Dezembro/2015.</w:t>
            </w:r>
          </w:p>
        </w:tc>
      </w:tr>
    </w:tbl>
    <w:p w:rsidR="007A331B" w:rsidRDefault="007A331B" w:rsidP="00142416">
      <w:pPr>
        <w:rPr>
          <w:rFonts w:ascii="Arial" w:hAnsi="Arial" w:cs="Arial"/>
          <w:sz w:val="4"/>
          <w:szCs w:val="4"/>
        </w:rPr>
      </w:pPr>
    </w:p>
    <w:p w:rsidR="007A331B" w:rsidRDefault="007A331B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23</w:t>
            </w:r>
          </w:p>
        </w:tc>
      </w:tr>
      <w:tr w:rsidR="00142416" w:rsidRPr="00BB3DD0" w:rsidTr="007A331B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Rio Branco - Reator 10 </w:t>
            </w:r>
            <w:proofErr w:type="spellStart"/>
            <w:proofErr w:type="gramStart"/>
            <w:r w:rsidRPr="00BB3DD0">
              <w:rPr>
                <w:rFonts w:ascii="Arial" w:hAnsi="Arial" w:cs="Arial"/>
              </w:rPr>
              <w:t>MVAr</w:t>
            </w:r>
            <w:proofErr w:type="spellEnd"/>
            <w:proofErr w:type="gramEnd"/>
            <w:r w:rsidRPr="00BB3DD0">
              <w:rPr>
                <w:rFonts w:ascii="Arial" w:hAnsi="Arial" w:cs="Arial"/>
              </w:rPr>
              <w:t>/138 kV.</w:t>
            </w:r>
          </w:p>
        </w:tc>
      </w:tr>
      <w:tr w:rsidR="00142416" w:rsidRPr="00BB3DD0" w:rsidTr="007A331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Instalação de um Reator 10 </w:t>
            </w:r>
            <w:proofErr w:type="spellStart"/>
            <w:proofErr w:type="gramStart"/>
            <w:r w:rsidRPr="00BB3DD0">
              <w:rPr>
                <w:rFonts w:ascii="Arial" w:hAnsi="Arial" w:cs="Arial"/>
              </w:rPr>
              <w:t>MVAr</w:t>
            </w:r>
            <w:proofErr w:type="spellEnd"/>
            <w:proofErr w:type="gramEnd"/>
            <w:r w:rsidRPr="00BB3DD0">
              <w:rPr>
                <w:rFonts w:ascii="Arial" w:hAnsi="Arial" w:cs="Arial"/>
              </w:rPr>
              <w:t>/138 kV Manobrado por Disjuntor.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Barreiras,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Dezembro/2015.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05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24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9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Tomba - CIF (Segundo Trecho).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37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de uma Linha de Distribuição em Alta Tensão,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>,  Circuito Duplo, cinco quilômetros de extensão, 636 MCM, ao longo da Faixa da Linha Tomba-</w:t>
            </w:r>
            <w:proofErr w:type="spellStart"/>
            <w:r w:rsidRPr="00BB3DD0">
              <w:rPr>
                <w:rFonts w:ascii="Arial" w:hAnsi="Arial" w:cs="Arial"/>
              </w:rPr>
              <w:t>Subaé</w:t>
            </w:r>
            <w:proofErr w:type="spellEnd"/>
            <w:r w:rsidRPr="00BB3DD0">
              <w:rPr>
                <w:rFonts w:ascii="Arial" w:hAnsi="Arial" w:cs="Arial"/>
              </w:rPr>
              <w:t>.</w:t>
            </w:r>
          </w:p>
        </w:tc>
      </w:tr>
      <w:tr w:rsidR="00142416" w:rsidRPr="00BB3DD0" w:rsidTr="007A331B">
        <w:trPr>
          <w:trHeight w:val="1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9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7A331B">
        <w:trPr>
          <w:trHeight w:val="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8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Feira de Santana, Estado da Bahia.</w:t>
            </w:r>
          </w:p>
        </w:tc>
      </w:tr>
      <w:tr w:rsidR="00142416" w:rsidRPr="00BB3DD0" w:rsidTr="007A331B">
        <w:trPr>
          <w:trHeight w:val="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7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Junho/2017.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6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25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Subestação 138 </w:t>
            </w:r>
            <w:proofErr w:type="gramStart"/>
            <w:r w:rsidRPr="00BB3DD0">
              <w:rPr>
                <w:rFonts w:ascii="Arial" w:hAnsi="Arial" w:cs="Arial"/>
                <w:bCs/>
              </w:rPr>
              <w:t>kV</w:t>
            </w:r>
            <w:proofErr w:type="gramEnd"/>
            <w:r w:rsidRPr="00BB3DD0">
              <w:rPr>
                <w:rFonts w:ascii="Arial" w:hAnsi="Arial" w:cs="Arial"/>
                <w:bCs/>
              </w:rPr>
              <w:t xml:space="preserve"> LTD - Ampliação 13,8 kV.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72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Instalação do Segundo Transformador </w:t>
            </w:r>
            <w:proofErr w:type="gramStart"/>
            <w:r w:rsidRPr="00BB3DD0">
              <w:rPr>
                <w:rFonts w:ascii="Arial" w:hAnsi="Arial" w:cs="Arial"/>
              </w:rPr>
              <w:t>138/13,</w:t>
            </w:r>
            <w:proofErr w:type="gramEnd"/>
            <w:r w:rsidRPr="00BB3DD0">
              <w:rPr>
                <w:rFonts w:ascii="Arial" w:hAnsi="Arial" w:cs="Arial"/>
              </w:rPr>
              <w:t xml:space="preserve">8 kV, 20/26,6 MVA com LTC; Construção de uma Conexão de Transformador de Força 138 kV com Disjunção; Construção de uma Conexão de Transformador de Força 13,8 kV com Disjunção; Construção de duas Entradas de Linha 13,8 kV com </w:t>
            </w:r>
            <w:proofErr w:type="spellStart"/>
            <w:r w:rsidRPr="00BB3DD0">
              <w:rPr>
                <w:rFonts w:ascii="Arial" w:hAnsi="Arial" w:cs="Arial"/>
              </w:rPr>
              <w:t>Religador</w:t>
            </w:r>
            <w:proofErr w:type="spellEnd"/>
            <w:r w:rsidRPr="00BB3DD0">
              <w:rPr>
                <w:rFonts w:ascii="Arial" w:hAnsi="Arial" w:cs="Arial"/>
              </w:rPr>
              <w:t>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17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1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Itabuna,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Agosto/2016.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26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Subestação 138 </w:t>
            </w:r>
            <w:proofErr w:type="gramStart"/>
            <w:r w:rsidRPr="00BB3DD0">
              <w:rPr>
                <w:rFonts w:ascii="Arial" w:hAnsi="Arial" w:cs="Arial"/>
                <w:bCs/>
              </w:rPr>
              <w:t>kV</w:t>
            </w:r>
            <w:proofErr w:type="gramEnd"/>
            <w:r w:rsidRPr="00BB3DD0">
              <w:rPr>
                <w:rFonts w:ascii="Arial" w:hAnsi="Arial" w:cs="Arial"/>
                <w:bCs/>
              </w:rPr>
              <w:t xml:space="preserve"> ABS - Banco de Capacitores 2x7,2 </w:t>
            </w:r>
            <w:proofErr w:type="spellStart"/>
            <w:r w:rsidRPr="00BB3DD0">
              <w:rPr>
                <w:rFonts w:ascii="Arial" w:hAnsi="Arial" w:cs="Arial"/>
                <w:bCs/>
              </w:rPr>
              <w:t>Mvar</w:t>
            </w:r>
            <w:proofErr w:type="spellEnd"/>
            <w:r w:rsidRPr="00BB3DD0">
              <w:rPr>
                <w:rFonts w:ascii="Arial" w:hAnsi="Arial" w:cs="Arial"/>
                <w:bCs/>
              </w:rPr>
              <w:t>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37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Instalação de dois Bancos de Capacitores de 7,2 </w:t>
            </w:r>
            <w:proofErr w:type="spellStart"/>
            <w:proofErr w:type="gramStart"/>
            <w:r w:rsidRPr="00BB3DD0">
              <w:rPr>
                <w:rFonts w:ascii="Arial" w:hAnsi="Arial" w:cs="Arial"/>
              </w:rPr>
              <w:t>MVAr</w:t>
            </w:r>
            <w:proofErr w:type="spellEnd"/>
            <w:proofErr w:type="gramEnd"/>
            <w:r w:rsidRPr="00BB3DD0">
              <w:rPr>
                <w:rFonts w:ascii="Arial" w:hAnsi="Arial" w:cs="Arial"/>
              </w:rPr>
              <w:t xml:space="preserve"> conectado ao Barramento 138 kV através de Disjuntor.</w:t>
            </w:r>
          </w:p>
        </w:tc>
      </w:tr>
      <w:tr w:rsidR="00142416" w:rsidRPr="00BB3DD0" w:rsidTr="007A331B">
        <w:trPr>
          <w:trHeight w:val="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Lençóis,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8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Agosto/2016.</w:t>
            </w:r>
          </w:p>
        </w:tc>
      </w:tr>
    </w:tbl>
    <w:p w:rsidR="007A331B" w:rsidRDefault="007A331B" w:rsidP="00142416">
      <w:pPr>
        <w:rPr>
          <w:rFonts w:ascii="Arial" w:hAnsi="Arial" w:cs="Arial"/>
          <w:sz w:val="4"/>
          <w:szCs w:val="4"/>
        </w:rPr>
      </w:pPr>
    </w:p>
    <w:p w:rsidR="007A331B" w:rsidRDefault="007A331B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27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  <w:bCs/>
              </w:rPr>
              <w:t xml:space="preserve">Subestação 69 </w:t>
            </w:r>
            <w:proofErr w:type="gramStart"/>
            <w:r w:rsidRPr="00BB3DD0">
              <w:rPr>
                <w:rFonts w:ascii="Arial" w:hAnsi="Arial" w:cs="Arial"/>
                <w:bCs/>
              </w:rPr>
              <w:t>kV</w:t>
            </w:r>
            <w:proofErr w:type="gramEnd"/>
            <w:r w:rsidRPr="00BB3DD0">
              <w:rPr>
                <w:rFonts w:ascii="Arial" w:hAnsi="Arial" w:cs="Arial"/>
                <w:bCs/>
              </w:rPr>
              <w:t xml:space="preserve"> CAB - Reconstrução Barramento 11,95 kV.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7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Reconstrução do Barramento 11,9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 em Cubículo existente por um Aéreo, tipo Barra Principal e Transferência.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8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Março/2017.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28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  <w:bCs/>
              </w:rPr>
              <w:t xml:space="preserve">Subestação 69 </w:t>
            </w:r>
            <w:proofErr w:type="gramStart"/>
            <w:r w:rsidRPr="00BB3DD0">
              <w:rPr>
                <w:rFonts w:ascii="Arial" w:hAnsi="Arial" w:cs="Arial"/>
                <w:bCs/>
              </w:rPr>
              <w:t>kV</w:t>
            </w:r>
            <w:proofErr w:type="gramEnd"/>
            <w:r w:rsidRPr="00BB3DD0">
              <w:rPr>
                <w:rFonts w:ascii="Arial" w:hAnsi="Arial" w:cs="Arial"/>
                <w:bCs/>
              </w:rPr>
              <w:t xml:space="preserve"> TNH - Ampliação 12,5 MVA.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848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Troca do Transformador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8 kV,  5/6,25  MVA por outro de 10/12,5 MVA com LTC; Banco de Capacitor 1,2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 xml:space="preserve"> (total 2 x 1,2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 xml:space="preserve">); Trocar o Conjunto de Medição por Transformador de Potencial, Transformador de Corrente, Amperímetro Digital e Medidor Eletrônico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Multifunção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 xml:space="preserve"> Programável; Conexões existentes serão aproveitadas.</w:t>
            </w:r>
          </w:p>
        </w:tc>
      </w:tr>
      <w:tr w:rsidR="00142416" w:rsidRPr="00BB3DD0" w:rsidTr="007A331B">
        <w:trPr>
          <w:trHeight w:val="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Tanhaçu,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Julho/2016.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237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29</w:t>
            </w:r>
          </w:p>
        </w:tc>
      </w:tr>
      <w:tr w:rsidR="00142416" w:rsidRPr="00BB3DD0" w:rsidTr="007A331B">
        <w:trPr>
          <w:trHeight w:val="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9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  <w:bCs/>
              </w:rPr>
              <w:t>kV</w:t>
            </w:r>
            <w:proofErr w:type="gramEnd"/>
            <w:r w:rsidRPr="00BB3DD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B3DD0">
              <w:rPr>
                <w:rFonts w:ascii="Arial" w:hAnsi="Arial" w:cs="Arial"/>
                <w:bCs/>
              </w:rPr>
              <w:t>Calabetão</w:t>
            </w:r>
            <w:proofErr w:type="spellEnd"/>
            <w:r w:rsidRPr="00BB3DD0">
              <w:rPr>
                <w:rFonts w:ascii="Arial" w:hAnsi="Arial" w:cs="Arial"/>
                <w:bCs/>
              </w:rPr>
              <w:t xml:space="preserve"> - Cajazeiras II.</w:t>
            </w:r>
          </w:p>
        </w:tc>
      </w:tr>
      <w:tr w:rsidR="00142416" w:rsidRPr="00BB3DD0" w:rsidTr="007A331B">
        <w:trPr>
          <w:trHeight w:val="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32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>Reconstrução do Circuito Simples utilizando a mesma Faixa de Servidão através dos Condutores de Seção 2 x 246,9 MCM (ALIANCE), Estruturas Padrão, com extensão aproximada de um quilômetro e novecentos metros.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Sistema de Distribuição de Alta Tensão - SDAT. 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Junho/2015.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30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  <w:bCs/>
              </w:rPr>
              <w:t xml:space="preserve">Subestação 138 </w:t>
            </w:r>
            <w:proofErr w:type="gramStart"/>
            <w:r w:rsidRPr="00BB3DD0">
              <w:rPr>
                <w:rFonts w:ascii="Arial" w:hAnsi="Arial" w:cs="Arial"/>
                <w:bCs/>
              </w:rPr>
              <w:t>kV</w:t>
            </w:r>
            <w:proofErr w:type="gramEnd"/>
            <w:r w:rsidRPr="00BB3DD0">
              <w:rPr>
                <w:rFonts w:ascii="Arial" w:hAnsi="Arial" w:cs="Arial"/>
                <w:bCs/>
              </w:rPr>
              <w:t xml:space="preserve"> JCB - Ampliação 13,8 kV e 6</w:t>
            </w:r>
            <w:r w:rsidRPr="00BB3DD0">
              <w:rPr>
                <w:rFonts w:ascii="Arial" w:hAnsi="Arial" w:cs="Arial"/>
                <w:bCs/>
                <w:u w:val="single"/>
                <w:vertAlign w:val="superscript"/>
              </w:rPr>
              <w:t>a</w:t>
            </w:r>
            <w:r w:rsidRPr="00BB3DD0">
              <w:rPr>
                <w:rFonts w:ascii="Arial" w:hAnsi="Arial" w:cs="Arial"/>
                <w:bCs/>
              </w:rPr>
              <w:t xml:space="preserve"> Entrada de Linha.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Instalação do Segundo Transformador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>8 kV, 10/12,5 MVA, Conexão 69 kV com Disjuntor, e construção da Sexta Saída de Linha em 13,8 kV.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Jacobina,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Dezembro/2015.</w:t>
            </w:r>
          </w:p>
        </w:tc>
      </w:tr>
    </w:tbl>
    <w:p w:rsidR="007A331B" w:rsidRDefault="007A331B" w:rsidP="00142416">
      <w:pPr>
        <w:rPr>
          <w:rFonts w:ascii="Arial" w:hAnsi="Arial" w:cs="Arial"/>
          <w:sz w:val="16"/>
          <w:szCs w:val="16"/>
        </w:rPr>
      </w:pPr>
    </w:p>
    <w:p w:rsidR="007A331B" w:rsidRDefault="007A331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31</w:t>
            </w:r>
          </w:p>
        </w:tc>
      </w:tr>
      <w:tr w:rsidR="00142416" w:rsidRPr="00BB3DD0" w:rsidTr="007A331B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JEQ - Ampliação 13,8 kV.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7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Ampliação da Subestação através da instalação de um Transformador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138/13,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8 kV, 20/26,6 MVA com LTC.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98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1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Jequié,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8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Junho/2016.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32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  <w:bCs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  <w:bCs/>
              </w:rPr>
              <w:t>kV</w:t>
            </w:r>
            <w:proofErr w:type="gramEnd"/>
            <w:r w:rsidRPr="00BB3DD0">
              <w:rPr>
                <w:rFonts w:ascii="Arial" w:hAnsi="Arial" w:cs="Arial"/>
                <w:bCs/>
              </w:rPr>
              <w:t xml:space="preserve"> CIT - LDF (Novo Circuito).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oito quilômetros e seiscentos metros de Linha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 Urbana, Circuito Duplo, Cabo AAAC 2 x 465,4 MCM (Cairo) e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Recapacitação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 xml:space="preserve"> de quatro quilômetros e quinhentos metros de Linha 69 kV Urbana, Circuito Duplo, Cabo 636 MCM para o Cabo AAAC 2 x 465,4 MCM (Cairo).</w:t>
            </w:r>
          </w:p>
        </w:tc>
      </w:tr>
      <w:tr w:rsidR="00142416" w:rsidRPr="00BB3DD0" w:rsidTr="007A331B">
        <w:trPr>
          <w:trHeight w:val="1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9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Lauro de Freitas,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7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33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Subestação Distrito Industrial Juazeiro - Ampliação.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58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Ampliação da Subestação para 25 MVA com a construção de uma Conexão de Transformador de Força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 com Disjuntor, substituição dos Equipamento da Conexão de Transformador de Força em 13,8 kV, do Condutor da Conexão 13,8 kV, do Barramento de 13,8 kV e construção de duas Saídas de Linha em 13,8 kV.</w:t>
            </w:r>
          </w:p>
        </w:tc>
      </w:tr>
      <w:tr w:rsidR="00142416" w:rsidRPr="00BB3DD0" w:rsidTr="007A331B">
        <w:trPr>
          <w:trHeight w:val="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10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98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Juazeiro, Estado da Bahia.</w:t>
            </w:r>
          </w:p>
        </w:tc>
      </w:tr>
      <w:tr w:rsidR="00142416" w:rsidRPr="00BB3DD0" w:rsidTr="007A331B">
        <w:trPr>
          <w:trHeight w:val="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Outubro/2015.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34</w:t>
            </w:r>
          </w:p>
        </w:tc>
      </w:tr>
      <w:tr w:rsidR="00142416" w:rsidRPr="00BB3DD0" w:rsidTr="007A331B">
        <w:trPr>
          <w:trHeight w:val="1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16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  <w:bCs/>
              </w:rPr>
              <w:t>kV</w:t>
            </w:r>
            <w:proofErr w:type="gramEnd"/>
            <w:r w:rsidRPr="00BB3DD0">
              <w:rPr>
                <w:rFonts w:ascii="Arial" w:hAnsi="Arial" w:cs="Arial"/>
                <w:bCs/>
              </w:rPr>
              <w:t xml:space="preserve"> POO - GBA.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Linha de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com extensão aproximada de dezessete quilômetros e quinhentos metros, Circuito Duplo, Cabo AAAC 2 x 465,4 MCM (Cairo), Estrutura de Concreto, sem Cabo Para-Raios.</w:t>
            </w:r>
          </w:p>
        </w:tc>
      </w:tr>
      <w:tr w:rsidR="00142416" w:rsidRPr="00BB3DD0" w:rsidTr="007A331B">
        <w:trPr>
          <w:trHeight w:val="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68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Sistema de Distribuição de Alta Tensão - SDAT. </w:t>
            </w:r>
          </w:p>
        </w:tc>
      </w:tr>
      <w:tr w:rsidR="00142416" w:rsidRPr="00BB3DD0" w:rsidTr="007A331B">
        <w:trPr>
          <w:trHeight w:val="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6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Camaçari, Estado da Bahia.</w:t>
            </w:r>
          </w:p>
        </w:tc>
      </w:tr>
      <w:tr w:rsidR="00142416" w:rsidRPr="00BB3DD0" w:rsidTr="007A331B">
        <w:trPr>
          <w:trHeight w:val="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5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Dezembro/2017.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lastRenderedPageBreak/>
              <w:t>PROJETO 35</w:t>
            </w:r>
          </w:p>
        </w:tc>
      </w:tr>
      <w:tr w:rsidR="00142416" w:rsidRPr="00BB3DD0" w:rsidTr="007A331B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Subestação 138 </w:t>
            </w:r>
            <w:proofErr w:type="gramStart"/>
            <w:r w:rsidRPr="00BB3DD0">
              <w:rPr>
                <w:rFonts w:ascii="Arial" w:hAnsi="Arial" w:cs="Arial"/>
                <w:bCs/>
              </w:rPr>
              <w:t>kV</w:t>
            </w:r>
            <w:proofErr w:type="gramEnd"/>
            <w:r w:rsidRPr="00BB3DD0">
              <w:rPr>
                <w:rFonts w:ascii="Arial" w:hAnsi="Arial" w:cs="Arial"/>
                <w:bCs/>
              </w:rPr>
              <w:t xml:space="preserve"> IPU - duas Entrada de Linhas 138 kV.</w:t>
            </w:r>
          </w:p>
        </w:tc>
      </w:tr>
      <w:tr w:rsidR="00142416" w:rsidRPr="00BB3DD0" w:rsidTr="007A331B">
        <w:trPr>
          <w:trHeight w:val="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7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de duas Entradas de Linhas em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com Disjunção.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6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Ipiaú, Estado da Bahia.</w:t>
            </w:r>
          </w:p>
        </w:tc>
      </w:tr>
      <w:tr w:rsidR="00142416" w:rsidRPr="00BB3DD0" w:rsidTr="007A331B">
        <w:trPr>
          <w:trHeight w:val="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21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Setembro/2016.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47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36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JGQ - Ampliação 13,8 kV.</w:t>
            </w:r>
          </w:p>
        </w:tc>
      </w:tr>
      <w:tr w:rsidR="00142416" w:rsidRPr="00BB3DD0" w:rsidTr="007A331B">
        <w:trPr>
          <w:trHeight w:val="1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27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Ampliação da Subestação Jaguaquara com a troca do Transformador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8 kV,  5/6,25  MVA por outro de 10/12,5 MVA com LTC.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1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Jaguaquara,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6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37</w:t>
            </w:r>
          </w:p>
        </w:tc>
      </w:tr>
      <w:tr w:rsidR="00142416" w:rsidRPr="00BB3DD0" w:rsidTr="007A331B">
        <w:trPr>
          <w:trHeight w:val="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7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Praia do Forte - Instalação Transformador de Força </w:t>
            </w:r>
            <w:proofErr w:type="gramStart"/>
            <w:r w:rsidRPr="00BB3DD0">
              <w:rPr>
                <w:rFonts w:ascii="Arial" w:hAnsi="Arial" w:cs="Arial"/>
              </w:rPr>
              <w:t>69/34,</w:t>
            </w:r>
            <w:proofErr w:type="gramEnd"/>
            <w:r w:rsidRPr="00BB3DD0">
              <w:rPr>
                <w:rFonts w:ascii="Arial" w:hAnsi="Arial" w:cs="Arial"/>
              </w:rPr>
              <w:t>5 kV.</w:t>
            </w:r>
          </w:p>
        </w:tc>
      </w:tr>
      <w:tr w:rsidR="00142416" w:rsidRPr="00BB3DD0" w:rsidTr="007A331B">
        <w:trPr>
          <w:trHeight w:val="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62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uma Subestação com: uma Entrada de Linha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; uma Conexão em 69 kV com Disjuntor, um  Transformador 69/34,5 kV, 20/26,6/33 MVA com LTC, uma Conexão em 34,5 kV com Disjuntor, dois Bancos de Capacitores de 1,8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2416" w:rsidRPr="00BB3DD0" w:rsidTr="007A331B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6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Mata de São João, Estado da Bahia.</w:t>
            </w:r>
          </w:p>
        </w:tc>
      </w:tr>
      <w:tr w:rsidR="00142416" w:rsidRPr="00BB3DD0" w:rsidTr="007A331B">
        <w:trPr>
          <w:trHeight w:val="1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6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Dezembro/2014.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151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38</w:t>
            </w:r>
          </w:p>
        </w:tc>
      </w:tr>
      <w:tr w:rsidR="00142416" w:rsidRPr="00BB3DD0" w:rsidTr="007A331B">
        <w:trPr>
          <w:trHeight w:val="1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13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Subestação CRR - Ampliação 13 P/12,5 E 34 P/</w:t>
            </w:r>
            <w:proofErr w:type="gramStart"/>
            <w:r w:rsidRPr="00BB3DD0">
              <w:rPr>
                <w:rFonts w:ascii="Arial" w:hAnsi="Arial" w:cs="Arial"/>
                <w:bCs/>
              </w:rPr>
              <w:t>2x12,</w:t>
            </w:r>
            <w:proofErr w:type="gramEnd"/>
            <w:r w:rsidRPr="00BB3DD0">
              <w:rPr>
                <w:rFonts w:ascii="Arial" w:hAnsi="Arial" w:cs="Arial"/>
                <w:bCs/>
              </w:rPr>
              <w:t>5 MVA.</w:t>
            </w:r>
          </w:p>
        </w:tc>
      </w:tr>
      <w:tr w:rsidR="00142416" w:rsidRPr="00BB3DD0" w:rsidTr="007A331B">
        <w:trPr>
          <w:trHeight w:val="1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848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Substituição do Transformador de Força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>8 kV, 6,25 MVA, por um de 12,5 MVA, com LTC, e instalação do 2</w:t>
            </w:r>
            <w:r w:rsidRPr="00BB3DD0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BB3DD0">
              <w:rPr>
                <w:rFonts w:ascii="Arial" w:hAnsi="Arial" w:cs="Arial"/>
                <w:sz w:val="20"/>
                <w:szCs w:val="20"/>
              </w:rPr>
              <w:t xml:space="preserve"> Transformador de Força 69/34,5 kV, 12,5 MVA, com construção das Conexões de Transformador de Força em 69 e 34,5 kV, instalação de Disjuntores nas Conexões de Transformador de Força 69 kV dos Transformadores de Força atuais e construção de duas Entradas de Linha em 13,8 kV.</w:t>
            </w:r>
          </w:p>
        </w:tc>
      </w:tr>
      <w:tr w:rsidR="00142416" w:rsidRPr="00BB3DD0" w:rsidTr="007A331B">
        <w:trPr>
          <w:trHeight w:val="8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10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7A331B">
        <w:trPr>
          <w:trHeight w:val="1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Santa Maria da Vitoria, Estado da Bahia.</w:t>
            </w:r>
          </w:p>
        </w:tc>
      </w:tr>
      <w:tr w:rsidR="00142416" w:rsidRPr="00BB3DD0" w:rsidTr="007A331B">
        <w:trPr>
          <w:trHeight w:val="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Março/2017.</w:t>
            </w:r>
          </w:p>
        </w:tc>
      </w:tr>
    </w:tbl>
    <w:p w:rsidR="00142416" w:rsidRPr="007A331B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7A331B">
        <w:trPr>
          <w:trHeight w:val="231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39</w:t>
            </w:r>
          </w:p>
        </w:tc>
      </w:tr>
      <w:tr w:rsidR="00142416" w:rsidRPr="00BB3DD0" w:rsidTr="007A331B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lastRenderedPageBreak/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7A331B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GVM - ETL.</w:t>
            </w:r>
          </w:p>
        </w:tc>
      </w:tr>
      <w:tr w:rsidR="00142416" w:rsidRPr="00BB3DD0" w:rsidTr="007A331B">
        <w:trPr>
          <w:trHeight w:val="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7A331B">
        <w:trPr>
          <w:trHeight w:val="21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Construção de uma Linha de Distribuição em Alta Tensão, 69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>, Circuito Simples, Cabo 636 MCM, com extensão aproximada de cinquenta e sete quilômetros, com Cabo Para-Raios, Estruturas de Concreto para Circuito Duplo.</w:t>
            </w:r>
          </w:p>
        </w:tc>
      </w:tr>
      <w:tr w:rsidR="00142416" w:rsidRPr="00BB3DD0" w:rsidTr="007A331B">
        <w:trPr>
          <w:trHeight w:val="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7A331B">
        <w:trPr>
          <w:trHeight w:val="9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7A331B">
        <w:trPr>
          <w:trHeight w:val="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7A331B">
        <w:trPr>
          <w:trHeight w:val="8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7A331B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7A331B">
        <w:trPr>
          <w:trHeight w:val="8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Setembro/2017.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16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40</w:t>
            </w:r>
          </w:p>
        </w:tc>
      </w:tr>
      <w:tr w:rsidR="00142416" w:rsidRPr="00BB3DD0" w:rsidTr="00560F89">
        <w:trPr>
          <w:trHeight w:val="1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SE Serrinha II 69 - 13,8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- Construção.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58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Subestação com um Transformador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8 kV 12,5 MVA; uma Conexão de Transformador de Força 69 kV com Disjunção; uma Conexão de Transformador de Força 13,8 kV com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Religador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 xml:space="preserve">; cinco Entradas de Linha 13,8 kV com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Religador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15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1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Serrinha,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Dezembro/2015.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96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41</w:t>
            </w:r>
          </w:p>
        </w:tc>
      </w:tr>
      <w:tr w:rsidR="00142416" w:rsidRPr="00BB3DD0" w:rsidTr="00560F89">
        <w:trPr>
          <w:trHeight w:val="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9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Subestação Federação - Entrada de Linha 69 </w:t>
            </w:r>
            <w:proofErr w:type="gramStart"/>
            <w:r w:rsidRPr="00BB3DD0">
              <w:rPr>
                <w:rFonts w:ascii="Arial" w:hAnsi="Arial" w:cs="Arial"/>
                <w:bCs/>
              </w:rPr>
              <w:t>kV</w:t>
            </w:r>
            <w:proofErr w:type="gramEnd"/>
            <w:r w:rsidRPr="00BB3DD0">
              <w:rPr>
                <w:rFonts w:ascii="Arial" w:hAnsi="Arial" w:cs="Arial"/>
                <w:bCs/>
              </w:rPr>
              <w:t xml:space="preserve"> (Fonte Nova).</w:t>
            </w:r>
          </w:p>
        </w:tc>
      </w:tr>
      <w:tr w:rsidR="00142416" w:rsidRPr="00BB3DD0" w:rsidTr="00560F89">
        <w:trPr>
          <w:trHeight w:val="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8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de uma Entrada de Linha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>, com Disjuntor.</w:t>
            </w:r>
          </w:p>
        </w:tc>
      </w:tr>
      <w:tr w:rsidR="00142416" w:rsidRPr="00BB3DD0" w:rsidTr="00560F89">
        <w:trPr>
          <w:trHeight w:val="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21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7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560F89">
        <w:trPr>
          <w:trHeight w:val="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20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Dezembro/2014.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155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42</w:t>
            </w:r>
          </w:p>
        </w:tc>
      </w:tr>
      <w:tr w:rsidR="00142416" w:rsidRPr="00BB3DD0" w:rsidTr="00560F89">
        <w:trPr>
          <w:trHeight w:val="1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14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ADD - Construção.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71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uma Subestação com: duas Entradas de Linha em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 com Disjunção, instalação de um Transformador 69/13,8 kV, 10/12,5 MVA, com LTC, quatro Saídas 13,8 kV com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Religadores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 xml:space="preserve">, instalação de um Banco de Capacitor de 1,8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>/13,8 kV.</w:t>
            </w:r>
          </w:p>
        </w:tc>
      </w:tr>
      <w:tr w:rsidR="00142416" w:rsidRPr="00BB3DD0" w:rsidTr="00560F89">
        <w:trPr>
          <w:trHeight w:val="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América Dourada,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560F89" w:rsidRDefault="00560F89" w:rsidP="00142416">
      <w:pPr>
        <w:rPr>
          <w:rFonts w:ascii="Arial" w:hAnsi="Arial" w:cs="Arial"/>
          <w:sz w:val="16"/>
          <w:szCs w:val="16"/>
        </w:rPr>
      </w:pPr>
    </w:p>
    <w:p w:rsidR="00560F89" w:rsidRDefault="00560F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43</w:t>
            </w:r>
          </w:p>
        </w:tc>
      </w:tr>
      <w:tr w:rsidR="00142416" w:rsidRPr="00BB3DD0" w:rsidTr="00560F89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  <w:bCs/>
              </w:rPr>
              <w:t xml:space="preserve">Subestação 69 </w:t>
            </w:r>
            <w:proofErr w:type="gramStart"/>
            <w:r w:rsidRPr="00BB3DD0">
              <w:rPr>
                <w:rFonts w:ascii="Arial" w:hAnsi="Arial" w:cs="Arial"/>
                <w:bCs/>
              </w:rPr>
              <w:t>kV</w:t>
            </w:r>
            <w:proofErr w:type="gramEnd"/>
            <w:r w:rsidRPr="00BB3DD0">
              <w:rPr>
                <w:rFonts w:ascii="Arial" w:hAnsi="Arial" w:cs="Arial"/>
                <w:bCs/>
              </w:rPr>
              <w:t xml:space="preserve"> IAS - Construção.</w:t>
            </w:r>
          </w:p>
        </w:tc>
      </w:tr>
      <w:tr w:rsidR="00142416" w:rsidRPr="00BB3DD0" w:rsidTr="00560F89">
        <w:trPr>
          <w:trHeight w:val="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5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Construção de uma Subestação com: Entrada 69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 xml:space="preserve"> sem Disjunção, Saída 69 kV com Disjuntor, instalação de um Transformador 69/13,8  kV , 10/12,5  MVA, com LTC, quatro Saídas 13,8  kV com </w:t>
            </w:r>
            <w:proofErr w:type="spellStart"/>
            <w:r w:rsidRPr="00BB3DD0">
              <w:rPr>
                <w:rFonts w:ascii="Arial" w:hAnsi="Arial" w:cs="Arial"/>
                <w:sz w:val="20"/>
                <w:szCs w:val="20"/>
              </w:rPr>
              <w:t>Religadores</w:t>
            </w:r>
            <w:proofErr w:type="spellEnd"/>
            <w:r w:rsidRPr="00BB3DD0">
              <w:rPr>
                <w:rFonts w:ascii="Arial" w:hAnsi="Arial" w:cs="Arial"/>
                <w:sz w:val="20"/>
                <w:szCs w:val="20"/>
              </w:rPr>
              <w:t xml:space="preserve">, instalação de um Banco de Capacitores de 1,8  </w:t>
            </w:r>
            <w:proofErr w:type="spellStart"/>
            <w:r w:rsidRPr="00BB3DD0">
              <w:rPr>
                <w:rFonts w:ascii="Arial" w:hAnsi="Arial" w:cs="Arial"/>
                <w:sz w:val="20"/>
                <w:szCs w:val="20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0"/>
                <w:szCs w:val="20"/>
              </w:rPr>
              <w:t>/13,8kV.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Irecê,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14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83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44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9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RDA - Ampliação p/2 x 12,5 MVA.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58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Instalação do Segundo Transformador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 xml:space="preserve">8 kV, 10/12,5 MVA com LTC; Construção de uma Entrada de Linha 69 kV com Disjunção; Construção de duas Conexões de Transformador de Força 69 kV com Disjunção; Construção de uma Conexão de Transformador de Força 13,8 kV com </w:t>
            </w:r>
            <w:proofErr w:type="spellStart"/>
            <w:r w:rsidRPr="00BB3DD0">
              <w:rPr>
                <w:rFonts w:ascii="Arial" w:hAnsi="Arial" w:cs="Arial"/>
                <w:sz w:val="20"/>
                <w:szCs w:val="20"/>
              </w:rPr>
              <w:t>Religador</w:t>
            </w:r>
            <w:proofErr w:type="spellEnd"/>
            <w:r w:rsidRPr="00BB3DD0">
              <w:rPr>
                <w:rFonts w:ascii="Arial" w:hAnsi="Arial" w:cs="Arial"/>
                <w:sz w:val="20"/>
                <w:szCs w:val="20"/>
              </w:rPr>
              <w:t xml:space="preserve">; três Entradas de Linha 13,8 kV com </w:t>
            </w:r>
            <w:proofErr w:type="spellStart"/>
            <w:r w:rsidRPr="00BB3DD0">
              <w:rPr>
                <w:rFonts w:ascii="Arial" w:hAnsi="Arial" w:cs="Arial"/>
                <w:sz w:val="20"/>
                <w:szCs w:val="20"/>
              </w:rPr>
              <w:t>Religador</w:t>
            </w:r>
            <w:proofErr w:type="spellEnd"/>
            <w:r w:rsidRPr="00BB3DD0">
              <w:rPr>
                <w:rFonts w:ascii="Arial" w:hAnsi="Arial" w:cs="Arial"/>
                <w:sz w:val="20"/>
                <w:szCs w:val="20"/>
              </w:rPr>
              <w:t xml:space="preserve">; um Banco de Capacitor 1,2 </w:t>
            </w:r>
            <w:proofErr w:type="spellStart"/>
            <w:r w:rsidRPr="00BB3DD0">
              <w:rPr>
                <w:rFonts w:ascii="Arial" w:hAnsi="Arial" w:cs="Arial"/>
                <w:sz w:val="20"/>
                <w:szCs w:val="20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42416" w:rsidRPr="00BB3DD0" w:rsidTr="00560F89">
        <w:trPr>
          <w:trHeight w:val="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Rio do Antônio, Estado da Bahia.</w:t>
            </w:r>
          </w:p>
        </w:tc>
      </w:tr>
      <w:tr w:rsidR="00142416" w:rsidRPr="00BB3DD0" w:rsidTr="00560F89">
        <w:trPr>
          <w:trHeight w:val="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45</w:t>
            </w:r>
          </w:p>
        </w:tc>
      </w:tr>
      <w:tr w:rsidR="00142416" w:rsidRPr="00BB3DD0" w:rsidTr="00560F89">
        <w:trPr>
          <w:trHeight w:val="1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11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PRM - Ampliação p/ 2 x 12,5 MVA.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9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Instalação do Segundo Transformador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 xml:space="preserve">8 kV, 10/12,5 MVA com LTC; Construção de uma Entrada de Linha 69 kV com Disjunção; Construção de duas Conexões de Transformador de Força 69 kV com Disjunção; Construção de uma Conexão de Transformador de Força 13,8 kV com </w:t>
            </w:r>
            <w:proofErr w:type="spellStart"/>
            <w:r w:rsidRPr="00BB3DD0">
              <w:rPr>
                <w:rFonts w:ascii="Arial" w:hAnsi="Arial" w:cs="Arial"/>
                <w:sz w:val="20"/>
                <w:szCs w:val="20"/>
              </w:rPr>
              <w:t>Religador</w:t>
            </w:r>
            <w:proofErr w:type="spellEnd"/>
            <w:r w:rsidRPr="00BB3DD0">
              <w:rPr>
                <w:rFonts w:ascii="Arial" w:hAnsi="Arial" w:cs="Arial"/>
                <w:sz w:val="20"/>
                <w:szCs w:val="20"/>
              </w:rPr>
              <w:t xml:space="preserve">; Construção uma Entradas de Linha 13,8 kV com </w:t>
            </w:r>
            <w:proofErr w:type="spellStart"/>
            <w:r w:rsidRPr="00BB3DD0">
              <w:rPr>
                <w:rFonts w:ascii="Arial" w:hAnsi="Arial" w:cs="Arial"/>
                <w:sz w:val="20"/>
                <w:szCs w:val="20"/>
              </w:rPr>
              <w:t>Religador</w:t>
            </w:r>
            <w:proofErr w:type="spellEnd"/>
            <w:r w:rsidRPr="00BB3D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42416" w:rsidRPr="00BB3DD0" w:rsidTr="00560F89">
        <w:trPr>
          <w:trHeight w:val="1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11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11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Paramirim, Estado da Bahia.</w:t>
            </w:r>
          </w:p>
        </w:tc>
      </w:tr>
      <w:tr w:rsidR="00142416" w:rsidRPr="00BB3DD0" w:rsidTr="00560F89">
        <w:trPr>
          <w:trHeight w:val="1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10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61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46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Federação - Fonte Nova.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14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DD0">
              <w:rPr>
                <w:rFonts w:ascii="Arial" w:hAnsi="Arial" w:cs="Arial"/>
                <w:sz w:val="18"/>
                <w:szCs w:val="18"/>
              </w:rPr>
              <w:t xml:space="preserve">Construção de três quilômetros e duzentos metros de Linha em 69 </w:t>
            </w:r>
            <w:proofErr w:type="gramStart"/>
            <w:r w:rsidRPr="00BB3DD0">
              <w:rPr>
                <w:rFonts w:ascii="Arial" w:hAnsi="Arial" w:cs="Arial"/>
                <w:sz w:val="18"/>
                <w:szCs w:val="18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18"/>
                <w:szCs w:val="18"/>
              </w:rPr>
              <w:t>, Circuito Simples, Cabo XLPE, 1200 mm</w:t>
            </w:r>
            <w:r w:rsidRPr="00BB3DD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B3DD0">
              <w:rPr>
                <w:rFonts w:ascii="Arial" w:hAnsi="Arial" w:cs="Arial"/>
                <w:sz w:val="18"/>
                <w:szCs w:val="18"/>
              </w:rPr>
              <w:t xml:space="preserve"> Circuito Subterrâneo.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Dezembro/2014.</w:t>
            </w:r>
          </w:p>
        </w:tc>
      </w:tr>
    </w:tbl>
    <w:p w:rsidR="00560F89" w:rsidRDefault="00560F89" w:rsidP="00142416">
      <w:pPr>
        <w:rPr>
          <w:rFonts w:ascii="Arial" w:hAnsi="Arial" w:cs="Arial"/>
          <w:sz w:val="4"/>
          <w:szCs w:val="4"/>
        </w:rPr>
      </w:pPr>
    </w:p>
    <w:p w:rsidR="00560F89" w:rsidRDefault="00560F89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47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47</w:t>
            </w:r>
          </w:p>
        </w:tc>
      </w:tr>
      <w:tr w:rsidR="00142416" w:rsidRPr="00BB3DD0" w:rsidTr="00560F89">
        <w:trPr>
          <w:trHeight w:val="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PDF - Instalação Transformador de Força 69/34,5 kV.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17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Substituição do Transformador de Força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69/34,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5 kV, 20/26,6/33 MVA, para disponibilização do existente para Subestação Porto de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Sauípe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2416" w:rsidRPr="00BB3DD0" w:rsidTr="00560F89">
        <w:trPr>
          <w:trHeight w:val="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</w:t>
            </w:r>
          </w:p>
        </w:tc>
      </w:tr>
      <w:tr w:rsidR="00142416" w:rsidRPr="00BB3DD0" w:rsidTr="00560F89">
        <w:trPr>
          <w:trHeight w:val="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8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Mata de São João, Estado da Bahia.</w:t>
            </w:r>
          </w:p>
        </w:tc>
      </w:tr>
      <w:tr w:rsidR="00142416" w:rsidRPr="00BB3DD0" w:rsidTr="00560F89">
        <w:trPr>
          <w:trHeight w:val="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7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48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14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 xml:space="preserve">Subestação BDE - Ampliação 13,8 </w:t>
            </w:r>
            <w:proofErr w:type="gramStart"/>
            <w:r w:rsidRPr="00BB3DD0">
              <w:rPr>
                <w:rFonts w:ascii="Arial" w:hAnsi="Arial" w:cs="Arial"/>
                <w:bCs/>
              </w:rPr>
              <w:t>kV</w:t>
            </w:r>
            <w:proofErr w:type="gramEnd"/>
            <w:r w:rsidRPr="00BB3DD0">
              <w:rPr>
                <w:rFonts w:ascii="Arial" w:hAnsi="Arial" w:cs="Arial"/>
                <w:bCs/>
              </w:rPr>
              <w:t xml:space="preserve"> p/ 12,5 MVA.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42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DD0">
              <w:rPr>
                <w:rFonts w:ascii="Arial" w:hAnsi="Arial" w:cs="Arial"/>
                <w:sz w:val="20"/>
                <w:szCs w:val="20"/>
              </w:rPr>
              <w:t xml:space="preserve">Troca do Transformador </w:t>
            </w:r>
            <w:proofErr w:type="gramStart"/>
            <w:r w:rsidRPr="00BB3DD0">
              <w:rPr>
                <w:rFonts w:ascii="Arial" w:hAnsi="Arial" w:cs="Arial"/>
                <w:sz w:val="20"/>
                <w:szCs w:val="20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0"/>
                <w:szCs w:val="20"/>
              </w:rPr>
              <w:t xml:space="preserve">8 kV, 5/6,25  MVA por outro de 10/12,5 MVA com LTC; Trocar o Conjunto de Medição por Transformador de Potencial, Transformador de Corrente, Amperímetro Digital e Medidor Eletrônico </w:t>
            </w:r>
            <w:proofErr w:type="spellStart"/>
            <w:r w:rsidRPr="00BB3DD0">
              <w:rPr>
                <w:rFonts w:ascii="Arial" w:hAnsi="Arial" w:cs="Arial"/>
                <w:sz w:val="20"/>
                <w:szCs w:val="20"/>
              </w:rPr>
              <w:t>Multifunção</w:t>
            </w:r>
            <w:proofErr w:type="spellEnd"/>
            <w:r w:rsidRPr="00BB3DD0">
              <w:rPr>
                <w:rFonts w:ascii="Arial" w:hAnsi="Arial" w:cs="Arial"/>
                <w:sz w:val="20"/>
                <w:szCs w:val="20"/>
              </w:rPr>
              <w:t xml:space="preserve"> Programável; uma Entrada de Linha 13,8 kV com </w:t>
            </w:r>
            <w:proofErr w:type="spellStart"/>
            <w:r w:rsidRPr="00BB3DD0">
              <w:rPr>
                <w:rFonts w:ascii="Arial" w:hAnsi="Arial" w:cs="Arial"/>
                <w:sz w:val="20"/>
                <w:szCs w:val="20"/>
              </w:rPr>
              <w:t>Religador</w:t>
            </w:r>
            <w:proofErr w:type="spellEnd"/>
            <w:r w:rsidRPr="00BB3DD0">
              <w:rPr>
                <w:rFonts w:ascii="Arial" w:hAnsi="Arial" w:cs="Arial"/>
                <w:sz w:val="20"/>
                <w:szCs w:val="20"/>
              </w:rPr>
              <w:t>; Conexões existentes serão aproveitadas.</w:t>
            </w:r>
          </w:p>
        </w:tc>
      </w:tr>
      <w:tr w:rsidR="00142416" w:rsidRPr="00BB3DD0" w:rsidTr="00560F89">
        <w:trPr>
          <w:trHeight w:val="1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11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10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Barra da Estiva, Estado da Bahia.</w:t>
            </w:r>
          </w:p>
        </w:tc>
      </w:tr>
      <w:tr w:rsidR="00142416" w:rsidRPr="00BB3DD0" w:rsidTr="00560F89">
        <w:trPr>
          <w:trHeight w:val="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10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Março/2017.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49</w:t>
            </w:r>
          </w:p>
        </w:tc>
      </w:tr>
      <w:tr w:rsidR="00142416" w:rsidRPr="00BB3DD0" w:rsidTr="00560F89">
        <w:trPr>
          <w:trHeight w:val="1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4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proofErr w:type="gramStart"/>
            <w:r w:rsidRPr="00BB3DD0">
              <w:rPr>
                <w:rFonts w:ascii="Arial" w:hAnsi="Arial" w:cs="Arial"/>
              </w:rPr>
              <w:t>Subestação R Branco</w:t>
            </w:r>
            <w:proofErr w:type="gramEnd"/>
            <w:r w:rsidRPr="00BB3DD0">
              <w:rPr>
                <w:rFonts w:ascii="Arial" w:hAnsi="Arial" w:cs="Arial"/>
              </w:rPr>
              <w:t xml:space="preserve"> - Entrada de Linha 138 (R Ouro - S Marcelo).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18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de uma Entrada de Linha em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>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17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Barreiras,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Dezembro/2015.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111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50</w:t>
            </w:r>
          </w:p>
        </w:tc>
      </w:tr>
      <w:tr w:rsidR="00142416" w:rsidRPr="00BB3DD0" w:rsidTr="00560F89">
        <w:trPr>
          <w:trHeight w:val="1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9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Rio do Ouro - Construção.</w:t>
            </w:r>
          </w:p>
        </w:tc>
      </w:tr>
      <w:tr w:rsidR="00142416" w:rsidRPr="00BB3DD0" w:rsidTr="00560F89">
        <w:trPr>
          <w:trHeight w:val="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52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uma Subestação com: Entrada 138 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 com Disjunção,  instalação de um Transformador 138/34,5 kV, 20/26,6  MVA, com LTC, quatro Saídas 34,5  kV com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Religadores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 xml:space="preserve">, dois Bancos  de Capacitores de 1,8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>/ 34,5  kV e dois  Reatores de 2,5 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>/ 34,5kV.</w:t>
            </w:r>
          </w:p>
        </w:tc>
      </w:tr>
      <w:tr w:rsidR="00142416" w:rsidRPr="00BB3DD0" w:rsidTr="00560F89">
        <w:trPr>
          <w:trHeight w:val="1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17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Riachão das Neves,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8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Maio/2015.</w:t>
            </w:r>
          </w:p>
        </w:tc>
      </w:tr>
    </w:tbl>
    <w:p w:rsidR="00560F89" w:rsidRDefault="00560F89" w:rsidP="00142416">
      <w:pPr>
        <w:rPr>
          <w:rFonts w:ascii="Arial" w:hAnsi="Arial" w:cs="Arial"/>
          <w:sz w:val="4"/>
          <w:szCs w:val="4"/>
        </w:rPr>
      </w:pPr>
    </w:p>
    <w:p w:rsidR="00560F89" w:rsidRDefault="00560F89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51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Rio Guará - Construção </w:t>
            </w:r>
            <w:proofErr w:type="gramStart"/>
            <w:r w:rsidRPr="00BB3DD0">
              <w:rPr>
                <w:rFonts w:ascii="Arial" w:hAnsi="Arial" w:cs="Arial"/>
              </w:rPr>
              <w:t>138/34,</w:t>
            </w:r>
            <w:proofErr w:type="gramEnd"/>
            <w:r w:rsidRPr="00BB3DD0">
              <w:rPr>
                <w:rFonts w:ascii="Arial" w:hAnsi="Arial" w:cs="Arial"/>
              </w:rPr>
              <w:t xml:space="preserve">5 kV.  </w:t>
            </w:r>
          </w:p>
        </w:tc>
      </w:tr>
      <w:tr w:rsidR="00142416" w:rsidRPr="00BB3DD0" w:rsidTr="00560F89">
        <w:trPr>
          <w:trHeight w:val="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50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uma Subestação com a instalação de um Transformador de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138/34,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5 kV, 20/26,6 MVA, com LTC, duas Entradas de Linha em 138 kV, quatro Saídas de Alimentadores em 34,5 kV, instalação de um Reator de 2,5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 xml:space="preserve"> e um Banco de Capacitores 1,8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MVAr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2416" w:rsidRPr="00BB3DD0" w:rsidTr="00560F89">
        <w:trPr>
          <w:trHeight w:val="1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Correntina,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Outubro/2015.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83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52</w:t>
            </w:r>
          </w:p>
        </w:tc>
      </w:tr>
      <w:tr w:rsidR="00142416" w:rsidRPr="00BB3DD0" w:rsidTr="00560F89">
        <w:trPr>
          <w:trHeight w:val="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9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Rio Branco - Rio do Ouro.</w:t>
            </w:r>
          </w:p>
        </w:tc>
      </w:tr>
      <w:tr w:rsidR="00142416" w:rsidRPr="00BB3DD0" w:rsidTr="00560F89">
        <w:trPr>
          <w:trHeight w:val="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21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>Construção de cinquenta e dois quilômetros de Linha, Circuito Simples, Cabo 336,4 MCM, com Cabo Para-Raios.</w:t>
            </w:r>
          </w:p>
        </w:tc>
      </w:tr>
      <w:tr w:rsidR="00142416" w:rsidRPr="00BB3DD0" w:rsidTr="00560F89">
        <w:trPr>
          <w:trHeight w:val="1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12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560F89">
        <w:trPr>
          <w:trHeight w:val="1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Formosa do Rio Preto,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11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Maio/2015.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61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53</w:t>
            </w:r>
          </w:p>
        </w:tc>
      </w:tr>
      <w:tr w:rsidR="00142416" w:rsidRPr="00BB3DD0" w:rsidTr="00560F89">
        <w:trPr>
          <w:trHeight w:val="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5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Catu - Alagoinhas.       </w:t>
            </w:r>
          </w:p>
        </w:tc>
      </w:tr>
      <w:tr w:rsidR="00142416" w:rsidRPr="00BB3DD0" w:rsidTr="00560F89">
        <w:trPr>
          <w:trHeight w:val="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3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da Linha de Distribuição em Alta Tensão,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>, Circuito Simples, com comprimento vinte e nove quilômetros, Cabo 336,4 MCM.</w:t>
            </w:r>
          </w:p>
        </w:tc>
      </w:tr>
      <w:tr w:rsidR="00142416" w:rsidRPr="00BB3DD0" w:rsidTr="00560F89">
        <w:trPr>
          <w:trHeight w:val="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8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Sistema de Distribuição de Alta Tensão - SDAT. </w:t>
            </w:r>
          </w:p>
        </w:tc>
      </w:tr>
      <w:tr w:rsidR="00142416" w:rsidRPr="00BB3DD0" w:rsidTr="00560F89">
        <w:trPr>
          <w:trHeight w:val="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Catu, Estado da Bahia.</w:t>
            </w:r>
          </w:p>
        </w:tc>
      </w:tr>
      <w:tr w:rsidR="00142416" w:rsidRPr="00BB3DD0" w:rsidTr="00560F89">
        <w:trPr>
          <w:trHeight w:val="1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Novembro/2015.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125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54</w:t>
            </w:r>
          </w:p>
        </w:tc>
      </w:tr>
      <w:tr w:rsidR="00142416" w:rsidRPr="00BB3DD0" w:rsidTr="00560F89">
        <w:trPr>
          <w:trHeight w:val="1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11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Coletora Igaporã - Guanambi.       </w:t>
            </w:r>
          </w:p>
        </w:tc>
      </w:tr>
      <w:tr w:rsidR="00142416" w:rsidRPr="00BB3DD0" w:rsidTr="00560F89">
        <w:trPr>
          <w:trHeight w:val="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de 29,02 km de Linha de Distribuição em Alta Tensão,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>, 636 MCM, Circuito Simples, com Cabo Para-Raios.</w:t>
            </w:r>
          </w:p>
        </w:tc>
      </w:tr>
      <w:tr w:rsidR="00142416" w:rsidRPr="00BB3DD0" w:rsidTr="00560F89">
        <w:trPr>
          <w:trHeight w:val="1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12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560F89">
        <w:trPr>
          <w:trHeight w:val="1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10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Guanambi,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Outubro/2015.</w:t>
            </w:r>
          </w:p>
        </w:tc>
      </w:tr>
    </w:tbl>
    <w:p w:rsidR="00560F89" w:rsidRDefault="00560F89" w:rsidP="00142416">
      <w:pPr>
        <w:rPr>
          <w:rFonts w:ascii="Arial" w:hAnsi="Arial" w:cs="Arial"/>
          <w:sz w:val="16"/>
          <w:szCs w:val="16"/>
        </w:rPr>
      </w:pPr>
    </w:p>
    <w:p w:rsidR="00560F89" w:rsidRDefault="00560F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55</w:t>
            </w:r>
          </w:p>
        </w:tc>
      </w:tr>
      <w:tr w:rsidR="00142416" w:rsidRPr="00BB3DD0" w:rsidTr="00560F89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Barra - Ampliação 18,75 MVA.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50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Instalação de um Transformador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69/34,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5 kV, 10/12,5 MVA, com LTC, disponível, Conexão 69 kV com Disjuntor, instalação de Banco de Reguladores de 200 A/ 13,8 kV, construção da Segunda Saída de Linha em 13,8 kV e adequação da Primeira.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Barra,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Dezembro/2014.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83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56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9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CD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 </w:t>
            </w:r>
            <w:proofErr w:type="spellStart"/>
            <w:r w:rsidRPr="00BB3DD0">
              <w:rPr>
                <w:rFonts w:ascii="Arial" w:hAnsi="Arial" w:cs="Arial"/>
              </w:rPr>
              <w:t>Deriv</w:t>
            </w:r>
            <w:proofErr w:type="spellEnd"/>
            <w:r w:rsidRPr="00BB3DD0">
              <w:rPr>
                <w:rFonts w:ascii="Arial" w:hAnsi="Arial" w:cs="Arial"/>
              </w:rPr>
              <w:t xml:space="preserve"> </w:t>
            </w:r>
            <w:proofErr w:type="spellStart"/>
            <w:r w:rsidRPr="00BB3DD0">
              <w:rPr>
                <w:rFonts w:ascii="Arial" w:hAnsi="Arial" w:cs="Arial"/>
              </w:rPr>
              <w:t>Copec</w:t>
            </w:r>
            <w:proofErr w:type="spellEnd"/>
            <w:r w:rsidRPr="00BB3DD0">
              <w:rPr>
                <w:rFonts w:ascii="Arial" w:hAnsi="Arial" w:cs="Arial"/>
              </w:rPr>
              <w:t>/</w:t>
            </w:r>
            <w:proofErr w:type="spellStart"/>
            <w:r w:rsidRPr="00BB3DD0">
              <w:rPr>
                <w:rFonts w:ascii="Arial" w:hAnsi="Arial" w:cs="Arial"/>
              </w:rPr>
              <w:t>Cam</w:t>
            </w:r>
            <w:proofErr w:type="spellEnd"/>
            <w:r w:rsidRPr="00BB3DD0">
              <w:rPr>
                <w:rFonts w:ascii="Arial" w:hAnsi="Arial" w:cs="Arial"/>
              </w:rPr>
              <w:t xml:space="preserve"> III - </w:t>
            </w:r>
            <w:proofErr w:type="spellStart"/>
            <w:r w:rsidRPr="00BB3DD0">
              <w:rPr>
                <w:rFonts w:ascii="Arial" w:hAnsi="Arial" w:cs="Arial"/>
              </w:rPr>
              <w:t>Elekeiroz</w:t>
            </w:r>
            <w:proofErr w:type="spellEnd"/>
            <w:r w:rsidRPr="00BB3DD0">
              <w:rPr>
                <w:rFonts w:ascii="Arial" w:hAnsi="Arial" w:cs="Arial"/>
              </w:rPr>
              <w:t>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21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aproximadamente um quilômetro e quinhentos metros de Linha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Circuito Duplo, sem Cabo Para- Raios, Cabo 336,4 MCM e instalação de duas chaves Seccionadoras Tripolares 69 kV.</w:t>
            </w:r>
          </w:p>
        </w:tc>
      </w:tr>
      <w:tr w:rsidR="00142416" w:rsidRPr="00BB3DD0" w:rsidTr="00560F89">
        <w:trPr>
          <w:trHeight w:val="1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560F89">
        <w:trPr>
          <w:trHeight w:val="1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Camaçari,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Novembro/2015.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61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57</w:t>
            </w:r>
          </w:p>
        </w:tc>
      </w:tr>
      <w:tr w:rsidR="00142416" w:rsidRPr="00BB3DD0" w:rsidTr="00560F89">
        <w:trPr>
          <w:trHeight w:val="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5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Rio das Pedras - CIC (relocação DNIT).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19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Realocação da Linha de Distribuição de Alta Tensão 138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Rio das Pedras - Centro Industrial de Cerrado para atendimento ao DNIT.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10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Sistema de Distribuição de Alta Tensão - SDAT. </w:t>
            </w:r>
          </w:p>
        </w:tc>
      </w:tr>
      <w:tr w:rsidR="00142416" w:rsidRPr="00BB3DD0" w:rsidTr="00560F89">
        <w:trPr>
          <w:trHeight w:val="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Luis Eduardo Magalhães, Estado da Bahia.</w:t>
            </w:r>
          </w:p>
        </w:tc>
      </w:tr>
      <w:tr w:rsidR="00142416" w:rsidRPr="00BB3DD0" w:rsidTr="00560F89">
        <w:trPr>
          <w:trHeight w:val="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9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Novembro/2014.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167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58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Aquisição Transformador de Força Móvel </w:t>
            </w:r>
            <w:proofErr w:type="gramStart"/>
            <w:r w:rsidRPr="00BB3DD0">
              <w:rPr>
                <w:rFonts w:ascii="Arial" w:hAnsi="Arial" w:cs="Arial"/>
              </w:rPr>
              <w:t>138/69/34,</w:t>
            </w:r>
            <w:proofErr w:type="gramEnd"/>
            <w:r w:rsidRPr="00BB3DD0">
              <w:rPr>
                <w:rFonts w:ascii="Arial" w:hAnsi="Arial" w:cs="Arial"/>
              </w:rPr>
              <w:t>5/13,8 kV.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1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Aquisição de Transformador de Força Móvel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138/69/34,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5/13,8 kV 20 MVA, para utilização de atendimento em ocorrências emergenciais de falha de Transformadores de Força, Serviços Programados de manutenção e Obras de Ampliações de Subestações.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1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Barreiras,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Julho/2016.</w:t>
            </w:r>
          </w:p>
        </w:tc>
      </w:tr>
    </w:tbl>
    <w:p w:rsidR="00560F89" w:rsidRDefault="00560F89" w:rsidP="00142416">
      <w:pPr>
        <w:rPr>
          <w:rFonts w:ascii="Arial" w:hAnsi="Arial" w:cs="Arial"/>
          <w:sz w:val="4"/>
          <w:szCs w:val="4"/>
        </w:rPr>
      </w:pPr>
    </w:p>
    <w:p w:rsidR="00560F89" w:rsidRDefault="00560F89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47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59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Aquisição Transformador de Força Móvel </w:t>
            </w:r>
            <w:proofErr w:type="gramStart"/>
            <w:r w:rsidRPr="00BB3DD0">
              <w:rPr>
                <w:rFonts w:ascii="Arial" w:hAnsi="Arial" w:cs="Arial"/>
              </w:rPr>
              <w:t>138/69/13,</w:t>
            </w:r>
            <w:proofErr w:type="gramEnd"/>
            <w:r w:rsidRPr="00BB3DD0">
              <w:rPr>
                <w:rFonts w:ascii="Arial" w:hAnsi="Arial" w:cs="Arial"/>
              </w:rPr>
              <w:t>8 kV.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45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Aquisição de Transformador de Força Móvel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138/69/13,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8 kV 20 MVA, para utilização de atendimento em ocorrências emergenciais de falha de Transformadores de Força, Serviços Programados de Manutenção e Obras de Ampliações de Subestações.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Municípios de Itabuna e Vitória da Conquista,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Janeiro/2016.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60</w:t>
            </w:r>
          </w:p>
        </w:tc>
      </w:tr>
      <w:tr w:rsidR="00142416" w:rsidRPr="00BB3DD0" w:rsidTr="00560F89">
        <w:trPr>
          <w:trHeight w:val="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17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Aquisição Transformador de Força Móvel 69/34/13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12,5 MVA.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2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>Aquisição de Transformador de Força Móvel 69/34/13KV 12,5MVA, para utilização de atendimento em ocorrências emergenciais de falha de Transformadores de Força, Serviços Programados de Manutenção e Obras de Ampliações de Subestações.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10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Eunápolis,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Julho/2016.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61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LPN_EMRM - Substituição de Transformador de Força 02T1.</w:t>
            </w:r>
          </w:p>
        </w:tc>
      </w:tr>
      <w:tr w:rsidR="00142416" w:rsidRPr="00BB3DD0" w:rsidTr="00560F89">
        <w:trPr>
          <w:trHeight w:val="1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15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B3DD0">
              <w:rPr>
                <w:rFonts w:ascii="Arial" w:hAnsi="Arial" w:cs="Arial"/>
                <w:sz w:val="21"/>
                <w:szCs w:val="21"/>
              </w:rPr>
              <w:t xml:space="preserve">Substituição de Transformador de Força, 26,6 MVA, </w:t>
            </w:r>
            <w:proofErr w:type="gramStart"/>
            <w:r w:rsidRPr="00BB3DD0">
              <w:rPr>
                <w:rFonts w:ascii="Arial" w:hAnsi="Arial" w:cs="Arial"/>
                <w:sz w:val="21"/>
                <w:szCs w:val="21"/>
              </w:rPr>
              <w:t>69/11,</w:t>
            </w:r>
            <w:proofErr w:type="gramEnd"/>
            <w:r w:rsidRPr="00BB3DD0">
              <w:rPr>
                <w:rFonts w:ascii="Arial" w:hAnsi="Arial" w:cs="Arial"/>
                <w:sz w:val="21"/>
                <w:szCs w:val="21"/>
              </w:rPr>
              <w:t>9 kV, as Subestação Lapinha, devido a fim de vida útil.</w:t>
            </w:r>
          </w:p>
        </w:tc>
      </w:tr>
      <w:tr w:rsidR="00142416" w:rsidRPr="00BB3DD0" w:rsidTr="00560F89">
        <w:trPr>
          <w:trHeight w:val="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8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Março/2015.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83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62</w:t>
            </w:r>
          </w:p>
        </w:tc>
      </w:tr>
      <w:tr w:rsidR="00142416" w:rsidRPr="00BB3DD0" w:rsidTr="00560F89">
        <w:trPr>
          <w:trHeight w:val="8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9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LPN_EMRM - Substituição de Transformador de Força 02T2.</w:t>
            </w:r>
          </w:p>
        </w:tc>
      </w:tr>
      <w:tr w:rsidR="00142416" w:rsidRPr="00BB3DD0" w:rsidTr="00560F89">
        <w:trPr>
          <w:trHeight w:val="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68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B3DD0">
              <w:rPr>
                <w:rFonts w:ascii="Arial" w:hAnsi="Arial" w:cs="Arial"/>
                <w:sz w:val="21"/>
                <w:szCs w:val="21"/>
              </w:rPr>
              <w:t xml:space="preserve">Substituição de Transformador de Força, 26,6 MVA, </w:t>
            </w:r>
            <w:proofErr w:type="gramStart"/>
            <w:r w:rsidRPr="00BB3DD0">
              <w:rPr>
                <w:rFonts w:ascii="Arial" w:hAnsi="Arial" w:cs="Arial"/>
                <w:sz w:val="21"/>
                <w:szCs w:val="21"/>
              </w:rPr>
              <w:t>69/11,</w:t>
            </w:r>
            <w:proofErr w:type="gramEnd"/>
            <w:r w:rsidRPr="00BB3DD0">
              <w:rPr>
                <w:rFonts w:ascii="Arial" w:hAnsi="Arial" w:cs="Arial"/>
                <w:sz w:val="21"/>
                <w:szCs w:val="21"/>
              </w:rPr>
              <w:t>9 kV, as Subestação Lapinha, devido a fim de vida útil.</w:t>
            </w:r>
          </w:p>
        </w:tc>
      </w:tr>
      <w:tr w:rsidR="00142416" w:rsidRPr="00BB3DD0" w:rsidTr="00560F89">
        <w:trPr>
          <w:trHeight w:val="1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12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118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560F89">
        <w:trPr>
          <w:trHeight w:val="1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25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Dezembro/2014.</w:t>
            </w:r>
          </w:p>
        </w:tc>
      </w:tr>
    </w:tbl>
    <w:p w:rsidR="00560F89" w:rsidRDefault="00560F89" w:rsidP="00142416">
      <w:pPr>
        <w:rPr>
          <w:rFonts w:ascii="Arial" w:hAnsi="Arial" w:cs="Arial"/>
          <w:sz w:val="16"/>
          <w:szCs w:val="16"/>
        </w:rPr>
      </w:pPr>
    </w:p>
    <w:p w:rsidR="00560F89" w:rsidRDefault="00560F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BB3DD0">
              <w:rPr>
                <w:rFonts w:ascii="Arial" w:hAnsi="Arial" w:cs="Arial"/>
                <w:bCs/>
              </w:rPr>
              <w:t>PROJETO 63</w:t>
            </w:r>
          </w:p>
        </w:tc>
      </w:tr>
      <w:tr w:rsidR="00142416" w:rsidRPr="00BB3DD0" w:rsidTr="00560F89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22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Conexão de Transformador de Força G/CMU Substituição das Estruturas 41, 42, 43, 44.</w:t>
            </w:r>
          </w:p>
        </w:tc>
      </w:tr>
      <w:tr w:rsidR="00142416" w:rsidRPr="00BB3DD0" w:rsidTr="00560F89">
        <w:trPr>
          <w:trHeight w:val="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23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Substituição das Estruturas 41, 42, 43 e 44 da Linha de Distribuição de Alta Tensão,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Cotegipe - Camaçari I, devido a fim de vida útil.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13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Sistema de Distribuição de Alta Tensão - SDAT. </w:t>
            </w:r>
          </w:p>
        </w:tc>
      </w:tr>
      <w:tr w:rsidR="00142416" w:rsidRPr="00BB3DD0" w:rsidTr="00560F89">
        <w:trPr>
          <w:trHeight w:val="1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12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Agosto/2016.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6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64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6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Santo Antônio de Jesus - 3</w:t>
            </w:r>
            <w:r w:rsidRPr="00BB3DD0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B3DD0">
              <w:rPr>
                <w:rFonts w:ascii="Arial" w:hAnsi="Arial" w:cs="Arial"/>
              </w:rPr>
              <w:t xml:space="preserve"> Transformador de Força </w:t>
            </w:r>
            <w:proofErr w:type="gramStart"/>
            <w:r w:rsidRPr="00BB3DD0">
              <w:rPr>
                <w:rFonts w:ascii="Arial" w:hAnsi="Arial" w:cs="Arial"/>
              </w:rPr>
              <w:t>69/13,</w:t>
            </w:r>
            <w:proofErr w:type="gramEnd"/>
            <w:r w:rsidRPr="00BB3DD0">
              <w:rPr>
                <w:rFonts w:ascii="Arial" w:hAnsi="Arial" w:cs="Arial"/>
              </w:rPr>
              <w:t>8 kV.</w:t>
            </w:r>
          </w:p>
        </w:tc>
      </w:tr>
      <w:tr w:rsidR="00142416" w:rsidRPr="00BB3DD0" w:rsidTr="00560F89">
        <w:trPr>
          <w:trHeight w:val="1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5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Ampliação da Subestação Santo Antônio de Jesus, </w:t>
            </w:r>
            <w:proofErr w:type="gramStart"/>
            <w:r w:rsidRPr="00BB3DD0">
              <w:rPr>
                <w:rFonts w:ascii="Arial" w:hAnsi="Arial" w:cs="Arial"/>
              </w:rPr>
              <w:t>69/13,</w:t>
            </w:r>
            <w:proofErr w:type="gramEnd"/>
            <w:r w:rsidRPr="00BB3DD0">
              <w:rPr>
                <w:rFonts w:ascii="Arial" w:hAnsi="Arial" w:cs="Arial"/>
              </w:rPr>
              <w:t>8 kV, 10/12,5 MVA.</w:t>
            </w:r>
          </w:p>
        </w:tc>
      </w:tr>
      <w:tr w:rsidR="00142416" w:rsidRPr="00BB3DD0" w:rsidTr="00560F89">
        <w:trPr>
          <w:trHeight w:val="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5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18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Santo Antônio de Jesus, Estado da Bahia.</w:t>
            </w:r>
          </w:p>
        </w:tc>
      </w:tr>
      <w:tr w:rsidR="00142416" w:rsidRPr="00BB3DD0" w:rsidTr="00560F89">
        <w:trPr>
          <w:trHeight w:val="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Junho/2015.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271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65</w:t>
            </w:r>
          </w:p>
        </w:tc>
      </w:tr>
      <w:tr w:rsidR="00142416" w:rsidRPr="00BB3DD0" w:rsidTr="00560F89">
        <w:trPr>
          <w:trHeight w:val="1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PPE - 5</w:t>
            </w:r>
            <w:r w:rsidRPr="00BB3DD0">
              <w:rPr>
                <w:rFonts w:ascii="Arial" w:hAnsi="Arial" w:cs="Arial"/>
                <w:u w:val="single"/>
                <w:vertAlign w:val="superscript"/>
              </w:rPr>
              <w:t>a</w:t>
            </w:r>
            <w:r w:rsidRPr="00BB3DD0">
              <w:rPr>
                <w:rFonts w:ascii="Arial" w:hAnsi="Arial" w:cs="Arial"/>
              </w:rPr>
              <w:t xml:space="preserve"> e 6</w:t>
            </w:r>
            <w:r w:rsidRPr="00BB3DD0">
              <w:rPr>
                <w:rFonts w:ascii="Arial" w:hAnsi="Arial" w:cs="Arial"/>
                <w:u w:val="single"/>
                <w:vertAlign w:val="superscript"/>
              </w:rPr>
              <w:t>a</w:t>
            </w:r>
            <w:r w:rsidRPr="00BB3DD0">
              <w:rPr>
                <w:rFonts w:ascii="Arial" w:hAnsi="Arial" w:cs="Arial"/>
              </w:rPr>
              <w:t xml:space="preserve"> Entradas de Linha 13,8 kV.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51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Instalação de um Transformador 25 MVA, reconstrução do Barramento de 13,8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, construção da quinta e sexta Saídas em 13,8 kV com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Religador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>, instalação de Disjuntor 13,8 kV para a Conexão do Banco de Capacitores, construção das Conexões em 69 e 13,8 kV dos Transformadores de Força.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1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164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Junho/2017.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111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66</w:t>
            </w:r>
          </w:p>
        </w:tc>
      </w:tr>
      <w:tr w:rsidR="00142416" w:rsidRPr="00BB3DD0" w:rsidTr="00560F89">
        <w:trPr>
          <w:trHeight w:val="1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9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Riachão das Neves - Adequação.</w:t>
            </w:r>
          </w:p>
        </w:tc>
      </w:tr>
      <w:tr w:rsidR="00142416" w:rsidRPr="00BB3DD0" w:rsidTr="00560F89">
        <w:trPr>
          <w:trHeight w:val="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24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Instalação de Chaves Seccionadoras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construção da Base do Segundo Autotransformador e Geral do 34,5 kV do mesmo e Ligação do Reator de 13,8 kV.</w:t>
            </w:r>
          </w:p>
        </w:tc>
      </w:tr>
      <w:tr w:rsidR="00142416" w:rsidRPr="00BB3DD0" w:rsidTr="00560F89">
        <w:trPr>
          <w:trHeight w:val="1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Riachão das Neves, Estado da Bahia.</w:t>
            </w:r>
          </w:p>
        </w:tc>
      </w:tr>
      <w:tr w:rsidR="00142416" w:rsidRPr="00BB3DD0" w:rsidTr="00560F89">
        <w:trPr>
          <w:trHeight w:val="1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14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Dezembro/2014.</w:t>
            </w:r>
          </w:p>
        </w:tc>
      </w:tr>
    </w:tbl>
    <w:p w:rsidR="00560F89" w:rsidRDefault="00560F89">
      <w:pPr>
        <w:rPr>
          <w:rFonts w:ascii="Arial" w:hAnsi="Arial" w:cs="Arial"/>
          <w:sz w:val="16"/>
          <w:szCs w:val="16"/>
        </w:rPr>
      </w:pPr>
    </w:p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lastRenderedPageBreak/>
              <w:t>PROJETO 67</w:t>
            </w:r>
          </w:p>
        </w:tc>
      </w:tr>
      <w:tr w:rsidR="00142416" w:rsidRPr="00BB3DD0" w:rsidTr="00560F89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Entrada </w:t>
            </w:r>
            <w:proofErr w:type="spellStart"/>
            <w:r w:rsidRPr="00BB3DD0">
              <w:rPr>
                <w:rFonts w:ascii="Arial" w:hAnsi="Arial" w:cs="Arial"/>
              </w:rPr>
              <w:t>Ibicoara</w:t>
            </w:r>
            <w:proofErr w:type="spellEnd"/>
            <w:r w:rsidRPr="00BB3DD0">
              <w:rPr>
                <w:rFonts w:ascii="Arial" w:hAnsi="Arial" w:cs="Arial"/>
              </w:rPr>
              <w:t>/Brumado - BRD II.</w:t>
            </w:r>
          </w:p>
        </w:tc>
      </w:tr>
      <w:tr w:rsidR="00142416" w:rsidRPr="00BB3DD0" w:rsidTr="00560F89">
        <w:trPr>
          <w:trHeight w:val="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21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um quilômetro de Linha em 138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em Estruturas Metálicas, Circuito Duplo, Cabo ACSR 336.4 MCM, com Cabo Para-Raios.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12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Sistema de Distribuição de Alta Tensão - SDAT. </w:t>
            </w:r>
          </w:p>
        </w:tc>
      </w:tr>
      <w:tr w:rsidR="00142416" w:rsidRPr="00BB3DD0" w:rsidTr="00560F89">
        <w:trPr>
          <w:trHeight w:val="1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Brumado, Estado da Bahia.</w:t>
            </w:r>
          </w:p>
        </w:tc>
      </w:tr>
      <w:tr w:rsidR="00142416" w:rsidRPr="00BB3DD0" w:rsidTr="00560F89">
        <w:trPr>
          <w:trHeight w:val="1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11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Novembro/2014.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66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68</w:t>
            </w:r>
          </w:p>
        </w:tc>
      </w:tr>
      <w:tr w:rsidR="00142416" w:rsidRPr="00BB3DD0" w:rsidTr="00560F89">
        <w:trPr>
          <w:trHeight w:val="1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6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CPC - CMT (Reconstrução).</w:t>
            </w:r>
          </w:p>
        </w:tc>
      </w:tr>
      <w:tr w:rsidR="00142416" w:rsidRPr="00BB3DD0" w:rsidTr="00560F89">
        <w:trPr>
          <w:trHeight w:val="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19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Recapacitação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 xml:space="preserve"> de aproximadamente dez quilômetros de Linha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Circuito Duplo, do Cabo 336,4 MCM para Cabo 636 MCM, sem Cabo Para-Raios.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9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560F89">
        <w:trPr>
          <w:trHeight w:val="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Camaçari, Estado da Bahia.</w:t>
            </w:r>
          </w:p>
        </w:tc>
      </w:tr>
      <w:tr w:rsidR="00142416" w:rsidRPr="00BB3DD0" w:rsidTr="00560F89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17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69</w:t>
            </w:r>
          </w:p>
        </w:tc>
      </w:tr>
      <w:tr w:rsidR="00142416" w:rsidRPr="00BB3DD0" w:rsidTr="00560F89">
        <w:trPr>
          <w:trHeight w:val="1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166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São Roque - Ampliação </w:t>
            </w:r>
            <w:proofErr w:type="gramStart"/>
            <w:r w:rsidRPr="00BB3DD0">
              <w:rPr>
                <w:rFonts w:ascii="Arial" w:hAnsi="Arial" w:cs="Arial"/>
              </w:rPr>
              <w:t>69/13,</w:t>
            </w:r>
            <w:proofErr w:type="gramEnd"/>
            <w:r w:rsidRPr="00BB3DD0">
              <w:rPr>
                <w:rFonts w:ascii="Arial" w:hAnsi="Arial" w:cs="Arial"/>
              </w:rPr>
              <w:t>8 kV.</w:t>
            </w:r>
          </w:p>
        </w:tc>
      </w:tr>
      <w:tr w:rsidR="00142416" w:rsidRPr="00BB3DD0" w:rsidTr="00560F89">
        <w:trPr>
          <w:trHeight w:val="1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Ampliação da Subestação de São Roque com substituição do Transformador de Força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8 kV, 5 MVA, por um Transformador de 10/12,5 MVA.</w:t>
            </w:r>
          </w:p>
        </w:tc>
      </w:tr>
      <w:tr w:rsidR="00142416" w:rsidRPr="00BB3DD0" w:rsidTr="00560F89">
        <w:trPr>
          <w:trHeight w:val="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7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6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Maragogipe, Estado da Bahia.</w:t>
            </w:r>
          </w:p>
        </w:tc>
      </w:tr>
      <w:tr w:rsidR="00142416" w:rsidRPr="00BB3DD0" w:rsidTr="00560F89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5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Dezembro/2014.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277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70</w:t>
            </w:r>
          </w:p>
        </w:tc>
      </w:tr>
      <w:tr w:rsidR="00142416" w:rsidRPr="00BB3DD0" w:rsidTr="00560F89">
        <w:trPr>
          <w:trHeight w:val="1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Casa Nova - Ampliação 13,8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e 4ª Entrada de Linha 13,8</w:t>
            </w:r>
          </w:p>
        </w:tc>
      </w:tr>
      <w:tr w:rsidR="00142416" w:rsidRPr="00BB3DD0" w:rsidTr="00560F89">
        <w:trPr>
          <w:trHeight w:val="1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9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Substituição do Transformador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8  kV, 5/6,25  MVA, por um de 10/12,5  MVA, com LTC, e construção da quarta Saída de Linha em 13,8 kV.</w:t>
            </w:r>
          </w:p>
        </w:tc>
      </w:tr>
      <w:tr w:rsidR="00142416" w:rsidRPr="00BB3DD0" w:rsidTr="00560F89">
        <w:trPr>
          <w:trHeight w:val="1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271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Casa Nova, Estado da Bahia.</w:t>
            </w:r>
          </w:p>
        </w:tc>
      </w:tr>
      <w:tr w:rsidR="00142416" w:rsidRPr="00BB3DD0" w:rsidTr="00560F89">
        <w:trPr>
          <w:trHeight w:val="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12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Abril/2015.</w:t>
            </w:r>
          </w:p>
        </w:tc>
      </w:tr>
    </w:tbl>
    <w:p w:rsidR="00560F89" w:rsidRDefault="00560F89" w:rsidP="00142416">
      <w:pPr>
        <w:rPr>
          <w:rFonts w:ascii="Arial" w:hAnsi="Arial" w:cs="Arial"/>
          <w:sz w:val="16"/>
          <w:szCs w:val="16"/>
        </w:rPr>
      </w:pPr>
    </w:p>
    <w:p w:rsidR="00560F89" w:rsidRDefault="00560F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42416" w:rsidRPr="00BB3DD0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71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Iramaia - Construção.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da Subestação Iramaia, </w:t>
            </w:r>
            <w:proofErr w:type="gramStart"/>
            <w:r w:rsidRPr="00BB3DD0">
              <w:rPr>
                <w:rFonts w:ascii="Arial" w:hAnsi="Arial" w:cs="Arial"/>
              </w:rPr>
              <w:t>69/34,</w:t>
            </w:r>
            <w:proofErr w:type="gramEnd"/>
            <w:r w:rsidRPr="00BB3DD0">
              <w:rPr>
                <w:rFonts w:ascii="Arial" w:hAnsi="Arial" w:cs="Arial"/>
              </w:rPr>
              <w:t>5kV, 26,6 MVA, com LTC.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Iramaia, Estado da Bahia.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Junho/2017.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72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 Subterrânea </w:t>
            </w:r>
            <w:proofErr w:type="spellStart"/>
            <w:r w:rsidRPr="00BB3DD0">
              <w:rPr>
                <w:rFonts w:ascii="Arial" w:hAnsi="Arial" w:cs="Arial"/>
              </w:rPr>
              <w:t>Matatu</w:t>
            </w:r>
            <w:proofErr w:type="spellEnd"/>
            <w:r w:rsidRPr="00BB3DD0">
              <w:rPr>
                <w:rFonts w:ascii="Arial" w:hAnsi="Arial" w:cs="Arial"/>
              </w:rPr>
              <w:t xml:space="preserve"> - Fonte Nova (Cross </w:t>
            </w:r>
            <w:proofErr w:type="spellStart"/>
            <w:r w:rsidRPr="00BB3DD0">
              <w:rPr>
                <w:rFonts w:ascii="Arial" w:hAnsi="Arial" w:cs="Arial"/>
              </w:rPr>
              <w:t>Bonding</w:t>
            </w:r>
            <w:proofErr w:type="spellEnd"/>
            <w:r w:rsidRPr="00BB3DD0">
              <w:rPr>
                <w:rFonts w:ascii="Arial" w:hAnsi="Arial" w:cs="Arial"/>
              </w:rPr>
              <w:t>).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Adequação do Aterramento e Blindagem da Linha de Distribuição em Alta Tensão, Subterrânea,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, </w:t>
            </w:r>
            <w:proofErr w:type="spellStart"/>
            <w:r w:rsidRPr="00BB3DD0">
              <w:rPr>
                <w:rFonts w:ascii="Arial" w:hAnsi="Arial" w:cs="Arial"/>
              </w:rPr>
              <w:t>Matatu</w:t>
            </w:r>
            <w:proofErr w:type="spellEnd"/>
            <w:r w:rsidRPr="00BB3DD0">
              <w:rPr>
                <w:rFonts w:ascii="Arial" w:hAnsi="Arial" w:cs="Arial"/>
              </w:rPr>
              <w:t xml:space="preserve"> - Fonte Nova, 3.2 km, cabo isolado.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Abril/2015.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73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CJD - 9</w:t>
            </w:r>
            <w:r w:rsidRPr="00BB3DD0">
              <w:rPr>
                <w:rFonts w:ascii="Arial" w:hAnsi="Arial" w:cs="Arial"/>
                <w:u w:val="single"/>
                <w:vertAlign w:val="superscript"/>
              </w:rPr>
              <w:t>a</w:t>
            </w:r>
            <w:r w:rsidRPr="00BB3DD0">
              <w:rPr>
                <w:rFonts w:ascii="Arial" w:hAnsi="Arial" w:cs="Arial"/>
              </w:rPr>
              <w:t xml:space="preserve"> e 10</w:t>
            </w:r>
            <w:r w:rsidRPr="00BB3DD0">
              <w:rPr>
                <w:rFonts w:ascii="Arial" w:hAnsi="Arial" w:cs="Arial"/>
                <w:u w:val="single"/>
                <w:vertAlign w:val="superscript"/>
              </w:rPr>
              <w:t>a</w:t>
            </w:r>
            <w:r w:rsidRPr="00BB3DD0">
              <w:rPr>
                <w:rFonts w:ascii="Arial" w:hAnsi="Arial" w:cs="Arial"/>
              </w:rPr>
              <w:t xml:space="preserve"> Entradas de Linha 11,95 kV.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da nona e décima Entradas de Linha em 11,9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>, com Disjuntores.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Julho/2016.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211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74</w:t>
            </w:r>
          </w:p>
        </w:tc>
      </w:tr>
      <w:tr w:rsidR="00142416" w:rsidRPr="00BB3DD0" w:rsidTr="00560F89">
        <w:trPr>
          <w:trHeight w:val="1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16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</w:t>
            </w:r>
            <w:proofErr w:type="spellStart"/>
            <w:r w:rsidRPr="00BB3DD0">
              <w:rPr>
                <w:rFonts w:ascii="Arial" w:hAnsi="Arial" w:cs="Arial"/>
              </w:rPr>
              <w:t>Mucugê</w:t>
            </w:r>
            <w:proofErr w:type="spellEnd"/>
            <w:r w:rsidRPr="00BB3DD0">
              <w:rPr>
                <w:rFonts w:ascii="Arial" w:hAnsi="Arial" w:cs="Arial"/>
              </w:rPr>
              <w:t xml:space="preserve"> - </w:t>
            </w:r>
            <w:proofErr w:type="spellStart"/>
            <w:r w:rsidRPr="00BB3DD0">
              <w:rPr>
                <w:rFonts w:ascii="Arial" w:hAnsi="Arial" w:cs="Arial"/>
              </w:rPr>
              <w:t>Boninal</w:t>
            </w:r>
            <w:proofErr w:type="spellEnd"/>
            <w:r w:rsidRPr="00BB3DD0">
              <w:rPr>
                <w:rFonts w:ascii="Arial" w:hAnsi="Arial" w:cs="Arial"/>
              </w:rPr>
              <w:t xml:space="preserve"> II.</w:t>
            </w:r>
          </w:p>
        </w:tc>
      </w:tr>
      <w:tr w:rsidR="00142416" w:rsidRPr="00BB3DD0" w:rsidTr="00560F89">
        <w:trPr>
          <w:trHeight w:val="1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8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de uma Linha em 138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>, 636 MCM, Cabo Para-Raios, com cerca de setenta e seis quilômetros de extensão.</w:t>
            </w:r>
          </w:p>
        </w:tc>
      </w:tr>
      <w:tr w:rsidR="00142416" w:rsidRPr="00BB3DD0" w:rsidTr="00560F89">
        <w:trPr>
          <w:trHeight w:val="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22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560F89">
        <w:trPr>
          <w:trHeight w:val="2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165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Município de </w:t>
            </w:r>
            <w:proofErr w:type="spellStart"/>
            <w:r w:rsidRPr="00BB3DD0">
              <w:rPr>
                <w:rFonts w:ascii="Arial" w:hAnsi="Arial" w:cs="Arial"/>
              </w:rPr>
              <w:t>Boninal</w:t>
            </w:r>
            <w:proofErr w:type="spellEnd"/>
            <w:r w:rsidRPr="00BB3DD0">
              <w:rPr>
                <w:rFonts w:ascii="Arial" w:hAnsi="Arial" w:cs="Arial"/>
              </w:rPr>
              <w:t>, Estado da Bahia.</w:t>
            </w:r>
          </w:p>
        </w:tc>
      </w:tr>
      <w:tr w:rsidR="00142416" w:rsidRPr="00BB3DD0" w:rsidTr="00560F89">
        <w:trPr>
          <w:trHeight w:val="1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8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Dezembro/2017.</w:t>
            </w:r>
          </w:p>
        </w:tc>
      </w:tr>
    </w:tbl>
    <w:p w:rsidR="00560F89" w:rsidRDefault="00560F89" w:rsidP="00142416">
      <w:pPr>
        <w:rPr>
          <w:rFonts w:ascii="Arial" w:hAnsi="Arial" w:cs="Arial"/>
          <w:sz w:val="4"/>
          <w:szCs w:val="4"/>
        </w:rPr>
      </w:pPr>
    </w:p>
    <w:p w:rsidR="00560F89" w:rsidRDefault="00560F89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75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color w:val="FF0000"/>
              </w:rPr>
            </w:pPr>
            <w:r w:rsidRPr="00BB3DD0">
              <w:rPr>
                <w:rFonts w:ascii="Arial" w:hAnsi="Arial" w:cs="Arial"/>
              </w:rPr>
              <w:t xml:space="preserve">Subestação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Taperoá - Construção (ANEEL).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Construção de uma Subestação com um Transformador de Força,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8 kV, 5/6,25 MVA com LTC (advindo de Tucano), Entrada de Linha 69 kV sem Disjunção, Saída de Linha 69 kV com Disjuntor, três Entradas de Linha em 13,8 kV com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Religadores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Taperoá, Estado da Bahia.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Junho/2017.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76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FDR - FNV Subterrânea Adequação Aterramento.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Complementação da adequação do Aterramento e Blindagem da Linha de Distribuição em Alta Tensão, Subterrânea,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Federação - Fonte Nova, três quilômetros e quatrocentos metros, Cabo Isolado.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Setembro/2016.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77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AMR - Entrada de Linha 69 kV (CIF).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Construção de uma Entrada de Linha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com Disjuntor.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1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12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Amélia Rodrigues, Estado da Bahia.</w:t>
            </w:r>
          </w:p>
        </w:tc>
      </w:tr>
      <w:tr w:rsidR="00142416" w:rsidRPr="00BB3DD0" w:rsidTr="00560F89">
        <w:trPr>
          <w:trHeight w:val="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12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217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78</w:t>
            </w:r>
          </w:p>
        </w:tc>
      </w:tr>
      <w:tr w:rsidR="00142416" w:rsidRPr="00BB3DD0" w:rsidTr="00560F89">
        <w:trPr>
          <w:trHeight w:val="2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230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IGD (Chesf) - Medição de Faturamento.    </w:t>
            </w:r>
          </w:p>
        </w:tc>
      </w:tr>
      <w:tr w:rsidR="00142416" w:rsidRPr="00BB3DD0" w:rsidTr="00560F89">
        <w:trPr>
          <w:trHeight w:val="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Instalação de Medição de Faturamento na Subestação Igaporã, 230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>, da CHESF.</w:t>
            </w:r>
            <w:r w:rsidRPr="00BB3DD0">
              <w:rPr>
                <w:rFonts w:ascii="Arial" w:hAnsi="Arial" w:cs="Arial"/>
              </w:rPr>
              <w:tab/>
            </w:r>
          </w:p>
        </w:tc>
      </w:tr>
      <w:tr w:rsidR="00142416" w:rsidRPr="00BB3DD0" w:rsidTr="00560F89">
        <w:trPr>
          <w:trHeight w:val="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Igaporã,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8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Outubro/2015.</w:t>
            </w:r>
          </w:p>
        </w:tc>
      </w:tr>
    </w:tbl>
    <w:p w:rsidR="00560F89" w:rsidRDefault="00560F89" w:rsidP="00142416">
      <w:pPr>
        <w:rPr>
          <w:rFonts w:ascii="Arial" w:hAnsi="Arial" w:cs="Arial"/>
          <w:sz w:val="16"/>
          <w:szCs w:val="16"/>
        </w:rPr>
      </w:pPr>
    </w:p>
    <w:p w:rsidR="00560F89" w:rsidRDefault="00560F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42416" w:rsidRPr="00560F89" w:rsidRDefault="00142416" w:rsidP="00142416">
      <w:pPr>
        <w:rPr>
          <w:rFonts w:ascii="Arial" w:hAnsi="Arial" w:cs="Arial"/>
          <w:sz w:val="16"/>
          <w:szCs w:val="1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89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79</w:t>
            </w:r>
          </w:p>
        </w:tc>
      </w:tr>
      <w:tr w:rsidR="00142416" w:rsidRPr="00BB3DD0" w:rsidTr="00560F89">
        <w:trPr>
          <w:trHeight w:val="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83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Linha de Distribuição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 xml:space="preserve"> </w:t>
            </w:r>
            <w:proofErr w:type="spellStart"/>
            <w:r w:rsidRPr="00BB3DD0">
              <w:rPr>
                <w:rFonts w:ascii="Arial" w:hAnsi="Arial" w:cs="Arial"/>
              </w:rPr>
              <w:t>Pituaçú</w:t>
            </w:r>
            <w:proofErr w:type="spellEnd"/>
            <w:r w:rsidRPr="00BB3DD0">
              <w:rPr>
                <w:rFonts w:ascii="Arial" w:hAnsi="Arial" w:cs="Arial"/>
              </w:rPr>
              <w:t xml:space="preserve"> - São Cristóvão - Relocação Shopping Paralela.</w:t>
            </w:r>
          </w:p>
        </w:tc>
      </w:tr>
      <w:tr w:rsidR="00142416" w:rsidRPr="00BB3DD0" w:rsidTr="00560F89">
        <w:trPr>
          <w:trHeight w:val="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21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Relocação de cem metros da Linha de Distribuição em Alta Tensão, 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Pituaçú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 xml:space="preserve"> - São Cristóvão,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para atendimento ao Shopping Paralela.</w:t>
            </w:r>
          </w:p>
        </w:tc>
      </w:tr>
      <w:tr w:rsidR="00142416" w:rsidRPr="00BB3DD0" w:rsidTr="00560F89">
        <w:trPr>
          <w:trHeight w:val="1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12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Salvador,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Novembro/2015.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80</w:t>
            </w:r>
          </w:p>
        </w:tc>
      </w:tr>
      <w:tr w:rsidR="00142416" w:rsidRPr="00BB3DD0" w:rsidTr="00560F89">
        <w:trPr>
          <w:trHeight w:val="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6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Subestação CIU_OSMT- </w:t>
            </w:r>
            <w:proofErr w:type="gramStart"/>
            <w:r w:rsidRPr="00BB3DD0">
              <w:rPr>
                <w:rFonts w:ascii="Arial" w:hAnsi="Arial" w:cs="Arial"/>
              </w:rPr>
              <w:t>Instalação Transformador de Força</w:t>
            </w:r>
            <w:proofErr w:type="gramEnd"/>
            <w:r w:rsidRPr="00BB3DD0">
              <w:rPr>
                <w:rFonts w:ascii="Arial" w:hAnsi="Arial" w:cs="Arial"/>
              </w:rPr>
              <w:t>.</w:t>
            </w:r>
          </w:p>
        </w:tc>
      </w:tr>
      <w:tr w:rsidR="00142416" w:rsidRPr="00BB3DD0" w:rsidTr="00560F89">
        <w:trPr>
          <w:trHeight w:val="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37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B3DD0">
              <w:rPr>
                <w:rFonts w:ascii="Arial" w:hAnsi="Arial" w:cs="Arial"/>
                <w:sz w:val="21"/>
                <w:szCs w:val="21"/>
              </w:rPr>
              <w:t xml:space="preserve">Substituição de Transformador de Força, 26,6 MVA, </w:t>
            </w:r>
            <w:proofErr w:type="gramStart"/>
            <w:r w:rsidRPr="00BB3DD0">
              <w:rPr>
                <w:rFonts w:ascii="Arial" w:hAnsi="Arial" w:cs="Arial"/>
                <w:sz w:val="21"/>
                <w:szCs w:val="21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1"/>
                <w:szCs w:val="21"/>
              </w:rPr>
              <w:t>8kV, na Subestação CIA I, devido a fim de vida útil.</w:t>
            </w:r>
          </w:p>
        </w:tc>
      </w:tr>
      <w:tr w:rsidR="00142416" w:rsidRPr="00BB3DD0" w:rsidTr="00560F89">
        <w:trPr>
          <w:trHeight w:val="1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12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1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Simões Filho, Estado da Bahia.</w:t>
            </w:r>
          </w:p>
        </w:tc>
      </w:tr>
      <w:tr w:rsidR="00142416" w:rsidRPr="00BB3DD0" w:rsidTr="00560F89">
        <w:trPr>
          <w:trHeight w:val="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42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Setembro/2016.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55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81</w:t>
            </w:r>
          </w:p>
        </w:tc>
      </w:tr>
      <w:tr w:rsidR="00142416" w:rsidRPr="00BB3DD0" w:rsidTr="00560F89">
        <w:trPr>
          <w:trHeight w:val="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SAM_EMRC- Instalação de Transformador de Força 10/12MVA 02T2.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Substituição de Transformador de Força, 26,6 MVA,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69/13,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8 kV, na Subestação Santo Amaro, devido a fim de vida útil.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Santo Amaro, Estado da Bahia.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Setembro/2016.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82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SAM_EMRC - Instalação de Transformador de Força 10/12MVA 02T1.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Substituição de Transformador de Força, 26,6 MVA, </w:t>
            </w:r>
            <w:proofErr w:type="gramStart"/>
            <w:r w:rsidRPr="00BB3DD0">
              <w:rPr>
                <w:rFonts w:ascii="Arial" w:hAnsi="Arial" w:cs="Arial"/>
              </w:rPr>
              <w:t>69/11,</w:t>
            </w:r>
            <w:proofErr w:type="gramEnd"/>
            <w:r w:rsidRPr="00BB3DD0">
              <w:rPr>
                <w:rFonts w:ascii="Arial" w:hAnsi="Arial" w:cs="Arial"/>
              </w:rPr>
              <w:t>9kV, na Subestação Santo Amaro, devido a fim de vida útil.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Santo Amaro, Estado da Bahia.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Setembro/2016.</w:t>
            </w:r>
          </w:p>
        </w:tc>
      </w:tr>
    </w:tbl>
    <w:p w:rsidR="00560F89" w:rsidRDefault="00560F89" w:rsidP="00142416">
      <w:pPr>
        <w:rPr>
          <w:rFonts w:ascii="Arial" w:hAnsi="Arial" w:cs="Arial"/>
          <w:sz w:val="4"/>
          <w:szCs w:val="4"/>
        </w:rPr>
      </w:pPr>
    </w:p>
    <w:p w:rsidR="00560F89" w:rsidRDefault="00560F89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83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SE IRC_EMRN-RTQ - Instalação de Transformador de Força 69/13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>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Instalação de Terceiro Transformador de Força, </w:t>
            </w:r>
            <w:proofErr w:type="gramStart"/>
            <w:r w:rsidRPr="00BB3DD0">
              <w:rPr>
                <w:rFonts w:ascii="Arial" w:hAnsi="Arial" w:cs="Arial"/>
              </w:rPr>
              <w:t>69/13,</w:t>
            </w:r>
            <w:proofErr w:type="gramEnd"/>
            <w:r w:rsidRPr="00BB3DD0">
              <w:rPr>
                <w:rFonts w:ascii="Arial" w:hAnsi="Arial" w:cs="Arial"/>
              </w:rPr>
              <w:t>8 kV, 10/12,5 MVA.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Irecê, Estado da Bahia.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Novembro/2014.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84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Aquisição de Transformador de Força 10/12MVA 69/13KV DYN1.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Aquisição de Transformador de Força, </w:t>
            </w:r>
            <w:proofErr w:type="gramStart"/>
            <w:r w:rsidRPr="00BB3DD0">
              <w:rPr>
                <w:rFonts w:ascii="Arial" w:hAnsi="Arial" w:cs="Arial"/>
              </w:rPr>
              <w:t>69/13,</w:t>
            </w:r>
            <w:proofErr w:type="gramEnd"/>
            <w:r w:rsidRPr="00BB3DD0">
              <w:rPr>
                <w:rFonts w:ascii="Arial" w:hAnsi="Arial" w:cs="Arial"/>
              </w:rPr>
              <w:t>8 kV, 10/12,5MVA, Delta - Estrela, para reserva técnica.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Feira de Santana, Estado da Bahia.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85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FSU_EMRC - Substituição Disjuntor DI 11T3_12F1/X3/X4.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Substituição de três Disjuntores, 69 </w:t>
            </w:r>
            <w:proofErr w:type="gramStart"/>
            <w:r w:rsidRPr="00BB3DD0">
              <w:rPr>
                <w:rFonts w:ascii="Arial" w:hAnsi="Arial" w:cs="Arial"/>
              </w:rPr>
              <w:t>kV</w:t>
            </w:r>
            <w:proofErr w:type="gramEnd"/>
            <w:r w:rsidRPr="00BB3DD0">
              <w:rPr>
                <w:rFonts w:ascii="Arial" w:hAnsi="Arial" w:cs="Arial"/>
              </w:rPr>
              <w:t>, na Subestação Feira de Santana I, por fim de vida útil.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Feira de Santana, Estado da Bahia.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Abril/2016.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sz w:val="4"/>
          <w:szCs w:val="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86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D0">
              <w:rPr>
                <w:rFonts w:ascii="Arial" w:hAnsi="Arial" w:cs="Arial"/>
                <w:sz w:val="22"/>
                <w:szCs w:val="22"/>
              </w:rPr>
              <w:t xml:space="preserve">Linha de Transmissão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 xml:space="preserve"> Conexão de Transformador de Força/VLN (</w:t>
            </w: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Recondutoramento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>) Correção.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3DD0">
              <w:rPr>
                <w:rFonts w:ascii="Arial" w:hAnsi="Arial" w:cs="Arial"/>
                <w:sz w:val="22"/>
                <w:szCs w:val="22"/>
              </w:rPr>
              <w:t>Recondutoramento</w:t>
            </w:r>
            <w:proofErr w:type="spellEnd"/>
            <w:r w:rsidRPr="00BB3DD0">
              <w:rPr>
                <w:rFonts w:ascii="Arial" w:hAnsi="Arial" w:cs="Arial"/>
                <w:sz w:val="22"/>
                <w:szCs w:val="22"/>
              </w:rPr>
              <w:t xml:space="preserve"> de aproximadamente quarenta quilômetros, da Linha de Distribuição em Alta Tensão, 69 </w:t>
            </w:r>
            <w:proofErr w:type="gramStart"/>
            <w:r w:rsidRPr="00BB3DD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BB3DD0">
              <w:rPr>
                <w:rFonts w:ascii="Arial" w:hAnsi="Arial" w:cs="Arial"/>
                <w:sz w:val="22"/>
                <w:szCs w:val="22"/>
              </w:rPr>
              <w:t>, Conceição do Coité - Valente, Cabo 336 CAA.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Conceição do Coité, Estado da Bahia.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89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Novembro/2014.</w:t>
            </w:r>
          </w:p>
        </w:tc>
      </w:tr>
    </w:tbl>
    <w:p w:rsidR="00560F89" w:rsidRDefault="00560F89" w:rsidP="00142416">
      <w:pPr>
        <w:rPr>
          <w:rFonts w:ascii="Arial" w:hAnsi="Arial" w:cs="Arial"/>
        </w:rPr>
      </w:pPr>
    </w:p>
    <w:p w:rsidR="00560F89" w:rsidRDefault="00560F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42416" w:rsidRPr="00BB3DD0" w:rsidRDefault="00142416" w:rsidP="00142416">
      <w:pPr>
        <w:rPr>
          <w:rFonts w:ascii="Arial" w:hAnsi="Arial" w:cs="Arial"/>
        </w:rPr>
      </w:pPr>
      <w:bookmarkStart w:id="0" w:name="_GoBack"/>
      <w:bookmarkEnd w:id="0"/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835"/>
      </w:tblGrid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PROJETO 87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Denominação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Guarajuba - Ampliação 3x10/12,5 MVA.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Descrição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 xml:space="preserve">Ampliação da capacidade da Subestação com a instalação do Terceiro Transformador de </w:t>
            </w:r>
            <w:proofErr w:type="gramStart"/>
            <w:r w:rsidRPr="00BB3DD0">
              <w:rPr>
                <w:rFonts w:ascii="Arial" w:hAnsi="Arial" w:cs="Arial"/>
              </w:rPr>
              <w:t>69/13,</w:t>
            </w:r>
            <w:proofErr w:type="gramEnd"/>
            <w:r w:rsidRPr="00BB3DD0">
              <w:rPr>
                <w:rFonts w:ascii="Arial" w:hAnsi="Arial" w:cs="Arial"/>
              </w:rPr>
              <w:t>8 kV, 10/12.5 MVA, com o objetivo de evitar sobrecarga no Transformadores existentes.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Sistema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Subestação de Distribuição - SED.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BB3DD0">
              <w:rPr>
                <w:rFonts w:ascii="Arial" w:hAnsi="Arial" w:cs="Arial"/>
                <w:bCs/>
              </w:rPr>
              <w:t>)</w:t>
            </w:r>
            <w:proofErr w:type="gramEnd"/>
            <w:r w:rsidRPr="00BB3DD0">
              <w:rPr>
                <w:rFonts w:ascii="Arial" w:hAnsi="Arial" w:cs="Arial"/>
                <w:bCs/>
              </w:rPr>
              <w:t>/UF(s)]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Município de Camaçari, Estado da Bahia.</w:t>
            </w:r>
          </w:p>
        </w:tc>
      </w:tr>
      <w:tr w:rsidR="00142416" w:rsidRPr="00BB3DD0" w:rsidTr="00560F8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center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  <w:bCs/>
              </w:rPr>
            </w:pPr>
            <w:r w:rsidRPr="00BB3DD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142416" w:rsidRPr="00BB3DD0" w:rsidTr="00560F89">
        <w:trPr>
          <w:trHeight w:val="300"/>
        </w:trPr>
        <w:tc>
          <w:tcPr>
            <w:tcW w:w="10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42416" w:rsidRPr="00BB3DD0" w:rsidRDefault="00142416" w:rsidP="007A331B">
            <w:pPr>
              <w:jc w:val="both"/>
              <w:rPr>
                <w:rFonts w:ascii="Arial" w:hAnsi="Arial" w:cs="Arial"/>
              </w:rPr>
            </w:pPr>
            <w:r w:rsidRPr="00BB3DD0">
              <w:rPr>
                <w:rFonts w:ascii="Arial" w:hAnsi="Arial" w:cs="Arial"/>
              </w:rPr>
              <w:t>Dezembro/2014.</w:t>
            </w:r>
          </w:p>
        </w:tc>
      </w:tr>
    </w:tbl>
    <w:p w:rsidR="00142416" w:rsidRPr="00BB3DD0" w:rsidRDefault="00142416" w:rsidP="00142416">
      <w:pPr>
        <w:rPr>
          <w:rFonts w:ascii="Arial" w:hAnsi="Arial" w:cs="Arial"/>
          <w:color w:val="000000"/>
        </w:rPr>
      </w:pPr>
    </w:p>
    <w:p w:rsidR="002121BE" w:rsidRPr="005517D7" w:rsidRDefault="002121BE" w:rsidP="00142416">
      <w:pPr>
        <w:rPr>
          <w:rFonts w:ascii="Arial" w:hAnsi="Arial" w:cs="Arial"/>
          <w:color w:val="000000"/>
        </w:rPr>
      </w:pPr>
    </w:p>
    <w:sectPr w:rsidR="002121BE" w:rsidRPr="005517D7" w:rsidSect="00287896">
      <w:headerReference w:type="default" r:id="rId11"/>
      <w:headerReference w:type="first" r:id="rId12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1B" w:rsidRDefault="007A331B">
      <w:r>
        <w:separator/>
      </w:r>
    </w:p>
  </w:endnote>
  <w:endnote w:type="continuationSeparator" w:id="0">
    <w:p w:rsidR="007A331B" w:rsidRDefault="007A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1B" w:rsidRDefault="007A331B">
      <w:r>
        <w:separator/>
      </w:r>
    </w:p>
  </w:footnote>
  <w:footnote w:type="continuationSeparator" w:id="0">
    <w:p w:rsidR="007A331B" w:rsidRDefault="007A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1B" w:rsidRDefault="007A331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203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A331B" w:rsidRPr="00A93206" w:rsidRDefault="007A331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1B" w:rsidRDefault="007A331B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203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60F89">
      <w:rPr>
        <w:rStyle w:val="Nmerodepgina"/>
        <w:rFonts w:ascii="Arial" w:hAnsi="Arial" w:cs="Arial"/>
        <w:noProof/>
      </w:rPr>
      <w:t>22</w:t>
    </w:r>
    <w:r w:rsidRPr="001906C1">
      <w:rPr>
        <w:rStyle w:val="Nmerodepgina"/>
        <w:rFonts w:ascii="Arial" w:hAnsi="Arial" w:cs="Arial"/>
      </w:rPr>
      <w:fldChar w:fldCharType="end"/>
    </w:r>
  </w:p>
  <w:p w:rsidR="007A331B" w:rsidRPr="00A93206" w:rsidRDefault="007A331B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1B" w:rsidRDefault="007A331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203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A331B" w:rsidRDefault="007A33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16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0F89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331B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61A5-3A1F-4EF0-8B4D-9E9803F3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6868</Words>
  <Characters>39093</Characters>
  <Application>Microsoft Office Word</Application>
  <DocSecurity>0</DocSecurity>
  <Lines>325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2016-10-11T10:47:00Z</dcterms:created>
  <dcterms:modified xsi:type="dcterms:W3CDTF">2016-10-11T11:01:00Z</dcterms:modified>
</cp:coreProperties>
</file>