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554690E" w14:textId="4DAAC84A" w:rsidR="00B21064" w:rsidRPr="007014FF" w:rsidRDefault="003228D6" w:rsidP="007014FF">
      <w:pPr>
        <w:spacing w:after="0"/>
        <w:jc w:val="both"/>
        <w:rPr>
          <w:rFonts w:ascii="Times New Roman" w:hAnsi="Times New Roman" w:cs="Times New Roman"/>
          <w:b/>
        </w:rPr>
      </w:pPr>
      <w:bookmarkStart w:id="0" w:name="_GoBack"/>
      <w:r w:rsidRPr="007014FF">
        <w:rPr>
          <w:rFonts w:ascii="Times New Roman" w:hAnsi="Times New Roman" w:cs="Times New Roman"/>
          <w:b/>
        </w:rPr>
        <w:t xml:space="preserve">AO </w:t>
      </w:r>
      <w:r w:rsidR="00B21064" w:rsidRPr="007014FF">
        <w:rPr>
          <w:rFonts w:ascii="Times New Roman" w:hAnsi="Times New Roman" w:cs="Times New Roman"/>
          <w:b/>
        </w:rPr>
        <w:t xml:space="preserve">MINISTÉRIO </w:t>
      </w:r>
      <w:r w:rsidR="007014FF" w:rsidRPr="007014FF">
        <w:rPr>
          <w:rFonts w:ascii="Times New Roman" w:hAnsi="Times New Roman" w:cs="Times New Roman"/>
          <w:b/>
        </w:rPr>
        <w:t xml:space="preserve">DA </w:t>
      </w:r>
      <w:proofErr w:type="gramStart"/>
      <w:r w:rsidR="007014FF" w:rsidRPr="007014FF">
        <w:rPr>
          <w:rFonts w:ascii="Times New Roman" w:hAnsi="Times New Roman" w:cs="Times New Roman"/>
          <w:b/>
        </w:rPr>
        <w:t>JUSTIÇA E SEGURANÇA PÚBLICA</w:t>
      </w:r>
      <w:proofErr w:type="gramEnd"/>
    </w:p>
    <w:p w14:paraId="56D47F44" w14:textId="7221B691" w:rsidR="00B21064" w:rsidRPr="007014FF" w:rsidRDefault="007014FF" w:rsidP="007014FF">
      <w:pPr>
        <w:pStyle w:val="NormalWeb"/>
        <w:shd w:val="clear" w:color="auto" w:fill="FFFFFF"/>
        <w:spacing w:line="276" w:lineRule="auto"/>
        <w:jc w:val="both"/>
        <w:rPr>
          <w:b/>
          <w:color w:val="201F1E"/>
          <w:sz w:val="22"/>
          <w:szCs w:val="22"/>
        </w:rPr>
      </w:pPr>
      <w:r w:rsidRPr="007014FF">
        <w:rPr>
          <w:b/>
          <w:color w:val="201F1E"/>
          <w:sz w:val="22"/>
          <w:szCs w:val="22"/>
        </w:rPr>
        <w:t>COORDENAÇÃO GERAL DE LICITAÇÕES E CONTRATOS DA SUBSECRETARIA DA ADMINISTRAÇÃO</w:t>
      </w:r>
    </w:p>
    <w:p w14:paraId="05040DEC" w14:textId="3D4EE18A" w:rsidR="009E3BD6" w:rsidRPr="007014FF" w:rsidRDefault="007014FF" w:rsidP="007014FF">
      <w:pPr>
        <w:spacing w:after="0"/>
        <w:jc w:val="both"/>
        <w:rPr>
          <w:rFonts w:ascii="Times New Roman" w:hAnsi="Times New Roman" w:cs="Times New Roman"/>
          <w:b/>
        </w:rPr>
      </w:pPr>
      <w:r w:rsidRPr="007014FF">
        <w:rPr>
          <w:rFonts w:ascii="Times New Roman" w:hAnsi="Times New Roman" w:cs="Times New Roman"/>
          <w:b/>
        </w:rPr>
        <w:t>ILMO. SR. HALISSON LUCIANO CHAVES AYRES DA FONSECA</w:t>
      </w:r>
    </w:p>
    <w:p w14:paraId="162F34DD" w14:textId="77777777" w:rsidR="007014FF" w:rsidRPr="007014FF" w:rsidRDefault="007014FF" w:rsidP="007014FF">
      <w:pPr>
        <w:spacing w:after="0" w:line="360" w:lineRule="auto"/>
        <w:rPr>
          <w:rFonts w:ascii="Times New Roman" w:hAnsi="Times New Roman" w:cs="Times New Roman"/>
          <w:b/>
        </w:rPr>
      </w:pPr>
    </w:p>
    <w:p w14:paraId="0796CD10" w14:textId="77777777" w:rsidR="009E3BD6" w:rsidRPr="007014FF" w:rsidRDefault="009E3BD6" w:rsidP="009E3BD6">
      <w:pPr>
        <w:spacing w:after="0" w:line="360" w:lineRule="auto"/>
        <w:rPr>
          <w:rFonts w:ascii="Times New Roman" w:hAnsi="Times New Roman" w:cs="Times New Roman"/>
          <w:b/>
        </w:rPr>
      </w:pPr>
    </w:p>
    <w:p w14:paraId="3F458660" w14:textId="77777777" w:rsidR="009E3BD6" w:rsidRPr="007014FF" w:rsidRDefault="009E3BD6" w:rsidP="009E3BD6">
      <w:pPr>
        <w:spacing w:after="0" w:line="360" w:lineRule="auto"/>
        <w:rPr>
          <w:rFonts w:ascii="Times New Roman" w:hAnsi="Times New Roman" w:cs="Times New Roman"/>
          <w:b/>
        </w:rPr>
      </w:pPr>
    </w:p>
    <w:p w14:paraId="6940E71E" w14:textId="77777777" w:rsidR="005F314A" w:rsidRPr="007014FF" w:rsidRDefault="005F314A" w:rsidP="009E3BD6">
      <w:pPr>
        <w:spacing w:after="0" w:line="360" w:lineRule="auto"/>
        <w:rPr>
          <w:rFonts w:ascii="Times New Roman" w:hAnsi="Times New Roman" w:cs="Times New Roman"/>
          <w:b/>
        </w:rPr>
      </w:pPr>
    </w:p>
    <w:p w14:paraId="79EF465B" w14:textId="77777777" w:rsidR="005F314A" w:rsidRPr="007014FF" w:rsidRDefault="005F314A" w:rsidP="009E3BD6">
      <w:pPr>
        <w:spacing w:after="0" w:line="360" w:lineRule="auto"/>
        <w:rPr>
          <w:rFonts w:ascii="Times New Roman" w:hAnsi="Times New Roman" w:cs="Times New Roman"/>
          <w:b/>
        </w:rPr>
      </w:pPr>
    </w:p>
    <w:p w14:paraId="6B6B16CE" w14:textId="77777777" w:rsidR="009E3BD6" w:rsidRPr="007014FF" w:rsidRDefault="009E3BD6" w:rsidP="009E3BD6">
      <w:pPr>
        <w:spacing w:after="0" w:line="360" w:lineRule="auto"/>
        <w:rPr>
          <w:rFonts w:ascii="Times New Roman" w:hAnsi="Times New Roman" w:cs="Times New Roman"/>
          <w:b/>
        </w:rPr>
      </w:pPr>
    </w:p>
    <w:p w14:paraId="48FE0D55" w14:textId="60BC7517" w:rsidR="009E3BD6" w:rsidRPr="007014FF" w:rsidRDefault="009E3BD6" w:rsidP="009E3BD6">
      <w:pPr>
        <w:spacing w:after="0" w:line="360" w:lineRule="auto"/>
        <w:rPr>
          <w:rFonts w:ascii="Times New Roman" w:hAnsi="Times New Roman" w:cs="Times New Roman"/>
          <w:b/>
        </w:rPr>
      </w:pPr>
      <w:r w:rsidRPr="007014FF">
        <w:rPr>
          <w:rFonts w:ascii="Times New Roman" w:hAnsi="Times New Roman" w:cs="Times New Roman"/>
          <w:b/>
        </w:rPr>
        <w:t xml:space="preserve">Pregão Eletrônico </w:t>
      </w:r>
      <w:r w:rsidR="004F05A2" w:rsidRPr="007014FF">
        <w:rPr>
          <w:rFonts w:ascii="Times New Roman" w:hAnsi="Times New Roman" w:cs="Times New Roman"/>
          <w:b/>
        </w:rPr>
        <w:t xml:space="preserve">n° </w:t>
      </w:r>
      <w:r w:rsidR="007014FF" w:rsidRPr="007014FF">
        <w:rPr>
          <w:rFonts w:ascii="Times New Roman" w:hAnsi="Times New Roman" w:cs="Times New Roman"/>
          <w:b/>
        </w:rPr>
        <w:t>19/2020</w:t>
      </w:r>
    </w:p>
    <w:p w14:paraId="555262AC" w14:textId="77777777" w:rsidR="009E3BD6" w:rsidRPr="007014FF" w:rsidRDefault="009E3BD6" w:rsidP="009E3BD6">
      <w:pPr>
        <w:spacing w:after="0" w:line="360" w:lineRule="auto"/>
        <w:rPr>
          <w:rFonts w:ascii="Times New Roman" w:hAnsi="Times New Roman" w:cs="Times New Roman"/>
          <w:b/>
        </w:rPr>
      </w:pPr>
    </w:p>
    <w:p w14:paraId="54A056CC" w14:textId="77777777" w:rsidR="009E3BD6" w:rsidRDefault="009E3BD6" w:rsidP="009E3BD6">
      <w:pPr>
        <w:spacing w:after="0" w:line="360" w:lineRule="auto"/>
        <w:rPr>
          <w:rFonts w:ascii="Times New Roman" w:hAnsi="Times New Roman" w:cs="Times New Roman"/>
          <w:b/>
        </w:rPr>
      </w:pPr>
    </w:p>
    <w:p w14:paraId="262EA2AF" w14:textId="77777777" w:rsidR="005F314A" w:rsidRDefault="005F314A" w:rsidP="009E3BD6">
      <w:pPr>
        <w:spacing w:after="0" w:line="360" w:lineRule="auto"/>
        <w:rPr>
          <w:rFonts w:ascii="Times New Roman" w:hAnsi="Times New Roman" w:cs="Times New Roman"/>
          <w:b/>
        </w:rPr>
      </w:pPr>
    </w:p>
    <w:p w14:paraId="6623CD7E" w14:textId="77777777" w:rsidR="005F314A" w:rsidRDefault="005F314A" w:rsidP="009E3BD6">
      <w:pPr>
        <w:spacing w:after="0" w:line="360" w:lineRule="auto"/>
        <w:rPr>
          <w:rFonts w:ascii="Times New Roman" w:hAnsi="Times New Roman" w:cs="Times New Roman"/>
          <w:b/>
        </w:rPr>
      </w:pPr>
    </w:p>
    <w:p w14:paraId="068F4447" w14:textId="77777777" w:rsidR="009E3BD6" w:rsidRDefault="009E3BD6" w:rsidP="009E3BD6">
      <w:pPr>
        <w:spacing w:after="0" w:line="360" w:lineRule="auto"/>
        <w:rPr>
          <w:rFonts w:ascii="Times New Roman" w:hAnsi="Times New Roman" w:cs="Times New Roman"/>
          <w:b/>
        </w:rPr>
      </w:pPr>
    </w:p>
    <w:p w14:paraId="413B01AE" w14:textId="7645E032" w:rsidR="009E3BD6" w:rsidRDefault="006945EB" w:rsidP="005F314A">
      <w:pPr>
        <w:spacing w:after="0" w:line="360" w:lineRule="auto"/>
        <w:ind w:left="2268"/>
        <w:jc w:val="both"/>
        <w:rPr>
          <w:rFonts w:ascii="Times New Roman" w:hAnsi="Times New Roman" w:cs="Times New Roman"/>
          <w:b/>
        </w:rPr>
      </w:pPr>
      <w:r w:rsidRPr="006945EB">
        <w:rPr>
          <w:rFonts w:ascii="Times New Roman" w:hAnsi="Times New Roman" w:cs="Times New Roman"/>
          <w:b/>
        </w:rPr>
        <w:t>META SERVIÇOS EM INFORMÁTICA S/A</w:t>
      </w:r>
      <w:r w:rsidRPr="006945EB">
        <w:rPr>
          <w:rFonts w:ascii="Times New Roman" w:hAnsi="Times New Roman" w:cs="Times New Roman"/>
          <w:bCs/>
        </w:rPr>
        <w:t>, pessoa jurídica de direito privado, inscrita no CNPJ/MF sob n° 93.655.173/0001-29, situada na Alameda Rio Negro, nº 1.030, Escritório 206, Sala 12, Bairro Alphaville Industrial, na Cidade de Barueri, Estado de São Paulo, CEP 06454-000</w:t>
      </w:r>
      <w:r w:rsidR="009E3BD6" w:rsidRPr="006945EB">
        <w:rPr>
          <w:rFonts w:ascii="Times New Roman" w:hAnsi="Times New Roman" w:cs="Times New Roman"/>
          <w:bCs/>
        </w:rPr>
        <w:t xml:space="preserve">, </w:t>
      </w:r>
      <w:r w:rsidR="009E3BD6" w:rsidRPr="00F371CF">
        <w:rPr>
          <w:rFonts w:ascii="Times New Roman" w:hAnsi="Times New Roman" w:cs="Times New Roman"/>
        </w:rPr>
        <w:t>vem, respeitosa e tempestivamente à presença de Vossa Senhoria, por intermédio de sua procuradora</w:t>
      </w:r>
      <w:r w:rsidR="009E3BD6" w:rsidRPr="00E711FF">
        <w:rPr>
          <w:rFonts w:ascii="Times New Roman" w:hAnsi="Times New Roman" w:cs="Times New Roman"/>
        </w:rPr>
        <w:t xml:space="preserve">, </w:t>
      </w:r>
      <w:r w:rsidR="009E3BD6" w:rsidRPr="007B5449">
        <w:rPr>
          <w:rFonts w:ascii="Times New Roman" w:hAnsi="Times New Roman" w:cs="Times New Roman"/>
        </w:rPr>
        <w:t xml:space="preserve">com fulcro </w:t>
      </w:r>
      <w:r w:rsidR="00B430C8" w:rsidRPr="007B5449">
        <w:rPr>
          <w:rFonts w:ascii="Times New Roman" w:hAnsi="Times New Roman" w:cs="Times New Roman"/>
        </w:rPr>
        <w:t>no</w:t>
      </w:r>
      <w:r w:rsidR="009E3BD6" w:rsidRPr="007B5449">
        <w:rPr>
          <w:rFonts w:ascii="Times New Roman" w:hAnsi="Times New Roman" w:cs="Times New Roman"/>
        </w:rPr>
        <w:t xml:space="preserve"> </w:t>
      </w:r>
      <w:r w:rsidR="00B430C8" w:rsidRPr="007B5449">
        <w:rPr>
          <w:rFonts w:ascii="Times New Roman" w:hAnsi="Times New Roman" w:cs="Times New Roman"/>
        </w:rPr>
        <w:t xml:space="preserve">artigo </w:t>
      </w:r>
      <w:r w:rsidR="00B80774" w:rsidRPr="007B5449">
        <w:rPr>
          <w:rFonts w:ascii="Times New Roman" w:hAnsi="Times New Roman" w:cs="Times New Roman"/>
        </w:rPr>
        <w:t>art.</w:t>
      </w:r>
      <w:r w:rsidR="00B430C8" w:rsidRPr="007B5449">
        <w:rPr>
          <w:rFonts w:ascii="Times New Roman" w:hAnsi="Times New Roman" w:cs="Times New Roman"/>
        </w:rPr>
        <w:t>109 da Lei 8.666/1993, artigo 4°, XVIII da Lei 10.520/2002</w:t>
      </w:r>
      <w:r w:rsidR="007B5449" w:rsidRPr="007B5449">
        <w:rPr>
          <w:rFonts w:ascii="Times New Roman" w:hAnsi="Times New Roman" w:cs="Times New Roman"/>
        </w:rPr>
        <w:t>, artigo 44 do Decreto Federal 10.024/2019</w:t>
      </w:r>
      <w:r w:rsidR="009E3BD6" w:rsidRPr="007B5449">
        <w:rPr>
          <w:rFonts w:ascii="Times New Roman" w:hAnsi="Times New Roman" w:cs="Times New Roman"/>
        </w:rPr>
        <w:t xml:space="preserve"> e item </w:t>
      </w:r>
      <w:r w:rsidR="007B5449">
        <w:rPr>
          <w:rFonts w:ascii="Times New Roman" w:hAnsi="Times New Roman" w:cs="Times New Roman"/>
        </w:rPr>
        <w:t>11</w:t>
      </w:r>
      <w:r w:rsidR="009E3BD6" w:rsidRPr="00E711FF">
        <w:rPr>
          <w:rFonts w:ascii="Times New Roman" w:hAnsi="Times New Roman" w:cs="Times New Roman"/>
        </w:rPr>
        <w:t xml:space="preserve"> do Edital de Pregão Eletrônico n° </w:t>
      </w:r>
      <w:r w:rsidR="007014FF">
        <w:rPr>
          <w:rFonts w:ascii="Times New Roman" w:hAnsi="Times New Roman" w:cs="Times New Roman"/>
        </w:rPr>
        <w:t>19</w:t>
      </w:r>
      <w:r w:rsidR="00B80774" w:rsidRPr="00E711FF">
        <w:rPr>
          <w:rFonts w:ascii="Times New Roman" w:hAnsi="Times New Roman" w:cs="Times New Roman"/>
        </w:rPr>
        <w:t>/2020</w:t>
      </w:r>
      <w:r w:rsidR="009E3BD6" w:rsidRPr="00E711FF">
        <w:rPr>
          <w:rFonts w:ascii="Times New Roman" w:hAnsi="Times New Roman" w:cs="Times New Roman"/>
        </w:rPr>
        <w:t>, apresentar</w:t>
      </w:r>
      <w:r w:rsidR="009E3BD6" w:rsidRPr="00F371CF">
        <w:rPr>
          <w:rFonts w:ascii="Times New Roman" w:hAnsi="Times New Roman" w:cs="Times New Roman"/>
        </w:rPr>
        <w:t xml:space="preserve"> </w:t>
      </w:r>
    </w:p>
    <w:p w14:paraId="0FBC384C" w14:textId="3FAA7783" w:rsidR="009E3BD6" w:rsidRDefault="009E3BD6" w:rsidP="005F314A">
      <w:pPr>
        <w:spacing w:after="0" w:line="360" w:lineRule="auto"/>
        <w:ind w:left="2268"/>
        <w:jc w:val="both"/>
        <w:rPr>
          <w:rFonts w:ascii="Times New Roman" w:hAnsi="Times New Roman" w:cs="Times New Roman"/>
          <w:b/>
        </w:rPr>
      </w:pPr>
    </w:p>
    <w:p w14:paraId="42C8650B" w14:textId="77777777" w:rsidR="009E3BD6" w:rsidRPr="0092042B" w:rsidRDefault="009E3BD6" w:rsidP="005F314A">
      <w:pPr>
        <w:spacing w:after="0" w:line="360" w:lineRule="auto"/>
        <w:ind w:left="2268"/>
        <w:jc w:val="center"/>
        <w:rPr>
          <w:rFonts w:ascii="Times New Roman" w:hAnsi="Times New Roman" w:cs="Times New Roman"/>
          <w:b/>
        </w:rPr>
      </w:pPr>
      <w:r w:rsidRPr="0092042B">
        <w:rPr>
          <w:rFonts w:ascii="Times New Roman" w:hAnsi="Times New Roman" w:cs="Times New Roman"/>
          <w:b/>
        </w:rPr>
        <w:t>CONTRARRAZÕES</w:t>
      </w:r>
    </w:p>
    <w:p w14:paraId="1CD941FF" w14:textId="77777777" w:rsidR="009E3BD6" w:rsidRDefault="009E3BD6" w:rsidP="005F314A">
      <w:pPr>
        <w:spacing w:after="0" w:line="360" w:lineRule="auto"/>
        <w:ind w:left="2268"/>
        <w:jc w:val="both"/>
        <w:rPr>
          <w:rFonts w:ascii="Times New Roman" w:hAnsi="Times New Roman" w:cs="Times New Roman"/>
          <w:b/>
        </w:rPr>
      </w:pPr>
    </w:p>
    <w:p w14:paraId="55C595CC" w14:textId="3D549A0F" w:rsidR="009E3BD6" w:rsidRDefault="009E3BD6" w:rsidP="005F314A">
      <w:pPr>
        <w:spacing w:after="0" w:line="360" w:lineRule="auto"/>
        <w:ind w:left="2268"/>
        <w:jc w:val="both"/>
        <w:rPr>
          <w:rFonts w:ascii="Times New Roman" w:hAnsi="Times New Roman" w:cs="Times New Roman"/>
        </w:rPr>
      </w:pPr>
      <w:r w:rsidRPr="007B5449">
        <w:rPr>
          <w:rFonts w:ascii="Times New Roman" w:hAnsi="Times New Roman" w:cs="Times New Roman"/>
        </w:rPr>
        <w:t>Em face do</w:t>
      </w:r>
      <w:r w:rsidR="007B5449" w:rsidRPr="007B5449">
        <w:rPr>
          <w:rFonts w:ascii="Times New Roman" w:hAnsi="Times New Roman" w:cs="Times New Roman"/>
        </w:rPr>
        <w:t>s</w:t>
      </w:r>
      <w:r w:rsidRPr="007B5449">
        <w:rPr>
          <w:rFonts w:ascii="Times New Roman" w:hAnsi="Times New Roman" w:cs="Times New Roman"/>
        </w:rPr>
        <w:t xml:space="preserve"> Recurso</w:t>
      </w:r>
      <w:r w:rsidR="007B5449" w:rsidRPr="007B5449">
        <w:rPr>
          <w:rFonts w:ascii="Times New Roman" w:hAnsi="Times New Roman" w:cs="Times New Roman"/>
        </w:rPr>
        <w:t>s</w:t>
      </w:r>
      <w:r w:rsidRPr="007B5449">
        <w:rPr>
          <w:rFonts w:ascii="Times New Roman" w:hAnsi="Times New Roman" w:cs="Times New Roman"/>
        </w:rPr>
        <w:t xml:space="preserve"> Administrativo</w:t>
      </w:r>
      <w:r w:rsidR="007B5449" w:rsidRPr="007B5449">
        <w:rPr>
          <w:rFonts w:ascii="Times New Roman" w:hAnsi="Times New Roman" w:cs="Times New Roman"/>
        </w:rPr>
        <w:t>s</w:t>
      </w:r>
      <w:r w:rsidRPr="007B5449">
        <w:rPr>
          <w:rFonts w:ascii="Times New Roman" w:hAnsi="Times New Roman" w:cs="Times New Roman"/>
        </w:rPr>
        <w:t xml:space="preserve"> interposto</w:t>
      </w:r>
      <w:r w:rsidR="007B5449" w:rsidRPr="007B5449">
        <w:rPr>
          <w:rFonts w:ascii="Times New Roman" w:hAnsi="Times New Roman" w:cs="Times New Roman"/>
        </w:rPr>
        <w:t>s</w:t>
      </w:r>
      <w:r w:rsidRPr="007B5449">
        <w:rPr>
          <w:rFonts w:ascii="Times New Roman" w:hAnsi="Times New Roman" w:cs="Times New Roman"/>
        </w:rPr>
        <w:t xml:space="preserve"> pela</w:t>
      </w:r>
      <w:r w:rsidR="007B5449" w:rsidRPr="007B5449">
        <w:rPr>
          <w:rFonts w:ascii="Times New Roman" w:hAnsi="Times New Roman" w:cs="Times New Roman"/>
        </w:rPr>
        <w:t>s</w:t>
      </w:r>
      <w:r w:rsidRPr="007B5449">
        <w:rPr>
          <w:rFonts w:ascii="Times New Roman" w:hAnsi="Times New Roman" w:cs="Times New Roman"/>
        </w:rPr>
        <w:t xml:space="preserve"> empresa</w:t>
      </w:r>
      <w:r w:rsidR="007B5449" w:rsidRPr="007B5449">
        <w:rPr>
          <w:rFonts w:ascii="Times New Roman" w:hAnsi="Times New Roman" w:cs="Times New Roman"/>
        </w:rPr>
        <w:t xml:space="preserve">s </w:t>
      </w:r>
      <w:r w:rsidR="007B5449" w:rsidRPr="007B5449">
        <w:rPr>
          <w:rFonts w:ascii="Times New Roman" w:hAnsi="Times New Roman" w:cs="Times New Roman"/>
          <w:b/>
        </w:rPr>
        <w:t>DATAINFO SOLUCOES EM TECNOLOGIA DA INFORMACAO LTDA</w:t>
      </w:r>
      <w:r w:rsidR="007B5449" w:rsidRPr="007B5449">
        <w:rPr>
          <w:rFonts w:ascii="Times New Roman" w:hAnsi="Times New Roman" w:cs="Times New Roman"/>
          <w:bCs/>
        </w:rPr>
        <w:t xml:space="preserve">, </w:t>
      </w:r>
      <w:r w:rsidR="007B5449" w:rsidRPr="007B5449">
        <w:rPr>
          <w:rFonts w:ascii="Times New Roman" w:hAnsi="Times New Roman" w:cs="Times New Roman"/>
          <w:b/>
        </w:rPr>
        <w:t xml:space="preserve">SIGMA DATASERV INFORMATICA S/A </w:t>
      </w:r>
      <w:r w:rsidR="007B5449" w:rsidRPr="007B5449">
        <w:rPr>
          <w:rFonts w:ascii="Times New Roman" w:hAnsi="Times New Roman" w:cs="Times New Roman"/>
          <w:bCs/>
        </w:rPr>
        <w:t>e</w:t>
      </w:r>
      <w:r w:rsidRPr="007B5449">
        <w:rPr>
          <w:rFonts w:ascii="Times New Roman" w:hAnsi="Times New Roman" w:cs="Times New Roman"/>
        </w:rPr>
        <w:t xml:space="preserve"> </w:t>
      </w:r>
      <w:r w:rsidR="007014FF" w:rsidRPr="007B5449">
        <w:rPr>
          <w:rFonts w:ascii="Times New Roman" w:hAnsi="Times New Roman" w:cs="Times New Roman"/>
          <w:b/>
          <w:bCs/>
        </w:rPr>
        <w:t>CAPGEMINI BRASIL S.A.</w:t>
      </w:r>
      <w:r w:rsidRPr="007B5449">
        <w:rPr>
          <w:rFonts w:ascii="Times New Roman" w:hAnsi="Times New Roman" w:cs="Times New Roman"/>
        </w:rPr>
        <w:t>, o que faz de acordo com os seguintes fatos e fundamentos de direito:</w:t>
      </w:r>
    </w:p>
    <w:p w14:paraId="22C73E26" w14:textId="77777777" w:rsidR="00B21064" w:rsidRPr="00F371CF" w:rsidRDefault="00B21064" w:rsidP="005F314A">
      <w:pPr>
        <w:spacing w:after="0" w:line="360" w:lineRule="auto"/>
        <w:ind w:left="2268"/>
        <w:jc w:val="both"/>
        <w:rPr>
          <w:rFonts w:ascii="Times New Roman" w:hAnsi="Times New Roman" w:cs="Times New Roman"/>
        </w:rPr>
      </w:pPr>
    </w:p>
    <w:p w14:paraId="18109BDD" w14:textId="77777777" w:rsidR="009E3BD6" w:rsidRDefault="009E3BD6" w:rsidP="009E3BD6">
      <w:pPr>
        <w:spacing w:after="0" w:line="360" w:lineRule="auto"/>
        <w:rPr>
          <w:rFonts w:ascii="Times New Roman" w:hAnsi="Times New Roman" w:cs="Times New Roman"/>
          <w:b/>
        </w:rPr>
      </w:pPr>
    </w:p>
    <w:p w14:paraId="50381E36" w14:textId="77777777" w:rsidR="009E3BD6" w:rsidRDefault="009E3BD6" w:rsidP="009E3BD6">
      <w:pPr>
        <w:spacing w:after="0" w:line="360" w:lineRule="auto"/>
        <w:rPr>
          <w:rFonts w:ascii="Times New Roman" w:hAnsi="Times New Roman" w:cs="Times New Roman"/>
          <w:b/>
        </w:rPr>
      </w:pPr>
      <w:r>
        <w:rPr>
          <w:rFonts w:ascii="Times New Roman" w:hAnsi="Times New Roman" w:cs="Times New Roman"/>
          <w:b/>
        </w:rPr>
        <w:lastRenderedPageBreak/>
        <w:t xml:space="preserve">I – </w:t>
      </w:r>
      <w:r w:rsidR="00AC3E4C">
        <w:rPr>
          <w:rFonts w:ascii="Times New Roman" w:hAnsi="Times New Roman" w:cs="Times New Roman"/>
          <w:b/>
        </w:rPr>
        <w:t xml:space="preserve">SÍNTESE </w:t>
      </w:r>
      <w:r>
        <w:rPr>
          <w:rFonts w:ascii="Times New Roman" w:hAnsi="Times New Roman" w:cs="Times New Roman"/>
          <w:b/>
        </w:rPr>
        <w:t>DOS FATOS</w:t>
      </w:r>
    </w:p>
    <w:p w14:paraId="7671F2B4" w14:textId="77777777" w:rsidR="00872F88" w:rsidRDefault="00872F88" w:rsidP="005F314A">
      <w:pPr>
        <w:spacing w:after="0" w:line="360" w:lineRule="auto"/>
        <w:jc w:val="both"/>
        <w:rPr>
          <w:rFonts w:ascii="Times New Roman" w:hAnsi="Times New Roman" w:cs="Times New Roman"/>
          <w:bCs/>
        </w:rPr>
      </w:pPr>
    </w:p>
    <w:p w14:paraId="1AE75709" w14:textId="26A8F5E5" w:rsidR="007014FF" w:rsidRDefault="006E0D06" w:rsidP="007C28BC">
      <w:pPr>
        <w:spacing w:after="0" w:line="360" w:lineRule="auto"/>
        <w:jc w:val="both"/>
        <w:rPr>
          <w:rFonts w:ascii="Times New Roman" w:hAnsi="Times New Roman" w:cs="Times New Roman"/>
          <w:bCs/>
        </w:rPr>
      </w:pPr>
      <w:r w:rsidRPr="00872F88">
        <w:rPr>
          <w:rFonts w:ascii="Times New Roman" w:hAnsi="Times New Roman" w:cs="Times New Roman"/>
          <w:bCs/>
        </w:rPr>
        <w:tab/>
      </w:r>
      <w:r w:rsidRPr="00936A4E">
        <w:rPr>
          <w:rFonts w:ascii="Times New Roman" w:hAnsi="Times New Roman" w:cs="Times New Roman"/>
          <w:bCs/>
        </w:rPr>
        <w:t xml:space="preserve">Em </w:t>
      </w:r>
      <w:r w:rsidR="007014FF">
        <w:rPr>
          <w:rFonts w:ascii="Times New Roman" w:hAnsi="Times New Roman" w:cs="Times New Roman"/>
          <w:bCs/>
        </w:rPr>
        <w:t>09/09</w:t>
      </w:r>
      <w:r w:rsidR="00271B65" w:rsidRPr="00936A4E">
        <w:rPr>
          <w:rFonts w:ascii="Times New Roman" w:hAnsi="Times New Roman" w:cs="Times New Roman"/>
          <w:bCs/>
        </w:rPr>
        <w:t>/2020</w:t>
      </w:r>
      <w:r w:rsidR="007014FF">
        <w:rPr>
          <w:rFonts w:ascii="Times New Roman" w:hAnsi="Times New Roman" w:cs="Times New Roman"/>
          <w:bCs/>
        </w:rPr>
        <w:t xml:space="preserve">, às 10h, </w:t>
      </w:r>
      <w:r w:rsidRPr="00936A4E">
        <w:rPr>
          <w:rFonts w:ascii="Times New Roman" w:hAnsi="Times New Roman" w:cs="Times New Roman"/>
          <w:bCs/>
        </w:rPr>
        <w:t xml:space="preserve"> realizou-se a sessão do Pregão Eletrônico </w:t>
      </w:r>
      <w:r w:rsidR="007014FF">
        <w:rPr>
          <w:rFonts w:ascii="Times New Roman" w:hAnsi="Times New Roman" w:cs="Times New Roman"/>
          <w:bCs/>
        </w:rPr>
        <w:t>19</w:t>
      </w:r>
      <w:r w:rsidR="00271B65" w:rsidRPr="00936A4E">
        <w:rPr>
          <w:rFonts w:ascii="Times New Roman" w:hAnsi="Times New Roman" w:cs="Times New Roman"/>
          <w:bCs/>
        </w:rPr>
        <w:t xml:space="preserve">/2020 do </w:t>
      </w:r>
      <w:r w:rsidR="007014FF">
        <w:rPr>
          <w:rFonts w:ascii="Times New Roman" w:hAnsi="Times New Roman" w:cs="Times New Roman"/>
          <w:bCs/>
        </w:rPr>
        <w:t>MINISTÉRIO DA JUSTIÇA E SEGURANÇA PÚBLICA</w:t>
      </w:r>
      <w:r w:rsidR="00872F88" w:rsidRPr="00936A4E">
        <w:rPr>
          <w:rFonts w:ascii="Times New Roman" w:hAnsi="Times New Roman" w:cs="Times New Roman"/>
          <w:bCs/>
        </w:rPr>
        <w:t xml:space="preserve">, </w:t>
      </w:r>
      <w:r w:rsidR="007014FF">
        <w:rPr>
          <w:rFonts w:ascii="Times New Roman" w:hAnsi="Times New Roman" w:cs="Times New Roman"/>
          <w:bCs/>
        </w:rPr>
        <w:t xml:space="preserve">cujo objeto </w:t>
      </w:r>
      <w:r w:rsidR="007C4E14">
        <w:rPr>
          <w:rFonts w:ascii="Times New Roman" w:hAnsi="Times New Roman" w:cs="Times New Roman"/>
          <w:bCs/>
        </w:rPr>
        <w:t>consiste</w:t>
      </w:r>
      <w:r w:rsidR="007014FF">
        <w:rPr>
          <w:rFonts w:ascii="Times New Roman" w:hAnsi="Times New Roman" w:cs="Times New Roman"/>
          <w:bCs/>
        </w:rPr>
        <w:t xml:space="preserve"> na contratação de </w:t>
      </w:r>
      <w:r w:rsidR="007C28BC">
        <w:rPr>
          <w:rFonts w:ascii="Times New Roman" w:hAnsi="Times New Roman" w:cs="Times New Roman"/>
          <w:bCs/>
        </w:rPr>
        <w:t>“</w:t>
      </w:r>
      <w:r w:rsidR="007C28BC" w:rsidRPr="007C28BC">
        <w:rPr>
          <w:rFonts w:ascii="Times New Roman" w:hAnsi="Times New Roman" w:cs="Times New Roman"/>
          <w:bCs/>
          <w:i/>
          <w:iCs/>
        </w:rPr>
        <w:t>serviços envolvendo desenvolvimento e sustentação de sistemas informa</w:t>
      </w:r>
      <w:r w:rsidR="007C28BC" w:rsidRPr="007C28BC">
        <w:rPr>
          <w:rFonts w:ascii="Times New Roman" w:eastAsia="Times New Roman" w:hAnsi="Times New Roman" w:cs="Times New Roman"/>
          <w:bCs/>
          <w:i/>
          <w:iCs/>
        </w:rPr>
        <w:t>ti</w:t>
      </w:r>
      <w:r w:rsidR="007C28BC" w:rsidRPr="007C28BC">
        <w:rPr>
          <w:rFonts w:ascii="Times New Roman" w:hAnsi="Times New Roman" w:cs="Times New Roman"/>
          <w:bCs/>
          <w:i/>
          <w:iCs/>
        </w:rPr>
        <w:t>zados, de forma remota e presencial, utilizando metodologias ágeis e de acordo com os padrões de desempenho e qualidade correspondentes à especialização exigida para o serviço, com vistas a atender as necessidades do Ministério da Jus</w:t>
      </w:r>
      <w:r w:rsidR="007C28BC" w:rsidRPr="007C28BC">
        <w:rPr>
          <w:rFonts w:ascii="Times New Roman" w:eastAsia="Times New Roman" w:hAnsi="Times New Roman" w:cs="Times New Roman"/>
          <w:bCs/>
          <w:i/>
          <w:iCs/>
        </w:rPr>
        <w:t>ti</w:t>
      </w:r>
      <w:r w:rsidR="007C28BC" w:rsidRPr="007C28BC">
        <w:rPr>
          <w:rFonts w:ascii="Times New Roman" w:hAnsi="Times New Roman" w:cs="Times New Roman" w:hint="eastAsia"/>
          <w:bCs/>
          <w:i/>
          <w:iCs/>
        </w:rPr>
        <w:t>ç</w:t>
      </w:r>
      <w:r w:rsidR="007C28BC" w:rsidRPr="007C28BC">
        <w:rPr>
          <w:rFonts w:ascii="Times New Roman" w:hAnsi="Times New Roman" w:cs="Times New Roman"/>
          <w:bCs/>
          <w:i/>
          <w:iCs/>
        </w:rPr>
        <w:t>a e Segurança Pública (MJSP), conforme condições, quantidades e exigências estabelecidas no Edital e seus anexos</w:t>
      </w:r>
      <w:r w:rsidR="007C28BC">
        <w:rPr>
          <w:rFonts w:ascii="Times New Roman" w:hAnsi="Times New Roman" w:cs="Times New Roman"/>
          <w:bCs/>
        </w:rPr>
        <w:t>”</w:t>
      </w:r>
      <w:r w:rsidR="007014FF">
        <w:rPr>
          <w:rFonts w:ascii="Times New Roman" w:hAnsi="Times New Roman" w:cs="Times New Roman"/>
          <w:bCs/>
        </w:rPr>
        <w:t>.</w:t>
      </w:r>
    </w:p>
    <w:p w14:paraId="228FA2E8" w14:textId="24272A04" w:rsidR="004C45BB" w:rsidRDefault="004C45BB" w:rsidP="004C45BB">
      <w:pPr>
        <w:spacing w:after="0" w:line="360" w:lineRule="auto"/>
        <w:ind w:firstLine="708"/>
        <w:jc w:val="both"/>
        <w:rPr>
          <w:rFonts w:ascii="Times New Roman" w:hAnsi="Times New Roman" w:cs="Times New Roman"/>
          <w:bCs/>
        </w:rPr>
      </w:pPr>
      <w:r>
        <w:rPr>
          <w:rFonts w:ascii="Times New Roman" w:hAnsi="Times New Roman" w:cs="Times New Roman"/>
          <w:bCs/>
        </w:rPr>
        <w:t>Com a finalização d</w:t>
      </w:r>
      <w:r w:rsidR="007014FF">
        <w:rPr>
          <w:rFonts w:ascii="Times New Roman" w:hAnsi="Times New Roman" w:cs="Times New Roman"/>
          <w:bCs/>
        </w:rPr>
        <w:t xml:space="preserve">a sessão de lances, </w:t>
      </w:r>
      <w:r w:rsidR="00872F88" w:rsidRPr="00936A4E">
        <w:rPr>
          <w:rFonts w:ascii="Times New Roman" w:hAnsi="Times New Roman" w:cs="Times New Roman"/>
          <w:bCs/>
        </w:rPr>
        <w:t xml:space="preserve">sagrou-se como melhor classificada, com uma proposta de </w:t>
      </w:r>
      <w:r w:rsidR="00872F88" w:rsidRPr="004C45BB">
        <w:rPr>
          <w:rFonts w:ascii="Times New Roman" w:hAnsi="Times New Roman" w:cs="Times New Roman"/>
          <w:bCs/>
        </w:rPr>
        <w:t xml:space="preserve">R$ </w:t>
      </w:r>
      <w:r w:rsidR="007C28BC" w:rsidRPr="007C28BC">
        <w:rPr>
          <w:rFonts w:ascii="Times New Roman" w:hAnsi="Times New Roman" w:cs="Times New Roman"/>
          <w:bCs/>
        </w:rPr>
        <w:t xml:space="preserve">19.398.060,00 </w:t>
      </w:r>
      <w:r w:rsidR="00A91BEA" w:rsidRPr="004C45BB">
        <w:rPr>
          <w:rFonts w:ascii="Times New Roman" w:hAnsi="Times New Roman" w:cs="Times New Roman"/>
          <w:bCs/>
        </w:rPr>
        <w:t>(</w:t>
      </w:r>
      <w:r w:rsidR="007C28BC" w:rsidRPr="004C45BB">
        <w:rPr>
          <w:rFonts w:ascii="Times New Roman" w:hAnsi="Times New Roman" w:cs="Times New Roman"/>
          <w:bCs/>
        </w:rPr>
        <w:t>dezenove milhões, trezentos e noventa e oito mil e sessenta reais</w:t>
      </w:r>
      <w:r w:rsidR="00A91BEA" w:rsidRPr="004C45BB">
        <w:rPr>
          <w:rFonts w:ascii="Times New Roman" w:hAnsi="Times New Roman" w:cs="Times New Roman"/>
          <w:bCs/>
        </w:rPr>
        <w:t>)</w:t>
      </w:r>
      <w:r w:rsidR="00872F88" w:rsidRPr="004C45BB">
        <w:rPr>
          <w:rFonts w:ascii="Times New Roman" w:hAnsi="Times New Roman" w:cs="Times New Roman"/>
          <w:bCs/>
        </w:rPr>
        <w:t xml:space="preserve">, a </w:t>
      </w:r>
      <w:r w:rsidR="007C28BC" w:rsidRPr="007C28BC">
        <w:rPr>
          <w:rFonts w:ascii="Times New Roman" w:hAnsi="Times New Roman" w:cs="Times New Roman"/>
          <w:bCs/>
        </w:rPr>
        <w:t>GETI COMERCIO E SERVICOS DE INFORMATICA LTDA</w:t>
      </w:r>
      <w:r w:rsidR="00271B65" w:rsidRPr="004C45BB">
        <w:rPr>
          <w:rFonts w:ascii="Times New Roman" w:hAnsi="Times New Roman" w:cs="Times New Roman"/>
          <w:bCs/>
        </w:rPr>
        <w:t>.</w:t>
      </w:r>
      <w:r w:rsidR="00271B65" w:rsidRPr="00936A4E">
        <w:rPr>
          <w:rFonts w:ascii="Times New Roman" w:hAnsi="Times New Roman" w:cs="Times New Roman"/>
          <w:bCs/>
        </w:rPr>
        <w:t xml:space="preserve"> Após análise da documentação da referida licitante, entendeu-se pela inabilitação </w:t>
      </w:r>
      <w:r>
        <w:rPr>
          <w:rFonts w:ascii="Times New Roman" w:hAnsi="Times New Roman" w:cs="Times New Roman"/>
          <w:bCs/>
        </w:rPr>
        <w:t xml:space="preserve">e desclassificação </w:t>
      </w:r>
      <w:r w:rsidR="00271B65" w:rsidRPr="00936A4E">
        <w:rPr>
          <w:rFonts w:ascii="Times New Roman" w:hAnsi="Times New Roman" w:cs="Times New Roman"/>
          <w:bCs/>
        </w:rPr>
        <w:t>desta, uma vez que não atend</w:t>
      </w:r>
      <w:r w:rsidR="00936A4E">
        <w:rPr>
          <w:rFonts w:ascii="Times New Roman" w:hAnsi="Times New Roman" w:cs="Times New Roman"/>
          <w:bCs/>
        </w:rPr>
        <w:t>idos os</w:t>
      </w:r>
      <w:r w:rsidR="00271B65" w:rsidRPr="00936A4E">
        <w:rPr>
          <w:rFonts w:ascii="Times New Roman" w:hAnsi="Times New Roman" w:cs="Times New Roman"/>
          <w:bCs/>
        </w:rPr>
        <w:t xml:space="preserve"> requisitos de</w:t>
      </w:r>
      <w:r w:rsidR="007014FF">
        <w:rPr>
          <w:rFonts w:ascii="Times New Roman" w:hAnsi="Times New Roman" w:cs="Times New Roman"/>
          <w:bCs/>
        </w:rPr>
        <w:t xml:space="preserve"> </w:t>
      </w:r>
      <w:r w:rsidR="00271B65" w:rsidRPr="00936A4E">
        <w:rPr>
          <w:rFonts w:ascii="Times New Roman" w:hAnsi="Times New Roman" w:cs="Times New Roman"/>
          <w:bCs/>
        </w:rPr>
        <w:t>habilitação constantes do Edital e seus Anexos.</w:t>
      </w:r>
      <w:r>
        <w:rPr>
          <w:rFonts w:ascii="Times New Roman" w:hAnsi="Times New Roman" w:cs="Times New Roman"/>
          <w:bCs/>
        </w:rPr>
        <w:t xml:space="preserve"> Fora chamada, então, a segunda melhor classificada, </w:t>
      </w:r>
      <w:r w:rsidRPr="004C45BB">
        <w:rPr>
          <w:rFonts w:ascii="Times New Roman" w:hAnsi="Times New Roman" w:cs="Times New Roman"/>
          <w:bCs/>
        </w:rPr>
        <w:t>DATAINFO SOLUCOES EM TECNOLOGIA DA INFORMACAO LTDA</w:t>
      </w:r>
      <w:r>
        <w:rPr>
          <w:rFonts w:ascii="Times New Roman" w:hAnsi="Times New Roman" w:cs="Times New Roman"/>
          <w:bCs/>
        </w:rPr>
        <w:t xml:space="preserve">, com a proposta de </w:t>
      </w:r>
      <w:r w:rsidRPr="004C45BB">
        <w:rPr>
          <w:rFonts w:ascii="Times New Roman" w:hAnsi="Times New Roman" w:cs="Times New Roman"/>
          <w:bCs/>
        </w:rPr>
        <w:t xml:space="preserve"> R$ 19.398.060,00</w:t>
      </w:r>
      <w:r>
        <w:rPr>
          <w:rFonts w:ascii="Times New Roman" w:hAnsi="Times New Roman" w:cs="Times New Roman"/>
          <w:bCs/>
        </w:rPr>
        <w:t xml:space="preserve"> (dezenove milhões, trezentos e noventa e oito mil e sessenta reais), que, após a análise da documentação apresentada e Planilha de Exequibilidade, teve sua proposta desclassificada porquanto não demonstrada a exequibilidade de seu valor</w:t>
      </w:r>
      <w:r w:rsidR="00724A7C">
        <w:rPr>
          <w:rFonts w:ascii="Times New Roman" w:hAnsi="Times New Roman" w:cs="Times New Roman"/>
          <w:bCs/>
        </w:rPr>
        <w:t xml:space="preserve"> </w:t>
      </w:r>
      <w:r>
        <w:rPr>
          <w:rFonts w:ascii="Times New Roman" w:hAnsi="Times New Roman" w:cs="Times New Roman"/>
          <w:bCs/>
        </w:rPr>
        <w:t>e não atendidos todos os requisitos de habilitação técnica exigidos em Edital.</w:t>
      </w:r>
    </w:p>
    <w:p w14:paraId="407C678D" w14:textId="0F1C7A5C" w:rsidR="00271B65" w:rsidRPr="00936A4E" w:rsidRDefault="004C45BB" w:rsidP="004C45BB">
      <w:pPr>
        <w:spacing w:after="0" w:line="360" w:lineRule="auto"/>
        <w:ind w:firstLine="708"/>
        <w:jc w:val="both"/>
        <w:rPr>
          <w:rFonts w:ascii="Times New Roman" w:hAnsi="Times New Roman" w:cs="Times New Roman"/>
          <w:bCs/>
        </w:rPr>
      </w:pPr>
      <w:r>
        <w:rPr>
          <w:rFonts w:ascii="Times New Roman" w:hAnsi="Times New Roman" w:cs="Times New Roman"/>
          <w:bCs/>
        </w:rPr>
        <w:t>Ato contínuo,</w:t>
      </w:r>
      <w:r w:rsidR="00271B65" w:rsidRPr="00936A4E">
        <w:rPr>
          <w:rFonts w:ascii="Times New Roman" w:hAnsi="Times New Roman" w:cs="Times New Roman"/>
          <w:bCs/>
        </w:rPr>
        <w:t xml:space="preserve"> o lote foi arrematado à </w:t>
      </w:r>
      <w:r w:rsidR="007014FF">
        <w:rPr>
          <w:rFonts w:ascii="Times New Roman" w:hAnsi="Times New Roman" w:cs="Times New Roman"/>
          <w:bCs/>
        </w:rPr>
        <w:t>terceira</w:t>
      </w:r>
      <w:r w:rsidR="00271B65" w:rsidRPr="00936A4E">
        <w:rPr>
          <w:rFonts w:ascii="Times New Roman" w:hAnsi="Times New Roman" w:cs="Times New Roman"/>
          <w:bCs/>
        </w:rPr>
        <w:t xml:space="preserve"> melhor classificada, META SERVIÇOS EM INFORMÁTICA S/A, com uma proposta </w:t>
      </w:r>
      <w:r w:rsidR="007014FF">
        <w:rPr>
          <w:rFonts w:ascii="Times New Roman" w:hAnsi="Times New Roman" w:cs="Times New Roman"/>
          <w:bCs/>
        </w:rPr>
        <w:t xml:space="preserve">no valor global </w:t>
      </w:r>
      <w:r w:rsidR="00271B65" w:rsidRPr="00936A4E">
        <w:rPr>
          <w:rFonts w:ascii="Times New Roman" w:hAnsi="Times New Roman" w:cs="Times New Roman"/>
          <w:bCs/>
        </w:rPr>
        <w:t>de R</w:t>
      </w:r>
      <w:r w:rsidR="00271B65" w:rsidRPr="0042294B">
        <w:rPr>
          <w:rFonts w:ascii="Times New Roman" w:hAnsi="Times New Roman" w:cs="Times New Roman"/>
          <w:bCs/>
        </w:rPr>
        <w:t xml:space="preserve">$ </w:t>
      </w:r>
      <w:r w:rsidRPr="0042294B">
        <w:rPr>
          <w:rFonts w:ascii="Times New Roman" w:hAnsi="Times New Roman" w:cs="Times New Roman"/>
          <w:bCs/>
        </w:rPr>
        <w:t>19.</w:t>
      </w:r>
      <w:r>
        <w:rPr>
          <w:rFonts w:ascii="Times New Roman" w:hAnsi="Times New Roman" w:cs="Times New Roman"/>
          <w:bCs/>
        </w:rPr>
        <w:t>400.000,00 (dezenove milhões e quatrocentos mil reais)</w:t>
      </w:r>
      <w:r w:rsidR="00271B65" w:rsidRPr="00936A4E">
        <w:rPr>
          <w:rFonts w:ascii="Times New Roman" w:hAnsi="Times New Roman" w:cs="Times New Roman"/>
          <w:bCs/>
        </w:rPr>
        <w:t xml:space="preserve">, a qual foi convocada para a apresentação </w:t>
      </w:r>
      <w:r>
        <w:rPr>
          <w:rFonts w:ascii="Times New Roman" w:hAnsi="Times New Roman" w:cs="Times New Roman"/>
          <w:bCs/>
        </w:rPr>
        <w:t xml:space="preserve">de sua Proposta Comercial no valor final e demais documentos </w:t>
      </w:r>
      <w:r w:rsidRPr="0042294B">
        <w:rPr>
          <w:rFonts w:ascii="Times New Roman" w:hAnsi="Times New Roman" w:cs="Times New Roman"/>
          <w:bCs/>
        </w:rPr>
        <w:t>pertinentes em</w:t>
      </w:r>
      <w:r w:rsidR="00271B65" w:rsidRPr="0042294B">
        <w:rPr>
          <w:rFonts w:ascii="Times New Roman" w:hAnsi="Times New Roman" w:cs="Times New Roman"/>
          <w:bCs/>
        </w:rPr>
        <w:t xml:space="preserve"> </w:t>
      </w:r>
      <w:r w:rsidR="0042294B" w:rsidRPr="0042294B">
        <w:rPr>
          <w:rFonts w:ascii="Times New Roman" w:hAnsi="Times New Roman" w:cs="Times New Roman"/>
          <w:bCs/>
        </w:rPr>
        <w:t>15/09</w:t>
      </w:r>
      <w:r w:rsidR="00AD4B39">
        <w:rPr>
          <w:rFonts w:ascii="Times New Roman" w:hAnsi="Times New Roman" w:cs="Times New Roman"/>
          <w:bCs/>
        </w:rPr>
        <w:t>/</w:t>
      </w:r>
      <w:r w:rsidR="00271B65" w:rsidRPr="0042294B">
        <w:rPr>
          <w:rFonts w:ascii="Times New Roman" w:hAnsi="Times New Roman" w:cs="Times New Roman"/>
          <w:bCs/>
        </w:rPr>
        <w:t xml:space="preserve">2020, com requerimento de diligências quanto à Proposta Comercial </w:t>
      </w:r>
      <w:r w:rsidR="0042294B" w:rsidRPr="0042294B">
        <w:rPr>
          <w:rFonts w:ascii="Times New Roman" w:hAnsi="Times New Roman" w:cs="Times New Roman"/>
          <w:bCs/>
        </w:rPr>
        <w:t>na mesma data</w:t>
      </w:r>
      <w:r w:rsidR="00271B65" w:rsidRPr="0042294B">
        <w:rPr>
          <w:rFonts w:ascii="Times New Roman" w:hAnsi="Times New Roman" w:cs="Times New Roman"/>
          <w:bCs/>
        </w:rPr>
        <w:t xml:space="preserve"> e complementações e esclarecimentos em </w:t>
      </w:r>
      <w:r w:rsidR="0042294B" w:rsidRPr="0042294B">
        <w:rPr>
          <w:rFonts w:ascii="Times New Roman" w:hAnsi="Times New Roman" w:cs="Times New Roman"/>
          <w:bCs/>
        </w:rPr>
        <w:t>16/09</w:t>
      </w:r>
      <w:r w:rsidR="00271B65" w:rsidRPr="0042294B">
        <w:rPr>
          <w:rFonts w:ascii="Times New Roman" w:hAnsi="Times New Roman" w:cs="Times New Roman"/>
          <w:bCs/>
        </w:rPr>
        <w:t>/2020. Todos os documentos</w:t>
      </w:r>
      <w:r w:rsidR="00266199" w:rsidRPr="0042294B">
        <w:rPr>
          <w:rFonts w:ascii="Times New Roman" w:hAnsi="Times New Roman" w:cs="Times New Roman"/>
          <w:bCs/>
        </w:rPr>
        <w:t xml:space="preserve">, </w:t>
      </w:r>
      <w:r w:rsidR="00271B65" w:rsidRPr="0042294B">
        <w:rPr>
          <w:rFonts w:ascii="Times New Roman" w:hAnsi="Times New Roman" w:cs="Times New Roman"/>
          <w:bCs/>
        </w:rPr>
        <w:t>devida e tempestivamente</w:t>
      </w:r>
      <w:r w:rsidR="00271B65" w:rsidRPr="00936A4E">
        <w:rPr>
          <w:rFonts w:ascii="Times New Roman" w:hAnsi="Times New Roman" w:cs="Times New Roman"/>
          <w:bCs/>
        </w:rPr>
        <w:t xml:space="preserve"> apresentados</w:t>
      </w:r>
      <w:r w:rsidR="00266199">
        <w:rPr>
          <w:rFonts w:ascii="Times New Roman" w:hAnsi="Times New Roman" w:cs="Times New Roman"/>
          <w:bCs/>
        </w:rPr>
        <w:t>, foram</w:t>
      </w:r>
      <w:r w:rsidR="00271B65" w:rsidRPr="00936A4E">
        <w:rPr>
          <w:rFonts w:ascii="Times New Roman" w:hAnsi="Times New Roman" w:cs="Times New Roman"/>
          <w:bCs/>
        </w:rPr>
        <w:t xml:space="preserve"> submetidos à </w:t>
      </w:r>
      <w:r w:rsidR="00936A4E">
        <w:rPr>
          <w:rFonts w:ascii="Times New Roman" w:hAnsi="Times New Roman" w:cs="Times New Roman"/>
          <w:bCs/>
        </w:rPr>
        <w:t xml:space="preserve">diligente </w:t>
      </w:r>
      <w:r w:rsidR="00271B65" w:rsidRPr="00936A4E">
        <w:rPr>
          <w:rFonts w:ascii="Times New Roman" w:hAnsi="Times New Roman" w:cs="Times New Roman"/>
          <w:bCs/>
        </w:rPr>
        <w:t>avaliação d</w:t>
      </w:r>
      <w:r w:rsidR="007014FF">
        <w:rPr>
          <w:rFonts w:ascii="Times New Roman" w:hAnsi="Times New Roman" w:cs="Times New Roman"/>
          <w:bCs/>
        </w:rPr>
        <w:t>o</w:t>
      </w:r>
      <w:r w:rsidR="00271B65" w:rsidRPr="00936A4E">
        <w:rPr>
          <w:rFonts w:ascii="Times New Roman" w:hAnsi="Times New Roman" w:cs="Times New Roman"/>
          <w:bCs/>
        </w:rPr>
        <w:t xml:space="preserve"> Ilm</w:t>
      </w:r>
      <w:r>
        <w:rPr>
          <w:rFonts w:ascii="Times New Roman" w:hAnsi="Times New Roman" w:cs="Times New Roman"/>
          <w:bCs/>
        </w:rPr>
        <w:t>o</w:t>
      </w:r>
      <w:r w:rsidR="00271B65" w:rsidRPr="00936A4E">
        <w:rPr>
          <w:rFonts w:ascii="Times New Roman" w:hAnsi="Times New Roman" w:cs="Times New Roman"/>
          <w:bCs/>
        </w:rPr>
        <w:t>. Sr. Pregoeir</w:t>
      </w:r>
      <w:r w:rsidR="007014FF">
        <w:rPr>
          <w:rFonts w:ascii="Times New Roman" w:hAnsi="Times New Roman" w:cs="Times New Roman"/>
          <w:bCs/>
        </w:rPr>
        <w:t>o</w:t>
      </w:r>
      <w:r w:rsidR="00271B65" w:rsidRPr="00936A4E">
        <w:rPr>
          <w:rFonts w:ascii="Times New Roman" w:hAnsi="Times New Roman" w:cs="Times New Roman"/>
          <w:bCs/>
        </w:rPr>
        <w:t xml:space="preserve">, juntamente de sua equipe de apoio e da área técnica, sobrevindo, assim, </w:t>
      </w:r>
      <w:r w:rsidR="00271B65" w:rsidRPr="0042294B">
        <w:rPr>
          <w:rFonts w:ascii="Times New Roman" w:hAnsi="Times New Roman" w:cs="Times New Roman"/>
          <w:bCs/>
        </w:rPr>
        <w:t xml:space="preserve">em </w:t>
      </w:r>
      <w:r w:rsidR="0042294B" w:rsidRPr="0042294B">
        <w:rPr>
          <w:rFonts w:ascii="Times New Roman" w:hAnsi="Times New Roman" w:cs="Times New Roman"/>
          <w:bCs/>
        </w:rPr>
        <w:t>18/09</w:t>
      </w:r>
      <w:r w:rsidR="00271B65" w:rsidRPr="0042294B">
        <w:rPr>
          <w:rFonts w:ascii="Times New Roman" w:hAnsi="Times New Roman" w:cs="Times New Roman"/>
          <w:bCs/>
        </w:rPr>
        <w:t>/2020, a</w:t>
      </w:r>
      <w:r w:rsidR="00271B65" w:rsidRPr="00936A4E">
        <w:rPr>
          <w:rFonts w:ascii="Times New Roman" w:hAnsi="Times New Roman" w:cs="Times New Roman"/>
          <w:bCs/>
        </w:rPr>
        <w:t xml:space="preserve"> declaração de classificação e habilitação da META SERVIÇOS EM INFORMÁTICA S/A</w:t>
      </w:r>
      <w:r w:rsidR="00266199">
        <w:rPr>
          <w:rFonts w:ascii="Times New Roman" w:hAnsi="Times New Roman" w:cs="Times New Roman"/>
          <w:bCs/>
        </w:rPr>
        <w:t>,</w:t>
      </w:r>
      <w:r w:rsidR="00936A4E">
        <w:rPr>
          <w:rFonts w:ascii="Times New Roman" w:hAnsi="Times New Roman" w:cs="Times New Roman"/>
          <w:bCs/>
        </w:rPr>
        <w:t xml:space="preserve"> sagrando-se esta como vencedora</w:t>
      </w:r>
      <w:r w:rsidR="00266199">
        <w:rPr>
          <w:rFonts w:ascii="Times New Roman" w:hAnsi="Times New Roman" w:cs="Times New Roman"/>
          <w:bCs/>
        </w:rPr>
        <w:t xml:space="preserve"> do certame</w:t>
      </w:r>
      <w:r w:rsidR="00271B65" w:rsidRPr="00936A4E">
        <w:rPr>
          <w:rFonts w:ascii="Times New Roman" w:hAnsi="Times New Roman" w:cs="Times New Roman"/>
          <w:bCs/>
        </w:rPr>
        <w:t>.</w:t>
      </w:r>
    </w:p>
    <w:p w14:paraId="26BAD0F2" w14:textId="26BD4663" w:rsidR="00271B65" w:rsidRDefault="00271B65" w:rsidP="005F314A">
      <w:pPr>
        <w:spacing w:after="0" w:line="360" w:lineRule="auto"/>
        <w:jc w:val="both"/>
        <w:rPr>
          <w:rFonts w:ascii="Times New Roman" w:hAnsi="Times New Roman" w:cs="Times New Roman"/>
          <w:bCs/>
        </w:rPr>
      </w:pPr>
      <w:r w:rsidRPr="00936A4E">
        <w:rPr>
          <w:rFonts w:ascii="Times New Roman" w:hAnsi="Times New Roman" w:cs="Times New Roman"/>
          <w:bCs/>
        </w:rPr>
        <w:tab/>
        <w:t xml:space="preserve">Aberto prazo para </w:t>
      </w:r>
      <w:r w:rsidR="00266199">
        <w:rPr>
          <w:rFonts w:ascii="Times New Roman" w:hAnsi="Times New Roman" w:cs="Times New Roman"/>
          <w:bCs/>
        </w:rPr>
        <w:t>registro</w:t>
      </w:r>
      <w:r w:rsidRPr="00936A4E">
        <w:rPr>
          <w:rFonts w:ascii="Times New Roman" w:hAnsi="Times New Roman" w:cs="Times New Roman"/>
          <w:bCs/>
        </w:rPr>
        <w:t xml:space="preserve"> de interesse recursal, </w:t>
      </w:r>
      <w:r w:rsidR="007014FF">
        <w:rPr>
          <w:rFonts w:ascii="Times New Roman" w:hAnsi="Times New Roman" w:cs="Times New Roman"/>
          <w:bCs/>
        </w:rPr>
        <w:t>manifestaram-se</w:t>
      </w:r>
      <w:r w:rsidRPr="00936A4E">
        <w:rPr>
          <w:rFonts w:ascii="Times New Roman" w:hAnsi="Times New Roman" w:cs="Times New Roman"/>
          <w:bCs/>
        </w:rPr>
        <w:t xml:space="preserve"> a</w:t>
      </w:r>
      <w:r w:rsidR="007014FF">
        <w:rPr>
          <w:rFonts w:ascii="Times New Roman" w:hAnsi="Times New Roman" w:cs="Times New Roman"/>
          <w:bCs/>
        </w:rPr>
        <w:t>s</w:t>
      </w:r>
      <w:r w:rsidRPr="00936A4E">
        <w:rPr>
          <w:rFonts w:ascii="Times New Roman" w:hAnsi="Times New Roman" w:cs="Times New Roman"/>
          <w:bCs/>
        </w:rPr>
        <w:t xml:space="preserve"> licitante</w:t>
      </w:r>
      <w:r w:rsidR="007014FF">
        <w:rPr>
          <w:rFonts w:ascii="Times New Roman" w:hAnsi="Times New Roman" w:cs="Times New Roman"/>
          <w:bCs/>
        </w:rPr>
        <w:t>s</w:t>
      </w:r>
      <w:r w:rsidRPr="00936A4E">
        <w:rPr>
          <w:rFonts w:ascii="Times New Roman" w:hAnsi="Times New Roman" w:cs="Times New Roman"/>
          <w:bCs/>
        </w:rPr>
        <w:t xml:space="preserve"> </w:t>
      </w:r>
      <w:r w:rsidR="004C45BB" w:rsidRPr="004C45BB">
        <w:rPr>
          <w:rFonts w:ascii="Times New Roman" w:hAnsi="Times New Roman" w:cs="Times New Roman"/>
          <w:bCs/>
        </w:rPr>
        <w:t>DATAINFO SOLUCOES EM TECNOLOGIA DA INFORMACAO LTDA</w:t>
      </w:r>
      <w:r w:rsidR="004C45BB">
        <w:rPr>
          <w:rFonts w:ascii="Times New Roman" w:hAnsi="Times New Roman" w:cs="Times New Roman"/>
          <w:bCs/>
        </w:rPr>
        <w:t xml:space="preserve">, </w:t>
      </w:r>
      <w:r w:rsidR="004C45BB" w:rsidRPr="004C45BB">
        <w:rPr>
          <w:rFonts w:ascii="Times New Roman" w:hAnsi="Times New Roman" w:cs="Times New Roman"/>
          <w:bCs/>
        </w:rPr>
        <w:t>SIGMA DATASERV INFORMATICA S</w:t>
      </w:r>
      <w:r w:rsidR="004C45BB">
        <w:rPr>
          <w:rFonts w:ascii="Times New Roman" w:hAnsi="Times New Roman" w:cs="Times New Roman"/>
          <w:bCs/>
        </w:rPr>
        <w:t>/</w:t>
      </w:r>
      <w:r w:rsidR="004C45BB" w:rsidRPr="004C45BB">
        <w:rPr>
          <w:rFonts w:ascii="Times New Roman" w:hAnsi="Times New Roman" w:cs="Times New Roman"/>
          <w:bCs/>
        </w:rPr>
        <w:t>A</w:t>
      </w:r>
      <w:r w:rsidR="004C45BB">
        <w:rPr>
          <w:rFonts w:ascii="Times New Roman" w:hAnsi="Times New Roman" w:cs="Times New Roman"/>
          <w:bCs/>
        </w:rPr>
        <w:t xml:space="preserve"> e CAPGEMINI BRASIL S/A</w:t>
      </w:r>
      <w:r w:rsidRPr="004C45BB">
        <w:rPr>
          <w:rFonts w:ascii="Times New Roman" w:hAnsi="Times New Roman" w:cs="Times New Roman"/>
          <w:bCs/>
        </w:rPr>
        <w:t xml:space="preserve">, </w:t>
      </w:r>
      <w:r w:rsidR="007014FF">
        <w:rPr>
          <w:rFonts w:ascii="Times New Roman" w:hAnsi="Times New Roman" w:cs="Times New Roman"/>
          <w:bCs/>
        </w:rPr>
        <w:t xml:space="preserve">sendo que somente </w:t>
      </w:r>
      <w:r w:rsidR="004C45BB">
        <w:rPr>
          <w:rFonts w:ascii="Times New Roman" w:hAnsi="Times New Roman" w:cs="Times New Roman"/>
          <w:bCs/>
        </w:rPr>
        <w:t>esta última</w:t>
      </w:r>
      <w:r w:rsidR="004A4C4A">
        <w:rPr>
          <w:rFonts w:ascii="Times New Roman" w:hAnsi="Times New Roman" w:cs="Times New Roman"/>
          <w:bCs/>
        </w:rPr>
        <w:t xml:space="preserve">, em 23/09/2020, </w:t>
      </w:r>
      <w:r w:rsidRPr="00936A4E">
        <w:rPr>
          <w:rFonts w:ascii="Times New Roman" w:hAnsi="Times New Roman" w:cs="Times New Roman"/>
          <w:bCs/>
        </w:rPr>
        <w:t xml:space="preserve">apresentou suas razões </w:t>
      </w:r>
      <w:r w:rsidR="00266199">
        <w:rPr>
          <w:rFonts w:ascii="Times New Roman" w:hAnsi="Times New Roman" w:cs="Times New Roman"/>
          <w:bCs/>
        </w:rPr>
        <w:t>de recurso</w:t>
      </w:r>
      <w:r w:rsidR="00936A4E">
        <w:rPr>
          <w:rFonts w:ascii="Times New Roman" w:hAnsi="Times New Roman" w:cs="Times New Roman"/>
          <w:bCs/>
        </w:rPr>
        <w:t>.</w:t>
      </w:r>
      <w:r w:rsidR="004A4C4A">
        <w:rPr>
          <w:rFonts w:ascii="Times New Roman" w:hAnsi="Times New Roman" w:cs="Times New Roman"/>
          <w:bCs/>
        </w:rPr>
        <w:t xml:space="preserve"> DATAINFO e SIGMA quedaram inertes, possivelmente, por não haver o que se questionar acerca da classificação e habilitação da licitante META SERVIÇOS EM INFORMÁTICA S/A.</w:t>
      </w:r>
    </w:p>
    <w:p w14:paraId="49116261" w14:textId="0A52B4AD" w:rsidR="00936A4E" w:rsidRPr="00936A4E" w:rsidRDefault="00936A4E" w:rsidP="005F314A">
      <w:pPr>
        <w:spacing w:after="0" w:line="360" w:lineRule="auto"/>
        <w:jc w:val="both"/>
        <w:rPr>
          <w:rFonts w:ascii="Times New Roman" w:hAnsi="Times New Roman" w:cs="Times New Roman"/>
          <w:bCs/>
        </w:rPr>
      </w:pPr>
      <w:r>
        <w:rPr>
          <w:rFonts w:ascii="Times New Roman" w:hAnsi="Times New Roman" w:cs="Times New Roman"/>
          <w:bCs/>
        </w:rPr>
        <w:tab/>
        <w:t xml:space="preserve">Ocorre que, como adiante restará cabalmente demonstrado, não merecem prosperar as alegações da licitante </w:t>
      </w:r>
      <w:r w:rsidR="004A4C4A">
        <w:rPr>
          <w:rFonts w:ascii="Times New Roman" w:hAnsi="Times New Roman" w:cs="Times New Roman"/>
          <w:bCs/>
        </w:rPr>
        <w:t>CAPGEMINI</w:t>
      </w:r>
      <w:r>
        <w:rPr>
          <w:rFonts w:ascii="Times New Roman" w:hAnsi="Times New Roman" w:cs="Times New Roman"/>
          <w:bCs/>
        </w:rPr>
        <w:t xml:space="preserve">I, porquanto não respaldadas </w:t>
      </w:r>
      <w:r w:rsidR="00266199">
        <w:rPr>
          <w:rFonts w:ascii="Times New Roman" w:hAnsi="Times New Roman" w:cs="Times New Roman"/>
          <w:bCs/>
        </w:rPr>
        <w:t xml:space="preserve">em </w:t>
      </w:r>
      <w:r>
        <w:rPr>
          <w:rFonts w:ascii="Times New Roman" w:hAnsi="Times New Roman" w:cs="Times New Roman"/>
          <w:bCs/>
        </w:rPr>
        <w:t>subsídios de fato e de Direito legítimos, sendo o seu não</w:t>
      </w:r>
      <w:r w:rsidR="00266199">
        <w:rPr>
          <w:rFonts w:ascii="Times New Roman" w:hAnsi="Times New Roman" w:cs="Times New Roman"/>
          <w:bCs/>
        </w:rPr>
        <w:t xml:space="preserve"> </w:t>
      </w:r>
      <w:r w:rsidR="004A4C4A">
        <w:rPr>
          <w:rFonts w:ascii="Times New Roman" w:hAnsi="Times New Roman" w:cs="Times New Roman"/>
          <w:bCs/>
        </w:rPr>
        <w:t>provimento</w:t>
      </w:r>
      <w:r>
        <w:rPr>
          <w:rFonts w:ascii="Times New Roman" w:hAnsi="Times New Roman" w:cs="Times New Roman"/>
          <w:bCs/>
        </w:rPr>
        <w:t xml:space="preserve">, medida que se impõe e desde já se requer. </w:t>
      </w:r>
    </w:p>
    <w:p w14:paraId="1CE9E053" w14:textId="534F8FC4" w:rsidR="00872F88" w:rsidRDefault="00872F88" w:rsidP="005F314A">
      <w:pPr>
        <w:spacing w:after="0" w:line="360" w:lineRule="auto"/>
        <w:jc w:val="both"/>
        <w:rPr>
          <w:rFonts w:ascii="Times New Roman" w:hAnsi="Times New Roman" w:cs="Times New Roman"/>
          <w:bCs/>
        </w:rPr>
      </w:pPr>
      <w:r>
        <w:rPr>
          <w:rFonts w:ascii="Times New Roman" w:hAnsi="Times New Roman" w:cs="Times New Roman"/>
          <w:bCs/>
        </w:rPr>
        <w:tab/>
      </w:r>
    </w:p>
    <w:p w14:paraId="041D2AB3" w14:textId="6A1AA3D5" w:rsidR="00B21064" w:rsidRDefault="005F314A" w:rsidP="005F314A">
      <w:pPr>
        <w:spacing w:after="0" w:line="360" w:lineRule="auto"/>
        <w:jc w:val="both"/>
        <w:rPr>
          <w:rFonts w:ascii="Times New Roman" w:hAnsi="Times New Roman" w:cs="Times New Roman"/>
          <w:b/>
        </w:rPr>
      </w:pPr>
      <w:r w:rsidRPr="007E47E8">
        <w:rPr>
          <w:rFonts w:ascii="Times New Roman" w:hAnsi="Times New Roman" w:cs="Times New Roman"/>
          <w:b/>
        </w:rPr>
        <w:t xml:space="preserve">II – </w:t>
      </w:r>
      <w:r w:rsidR="004A4C4A">
        <w:rPr>
          <w:rFonts w:ascii="Times New Roman" w:hAnsi="Times New Roman" w:cs="Times New Roman"/>
          <w:b/>
        </w:rPr>
        <w:t>DAS INTENÇÕES RECURSAIS NÃO ARRAZOADAS</w:t>
      </w:r>
    </w:p>
    <w:p w14:paraId="78C80BA4" w14:textId="77777777" w:rsidR="00724A7C" w:rsidRDefault="00724A7C" w:rsidP="00724A7C">
      <w:pPr>
        <w:spacing w:after="0" w:line="360" w:lineRule="auto"/>
        <w:ind w:firstLine="708"/>
        <w:jc w:val="both"/>
        <w:rPr>
          <w:rFonts w:ascii="Times New Roman" w:hAnsi="Times New Roman" w:cs="Times New Roman"/>
          <w:b/>
          <w:color w:val="FF0000"/>
        </w:rPr>
      </w:pPr>
    </w:p>
    <w:p w14:paraId="2F13DED8" w14:textId="44E3F8AE" w:rsidR="00B21064" w:rsidRPr="00724A7C" w:rsidRDefault="00724A7C" w:rsidP="00724A7C">
      <w:pPr>
        <w:spacing w:after="0" w:line="360" w:lineRule="auto"/>
        <w:ind w:firstLine="708"/>
        <w:jc w:val="both"/>
        <w:rPr>
          <w:rFonts w:ascii="Times New Roman" w:hAnsi="Times New Roman" w:cs="Times New Roman"/>
          <w:bCs/>
        </w:rPr>
      </w:pPr>
      <w:r w:rsidRPr="00724A7C">
        <w:rPr>
          <w:rFonts w:ascii="Times New Roman" w:hAnsi="Times New Roman" w:cs="Times New Roman"/>
          <w:bCs/>
        </w:rPr>
        <w:t xml:space="preserve">Conforme mencionado, as licitantes DATAINFO SOLUCOES EM TECNOLOGIA DA INFORMACAO LTDA, SIGMA DATASERV INFORMATICA S/A e CAPGEMINI BRASIL S/A manifestaram, em 18/09/2020, seu interesse em recorrer da decisão que declarou a META como aceita e habilitada no processo em questão. </w:t>
      </w:r>
    </w:p>
    <w:p w14:paraId="0D46A57F" w14:textId="19461B42" w:rsidR="00724A7C" w:rsidRPr="00724A7C" w:rsidRDefault="00724A7C" w:rsidP="00724A7C">
      <w:pPr>
        <w:spacing w:after="0" w:line="360" w:lineRule="auto"/>
        <w:ind w:firstLine="708"/>
        <w:jc w:val="both"/>
        <w:rPr>
          <w:rFonts w:ascii="Times New Roman" w:hAnsi="Times New Roman" w:cs="Times New Roman"/>
          <w:bCs/>
        </w:rPr>
      </w:pPr>
      <w:r w:rsidRPr="00724A7C">
        <w:rPr>
          <w:rFonts w:ascii="Times New Roman" w:hAnsi="Times New Roman" w:cs="Times New Roman"/>
          <w:bCs/>
        </w:rPr>
        <w:t>Assim se manifestaram:</w:t>
      </w:r>
    </w:p>
    <w:p w14:paraId="31907D02" w14:textId="0F187AE4" w:rsidR="00724A7C" w:rsidRDefault="00724A7C" w:rsidP="00724A7C">
      <w:pPr>
        <w:spacing w:after="0" w:line="360" w:lineRule="auto"/>
        <w:ind w:firstLine="708"/>
        <w:jc w:val="both"/>
        <w:rPr>
          <w:rFonts w:ascii="Times New Roman" w:hAnsi="Times New Roman" w:cs="Times New Roman"/>
          <w:b/>
          <w:color w:val="FF0000"/>
        </w:rPr>
      </w:pPr>
    </w:p>
    <w:p w14:paraId="392F230B" w14:textId="5CE8A12E" w:rsidR="00724A7C" w:rsidRPr="00AD4B39" w:rsidRDefault="00724A7C" w:rsidP="00724A7C">
      <w:pPr>
        <w:spacing w:after="0" w:line="240" w:lineRule="auto"/>
        <w:ind w:left="2268"/>
        <w:jc w:val="both"/>
        <w:rPr>
          <w:rFonts w:ascii="Times New Roman" w:hAnsi="Times New Roman" w:cs="Times New Roman"/>
          <w:sz w:val="20"/>
          <w:szCs w:val="20"/>
          <w:shd w:val="clear" w:color="auto" w:fill="FFFFFF"/>
        </w:rPr>
      </w:pPr>
      <w:r w:rsidRPr="00AD4B39">
        <w:rPr>
          <w:rFonts w:ascii="Times New Roman" w:hAnsi="Times New Roman" w:cs="Times New Roman"/>
          <w:b/>
          <w:bCs/>
          <w:sz w:val="20"/>
          <w:szCs w:val="20"/>
          <w:shd w:val="clear" w:color="auto" w:fill="FFFFFF"/>
        </w:rPr>
        <w:t xml:space="preserve">[DATAINFO] </w:t>
      </w:r>
      <w:r w:rsidRPr="00AD4B39">
        <w:rPr>
          <w:rFonts w:ascii="Times New Roman" w:hAnsi="Times New Roman" w:cs="Times New Roman"/>
          <w:sz w:val="20"/>
          <w:szCs w:val="20"/>
          <w:shd w:val="clear" w:color="auto" w:fill="FFFFFF"/>
        </w:rPr>
        <w:t>Sr. Pregoeiro, A DATAINFO vem, respeitosamente, manifestar intensão [</w:t>
      </w:r>
      <w:r w:rsidRPr="00AD4B39">
        <w:rPr>
          <w:rFonts w:ascii="Times New Roman" w:hAnsi="Times New Roman" w:cs="Times New Roman"/>
          <w:i/>
          <w:iCs/>
          <w:sz w:val="20"/>
          <w:szCs w:val="20"/>
          <w:shd w:val="clear" w:color="auto" w:fill="FFFFFF"/>
        </w:rPr>
        <w:t>sic</w:t>
      </w:r>
      <w:r w:rsidRPr="00AD4B39">
        <w:rPr>
          <w:rFonts w:ascii="Times New Roman" w:hAnsi="Times New Roman" w:cs="Times New Roman"/>
          <w:sz w:val="20"/>
          <w:szCs w:val="20"/>
          <w:shd w:val="clear" w:color="auto" w:fill="FFFFFF"/>
        </w:rPr>
        <w:t>] de apresentar recurso contra sua equivocada desclassificação e para melhor avaliar a documentação da empresa META, objetivando uma análise do cumprimento das exigências do edital em referência.</w:t>
      </w:r>
    </w:p>
    <w:p w14:paraId="0D0ADFBF" w14:textId="75364E5E" w:rsidR="00724A7C" w:rsidRPr="00AD4B39" w:rsidRDefault="00724A7C" w:rsidP="00724A7C">
      <w:pPr>
        <w:spacing w:after="0" w:line="240" w:lineRule="auto"/>
        <w:ind w:left="2268"/>
        <w:jc w:val="both"/>
        <w:rPr>
          <w:rFonts w:ascii="Times New Roman" w:hAnsi="Times New Roman" w:cs="Times New Roman"/>
          <w:sz w:val="20"/>
          <w:szCs w:val="20"/>
          <w:shd w:val="clear" w:color="auto" w:fill="FFFFFF"/>
        </w:rPr>
      </w:pPr>
    </w:p>
    <w:p w14:paraId="3F695DE4" w14:textId="1B4A551B" w:rsidR="00724A7C" w:rsidRPr="00AD4B39" w:rsidRDefault="00724A7C" w:rsidP="00724A7C">
      <w:pPr>
        <w:spacing w:after="0" w:line="240" w:lineRule="auto"/>
        <w:ind w:left="2268"/>
        <w:jc w:val="both"/>
        <w:rPr>
          <w:rFonts w:ascii="Times New Roman" w:hAnsi="Times New Roman" w:cs="Times New Roman"/>
          <w:bCs/>
          <w:sz w:val="20"/>
          <w:szCs w:val="20"/>
        </w:rPr>
      </w:pPr>
      <w:r w:rsidRPr="00AD4B39">
        <w:rPr>
          <w:rFonts w:ascii="Times New Roman" w:hAnsi="Times New Roman" w:cs="Times New Roman"/>
          <w:b/>
          <w:sz w:val="20"/>
          <w:szCs w:val="20"/>
        </w:rPr>
        <w:t>[SIGMA]</w:t>
      </w:r>
      <w:r w:rsidRPr="00AD4B39">
        <w:rPr>
          <w:rFonts w:ascii="Times New Roman" w:hAnsi="Times New Roman" w:cs="Times New Roman"/>
          <w:bCs/>
          <w:sz w:val="20"/>
          <w:szCs w:val="20"/>
        </w:rPr>
        <w:t xml:space="preserve"> A Sigma </w:t>
      </w:r>
      <w:proofErr w:type="spellStart"/>
      <w:r w:rsidRPr="00AD4B39">
        <w:rPr>
          <w:rFonts w:ascii="Times New Roman" w:hAnsi="Times New Roman" w:cs="Times New Roman"/>
          <w:bCs/>
          <w:sz w:val="20"/>
          <w:szCs w:val="20"/>
        </w:rPr>
        <w:t>Dataserv</w:t>
      </w:r>
      <w:proofErr w:type="spellEnd"/>
      <w:r w:rsidRPr="00AD4B39">
        <w:rPr>
          <w:rFonts w:ascii="Times New Roman" w:hAnsi="Times New Roman" w:cs="Times New Roman"/>
          <w:bCs/>
          <w:sz w:val="20"/>
          <w:szCs w:val="20"/>
        </w:rPr>
        <w:t xml:space="preserve"> Informática S/A manifesta intenção de recurso contra a aceitação e habilitação da empresa META no certame em epígrafe. Fundamenta a manifestação por entender descumpridas as exigências de exequibilidade da proposta (quanto a aceitação) [itens 24.6, 25, 25.9.5.2.1 e demais atinentes a espécie] e quanto a comprovação de qualificação técnica (habilitação) [itens 9.11.1, 9.11.1.7 e demais relativos </w:t>
      </w:r>
      <w:proofErr w:type="gramStart"/>
      <w:r w:rsidRPr="00AD4B39">
        <w:rPr>
          <w:rFonts w:ascii="Times New Roman" w:hAnsi="Times New Roman" w:cs="Times New Roman"/>
          <w:bCs/>
          <w:sz w:val="20"/>
          <w:szCs w:val="20"/>
        </w:rPr>
        <w:t>a</w:t>
      </w:r>
      <w:proofErr w:type="gramEnd"/>
      <w:r w:rsidRPr="00AD4B39">
        <w:rPr>
          <w:rFonts w:ascii="Times New Roman" w:hAnsi="Times New Roman" w:cs="Times New Roman"/>
          <w:bCs/>
          <w:sz w:val="20"/>
          <w:szCs w:val="20"/>
        </w:rPr>
        <w:t xml:space="preserve"> matéria]. Requer a abertura do prazo para razões, nos da legislação.</w:t>
      </w:r>
    </w:p>
    <w:p w14:paraId="32F6A849" w14:textId="3BA2C7DF" w:rsidR="00724A7C" w:rsidRPr="00AD4B39" w:rsidRDefault="00724A7C" w:rsidP="00724A7C">
      <w:pPr>
        <w:spacing w:after="0" w:line="240" w:lineRule="auto"/>
        <w:ind w:left="2268"/>
        <w:jc w:val="both"/>
        <w:rPr>
          <w:rFonts w:ascii="Times New Roman" w:hAnsi="Times New Roman" w:cs="Times New Roman"/>
          <w:b/>
          <w:sz w:val="20"/>
          <w:szCs w:val="20"/>
        </w:rPr>
      </w:pPr>
    </w:p>
    <w:p w14:paraId="6EDA7732" w14:textId="0B02FBC8" w:rsidR="00724A7C" w:rsidRPr="00AD4B39" w:rsidRDefault="00724A7C" w:rsidP="00724A7C">
      <w:pPr>
        <w:spacing w:after="0" w:line="240" w:lineRule="auto"/>
        <w:ind w:left="2268"/>
        <w:jc w:val="both"/>
        <w:rPr>
          <w:rFonts w:ascii="Times New Roman" w:hAnsi="Times New Roman" w:cs="Times New Roman"/>
          <w:b/>
          <w:sz w:val="20"/>
          <w:szCs w:val="20"/>
        </w:rPr>
      </w:pPr>
      <w:r w:rsidRPr="00AD4B39">
        <w:rPr>
          <w:rFonts w:ascii="Times New Roman" w:hAnsi="Times New Roman" w:cs="Times New Roman"/>
          <w:b/>
          <w:bCs/>
          <w:sz w:val="20"/>
          <w:szCs w:val="20"/>
          <w:shd w:val="clear" w:color="auto" w:fill="FFFFFF"/>
        </w:rPr>
        <w:t>[CAPGEMINI]</w:t>
      </w:r>
      <w:r w:rsidRPr="00AD4B39">
        <w:rPr>
          <w:rFonts w:ascii="Times New Roman" w:hAnsi="Times New Roman" w:cs="Times New Roman"/>
          <w:sz w:val="20"/>
          <w:szCs w:val="20"/>
          <w:shd w:val="clear" w:color="auto" w:fill="FFFFFF"/>
        </w:rPr>
        <w:t xml:space="preserve"> Com base na prerrogativas legais previstas no Direito Administrativo Brasileiro e já previsto em Edital, manifestamos nossa intenção de recurso acerca da decisão que habilita e declara vencedora do Pregão, a empresa META SERVIÇOS EM INFORMATICA S.A., por não cumprimento das condições </w:t>
      </w:r>
      <w:proofErr w:type="spellStart"/>
      <w:r w:rsidRPr="00AD4B39">
        <w:rPr>
          <w:rFonts w:ascii="Times New Roman" w:hAnsi="Times New Roman" w:cs="Times New Roman"/>
          <w:sz w:val="20"/>
          <w:szCs w:val="20"/>
          <w:shd w:val="clear" w:color="auto" w:fill="FFFFFF"/>
        </w:rPr>
        <w:t>editalícias</w:t>
      </w:r>
      <w:proofErr w:type="spellEnd"/>
      <w:r w:rsidRPr="00AD4B39">
        <w:rPr>
          <w:rFonts w:ascii="Times New Roman" w:hAnsi="Times New Roman" w:cs="Times New Roman"/>
          <w:sz w:val="20"/>
          <w:szCs w:val="20"/>
          <w:shd w:val="clear" w:color="auto" w:fill="FFFFFF"/>
        </w:rPr>
        <w:t>, notadamente no que refere-se à exequibilidade de sua planilha de preços e habilitação técnica conforme será demonstrado nas razões recursais tempestivamente.</w:t>
      </w:r>
    </w:p>
    <w:p w14:paraId="46E81532" w14:textId="637C5938" w:rsidR="007C34C8" w:rsidRDefault="007C34C8" w:rsidP="005F314A">
      <w:pPr>
        <w:spacing w:after="0" w:line="360" w:lineRule="auto"/>
        <w:jc w:val="both"/>
        <w:rPr>
          <w:rFonts w:ascii="Times New Roman" w:hAnsi="Times New Roman" w:cs="Times New Roman"/>
          <w:b/>
        </w:rPr>
      </w:pPr>
    </w:p>
    <w:p w14:paraId="7EDA1F2E" w14:textId="77777777" w:rsidR="003C30BA" w:rsidRDefault="00D642A0" w:rsidP="00D642A0">
      <w:pPr>
        <w:spacing w:after="0" w:line="360" w:lineRule="auto"/>
        <w:ind w:firstLine="708"/>
        <w:jc w:val="both"/>
        <w:rPr>
          <w:rFonts w:ascii="Times New Roman" w:hAnsi="Times New Roman" w:cs="Times New Roman"/>
          <w:bCs/>
          <w:iCs/>
        </w:rPr>
      </w:pPr>
      <w:r>
        <w:rPr>
          <w:rFonts w:ascii="Times New Roman" w:hAnsi="Times New Roman" w:cs="Times New Roman"/>
          <w:bCs/>
          <w:iCs/>
        </w:rPr>
        <w:t xml:space="preserve">Inicialmente, há de se mencionar que a argumentação genérica impede impugnação e/ou avaliação de termos específicos da irresignação manifestada em sede de registro de interesse recursal, podendo caracterizar recurso meramente protelatório, em prejuízo de um efetivo contraditório, da celeridade e eficiência que devem revestir todos os atos e processos administrativos. Se interposto o recurso, deve ser feito de forma fundamentada, deixando suficientemente claras as inconformidades apontadas, até mesmo para viabilizar a análise do julgador. </w:t>
      </w:r>
    </w:p>
    <w:p w14:paraId="07C30718" w14:textId="762EDCD0" w:rsidR="00D642A0" w:rsidRDefault="003C30BA" w:rsidP="00D642A0">
      <w:pPr>
        <w:spacing w:after="0" w:line="360" w:lineRule="auto"/>
        <w:ind w:firstLine="708"/>
        <w:jc w:val="both"/>
        <w:rPr>
          <w:rFonts w:ascii="Times New Roman" w:hAnsi="Times New Roman" w:cs="Times New Roman"/>
          <w:bCs/>
        </w:rPr>
      </w:pPr>
      <w:r>
        <w:rPr>
          <w:rFonts w:ascii="Times New Roman" w:hAnsi="Times New Roman" w:cs="Times New Roman"/>
          <w:bCs/>
          <w:iCs/>
        </w:rPr>
        <w:t>De toda sorte, traçamos algumas considerações acerca das manifestações de interesse recursal registradas.</w:t>
      </w:r>
    </w:p>
    <w:p w14:paraId="3477AEAF" w14:textId="07E61251" w:rsidR="00724A7C" w:rsidRDefault="00724A7C" w:rsidP="00D642A0">
      <w:pPr>
        <w:spacing w:after="0" w:line="360" w:lineRule="auto"/>
        <w:ind w:firstLine="708"/>
        <w:jc w:val="both"/>
        <w:rPr>
          <w:rFonts w:ascii="Times New Roman" w:hAnsi="Times New Roman" w:cs="Times New Roman"/>
          <w:bCs/>
        </w:rPr>
      </w:pPr>
      <w:r w:rsidRPr="00354B62">
        <w:rPr>
          <w:rFonts w:ascii="Times New Roman" w:hAnsi="Times New Roman" w:cs="Times New Roman"/>
          <w:bCs/>
        </w:rPr>
        <w:t>Com relação à manifestação da DATAINFO, irretocável a decisão do Ilmo. Pregoeiro e sua equipe de apoio, uma vez que a licitante não logrou êxito em, quando oportunizada, comprovar a exequibilidade de sua proposta, tendo considerado produtividade acima do valor de 10</w:t>
      </w:r>
      <w:r w:rsidR="003C30BA">
        <w:rPr>
          <w:rFonts w:ascii="Times New Roman" w:hAnsi="Times New Roman" w:cs="Times New Roman"/>
          <w:bCs/>
        </w:rPr>
        <w:t xml:space="preserve"> (dez)</w:t>
      </w:r>
      <w:r w:rsidRPr="00354B62">
        <w:rPr>
          <w:rFonts w:ascii="Times New Roman" w:hAnsi="Times New Roman" w:cs="Times New Roman"/>
          <w:bCs/>
        </w:rPr>
        <w:t xml:space="preserve"> horas por Ponto de Função, </w:t>
      </w:r>
      <w:r w:rsidR="003C30BA">
        <w:rPr>
          <w:rFonts w:ascii="Times New Roman" w:hAnsi="Times New Roman" w:cs="Times New Roman"/>
          <w:bCs/>
        </w:rPr>
        <w:t xml:space="preserve">não apresentando subsídios que comprovassem a viabilidade de execução nestes termos, </w:t>
      </w:r>
      <w:r w:rsidRPr="00354B62">
        <w:rPr>
          <w:rFonts w:ascii="Times New Roman" w:hAnsi="Times New Roman" w:cs="Times New Roman"/>
          <w:bCs/>
        </w:rPr>
        <w:t xml:space="preserve">conforme previsto no </w:t>
      </w:r>
      <w:r w:rsidR="003C30BA">
        <w:rPr>
          <w:rFonts w:ascii="Times New Roman" w:hAnsi="Times New Roman" w:cs="Times New Roman"/>
          <w:bCs/>
        </w:rPr>
        <w:t xml:space="preserve">Edital e </w:t>
      </w:r>
      <w:r w:rsidRPr="00354B62">
        <w:rPr>
          <w:rFonts w:ascii="Times New Roman" w:hAnsi="Times New Roman" w:cs="Times New Roman"/>
          <w:bCs/>
        </w:rPr>
        <w:t xml:space="preserve">Termo de Referência. Não obstante, a documentação de qualificação técnica não foi suficiente e adequada a comprovar os itens exigidos em Edital, principalmente no tocante à experiência em 1.500 (mil e quinhentos) Pontos de Função em Python, tendo sido empreendida a arriscada manobra de inclusão de Atestado de Capacidade Técnica obtido e assinado após a data de realização do certame, em notória estratégia de </w:t>
      </w:r>
      <w:r w:rsidR="00354B62" w:rsidRPr="00354B62">
        <w:rPr>
          <w:rFonts w:ascii="Times New Roman" w:hAnsi="Times New Roman" w:cs="Times New Roman"/>
          <w:bCs/>
        </w:rPr>
        <w:t xml:space="preserve">ludibriar a avaliação de suas condições </w:t>
      </w:r>
      <w:proofErr w:type="spellStart"/>
      <w:r w:rsidR="00354B62" w:rsidRPr="00354B62">
        <w:rPr>
          <w:rFonts w:ascii="Times New Roman" w:hAnsi="Times New Roman" w:cs="Times New Roman"/>
          <w:bCs/>
        </w:rPr>
        <w:t>habilitatórias</w:t>
      </w:r>
      <w:proofErr w:type="spellEnd"/>
      <w:r w:rsidR="00354B62" w:rsidRPr="00354B62">
        <w:rPr>
          <w:rFonts w:ascii="Times New Roman" w:hAnsi="Times New Roman" w:cs="Times New Roman"/>
          <w:bCs/>
        </w:rPr>
        <w:t xml:space="preserve">. Ainda, no tocante </w:t>
      </w:r>
      <w:r w:rsidR="003C30BA">
        <w:rPr>
          <w:rFonts w:ascii="Times New Roman" w:hAnsi="Times New Roman" w:cs="Times New Roman"/>
          <w:bCs/>
        </w:rPr>
        <w:t xml:space="preserve">à </w:t>
      </w:r>
      <w:r w:rsidR="00354B62" w:rsidRPr="00354B62">
        <w:rPr>
          <w:rFonts w:ascii="Times New Roman" w:hAnsi="Times New Roman" w:cs="Times New Roman"/>
          <w:bCs/>
        </w:rPr>
        <w:t xml:space="preserve">classificação e habilitação da META, a licitante não indicou quais os possíveis pontos de inconformidade, trazendo manifestação genérica e, assim, inviabilizando o pleno exercício do contraditório e da ampla defesa. De toda sorte, há de se ressaltar que todos os requisitos do Edital foram plenamente atendidos pela META, conforme acurada avaliação já realizada pelo Ilmo. Pregoeiro e sua equipe de apoio. Tanto é assim, que não sobrevieram razões recursais que fundamentassem a manifestação registrada. </w:t>
      </w:r>
      <w:r w:rsidRPr="00354B62">
        <w:rPr>
          <w:rFonts w:ascii="Times New Roman" w:hAnsi="Times New Roman" w:cs="Times New Roman"/>
          <w:bCs/>
        </w:rPr>
        <w:t xml:space="preserve"> </w:t>
      </w:r>
      <w:r w:rsidR="00354B62">
        <w:rPr>
          <w:rFonts w:ascii="Times New Roman" w:hAnsi="Times New Roman" w:cs="Times New Roman"/>
          <w:bCs/>
        </w:rPr>
        <w:t>Portanto, o não acolhimento e, se acolhida, seu não provimento, é medida que se impõe e desde já se requer.</w:t>
      </w:r>
    </w:p>
    <w:p w14:paraId="47139F6C" w14:textId="2F8B9272" w:rsidR="00622332" w:rsidRDefault="00622332" w:rsidP="00622332">
      <w:pPr>
        <w:spacing w:after="0" w:line="360" w:lineRule="auto"/>
        <w:jc w:val="both"/>
        <w:rPr>
          <w:rFonts w:ascii="Times New Roman" w:hAnsi="Times New Roman" w:cs="Times New Roman"/>
          <w:bCs/>
        </w:rPr>
      </w:pPr>
      <w:r>
        <w:rPr>
          <w:rFonts w:ascii="Times New Roman" w:hAnsi="Times New Roman" w:cs="Times New Roman"/>
          <w:bCs/>
        </w:rPr>
        <w:tab/>
        <w:t xml:space="preserve">No tocante à manifestação da SIGMA, a despeito de ter indicado os itens do Edital que reputava como descumpridos, nota-se que de igual forma conduzem a uma alegação genérica e não permitem aferir quais, de fato, teriam sido os equívocos e/ou inconsistências identificados. De toda sorte, é inquestionável que os </w:t>
      </w:r>
      <w:r w:rsidRPr="00622332">
        <w:rPr>
          <w:rFonts w:ascii="Times New Roman" w:hAnsi="Times New Roman" w:cs="Times New Roman"/>
          <w:bCs/>
        </w:rPr>
        <w:t xml:space="preserve">itens 9.11.1, 9.11.1.7 e demais relativos </w:t>
      </w:r>
      <w:r>
        <w:rPr>
          <w:rFonts w:ascii="Times New Roman" w:hAnsi="Times New Roman" w:cs="Times New Roman"/>
          <w:bCs/>
        </w:rPr>
        <w:t xml:space="preserve">à qualificação técnica foram plenamente cumpridos, uma vez que foram apresentados </w:t>
      </w:r>
      <w:r w:rsidR="003C30BA">
        <w:rPr>
          <w:rFonts w:ascii="Times New Roman" w:hAnsi="Times New Roman" w:cs="Times New Roman"/>
          <w:bCs/>
        </w:rPr>
        <w:t>A</w:t>
      </w:r>
      <w:r>
        <w:rPr>
          <w:rFonts w:ascii="Times New Roman" w:hAnsi="Times New Roman" w:cs="Times New Roman"/>
          <w:bCs/>
        </w:rPr>
        <w:t xml:space="preserve">testados de </w:t>
      </w:r>
      <w:r w:rsidR="003C30BA">
        <w:rPr>
          <w:rFonts w:ascii="Times New Roman" w:hAnsi="Times New Roman" w:cs="Times New Roman"/>
          <w:bCs/>
        </w:rPr>
        <w:t>C</w:t>
      </w:r>
      <w:r>
        <w:rPr>
          <w:rFonts w:ascii="Times New Roman" w:hAnsi="Times New Roman" w:cs="Times New Roman"/>
          <w:bCs/>
        </w:rPr>
        <w:t xml:space="preserve">apacidade </w:t>
      </w:r>
      <w:r w:rsidR="003C30BA">
        <w:rPr>
          <w:rFonts w:ascii="Times New Roman" w:hAnsi="Times New Roman" w:cs="Times New Roman"/>
          <w:bCs/>
        </w:rPr>
        <w:t>T</w:t>
      </w:r>
      <w:r>
        <w:rPr>
          <w:rFonts w:ascii="Times New Roman" w:hAnsi="Times New Roman" w:cs="Times New Roman"/>
          <w:bCs/>
        </w:rPr>
        <w:t xml:space="preserve">écnica suficientes e adequados para tanto, conforme constatado na irretocável análise do Ilmo. Pregoeiro e sua equipe de apoio. Quanto aos itens referentes à exequibilidade da Proposta apresentada, conforme adiante será amplamente demonstrado, também foram observados em sua integralidade.  </w:t>
      </w:r>
      <w:r w:rsidRPr="00354B62">
        <w:rPr>
          <w:rFonts w:ascii="Times New Roman" w:hAnsi="Times New Roman" w:cs="Times New Roman"/>
          <w:bCs/>
        </w:rPr>
        <w:t xml:space="preserve">Tanto é assim, que não sobrevieram razões recursais que fundamentassem a manifestação registrada.  </w:t>
      </w:r>
      <w:r>
        <w:rPr>
          <w:rFonts w:ascii="Times New Roman" w:hAnsi="Times New Roman" w:cs="Times New Roman"/>
          <w:bCs/>
        </w:rPr>
        <w:t xml:space="preserve">Portanto, o não acolhimento </w:t>
      </w:r>
      <w:r w:rsidR="00AD4B39">
        <w:rPr>
          <w:rFonts w:ascii="Times New Roman" w:hAnsi="Times New Roman" w:cs="Times New Roman"/>
          <w:bCs/>
        </w:rPr>
        <w:t xml:space="preserve">da manifestação </w:t>
      </w:r>
      <w:r>
        <w:rPr>
          <w:rFonts w:ascii="Times New Roman" w:hAnsi="Times New Roman" w:cs="Times New Roman"/>
          <w:bCs/>
        </w:rPr>
        <w:t>e, se acolhida, seu não provimento, é medida que se impõe e desde já se requer.</w:t>
      </w:r>
    </w:p>
    <w:p w14:paraId="5770C30A" w14:textId="75A32876" w:rsidR="00622332" w:rsidRDefault="00622332" w:rsidP="005F314A">
      <w:pPr>
        <w:spacing w:after="0" w:line="360" w:lineRule="auto"/>
        <w:jc w:val="both"/>
        <w:rPr>
          <w:rFonts w:ascii="Times New Roman" w:hAnsi="Times New Roman" w:cs="Times New Roman"/>
          <w:bCs/>
        </w:rPr>
      </w:pPr>
      <w:r>
        <w:rPr>
          <w:rFonts w:ascii="Times New Roman" w:hAnsi="Times New Roman" w:cs="Times New Roman"/>
          <w:bCs/>
        </w:rPr>
        <w:tab/>
        <w:t xml:space="preserve">No que tange à manifestação recursal registrada pela licitante CAPGEMINI, </w:t>
      </w:r>
      <w:r w:rsidR="006B4B38">
        <w:rPr>
          <w:rFonts w:ascii="Times New Roman" w:hAnsi="Times New Roman" w:cs="Times New Roman"/>
          <w:bCs/>
        </w:rPr>
        <w:t xml:space="preserve">apesar de ter inferido o não atendimento das exigências de qualificação técnica pela META, nota-se que nas razões recursais nada consta a respeito, evidenciando, assim, que nada há que se questionar neste particular, uma vez que todos os requisitos foram atendidos. Portanto, refuta-se de plano tal argumento, visto ser inquestionável o atendimento </w:t>
      </w:r>
      <w:r w:rsidR="003C30BA">
        <w:rPr>
          <w:rFonts w:ascii="Times New Roman" w:hAnsi="Times New Roman" w:cs="Times New Roman"/>
          <w:bCs/>
        </w:rPr>
        <w:t xml:space="preserve">a tais requisitos </w:t>
      </w:r>
      <w:proofErr w:type="spellStart"/>
      <w:r w:rsidR="003C30BA">
        <w:rPr>
          <w:rFonts w:ascii="Times New Roman" w:hAnsi="Times New Roman" w:cs="Times New Roman"/>
          <w:bCs/>
        </w:rPr>
        <w:t>editalícios</w:t>
      </w:r>
      <w:proofErr w:type="spellEnd"/>
      <w:r w:rsidR="006B4B38">
        <w:rPr>
          <w:rFonts w:ascii="Times New Roman" w:hAnsi="Times New Roman" w:cs="Times New Roman"/>
          <w:bCs/>
        </w:rPr>
        <w:t xml:space="preserve"> pela META. Com relação aos questionamentos relativos à exequibilidade da proposta apresentada, consoante razões recursais apresentadas em 23/09/2020, </w:t>
      </w:r>
      <w:r w:rsidR="003C30BA">
        <w:rPr>
          <w:rFonts w:ascii="Times New Roman" w:hAnsi="Times New Roman" w:cs="Times New Roman"/>
          <w:bCs/>
        </w:rPr>
        <w:t>passa-se</w:t>
      </w:r>
      <w:r w:rsidR="006B4B38">
        <w:rPr>
          <w:rFonts w:ascii="Times New Roman" w:hAnsi="Times New Roman" w:cs="Times New Roman"/>
          <w:bCs/>
        </w:rPr>
        <w:t xml:space="preserve"> a discorrer.</w:t>
      </w:r>
    </w:p>
    <w:p w14:paraId="5C59A391" w14:textId="77777777" w:rsidR="006B4B38" w:rsidRPr="00354B62" w:rsidRDefault="006B4B38" w:rsidP="005F314A">
      <w:pPr>
        <w:spacing w:after="0" w:line="360" w:lineRule="auto"/>
        <w:jc w:val="both"/>
        <w:rPr>
          <w:rFonts w:ascii="Times New Roman" w:hAnsi="Times New Roman" w:cs="Times New Roman"/>
          <w:bCs/>
        </w:rPr>
      </w:pPr>
    </w:p>
    <w:p w14:paraId="4E7081B4" w14:textId="4A378F8D" w:rsidR="004A4C4A" w:rsidRDefault="004A4C4A" w:rsidP="004A4C4A">
      <w:pPr>
        <w:spacing w:after="0" w:line="360" w:lineRule="auto"/>
        <w:jc w:val="both"/>
        <w:rPr>
          <w:rFonts w:ascii="Times New Roman" w:hAnsi="Times New Roman" w:cs="Times New Roman"/>
          <w:b/>
        </w:rPr>
      </w:pPr>
      <w:r>
        <w:rPr>
          <w:rFonts w:ascii="Times New Roman" w:hAnsi="Times New Roman" w:cs="Times New Roman"/>
          <w:b/>
        </w:rPr>
        <w:t>I</w:t>
      </w:r>
      <w:r w:rsidRPr="007E47E8">
        <w:rPr>
          <w:rFonts w:ascii="Times New Roman" w:hAnsi="Times New Roman" w:cs="Times New Roman"/>
          <w:b/>
        </w:rPr>
        <w:t xml:space="preserve">II – </w:t>
      </w:r>
      <w:r>
        <w:rPr>
          <w:rFonts w:ascii="Times New Roman" w:hAnsi="Times New Roman" w:cs="Times New Roman"/>
          <w:b/>
        </w:rPr>
        <w:t xml:space="preserve">DO CUMPRIMENTO DOS REQUISITOS EDITALÍCIOS E DA </w:t>
      </w:r>
      <w:r w:rsidR="006904AF">
        <w:rPr>
          <w:rFonts w:ascii="Times New Roman" w:hAnsi="Times New Roman" w:cs="Times New Roman"/>
          <w:b/>
        </w:rPr>
        <w:t>EXEQUIBILIDADE DA PROPOSTA APRESENTADA PELA META SERVIÇOS EM INFORMÁTICA S/A</w:t>
      </w:r>
    </w:p>
    <w:p w14:paraId="0B1E65B8" w14:textId="3DD1E17E" w:rsidR="004A4C4A" w:rsidRDefault="004A4C4A" w:rsidP="004A4C4A">
      <w:pPr>
        <w:spacing w:after="0" w:line="360" w:lineRule="auto"/>
        <w:jc w:val="both"/>
        <w:rPr>
          <w:rFonts w:ascii="Times New Roman" w:hAnsi="Times New Roman" w:cs="Times New Roman"/>
          <w:b/>
        </w:rPr>
      </w:pPr>
    </w:p>
    <w:p w14:paraId="37C46415" w14:textId="77F124D6" w:rsidR="001F6FBF" w:rsidRPr="000062F1" w:rsidRDefault="001F6FBF" w:rsidP="004A4C4A">
      <w:pPr>
        <w:spacing w:after="0" w:line="360" w:lineRule="auto"/>
        <w:jc w:val="both"/>
        <w:rPr>
          <w:rFonts w:ascii="Times New Roman" w:hAnsi="Times New Roman" w:cs="Times New Roman"/>
          <w:bCs/>
        </w:rPr>
      </w:pPr>
      <w:r>
        <w:rPr>
          <w:rFonts w:ascii="Times New Roman" w:hAnsi="Times New Roman" w:cs="Times New Roman"/>
          <w:b/>
        </w:rPr>
        <w:tab/>
      </w:r>
      <w:r w:rsidRPr="000062F1">
        <w:rPr>
          <w:rFonts w:ascii="Times New Roman" w:hAnsi="Times New Roman" w:cs="Times New Roman"/>
          <w:bCs/>
        </w:rPr>
        <w:t xml:space="preserve">Alega a licitante CAPGEMINI que </w:t>
      </w:r>
      <w:r w:rsidR="00843123" w:rsidRPr="000062F1">
        <w:rPr>
          <w:rFonts w:ascii="Times New Roman" w:hAnsi="Times New Roman" w:cs="Times New Roman"/>
          <w:bCs/>
        </w:rPr>
        <w:t xml:space="preserve">a licitante META SERVIÇOS EM INFORMÁTICA S/A teria descumprido os requisitos constantes </w:t>
      </w:r>
      <w:r w:rsidR="004423B3" w:rsidRPr="000062F1">
        <w:rPr>
          <w:rFonts w:ascii="Times New Roman" w:hAnsi="Times New Roman" w:cs="Times New Roman"/>
          <w:bCs/>
        </w:rPr>
        <w:t>n</w:t>
      </w:r>
      <w:r w:rsidR="00843123" w:rsidRPr="000062F1">
        <w:rPr>
          <w:rFonts w:ascii="Times New Roman" w:hAnsi="Times New Roman" w:cs="Times New Roman"/>
          <w:bCs/>
        </w:rPr>
        <w:t xml:space="preserve">os subitens </w:t>
      </w:r>
      <w:r w:rsidR="00276327" w:rsidRPr="000062F1">
        <w:rPr>
          <w:rFonts w:ascii="Times New Roman" w:hAnsi="Times New Roman" w:cs="Times New Roman"/>
          <w:bCs/>
        </w:rPr>
        <w:t>6.3 e 6.</w:t>
      </w:r>
      <w:r w:rsidR="00DE0334" w:rsidRPr="000062F1">
        <w:rPr>
          <w:rFonts w:ascii="Times New Roman" w:hAnsi="Times New Roman" w:cs="Times New Roman"/>
          <w:bCs/>
        </w:rPr>
        <w:t>8</w:t>
      </w:r>
      <w:r w:rsidR="00276327" w:rsidRPr="000062F1">
        <w:rPr>
          <w:rFonts w:ascii="Times New Roman" w:hAnsi="Times New Roman" w:cs="Times New Roman"/>
          <w:bCs/>
        </w:rPr>
        <w:t xml:space="preserve"> do Edital, mormente aqueles relacionados </w:t>
      </w:r>
      <w:r w:rsidR="004423B3" w:rsidRPr="000062F1">
        <w:rPr>
          <w:rFonts w:ascii="Times New Roman" w:hAnsi="Times New Roman" w:cs="Times New Roman"/>
          <w:bCs/>
        </w:rPr>
        <w:t xml:space="preserve">ao preenchimento </w:t>
      </w:r>
      <w:r w:rsidR="00DE0334" w:rsidRPr="000062F1">
        <w:rPr>
          <w:rFonts w:ascii="Times New Roman" w:hAnsi="Times New Roman" w:cs="Times New Roman"/>
          <w:bCs/>
        </w:rPr>
        <w:t xml:space="preserve">da </w:t>
      </w:r>
      <w:r w:rsidR="004423B3" w:rsidRPr="000062F1">
        <w:rPr>
          <w:rFonts w:ascii="Times New Roman" w:hAnsi="Times New Roman" w:cs="Times New Roman"/>
          <w:bCs/>
        </w:rPr>
        <w:t>Planilha de Análise de Exequibilidade</w:t>
      </w:r>
      <w:r w:rsidR="00DE0334" w:rsidRPr="000062F1">
        <w:rPr>
          <w:rFonts w:ascii="Times New Roman" w:hAnsi="Times New Roman" w:cs="Times New Roman"/>
          <w:bCs/>
        </w:rPr>
        <w:t xml:space="preserve"> e a previsão de não alteração no preço da Proposta</w:t>
      </w:r>
      <w:r w:rsidR="00B277EB" w:rsidRPr="000062F1">
        <w:rPr>
          <w:rFonts w:ascii="Times New Roman" w:hAnsi="Times New Roman" w:cs="Times New Roman"/>
          <w:bCs/>
        </w:rPr>
        <w:t xml:space="preserve"> sob alegação de erro, omissão ou qualquer outro pretexto.</w:t>
      </w:r>
    </w:p>
    <w:p w14:paraId="791F183B" w14:textId="3EC007E1" w:rsidR="00B277EB" w:rsidRDefault="00B277EB" w:rsidP="001534B7">
      <w:pPr>
        <w:spacing w:after="0" w:line="360" w:lineRule="auto"/>
        <w:jc w:val="both"/>
        <w:rPr>
          <w:rFonts w:ascii="Times New Roman" w:hAnsi="Times New Roman" w:cs="Times New Roman"/>
          <w:bCs/>
        </w:rPr>
      </w:pPr>
      <w:r w:rsidRPr="000062F1">
        <w:rPr>
          <w:rFonts w:ascii="Times New Roman" w:hAnsi="Times New Roman" w:cs="Times New Roman"/>
          <w:bCs/>
        </w:rPr>
        <w:tab/>
        <w:t xml:space="preserve">Em síntese, </w:t>
      </w:r>
      <w:r w:rsidR="00982175" w:rsidRPr="000062F1">
        <w:rPr>
          <w:rFonts w:ascii="Times New Roman" w:hAnsi="Times New Roman" w:cs="Times New Roman"/>
          <w:bCs/>
        </w:rPr>
        <w:t xml:space="preserve">aduz a </w:t>
      </w:r>
      <w:r w:rsidR="00982175" w:rsidRPr="007C4E14">
        <w:rPr>
          <w:rFonts w:ascii="Times New Roman" w:hAnsi="Times New Roman" w:cs="Times New Roman"/>
          <w:bCs/>
        </w:rPr>
        <w:t>CAPGEMINI</w:t>
      </w:r>
      <w:r w:rsidR="00982175" w:rsidRPr="000062F1">
        <w:rPr>
          <w:rFonts w:ascii="Times New Roman" w:hAnsi="Times New Roman" w:cs="Times New Roman"/>
          <w:bCs/>
        </w:rPr>
        <w:t xml:space="preserve"> que não foram observados </w:t>
      </w:r>
      <w:r w:rsidR="0059336E" w:rsidRPr="000062F1">
        <w:rPr>
          <w:rFonts w:ascii="Times New Roman" w:hAnsi="Times New Roman" w:cs="Times New Roman"/>
          <w:bCs/>
        </w:rPr>
        <w:t>os critérios previstos no item 25 do Termo de Referência</w:t>
      </w:r>
      <w:r w:rsidR="001A0A12" w:rsidRPr="000062F1">
        <w:rPr>
          <w:rFonts w:ascii="Times New Roman" w:hAnsi="Times New Roman" w:cs="Times New Roman"/>
          <w:bCs/>
        </w:rPr>
        <w:t xml:space="preserve"> para fins de comprovação/aferição da </w:t>
      </w:r>
      <w:r w:rsidR="004C7A56" w:rsidRPr="000062F1">
        <w:rPr>
          <w:rFonts w:ascii="Times New Roman" w:hAnsi="Times New Roman" w:cs="Times New Roman"/>
          <w:bCs/>
        </w:rPr>
        <w:t>exequibilidade</w:t>
      </w:r>
      <w:r w:rsidR="001A0A12" w:rsidRPr="000062F1">
        <w:rPr>
          <w:rFonts w:ascii="Times New Roman" w:hAnsi="Times New Roman" w:cs="Times New Roman"/>
          <w:bCs/>
        </w:rPr>
        <w:t xml:space="preserve"> da Proposta Comercial apresentada pela META, bem como que não teriam sido contemplados custos com infraestrutura, hardware, software, garantia</w:t>
      </w:r>
      <w:r w:rsidR="004C7A56" w:rsidRPr="000062F1">
        <w:rPr>
          <w:rFonts w:ascii="Times New Roman" w:hAnsi="Times New Roman" w:cs="Times New Roman"/>
          <w:bCs/>
        </w:rPr>
        <w:t>, links de comunicação e deslocamento</w:t>
      </w:r>
      <w:r w:rsidR="00C15F36" w:rsidRPr="000062F1">
        <w:rPr>
          <w:rFonts w:ascii="Times New Roman" w:hAnsi="Times New Roman" w:cs="Times New Roman"/>
          <w:bCs/>
        </w:rPr>
        <w:t xml:space="preserve"> de forma suficiente </w:t>
      </w:r>
      <w:r w:rsidR="00A94008" w:rsidRPr="000062F1">
        <w:rPr>
          <w:rFonts w:ascii="Times New Roman" w:hAnsi="Times New Roman" w:cs="Times New Roman"/>
          <w:bCs/>
        </w:rPr>
        <w:t>para a garantia de exequibilidade da Proposta e que a META teria considerado</w:t>
      </w:r>
      <w:r w:rsidR="00B02545" w:rsidRPr="000062F1">
        <w:rPr>
          <w:rFonts w:ascii="Times New Roman" w:hAnsi="Times New Roman" w:cs="Times New Roman"/>
          <w:bCs/>
        </w:rPr>
        <w:t>, de forma indevida,</w:t>
      </w:r>
      <w:r w:rsidR="00A94008" w:rsidRPr="000062F1">
        <w:rPr>
          <w:rFonts w:ascii="Times New Roman" w:hAnsi="Times New Roman" w:cs="Times New Roman"/>
          <w:bCs/>
        </w:rPr>
        <w:t xml:space="preserve"> o benefício da desoneração da folha de pagamento</w:t>
      </w:r>
      <w:r w:rsidR="00B02545" w:rsidRPr="000062F1">
        <w:rPr>
          <w:rFonts w:ascii="Times New Roman" w:hAnsi="Times New Roman" w:cs="Times New Roman"/>
          <w:bCs/>
        </w:rPr>
        <w:t xml:space="preserve"> em sua composição de custos realizando “manobras” em suas planilhas. Sem razão.</w:t>
      </w:r>
    </w:p>
    <w:p w14:paraId="4A2E1ED3" w14:textId="43661E15" w:rsidR="003A0DD6" w:rsidRDefault="004C6F5F" w:rsidP="004A4C4A">
      <w:pPr>
        <w:spacing w:after="0" w:line="360" w:lineRule="auto"/>
        <w:jc w:val="both"/>
        <w:rPr>
          <w:rFonts w:ascii="Times New Roman" w:hAnsi="Times New Roman" w:cs="Times New Roman"/>
          <w:bCs/>
        </w:rPr>
      </w:pPr>
      <w:r>
        <w:rPr>
          <w:rFonts w:ascii="Times New Roman" w:hAnsi="Times New Roman" w:cs="Times New Roman"/>
          <w:bCs/>
        </w:rPr>
        <w:tab/>
        <w:t xml:space="preserve">Inicialmente, </w:t>
      </w:r>
      <w:r w:rsidR="00723346">
        <w:rPr>
          <w:rFonts w:ascii="Times New Roman" w:hAnsi="Times New Roman" w:cs="Times New Roman"/>
          <w:bCs/>
        </w:rPr>
        <w:t>com relação ao item 6.8</w:t>
      </w:r>
      <w:r w:rsidR="008A1B7C">
        <w:rPr>
          <w:rFonts w:ascii="Times New Roman" w:hAnsi="Times New Roman" w:cs="Times New Roman"/>
          <w:bCs/>
        </w:rPr>
        <w:t xml:space="preserve">, refuta-se de imediato a alegação de seu descumprimento, uma vez que em nenhum momento </w:t>
      </w:r>
      <w:r w:rsidR="00C604C6">
        <w:rPr>
          <w:rFonts w:ascii="Times New Roman" w:hAnsi="Times New Roman" w:cs="Times New Roman"/>
          <w:bCs/>
        </w:rPr>
        <w:t>foi solicitad</w:t>
      </w:r>
      <w:r w:rsidR="00391B31">
        <w:rPr>
          <w:rFonts w:ascii="Times New Roman" w:hAnsi="Times New Roman" w:cs="Times New Roman"/>
          <w:bCs/>
        </w:rPr>
        <w:t>a</w:t>
      </w:r>
      <w:r w:rsidR="00C604C6">
        <w:rPr>
          <w:rFonts w:ascii="Times New Roman" w:hAnsi="Times New Roman" w:cs="Times New Roman"/>
          <w:bCs/>
        </w:rPr>
        <w:t xml:space="preserve"> pela licitante META e muito menos concedid</w:t>
      </w:r>
      <w:r w:rsidR="00391B31">
        <w:rPr>
          <w:rFonts w:ascii="Times New Roman" w:hAnsi="Times New Roman" w:cs="Times New Roman"/>
          <w:bCs/>
        </w:rPr>
        <w:t>a</w:t>
      </w:r>
      <w:r w:rsidR="00C604C6">
        <w:rPr>
          <w:rFonts w:ascii="Times New Roman" w:hAnsi="Times New Roman" w:cs="Times New Roman"/>
          <w:bCs/>
        </w:rPr>
        <w:t xml:space="preserve"> pelo MINISTÉRIO DA JUSTIÇA E SEGURANÇA PÚBLICA, a alteração dos valores ofertados na proposta inicial e/ou na sessão de lances sob alegação de erros</w:t>
      </w:r>
      <w:r w:rsidR="00FB3F0D">
        <w:rPr>
          <w:rFonts w:ascii="Times New Roman" w:hAnsi="Times New Roman" w:cs="Times New Roman"/>
          <w:bCs/>
        </w:rPr>
        <w:t>, omissões ou qua</w:t>
      </w:r>
      <w:r w:rsidR="007C4E14">
        <w:rPr>
          <w:rFonts w:ascii="Times New Roman" w:hAnsi="Times New Roman" w:cs="Times New Roman"/>
          <w:bCs/>
        </w:rPr>
        <w:t>isquer</w:t>
      </w:r>
      <w:r w:rsidR="00FB3F0D">
        <w:rPr>
          <w:rFonts w:ascii="Times New Roman" w:hAnsi="Times New Roman" w:cs="Times New Roman"/>
          <w:bCs/>
        </w:rPr>
        <w:t xml:space="preserve"> outro</w:t>
      </w:r>
      <w:r w:rsidR="007C4E14">
        <w:rPr>
          <w:rFonts w:ascii="Times New Roman" w:hAnsi="Times New Roman" w:cs="Times New Roman"/>
          <w:bCs/>
        </w:rPr>
        <w:t>s</w:t>
      </w:r>
      <w:r w:rsidR="00FB3F0D">
        <w:rPr>
          <w:rFonts w:ascii="Times New Roman" w:hAnsi="Times New Roman" w:cs="Times New Roman"/>
          <w:bCs/>
        </w:rPr>
        <w:t xml:space="preserve"> pretextos. O valor ofertado pela META </w:t>
      </w:r>
      <w:proofErr w:type="gramStart"/>
      <w:r w:rsidR="00FB3F0D">
        <w:rPr>
          <w:rFonts w:ascii="Times New Roman" w:hAnsi="Times New Roman" w:cs="Times New Roman"/>
          <w:bCs/>
        </w:rPr>
        <w:t>manteve-se o mesmo</w:t>
      </w:r>
      <w:proofErr w:type="gramEnd"/>
      <w:r w:rsidR="00EB683D">
        <w:rPr>
          <w:rFonts w:ascii="Times New Roman" w:hAnsi="Times New Roman" w:cs="Times New Roman"/>
          <w:bCs/>
        </w:rPr>
        <w:t xml:space="preserve"> apresentado na sessão de lances, com pequenos ajustes de casas decimais (para menos)</w:t>
      </w:r>
      <w:r w:rsidR="00391B31">
        <w:rPr>
          <w:rFonts w:ascii="Times New Roman" w:hAnsi="Times New Roman" w:cs="Times New Roman"/>
          <w:bCs/>
        </w:rPr>
        <w:t xml:space="preserve"> quando da apresentação da Proposta Final</w:t>
      </w:r>
      <w:r w:rsidR="00EB683D">
        <w:rPr>
          <w:rFonts w:ascii="Times New Roman" w:hAnsi="Times New Roman" w:cs="Times New Roman"/>
          <w:bCs/>
        </w:rPr>
        <w:t xml:space="preserve">. Nenhuma outra alteração fora </w:t>
      </w:r>
      <w:r w:rsidR="007C4E14">
        <w:rPr>
          <w:rFonts w:ascii="Times New Roman" w:hAnsi="Times New Roman" w:cs="Times New Roman"/>
          <w:bCs/>
        </w:rPr>
        <w:t>efetuada</w:t>
      </w:r>
      <w:r w:rsidR="00EB683D">
        <w:rPr>
          <w:rFonts w:ascii="Times New Roman" w:hAnsi="Times New Roman" w:cs="Times New Roman"/>
          <w:bCs/>
        </w:rPr>
        <w:t>.</w:t>
      </w:r>
    </w:p>
    <w:p w14:paraId="325796F5" w14:textId="6402910E" w:rsidR="00C771D4" w:rsidRDefault="003A0DD6" w:rsidP="004A4C4A">
      <w:pPr>
        <w:spacing w:after="0" w:line="360" w:lineRule="auto"/>
        <w:jc w:val="both"/>
        <w:rPr>
          <w:rFonts w:ascii="Times New Roman" w:hAnsi="Times New Roman" w:cs="Times New Roman"/>
          <w:bCs/>
        </w:rPr>
      </w:pPr>
      <w:r>
        <w:rPr>
          <w:rFonts w:ascii="Times New Roman" w:hAnsi="Times New Roman" w:cs="Times New Roman"/>
          <w:bCs/>
        </w:rPr>
        <w:tab/>
      </w:r>
      <w:r w:rsidR="00F46B25">
        <w:rPr>
          <w:rFonts w:ascii="Times New Roman" w:hAnsi="Times New Roman" w:cs="Times New Roman"/>
          <w:bCs/>
        </w:rPr>
        <w:t xml:space="preserve">Prosseguindo-se, faz-se necessário esclarecer que a elaboração da </w:t>
      </w:r>
      <w:r w:rsidR="00456CEC">
        <w:rPr>
          <w:rFonts w:ascii="Times New Roman" w:hAnsi="Times New Roman" w:cs="Times New Roman"/>
          <w:bCs/>
        </w:rPr>
        <w:t>P</w:t>
      </w:r>
      <w:r w:rsidR="00F46B25">
        <w:rPr>
          <w:rFonts w:ascii="Times New Roman" w:hAnsi="Times New Roman" w:cs="Times New Roman"/>
          <w:bCs/>
        </w:rPr>
        <w:t xml:space="preserve">roposta </w:t>
      </w:r>
      <w:r w:rsidR="00456CEC">
        <w:rPr>
          <w:rFonts w:ascii="Times New Roman" w:hAnsi="Times New Roman" w:cs="Times New Roman"/>
          <w:bCs/>
        </w:rPr>
        <w:t>C</w:t>
      </w:r>
      <w:r w:rsidR="00F46B25">
        <w:rPr>
          <w:rFonts w:ascii="Times New Roman" w:hAnsi="Times New Roman" w:cs="Times New Roman"/>
          <w:bCs/>
        </w:rPr>
        <w:t>omercial a ser apresentada</w:t>
      </w:r>
      <w:r w:rsidR="00456CEC">
        <w:rPr>
          <w:rFonts w:ascii="Times New Roman" w:hAnsi="Times New Roman" w:cs="Times New Roman"/>
          <w:bCs/>
        </w:rPr>
        <w:t xml:space="preserve"> em um procedimento licitatório</w:t>
      </w:r>
      <w:r w:rsidR="00F46B25">
        <w:rPr>
          <w:rFonts w:ascii="Times New Roman" w:hAnsi="Times New Roman" w:cs="Times New Roman"/>
          <w:bCs/>
        </w:rPr>
        <w:t xml:space="preserve"> é um ato de </w:t>
      </w:r>
      <w:r w:rsidR="00456CEC">
        <w:rPr>
          <w:rFonts w:ascii="Times New Roman" w:hAnsi="Times New Roman" w:cs="Times New Roman"/>
          <w:bCs/>
        </w:rPr>
        <w:t>responsabilidade exclusiva</w:t>
      </w:r>
      <w:r w:rsidR="00F46B25">
        <w:rPr>
          <w:rFonts w:ascii="Times New Roman" w:hAnsi="Times New Roman" w:cs="Times New Roman"/>
          <w:bCs/>
        </w:rPr>
        <w:t xml:space="preserve"> de cada licitante, </w:t>
      </w:r>
      <w:r w:rsidR="00DA1C8F">
        <w:rPr>
          <w:rFonts w:ascii="Times New Roman" w:hAnsi="Times New Roman" w:cs="Times New Roman"/>
          <w:bCs/>
        </w:rPr>
        <w:t>que deverá considerar todos os custos, encargos, tributos e despesas, legais ou administrativas</w:t>
      </w:r>
      <w:r w:rsidR="00385797">
        <w:rPr>
          <w:rFonts w:ascii="Times New Roman" w:hAnsi="Times New Roman" w:cs="Times New Roman"/>
          <w:bCs/>
        </w:rPr>
        <w:t>,</w:t>
      </w:r>
      <w:r w:rsidR="00DA1C8F">
        <w:rPr>
          <w:rFonts w:ascii="Times New Roman" w:hAnsi="Times New Roman" w:cs="Times New Roman"/>
          <w:bCs/>
        </w:rPr>
        <w:t xml:space="preserve"> que caibam dentro de sua realidade, ficando</w:t>
      </w:r>
      <w:r w:rsidR="00F46B25">
        <w:rPr>
          <w:rFonts w:ascii="Times New Roman" w:hAnsi="Times New Roman" w:cs="Times New Roman"/>
          <w:bCs/>
        </w:rPr>
        <w:t xml:space="preserve"> a </w:t>
      </w:r>
      <w:r w:rsidR="00DA1C8F">
        <w:rPr>
          <w:rFonts w:ascii="Times New Roman" w:hAnsi="Times New Roman" w:cs="Times New Roman"/>
          <w:bCs/>
        </w:rPr>
        <w:t>esta</w:t>
      </w:r>
      <w:r w:rsidR="00F46B25">
        <w:rPr>
          <w:rFonts w:ascii="Times New Roman" w:hAnsi="Times New Roman" w:cs="Times New Roman"/>
          <w:bCs/>
        </w:rPr>
        <w:t xml:space="preserve"> obrigada</w:t>
      </w:r>
      <w:r w:rsidR="00DA1C8F">
        <w:rPr>
          <w:rFonts w:ascii="Times New Roman" w:hAnsi="Times New Roman" w:cs="Times New Roman"/>
          <w:bCs/>
        </w:rPr>
        <w:t xml:space="preserve"> </w:t>
      </w:r>
      <w:r w:rsidR="00C771D4">
        <w:rPr>
          <w:rFonts w:ascii="Times New Roman" w:hAnsi="Times New Roman" w:cs="Times New Roman"/>
          <w:bCs/>
        </w:rPr>
        <w:t>durante todo o processo administrativo e também na contratação dele decorrente</w:t>
      </w:r>
      <w:r w:rsidR="000A05B3">
        <w:rPr>
          <w:rFonts w:ascii="Times New Roman" w:hAnsi="Times New Roman" w:cs="Times New Roman"/>
          <w:bCs/>
        </w:rPr>
        <w:t xml:space="preserve"> (Art. 54, §1° da Lei 8.666/93)</w:t>
      </w:r>
      <w:r w:rsidR="00C771D4">
        <w:rPr>
          <w:rFonts w:ascii="Times New Roman" w:hAnsi="Times New Roman" w:cs="Times New Roman"/>
          <w:bCs/>
        </w:rPr>
        <w:t xml:space="preserve">. </w:t>
      </w:r>
      <w:r w:rsidR="00385797">
        <w:rPr>
          <w:rFonts w:ascii="Times New Roman" w:hAnsi="Times New Roman" w:cs="Times New Roman"/>
          <w:bCs/>
        </w:rPr>
        <w:t xml:space="preserve">O valor resultante do final da sessão pública de lances vincula a licitante </w:t>
      </w:r>
      <w:r w:rsidR="006051FF">
        <w:rPr>
          <w:rFonts w:ascii="Times New Roman" w:hAnsi="Times New Roman" w:cs="Times New Roman"/>
          <w:bCs/>
        </w:rPr>
        <w:t xml:space="preserve">nos termos dos itens 6.7 e 6.8 </w:t>
      </w:r>
      <w:r w:rsidR="00385797">
        <w:rPr>
          <w:rFonts w:ascii="Times New Roman" w:hAnsi="Times New Roman" w:cs="Times New Roman"/>
          <w:bCs/>
        </w:rPr>
        <w:t xml:space="preserve">e, como bem </w:t>
      </w:r>
      <w:r w:rsidR="006051FF">
        <w:rPr>
          <w:rFonts w:ascii="Times New Roman" w:hAnsi="Times New Roman" w:cs="Times New Roman"/>
          <w:bCs/>
        </w:rPr>
        <w:t>destacado</w:t>
      </w:r>
      <w:r w:rsidR="00385797">
        <w:rPr>
          <w:rFonts w:ascii="Times New Roman" w:hAnsi="Times New Roman" w:cs="Times New Roman"/>
          <w:bCs/>
        </w:rPr>
        <w:t xml:space="preserve"> nos itens </w:t>
      </w:r>
      <w:r w:rsidR="00BB4E76">
        <w:rPr>
          <w:rFonts w:ascii="Times New Roman" w:hAnsi="Times New Roman" w:cs="Times New Roman"/>
          <w:bCs/>
        </w:rPr>
        <w:t>6.3.2, 6.3.3</w:t>
      </w:r>
      <w:r w:rsidR="006051FF">
        <w:rPr>
          <w:rFonts w:ascii="Times New Roman" w:hAnsi="Times New Roman" w:cs="Times New Roman"/>
          <w:bCs/>
        </w:rPr>
        <w:t xml:space="preserve"> e</w:t>
      </w:r>
      <w:r w:rsidR="0019652E">
        <w:rPr>
          <w:rFonts w:ascii="Times New Roman" w:hAnsi="Times New Roman" w:cs="Times New Roman"/>
          <w:bCs/>
        </w:rPr>
        <w:t xml:space="preserve"> </w:t>
      </w:r>
      <w:r w:rsidR="00BB4E76">
        <w:rPr>
          <w:rFonts w:ascii="Times New Roman" w:hAnsi="Times New Roman" w:cs="Times New Roman"/>
          <w:bCs/>
        </w:rPr>
        <w:t xml:space="preserve"> 6.4, é a licitante a única responsável por sua proposta, </w:t>
      </w:r>
      <w:r w:rsidR="006051FF">
        <w:rPr>
          <w:rFonts w:ascii="Times New Roman" w:hAnsi="Times New Roman" w:cs="Times New Roman"/>
          <w:bCs/>
        </w:rPr>
        <w:t>devendo esta arcar</w:t>
      </w:r>
      <w:r w:rsidR="00BB4E76">
        <w:rPr>
          <w:rFonts w:ascii="Times New Roman" w:hAnsi="Times New Roman" w:cs="Times New Roman"/>
          <w:bCs/>
        </w:rPr>
        <w:t xml:space="preserve"> com todos os ônus de eventuais equívocos em seu </w:t>
      </w:r>
      <w:r w:rsidR="006051FF">
        <w:rPr>
          <w:rFonts w:ascii="Times New Roman" w:hAnsi="Times New Roman" w:cs="Times New Roman"/>
          <w:bCs/>
        </w:rPr>
        <w:t>dimensionamento</w:t>
      </w:r>
      <w:r w:rsidR="004821BB">
        <w:rPr>
          <w:rFonts w:ascii="Times New Roman" w:hAnsi="Times New Roman" w:cs="Times New Roman"/>
          <w:bCs/>
        </w:rPr>
        <w:t xml:space="preserve">, bem como </w:t>
      </w:r>
      <w:r w:rsidR="006051FF">
        <w:rPr>
          <w:rFonts w:ascii="Times New Roman" w:hAnsi="Times New Roman" w:cs="Times New Roman"/>
          <w:bCs/>
        </w:rPr>
        <w:t>responsabilizar-se</w:t>
      </w:r>
      <w:r w:rsidR="004821BB">
        <w:rPr>
          <w:rFonts w:ascii="Times New Roman" w:hAnsi="Times New Roman" w:cs="Times New Roman"/>
          <w:bCs/>
        </w:rPr>
        <w:t xml:space="preserve"> </w:t>
      </w:r>
      <w:r w:rsidR="006051FF">
        <w:rPr>
          <w:rFonts w:ascii="Times New Roman" w:hAnsi="Times New Roman" w:cs="Times New Roman"/>
          <w:bCs/>
        </w:rPr>
        <w:t xml:space="preserve">pela </w:t>
      </w:r>
      <w:r w:rsidR="004821BB">
        <w:rPr>
          <w:rFonts w:ascii="Times New Roman" w:hAnsi="Times New Roman" w:cs="Times New Roman"/>
          <w:bCs/>
        </w:rPr>
        <w:t>cotação correta dos encargos tributários de acordo com o regime tributário a que se submete</w:t>
      </w:r>
      <w:r w:rsidR="006051FF">
        <w:rPr>
          <w:rFonts w:ascii="Times New Roman" w:hAnsi="Times New Roman" w:cs="Times New Roman"/>
          <w:bCs/>
        </w:rPr>
        <w:t>.</w:t>
      </w:r>
    </w:p>
    <w:p w14:paraId="252DE023" w14:textId="6342FE66" w:rsidR="00E84E4E" w:rsidRDefault="00C771D4" w:rsidP="007C34C8">
      <w:pPr>
        <w:spacing w:after="0" w:line="360" w:lineRule="auto"/>
        <w:jc w:val="both"/>
        <w:rPr>
          <w:rFonts w:ascii="Times New Roman" w:hAnsi="Times New Roman" w:cs="Times New Roman"/>
          <w:bCs/>
        </w:rPr>
      </w:pPr>
      <w:r>
        <w:rPr>
          <w:rFonts w:ascii="Times New Roman" w:hAnsi="Times New Roman" w:cs="Times New Roman"/>
          <w:bCs/>
        </w:rPr>
        <w:tab/>
      </w:r>
      <w:r w:rsidR="003A0DD6">
        <w:rPr>
          <w:rFonts w:ascii="Times New Roman" w:hAnsi="Times New Roman" w:cs="Times New Roman"/>
          <w:bCs/>
        </w:rPr>
        <w:t xml:space="preserve">Com relação ao </w:t>
      </w:r>
      <w:r w:rsidR="00E84E4E">
        <w:rPr>
          <w:rFonts w:ascii="Times New Roman" w:hAnsi="Times New Roman" w:cs="Times New Roman"/>
          <w:bCs/>
        </w:rPr>
        <w:t xml:space="preserve">item 6.3 do Edital </w:t>
      </w:r>
      <w:r w:rsidR="003A0DD6">
        <w:rPr>
          <w:rFonts w:ascii="Times New Roman" w:hAnsi="Times New Roman" w:cs="Times New Roman"/>
          <w:bCs/>
        </w:rPr>
        <w:t>e seus sucedâneos, é imperioso destacar que</w:t>
      </w:r>
      <w:r w:rsidR="00BB061B">
        <w:rPr>
          <w:rFonts w:ascii="Times New Roman" w:hAnsi="Times New Roman" w:cs="Times New Roman"/>
          <w:bCs/>
        </w:rPr>
        <w:t xml:space="preserve"> também foram </w:t>
      </w:r>
      <w:r w:rsidR="006D4237">
        <w:rPr>
          <w:rFonts w:ascii="Times New Roman" w:hAnsi="Times New Roman" w:cs="Times New Roman"/>
          <w:bCs/>
        </w:rPr>
        <w:t xml:space="preserve">estritamente </w:t>
      </w:r>
      <w:r w:rsidR="00BB061B">
        <w:rPr>
          <w:rFonts w:ascii="Times New Roman" w:hAnsi="Times New Roman" w:cs="Times New Roman"/>
          <w:bCs/>
        </w:rPr>
        <w:t>observados em todos os seus termos</w:t>
      </w:r>
      <w:r w:rsidR="00F46B25">
        <w:rPr>
          <w:rFonts w:ascii="Times New Roman" w:hAnsi="Times New Roman" w:cs="Times New Roman"/>
          <w:bCs/>
        </w:rPr>
        <w:t xml:space="preserve">, </w:t>
      </w:r>
      <w:r w:rsidR="001534B7">
        <w:rPr>
          <w:rFonts w:ascii="Times New Roman" w:hAnsi="Times New Roman" w:cs="Times New Roman"/>
          <w:bCs/>
        </w:rPr>
        <w:t xml:space="preserve">uma vez que nos valores ofertados pela META estão </w:t>
      </w:r>
      <w:r w:rsidR="00E84E4E" w:rsidRPr="001534B7">
        <w:rPr>
          <w:rFonts w:ascii="Times New Roman" w:hAnsi="Times New Roman" w:cs="Times New Roman"/>
          <w:bCs/>
        </w:rPr>
        <w:t>inclusos todos os custos operacionais, encargos</w:t>
      </w:r>
      <w:r w:rsidR="001534B7" w:rsidRPr="001534B7">
        <w:rPr>
          <w:rFonts w:ascii="Times New Roman" w:hAnsi="Times New Roman" w:cs="Times New Roman"/>
          <w:bCs/>
        </w:rPr>
        <w:t xml:space="preserve"> </w:t>
      </w:r>
      <w:r w:rsidR="00E84E4E" w:rsidRPr="001534B7">
        <w:rPr>
          <w:rFonts w:ascii="Times New Roman" w:hAnsi="Times New Roman" w:cs="Times New Roman"/>
          <w:bCs/>
        </w:rPr>
        <w:t xml:space="preserve">previdenciários, trabalhistas, tributários, comerciais e </w:t>
      </w:r>
      <w:r w:rsidR="001534B7">
        <w:rPr>
          <w:rFonts w:ascii="Times New Roman" w:hAnsi="Times New Roman" w:cs="Times New Roman"/>
          <w:bCs/>
        </w:rPr>
        <w:t xml:space="preserve">todos os demais custos </w:t>
      </w:r>
      <w:r w:rsidR="00E84E4E" w:rsidRPr="001534B7">
        <w:rPr>
          <w:rFonts w:ascii="Times New Roman" w:hAnsi="Times New Roman" w:cs="Times New Roman"/>
          <w:bCs/>
        </w:rPr>
        <w:t>que incid</w:t>
      </w:r>
      <w:r w:rsidR="001534B7" w:rsidRPr="001534B7">
        <w:rPr>
          <w:rFonts w:ascii="Times New Roman" w:hAnsi="Times New Roman" w:cs="Times New Roman"/>
          <w:bCs/>
        </w:rPr>
        <w:t>em</w:t>
      </w:r>
      <w:r w:rsidR="00E84E4E" w:rsidRPr="001534B7">
        <w:rPr>
          <w:rFonts w:ascii="Times New Roman" w:hAnsi="Times New Roman" w:cs="Times New Roman"/>
          <w:bCs/>
        </w:rPr>
        <w:t xml:space="preserve"> direta ou</w:t>
      </w:r>
      <w:r w:rsidR="001534B7" w:rsidRPr="001534B7">
        <w:rPr>
          <w:rFonts w:ascii="Times New Roman" w:hAnsi="Times New Roman" w:cs="Times New Roman"/>
          <w:bCs/>
        </w:rPr>
        <w:t xml:space="preserve"> </w:t>
      </w:r>
      <w:r w:rsidR="00E84E4E" w:rsidRPr="001534B7">
        <w:rPr>
          <w:rFonts w:ascii="Times New Roman" w:hAnsi="Times New Roman" w:cs="Times New Roman"/>
          <w:bCs/>
        </w:rPr>
        <w:t>indiretamente na prestação dos serviços</w:t>
      </w:r>
      <w:r w:rsidR="001534B7">
        <w:rPr>
          <w:rFonts w:ascii="Times New Roman" w:hAnsi="Times New Roman" w:cs="Times New Roman"/>
          <w:bCs/>
        </w:rPr>
        <w:t>.</w:t>
      </w:r>
    </w:p>
    <w:p w14:paraId="4AC8440F" w14:textId="081BC530" w:rsidR="001534B7" w:rsidRDefault="001534B7" w:rsidP="00324690">
      <w:pPr>
        <w:spacing w:after="0" w:line="360" w:lineRule="auto"/>
        <w:ind w:firstLine="708"/>
        <w:jc w:val="both"/>
        <w:rPr>
          <w:rFonts w:ascii="Times New Roman" w:hAnsi="Times New Roman" w:cs="Times New Roman"/>
          <w:bCs/>
        </w:rPr>
      </w:pPr>
      <w:r>
        <w:rPr>
          <w:rFonts w:ascii="Times New Roman" w:hAnsi="Times New Roman" w:cs="Times New Roman"/>
          <w:bCs/>
        </w:rPr>
        <w:t xml:space="preserve">Infere a CAPGEMINI que a META teria deixado de observar aos requisitos constantes </w:t>
      </w:r>
      <w:r w:rsidR="00324690">
        <w:rPr>
          <w:rFonts w:ascii="Times New Roman" w:hAnsi="Times New Roman" w:cs="Times New Roman"/>
          <w:bCs/>
        </w:rPr>
        <w:t>na seção</w:t>
      </w:r>
      <w:r>
        <w:rPr>
          <w:rFonts w:ascii="Times New Roman" w:hAnsi="Times New Roman" w:cs="Times New Roman"/>
          <w:bCs/>
        </w:rPr>
        <w:t xml:space="preserve"> 25 do Termo de Referência, no tocante à aferição da demonstração de exequibilidade. Aqui também sem razão. Imperioso destacar que a Planilha de Análise de Exequibilidade consistia em um modelo a ser seguido, </w:t>
      </w:r>
      <w:r w:rsidR="00324690">
        <w:rPr>
          <w:rFonts w:ascii="Times New Roman" w:hAnsi="Times New Roman" w:cs="Times New Roman"/>
          <w:bCs/>
        </w:rPr>
        <w:t xml:space="preserve">não sendo vedados ajustes/alterações pelas licitantes, para melhor aderência à sua real composição de custos e estratégia. Nesse sentido, o subitem </w:t>
      </w:r>
      <w:r w:rsidR="00324690" w:rsidRPr="00324690">
        <w:rPr>
          <w:rFonts w:ascii="Times New Roman" w:hAnsi="Times New Roman" w:cs="Times New Roman"/>
          <w:bCs/>
        </w:rPr>
        <w:t>25.4</w:t>
      </w:r>
      <w:r w:rsidR="00324690">
        <w:rPr>
          <w:rFonts w:ascii="Times New Roman" w:hAnsi="Times New Roman" w:cs="Times New Roman"/>
          <w:bCs/>
        </w:rPr>
        <w:t xml:space="preserve"> dispõe que “</w:t>
      </w:r>
      <w:r w:rsidR="00324690" w:rsidRPr="00324690">
        <w:rPr>
          <w:rFonts w:ascii="Times New Roman" w:hAnsi="Times New Roman" w:cs="Times New Roman"/>
          <w:bCs/>
        </w:rPr>
        <w:t>A planilha servirá como declaração, devendo a licitante efetuar as alterações que julgar</w:t>
      </w:r>
      <w:r w:rsidR="00324690">
        <w:rPr>
          <w:rFonts w:ascii="Times New Roman" w:hAnsi="Times New Roman" w:cs="Times New Roman"/>
          <w:bCs/>
        </w:rPr>
        <w:t xml:space="preserve"> </w:t>
      </w:r>
      <w:r w:rsidR="00324690" w:rsidRPr="00324690">
        <w:rPr>
          <w:rFonts w:ascii="Times New Roman" w:hAnsi="Times New Roman" w:cs="Times New Roman"/>
          <w:bCs/>
        </w:rPr>
        <w:t>necessárias, já que as planilhas de análise de exequibilidade têm caráter informativo e servirão para</w:t>
      </w:r>
      <w:r w:rsidR="00324690">
        <w:rPr>
          <w:rFonts w:ascii="Times New Roman" w:hAnsi="Times New Roman" w:cs="Times New Roman"/>
          <w:bCs/>
        </w:rPr>
        <w:t xml:space="preserve"> </w:t>
      </w:r>
      <w:r w:rsidR="00324690" w:rsidRPr="00324690">
        <w:rPr>
          <w:rFonts w:ascii="Times New Roman" w:hAnsi="Times New Roman" w:cs="Times New Roman"/>
          <w:bCs/>
        </w:rPr>
        <w:t>demonstrar capacidade e possíveis variações de custos / insumos no curso da execução contratual</w:t>
      </w:r>
      <w:r w:rsidR="00324690">
        <w:rPr>
          <w:rFonts w:ascii="Times New Roman" w:hAnsi="Times New Roman" w:cs="Times New Roman"/>
          <w:bCs/>
        </w:rPr>
        <w:t>”</w:t>
      </w:r>
      <w:r w:rsidR="00324690" w:rsidRPr="00324690">
        <w:rPr>
          <w:rFonts w:ascii="Times New Roman" w:hAnsi="Times New Roman" w:cs="Times New Roman"/>
          <w:bCs/>
        </w:rPr>
        <w:t>.</w:t>
      </w:r>
      <w:r w:rsidR="00997C00">
        <w:rPr>
          <w:rFonts w:ascii="Times New Roman" w:hAnsi="Times New Roman" w:cs="Times New Roman"/>
          <w:bCs/>
        </w:rPr>
        <w:t xml:space="preserve"> </w:t>
      </w:r>
      <w:r w:rsidR="00970CDC">
        <w:rPr>
          <w:rFonts w:ascii="Times New Roman" w:hAnsi="Times New Roman" w:cs="Times New Roman"/>
          <w:bCs/>
        </w:rPr>
        <w:t>Infere a CAPGEMINI, ainda, a existência de erro no preenchimento da planilha, sem, contudo, demonstrar qual seria, impedindo maior análise e defesa neste particular.</w:t>
      </w:r>
    </w:p>
    <w:p w14:paraId="2C687DC8" w14:textId="43ED3A7D" w:rsidR="00B305D9" w:rsidRDefault="00B305D9" w:rsidP="00B305D9">
      <w:pPr>
        <w:spacing w:after="0" w:line="360" w:lineRule="auto"/>
        <w:ind w:firstLine="708"/>
        <w:jc w:val="both"/>
        <w:rPr>
          <w:rFonts w:ascii="Times New Roman" w:hAnsi="Times New Roman" w:cs="Times New Roman"/>
          <w:bCs/>
        </w:rPr>
      </w:pPr>
      <w:r>
        <w:rPr>
          <w:rFonts w:ascii="Times New Roman" w:hAnsi="Times New Roman" w:cs="Times New Roman"/>
          <w:bCs/>
        </w:rPr>
        <w:t>Destaque-se, ainda, que o item 8.13 do Edital, em linha com o entendimento predominante no TCU, é claro ao estabelecer que “</w:t>
      </w:r>
      <w:r w:rsidRPr="00B305D9">
        <w:rPr>
          <w:rFonts w:ascii="Times New Roman" w:hAnsi="Times New Roman" w:cs="Times New Roman"/>
          <w:bCs/>
          <w:i/>
          <w:iCs/>
        </w:rPr>
        <w:t>Erros no preenchimento da planilha não cons</w:t>
      </w:r>
      <w:r>
        <w:rPr>
          <w:rFonts w:ascii="Times New Roman" w:eastAsia="Times New Roman" w:hAnsi="Times New Roman" w:cs="Times New Roman"/>
          <w:bCs/>
          <w:i/>
          <w:iCs/>
        </w:rPr>
        <w:t>ti</w:t>
      </w:r>
      <w:r w:rsidRPr="00B305D9">
        <w:rPr>
          <w:rFonts w:ascii="Times New Roman" w:hAnsi="Times New Roman" w:cs="Times New Roman"/>
          <w:bCs/>
          <w:i/>
          <w:iCs/>
        </w:rPr>
        <w:t>tuem mo</w:t>
      </w:r>
      <w:r>
        <w:rPr>
          <w:rFonts w:ascii="Times New Roman" w:eastAsia="Times New Roman" w:hAnsi="Times New Roman" w:cs="Times New Roman"/>
          <w:bCs/>
          <w:i/>
          <w:iCs/>
        </w:rPr>
        <w:t>ti</w:t>
      </w:r>
      <w:r w:rsidRPr="00B305D9">
        <w:rPr>
          <w:rFonts w:ascii="Times New Roman" w:hAnsi="Times New Roman" w:cs="Times New Roman"/>
          <w:bCs/>
          <w:i/>
          <w:iCs/>
        </w:rPr>
        <w:t>vo para a desclassificação da proposta. A planilha poderá́ ser ajustada pelo licitante, no prazo indicado pelo Pregoeiro, desde que não haja majoração do preço</w:t>
      </w:r>
      <w:r>
        <w:rPr>
          <w:rFonts w:ascii="Times New Roman" w:hAnsi="Times New Roman" w:cs="Times New Roman"/>
          <w:bCs/>
        </w:rPr>
        <w:t>”.</w:t>
      </w:r>
    </w:p>
    <w:p w14:paraId="7EE9A1A0" w14:textId="298843CF" w:rsidR="00E10383" w:rsidRDefault="00E10383" w:rsidP="00B305D9">
      <w:pPr>
        <w:spacing w:after="0" w:line="360" w:lineRule="auto"/>
        <w:ind w:firstLine="708"/>
        <w:jc w:val="both"/>
        <w:rPr>
          <w:rFonts w:ascii="Times New Roman" w:hAnsi="Times New Roman" w:cs="Times New Roman"/>
          <w:bCs/>
        </w:rPr>
      </w:pPr>
      <w:r>
        <w:rPr>
          <w:rFonts w:ascii="Times New Roman" w:hAnsi="Times New Roman" w:cs="Times New Roman"/>
          <w:bCs/>
        </w:rPr>
        <w:t>Nesse sentido</w:t>
      </w:r>
      <w:r w:rsidR="00183F05">
        <w:rPr>
          <w:rFonts w:ascii="Times New Roman" w:hAnsi="Times New Roman" w:cs="Times New Roman"/>
          <w:bCs/>
        </w:rPr>
        <w:t>:</w:t>
      </w:r>
    </w:p>
    <w:p w14:paraId="655A1F76" w14:textId="3338A058" w:rsidR="00183F05" w:rsidRPr="00183F05" w:rsidRDefault="00183F05" w:rsidP="00183F05">
      <w:pPr>
        <w:pStyle w:val="NormalWeb"/>
        <w:ind w:left="2268"/>
        <w:jc w:val="both"/>
        <w:rPr>
          <w:rFonts w:eastAsiaTheme="minorHAnsi"/>
          <w:bCs/>
          <w:sz w:val="20"/>
          <w:szCs w:val="20"/>
          <w:lang w:eastAsia="en-US"/>
        </w:rPr>
      </w:pPr>
      <w:r w:rsidRPr="00183F05">
        <w:rPr>
          <w:rFonts w:eastAsiaTheme="minorHAnsi"/>
          <w:bCs/>
          <w:sz w:val="20"/>
          <w:szCs w:val="20"/>
          <w:lang w:eastAsia="en-US"/>
        </w:rPr>
        <w:t xml:space="preserve">A mera existência de erro material ou de omissão na planilha de custos e de preços de licitante não enseja, necessariamente, a desclassificação antecipada da sua proposta, devendo a Administração promover diligência junto ao interessado para a correção das falhas, sem permitir, contudo, a alteração do </w:t>
      </w:r>
      <w:r w:rsidRPr="00183F05">
        <w:rPr>
          <w:rFonts w:eastAsiaTheme="minorHAnsi"/>
          <w:bCs/>
          <w:i/>
          <w:iCs/>
          <w:sz w:val="20"/>
          <w:szCs w:val="20"/>
          <w:lang w:eastAsia="en-US"/>
        </w:rPr>
        <w:t>valor</w:t>
      </w:r>
      <w:r w:rsidRPr="00183F05">
        <w:rPr>
          <w:rFonts w:eastAsiaTheme="minorHAnsi"/>
          <w:bCs/>
          <w:sz w:val="20"/>
          <w:szCs w:val="20"/>
          <w:lang w:eastAsia="en-US"/>
        </w:rPr>
        <w:t xml:space="preserve"> </w:t>
      </w:r>
      <w:r w:rsidRPr="00183F05">
        <w:rPr>
          <w:rFonts w:eastAsiaTheme="minorHAnsi"/>
          <w:bCs/>
          <w:i/>
          <w:iCs/>
          <w:sz w:val="20"/>
          <w:szCs w:val="20"/>
          <w:lang w:eastAsia="en-US"/>
        </w:rPr>
        <w:t>global</w:t>
      </w:r>
      <w:r w:rsidRPr="00183F05">
        <w:rPr>
          <w:rFonts w:eastAsiaTheme="minorHAnsi"/>
          <w:bCs/>
          <w:sz w:val="20"/>
          <w:szCs w:val="20"/>
          <w:lang w:eastAsia="en-US"/>
        </w:rPr>
        <w:t xml:space="preserve"> originalmente proposto. (Acórdão 830/2018-Plenário | Relator: ANDRÉ DE CARVALHO / ÁREA: Licitação | TEMA: Julgamento | SUBTEMA: Erro material / Outros indexadores: Desclassificação, Preço </w:t>
      </w:r>
      <w:r w:rsidRPr="00183F05">
        <w:rPr>
          <w:rFonts w:eastAsiaTheme="minorHAnsi"/>
          <w:bCs/>
          <w:i/>
          <w:iCs/>
          <w:sz w:val="20"/>
          <w:szCs w:val="20"/>
          <w:lang w:eastAsia="en-US"/>
        </w:rPr>
        <w:t>global</w:t>
      </w:r>
      <w:r w:rsidRPr="00183F05">
        <w:rPr>
          <w:rFonts w:eastAsiaTheme="minorHAnsi"/>
          <w:bCs/>
          <w:sz w:val="20"/>
          <w:szCs w:val="20"/>
          <w:lang w:eastAsia="en-US"/>
        </w:rPr>
        <w:t xml:space="preserve">, Proposta de preço, Diligência / Publicado: </w:t>
      </w:r>
      <w:hyperlink r:id="rId8" w:history="1">
        <w:r w:rsidRPr="00183F05">
          <w:rPr>
            <w:rFonts w:eastAsiaTheme="minorHAnsi"/>
            <w:bCs/>
            <w:sz w:val="20"/>
            <w:szCs w:val="20"/>
            <w:lang w:eastAsia="en-US"/>
          </w:rPr>
          <w:t>Boletim de Jurisprudência nº 215 de 07/05/2018</w:t>
        </w:r>
      </w:hyperlink>
      <w:r w:rsidRPr="00183F05">
        <w:rPr>
          <w:rFonts w:eastAsiaTheme="minorHAnsi"/>
          <w:bCs/>
          <w:sz w:val="20"/>
          <w:szCs w:val="20"/>
          <w:lang w:eastAsia="en-US"/>
        </w:rPr>
        <w:t>)</w:t>
      </w:r>
    </w:p>
    <w:p w14:paraId="773143D5" w14:textId="7F04BB3A" w:rsidR="001A0181" w:rsidRPr="001A0181" w:rsidRDefault="001A0181" w:rsidP="001A0181">
      <w:pPr>
        <w:pStyle w:val="NormalWeb"/>
        <w:ind w:left="2268"/>
        <w:jc w:val="both"/>
        <w:rPr>
          <w:rFonts w:eastAsiaTheme="minorHAnsi"/>
          <w:bCs/>
          <w:sz w:val="20"/>
          <w:szCs w:val="20"/>
          <w:lang w:eastAsia="en-US"/>
        </w:rPr>
      </w:pPr>
      <w:r w:rsidRPr="001A0181">
        <w:rPr>
          <w:rFonts w:eastAsiaTheme="minorHAnsi"/>
          <w:bCs/>
          <w:sz w:val="20"/>
          <w:szCs w:val="20"/>
          <w:lang w:eastAsia="en-US"/>
        </w:rPr>
        <w:t xml:space="preserve">A mera existência de erro material ou de omissão na planilha de custos e de formação de preços da licitante não enseja, necessariamente, a desclassificação antecipada da sua proposta, devendo a Administração promover diligência junto ao interessado para a correção das falhas, sem permitir, contudo, a alteração do </w:t>
      </w:r>
      <w:r w:rsidRPr="001A0181">
        <w:rPr>
          <w:rFonts w:eastAsiaTheme="minorHAnsi"/>
          <w:bCs/>
          <w:i/>
          <w:iCs/>
          <w:sz w:val="20"/>
          <w:szCs w:val="20"/>
          <w:lang w:eastAsia="en-US"/>
        </w:rPr>
        <w:t>valor</w:t>
      </w:r>
      <w:r w:rsidRPr="001A0181">
        <w:rPr>
          <w:rFonts w:eastAsiaTheme="minorHAnsi"/>
          <w:bCs/>
          <w:sz w:val="20"/>
          <w:szCs w:val="20"/>
          <w:lang w:eastAsia="en-US"/>
        </w:rPr>
        <w:t xml:space="preserve"> </w:t>
      </w:r>
      <w:r w:rsidRPr="001A0181">
        <w:rPr>
          <w:rFonts w:eastAsiaTheme="minorHAnsi"/>
          <w:bCs/>
          <w:i/>
          <w:iCs/>
          <w:sz w:val="20"/>
          <w:szCs w:val="20"/>
          <w:lang w:eastAsia="en-US"/>
        </w:rPr>
        <w:t>global</w:t>
      </w:r>
      <w:r w:rsidRPr="001A0181">
        <w:rPr>
          <w:rFonts w:eastAsiaTheme="minorHAnsi"/>
          <w:bCs/>
          <w:sz w:val="20"/>
          <w:szCs w:val="20"/>
          <w:lang w:eastAsia="en-US"/>
        </w:rPr>
        <w:t xml:space="preserve"> originalmente proposto. (Acórdão 370/2020-Plenário | Relator: MARCOS BEMQUERER / ÁREA: Licitação | TEMA: Julgamento | SUBTEMA: Erro material / Outros indexadores: Desclassificação, Correção, Preço </w:t>
      </w:r>
      <w:r w:rsidRPr="001A0181">
        <w:rPr>
          <w:rFonts w:eastAsiaTheme="minorHAnsi"/>
          <w:bCs/>
          <w:i/>
          <w:iCs/>
          <w:sz w:val="20"/>
          <w:szCs w:val="20"/>
          <w:lang w:eastAsia="en-US"/>
        </w:rPr>
        <w:t>global</w:t>
      </w:r>
      <w:r w:rsidRPr="001A0181">
        <w:rPr>
          <w:rFonts w:eastAsiaTheme="minorHAnsi"/>
          <w:bCs/>
          <w:sz w:val="20"/>
          <w:szCs w:val="20"/>
          <w:lang w:eastAsia="en-US"/>
        </w:rPr>
        <w:t>, Proposta de preço, Diligência)</w:t>
      </w:r>
    </w:p>
    <w:p w14:paraId="103EBEC8" w14:textId="77777777" w:rsidR="00183F05" w:rsidRDefault="00183F05" w:rsidP="00324690">
      <w:pPr>
        <w:spacing w:after="0" w:line="360" w:lineRule="auto"/>
        <w:ind w:firstLine="708"/>
        <w:jc w:val="both"/>
        <w:rPr>
          <w:rFonts w:ascii="Times New Roman" w:hAnsi="Times New Roman" w:cs="Times New Roman"/>
          <w:bCs/>
        </w:rPr>
      </w:pPr>
    </w:p>
    <w:p w14:paraId="288AFD3C" w14:textId="2733FB5C" w:rsidR="00970CDC" w:rsidRDefault="00970CDC" w:rsidP="00324690">
      <w:pPr>
        <w:spacing w:after="0" w:line="360" w:lineRule="auto"/>
        <w:ind w:firstLine="708"/>
        <w:jc w:val="both"/>
        <w:rPr>
          <w:rFonts w:ascii="Times New Roman" w:hAnsi="Times New Roman" w:cs="Times New Roman"/>
          <w:bCs/>
        </w:rPr>
      </w:pPr>
      <w:r>
        <w:rPr>
          <w:rFonts w:ascii="Times New Roman" w:hAnsi="Times New Roman" w:cs="Times New Roman"/>
          <w:bCs/>
        </w:rPr>
        <w:t>Feitas tais considerações preliminares, para facilitar o entendimento do Ilmo. Pregoeiro e sua equipe de apoio, e para que não restem dúvidas quanto à plena exequibilidade da proposta apresentada pela licitante META é de suma importância que se façam algumas análises e ponderações:</w:t>
      </w:r>
    </w:p>
    <w:p w14:paraId="16C517D5" w14:textId="22300FA9" w:rsidR="00970CDC" w:rsidRDefault="00970CDC" w:rsidP="00970CDC">
      <w:pPr>
        <w:spacing w:after="0" w:line="360" w:lineRule="auto"/>
        <w:jc w:val="both"/>
        <w:rPr>
          <w:rFonts w:ascii="Times New Roman" w:hAnsi="Times New Roman" w:cs="Times New Roman"/>
          <w:bCs/>
        </w:rPr>
      </w:pPr>
    </w:p>
    <w:p w14:paraId="28D59299" w14:textId="7A1BE443" w:rsidR="00970CDC" w:rsidRDefault="00970CDC" w:rsidP="00970CDC">
      <w:pPr>
        <w:spacing w:after="0" w:line="360" w:lineRule="auto"/>
        <w:jc w:val="both"/>
        <w:rPr>
          <w:rFonts w:ascii="Times New Roman" w:hAnsi="Times New Roman" w:cs="Times New Roman"/>
          <w:b/>
        </w:rPr>
      </w:pPr>
      <w:r w:rsidRPr="00970CDC">
        <w:rPr>
          <w:rFonts w:ascii="Times New Roman" w:hAnsi="Times New Roman" w:cs="Times New Roman"/>
          <w:b/>
        </w:rPr>
        <w:t>III.</w:t>
      </w:r>
      <w:r>
        <w:rPr>
          <w:rFonts w:ascii="Times New Roman" w:hAnsi="Times New Roman" w:cs="Times New Roman"/>
          <w:b/>
        </w:rPr>
        <w:t>A</w:t>
      </w:r>
      <w:r w:rsidRPr="00970CDC">
        <w:rPr>
          <w:rFonts w:ascii="Times New Roman" w:hAnsi="Times New Roman" w:cs="Times New Roman"/>
          <w:b/>
        </w:rPr>
        <w:t xml:space="preserve"> -   Da </w:t>
      </w:r>
      <w:r>
        <w:rPr>
          <w:rFonts w:ascii="Times New Roman" w:hAnsi="Times New Roman" w:cs="Times New Roman"/>
          <w:b/>
        </w:rPr>
        <w:t xml:space="preserve">Análise de Exequibilidade e </w:t>
      </w:r>
      <w:r w:rsidRPr="00970CDC">
        <w:rPr>
          <w:rFonts w:ascii="Times New Roman" w:hAnsi="Times New Roman" w:cs="Times New Roman"/>
          <w:b/>
        </w:rPr>
        <w:t>Planilha de Análise de Exequibilidade</w:t>
      </w:r>
    </w:p>
    <w:p w14:paraId="093FACC4" w14:textId="77777777" w:rsidR="00970CDC" w:rsidRDefault="00970CDC" w:rsidP="00970CDC">
      <w:pPr>
        <w:spacing w:after="0" w:line="360" w:lineRule="auto"/>
        <w:jc w:val="both"/>
        <w:rPr>
          <w:rFonts w:ascii="Times New Roman" w:hAnsi="Times New Roman" w:cs="Times New Roman"/>
          <w:b/>
        </w:rPr>
      </w:pPr>
      <w:r>
        <w:rPr>
          <w:rFonts w:ascii="Times New Roman" w:hAnsi="Times New Roman" w:cs="Times New Roman"/>
          <w:b/>
        </w:rPr>
        <w:tab/>
      </w:r>
    </w:p>
    <w:p w14:paraId="09DBA9AE" w14:textId="5267C641" w:rsidR="00970CDC" w:rsidRDefault="00970CDC" w:rsidP="00970CDC">
      <w:pPr>
        <w:spacing w:after="0" w:line="360" w:lineRule="auto"/>
        <w:ind w:firstLine="708"/>
        <w:jc w:val="both"/>
        <w:rPr>
          <w:rFonts w:ascii="Times New Roman" w:hAnsi="Times New Roman" w:cs="Times New Roman"/>
          <w:bCs/>
        </w:rPr>
      </w:pPr>
      <w:r w:rsidRPr="00F8657E">
        <w:rPr>
          <w:rFonts w:ascii="Times New Roman" w:hAnsi="Times New Roman" w:cs="Times New Roman"/>
          <w:bCs/>
        </w:rPr>
        <w:t>A Planilha de Análise de Exequibilidade, conforme já mencionado, consistia em um modelo a ser seguido pelas licitantes na formação de seu preço, podendo ser ajustada/alterada visando a adequação à realidade de cada licitante.</w:t>
      </w:r>
    </w:p>
    <w:p w14:paraId="5893573B" w14:textId="755C6D95" w:rsidR="003E7E1C" w:rsidRPr="00F8657E" w:rsidRDefault="003E7E1C" w:rsidP="003E7E1C">
      <w:pPr>
        <w:spacing w:after="0" w:line="360" w:lineRule="auto"/>
        <w:ind w:firstLine="708"/>
        <w:jc w:val="both"/>
        <w:rPr>
          <w:rFonts w:ascii="Times New Roman" w:hAnsi="Times New Roman" w:cs="Times New Roman"/>
          <w:bCs/>
        </w:rPr>
      </w:pPr>
      <w:r>
        <w:rPr>
          <w:rFonts w:ascii="Times New Roman" w:hAnsi="Times New Roman" w:cs="Times New Roman"/>
          <w:bCs/>
        </w:rPr>
        <w:t xml:space="preserve">Nem a referida Planilha, nem mesmo o Edital, poderiam fixar valores mínimos admitidos para a contratação, visto a fixação de preços mínimos ser expressamente vedada pela Lei 8.666/93, no artigo 40, </w:t>
      </w:r>
      <w:r w:rsidR="00AD4B39">
        <w:rPr>
          <w:rFonts w:ascii="Times New Roman" w:hAnsi="Times New Roman" w:cs="Times New Roman"/>
          <w:bCs/>
        </w:rPr>
        <w:t xml:space="preserve">inciso </w:t>
      </w:r>
      <w:r>
        <w:rPr>
          <w:rFonts w:ascii="Times New Roman" w:hAnsi="Times New Roman" w:cs="Times New Roman"/>
          <w:bCs/>
        </w:rPr>
        <w:t>X (</w:t>
      </w:r>
      <w:r w:rsidRPr="003E7E1C">
        <w:rPr>
          <w:rFonts w:ascii="Times New Roman" w:hAnsi="Times New Roman" w:cs="Times New Roman"/>
          <w:bCs/>
          <w:i/>
          <w:iCs/>
        </w:rPr>
        <w:t xml:space="preserve">o critério de aceitabilidade dos preços unitário e global, conforme o caso, permitida a fixação de preços máximos e </w:t>
      </w:r>
      <w:r w:rsidRPr="003E7E1C">
        <w:rPr>
          <w:rFonts w:ascii="Times New Roman" w:hAnsi="Times New Roman" w:cs="Times New Roman"/>
          <w:b/>
          <w:i/>
          <w:iCs/>
          <w:u w:val="single"/>
        </w:rPr>
        <w:t>vedados a fixação de preços mínimos</w:t>
      </w:r>
      <w:r w:rsidRPr="003E7E1C">
        <w:rPr>
          <w:rFonts w:ascii="Times New Roman" w:hAnsi="Times New Roman" w:cs="Times New Roman"/>
          <w:bCs/>
          <w:i/>
          <w:iCs/>
        </w:rPr>
        <w:t>, critérios estatísticos ou faixas de variação em relação a preços de referência, ressalvado o disposto nos parágrafos 1º e 2º  do art. 48</w:t>
      </w:r>
      <w:r>
        <w:rPr>
          <w:rFonts w:ascii="Times New Roman" w:hAnsi="Times New Roman" w:cs="Times New Roman"/>
          <w:bCs/>
        </w:rPr>
        <w:t>) (grifamos).</w:t>
      </w:r>
      <w:r w:rsidRPr="000A05B3">
        <w:rPr>
          <w:rFonts w:ascii="Times New Roman" w:hAnsi="Times New Roman" w:cs="Times New Roman"/>
          <w:bCs/>
        </w:rPr>
        <w:t xml:space="preserve">    </w:t>
      </w:r>
    </w:p>
    <w:p w14:paraId="794E82DC" w14:textId="1DB193C9" w:rsidR="00970CDC" w:rsidRDefault="003E7E1C" w:rsidP="00970CDC">
      <w:pPr>
        <w:spacing w:after="0" w:line="360" w:lineRule="auto"/>
        <w:ind w:firstLine="708"/>
        <w:jc w:val="both"/>
        <w:rPr>
          <w:rFonts w:ascii="Times New Roman" w:hAnsi="Times New Roman" w:cs="Times New Roman"/>
          <w:bCs/>
        </w:rPr>
      </w:pPr>
      <w:r>
        <w:rPr>
          <w:rFonts w:ascii="Times New Roman" w:hAnsi="Times New Roman" w:cs="Times New Roman"/>
          <w:bCs/>
        </w:rPr>
        <w:t>Assim, r</w:t>
      </w:r>
      <w:r w:rsidR="00970CDC" w:rsidRPr="00F8657E">
        <w:rPr>
          <w:rFonts w:ascii="Times New Roman" w:hAnsi="Times New Roman" w:cs="Times New Roman"/>
          <w:bCs/>
        </w:rPr>
        <w:t>eferida planilha permitia chegar-se aos valores “presumidamente exequíveis”, que, no caso da Proposta apresentada pela licitante META seria</w:t>
      </w:r>
      <w:r w:rsidR="006D0052" w:rsidRPr="00F8657E">
        <w:rPr>
          <w:rFonts w:ascii="Times New Roman" w:hAnsi="Times New Roman" w:cs="Times New Roman"/>
          <w:bCs/>
        </w:rPr>
        <w:t xml:space="preserve">m de </w:t>
      </w:r>
      <w:r w:rsidR="00723D88">
        <w:rPr>
          <w:rFonts w:ascii="Times New Roman" w:hAnsi="Times New Roman" w:cs="Times New Roman"/>
          <w:bCs/>
        </w:rPr>
        <w:t>R$ 730,30 (setecentos reais e trinta centavos) para o Ponto de Função (PF) e de R$ 73,03 (setenta e três reais e três centavos) para a Unidade de Serviço Técnico (UST)</w:t>
      </w:r>
      <w:r w:rsidR="006D0052" w:rsidRPr="00F8657E">
        <w:rPr>
          <w:rFonts w:ascii="Times New Roman" w:hAnsi="Times New Roman" w:cs="Times New Roman"/>
          <w:bCs/>
        </w:rPr>
        <w:t xml:space="preserve">. </w:t>
      </w:r>
    </w:p>
    <w:p w14:paraId="56D2324C" w14:textId="1BCA963F" w:rsidR="00F8657E" w:rsidRDefault="006D0052" w:rsidP="00970CDC">
      <w:pPr>
        <w:spacing w:after="0" w:line="360" w:lineRule="auto"/>
        <w:ind w:firstLine="708"/>
        <w:jc w:val="both"/>
        <w:rPr>
          <w:rFonts w:ascii="Times New Roman" w:hAnsi="Times New Roman" w:cs="Times New Roman"/>
          <w:bCs/>
        </w:rPr>
      </w:pPr>
      <w:r w:rsidRPr="00F8657E">
        <w:rPr>
          <w:rFonts w:ascii="Times New Roman" w:hAnsi="Times New Roman" w:cs="Times New Roman"/>
          <w:bCs/>
        </w:rPr>
        <w:t xml:space="preserve">Pois bem. É sabido que o ato de presumir significa </w:t>
      </w:r>
      <w:r w:rsidRPr="00F8657E">
        <w:rPr>
          <w:rFonts w:ascii="Times New Roman" w:hAnsi="Times New Roman" w:cs="Times New Roman"/>
          <w:bCs/>
          <w:i/>
          <w:iCs/>
        </w:rPr>
        <w:t>“1. Chegar a uma conclusão a partir de indícios ou supo</w:t>
      </w:r>
      <w:r w:rsidRPr="00F8657E">
        <w:rPr>
          <w:rFonts w:ascii="Times New Roman" w:hAnsi="Times New Roman" w:cs="Times New Roman"/>
          <w:b/>
          <w:i/>
          <w:iCs/>
        </w:rPr>
        <w:t>siç</w:t>
      </w:r>
      <w:r w:rsidRPr="00F8657E">
        <w:rPr>
          <w:rFonts w:ascii="Times New Roman" w:hAnsi="Times New Roman" w:cs="Times New Roman"/>
          <w:bCs/>
          <w:i/>
          <w:iCs/>
        </w:rPr>
        <w:t>ões; conjecturar, supor; 2. Supor algo antecipadamente; achar, pressupor;</w:t>
      </w:r>
      <w:r w:rsidRPr="00F8657E">
        <w:rPr>
          <w:rFonts w:ascii="Times New Roman" w:hAnsi="Times New Roman" w:cs="Times New Roman"/>
          <w:bCs/>
        </w:rPr>
        <w:t>”</w:t>
      </w:r>
      <w:r w:rsidRPr="00F8657E">
        <w:rPr>
          <w:rStyle w:val="Refdenotaderodap"/>
          <w:rFonts w:ascii="Times New Roman" w:hAnsi="Times New Roman" w:cs="Times New Roman"/>
          <w:bCs/>
        </w:rPr>
        <w:footnoteReference w:id="1"/>
      </w:r>
      <w:r w:rsidRPr="00F8657E">
        <w:rPr>
          <w:rFonts w:ascii="Times New Roman" w:hAnsi="Times New Roman" w:cs="Times New Roman"/>
          <w:bCs/>
        </w:rPr>
        <w:t xml:space="preserve">. </w:t>
      </w:r>
      <w:r w:rsidR="00F8657E" w:rsidRPr="00F8657E">
        <w:rPr>
          <w:rFonts w:ascii="Times New Roman" w:hAnsi="Times New Roman" w:cs="Times New Roman"/>
          <w:bCs/>
        </w:rPr>
        <w:t>No Direito, a presunção pode assumir duas feições: presunção absoluta (</w:t>
      </w:r>
      <w:r w:rsidR="00F8657E" w:rsidRPr="00F8657E">
        <w:rPr>
          <w:rFonts w:ascii="Times New Roman" w:hAnsi="Times New Roman" w:cs="Times New Roman"/>
          <w:bCs/>
          <w:i/>
          <w:iCs/>
        </w:rPr>
        <w:t>juris et de jure</w:t>
      </w:r>
      <w:r w:rsidR="00F8657E" w:rsidRPr="00F8657E">
        <w:rPr>
          <w:rFonts w:ascii="Times New Roman" w:hAnsi="Times New Roman" w:cs="Times New Roman"/>
          <w:bCs/>
        </w:rPr>
        <w:t>) e presunção relativa (</w:t>
      </w:r>
      <w:r w:rsidR="00F8657E" w:rsidRPr="00F8657E">
        <w:rPr>
          <w:rFonts w:ascii="Times New Roman" w:hAnsi="Times New Roman" w:cs="Times New Roman"/>
          <w:bCs/>
          <w:i/>
          <w:iCs/>
        </w:rPr>
        <w:t>juris t</w:t>
      </w:r>
      <w:r w:rsidR="00F8657E" w:rsidRPr="00F8657E">
        <w:rPr>
          <w:rFonts w:ascii="Times New Roman" w:hAnsi="Times New Roman" w:cs="Times New Roman"/>
          <w:i/>
          <w:iCs/>
        </w:rPr>
        <w:t>antum</w:t>
      </w:r>
      <w:r w:rsidR="00F8657E" w:rsidRPr="00F8657E">
        <w:rPr>
          <w:rFonts w:ascii="Times New Roman" w:hAnsi="Times New Roman" w:cs="Times New Roman"/>
        </w:rPr>
        <w:t>)</w:t>
      </w:r>
      <w:r w:rsidR="00F8657E" w:rsidRPr="00F8657E">
        <w:rPr>
          <w:rFonts w:ascii="Times New Roman" w:hAnsi="Times New Roman" w:cs="Times New Roman"/>
          <w:b/>
        </w:rPr>
        <w:t xml:space="preserve">. </w:t>
      </w:r>
      <w:r w:rsidR="00F8657E" w:rsidRPr="00F8657E">
        <w:rPr>
          <w:rFonts w:ascii="Times New Roman" w:hAnsi="Times New Roman" w:cs="Times New Roman"/>
          <w:bCs/>
        </w:rPr>
        <w:t xml:space="preserve">Esta última, admite prova em contrário, enquanto aquela decorre de </w:t>
      </w:r>
      <w:r w:rsidR="00F8657E">
        <w:rPr>
          <w:rFonts w:ascii="Times New Roman" w:hAnsi="Times New Roman" w:cs="Times New Roman"/>
          <w:bCs/>
        </w:rPr>
        <w:t xml:space="preserve">expressa disposição de </w:t>
      </w:r>
      <w:r w:rsidR="00F8657E" w:rsidRPr="00F8657E">
        <w:rPr>
          <w:rFonts w:ascii="Times New Roman" w:hAnsi="Times New Roman" w:cs="Times New Roman"/>
          <w:bCs/>
        </w:rPr>
        <w:t>lei.</w:t>
      </w:r>
    </w:p>
    <w:p w14:paraId="36D302D2" w14:textId="21570969" w:rsidR="006D0052" w:rsidRDefault="00F8657E" w:rsidP="00F8657E">
      <w:pPr>
        <w:spacing w:after="0" w:line="360" w:lineRule="auto"/>
        <w:ind w:firstLine="708"/>
        <w:jc w:val="both"/>
        <w:rPr>
          <w:rFonts w:ascii="Times New Roman" w:hAnsi="Times New Roman" w:cs="Times New Roman"/>
          <w:bCs/>
        </w:rPr>
      </w:pPr>
      <w:r>
        <w:rPr>
          <w:rFonts w:ascii="Times New Roman" w:hAnsi="Times New Roman" w:cs="Times New Roman"/>
          <w:bCs/>
        </w:rPr>
        <w:t>É uníssono no Direito Administrativo que a presunção de exequibilidade (ou inexequibilidade) é relativa, porquanto não há disposição legal expressa quanto à sua determinação, cabendo à Administração a realização de diligências</w:t>
      </w:r>
      <w:r w:rsidRPr="00F8657E">
        <w:rPr>
          <w:rFonts w:ascii="Times New Roman" w:hAnsi="Times New Roman" w:cs="Times New Roman"/>
          <w:bCs/>
        </w:rPr>
        <w:t xml:space="preserve"> na forma do § 3°</w:t>
      </w:r>
      <w:r>
        <w:rPr>
          <w:rFonts w:ascii="Times New Roman" w:hAnsi="Times New Roman" w:cs="Times New Roman"/>
          <w:bCs/>
        </w:rPr>
        <w:t xml:space="preserve"> </w:t>
      </w:r>
      <w:r w:rsidRPr="00F8657E">
        <w:rPr>
          <w:rFonts w:ascii="Times New Roman" w:hAnsi="Times New Roman" w:cs="Times New Roman"/>
          <w:bCs/>
        </w:rPr>
        <w:t>do a</w:t>
      </w:r>
      <w:r w:rsidR="00B305D9">
        <w:rPr>
          <w:rFonts w:ascii="Times New Roman" w:hAnsi="Times New Roman" w:cs="Times New Roman"/>
          <w:bCs/>
        </w:rPr>
        <w:t>r</w:t>
      </w:r>
      <w:r>
        <w:rPr>
          <w:rFonts w:ascii="Times New Roman" w:hAnsi="Times New Roman" w:cs="Times New Roman"/>
          <w:bCs/>
        </w:rPr>
        <w:t>ti</w:t>
      </w:r>
      <w:r w:rsidRPr="00F8657E">
        <w:rPr>
          <w:rFonts w:ascii="Times New Roman" w:hAnsi="Times New Roman" w:cs="Times New Roman"/>
          <w:bCs/>
        </w:rPr>
        <w:t>go 43 da Lei n° 8.666, de 1993 e a exemplo das enumeradas no item 9.4 do Anexo VII-A da IN</w:t>
      </w:r>
      <w:r>
        <w:rPr>
          <w:rFonts w:ascii="Times New Roman" w:hAnsi="Times New Roman" w:cs="Times New Roman"/>
          <w:bCs/>
        </w:rPr>
        <w:t xml:space="preserve"> </w:t>
      </w:r>
      <w:r w:rsidRPr="00F8657E">
        <w:rPr>
          <w:rFonts w:ascii="Times New Roman" w:hAnsi="Times New Roman" w:cs="Times New Roman"/>
          <w:bCs/>
        </w:rPr>
        <w:t>SEGES/MP N. 5, de 2017, para que a empresa comprove a exequibilidade da proposta</w:t>
      </w:r>
      <w:r>
        <w:rPr>
          <w:rFonts w:ascii="Times New Roman" w:hAnsi="Times New Roman" w:cs="Times New Roman"/>
          <w:bCs/>
        </w:rPr>
        <w:t>.</w:t>
      </w:r>
    </w:p>
    <w:p w14:paraId="1406835F" w14:textId="6E6B50AC" w:rsidR="00F8657E" w:rsidRDefault="00F8657E" w:rsidP="00F8657E">
      <w:pPr>
        <w:spacing w:after="0" w:line="360" w:lineRule="auto"/>
        <w:ind w:firstLine="708"/>
        <w:jc w:val="both"/>
        <w:rPr>
          <w:rFonts w:ascii="Times New Roman" w:hAnsi="Times New Roman" w:cs="Times New Roman"/>
          <w:bCs/>
        </w:rPr>
      </w:pPr>
      <w:r>
        <w:rPr>
          <w:rFonts w:ascii="Times New Roman" w:hAnsi="Times New Roman" w:cs="Times New Roman"/>
          <w:bCs/>
        </w:rPr>
        <w:t xml:space="preserve">Isso para evitar-se equívocos e contratações mais onerosas à Administração, uma vez que é sabido que dentro da instrução do processo administrativo podem haver imprecisões nas definições de valores de mercado, especialmente nas cotações oferecidas pelos fornecedores, normalmente, com valores bem acima dos realmente praticados, e também dada a variação </w:t>
      </w:r>
      <w:r w:rsidR="00EE483B">
        <w:rPr>
          <w:rFonts w:ascii="Times New Roman" w:hAnsi="Times New Roman" w:cs="Times New Roman"/>
          <w:bCs/>
        </w:rPr>
        <w:t xml:space="preserve">de custos e despesas entre empresas, que podem repercutir em propostas com menor ou maior valor, sem deixar </w:t>
      </w:r>
      <w:r w:rsidR="003E7E1C">
        <w:rPr>
          <w:rFonts w:ascii="Times New Roman" w:hAnsi="Times New Roman" w:cs="Times New Roman"/>
          <w:bCs/>
        </w:rPr>
        <w:t>d</w:t>
      </w:r>
      <w:r w:rsidR="00EE483B">
        <w:rPr>
          <w:rFonts w:ascii="Times New Roman" w:hAnsi="Times New Roman" w:cs="Times New Roman"/>
          <w:bCs/>
        </w:rPr>
        <w:t>e mencionar-se, ainda, as particularidades inerentes a cada negócio, Edital e respectivo Termo de Referência.</w:t>
      </w:r>
    </w:p>
    <w:p w14:paraId="3FF8F39B" w14:textId="35B01559" w:rsidR="00CE51E0" w:rsidRDefault="00CE51E0" w:rsidP="00F8657E">
      <w:pPr>
        <w:spacing w:after="0" w:line="360" w:lineRule="auto"/>
        <w:ind w:firstLine="708"/>
        <w:jc w:val="both"/>
        <w:rPr>
          <w:rFonts w:ascii="Times New Roman" w:hAnsi="Times New Roman" w:cs="Times New Roman"/>
          <w:bCs/>
        </w:rPr>
      </w:pPr>
      <w:r>
        <w:rPr>
          <w:rFonts w:ascii="Times New Roman" w:hAnsi="Times New Roman" w:cs="Times New Roman"/>
          <w:bCs/>
        </w:rPr>
        <w:t>Nesta linha, é o entendimento esposado pelo TCU</w:t>
      </w:r>
      <w:r w:rsidR="000C4105">
        <w:rPr>
          <w:rFonts w:ascii="Times New Roman" w:hAnsi="Times New Roman" w:cs="Times New Roman"/>
          <w:bCs/>
        </w:rPr>
        <w:t xml:space="preserve"> na Súmula 262 e em diversos de seus julgados</w:t>
      </w:r>
      <w:r>
        <w:rPr>
          <w:rFonts w:ascii="Times New Roman" w:hAnsi="Times New Roman" w:cs="Times New Roman"/>
          <w:bCs/>
        </w:rPr>
        <w:t>:</w:t>
      </w:r>
    </w:p>
    <w:p w14:paraId="57F392C0" w14:textId="77777777" w:rsidR="00CE51E0" w:rsidRDefault="00CE51E0" w:rsidP="00F8657E">
      <w:pPr>
        <w:spacing w:after="0" w:line="360" w:lineRule="auto"/>
        <w:ind w:firstLine="708"/>
        <w:jc w:val="both"/>
        <w:rPr>
          <w:rFonts w:ascii="Times New Roman" w:hAnsi="Times New Roman" w:cs="Times New Roman"/>
          <w:bCs/>
        </w:rPr>
      </w:pPr>
    </w:p>
    <w:p w14:paraId="27BA9F32" w14:textId="03CDBB05" w:rsidR="000C4105" w:rsidRDefault="000C4105" w:rsidP="00CE51E0">
      <w:pPr>
        <w:spacing w:after="0" w:line="240" w:lineRule="auto"/>
        <w:ind w:left="2268"/>
        <w:jc w:val="both"/>
        <w:rPr>
          <w:rFonts w:ascii="Times New Roman" w:hAnsi="Times New Roman" w:cs="Times New Roman"/>
          <w:bCs/>
          <w:sz w:val="20"/>
          <w:szCs w:val="20"/>
        </w:rPr>
      </w:pPr>
      <w:r w:rsidRPr="000C4105">
        <w:rPr>
          <w:rFonts w:ascii="Times New Roman" w:hAnsi="Times New Roman" w:cs="Times New Roman"/>
          <w:b/>
          <w:sz w:val="20"/>
          <w:szCs w:val="20"/>
        </w:rPr>
        <w:t>Súmula 262 TCU.</w:t>
      </w:r>
      <w:r>
        <w:rPr>
          <w:rFonts w:ascii="Times New Roman" w:hAnsi="Times New Roman" w:cs="Times New Roman"/>
          <w:bCs/>
          <w:sz w:val="20"/>
          <w:szCs w:val="20"/>
        </w:rPr>
        <w:t xml:space="preserve"> </w:t>
      </w:r>
      <w:r w:rsidRPr="000C4105">
        <w:rPr>
          <w:rFonts w:ascii="Times New Roman" w:hAnsi="Times New Roman" w:cs="Times New Roman"/>
          <w:bCs/>
          <w:sz w:val="20"/>
          <w:szCs w:val="20"/>
        </w:rPr>
        <w:t xml:space="preserve">O critério definido no art. 48, inciso II, § 1º, alíneas “a” e “b”, da Lei nº 8.666/93 conduz a uma </w:t>
      </w:r>
      <w:r w:rsidRPr="000C4105">
        <w:rPr>
          <w:rFonts w:ascii="Times New Roman" w:hAnsi="Times New Roman" w:cs="Times New Roman"/>
          <w:b/>
          <w:sz w:val="20"/>
          <w:szCs w:val="20"/>
          <w:u w:val="single"/>
        </w:rPr>
        <w:t>presunção relativa</w:t>
      </w:r>
      <w:r w:rsidRPr="000C4105">
        <w:rPr>
          <w:rFonts w:ascii="Times New Roman" w:hAnsi="Times New Roman" w:cs="Times New Roman"/>
          <w:bCs/>
          <w:sz w:val="20"/>
          <w:szCs w:val="20"/>
        </w:rPr>
        <w:t xml:space="preserve"> de inexequibilidade de preços, devendo a Administração dar à licitante a oportunidade de demonstrar a exequibilidade da sua proposta.</w:t>
      </w:r>
    </w:p>
    <w:p w14:paraId="38501BC5" w14:textId="77777777" w:rsidR="000C4105" w:rsidRDefault="000C4105" w:rsidP="00CE51E0">
      <w:pPr>
        <w:spacing w:after="0" w:line="240" w:lineRule="auto"/>
        <w:ind w:left="2268"/>
        <w:jc w:val="both"/>
        <w:rPr>
          <w:rFonts w:ascii="Times New Roman" w:hAnsi="Times New Roman" w:cs="Times New Roman"/>
          <w:bCs/>
          <w:sz w:val="20"/>
          <w:szCs w:val="20"/>
        </w:rPr>
      </w:pPr>
    </w:p>
    <w:p w14:paraId="5B79BD7C" w14:textId="3F2FCC3A" w:rsidR="00CE51E0" w:rsidRPr="00CE51E0" w:rsidRDefault="00CE51E0" w:rsidP="00CE51E0">
      <w:pPr>
        <w:spacing w:after="0" w:line="240" w:lineRule="auto"/>
        <w:ind w:left="2268"/>
        <w:jc w:val="both"/>
        <w:rPr>
          <w:rFonts w:ascii="Times New Roman" w:hAnsi="Times New Roman" w:cs="Times New Roman"/>
          <w:bCs/>
          <w:sz w:val="20"/>
          <w:szCs w:val="20"/>
        </w:rPr>
      </w:pPr>
      <w:r w:rsidRPr="00CE51E0">
        <w:rPr>
          <w:rFonts w:ascii="Times New Roman" w:hAnsi="Times New Roman" w:cs="Times New Roman"/>
          <w:bCs/>
          <w:sz w:val="20"/>
          <w:szCs w:val="20"/>
        </w:rPr>
        <w:t xml:space="preserve">Os critérios objetivos de aferição de exequibilidade possuem </w:t>
      </w:r>
      <w:r w:rsidRPr="00CE51E0">
        <w:rPr>
          <w:rFonts w:ascii="Times New Roman" w:hAnsi="Times New Roman" w:cs="Times New Roman"/>
          <w:b/>
          <w:sz w:val="20"/>
          <w:szCs w:val="20"/>
          <w:u w:val="single"/>
        </w:rPr>
        <w:t>presunção relativa</w:t>
      </w:r>
      <w:r w:rsidRPr="00CE51E0">
        <w:rPr>
          <w:rFonts w:ascii="Times New Roman" w:hAnsi="Times New Roman" w:cs="Times New Roman"/>
          <w:bCs/>
          <w:sz w:val="20"/>
          <w:szCs w:val="20"/>
        </w:rPr>
        <w:t>, devendo ser facultado ao licitante a possibilidade de demonstrar a viabilidade de sua proposta. (Acórdão 571/2013-Plenário | Relator: BENJAMIN ZYMLER / ÁREA: Licitação | TEMA: Proposta | SUBTEMA: Preço/ Outros indexadores: Comprovação, Exequibilidade, Presunção relativa, Inexequibilidade, Possibilidade)</w:t>
      </w:r>
      <w:r>
        <w:rPr>
          <w:rFonts w:ascii="Times New Roman" w:hAnsi="Times New Roman" w:cs="Times New Roman"/>
          <w:bCs/>
          <w:sz w:val="20"/>
          <w:szCs w:val="20"/>
        </w:rPr>
        <w:t xml:space="preserve"> (grifamos)</w:t>
      </w:r>
    </w:p>
    <w:p w14:paraId="75BB9956" w14:textId="77777777" w:rsidR="00CE51E0" w:rsidRDefault="00CE51E0" w:rsidP="00F8657E">
      <w:pPr>
        <w:spacing w:after="0" w:line="360" w:lineRule="auto"/>
        <w:ind w:firstLine="708"/>
        <w:jc w:val="both"/>
        <w:rPr>
          <w:rFonts w:ascii="Times New Roman" w:hAnsi="Times New Roman" w:cs="Times New Roman"/>
          <w:bCs/>
        </w:rPr>
      </w:pPr>
    </w:p>
    <w:p w14:paraId="3296754A" w14:textId="610A13C0" w:rsidR="00EE483B" w:rsidRDefault="00EE483B" w:rsidP="00F8657E">
      <w:pPr>
        <w:spacing w:after="0" w:line="360" w:lineRule="auto"/>
        <w:ind w:firstLine="708"/>
        <w:jc w:val="both"/>
        <w:rPr>
          <w:rFonts w:ascii="Times New Roman" w:hAnsi="Times New Roman" w:cs="Times New Roman"/>
          <w:bCs/>
        </w:rPr>
      </w:pPr>
      <w:r>
        <w:rPr>
          <w:rFonts w:ascii="Times New Roman" w:hAnsi="Times New Roman" w:cs="Times New Roman"/>
          <w:bCs/>
        </w:rPr>
        <w:t>É prudente, portanto, que a Administração, antes de desclassificar qualquer proposta por entender que apresente indícios de inexequibilidade, realize as devidas diligências, oportunizando à licitante proponente a demonstração de sua exequibilidade.</w:t>
      </w:r>
    </w:p>
    <w:p w14:paraId="0616D353" w14:textId="1F2BEE1F" w:rsidR="0064172E" w:rsidRDefault="00EE483B" w:rsidP="00EE483B">
      <w:pPr>
        <w:spacing w:after="0" w:line="360" w:lineRule="auto"/>
        <w:ind w:firstLine="708"/>
        <w:jc w:val="both"/>
        <w:rPr>
          <w:rFonts w:ascii="Times New Roman" w:hAnsi="Times New Roman" w:cs="Times New Roman"/>
          <w:bCs/>
        </w:rPr>
      </w:pPr>
      <w:r>
        <w:rPr>
          <w:rFonts w:ascii="Times New Roman" w:hAnsi="Times New Roman" w:cs="Times New Roman"/>
          <w:bCs/>
        </w:rPr>
        <w:t>Nesse sentido, o Edital 19/2020 do MJSP estabeleceu no subitem 8.6 a possibilidade de realização de diligências para aferição da exequibilidade das propostas, em caso de indício de inexequibilidade, prevendo, ainda,</w:t>
      </w:r>
      <w:r w:rsidR="0064172E">
        <w:rPr>
          <w:rFonts w:ascii="Times New Roman" w:hAnsi="Times New Roman" w:cs="Times New Roman"/>
          <w:bCs/>
        </w:rPr>
        <w:t xml:space="preserve"> no item 8.7,</w:t>
      </w:r>
      <w:r>
        <w:rPr>
          <w:rFonts w:ascii="Times New Roman" w:hAnsi="Times New Roman" w:cs="Times New Roman"/>
          <w:bCs/>
        </w:rPr>
        <w:t xml:space="preserve"> a obrigatoriedade de sua realização nas hipóteses em que o </w:t>
      </w:r>
      <w:r w:rsidRPr="00EE483B">
        <w:rPr>
          <w:rFonts w:ascii="Times New Roman" w:hAnsi="Times New Roman" w:cs="Times New Roman"/>
          <w:bCs/>
        </w:rPr>
        <w:t xml:space="preserve">preço final </w:t>
      </w:r>
      <w:r>
        <w:rPr>
          <w:rFonts w:ascii="Times New Roman" w:hAnsi="Times New Roman" w:cs="Times New Roman"/>
          <w:bCs/>
        </w:rPr>
        <w:t xml:space="preserve">ofertado pela licitante melhor classificada seja </w:t>
      </w:r>
      <w:r w:rsidRPr="00D61BE1">
        <w:rPr>
          <w:rFonts w:ascii="Times New Roman" w:hAnsi="Times New Roman" w:cs="Times New Roman"/>
          <w:b/>
          <w:u w:val="single"/>
        </w:rPr>
        <w:t>inferior a 30% (trinta por cento) da média dos preços ofertados para o mesmo item</w:t>
      </w:r>
      <w:r w:rsidR="0064172E">
        <w:rPr>
          <w:rFonts w:ascii="Times New Roman" w:hAnsi="Times New Roman" w:cs="Times New Roman"/>
          <w:bCs/>
        </w:rPr>
        <w:t>.</w:t>
      </w:r>
    </w:p>
    <w:p w14:paraId="24AC25E7" w14:textId="0C43EBA6" w:rsidR="00EE483B" w:rsidRDefault="0064172E" w:rsidP="00EE483B">
      <w:pPr>
        <w:spacing w:after="0" w:line="360" w:lineRule="auto"/>
        <w:ind w:firstLine="708"/>
        <w:jc w:val="both"/>
        <w:rPr>
          <w:rFonts w:ascii="Times New Roman" w:hAnsi="Times New Roman" w:cs="Times New Roman"/>
          <w:bCs/>
        </w:rPr>
      </w:pPr>
      <w:r>
        <w:rPr>
          <w:rFonts w:ascii="Times New Roman" w:hAnsi="Times New Roman" w:cs="Times New Roman"/>
          <w:bCs/>
        </w:rPr>
        <w:t xml:space="preserve">No </w:t>
      </w:r>
      <w:r w:rsidR="00EE483B">
        <w:rPr>
          <w:rFonts w:ascii="Times New Roman" w:hAnsi="Times New Roman" w:cs="Times New Roman"/>
          <w:bCs/>
        </w:rPr>
        <w:t xml:space="preserve">caso em tela, em que </w:t>
      </w:r>
      <w:r>
        <w:rPr>
          <w:rFonts w:ascii="Times New Roman" w:hAnsi="Times New Roman" w:cs="Times New Roman"/>
          <w:bCs/>
        </w:rPr>
        <w:t xml:space="preserve">o valor total apresentado pelas 15 (quinze) empresas participantes para o item 2, qual seja, </w:t>
      </w:r>
      <w:r w:rsidRPr="0064172E">
        <w:rPr>
          <w:rFonts w:ascii="Times New Roman" w:hAnsi="Times New Roman" w:cs="Times New Roman"/>
          <w:bCs/>
        </w:rPr>
        <w:t>R$ 107.426.681,94</w:t>
      </w:r>
      <w:r>
        <w:rPr>
          <w:rFonts w:ascii="Times New Roman" w:hAnsi="Times New Roman" w:cs="Times New Roman"/>
          <w:bCs/>
        </w:rPr>
        <w:t xml:space="preserve"> (cento e sete milhões, quatrocentos e vinte e seis mil, seiscentos e oitenta e um reais e noventa e quatro centavos), totaliza a média de </w:t>
      </w:r>
      <w:r w:rsidRPr="0064172E">
        <w:rPr>
          <w:rFonts w:ascii="Times New Roman" w:hAnsi="Times New Roman" w:cs="Times New Roman"/>
          <w:bCs/>
        </w:rPr>
        <w:t>R$ 7.161.778,80</w:t>
      </w:r>
      <w:r>
        <w:rPr>
          <w:rFonts w:ascii="Times New Roman" w:hAnsi="Times New Roman" w:cs="Times New Roman"/>
          <w:bCs/>
        </w:rPr>
        <w:t xml:space="preserve"> (sete milhões, cento e sessenta e um mil, setecentos e setenta e oito reais e oitenta centavos), sendo o valor base para a obrigatoriedade de diligências aquele inferior a R$ 5.013.245,16 (cinco milhões, treze mil, duzentos e quarenta e cinco reais e dezesseis centavos), </w:t>
      </w:r>
      <w:r w:rsidR="00D61BE1">
        <w:rPr>
          <w:rFonts w:ascii="Times New Roman" w:hAnsi="Times New Roman" w:cs="Times New Roman"/>
          <w:bCs/>
        </w:rPr>
        <w:t>poder-se-ia</w:t>
      </w:r>
      <w:r>
        <w:rPr>
          <w:rFonts w:ascii="Times New Roman" w:hAnsi="Times New Roman" w:cs="Times New Roman"/>
          <w:bCs/>
        </w:rPr>
        <w:t xml:space="preserve"> chegar a um </w:t>
      </w:r>
      <w:r w:rsidRPr="0064172E">
        <w:rPr>
          <w:rFonts w:ascii="Times New Roman" w:hAnsi="Times New Roman" w:cs="Times New Roman"/>
          <w:b/>
          <w:u w:val="single"/>
        </w:rPr>
        <w:t xml:space="preserve">indício de </w:t>
      </w:r>
      <w:r w:rsidR="001462FC" w:rsidRPr="0064172E">
        <w:rPr>
          <w:rFonts w:ascii="Times New Roman" w:hAnsi="Times New Roman" w:cs="Times New Roman"/>
          <w:b/>
          <w:u w:val="single"/>
        </w:rPr>
        <w:t>EXEQUIBILIDADE</w:t>
      </w:r>
      <w:r>
        <w:rPr>
          <w:rFonts w:ascii="Times New Roman" w:hAnsi="Times New Roman" w:cs="Times New Roman"/>
          <w:bCs/>
        </w:rPr>
        <w:t xml:space="preserve">, já </w:t>
      </w:r>
      <w:r w:rsidR="00D61BE1">
        <w:rPr>
          <w:rFonts w:ascii="Times New Roman" w:hAnsi="Times New Roman" w:cs="Times New Roman"/>
          <w:bCs/>
        </w:rPr>
        <w:t xml:space="preserve">que </w:t>
      </w:r>
      <w:r>
        <w:rPr>
          <w:rFonts w:ascii="Times New Roman" w:hAnsi="Times New Roman" w:cs="Times New Roman"/>
          <w:bCs/>
        </w:rPr>
        <w:t xml:space="preserve">o valor apresentado pela META para o item, qual seja, </w:t>
      </w:r>
      <w:r w:rsidRPr="0064172E">
        <w:rPr>
          <w:rFonts w:ascii="Times New Roman" w:hAnsi="Times New Roman" w:cs="Times New Roman"/>
          <w:bCs/>
        </w:rPr>
        <w:t>R$ 5.159.000,00</w:t>
      </w:r>
      <w:r>
        <w:rPr>
          <w:rFonts w:ascii="Times New Roman" w:hAnsi="Times New Roman" w:cs="Times New Roman"/>
          <w:bCs/>
        </w:rPr>
        <w:t xml:space="preserve"> (cinco milhões, cento e cinquenta e nove mil) está acima do valor considerado no critério. </w:t>
      </w:r>
    </w:p>
    <w:p w14:paraId="57C7D190" w14:textId="6625D019" w:rsidR="00B305D9" w:rsidRDefault="00B305D9" w:rsidP="00EE483B">
      <w:pPr>
        <w:spacing w:after="0" w:line="360" w:lineRule="auto"/>
        <w:ind w:firstLine="708"/>
        <w:jc w:val="both"/>
        <w:rPr>
          <w:rFonts w:ascii="Times New Roman" w:hAnsi="Times New Roman" w:cs="Times New Roman"/>
          <w:bCs/>
        </w:rPr>
      </w:pPr>
      <w:r>
        <w:rPr>
          <w:rFonts w:ascii="Times New Roman" w:hAnsi="Times New Roman" w:cs="Times New Roman"/>
          <w:bCs/>
        </w:rPr>
        <w:t>Apenas diante desse item, já é possível aferir que, considerando o objetivo precípuo de todo e qualquer processo licitatório</w:t>
      </w:r>
      <w:r w:rsidR="008F7C0F">
        <w:rPr>
          <w:rFonts w:ascii="Times New Roman" w:hAnsi="Times New Roman" w:cs="Times New Roman"/>
          <w:bCs/>
        </w:rPr>
        <w:t>,</w:t>
      </w:r>
      <w:r>
        <w:rPr>
          <w:rFonts w:ascii="Times New Roman" w:hAnsi="Times New Roman" w:cs="Times New Roman"/>
          <w:bCs/>
        </w:rPr>
        <w:t xml:space="preserve"> que é o de obtenção da proposta mais vantajosa à Administração, que, inevitavelmente, passa pela avaliação do melhor preço e da aptidão técnica da licitante em fornecer o objeto, uma vez comprovada a ampla capacidade técnica da META por meio de seus </w:t>
      </w:r>
      <w:r w:rsidR="008F7C0F">
        <w:rPr>
          <w:rFonts w:ascii="Times New Roman" w:hAnsi="Times New Roman" w:cs="Times New Roman"/>
          <w:bCs/>
        </w:rPr>
        <w:t>A</w:t>
      </w:r>
      <w:r>
        <w:rPr>
          <w:rFonts w:ascii="Times New Roman" w:hAnsi="Times New Roman" w:cs="Times New Roman"/>
          <w:bCs/>
        </w:rPr>
        <w:t>testados, fazia-se imperios</w:t>
      </w:r>
      <w:r w:rsidR="00485D8D">
        <w:rPr>
          <w:rFonts w:ascii="Times New Roman" w:hAnsi="Times New Roman" w:cs="Times New Roman"/>
          <w:bCs/>
        </w:rPr>
        <w:t>a</w:t>
      </w:r>
      <w:r>
        <w:rPr>
          <w:rFonts w:ascii="Times New Roman" w:hAnsi="Times New Roman" w:cs="Times New Roman"/>
          <w:bCs/>
        </w:rPr>
        <w:t>, por prudência, cautela e legalidade, a diligência quanto à exequibilidade da proposta, como bem perpetrado pelo Ilmo. Pregoeiro e sua equipe de apoio.</w:t>
      </w:r>
    </w:p>
    <w:p w14:paraId="706CEEB0" w14:textId="2AC5EE41" w:rsidR="00273137" w:rsidRDefault="00273137" w:rsidP="00970CDC">
      <w:pPr>
        <w:spacing w:after="0" w:line="360" w:lineRule="auto"/>
        <w:ind w:firstLine="708"/>
        <w:jc w:val="both"/>
        <w:rPr>
          <w:rFonts w:ascii="Times New Roman" w:hAnsi="Times New Roman" w:cs="Times New Roman"/>
          <w:bCs/>
        </w:rPr>
      </w:pPr>
      <w:r>
        <w:rPr>
          <w:rFonts w:ascii="Times New Roman" w:hAnsi="Times New Roman" w:cs="Times New Roman"/>
          <w:bCs/>
        </w:rPr>
        <w:t xml:space="preserve">Para as hipóteses em que os valores ofertados fossem inferiores a 70% (setenta) por cento dos valores estimados para a contratação, o MJSP previu a obrigatoriedade de apresentação da Planilha de Análise de Exequibilidade (Anexo III), em até </w:t>
      </w:r>
      <w:r w:rsidR="008F7C0F">
        <w:rPr>
          <w:rFonts w:ascii="Times New Roman" w:hAnsi="Times New Roman" w:cs="Times New Roman"/>
          <w:bCs/>
        </w:rPr>
        <w:t>0</w:t>
      </w:r>
      <w:r>
        <w:rPr>
          <w:rFonts w:ascii="Times New Roman" w:hAnsi="Times New Roman" w:cs="Times New Roman"/>
          <w:bCs/>
        </w:rPr>
        <w:t xml:space="preserve">2 </w:t>
      </w:r>
      <w:r w:rsidR="008F7C0F">
        <w:rPr>
          <w:rFonts w:ascii="Times New Roman" w:hAnsi="Times New Roman" w:cs="Times New Roman"/>
          <w:bCs/>
        </w:rPr>
        <w:t>(</w:t>
      </w:r>
      <w:r>
        <w:rPr>
          <w:rFonts w:ascii="Times New Roman" w:hAnsi="Times New Roman" w:cs="Times New Roman"/>
          <w:bCs/>
        </w:rPr>
        <w:t>duas</w:t>
      </w:r>
      <w:r w:rsidR="008F7C0F">
        <w:rPr>
          <w:rFonts w:ascii="Times New Roman" w:hAnsi="Times New Roman" w:cs="Times New Roman"/>
          <w:bCs/>
        </w:rPr>
        <w:t>)</w:t>
      </w:r>
      <w:r>
        <w:rPr>
          <w:rFonts w:ascii="Times New Roman" w:hAnsi="Times New Roman" w:cs="Times New Roman"/>
          <w:bCs/>
        </w:rPr>
        <w:t xml:space="preserve"> horas após solicitação do pregoeiro, o que foi plenamente observado pela META.</w:t>
      </w:r>
    </w:p>
    <w:p w14:paraId="34F5E492" w14:textId="15288953" w:rsidR="00970CDC" w:rsidRDefault="00273137" w:rsidP="00970CDC">
      <w:pPr>
        <w:spacing w:after="0" w:line="360" w:lineRule="auto"/>
        <w:ind w:firstLine="708"/>
        <w:jc w:val="both"/>
        <w:rPr>
          <w:rFonts w:ascii="Times New Roman" w:hAnsi="Times New Roman" w:cs="Times New Roman"/>
          <w:bCs/>
        </w:rPr>
      </w:pPr>
      <w:r>
        <w:rPr>
          <w:rFonts w:ascii="Times New Roman" w:hAnsi="Times New Roman" w:cs="Times New Roman"/>
          <w:bCs/>
        </w:rPr>
        <w:t>Na</w:t>
      </w:r>
      <w:r w:rsidR="0064172E">
        <w:rPr>
          <w:rFonts w:ascii="Times New Roman" w:hAnsi="Times New Roman" w:cs="Times New Roman"/>
          <w:bCs/>
        </w:rPr>
        <w:t xml:space="preserve"> seção 25 do Termo de Referência, previu</w:t>
      </w:r>
      <w:r w:rsidR="008F7C0F">
        <w:rPr>
          <w:rFonts w:ascii="Times New Roman" w:hAnsi="Times New Roman" w:cs="Times New Roman"/>
          <w:bCs/>
        </w:rPr>
        <w:t>,</w:t>
      </w:r>
      <w:r w:rsidR="0064172E">
        <w:rPr>
          <w:rFonts w:ascii="Times New Roman" w:hAnsi="Times New Roman" w:cs="Times New Roman"/>
          <w:bCs/>
        </w:rPr>
        <w:t xml:space="preserve"> ainda</w:t>
      </w:r>
      <w:r w:rsidR="008F7C0F">
        <w:rPr>
          <w:rFonts w:ascii="Times New Roman" w:hAnsi="Times New Roman" w:cs="Times New Roman"/>
          <w:bCs/>
        </w:rPr>
        <w:t>,</w:t>
      </w:r>
      <w:r w:rsidR="0064172E">
        <w:rPr>
          <w:rFonts w:ascii="Times New Roman" w:hAnsi="Times New Roman" w:cs="Times New Roman"/>
          <w:bCs/>
        </w:rPr>
        <w:t xml:space="preserve"> </w:t>
      </w:r>
      <w:r>
        <w:rPr>
          <w:rFonts w:ascii="Times New Roman" w:hAnsi="Times New Roman" w:cs="Times New Roman"/>
          <w:bCs/>
        </w:rPr>
        <w:t>uma metodologia para análise da exequibilidade da proposta, que consideraria: produtividade em projetos de TI, média salarial dos profissionais envolvidos no desenvolvimento de sistemas e custo mensal de time ágil padrão. Considerou-se o valor de 10 (dez) horas por Ponto de Função</w:t>
      </w:r>
      <w:r w:rsidR="00FD1A62">
        <w:rPr>
          <w:rFonts w:ascii="Times New Roman" w:hAnsi="Times New Roman" w:cs="Times New Roman"/>
          <w:bCs/>
        </w:rPr>
        <w:t xml:space="preserve"> (PF)</w:t>
      </w:r>
      <w:r>
        <w:rPr>
          <w:rFonts w:ascii="Times New Roman" w:hAnsi="Times New Roman" w:cs="Times New Roman"/>
          <w:bCs/>
        </w:rPr>
        <w:t xml:space="preserve"> como valor médio de produtividade aceito sem a necessidade de diligências</w:t>
      </w:r>
      <w:r w:rsidR="00FD1A62">
        <w:rPr>
          <w:rFonts w:ascii="Times New Roman" w:hAnsi="Times New Roman" w:cs="Times New Roman"/>
          <w:bCs/>
        </w:rPr>
        <w:t xml:space="preserve"> e aplicou-se cálculo de salário médio do profissional do time ágil de desenvolvimento para chegar-se ao valor presumidamente exequível sem necessidade de diligências da Unidade de Serviço Técnico (UST).</w:t>
      </w:r>
    </w:p>
    <w:p w14:paraId="715D55E7" w14:textId="6246F839" w:rsidR="00E86BD8" w:rsidRDefault="00E86BD8" w:rsidP="00970CDC">
      <w:pPr>
        <w:spacing w:after="0" w:line="360" w:lineRule="auto"/>
        <w:ind w:firstLine="708"/>
        <w:jc w:val="both"/>
        <w:rPr>
          <w:rFonts w:ascii="Times New Roman" w:hAnsi="Times New Roman" w:cs="Times New Roman"/>
          <w:bCs/>
        </w:rPr>
      </w:pPr>
      <w:r>
        <w:rPr>
          <w:rFonts w:ascii="Times New Roman" w:hAnsi="Times New Roman" w:cs="Times New Roman"/>
          <w:bCs/>
        </w:rPr>
        <w:t xml:space="preserve">Considerando este cenário, o MJSP estabeleceu uma forma de verificação da exequibilidade sem necessidade de diligências, estabelecendo-se </w:t>
      </w:r>
      <w:r w:rsidRPr="00723D88">
        <w:rPr>
          <w:rFonts w:ascii="Times New Roman" w:hAnsi="Times New Roman" w:cs="Times New Roman"/>
          <w:b/>
          <w:u w:val="single"/>
        </w:rPr>
        <w:t xml:space="preserve">valores mínimos </w:t>
      </w:r>
      <w:r w:rsidR="00723D88" w:rsidRPr="00723D88">
        <w:rPr>
          <w:rFonts w:ascii="Times New Roman" w:hAnsi="Times New Roman" w:cs="Times New Roman"/>
          <w:b/>
          <w:u w:val="single"/>
        </w:rPr>
        <w:t>PRESUMIDAMENTE EXEQUÍVEIS</w:t>
      </w:r>
      <w:r>
        <w:rPr>
          <w:rFonts w:ascii="Times New Roman" w:hAnsi="Times New Roman" w:cs="Times New Roman"/>
          <w:bCs/>
        </w:rPr>
        <w:t>, como assim nomeados na própria Planilha de Análise de Exequibilidade (Anexo III):</w:t>
      </w:r>
    </w:p>
    <w:p w14:paraId="1B55A40C" w14:textId="57AD8D2E" w:rsidR="00E86BD8" w:rsidRPr="00970CDC" w:rsidRDefault="00723D88" w:rsidP="00970CDC">
      <w:pPr>
        <w:spacing w:after="0" w:line="360" w:lineRule="auto"/>
        <w:ind w:firstLine="708"/>
        <w:jc w:val="both"/>
        <w:rPr>
          <w:rFonts w:ascii="Times New Roman" w:hAnsi="Times New Roman" w:cs="Times New Roman"/>
          <w:b/>
        </w:rPr>
      </w:pPr>
      <w:r w:rsidRPr="00723D88">
        <w:rPr>
          <w:noProof/>
        </w:rPr>
        <w:drawing>
          <wp:anchor distT="0" distB="0" distL="114300" distR="114300" simplePos="0" relativeHeight="251660288" behindDoc="0" locked="0" layoutInCell="1" allowOverlap="1" wp14:anchorId="2A903762" wp14:editId="22DF3F3B">
            <wp:simplePos x="0" y="0"/>
            <wp:positionH relativeFrom="column">
              <wp:posOffset>13335</wp:posOffset>
            </wp:positionH>
            <wp:positionV relativeFrom="paragraph">
              <wp:posOffset>11430</wp:posOffset>
            </wp:positionV>
            <wp:extent cx="5400040" cy="680720"/>
            <wp:effectExtent l="0" t="0" r="0" b="5080"/>
            <wp:wrapNone/>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400040" cy="68072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9D05066" w14:textId="77777777" w:rsidR="00324690" w:rsidRDefault="00324690" w:rsidP="00324690">
      <w:pPr>
        <w:spacing w:after="0" w:line="360" w:lineRule="auto"/>
        <w:ind w:firstLine="708"/>
        <w:jc w:val="both"/>
        <w:rPr>
          <w:rFonts w:ascii="Times New Roman" w:hAnsi="Times New Roman" w:cs="Times New Roman"/>
          <w:bCs/>
        </w:rPr>
      </w:pPr>
    </w:p>
    <w:p w14:paraId="7A202889" w14:textId="77777777" w:rsidR="001534B7" w:rsidRPr="000062F1" w:rsidRDefault="001534B7" w:rsidP="001534B7">
      <w:pPr>
        <w:spacing w:after="0" w:line="360" w:lineRule="auto"/>
        <w:ind w:firstLine="708"/>
        <w:jc w:val="both"/>
        <w:rPr>
          <w:rFonts w:ascii="Times New Roman" w:hAnsi="Times New Roman" w:cs="Times New Roman"/>
          <w:bCs/>
        </w:rPr>
      </w:pPr>
    </w:p>
    <w:p w14:paraId="60CBE89A" w14:textId="698971E1" w:rsidR="004423B3" w:rsidRDefault="004423B3" w:rsidP="004A4C4A">
      <w:pPr>
        <w:spacing w:after="0" w:line="360" w:lineRule="auto"/>
        <w:jc w:val="both"/>
        <w:rPr>
          <w:rFonts w:ascii="Times New Roman" w:hAnsi="Times New Roman" w:cs="Times New Roman"/>
          <w:b/>
        </w:rPr>
      </w:pPr>
    </w:p>
    <w:p w14:paraId="27F9C2DF" w14:textId="05C875E2" w:rsidR="001462FC" w:rsidRPr="001462FC" w:rsidRDefault="00723D88" w:rsidP="004A4C4A">
      <w:pPr>
        <w:spacing w:after="0" w:line="360" w:lineRule="auto"/>
        <w:jc w:val="both"/>
        <w:rPr>
          <w:rFonts w:ascii="Times New Roman" w:hAnsi="Times New Roman" w:cs="Times New Roman"/>
          <w:bCs/>
        </w:rPr>
      </w:pPr>
      <w:r w:rsidRPr="001462FC">
        <w:rPr>
          <w:rFonts w:ascii="Times New Roman" w:hAnsi="Times New Roman" w:cs="Times New Roman"/>
          <w:bCs/>
        </w:rPr>
        <w:tab/>
      </w:r>
      <w:r w:rsidR="001462FC" w:rsidRPr="001462FC">
        <w:rPr>
          <w:rFonts w:ascii="Times New Roman" w:hAnsi="Times New Roman" w:cs="Times New Roman"/>
          <w:bCs/>
        </w:rPr>
        <w:t>Por presumidamente exequíveis, destaque-se, o entendimento deve ser o de que admitem prova em contrário caso não atingidos tais valores mínimos.</w:t>
      </w:r>
    </w:p>
    <w:p w14:paraId="35D6F526" w14:textId="67C3FE87" w:rsidR="00723D88" w:rsidRPr="00D713C1" w:rsidRDefault="001462FC" w:rsidP="001462FC">
      <w:pPr>
        <w:spacing w:after="0" w:line="360" w:lineRule="auto"/>
        <w:ind w:firstLine="708"/>
        <w:jc w:val="both"/>
        <w:rPr>
          <w:rFonts w:ascii="Times New Roman" w:hAnsi="Times New Roman" w:cs="Times New Roman"/>
          <w:bCs/>
        </w:rPr>
      </w:pPr>
      <w:r>
        <w:rPr>
          <w:rFonts w:ascii="Times New Roman" w:hAnsi="Times New Roman" w:cs="Times New Roman"/>
          <w:bCs/>
        </w:rPr>
        <w:t>Assim, c</w:t>
      </w:r>
      <w:r w:rsidR="00723D88" w:rsidRPr="00D713C1">
        <w:rPr>
          <w:rFonts w:ascii="Times New Roman" w:hAnsi="Times New Roman" w:cs="Times New Roman"/>
          <w:bCs/>
        </w:rPr>
        <w:t xml:space="preserve">om relação ao Ponto de Função, </w:t>
      </w:r>
      <w:r>
        <w:rPr>
          <w:rFonts w:ascii="Times New Roman" w:hAnsi="Times New Roman" w:cs="Times New Roman"/>
          <w:bCs/>
        </w:rPr>
        <w:t>tem</w:t>
      </w:r>
      <w:r w:rsidR="00723D88" w:rsidRPr="00D713C1">
        <w:rPr>
          <w:rFonts w:ascii="Times New Roman" w:hAnsi="Times New Roman" w:cs="Times New Roman"/>
          <w:bCs/>
        </w:rPr>
        <w:t xml:space="preserve">-se que dispensa maiores comentários e, até mesmo, diligências para sua confirmação, já que a Planilha de Análise de Exequibilidade e as comprovações salariais acostadas pela META </w:t>
      </w:r>
      <w:r w:rsidR="008F7C0F">
        <w:rPr>
          <w:rFonts w:ascii="Times New Roman" w:hAnsi="Times New Roman" w:cs="Times New Roman"/>
          <w:bCs/>
        </w:rPr>
        <w:t>evidenciam</w:t>
      </w:r>
      <w:r w:rsidR="00723D88" w:rsidRPr="00D713C1">
        <w:rPr>
          <w:rFonts w:ascii="Times New Roman" w:hAnsi="Times New Roman" w:cs="Times New Roman"/>
          <w:bCs/>
        </w:rPr>
        <w:t xml:space="preserve"> sua plena exequibilidade, sendo esta inquestionável. Com relação à UST, a seu turno, considerando que o valor ofertado pela META é de R$ 67,00 (sessenta e sete reais), abaixo do valor mínimo PRESUMIDAMENTE EXEQUÍVEL, </w:t>
      </w:r>
      <w:r w:rsidR="008F7C0F">
        <w:rPr>
          <w:rFonts w:ascii="Times New Roman" w:hAnsi="Times New Roman" w:cs="Times New Roman"/>
          <w:bCs/>
        </w:rPr>
        <w:t>mandatória</w:t>
      </w:r>
      <w:r w:rsidR="00723D88" w:rsidRPr="00D713C1">
        <w:rPr>
          <w:rFonts w:ascii="Times New Roman" w:hAnsi="Times New Roman" w:cs="Times New Roman"/>
          <w:bCs/>
        </w:rPr>
        <w:t>, como medida de</w:t>
      </w:r>
      <w:r w:rsidR="008F7C0F">
        <w:rPr>
          <w:rFonts w:ascii="Times New Roman" w:hAnsi="Times New Roman" w:cs="Times New Roman"/>
          <w:bCs/>
        </w:rPr>
        <w:t xml:space="preserve"> legalidade,</w:t>
      </w:r>
      <w:r w:rsidR="00723D88" w:rsidRPr="00D713C1">
        <w:rPr>
          <w:rFonts w:ascii="Times New Roman" w:hAnsi="Times New Roman" w:cs="Times New Roman"/>
          <w:bCs/>
        </w:rPr>
        <w:t xml:space="preserve"> prudência e cautela da Administração, a realização de diligências. </w:t>
      </w:r>
    </w:p>
    <w:p w14:paraId="2A1B5550" w14:textId="6A3C3A91" w:rsidR="00CA1195" w:rsidRPr="00D713C1" w:rsidRDefault="00723D88" w:rsidP="004A4C4A">
      <w:pPr>
        <w:spacing w:after="0" w:line="360" w:lineRule="auto"/>
        <w:jc w:val="both"/>
        <w:rPr>
          <w:rFonts w:ascii="Times New Roman" w:hAnsi="Times New Roman" w:cs="Times New Roman"/>
          <w:bCs/>
        </w:rPr>
      </w:pPr>
      <w:r w:rsidRPr="00D713C1">
        <w:rPr>
          <w:rFonts w:ascii="Times New Roman" w:hAnsi="Times New Roman" w:cs="Times New Roman"/>
          <w:bCs/>
        </w:rPr>
        <w:tab/>
      </w:r>
      <w:r w:rsidR="00CA1195" w:rsidRPr="00D713C1">
        <w:rPr>
          <w:rFonts w:ascii="Times New Roman" w:hAnsi="Times New Roman" w:cs="Times New Roman"/>
          <w:bCs/>
        </w:rPr>
        <w:t>Independentemente</w:t>
      </w:r>
      <w:r w:rsidRPr="00D713C1">
        <w:rPr>
          <w:rFonts w:ascii="Times New Roman" w:hAnsi="Times New Roman" w:cs="Times New Roman"/>
          <w:bCs/>
        </w:rPr>
        <w:t xml:space="preserve"> de solicitação, </w:t>
      </w:r>
      <w:r w:rsidR="00CA1195" w:rsidRPr="00D713C1">
        <w:rPr>
          <w:rFonts w:ascii="Times New Roman" w:hAnsi="Times New Roman" w:cs="Times New Roman"/>
          <w:bCs/>
        </w:rPr>
        <w:t xml:space="preserve">tendo em vista viabilizar ao MJSP uma melhor e mais acurada análise quanto à viabilidade de execução dos serviços com o valor ofertado na UST, </w:t>
      </w:r>
      <w:r w:rsidRPr="00D713C1">
        <w:rPr>
          <w:rFonts w:ascii="Times New Roman" w:hAnsi="Times New Roman" w:cs="Times New Roman"/>
          <w:bCs/>
        </w:rPr>
        <w:t xml:space="preserve">a META apresentou planilha de cálculo que evidencia a </w:t>
      </w:r>
      <w:r w:rsidR="00CA1195" w:rsidRPr="00D713C1">
        <w:rPr>
          <w:rFonts w:ascii="Times New Roman" w:hAnsi="Times New Roman" w:cs="Times New Roman"/>
          <w:bCs/>
        </w:rPr>
        <w:t>exequibilidade</w:t>
      </w:r>
      <w:r w:rsidRPr="00D713C1">
        <w:rPr>
          <w:rFonts w:ascii="Times New Roman" w:hAnsi="Times New Roman" w:cs="Times New Roman"/>
          <w:bCs/>
        </w:rPr>
        <w:t xml:space="preserve"> </w:t>
      </w:r>
      <w:r w:rsidR="00CA1195" w:rsidRPr="00D713C1">
        <w:rPr>
          <w:rFonts w:ascii="Times New Roman" w:hAnsi="Times New Roman" w:cs="Times New Roman"/>
          <w:bCs/>
        </w:rPr>
        <w:t>desta, bem como Contrato de Prestação de Serviços vigente, com o TJRS, com valor, inclusive, inferior ao ofertado (R$ 65,</w:t>
      </w:r>
      <w:r w:rsidR="001462FC">
        <w:rPr>
          <w:rFonts w:ascii="Times New Roman" w:hAnsi="Times New Roman" w:cs="Times New Roman"/>
          <w:bCs/>
        </w:rPr>
        <w:t>84</w:t>
      </w:r>
      <w:r w:rsidR="00CA1195" w:rsidRPr="00D713C1">
        <w:rPr>
          <w:rFonts w:ascii="Times New Roman" w:hAnsi="Times New Roman" w:cs="Times New Roman"/>
          <w:bCs/>
        </w:rPr>
        <w:t xml:space="preserve">), cuja perfeita execução dos serviços é comprovada mediante o Atestado de Capacidade Técnica acostado com os demais documentos de habilitação. </w:t>
      </w:r>
    </w:p>
    <w:p w14:paraId="58E2AE76" w14:textId="2EC30441" w:rsidR="00723D88" w:rsidRDefault="00CA1195" w:rsidP="00D713C1">
      <w:pPr>
        <w:spacing w:after="0" w:line="360" w:lineRule="auto"/>
        <w:ind w:firstLine="708"/>
        <w:jc w:val="both"/>
        <w:rPr>
          <w:rFonts w:ascii="Times New Roman" w:hAnsi="Times New Roman" w:cs="Times New Roman"/>
          <w:b/>
        </w:rPr>
      </w:pPr>
      <w:r w:rsidRPr="006A3BC6">
        <w:rPr>
          <w:rFonts w:ascii="Times New Roman" w:hAnsi="Times New Roman" w:cs="Times New Roman"/>
          <w:bCs/>
        </w:rPr>
        <w:t>Frise-se que, ao contrário do que inferido pela CAPGEMINI, a planilha para demonstração da exequibilidade do valor da UST considerou, sim, planilha constante no Edital</w:t>
      </w:r>
      <w:r w:rsidR="006A3BC6">
        <w:rPr>
          <w:rFonts w:ascii="Times New Roman" w:hAnsi="Times New Roman" w:cs="Times New Roman"/>
          <w:bCs/>
        </w:rPr>
        <w:t xml:space="preserve"> (vide subitem 25.9.5.3.1 do Termo de Referência)</w:t>
      </w:r>
      <w:r w:rsidRPr="006A3BC6">
        <w:rPr>
          <w:rFonts w:ascii="Times New Roman" w:hAnsi="Times New Roman" w:cs="Times New Roman"/>
          <w:bCs/>
        </w:rPr>
        <w:t>, assim como partiu da mesma metodologia empregada pelo MJSP para seu cálculo</w:t>
      </w:r>
      <w:r w:rsidR="006A3BC6" w:rsidRPr="006A3BC6">
        <w:rPr>
          <w:rFonts w:ascii="Times New Roman" w:hAnsi="Times New Roman" w:cs="Times New Roman"/>
          <w:bCs/>
        </w:rPr>
        <w:t xml:space="preserve"> dos valores mínimos presumidos como exequíveis, </w:t>
      </w:r>
      <w:r w:rsidR="006A3BC6">
        <w:rPr>
          <w:rFonts w:ascii="Times New Roman" w:hAnsi="Times New Roman" w:cs="Times New Roman"/>
          <w:bCs/>
        </w:rPr>
        <w:t>ponderando-se a média salarial da equipe</w:t>
      </w:r>
      <w:r w:rsidR="00D713C1">
        <w:rPr>
          <w:rFonts w:ascii="Times New Roman" w:hAnsi="Times New Roman" w:cs="Times New Roman"/>
          <w:bCs/>
        </w:rPr>
        <w:t xml:space="preserve"> envolvida no atendimento do subitem 2</w:t>
      </w:r>
      <w:r w:rsidR="006A3BC6">
        <w:rPr>
          <w:rFonts w:ascii="Times New Roman" w:hAnsi="Times New Roman" w:cs="Times New Roman"/>
          <w:bCs/>
        </w:rPr>
        <w:t xml:space="preserve">, </w:t>
      </w:r>
      <w:r w:rsidR="006A3BC6" w:rsidRPr="006A3BC6">
        <w:rPr>
          <w:rFonts w:ascii="Times New Roman" w:hAnsi="Times New Roman" w:cs="Times New Roman"/>
          <w:bCs/>
        </w:rPr>
        <w:t>conforme planilha enviada em 16/09/2020, nomeada como “Meta – PE 19-2020 – Diligência Exequibilidade UST”.</w:t>
      </w:r>
    </w:p>
    <w:p w14:paraId="61404AE3" w14:textId="77777777" w:rsidR="00040561" w:rsidRPr="00040561" w:rsidRDefault="00040561" w:rsidP="00040561">
      <w:pPr>
        <w:spacing w:after="0" w:line="360" w:lineRule="auto"/>
        <w:ind w:firstLine="708"/>
        <w:jc w:val="both"/>
        <w:rPr>
          <w:rFonts w:ascii="Times New Roman" w:hAnsi="Times New Roman" w:cs="Times New Roman"/>
          <w:bCs/>
        </w:rPr>
      </w:pPr>
      <w:r w:rsidRPr="00040561">
        <w:rPr>
          <w:rFonts w:ascii="Times New Roman" w:hAnsi="Times New Roman" w:cs="Times New Roman"/>
          <w:bCs/>
        </w:rPr>
        <w:t>Nesse sentido, há de observar que o subitem 25.9.5.3. do Termo de Referência apresenta a planilha de custo e formação de preços considerando a média salarial ponderada do Time Ágil e que estes salários, por analogia, também foram considerados na composição do valor da UST ofertada pela META, seja pela compatibilidade e equivalência, ou mesmo similaridade dos perfis que deverão ser envolvidos na execução dos serviços.</w:t>
      </w:r>
    </w:p>
    <w:p w14:paraId="7E52B390" w14:textId="197CA015" w:rsidR="00220F21" w:rsidRDefault="00040561" w:rsidP="00220F21">
      <w:pPr>
        <w:spacing w:after="0" w:line="360" w:lineRule="auto"/>
        <w:ind w:firstLine="708"/>
        <w:jc w:val="both"/>
        <w:rPr>
          <w:rFonts w:ascii="Times New Roman" w:hAnsi="Times New Roman" w:cs="Times New Roman"/>
          <w:bCs/>
        </w:rPr>
      </w:pPr>
      <w:r w:rsidRPr="00040561">
        <w:rPr>
          <w:rFonts w:ascii="Times New Roman" w:hAnsi="Times New Roman" w:cs="Times New Roman"/>
          <w:bCs/>
        </w:rPr>
        <w:t xml:space="preserve">A Planilha de Exequibilidade do Anexo III do Termo de Referência, conforme já mencionado, permite a obtenção do cálculo do valor </w:t>
      </w:r>
      <w:r w:rsidR="008F7C0F">
        <w:rPr>
          <w:rFonts w:ascii="Times New Roman" w:hAnsi="Times New Roman" w:cs="Times New Roman"/>
          <w:bCs/>
        </w:rPr>
        <w:t>mínimo “</w:t>
      </w:r>
      <w:r w:rsidRPr="00040561">
        <w:rPr>
          <w:rFonts w:ascii="Times New Roman" w:hAnsi="Times New Roman" w:cs="Times New Roman"/>
          <w:bCs/>
        </w:rPr>
        <w:t>PRESUMIDAMENTE EXEQUÍVEL” considerando a relação do “custo proporcional” com o esforço em horas estimado para o time ágil (coluna “alocação horas”), apresentando o valor médio da hora deste time. Todavia, apesar da compatibilidade e similaridade dos perfis serem aceitáveis, a relação de esforço e produtividade para composição dos times de atendimento de cada item de serviço (Evolução/Projeto de Sistemas x Sustentação) é distinta para ambas as unidades de medição (PF X UST), variando-se esforço de cada perfil e atividades a serem executadas em cada uma das linhas de serviço, devendo, portanto, suas particularidades serem respeitadas no momento da composição dos custos para que seja possível a efetiva obtenção da melhor oferta, sem que haja indevido sobrepreço no valor da UST.</w:t>
      </w:r>
    </w:p>
    <w:p w14:paraId="2B53C389" w14:textId="58FC4AE4" w:rsidR="00220F21" w:rsidRDefault="00220F21" w:rsidP="00220F21">
      <w:pPr>
        <w:spacing w:after="0" w:line="360" w:lineRule="auto"/>
        <w:ind w:firstLine="708"/>
        <w:jc w:val="both"/>
        <w:rPr>
          <w:rFonts w:ascii="Times New Roman" w:hAnsi="Times New Roman" w:cs="Times New Roman"/>
          <w:bCs/>
        </w:rPr>
      </w:pPr>
      <w:r w:rsidRPr="00220F21">
        <w:rPr>
          <w:rFonts w:ascii="Times New Roman" w:hAnsi="Times New Roman" w:cs="Times New Roman"/>
          <w:bCs/>
        </w:rPr>
        <w:t>Diante disso, a despeito do valor de R$ 73,03 apresentado na planilha</w:t>
      </w:r>
      <w:r>
        <w:rPr>
          <w:rFonts w:ascii="Times New Roman" w:hAnsi="Times New Roman" w:cs="Times New Roman"/>
          <w:bCs/>
        </w:rPr>
        <w:t xml:space="preserve"> </w:t>
      </w:r>
      <w:r w:rsidRPr="00220F21">
        <w:rPr>
          <w:rFonts w:ascii="Times New Roman" w:hAnsi="Times New Roman" w:cs="Times New Roman"/>
          <w:bCs/>
        </w:rPr>
        <w:t>como “mínimo presumidamente exequível”, a META</w:t>
      </w:r>
      <w:r w:rsidR="00887A30">
        <w:rPr>
          <w:rFonts w:ascii="Times New Roman" w:hAnsi="Times New Roman" w:cs="Times New Roman"/>
          <w:bCs/>
        </w:rPr>
        <w:t>,</w:t>
      </w:r>
      <w:r w:rsidRPr="00220F21">
        <w:rPr>
          <w:rFonts w:ascii="Times New Roman" w:hAnsi="Times New Roman" w:cs="Times New Roman"/>
          <w:bCs/>
        </w:rPr>
        <w:t xml:space="preserve"> a partir da ponderação dos salários apresentados na proposta e utilizados para composição do preço do Ponto de Função e time ágil, calculou e demonstrou a viabilidade de execução da sua UST ofertada em R$ 67,00. Indispensável destacar que a UST, além de fazer referência a 1 hora de esforço de trabalho, conforme regras do Edital e catálogo de serviços</w:t>
      </w:r>
      <w:r w:rsidR="00887A30">
        <w:rPr>
          <w:rFonts w:ascii="Times New Roman" w:hAnsi="Times New Roman" w:cs="Times New Roman"/>
          <w:bCs/>
        </w:rPr>
        <w:t>,</w:t>
      </w:r>
      <w:r w:rsidRPr="00220F21">
        <w:rPr>
          <w:rFonts w:ascii="Times New Roman" w:hAnsi="Times New Roman" w:cs="Times New Roman"/>
          <w:bCs/>
        </w:rPr>
        <w:t xml:space="preserve"> é remunerada sob critérios que consideram impactos e complexidades de cada demanda, sendo, portanto, variável no faturamento mensal.</w:t>
      </w:r>
    </w:p>
    <w:p w14:paraId="43061B7E" w14:textId="7FC72AFF" w:rsidR="00220F21" w:rsidRPr="00220F21" w:rsidRDefault="00220F21" w:rsidP="00220F21">
      <w:pPr>
        <w:spacing w:after="0" w:line="360" w:lineRule="auto"/>
        <w:ind w:firstLine="708"/>
        <w:jc w:val="both"/>
        <w:rPr>
          <w:rFonts w:ascii="Times New Roman" w:hAnsi="Times New Roman" w:cs="Times New Roman"/>
          <w:bCs/>
        </w:rPr>
      </w:pPr>
      <w:r w:rsidRPr="00220F21">
        <w:rPr>
          <w:rFonts w:ascii="Times New Roman" w:hAnsi="Times New Roman" w:cs="Times New Roman"/>
          <w:bCs/>
        </w:rPr>
        <w:t>A presunção de inexequibilidade dos valores, conforme pontuado no item 25.13., ocorre quando o preço apresentado não é suficientemente capaz de cobrir todos os custos decorrentes da execução do serviço ou</w:t>
      </w:r>
      <w:r w:rsidR="00887A30">
        <w:rPr>
          <w:rFonts w:ascii="Times New Roman" w:hAnsi="Times New Roman" w:cs="Times New Roman"/>
          <w:bCs/>
        </w:rPr>
        <w:t>,</w:t>
      </w:r>
      <w:r w:rsidRPr="00220F21">
        <w:rPr>
          <w:rFonts w:ascii="Times New Roman" w:hAnsi="Times New Roman" w:cs="Times New Roman"/>
          <w:bCs/>
        </w:rPr>
        <w:t xml:space="preserve"> de maneira complementar, para aqueles que apresentam margens negativas ou zeradas. Composições assim são</w:t>
      </w:r>
      <w:r w:rsidR="001462FC">
        <w:rPr>
          <w:rFonts w:ascii="Times New Roman" w:hAnsi="Times New Roman" w:cs="Times New Roman"/>
          <w:bCs/>
        </w:rPr>
        <w:t>, de fato,</w:t>
      </w:r>
      <w:r w:rsidRPr="00220F21">
        <w:rPr>
          <w:rFonts w:ascii="Times New Roman" w:hAnsi="Times New Roman" w:cs="Times New Roman"/>
          <w:bCs/>
        </w:rPr>
        <w:t xml:space="preserve"> temerárias e oferecem risco real à Administração e à execução do contrato, pois resta evidente</w:t>
      </w:r>
      <w:r w:rsidR="00887A30">
        <w:rPr>
          <w:rFonts w:ascii="Times New Roman" w:hAnsi="Times New Roman" w:cs="Times New Roman"/>
          <w:bCs/>
        </w:rPr>
        <w:t>,</w:t>
      </w:r>
      <w:r w:rsidRPr="00220F21">
        <w:rPr>
          <w:rFonts w:ascii="Times New Roman" w:hAnsi="Times New Roman" w:cs="Times New Roman"/>
          <w:bCs/>
        </w:rPr>
        <w:t xml:space="preserve"> desde a precificação, o desequilíbrio econômico</w:t>
      </w:r>
      <w:r w:rsidR="00887A30">
        <w:rPr>
          <w:rFonts w:ascii="Times New Roman" w:hAnsi="Times New Roman" w:cs="Times New Roman"/>
          <w:bCs/>
        </w:rPr>
        <w:t>-</w:t>
      </w:r>
      <w:r w:rsidRPr="00220F21">
        <w:rPr>
          <w:rFonts w:ascii="Times New Roman" w:hAnsi="Times New Roman" w:cs="Times New Roman"/>
          <w:bCs/>
        </w:rPr>
        <w:t>financeiro da proposta.</w:t>
      </w:r>
      <w:r w:rsidR="001462FC">
        <w:rPr>
          <w:rFonts w:ascii="Times New Roman" w:hAnsi="Times New Roman" w:cs="Times New Roman"/>
          <w:bCs/>
        </w:rPr>
        <w:t xml:space="preserve"> Contudo, não é o que se verifica no caso em tela.</w:t>
      </w:r>
    </w:p>
    <w:p w14:paraId="20B10656" w14:textId="31FFD800" w:rsidR="00220F21" w:rsidRPr="00220F21" w:rsidRDefault="00220F21" w:rsidP="00220F21">
      <w:pPr>
        <w:spacing w:after="0" w:line="360" w:lineRule="auto"/>
        <w:ind w:firstLine="708"/>
        <w:jc w:val="both"/>
        <w:rPr>
          <w:rFonts w:ascii="Times New Roman" w:hAnsi="Times New Roman" w:cs="Times New Roman"/>
          <w:bCs/>
        </w:rPr>
      </w:pPr>
      <w:r w:rsidRPr="00220F21">
        <w:rPr>
          <w:rFonts w:ascii="Times New Roman" w:hAnsi="Times New Roman" w:cs="Times New Roman"/>
          <w:bCs/>
        </w:rPr>
        <w:t xml:space="preserve">Com efeito, no que tange ao objeto deste certame, não obstante seus 30 anos de experiência na prestação de serviços de TI no atendimento de grandes clientes e operações, tanto em instituições públicas quanto privadas, </w:t>
      </w:r>
      <w:r w:rsidR="00887A30">
        <w:rPr>
          <w:rFonts w:ascii="Times New Roman" w:hAnsi="Times New Roman" w:cs="Times New Roman"/>
          <w:bCs/>
        </w:rPr>
        <w:t xml:space="preserve">a nível nacional e internacional, </w:t>
      </w:r>
      <w:r w:rsidRPr="00220F21">
        <w:rPr>
          <w:rFonts w:ascii="Times New Roman" w:hAnsi="Times New Roman" w:cs="Times New Roman"/>
          <w:bCs/>
        </w:rPr>
        <w:t>a META utilizou também como referência na precificação desta UST, sua experiência em contratos ATIVOS de objeto similar ao da presente contratação para outros entes da Administração Pública, como é o caso, reitere-se, do contrato com o TJRS, já acostado em 15/09, o qual além da similaridade e complexidade do objeto, ainda possui uma exigência curricular e de nível de experiência altíssima para cada um dos perfis</w:t>
      </w:r>
      <w:r w:rsidR="00887A30">
        <w:rPr>
          <w:rFonts w:ascii="Times New Roman" w:hAnsi="Times New Roman" w:cs="Times New Roman"/>
          <w:bCs/>
        </w:rPr>
        <w:t xml:space="preserve"> (superior até, diga-se de passagem, às exigências previstas neste Edital)</w:t>
      </w:r>
      <w:r w:rsidRPr="00220F21">
        <w:rPr>
          <w:rFonts w:ascii="Times New Roman" w:hAnsi="Times New Roman" w:cs="Times New Roman"/>
          <w:bCs/>
        </w:rPr>
        <w:t>.</w:t>
      </w:r>
    </w:p>
    <w:p w14:paraId="6DD5278C" w14:textId="77777777" w:rsidR="00E462A3" w:rsidRDefault="00220F21" w:rsidP="00E462A3">
      <w:pPr>
        <w:spacing w:after="0" w:line="360" w:lineRule="auto"/>
        <w:ind w:firstLine="708"/>
        <w:jc w:val="both"/>
        <w:rPr>
          <w:rFonts w:ascii="Times New Roman" w:hAnsi="Times New Roman" w:cs="Times New Roman"/>
          <w:bCs/>
        </w:rPr>
      </w:pPr>
      <w:r w:rsidRPr="00220F21">
        <w:rPr>
          <w:rFonts w:ascii="Times New Roman" w:hAnsi="Times New Roman" w:cs="Times New Roman"/>
          <w:bCs/>
        </w:rPr>
        <w:t xml:space="preserve">Não bastasse, para fins de precificação, além do entendimento da complexidade e nível dos serviços esperado pelo MJSP em sede de agenda técnica, procedeu-se com acurada pesquisa regionalizada, bem como base de salários para perfis similares aos exigidos nesta contratação já praticados internamente em outros contratos, conforme comprovações </w:t>
      </w:r>
      <w:r w:rsidR="00887A30">
        <w:rPr>
          <w:rFonts w:ascii="Times New Roman" w:hAnsi="Times New Roman" w:cs="Times New Roman"/>
          <w:bCs/>
        </w:rPr>
        <w:t xml:space="preserve">também </w:t>
      </w:r>
      <w:r w:rsidR="003E37B9">
        <w:rPr>
          <w:rFonts w:ascii="Times New Roman" w:hAnsi="Times New Roman" w:cs="Times New Roman"/>
          <w:bCs/>
        </w:rPr>
        <w:t>apresentadas</w:t>
      </w:r>
      <w:r w:rsidRPr="00220F21">
        <w:rPr>
          <w:rFonts w:ascii="Times New Roman" w:hAnsi="Times New Roman" w:cs="Times New Roman"/>
          <w:bCs/>
        </w:rPr>
        <w:t xml:space="preserve"> em 15/09.</w:t>
      </w:r>
    </w:p>
    <w:p w14:paraId="3C6DC3B0" w14:textId="6CDDE232" w:rsidR="0042294B" w:rsidRDefault="00177CC5" w:rsidP="00E462A3">
      <w:pPr>
        <w:spacing w:after="0" w:line="360" w:lineRule="auto"/>
        <w:ind w:firstLine="708"/>
        <w:jc w:val="both"/>
        <w:rPr>
          <w:rFonts w:ascii="Times New Roman" w:hAnsi="Times New Roman" w:cs="Times New Roman"/>
          <w:bCs/>
        </w:rPr>
      </w:pPr>
      <w:r w:rsidRPr="00E462A3">
        <w:rPr>
          <w:rFonts w:ascii="Times New Roman" w:hAnsi="Times New Roman" w:cs="Times New Roman"/>
          <w:bCs/>
        </w:rPr>
        <w:t xml:space="preserve">Nesse sentido, em sua avaliação, a Equipe Técnica ponderou </w:t>
      </w:r>
      <w:r w:rsidR="00E462A3" w:rsidRPr="00E462A3">
        <w:rPr>
          <w:rFonts w:ascii="Times New Roman" w:hAnsi="Times New Roman" w:cs="Times New Roman"/>
          <w:bCs/>
        </w:rPr>
        <w:t xml:space="preserve">os salários médios de mercado, atualizados em 10/09/2020, bem como os salários dos profissionais já contratados pela META, em perfis idênticos aos exigidos </w:t>
      </w:r>
      <w:r w:rsidR="00E462A3">
        <w:rPr>
          <w:rFonts w:ascii="Times New Roman" w:hAnsi="Times New Roman" w:cs="Times New Roman"/>
          <w:bCs/>
        </w:rPr>
        <w:t>n</w:t>
      </w:r>
      <w:r w:rsidR="00E462A3" w:rsidRPr="00E462A3">
        <w:rPr>
          <w:rFonts w:ascii="Times New Roman" w:hAnsi="Times New Roman" w:cs="Times New Roman"/>
          <w:bCs/>
        </w:rPr>
        <w:t>o Edital, para concluir</w:t>
      </w:r>
      <w:r w:rsidR="00E462A3">
        <w:rPr>
          <w:rFonts w:ascii="Times New Roman" w:hAnsi="Times New Roman" w:cs="Times New Roman"/>
          <w:bCs/>
        </w:rPr>
        <w:t>, de forma acertada, que “</w:t>
      </w:r>
      <w:r w:rsidR="00E462A3" w:rsidRPr="00E462A3">
        <w:rPr>
          <w:rFonts w:ascii="Times New Roman" w:hAnsi="Times New Roman" w:cs="Times New Roman"/>
          <w:bCs/>
          <w:i/>
          <w:iCs/>
        </w:rPr>
        <w:t>os valores ofertados na proposta em tela em relação ao quadro de funcionários da empresa, quando considerada a realidade dos salários mais comumente pra</w:t>
      </w:r>
      <w:r w:rsidR="00E462A3">
        <w:rPr>
          <w:rFonts w:ascii="Times New Roman" w:hAnsi="Times New Roman" w:cs="Times New Roman"/>
          <w:bCs/>
          <w:i/>
          <w:iCs/>
        </w:rPr>
        <w:t>ti</w:t>
      </w:r>
      <w:r w:rsidR="00E462A3" w:rsidRPr="00E462A3">
        <w:rPr>
          <w:rFonts w:ascii="Times New Roman" w:hAnsi="Times New Roman" w:cs="Times New Roman"/>
          <w:bCs/>
          <w:i/>
          <w:iCs/>
        </w:rPr>
        <w:t>cados no mercado nacional, têm viabilidade econômica para os critérios da presente contratação</w:t>
      </w:r>
      <w:r w:rsidR="00E462A3" w:rsidRPr="00E462A3">
        <w:rPr>
          <w:rFonts w:ascii="Times New Roman" w:hAnsi="Times New Roman" w:cs="Times New Roman"/>
          <w:bCs/>
        </w:rPr>
        <w:t xml:space="preserve">” e </w:t>
      </w:r>
      <w:r w:rsidR="00787881">
        <w:rPr>
          <w:rFonts w:ascii="Times New Roman" w:hAnsi="Times New Roman" w:cs="Times New Roman"/>
          <w:bCs/>
        </w:rPr>
        <w:t>que é</w:t>
      </w:r>
      <w:r w:rsidR="00E462A3" w:rsidRPr="00E462A3">
        <w:rPr>
          <w:rFonts w:ascii="Times New Roman" w:hAnsi="Times New Roman" w:cs="Times New Roman"/>
          <w:bCs/>
          <w:i/>
          <w:iCs/>
        </w:rPr>
        <w:t xml:space="preserve"> </w:t>
      </w:r>
      <w:r w:rsidR="00787881">
        <w:rPr>
          <w:rFonts w:ascii="Times New Roman" w:hAnsi="Times New Roman" w:cs="Times New Roman"/>
          <w:bCs/>
          <w:i/>
          <w:iCs/>
        </w:rPr>
        <w:t>“</w:t>
      </w:r>
      <w:r w:rsidR="00E462A3" w:rsidRPr="00E462A3">
        <w:rPr>
          <w:rFonts w:ascii="Times New Roman" w:hAnsi="Times New Roman" w:cs="Times New Roman"/>
          <w:bCs/>
          <w:i/>
          <w:iCs/>
        </w:rPr>
        <w:t>perfeitamente possível a execução dos serviços relacionados ao Item 2 - sustentação de sistemas e serviços técnicos adicionais - ao valor de R$ 67,00 (sessenta e sete reais) por UST</w:t>
      </w:r>
      <w:r w:rsidR="00E462A3">
        <w:rPr>
          <w:rFonts w:ascii="Times New Roman" w:hAnsi="Times New Roman" w:cs="Times New Roman"/>
          <w:bCs/>
        </w:rPr>
        <w:t>”</w:t>
      </w:r>
      <w:r w:rsidR="00E462A3" w:rsidRPr="00E462A3">
        <w:rPr>
          <w:rFonts w:ascii="Times New Roman" w:hAnsi="Times New Roman" w:cs="Times New Roman"/>
          <w:bCs/>
        </w:rPr>
        <w:t>.</w:t>
      </w:r>
    </w:p>
    <w:p w14:paraId="66288F18" w14:textId="2ABFB627" w:rsidR="00E462A3" w:rsidRDefault="00E462A3" w:rsidP="00E462A3">
      <w:pPr>
        <w:spacing w:after="0" w:line="360" w:lineRule="auto"/>
        <w:ind w:firstLine="708"/>
        <w:jc w:val="both"/>
        <w:rPr>
          <w:rFonts w:ascii="Times New Roman" w:hAnsi="Times New Roman" w:cs="Times New Roman"/>
          <w:bCs/>
        </w:rPr>
      </w:pPr>
      <w:r>
        <w:rPr>
          <w:rFonts w:ascii="Times New Roman" w:hAnsi="Times New Roman" w:cs="Times New Roman"/>
          <w:bCs/>
        </w:rPr>
        <w:t>Dessa forma, não há que se questionar a exequibilidade do valor ofertado na UST, uma vez que fora amplamente demonstrada pela META, e cuja aceitabilidade deu-se com base na aplicação da metodologia de média salarial prevista na seção 25 do Termo de Referência e pesquisa salarial empreendida pelo próprio MJSP.</w:t>
      </w:r>
    </w:p>
    <w:p w14:paraId="17BBAFCA" w14:textId="044D63D6" w:rsidR="00E462A3" w:rsidRDefault="00E462A3" w:rsidP="00E462A3">
      <w:pPr>
        <w:spacing w:after="0" w:line="360" w:lineRule="auto"/>
        <w:ind w:firstLine="708"/>
        <w:jc w:val="both"/>
        <w:rPr>
          <w:rFonts w:ascii="Times New Roman" w:hAnsi="Times New Roman" w:cs="Times New Roman"/>
          <w:bCs/>
        </w:rPr>
      </w:pPr>
      <w:r>
        <w:rPr>
          <w:rFonts w:ascii="Times New Roman" w:hAnsi="Times New Roman" w:cs="Times New Roman"/>
          <w:bCs/>
        </w:rPr>
        <w:t>Eventual diferença constatada atingiria representatividade irrisória (inferior a 2,8% do que se teria, pela Planilha de Análise de Exequibilidade, como valor mínimo presumidamente exequível para a UST), inábil a acarretar, por si só, a desclassificação da proposta apresentada pela META.</w:t>
      </w:r>
    </w:p>
    <w:p w14:paraId="51E50FB0" w14:textId="506E33FB" w:rsidR="00177CC5" w:rsidRDefault="00E462A3" w:rsidP="006904AF">
      <w:pPr>
        <w:spacing w:after="0" w:line="360" w:lineRule="auto"/>
        <w:ind w:firstLine="708"/>
        <w:jc w:val="both"/>
        <w:rPr>
          <w:rFonts w:ascii="Times New Roman" w:hAnsi="Times New Roman" w:cs="Times New Roman"/>
          <w:bCs/>
        </w:rPr>
      </w:pPr>
      <w:r>
        <w:rPr>
          <w:rFonts w:ascii="Times New Roman" w:hAnsi="Times New Roman" w:cs="Times New Roman"/>
          <w:bCs/>
        </w:rPr>
        <w:t>Ato contínuo, a</w:t>
      </w:r>
      <w:r w:rsidR="00177CC5">
        <w:rPr>
          <w:rFonts w:ascii="Times New Roman" w:hAnsi="Times New Roman" w:cs="Times New Roman"/>
          <w:bCs/>
        </w:rPr>
        <w:t xml:space="preserve">lega a CAPGEMINI que a admissão de demonstração da exequibilidade da proposta pela licitante melhor classificada estaria caracterizando ofensa aos princípios de vinculação ao instrumento convocatório e isonomia entre as licitantes. Contudo, conforme </w:t>
      </w:r>
      <w:r w:rsidR="00303FA3">
        <w:rPr>
          <w:rFonts w:ascii="Times New Roman" w:hAnsi="Times New Roman" w:cs="Times New Roman"/>
          <w:bCs/>
        </w:rPr>
        <w:t xml:space="preserve">acima </w:t>
      </w:r>
      <w:r w:rsidR="00177CC5">
        <w:rPr>
          <w:rFonts w:ascii="Times New Roman" w:hAnsi="Times New Roman" w:cs="Times New Roman"/>
          <w:bCs/>
        </w:rPr>
        <w:t xml:space="preserve">já demonstrado, a realização de diligências para fins de comprovação da exequibilidade da proposta ofertada pela licitante melhor classificada é medida prevista não só na legislação e na jurisprudência, como também no próprio Edital, </w:t>
      </w:r>
      <w:r w:rsidR="00303FA3">
        <w:rPr>
          <w:rFonts w:ascii="Times New Roman" w:hAnsi="Times New Roman" w:cs="Times New Roman"/>
          <w:bCs/>
        </w:rPr>
        <w:t>enquanto ato</w:t>
      </w:r>
      <w:r w:rsidR="00177CC5">
        <w:rPr>
          <w:rFonts w:ascii="Times New Roman" w:hAnsi="Times New Roman" w:cs="Times New Roman"/>
          <w:bCs/>
        </w:rPr>
        <w:t xml:space="preserve"> de celebração dos princípios da obtenção da proposta mais vantajosa pela Administração, da legalidade e</w:t>
      </w:r>
      <w:r w:rsidR="001F3916">
        <w:rPr>
          <w:rFonts w:ascii="Times New Roman" w:hAnsi="Times New Roman" w:cs="Times New Roman"/>
          <w:bCs/>
        </w:rPr>
        <w:t>, inclusive, de vinculação ao instrumento convocatório.</w:t>
      </w:r>
      <w:r w:rsidR="0020675C">
        <w:rPr>
          <w:rFonts w:ascii="Times New Roman" w:hAnsi="Times New Roman" w:cs="Times New Roman"/>
          <w:bCs/>
        </w:rPr>
        <w:t xml:space="preserve"> </w:t>
      </w:r>
    </w:p>
    <w:p w14:paraId="60408ABF" w14:textId="58B28FC2" w:rsidR="00BC6818" w:rsidRDefault="0020675C" w:rsidP="006904AF">
      <w:pPr>
        <w:spacing w:after="0" w:line="360" w:lineRule="auto"/>
        <w:ind w:firstLine="708"/>
        <w:jc w:val="both"/>
        <w:rPr>
          <w:rFonts w:ascii="Times New Roman" w:hAnsi="Times New Roman" w:cs="Times New Roman"/>
          <w:bCs/>
        </w:rPr>
      </w:pPr>
      <w:r>
        <w:rPr>
          <w:rFonts w:ascii="Times New Roman" w:hAnsi="Times New Roman" w:cs="Times New Roman"/>
          <w:bCs/>
        </w:rPr>
        <w:t>Não obstante</w:t>
      </w:r>
      <w:r w:rsidR="00BC6818">
        <w:rPr>
          <w:rFonts w:ascii="Times New Roman" w:hAnsi="Times New Roman" w:cs="Times New Roman"/>
          <w:bCs/>
        </w:rPr>
        <w:t xml:space="preserve">, ao contrário do que afirma a CAPGEMINI, caso a </w:t>
      </w:r>
      <w:r w:rsidR="00303FA3">
        <w:rPr>
          <w:rFonts w:ascii="Times New Roman" w:hAnsi="Times New Roman" w:cs="Times New Roman"/>
          <w:bCs/>
        </w:rPr>
        <w:t xml:space="preserve">META </w:t>
      </w:r>
      <w:r w:rsidR="00BC6818">
        <w:rPr>
          <w:rFonts w:ascii="Times New Roman" w:hAnsi="Times New Roman" w:cs="Times New Roman"/>
          <w:bCs/>
        </w:rPr>
        <w:t>tivesse por</w:t>
      </w:r>
      <w:r w:rsidR="00303FA3">
        <w:rPr>
          <w:rFonts w:ascii="Times New Roman" w:hAnsi="Times New Roman" w:cs="Times New Roman"/>
          <w:bCs/>
        </w:rPr>
        <w:t xml:space="preserve"> estratégia </w:t>
      </w:r>
      <w:r w:rsidR="00BC6818">
        <w:rPr>
          <w:rFonts w:ascii="Times New Roman" w:hAnsi="Times New Roman" w:cs="Times New Roman"/>
          <w:bCs/>
        </w:rPr>
        <w:t xml:space="preserve">a compensação </w:t>
      </w:r>
      <w:r w:rsidR="00303FA3">
        <w:rPr>
          <w:rFonts w:ascii="Times New Roman" w:hAnsi="Times New Roman" w:cs="Times New Roman"/>
          <w:bCs/>
        </w:rPr>
        <w:t>de eventual prejuízo no valor da Unidade de Serviço Técnico</w:t>
      </w:r>
      <w:r w:rsidR="00BC6818">
        <w:rPr>
          <w:rFonts w:ascii="Times New Roman" w:hAnsi="Times New Roman" w:cs="Times New Roman"/>
          <w:bCs/>
        </w:rPr>
        <w:t xml:space="preserve"> com a  lucratividade do valor do Ponto de Função, a exequibilidade </w:t>
      </w:r>
      <w:r w:rsidR="0058424A">
        <w:rPr>
          <w:rFonts w:ascii="Times New Roman" w:hAnsi="Times New Roman" w:cs="Times New Roman"/>
          <w:bCs/>
        </w:rPr>
        <w:t>da proposta seria ainda mais evidente</w:t>
      </w:r>
      <w:r w:rsidR="00BC6818">
        <w:rPr>
          <w:rFonts w:ascii="Times New Roman" w:hAnsi="Times New Roman" w:cs="Times New Roman"/>
          <w:bCs/>
        </w:rPr>
        <w:t xml:space="preserve">, visto que o Edital e a </w:t>
      </w:r>
      <w:r w:rsidR="0058424A">
        <w:rPr>
          <w:rFonts w:ascii="Times New Roman" w:hAnsi="Times New Roman" w:cs="Times New Roman"/>
          <w:bCs/>
        </w:rPr>
        <w:t>c</w:t>
      </w:r>
      <w:r w:rsidR="00BC6818">
        <w:rPr>
          <w:rFonts w:ascii="Times New Roman" w:hAnsi="Times New Roman" w:cs="Times New Roman"/>
          <w:bCs/>
        </w:rPr>
        <w:t>ontratação trazem como critério de seleção e aceitabilidade da proposta o MENOR PREÇO GLOBAL e, nesse caso, sim, deve ser considerado o valor global, inclusive e principalmente para fins de avaliação da exequibilidade da Proposta.</w:t>
      </w:r>
    </w:p>
    <w:p w14:paraId="488501B9" w14:textId="5B2997B5" w:rsidR="00BC6818" w:rsidRDefault="00BC6818" w:rsidP="006904AF">
      <w:pPr>
        <w:spacing w:after="0" w:line="360" w:lineRule="auto"/>
        <w:ind w:firstLine="708"/>
        <w:jc w:val="both"/>
        <w:rPr>
          <w:rFonts w:ascii="Times New Roman" w:hAnsi="Times New Roman" w:cs="Times New Roman"/>
          <w:bCs/>
        </w:rPr>
      </w:pPr>
      <w:r>
        <w:rPr>
          <w:rFonts w:ascii="Times New Roman" w:hAnsi="Times New Roman" w:cs="Times New Roman"/>
          <w:bCs/>
        </w:rPr>
        <w:t xml:space="preserve">Nesse sentido, há de se ter em vista </w:t>
      </w:r>
      <w:r w:rsidR="0020675C">
        <w:rPr>
          <w:rFonts w:ascii="Times New Roman" w:hAnsi="Times New Roman" w:cs="Times New Roman"/>
          <w:bCs/>
        </w:rPr>
        <w:t xml:space="preserve">o </w:t>
      </w:r>
      <w:r>
        <w:rPr>
          <w:rFonts w:ascii="Times New Roman" w:hAnsi="Times New Roman" w:cs="Times New Roman"/>
          <w:bCs/>
        </w:rPr>
        <w:t>entendimento do TCU quanto ao tema:</w:t>
      </w:r>
    </w:p>
    <w:p w14:paraId="68B2B76B" w14:textId="77777777" w:rsidR="00BC6818" w:rsidRDefault="00BC6818" w:rsidP="00BC6818">
      <w:pPr>
        <w:spacing w:after="0" w:line="360" w:lineRule="auto"/>
        <w:jc w:val="both"/>
        <w:rPr>
          <w:rFonts w:ascii="Times New Roman" w:hAnsi="Times New Roman" w:cs="Times New Roman"/>
          <w:bCs/>
        </w:rPr>
      </w:pPr>
    </w:p>
    <w:p w14:paraId="00AAC2FA" w14:textId="2678F44D" w:rsidR="00303FA3" w:rsidRDefault="00BC6818" w:rsidP="00BC6818">
      <w:pPr>
        <w:spacing w:after="0" w:line="240" w:lineRule="auto"/>
        <w:ind w:left="2268"/>
        <w:jc w:val="both"/>
        <w:rPr>
          <w:rFonts w:ascii="Times New Roman" w:hAnsi="Times New Roman" w:cs="Times New Roman"/>
          <w:bCs/>
        </w:rPr>
      </w:pPr>
      <w:r w:rsidRPr="00BC6818">
        <w:rPr>
          <w:rFonts w:ascii="Times New Roman" w:hAnsi="Times New Roman" w:cs="Times New Roman"/>
          <w:bCs/>
        </w:rPr>
        <w:t xml:space="preserve">A inexequibilidade de itens isolados da planilha de custos não caracteriza motivo suficiente para a desclassificação da proposta (art. 48, inciso II, da Lei 8.666/1993), pois </w:t>
      </w:r>
      <w:r w:rsidRPr="0020675C">
        <w:rPr>
          <w:rFonts w:ascii="Times New Roman" w:hAnsi="Times New Roman" w:cs="Times New Roman"/>
          <w:b/>
          <w:u w:val="single"/>
        </w:rPr>
        <w:t>o juízo sobre a inexequibilidade, em regra, tem como parâmetro o valor global da proposta</w:t>
      </w:r>
      <w:r w:rsidRPr="00BC6818">
        <w:rPr>
          <w:rFonts w:ascii="Times New Roman" w:hAnsi="Times New Roman" w:cs="Times New Roman"/>
          <w:bCs/>
        </w:rPr>
        <w:t>.</w:t>
      </w:r>
      <w:r>
        <w:rPr>
          <w:rFonts w:ascii="Times New Roman" w:hAnsi="Times New Roman" w:cs="Times New Roman"/>
          <w:bCs/>
        </w:rPr>
        <w:t xml:space="preserve"> (</w:t>
      </w:r>
      <w:r w:rsidRPr="00BC6818">
        <w:rPr>
          <w:rFonts w:ascii="Times New Roman" w:hAnsi="Times New Roman" w:cs="Times New Roman"/>
          <w:bCs/>
        </w:rPr>
        <w:t>Acórdão 637/2017-Plenário | Relator: AROLDO CEDRAZ</w:t>
      </w:r>
      <w:r>
        <w:rPr>
          <w:rFonts w:ascii="Times New Roman" w:hAnsi="Times New Roman" w:cs="Times New Roman"/>
          <w:bCs/>
        </w:rPr>
        <w:t xml:space="preserve"> / </w:t>
      </w:r>
      <w:r w:rsidRPr="00BC6818">
        <w:rPr>
          <w:rFonts w:ascii="Times New Roman" w:hAnsi="Times New Roman" w:cs="Times New Roman"/>
          <w:bCs/>
        </w:rPr>
        <w:t>ÁREA: Licitação | TEMA: Proposta | SUBTEMA: Preço</w:t>
      </w:r>
      <w:r>
        <w:rPr>
          <w:rFonts w:ascii="Times New Roman" w:hAnsi="Times New Roman" w:cs="Times New Roman"/>
          <w:bCs/>
        </w:rPr>
        <w:t xml:space="preserve"> </w:t>
      </w:r>
      <w:proofErr w:type="gramStart"/>
      <w:r>
        <w:rPr>
          <w:rFonts w:ascii="Times New Roman" w:hAnsi="Times New Roman" w:cs="Times New Roman"/>
          <w:bCs/>
        </w:rPr>
        <w:t xml:space="preserve">/ </w:t>
      </w:r>
      <w:r w:rsidRPr="00BC6818">
        <w:rPr>
          <w:rFonts w:ascii="Times New Roman" w:hAnsi="Times New Roman" w:cs="Times New Roman"/>
          <w:bCs/>
        </w:rPr>
        <w:t xml:space="preserve"> Boletim</w:t>
      </w:r>
      <w:proofErr w:type="gramEnd"/>
      <w:r w:rsidRPr="00BC6818">
        <w:rPr>
          <w:rFonts w:ascii="Times New Roman" w:hAnsi="Times New Roman" w:cs="Times New Roman"/>
          <w:bCs/>
        </w:rPr>
        <w:t xml:space="preserve"> de Jurisprudência nº 167 de 25/04/2017</w:t>
      </w:r>
      <w:r>
        <w:rPr>
          <w:rFonts w:ascii="Times New Roman" w:hAnsi="Times New Roman" w:cs="Times New Roman"/>
          <w:bCs/>
        </w:rPr>
        <w:t>)</w:t>
      </w:r>
      <w:r w:rsidR="0020675C">
        <w:rPr>
          <w:rFonts w:ascii="Times New Roman" w:hAnsi="Times New Roman" w:cs="Times New Roman"/>
          <w:bCs/>
        </w:rPr>
        <w:t xml:space="preserve"> (grifamos)</w:t>
      </w:r>
    </w:p>
    <w:p w14:paraId="68C342F0" w14:textId="77777777" w:rsidR="00BC6818" w:rsidRDefault="00BC6818" w:rsidP="00BC6818">
      <w:pPr>
        <w:spacing w:after="0" w:line="360" w:lineRule="auto"/>
        <w:jc w:val="both"/>
        <w:rPr>
          <w:rFonts w:ascii="Times New Roman" w:hAnsi="Times New Roman" w:cs="Times New Roman"/>
          <w:bCs/>
        </w:rPr>
      </w:pPr>
    </w:p>
    <w:p w14:paraId="6258AFDA" w14:textId="2CF4B9FF" w:rsidR="00303FA3" w:rsidRDefault="0020675C" w:rsidP="006904AF">
      <w:pPr>
        <w:spacing w:after="0" w:line="360" w:lineRule="auto"/>
        <w:ind w:firstLine="708"/>
        <w:jc w:val="both"/>
        <w:rPr>
          <w:rFonts w:ascii="Times New Roman" w:hAnsi="Times New Roman" w:cs="Times New Roman"/>
          <w:bCs/>
        </w:rPr>
      </w:pPr>
      <w:r>
        <w:rPr>
          <w:rFonts w:ascii="Times New Roman" w:hAnsi="Times New Roman" w:cs="Times New Roman"/>
          <w:bCs/>
        </w:rPr>
        <w:t>Ademais, frise-se que n</w:t>
      </w:r>
      <w:r w:rsidR="0058424A">
        <w:rPr>
          <w:rFonts w:ascii="Times New Roman" w:hAnsi="Times New Roman" w:cs="Times New Roman"/>
          <w:bCs/>
        </w:rPr>
        <w:t>ão estar-se-ia diante da refutável prática do “jogo de planilhas”, uma vez que</w:t>
      </w:r>
      <w:r w:rsidR="00C7220C">
        <w:rPr>
          <w:rFonts w:ascii="Times New Roman" w:hAnsi="Times New Roman" w:cs="Times New Roman"/>
          <w:bCs/>
        </w:rPr>
        <w:t xml:space="preserve"> </w:t>
      </w:r>
      <w:r w:rsidR="0058424A">
        <w:rPr>
          <w:rFonts w:ascii="Times New Roman" w:hAnsi="Times New Roman" w:cs="Times New Roman"/>
          <w:bCs/>
        </w:rPr>
        <w:t xml:space="preserve">o item de maior volume e com maior </w:t>
      </w:r>
      <w:r w:rsidR="00C7220C">
        <w:rPr>
          <w:rFonts w:ascii="Times New Roman" w:hAnsi="Times New Roman" w:cs="Times New Roman"/>
          <w:bCs/>
        </w:rPr>
        <w:t>previsibilidade</w:t>
      </w:r>
      <w:r w:rsidR="0058424A">
        <w:rPr>
          <w:rFonts w:ascii="Times New Roman" w:hAnsi="Times New Roman" w:cs="Times New Roman"/>
          <w:bCs/>
        </w:rPr>
        <w:t xml:space="preserve"> de demandas no curso da contratualidade, qual seja, a UST, </w:t>
      </w:r>
      <w:r w:rsidR="00C7220C">
        <w:rPr>
          <w:rFonts w:ascii="Times New Roman" w:hAnsi="Times New Roman" w:cs="Times New Roman"/>
          <w:bCs/>
        </w:rPr>
        <w:t xml:space="preserve">na proposta da META, </w:t>
      </w:r>
      <w:r w:rsidR="0058424A">
        <w:rPr>
          <w:rFonts w:ascii="Times New Roman" w:hAnsi="Times New Roman" w:cs="Times New Roman"/>
          <w:bCs/>
        </w:rPr>
        <w:t>é justamente o de menor valor apresentado, refletindo o custo real, sem sobrepreço ou intenção de obtenção de margens exorbitantes. Tanto é que é justamente este item o cerne de todo questionamento acerca da exequibilidade</w:t>
      </w:r>
      <w:r w:rsidR="00C7220C">
        <w:rPr>
          <w:rFonts w:ascii="Times New Roman" w:hAnsi="Times New Roman" w:cs="Times New Roman"/>
          <w:bCs/>
        </w:rPr>
        <w:t xml:space="preserve"> da proposta apresentada</w:t>
      </w:r>
      <w:r w:rsidR="0058424A">
        <w:rPr>
          <w:rFonts w:ascii="Times New Roman" w:hAnsi="Times New Roman" w:cs="Times New Roman"/>
          <w:bCs/>
        </w:rPr>
        <w:t>.</w:t>
      </w:r>
    </w:p>
    <w:p w14:paraId="640D85E3" w14:textId="2F2B0113" w:rsidR="009447DD" w:rsidRDefault="001D30FE" w:rsidP="006904AF">
      <w:pPr>
        <w:spacing w:after="0" w:line="360" w:lineRule="auto"/>
        <w:ind w:firstLine="708"/>
        <w:jc w:val="both"/>
        <w:rPr>
          <w:rFonts w:ascii="Times New Roman" w:hAnsi="Times New Roman" w:cs="Times New Roman"/>
          <w:bCs/>
        </w:rPr>
      </w:pPr>
      <w:r>
        <w:rPr>
          <w:rFonts w:ascii="Times New Roman" w:hAnsi="Times New Roman" w:cs="Times New Roman"/>
          <w:bCs/>
        </w:rPr>
        <w:t xml:space="preserve">Ora, a META está sendo questionada por ofertar uma proposta razoável e consentânea com os valores de mercado e especificidades dos serviços previstos no Edital e em seus Anexos, ao considerar o valor justo para a UST, sem nenhuma pretensão de obter vantagens indevidas, ou maior lucratividade em prejuízo </w:t>
      </w:r>
      <w:r w:rsidR="006569A3">
        <w:rPr>
          <w:rFonts w:ascii="Times New Roman" w:hAnsi="Times New Roman" w:cs="Times New Roman"/>
          <w:bCs/>
        </w:rPr>
        <w:t>do erário</w:t>
      </w:r>
      <w:r w:rsidR="009447DD">
        <w:rPr>
          <w:rFonts w:ascii="Times New Roman" w:hAnsi="Times New Roman" w:cs="Times New Roman"/>
          <w:bCs/>
        </w:rPr>
        <w:t>, ao contrário da estratégia de outras licitantes</w:t>
      </w:r>
      <w:r w:rsidR="006569A3">
        <w:rPr>
          <w:rFonts w:ascii="Times New Roman" w:hAnsi="Times New Roman" w:cs="Times New Roman"/>
          <w:bCs/>
        </w:rPr>
        <w:t xml:space="preserve">, </w:t>
      </w:r>
      <w:r w:rsidR="009447DD">
        <w:rPr>
          <w:rFonts w:ascii="Times New Roman" w:hAnsi="Times New Roman" w:cs="Times New Roman"/>
          <w:bCs/>
        </w:rPr>
        <w:t>que mantiveram elevado o valor da UST, visto ser este o item de maior volume e previsibilidade de consumo, reduzindo</w:t>
      </w:r>
      <w:r w:rsidR="006569A3">
        <w:rPr>
          <w:rFonts w:ascii="Times New Roman" w:hAnsi="Times New Roman" w:cs="Times New Roman"/>
          <w:bCs/>
        </w:rPr>
        <w:t xml:space="preserve"> </w:t>
      </w:r>
      <w:r w:rsidR="009447DD">
        <w:rPr>
          <w:rFonts w:ascii="Times New Roman" w:hAnsi="Times New Roman" w:cs="Times New Roman"/>
          <w:bCs/>
        </w:rPr>
        <w:t>o valor do Ponto de Função (Ex</w:t>
      </w:r>
      <w:r w:rsidR="00C7220C">
        <w:rPr>
          <w:rFonts w:ascii="Times New Roman" w:hAnsi="Times New Roman" w:cs="Times New Roman"/>
          <w:bCs/>
        </w:rPr>
        <w:t>emplo</w:t>
      </w:r>
      <w:r w:rsidR="009447DD">
        <w:rPr>
          <w:rFonts w:ascii="Times New Roman" w:hAnsi="Times New Roman" w:cs="Times New Roman"/>
          <w:bCs/>
        </w:rPr>
        <w:t xml:space="preserve">: R$ 689,49 PF x R$ 79,25 UST – </w:t>
      </w:r>
      <w:r w:rsidR="00C7220C">
        <w:rPr>
          <w:rFonts w:ascii="Times New Roman" w:hAnsi="Times New Roman" w:cs="Times New Roman"/>
          <w:bCs/>
        </w:rPr>
        <w:t xml:space="preserve">Nesse caso, </w:t>
      </w:r>
      <w:r w:rsidR="009447DD">
        <w:rPr>
          <w:rFonts w:ascii="Times New Roman" w:hAnsi="Times New Roman" w:cs="Times New Roman"/>
          <w:bCs/>
        </w:rPr>
        <w:t>pelo valor da UST e lógica de cálculo adotada pelo MJSP, o valor do PF deveria ser de R$ 792,50).</w:t>
      </w:r>
    </w:p>
    <w:p w14:paraId="5DC0D1D7" w14:textId="6036995C" w:rsidR="001D30FE" w:rsidRDefault="009447DD" w:rsidP="006904AF">
      <w:pPr>
        <w:spacing w:after="0" w:line="360" w:lineRule="auto"/>
        <w:ind w:firstLine="708"/>
        <w:jc w:val="both"/>
        <w:rPr>
          <w:rFonts w:ascii="Times New Roman" w:hAnsi="Times New Roman" w:cs="Times New Roman"/>
          <w:bCs/>
        </w:rPr>
      </w:pPr>
      <w:r>
        <w:rPr>
          <w:rFonts w:ascii="Times New Roman" w:hAnsi="Times New Roman" w:cs="Times New Roman"/>
          <w:bCs/>
        </w:rPr>
        <w:t xml:space="preserve">   </w:t>
      </w:r>
      <w:r w:rsidR="000E1849">
        <w:rPr>
          <w:rFonts w:ascii="Times New Roman" w:hAnsi="Times New Roman" w:cs="Times New Roman"/>
          <w:bCs/>
        </w:rPr>
        <w:t xml:space="preserve">Deve ser afastada, de igual forma, a inferência quanto à necessidade de desclassificação da proposta apresentada pela META </w:t>
      </w:r>
      <w:r w:rsidR="00F21F6A">
        <w:rPr>
          <w:rFonts w:ascii="Times New Roman" w:hAnsi="Times New Roman" w:cs="Times New Roman"/>
          <w:bCs/>
        </w:rPr>
        <w:t>por supostamente conter “</w:t>
      </w:r>
      <w:r w:rsidR="00F21F6A" w:rsidRPr="00C7220C">
        <w:rPr>
          <w:rFonts w:ascii="Times New Roman" w:hAnsi="Times New Roman" w:cs="Times New Roman"/>
          <w:bCs/>
          <w:i/>
          <w:iCs/>
        </w:rPr>
        <w:t>preços global ou unitários simbólicos, irrisórios ou de valor zero, incompatíveis com os preços dos insumos e salários de mercado, acrescidos dos respectivos encargos</w:t>
      </w:r>
      <w:r w:rsidR="00F21F6A">
        <w:rPr>
          <w:rFonts w:ascii="Times New Roman" w:hAnsi="Times New Roman" w:cs="Times New Roman"/>
          <w:bCs/>
        </w:rPr>
        <w:t>”, uma vez que cabalmente demonstrado que (a) todos os tributos, encargos e despesas foram considerados, nos moldes da Planilha de Análise de Exequibilidade; (b) restou comprovada a aptidão da META em efetivamente contratar e manter profissionais nos valores salariais indicados em sua composição de custos</w:t>
      </w:r>
      <w:r w:rsidR="00A357E5">
        <w:rPr>
          <w:rFonts w:ascii="Times New Roman" w:hAnsi="Times New Roman" w:cs="Times New Roman"/>
          <w:bCs/>
        </w:rPr>
        <w:t>.</w:t>
      </w:r>
    </w:p>
    <w:p w14:paraId="4B959DEA" w14:textId="77777777" w:rsidR="00C7220C" w:rsidRDefault="00E10383" w:rsidP="00C7220C">
      <w:pPr>
        <w:spacing w:after="0" w:line="360" w:lineRule="auto"/>
        <w:ind w:firstLine="708"/>
        <w:jc w:val="both"/>
        <w:rPr>
          <w:rFonts w:ascii="Times New Roman" w:hAnsi="Times New Roman" w:cs="Times New Roman"/>
          <w:bCs/>
        </w:rPr>
      </w:pPr>
      <w:r>
        <w:rPr>
          <w:rFonts w:ascii="Times New Roman" w:hAnsi="Times New Roman" w:cs="Times New Roman"/>
          <w:bCs/>
        </w:rPr>
        <w:t>E, ainda que assim não fosse, há de se ter em vista o entendimento sedimentado pelo Tribunal de Contas da União também neste particular</w:t>
      </w:r>
      <w:r w:rsidR="00C7220C">
        <w:rPr>
          <w:rFonts w:ascii="Times New Roman" w:hAnsi="Times New Roman" w:cs="Times New Roman"/>
          <w:bCs/>
        </w:rPr>
        <w:t xml:space="preserve"> em julgados como o do </w:t>
      </w:r>
      <w:r w:rsidR="00C7220C" w:rsidRPr="00BC6818">
        <w:rPr>
          <w:rFonts w:ascii="Times New Roman" w:hAnsi="Times New Roman" w:cs="Times New Roman"/>
          <w:bCs/>
        </w:rPr>
        <w:t>Acórdão 637/2017-Plenário</w:t>
      </w:r>
      <w:r w:rsidR="00C7220C">
        <w:rPr>
          <w:rFonts w:ascii="Times New Roman" w:hAnsi="Times New Roman" w:cs="Times New Roman"/>
          <w:bCs/>
        </w:rPr>
        <w:t xml:space="preserve">, supra colacionado, e do </w:t>
      </w:r>
      <w:r w:rsidR="00C7220C" w:rsidRPr="00C7220C">
        <w:rPr>
          <w:rFonts w:ascii="Times New Roman" w:hAnsi="Times New Roman" w:cs="Times New Roman"/>
          <w:bCs/>
        </w:rPr>
        <w:t>Acórdão 1678/2013-Plenário</w:t>
      </w:r>
      <w:r w:rsidR="00C7220C">
        <w:rPr>
          <w:rFonts w:ascii="Times New Roman" w:hAnsi="Times New Roman" w:cs="Times New Roman"/>
          <w:bCs/>
        </w:rPr>
        <w:t>.</w:t>
      </w:r>
    </w:p>
    <w:p w14:paraId="60ED4216" w14:textId="33291FB5" w:rsidR="006904AF" w:rsidRPr="00C7220C" w:rsidRDefault="00C7220C" w:rsidP="00C7220C">
      <w:pPr>
        <w:spacing w:after="0" w:line="360" w:lineRule="auto"/>
        <w:ind w:firstLine="708"/>
        <w:jc w:val="both"/>
        <w:rPr>
          <w:rFonts w:ascii="Times New Roman" w:hAnsi="Times New Roman" w:cs="Times New Roman"/>
          <w:bCs/>
        </w:rPr>
      </w:pPr>
      <w:r w:rsidRPr="00C7220C">
        <w:rPr>
          <w:rFonts w:ascii="Times New Roman" w:hAnsi="Times New Roman" w:cs="Times New Roman"/>
          <w:bCs/>
        </w:rPr>
        <w:t xml:space="preserve">Dessa forma, por qualquer prisma que se analise a questão, resta evidente </w:t>
      </w:r>
      <w:r>
        <w:rPr>
          <w:rFonts w:ascii="Times New Roman" w:hAnsi="Times New Roman" w:cs="Times New Roman"/>
          <w:bCs/>
        </w:rPr>
        <w:t>a</w:t>
      </w:r>
      <w:r w:rsidRPr="00C7220C">
        <w:rPr>
          <w:rFonts w:ascii="Times New Roman" w:hAnsi="Times New Roman" w:cs="Times New Roman"/>
          <w:bCs/>
        </w:rPr>
        <w:t xml:space="preserve"> plena observância ao</w:t>
      </w:r>
      <w:r w:rsidR="006723A2">
        <w:rPr>
          <w:rFonts w:ascii="Times New Roman" w:hAnsi="Times New Roman" w:cs="Times New Roman"/>
          <w:bCs/>
        </w:rPr>
        <w:t>s</w:t>
      </w:r>
      <w:r w:rsidRPr="00C7220C">
        <w:rPr>
          <w:rFonts w:ascii="Times New Roman" w:hAnsi="Times New Roman" w:cs="Times New Roman"/>
          <w:bCs/>
        </w:rPr>
        <w:t xml:space="preserve"> requisitos legais e </w:t>
      </w:r>
      <w:proofErr w:type="spellStart"/>
      <w:r w:rsidRPr="00C7220C">
        <w:rPr>
          <w:rFonts w:ascii="Times New Roman" w:hAnsi="Times New Roman" w:cs="Times New Roman"/>
          <w:bCs/>
        </w:rPr>
        <w:t>editalícios</w:t>
      </w:r>
      <w:proofErr w:type="spellEnd"/>
      <w:r w:rsidRPr="00C7220C">
        <w:rPr>
          <w:rFonts w:ascii="Times New Roman" w:hAnsi="Times New Roman" w:cs="Times New Roman"/>
          <w:bCs/>
        </w:rPr>
        <w:t xml:space="preserve">, bem como a exequibilidade da proposta ofertada pela META. </w:t>
      </w:r>
    </w:p>
    <w:p w14:paraId="6F6424A0" w14:textId="77777777" w:rsidR="0042294B" w:rsidRPr="006904AF" w:rsidRDefault="0042294B" w:rsidP="006904AF">
      <w:pPr>
        <w:pStyle w:val="PargrafodaLista"/>
        <w:rPr>
          <w:rFonts w:ascii="Times New Roman" w:hAnsi="Times New Roman" w:cs="Times New Roman"/>
          <w:b/>
        </w:rPr>
      </w:pPr>
    </w:p>
    <w:p w14:paraId="7F319295" w14:textId="09659DCC" w:rsidR="006904AF" w:rsidRDefault="006904AF" w:rsidP="004A4C4A">
      <w:pPr>
        <w:spacing w:after="0" w:line="360" w:lineRule="auto"/>
        <w:jc w:val="both"/>
        <w:rPr>
          <w:rFonts w:ascii="Times New Roman" w:hAnsi="Times New Roman" w:cs="Times New Roman"/>
          <w:b/>
        </w:rPr>
      </w:pPr>
      <w:r>
        <w:rPr>
          <w:rFonts w:ascii="Times New Roman" w:hAnsi="Times New Roman" w:cs="Times New Roman"/>
          <w:b/>
        </w:rPr>
        <w:t>III.B – Dos custos com infraestrutura, hardware, software e demais despesas relacionadas à execução dos serviços</w:t>
      </w:r>
    </w:p>
    <w:p w14:paraId="1A6357F4" w14:textId="471DB2FB" w:rsidR="004D6056" w:rsidRDefault="004D6056" w:rsidP="004A4C4A">
      <w:pPr>
        <w:spacing w:after="0" w:line="360" w:lineRule="auto"/>
        <w:jc w:val="both"/>
        <w:rPr>
          <w:rFonts w:ascii="Times New Roman" w:hAnsi="Times New Roman" w:cs="Times New Roman"/>
          <w:b/>
        </w:rPr>
      </w:pPr>
      <w:r>
        <w:rPr>
          <w:rFonts w:ascii="Times New Roman" w:hAnsi="Times New Roman" w:cs="Times New Roman"/>
          <w:b/>
        </w:rPr>
        <w:tab/>
      </w:r>
    </w:p>
    <w:p w14:paraId="59681E06" w14:textId="10237695" w:rsidR="004D6056" w:rsidRDefault="004D6056" w:rsidP="004A4C4A">
      <w:pPr>
        <w:spacing w:after="0" w:line="360" w:lineRule="auto"/>
        <w:jc w:val="both"/>
        <w:rPr>
          <w:rFonts w:ascii="Times New Roman" w:hAnsi="Times New Roman" w:cs="Times New Roman"/>
          <w:bCs/>
        </w:rPr>
      </w:pPr>
      <w:r w:rsidRPr="004D6056">
        <w:rPr>
          <w:rFonts w:ascii="Times New Roman" w:hAnsi="Times New Roman" w:cs="Times New Roman"/>
          <w:bCs/>
        </w:rPr>
        <w:tab/>
        <w:t>Aduz a CAPGEMINI, de forma genérica e sem subsidiar seus argumentos com informações que permitam à META o pleno exercício do contraditório e da ampla defesa, bem como ao Ilmo. Pregoeiro e sua equipe de apoio a análise acerca do quanto alegado, que a META teria considerado despesas e custos necessários à execução contratual “</w:t>
      </w:r>
      <w:r w:rsidRPr="00DB7ADE">
        <w:rPr>
          <w:rFonts w:ascii="Times New Roman" w:hAnsi="Times New Roman" w:cs="Times New Roman"/>
          <w:bCs/>
          <w:i/>
          <w:iCs/>
        </w:rPr>
        <w:t>abaixo dos limites estabelecidos e minimamente necessários à execução contratual</w:t>
      </w:r>
      <w:r w:rsidRPr="004D6056">
        <w:rPr>
          <w:rFonts w:ascii="Times New Roman" w:hAnsi="Times New Roman" w:cs="Times New Roman"/>
          <w:bCs/>
        </w:rPr>
        <w:t>”. Mais uma vez, sem razão.</w:t>
      </w:r>
    </w:p>
    <w:p w14:paraId="3B88E215" w14:textId="2692D5F2" w:rsidR="004D6056" w:rsidRDefault="004D6056" w:rsidP="004A4C4A">
      <w:pPr>
        <w:spacing w:after="0" w:line="360" w:lineRule="auto"/>
        <w:jc w:val="both"/>
        <w:rPr>
          <w:rFonts w:ascii="Times New Roman" w:hAnsi="Times New Roman" w:cs="Times New Roman"/>
          <w:bCs/>
        </w:rPr>
      </w:pPr>
      <w:r>
        <w:rPr>
          <w:rFonts w:ascii="Times New Roman" w:hAnsi="Times New Roman" w:cs="Times New Roman"/>
          <w:bCs/>
        </w:rPr>
        <w:tab/>
        <w:t xml:space="preserve">A despeito de a CAPGEMINI ter deixado de mencionar quais seriam os limites estabelecidos e minimante necessários à execução contratual, </w:t>
      </w:r>
      <w:r w:rsidR="005D5CC4">
        <w:rPr>
          <w:rFonts w:ascii="Times New Roman" w:hAnsi="Times New Roman" w:cs="Times New Roman"/>
          <w:bCs/>
        </w:rPr>
        <w:t>em razão do princípio da impugnação específica, esclarece-se que tais custos foram, sim, considerados na precificação, sob as rubricas de “Leasing de computadores e conectividades” e “Despesas Administrativas/Operacionais” e que, dentro dos valores praticados pela META</w:t>
      </w:r>
      <w:r w:rsidR="00C91575">
        <w:rPr>
          <w:rFonts w:ascii="Times New Roman" w:hAnsi="Times New Roman" w:cs="Times New Roman"/>
          <w:bCs/>
        </w:rPr>
        <w:t xml:space="preserve"> em suas operações, devido a contratos ativos com fornecedores e contratações/aquisições em maior escala</w:t>
      </w:r>
      <w:r w:rsidR="005D5CC4">
        <w:rPr>
          <w:rFonts w:ascii="Times New Roman" w:hAnsi="Times New Roman" w:cs="Times New Roman"/>
          <w:bCs/>
        </w:rPr>
        <w:t>, são suficientes e adequados a fazer frente a tais despesas</w:t>
      </w:r>
      <w:r w:rsidR="00DB7ADE">
        <w:rPr>
          <w:rFonts w:ascii="Times New Roman" w:hAnsi="Times New Roman" w:cs="Times New Roman"/>
          <w:bCs/>
        </w:rPr>
        <w:t xml:space="preserve"> (hardware, software, conectividade, comunicação)</w:t>
      </w:r>
      <w:r w:rsidR="00C91575">
        <w:rPr>
          <w:rFonts w:ascii="Times New Roman" w:hAnsi="Times New Roman" w:cs="Times New Roman"/>
          <w:bCs/>
        </w:rPr>
        <w:t>.</w:t>
      </w:r>
    </w:p>
    <w:p w14:paraId="6CF04D25" w14:textId="07189A48" w:rsidR="00C91575" w:rsidRDefault="00C91575" w:rsidP="004A4C4A">
      <w:pPr>
        <w:spacing w:after="0" w:line="360" w:lineRule="auto"/>
        <w:jc w:val="both"/>
        <w:rPr>
          <w:rFonts w:ascii="Times New Roman" w:hAnsi="Times New Roman" w:cs="Times New Roman"/>
          <w:bCs/>
        </w:rPr>
      </w:pPr>
      <w:r>
        <w:rPr>
          <w:rFonts w:ascii="Times New Roman" w:hAnsi="Times New Roman" w:cs="Times New Roman"/>
          <w:bCs/>
        </w:rPr>
        <w:tab/>
        <w:t xml:space="preserve">De igual forma, as despesas com garantia contratual foram contempladas sob a rubrica </w:t>
      </w:r>
      <w:r w:rsidRPr="00C91575">
        <w:rPr>
          <w:rFonts w:ascii="Times New Roman" w:hAnsi="Times New Roman" w:cs="Times New Roman"/>
          <w:bCs/>
        </w:rPr>
        <w:t>“Despesas Administrativas/Operacionais”</w:t>
      </w:r>
      <w:r>
        <w:rPr>
          <w:rFonts w:ascii="Times New Roman" w:hAnsi="Times New Roman" w:cs="Times New Roman"/>
          <w:bCs/>
        </w:rPr>
        <w:t xml:space="preserve"> e, caso assim não fosse, por si sós, não teriam o condão de afetar a saúde financeira do contrato e acarretar a inexecução contratual, porquanto representam valor ínfimo diante dos demais custos</w:t>
      </w:r>
      <w:r w:rsidR="00865954">
        <w:rPr>
          <w:rFonts w:ascii="Times New Roman" w:hAnsi="Times New Roman" w:cs="Times New Roman"/>
          <w:bCs/>
        </w:rPr>
        <w:t xml:space="preserve"> e despesas</w:t>
      </w:r>
      <w:r w:rsidR="00D11725">
        <w:rPr>
          <w:rFonts w:ascii="Times New Roman" w:hAnsi="Times New Roman" w:cs="Times New Roman"/>
          <w:bCs/>
        </w:rPr>
        <w:t>.</w:t>
      </w:r>
    </w:p>
    <w:p w14:paraId="622B3044" w14:textId="77777777" w:rsidR="00C7220C" w:rsidRDefault="00C91575" w:rsidP="004A4C4A">
      <w:pPr>
        <w:spacing w:after="0" w:line="360" w:lineRule="auto"/>
        <w:jc w:val="both"/>
        <w:rPr>
          <w:rFonts w:ascii="Times New Roman" w:hAnsi="Times New Roman" w:cs="Times New Roman"/>
          <w:bCs/>
        </w:rPr>
      </w:pPr>
      <w:r>
        <w:rPr>
          <w:rFonts w:ascii="Times New Roman" w:hAnsi="Times New Roman" w:cs="Times New Roman"/>
          <w:bCs/>
        </w:rPr>
        <w:tab/>
        <w:t>Ainda, com relação a despesas de deslocamento e eventuais custos com horas extras ou de sobreaviso, imperioso destacar que dizem respeito unicamente à estratégia de atendimento do contrato prevista pela META em sua precificação e às suas políticas internas acerca do regime de contratação e compensação de horas.</w:t>
      </w:r>
      <w:r w:rsidR="00865954">
        <w:rPr>
          <w:rFonts w:ascii="Times New Roman" w:hAnsi="Times New Roman" w:cs="Times New Roman"/>
          <w:bCs/>
        </w:rPr>
        <w:t xml:space="preserve"> </w:t>
      </w:r>
    </w:p>
    <w:p w14:paraId="5FD6D1EA" w14:textId="50D01A83" w:rsidR="00C7220C" w:rsidRDefault="00865954" w:rsidP="00C7220C">
      <w:pPr>
        <w:spacing w:after="0" w:line="360" w:lineRule="auto"/>
        <w:ind w:firstLine="708"/>
        <w:jc w:val="both"/>
        <w:rPr>
          <w:rFonts w:ascii="Times New Roman" w:hAnsi="Times New Roman" w:cs="Times New Roman"/>
          <w:bCs/>
        </w:rPr>
      </w:pPr>
      <w:r>
        <w:rPr>
          <w:rFonts w:ascii="Times New Roman" w:hAnsi="Times New Roman" w:cs="Times New Roman"/>
          <w:bCs/>
        </w:rPr>
        <w:t xml:space="preserve">Nesse sentido, a estratégia </w:t>
      </w:r>
      <w:r w:rsidR="00214F72">
        <w:rPr>
          <w:rFonts w:ascii="Times New Roman" w:hAnsi="Times New Roman" w:cs="Times New Roman"/>
          <w:bCs/>
        </w:rPr>
        <w:t>da META</w:t>
      </w:r>
      <w:r>
        <w:rPr>
          <w:rFonts w:ascii="Times New Roman" w:hAnsi="Times New Roman" w:cs="Times New Roman"/>
          <w:bCs/>
        </w:rPr>
        <w:t xml:space="preserve"> pode envolver</w:t>
      </w:r>
      <w:r w:rsidR="00214F72">
        <w:rPr>
          <w:rFonts w:ascii="Times New Roman" w:hAnsi="Times New Roman" w:cs="Times New Roman"/>
          <w:bCs/>
        </w:rPr>
        <w:t>, por exemplo, a</w:t>
      </w:r>
      <w:r>
        <w:rPr>
          <w:rFonts w:ascii="Times New Roman" w:hAnsi="Times New Roman" w:cs="Times New Roman"/>
          <w:bCs/>
        </w:rPr>
        <w:t xml:space="preserve"> disponibilização de parte da equipe de atendimento nas instalações do MJSP, em Brasília/DF, para fins de atendimentos presenciais</w:t>
      </w:r>
      <w:r w:rsidR="00C7220C">
        <w:rPr>
          <w:rFonts w:ascii="Times New Roman" w:hAnsi="Times New Roman" w:cs="Times New Roman"/>
          <w:bCs/>
        </w:rPr>
        <w:t>, conforme facultado pelo próprio órgão em sede de esclarecimentos</w:t>
      </w:r>
      <w:r>
        <w:rPr>
          <w:rFonts w:ascii="Times New Roman" w:hAnsi="Times New Roman" w:cs="Times New Roman"/>
          <w:bCs/>
        </w:rPr>
        <w:t xml:space="preserve">. </w:t>
      </w:r>
    </w:p>
    <w:p w14:paraId="7E43E198" w14:textId="281C46DA" w:rsidR="005D5CC4" w:rsidRDefault="00865954" w:rsidP="00C7220C">
      <w:pPr>
        <w:spacing w:after="0" w:line="360" w:lineRule="auto"/>
        <w:ind w:firstLine="708"/>
        <w:jc w:val="both"/>
        <w:rPr>
          <w:rFonts w:ascii="Times New Roman" w:hAnsi="Times New Roman" w:cs="Times New Roman"/>
          <w:bCs/>
        </w:rPr>
      </w:pPr>
      <w:r>
        <w:rPr>
          <w:rFonts w:ascii="Times New Roman" w:hAnsi="Times New Roman" w:cs="Times New Roman"/>
          <w:bCs/>
        </w:rPr>
        <w:t>Com relação às horas extras e sobreaviso, imperioso destacar que os empregados da META atuam sob o regime de compensação de horas na forma legalmente admitida, bem como que esta conta com uma operação</w:t>
      </w:r>
      <w:r w:rsidR="00B94A6A">
        <w:rPr>
          <w:rFonts w:ascii="Times New Roman" w:hAnsi="Times New Roman" w:cs="Times New Roman"/>
          <w:bCs/>
        </w:rPr>
        <w:t xml:space="preserve"> compartilhada</w:t>
      </w:r>
      <w:r>
        <w:rPr>
          <w:rFonts w:ascii="Times New Roman" w:hAnsi="Times New Roman" w:cs="Times New Roman"/>
          <w:bCs/>
        </w:rPr>
        <w:t xml:space="preserve"> de sustentação para atendimento 24x7 já em atividade, com contratações e atuações em regime de escala</w:t>
      </w:r>
      <w:r w:rsidR="00B94A6A">
        <w:rPr>
          <w:rFonts w:ascii="Times New Roman" w:hAnsi="Times New Roman" w:cs="Times New Roman"/>
          <w:bCs/>
        </w:rPr>
        <w:t xml:space="preserve"> que comportará eventuais atendimentos fora do horário comercial</w:t>
      </w:r>
      <w:r w:rsidR="00F2459F">
        <w:rPr>
          <w:rFonts w:ascii="Times New Roman" w:hAnsi="Times New Roman" w:cs="Times New Roman"/>
          <w:bCs/>
        </w:rPr>
        <w:t xml:space="preserve"> oriundos deste contrato</w:t>
      </w:r>
      <w:r w:rsidR="00B94A6A">
        <w:rPr>
          <w:rFonts w:ascii="Times New Roman" w:hAnsi="Times New Roman" w:cs="Times New Roman"/>
          <w:bCs/>
        </w:rPr>
        <w:t xml:space="preserve">. </w:t>
      </w:r>
    </w:p>
    <w:p w14:paraId="5C9C1371" w14:textId="5A95E9E8" w:rsidR="00E76C4F" w:rsidRDefault="00E76C4F" w:rsidP="00E76C4F">
      <w:pPr>
        <w:spacing w:after="0" w:line="360" w:lineRule="auto"/>
        <w:jc w:val="both"/>
        <w:rPr>
          <w:rFonts w:ascii="Times New Roman" w:hAnsi="Times New Roman" w:cs="Times New Roman"/>
          <w:bCs/>
        </w:rPr>
      </w:pPr>
      <w:r>
        <w:rPr>
          <w:rFonts w:ascii="Times New Roman" w:hAnsi="Times New Roman" w:cs="Times New Roman"/>
          <w:bCs/>
        </w:rPr>
        <w:tab/>
        <w:t xml:space="preserve">Há de se ter em vista que, conforme previsto no item 6.3 do Edital, </w:t>
      </w:r>
      <w:r w:rsidRPr="00E76C4F">
        <w:rPr>
          <w:rFonts w:ascii="Times New Roman" w:hAnsi="Times New Roman" w:cs="Times New Roman"/>
          <w:bCs/>
        </w:rPr>
        <w:t>est</w:t>
      </w:r>
      <w:r>
        <w:rPr>
          <w:rFonts w:ascii="Times New Roman" w:hAnsi="Times New Roman" w:cs="Times New Roman"/>
          <w:bCs/>
        </w:rPr>
        <w:t>ão</w:t>
      </w:r>
      <w:r w:rsidRPr="00E76C4F">
        <w:rPr>
          <w:rFonts w:ascii="Times New Roman" w:hAnsi="Times New Roman" w:cs="Times New Roman"/>
          <w:bCs/>
        </w:rPr>
        <w:t xml:space="preserve"> inclusos todos os custos operacionais, encargos</w:t>
      </w:r>
      <w:r>
        <w:rPr>
          <w:rFonts w:ascii="Times New Roman" w:hAnsi="Times New Roman" w:cs="Times New Roman"/>
          <w:bCs/>
        </w:rPr>
        <w:t xml:space="preserve"> </w:t>
      </w:r>
      <w:r w:rsidRPr="00E76C4F">
        <w:rPr>
          <w:rFonts w:ascii="Times New Roman" w:hAnsi="Times New Roman" w:cs="Times New Roman"/>
          <w:bCs/>
        </w:rPr>
        <w:t>previdenciários, trabalhistas, tributários, comerciais e quaisquer outros que incidam direta ou</w:t>
      </w:r>
      <w:r>
        <w:rPr>
          <w:rFonts w:ascii="Times New Roman" w:hAnsi="Times New Roman" w:cs="Times New Roman"/>
          <w:bCs/>
        </w:rPr>
        <w:t xml:space="preserve"> </w:t>
      </w:r>
      <w:r w:rsidRPr="00E76C4F">
        <w:rPr>
          <w:rFonts w:ascii="Times New Roman" w:hAnsi="Times New Roman" w:cs="Times New Roman"/>
          <w:bCs/>
        </w:rPr>
        <w:t>indiretamente na prestação dos serviços, apurados mediante o preenchimento do modelo de Planilha</w:t>
      </w:r>
      <w:r>
        <w:rPr>
          <w:rFonts w:ascii="Times New Roman" w:hAnsi="Times New Roman" w:cs="Times New Roman"/>
          <w:bCs/>
        </w:rPr>
        <w:t xml:space="preserve"> </w:t>
      </w:r>
      <w:r w:rsidRPr="00E76C4F">
        <w:rPr>
          <w:rFonts w:ascii="Times New Roman" w:hAnsi="Times New Roman" w:cs="Times New Roman"/>
          <w:bCs/>
        </w:rPr>
        <w:t>de Análise de Exequibilidade</w:t>
      </w:r>
      <w:r>
        <w:rPr>
          <w:rFonts w:ascii="Times New Roman" w:hAnsi="Times New Roman" w:cs="Times New Roman"/>
          <w:bCs/>
        </w:rPr>
        <w:t xml:space="preserve"> disponibilizado pelo MJSP e, contemplando, portanto, os itens de custo que este órgão entendeu como pertinentes à contratação.</w:t>
      </w:r>
    </w:p>
    <w:p w14:paraId="1F0C65FB" w14:textId="77777777" w:rsidR="00214F72" w:rsidRDefault="00214F72" w:rsidP="004A4C4A">
      <w:pPr>
        <w:spacing w:after="0" w:line="360" w:lineRule="auto"/>
        <w:jc w:val="both"/>
        <w:rPr>
          <w:rFonts w:ascii="Times New Roman" w:hAnsi="Times New Roman" w:cs="Times New Roman"/>
          <w:bCs/>
        </w:rPr>
      </w:pPr>
      <w:r>
        <w:rPr>
          <w:rFonts w:ascii="Times New Roman" w:hAnsi="Times New Roman" w:cs="Times New Roman"/>
          <w:bCs/>
        </w:rPr>
        <w:tab/>
        <w:t>Qualquer dúvida ou necessidade de esclarecimento com relação a estes custos e despesas identificada pelo Ilmo. Pregoeiro e sua equipe de apoio, se houvessem, deveriam ter sido objeto de diligência complementar no momento oportuno, não podendo, por si sós, implicar na desclassificação da proposta apresentada sem que fosse facultado à META seu devido esclarecimento.</w:t>
      </w:r>
    </w:p>
    <w:p w14:paraId="37BEDFFF" w14:textId="744BE7E6" w:rsidR="00F2459F" w:rsidRDefault="00E76C4F" w:rsidP="004A4C4A">
      <w:pPr>
        <w:spacing w:after="0" w:line="360" w:lineRule="auto"/>
        <w:jc w:val="both"/>
        <w:rPr>
          <w:rFonts w:ascii="Times New Roman" w:hAnsi="Times New Roman" w:cs="Times New Roman"/>
          <w:bCs/>
        </w:rPr>
      </w:pPr>
      <w:r>
        <w:rPr>
          <w:rFonts w:ascii="Times New Roman" w:hAnsi="Times New Roman" w:cs="Times New Roman"/>
          <w:bCs/>
        </w:rPr>
        <w:tab/>
      </w:r>
    </w:p>
    <w:p w14:paraId="75D729B9" w14:textId="77777777" w:rsidR="00214F72" w:rsidRDefault="00214F72" w:rsidP="004A4C4A">
      <w:pPr>
        <w:spacing w:after="0" w:line="360" w:lineRule="auto"/>
        <w:jc w:val="both"/>
        <w:rPr>
          <w:rFonts w:ascii="Times New Roman" w:hAnsi="Times New Roman" w:cs="Times New Roman"/>
          <w:bCs/>
        </w:rPr>
      </w:pPr>
    </w:p>
    <w:p w14:paraId="1D04DD6C" w14:textId="6F62AE0F" w:rsidR="006904AF" w:rsidRDefault="004D6056" w:rsidP="004A4C4A">
      <w:pPr>
        <w:spacing w:after="0" w:line="360" w:lineRule="auto"/>
        <w:jc w:val="both"/>
        <w:rPr>
          <w:rFonts w:ascii="Times New Roman" w:hAnsi="Times New Roman" w:cs="Times New Roman"/>
          <w:b/>
        </w:rPr>
      </w:pPr>
      <w:r>
        <w:rPr>
          <w:rFonts w:ascii="Times New Roman" w:hAnsi="Times New Roman" w:cs="Times New Roman"/>
          <w:b/>
        </w:rPr>
        <w:t xml:space="preserve">III.C – Da </w:t>
      </w:r>
      <w:r w:rsidR="00F2459F">
        <w:rPr>
          <w:rFonts w:ascii="Times New Roman" w:hAnsi="Times New Roman" w:cs="Times New Roman"/>
          <w:b/>
        </w:rPr>
        <w:t xml:space="preserve">consideração da </w:t>
      </w:r>
      <w:r>
        <w:rPr>
          <w:rFonts w:ascii="Times New Roman" w:hAnsi="Times New Roman" w:cs="Times New Roman"/>
          <w:b/>
        </w:rPr>
        <w:t>desoneração da folha de pagamento</w:t>
      </w:r>
    </w:p>
    <w:p w14:paraId="20A8EB36" w14:textId="399A2CF7" w:rsidR="00F2459F" w:rsidRDefault="00F2459F" w:rsidP="004A4C4A">
      <w:pPr>
        <w:spacing w:after="0" w:line="360" w:lineRule="auto"/>
        <w:jc w:val="both"/>
        <w:rPr>
          <w:rFonts w:ascii="Times New Roman" w:hAnsi="Times New Roman" w:cs="Times New Roman"/>
          <w:b/>
        </w:rPr>
      </w:pPr>
      <w:r>
        <w:rPr>
          <w:rFonts w:ascii="Times New Roman" w:hAnsi="Times New Roman" w:cs="Times New Roman"/>
          <w:b/>
        </w:rPr>
        <w:tab/>
      </w:r>
    </w:p>
    <w:p w14:paraId="6ABBD525" w14:textId="612C8EFC" w:rsidR="00F2459F" w:rsidRDefault="00F2459F" w:rsidP="004A4C4A">
      <w:pPr>
        <w:spacing w:after="0" w:line="360" w:lineRule="auto"/>
        <w:jc w:val="both"/>
        <w:rPr>
          <w:rFonts w:ascii="Times New Roman" w:hAnsi="Times New Roman" w:cs="Times New Roman"/>
          <w:bCs/>
        </w:rPr>
      </w:pPr>
      <w:r>
        <w:rPr>
          <w:rFonts w:ascii="Times New Roman" w:hAnsi="Times New Roman" w:cs="Times New Roman"/>
          <w:b/>
        </w:rPr>
        <w:tab/>
      </w:r>
      <w:r w:rsidRPr="00D94564">
        <w:rPr>
          <w:rFonts w:ascii="Times New Roman" w:hAnsi="Times New Roman" w:cs="Times New Roman"/>
          <w:bCs/>
        </w:rPr>
        <w:t xml:space="preserve">Infere a CAPGEMINI que a META teria descumprido as disposições </w:t>
      </w:r>
      <w:proofErr w:type="spellStart"/>
      <w:r w:rsidRPr="00D94564">
        <w:rPr>
          <w:rFonts w:ascii="Times New Roman" w:hAnsi="Times New Roman" w:cs="Times New Roman"/>
          <w:bCs/>
        </w:rPr>
        <w:t>editalícias</w:t>
      </w:r>
      <w:proofErr w:type="spellEnd"/>
      <w:r w:rsidRPr="00D94564">
        <w:rPr>
          <w:rFonts w:ascii="Times New Roman" w:hAnsi="Times New Roman" w:cs="Times New Roman"/>
          <w:bCs/>
        </w:rPr>
        <w:t xml:space="preserve"> ao apresentar sua Planilha de Análise de Exequibilidade considerando o benefício da desoneração da folha de pagamento, e que, sem o benefício em questão, os valores praticados pela META passariam de</w:t>
      </w:r>
      <w:r w:rsidR="00D94564" w:rsidRPr="00D94564">
        <w:rPr>
          <w:rFonts w:ascii="Times New Roman" w:hAnsi="Times New Roman" w:cs="Times New Roman"/>
          <w:bCs/>
        </w:rPr>
        <w:t xml:space="preserve"> R$ 730,30</w:t>
      </w:r>
      <w:r w:rsidR="004864CC">
        <w:rPr>
          <w:rFonts w:ascii="Times New Roman" w:hAnsi="Times New Roman" w:cs="Times New Roman"/>
          <w:bCs/>
        </w:rPr>
        <w:t xml:space="preserve"> (setecentos e trinta reais e trinta centavos)</w:t>
      </w:r>
      <w:r w:rsidRPr="00D94564">
        <w:rPr>
          <w:rFonts w:ascii="Times New Roman" w:hAnsi="Times New Roman" w:cs="Times New Roman"/>
          <w:bCs/>
        </w:rPr>
        <w:t xml:space="preserve"> a R$ 793,32</w:t>
      </w:r>
      <w:r w:rsidR="004864CC">
        <w:rPr>
          <w:rFonts w:ascii="Times New Roman" w:hAnsi="Times New Roman" w:cs="Times New Roman"/>
          <w:bCs/>
        </w:rPr>
        <w:t xml:space="preserve"> (setecentos e noventa e três reais e trinta e dois centavos)</w:t>
      </w:r>
      <w:r w:rsidRPr="00D94564">
        <w:rPr>
          <w:rFonts w:ascii="Times New Roman" w:hAnsi="Times New Roman" w:cs="Times New Roman"/>
          <w:bCs/>
        </w:rPr>
        <w:t xml:space="preserve"> no Ponto de Função e </w:t>
      </w:r>
      <w:r w:rsidR="00D94564" w:rsidRPr="00D94564">
        <w:rPr>
          <w:rFonts w:ascii="Times New Roman" w:hAnsi="Times New Roman" w:cs="Times New Roman"/>
          <w:bCs/>
        </w:rPr>
        <w:t>de R$ 67,00</w:t>
      </w:r>
      <w:r w:rsidR="004864CC">
        <w:rPr>
          <w:rFonts w:ascii="Times New Roman" w:hAnsi="Times New Roman" w:cs="Times New Roman"/>
          <w:bCs/>
        </w:rPr>
        <w:t xml:space="preserve"> (sessenta e sete reais)</w:t>
      </w:r>
      <w:r w:rsidR="00D94564" w:rsidRPr="00D94564">
        <w:rPr>
          <w:rFonts w:ascii="Times New Roman" w:hAnsi="Times New Roman" w:cs="Times New Roman"/>
          <w:bCs/>
        </w:rPr>
        <w:t xml:space="preserve"> a </w:t>
      </w:r>
      <w:r w:rsidRPr="00D94564">
        <w:rPr>
          <w:rFonts w:ascii="Times New Roman" w:hAnsi="Times New Roman" w:cs="Times New Roman"/>
          <w:bCs/>
        </w:rPr>
        <w:t>R$ 79,33</w:t>
      </w:r>
      <w:r w:rsidR="004864CC">
        <w:rPr>
          <w:rFonts w:ascii="Times New Roman" w:hAnsi="Times New Roman" w:cs="Times New Roman"/>
          <w:bCs/>
        </w:rPr>
        <w:t xml:space="preserve"> (setenta e nove reais e trinta e três centavos)</w:t>
      </w:r>
      <w:r w:rsidRPr="00D94564">
        <w:rPr>
          <w:rFonts w:ascii="Times New Roman" w:hAnsi="Times New Roman" w:cs="Times New Roman"/>
          <w:bCs/>
        </w:rPr>
        <w:t xml:space="preserve"> na UST, inferindo, ainda, que a META estaria realizando “manobras” em sua planilha para induzir ao Ilmo. Pregoeiro e sua equipe de apoio a erros no julgamento. </w:t>
      </w:r>
    </w:p>
    <w:p w14:paraId="20184464" w14:textId="7AA25D89" w:rsidR="00D94564" w:rsidRDefault="00D94564" w:rsidP="004A4C4A">
      <w:pPr>
        <w:spacing w:after="0" w:line="360" w:lineRule="auto"/>
        <w:jc w:val="both"/>
        <w:rPr>
          <w:rFonts w:ascii="Times New Roman" w:hAnsi="Times New Roman" w:cs="Times New Roman"/>
          <w:bCs/>
        </w:rPr>
      </w:pPr>
      <w:r>
        <w:rPr>
          <w:rFonts w:ascii="Times New Roman" w:hAnsi="Times New Roman" w:cs="Times New Roman"/>
          <w:bCs/>
        </w:rPr>
        <w:tab/>
        <w:t>Nesse particular, é importante que se tenha em vista algumas premissas extremamente relevantes: (a) o Edital</w:t>
      </w:r>
      <w:r w:rsidR="004864CC">
        <w:rPr>
          <w:rFonts w:ascii="Times New Roman" w:hAnsi="Times New Roman" w:cs="Times New Roman"/>
          <w:bCs/>
        </w:rPr>
        <w:t xml:space="preserve">, nem mesmo em </w:t>
      </w:r>
      <w:r>
        <w:rPr>
          <w:rFonts w:ascii="Times New Roman" w:hAnsi="Times New Roman" w:cs="Times New Roman"/>
          <w:bCs/>
        </w:rPr>
        <w:t>seus anexos, em nenhum momento determinou que os valores ofertados deveriam considerar a oneração da folha, ou mesmo que seria vedada a utilização da desoneração da folha de pagamento pelas empresas abrangidas pelo referido benefício; (b) ainda que houvessem disposições neste sentido, o Edital não tem o condão de afastar direitos e benefícios das licitantes oriundos de legislação válida e vigente ao tempo de sua publicação, como é o caso da desoneração da folha de pagamento</w:t>
      </w:r>
      <w:r w:rsidR="002E146B">
        <w:rPr>
          <w:rFonts w:ascii="Times New Roman" w:hAnsi="Times New Roman" w:cs="Times New Roman"/>
          <w:bCs/>
        </w:rPr>
        <w:t>. Disposições nesse sentido seriam invalidadas, porquanto ilícitas</w:t>
      </w:r>
      <w:r>
        <w:rPr>
          <w:rFonts w:ascii="Times New Roman" w:hAnsi="Times New Roman" w:cs="Times New Roman"/>
          <w:bCs/>
        </w:rPr>
        <w:t>; (c) as empresas devem considerar, na sua composição de custos, os encargos e tributos vigentes ao tempo da apresentação de suas propostas, sendo temário trabalhar-se com fatos futuros imprevisíveis e incertos; (d)</w:t>
      </w:r>
      <w:r w:rsidR="00A63983">
        <w:rPr>
          <w:rFonts w:ascii="Times New Roman" w:hAnsi="Times New Roman" w:cs="Times New Roman"/>
          <w:bCs/>
        </w:rPr>
        <w:t xml:space="preserve"> os esclarecimentos não se prestam a alterar ou introduzir disposições que não estejam expressamente contidas no Edital e em seus anexos, mas tão somente a esclarecer dúvidas acerca de disposições expressamente previstas. Havendo inovações nas regras </w:t>
      </w:r>
      <w:proofErr w:type="spellStart"/>
      <w:r w:rsidR="00A63983">
        <w:rPr>
          <w:rFonts w:ascii="Times New Roman" w:hAnsi="Times New Roman" w:cs="Times New Roman"/>
          <w:bCs/>
        </w:rPr>
        <w:t>editalícias</w:t>
      </w:r>
      <w:proofErr w:type="spellEnd"/>
      <w:r w:rsidR="00A63983">
        <w:rPr>
          <w:rFonts w:ascii="Times New Roman" w:hAnsi="Times New Roman" w:cs="Times New Roman"/>
          <w:bCs/>
        </w:rPr>
        <w:t xml:space="preserve"> em sede de esclarecimentos</w:t>
      </w:r>
      <w:r w:rsidR="002955D0">
        <w:rPr>
          <w:rFonts w:ascii="Times New Roman" w:hAnsi="Times New Roman" w:cs="Times New Roman"/>
          <w:bCs/>
        </w:rPr>
        <w:t xml:space="preserve"> modificativos</w:t>
      </w:r>
      <w:r w:rsidR="00A63983">
        <w:rPr>
          <w:rFonts w:ascii="Times New Roman" w:hAnsi="Times New Roman" w:cs="Times New Roman"/>
          <w:bCs/>
        </w:rPr>
        <w:t>, a republicação do Edital</w:t>
      </w:r>
      <w:r w:rsidR="002955D0">
        <w:rPr>
          <w:rFonts w:ascii="Times New Roman" w:hAnsi="Times New Roman" w:cs="Times New Roman"/>
          <w:bCs/>
        </w:rPr>
        <w:t xml:space="preserve"> e concessão de novo prazo para apresentação das propostas</w:t>
      </w:r>
      <w:r w:rsidR="00A63983">
        <w:rPr>
          <w:rFonts w:ascii="Times New Roman" w:hAnsi="Times New Roman" w:cs="Times New Roman"/>
          <w:bCs/>
        </w:rPr>
        <w:t xml:space="preserve"> </w:t>
      </w:r>
      <w:r w:rsidR="004864CC">
        <w:rPr>
          <w:rFonts w:ascii="Times New Roman" w:hAnsi="Times New Roman" w:cs="Times New Roman"/>
          <w:bCs/>
        </w:rPr>
        <w:t>seria</w:t>
      </w:r>
      <w:r w:rsidR="00A63983">
        <w:rPr>
          <w:rFonts w:ascii="Times New Roman" w:hAnsi="Times New Roman" w:cs="Times New Roman"/>
          <w:bCs/>
        </w:rPr>
        <w:t xml:space="preserve"> medida impositiva</w:t>
      </w:r>
      <w:r w:rsidR="004864CC">
        <w:rPr>
          <w:rFonts w:ascii="Times New Roman" w:hAnsi="Times New Roman" w:cs="Times New Roman"/>
          <w:bCs/>
        </w:rPr>
        <w:t>, nos termos do artigo 21, §4° da Lei 8.666/1993</w:t>
      </w:r>
      <w:r w:rsidR="00A63983">
        <w:rPr>
          <w:rFonts w:ascii="Times New Roman" w:hAnsi="Times New Roman" w:cs="Times New Roman"/>
          <w:bCs/>
        </w:rPr>
        <w:t>.</w:t>
      </w:r>
      <w:r w:rsidR="004864CC">
        <w:rPr>
          <w:rFonts w:ascii="Times New Roman" w:hAnsi="Times New Roman" w:cs="Times New Roman"/>
          <w:bCs/>
        </w:rPr>
        <w:t xml:space="preserve"> Ressalte-se que os esclarecimentos, como o próprio nome infere, prestam-se a ESCLARECER e não a </w:t>
      </w:r>
      <w:proofErr w:type="gramStart"/>
      <w:r w:rsidR="004864CC">
        <w:rPr>
          <w:rFonts w:ascii="Times New Roman" w:hAnsi="Times New Roman" w:cs="Times New Roman"/>
          <w:bCs/>
        </w:rPr>
        <w:t>CRIAR novas</w:t>
      </w:r>
      <w:proofErr w:type="gramEnd"/>
      <w:r w:rsidR="004864CC">
        <w:rPr>
          <w:rFonts w:ascii="Times New Roman" w:hAnsi="Times New Roman" w:cs="Times New Roman"/>
          <w:bCs/>
        </w:rPr>
        <w:t xml:space="preserve"> regras e exigências no âmbito do procedimento licitatório.</w:t>
      </w:r>
    </w:p>
    <w:p w14:paraId="1A868C0D" w14:textId="64A92FC2" w:rsidR="0072794A" w:rsidRDefault="004864CC" w:rsidP="004A4C4A">
      <w:pPr>
        <w:spacing w:after="0" w:line="360" w:lineRule="auto"/>
        <w:jc w:val="both"/>
        <w:rPr>
          <w:rFonts w:ascii="Times New Roman" w:hAnsi="Times New Roman" w:cs="Times New Roman"/>
          <w:bCs/>
        </w:rPr>
      </w:pPr>
      <w:r>
        <w:rPr>
          <w:rFonts w:ascii="Times New Roman" w:hAnsi="Times New Roman" w:cs="Times New Roman"/>
          <w:bCs/>
        </w:rPr>
        <w:tab/>
        <w:t xml:space="preserve">Imperioso </w:t>
      </w:r>
      <w:r w:rsidR="0072794A">
        <w:rPr>
          <w:rFonts w:ascii="Times New Roman" w:hAnsi="Times New Roman" w:cs="Times New Roman"/>
          <w:bCs/>
        </w:rPr>
        <w:t xml:space="preserve">destacar </w:t>
      </w:r>
      <w:r>
        <w:rPr>
          <w:rFonts w:ascii="Times New Roman" w:hAnsi="Times New Roman" w:cs="Times New Roman"/>
          <w:bCs/>
        </w:rPr>
        <w:t>que</w:t>
      </w:r>
      <w:r w:rsidR="0072794A">
        <w:rPr>
          <w:rFonts w:ascii="Times New Roman" w:hAnsi="Times New Roman" w:cs="Times New Roman"/>
          <w:bCs/>
        </w:rPr>
        <w:t xml:space="preserve"> muito embora </w:t>
      </w:r>
      <w:r>
        <w:rPr>
          <w:rFonts w:ascii="Times New Roman" w:hAnsi="Times New Roman" w:cs="Times New Roman"/>
          <w:bCs/>
        </w:rPr>
        <w:t xml:space="preserve">o Edital </w:t>
      </w:r>
      <w:r w:rsidR="0072794A">
        <w:rPr>
          <w:rFonts w:ascii="Times New Roman" w:hAnsi="Times New Roman" w:cs="Times New Roman"/>
          <w:bCs/>
        </w:rPr>
        <w:t xml:space="preserve">seja </w:t>
      </w:r>
      <w:r>
        <w:rPr>
          <w:rFonts w:ascii="Times New Roman" w:hAnsi="Times New Roman" w:cs="Times New Roman"/>
          <w:bCs/>
        </w:rPr>
        <w:t xml:space="preserve">a </w:t>
      </w:r>
      <w:r w:rsidR="0072794A">
        <w:rPr>
          <w:rFonts w:ascii="Times New Roman" w:hAnsi="Times New Roman" w:cs="Times New Roman"/>
          <w:bCs/>
        </w:rPr>
        <w:t>“</w:t>
      </w:r>
      <w:r>
        <w:rPr>
          <w:rFonts w:ascii="Times New Roman" w:hAnsi="Times New Roman" w:cs="Times New Roman"/>
          <w:bCs/>
        </w:rPr>
        <w:t>lei regente das licitações</w:t>
      </w:r>
      <w:r w:rsidR="0072794A">
        <w:rPr>
          <w:rFonts w:ascii="Times New Roman" w:hAnsi="Times New Roman" w:cs="Times New Roman"/>
          <w:bCs/>
        </w:rPr>
        <w:t>”</w:t>
      </w:r>
      <w:r>
        <w:rPr>
          <w:rFonts w:ascii="Times New Roman" w:hAnsi="Times New Roman" w:cs="Times New Roman"/>
          <w:bCs/>
        </w:rPr>
        <w:t xml:space="preserve">, não é facultado à Administração o afastamento ou inovação nas disposições legais vigentes, </w:t>
      </w:r>
      <w:r w:rsidR="0072794A">
        <w:rPr>
          <w:rFonts w:ascii="Times New Roman" w:hAnsi="Times New Roman" w:cs="Times New Roman"/>
          <w:bCs/>
        </w:rPr>
        <w:t xml:space="preserve">sejam aquelas </w:t>
      </w:r>
      <w:r>
        <w:rPr>
          <w:rFonts w:ascii="Times New Roman" w:hAnsi="Times New Roman" w:cs="Times New Roman"/>
          <w:bCs/>
        </w:rPr>
        <w:t>previstas na Lei 8.666/93</w:t>
      </w:r>
      <w:r w:rsidR="0072794A">
        <w:rPr>
          <w:rFonts w:ascii="Times New Roman" w:hAnsi="Times New Roman" w:cs="Times New Roman"/>
          <w:bCs/>
        </w:rPr>
        <w:t xml:space="preserve"> ou em outros diplomas legais, como a </w:t>
      </w:r>
      <w:r w:rsidR="00660C0C" w:rsidRPr="00660C0C">
        <w:rPr>
          <w:rFonts w:ascii="Times New Roman" w:hAnsi="Times New Roman" w:cs="Times New Roman"/>
          <w:bCs/>
        </w:rPr>
        <w:t>Lei 12.546/2011</w:t>
      </w:r>
      <w:r w:rsidR="00660C0C">
        <w:rPr>
          <w:rFonts w:ascii="Times New Roman" w:hAnsi="Times New Roman" w:cs="Times New Roman"/>
          <w:bCs/>
        </w:rPr>
        <w:t xml:space="preserve"> e </w:t>
      </w:r>
      <w:r w:rsidR="0072794A" w:rsidRPr="0072794A">
        <w:rPr>
          <w:rFonts w:ascii="Times New Roman" w:hAnsi="Times New Roman" w:cs="Times New Roman"/>
          <w:bCs/>
        </w:rPr>
        <w:t>Lei 13.670</w:t>
      </w:r>
      <w:r w:rsidR="00660C0C">
        <w:rPr>
          <w:rFonts w:ascii="Times New Roman" w:hAnsi="Times New Roman" w:cs="Times New Roman"/>
          <w:bCs/>
        </w:rPr>
        <w:t>/</w:t>
      </w:r>
      <w:r w:rsidR="0072794A" w:rsidRPr="0072794A">
        <w:rPr>
          <w:rFonts w:ascii="Times New Roman" w:hAnsi="Times New Roman" w:cs="Times New Roman"/>
          <w:bCs/>
        </w:rPr>
        <w:t>2018</w:t>
      </w:r>
      <w:r w:rsidR="0072794A">
        <w:rPr>
          <w:rFonts w:ascii="Times New Roman" w:hAnsi="Times New Roman" w:cs="Times New Roman"/>
          <w:bCs/>
        </w:rPr>
        <w:t>, cuja validade e vigência para além de 31/12/2020 ainda segue em acirradas discussões</w:t>
      </w:r>
      <w:r w:rsidR="0072794A">
        <w:rPr>
          <w:rStyle w:val="Refdenotaderodap"/>
          <w:rFonts w:ascii="Times New Roman" w:hAnsi="Times New Roman" w:cs="Times New Roman"/>
          <w:bCs/>
        </w:rPr>
        <w:footnoteReference w:id="2"/>
      </w:r>
      <w:r w:rsidR="00660C0C">
        <w:rPr>
          <w:rStyle w:val="Refdenotaderodap"/>
          <w:rFonts w:ascii="Times New Roman" w:hAnsi="Times New Roman" w:cs="Times New Roman"/>
          <w:bCs/>
        </w:rPr>
        <w:footnoteReference w:id="3"/>
      </w:r>
      <w:r w:rsidR="0072794A">
        <w:rPr>
          <w:rFonts w:ascii="Times New Roman" w:hAnsi="Times New Roman" w:cs="Times New Roman"/>
          <w:bCs/>
        </w:rPr>
        <w:t xml:space="preserve">. Isso não poderia ocorrer nem de forma expressa nos termos </w:t>
      </w:r>
      <w:proofErr w:type="spellStart"/>
      <w:r w:rsidR="0072794A">
        <w:rPr>
          <w:rFonts w:ascii="Times New Roman" w:hAnsi="Times New Roman" w:cs="Times New Roman"/>
          <w:bCs/>
        </w:rPr>
        <w:t>editalícios</w:t>
      </w:r>
      <w:proofErr w:type="spellEnd"/>
      <w:r w:rsidR="0072794A">
        <w:rPr>
          <w:rFonts w:ascii="Times New Roman" w:hAnsi="Times New Roman" w:cs="Times New Roman"/>
          <w:bCs/>
        </w:rPr>
        <w:t xml:space="preserve"> e menos ainda por meio de esclarecimentos, em razão do princípio da legalidade.</w:t>
      </w:r>
    </w:p>
    <w:p w14:paraId="499A127F" w14:textId="796875A3" w:rsidR="00F205E2" w:rsidRDefault="00F205E2" w:rsidP="004A4C4A">
      <w:pPr>
        <w:spacing w:after="0" w:line="360" w:lineRule="auto"/>
        <w:jc w:val="both"/>
        <w:rPr>
          <w:rFonts w:ascii="Times New Roman" w:hAnsi="Times New Roman" w:cs="Times New Roman"/>
          <w:bCs/>
        </w:rPr>
      </w:pPr>
      <w:r>
        <w:rPr>
          <w:rFonts w:ascii="Times New Roman" w:hAnsi="Times New Roman" w:cs="Times New Roman"/>
          <w:bCs/>
        </w:rPr>
        <w:tab/>
        <w:t xml:space="preserve">Nesse sentido, dispõe a </w:t>
      </w:r>
      <w:r w:rsidRPr="00F205E2">
        <w:rPr>
          <w:rFonts w:ascii="Times New Roman" w:hAnsi="Times New Roman" w:cs="Times New Roman"/>
          <w:bCs/>
        </w:rPr>
        <w:t>IN SEGES/MP N. 5, de 2017</w:t>
      </w:r>
      <w:r>
        <w:rPr>
          <w:rFonts w:ascii="Times New Roman" w:hAnsi="Times New Roman" w:cs="Times New Roman"/>
          <w:bCs/>
        </w:rPr>
        <w:t xml:space="preserve">, no item </w:t>
      </w:r>
      <w:r w:rsidRPr="00F205E2">
        <w:rPr>
          <w:rFonts w:ascii="Times New Roman" w:hAnsi="Times New Roman" w:cs="Times New Roman"/>
          <w:bCs/>
        </w:rPr>
        <w:t>7.11</w:t>
      </w:r>
      <w:r>
        <w:rPr>
          <w:rFonts w:ascii="Times New Roman" w:hAnsi="Times New Roman" w:cs="Times New Roman"/>
          <w:bCs/>
        </w:rPr>
        <w:t>, que “</w:t>
      </w:r>
      <w:r w:rsidRPr="00F205E2">
        <w:rPr>
          <w:rFonts w:ascii="Times New Roman" w:hAnsi="Times New Roman" w:cs="Times New Roman"/>
          <w:bCs/>
          <w:i/>
          <w:iCs/>
        </w:rPr>
        <w:t xml:space="preserve">é vedado ao órgão ou entidade contratante exercer ingerências na formação de preços privados por meio da proibição de inserção de custos ou exigência de custos mínimos que não estejam diretamente relacionados à exequibilidade dos serviços e materiais </w:t>
      </w:r>
      <w:r w:rsidRPr="000A400D">
        <w:rPr>
          <w:rFonts w:ascii="Times New Roman" w:hAnsi="Times New Roman" w:cs="Times New Roman"/>
          <w:b/>
          <w:i/>
          <w:iCs/>
          <w:u w:val="single"/>
        </w:rPr>
        <w:t>ou decorram de encargos legais</w:t>
      </w:r>
      <w:r>
        <w:rPr>
          <w:rFonts w:ascii="Times New Roman" w:hAnsi="Times New Roman" w:cs="Times New Roman"/>
          <w:bCs/>
        </w:rPr>
        <w:t>”</w:t>
      </w:r>
      <w:r w:rsidRPr="00F205E2">
        <w:rPr>
          <w:rFonts w:ascii="Times New Roman" w:hAnsi="Times New Roman" w:cs="Times New Roman"/>
          <w:bCs/>
        </w:rPr>
        <w:t>.</w:t>
      </w:r>
    </w:p>
    <w:p w14:paraId="67217F6B" w14:textId="100A363D" w:rsidR="00A63983" w:rsidRDefault="00A63983" w:rsidP="004A4C4A">
      <w:pPr>
        <w:spacing w:after="0" w:line="360" w:lineRule="auto"/>
        <w:jc w:val="both"/>
        <w:rPr>
          <w:rFonts w:ascii="Times New Roman" w:hAnsi="Times New Roman" w:cs="Times New Roman"/>
          <w:bCs/>
        </w:rPr>
      </w:pPr>
      <w:r>
        <w:rPr>
          <w:rFonts w:ascii="Times New Roman" w:hAnsi="Times New Roman" w:cs="Times New Roman"/>
          <w:bCs/>
        </w:rPr>
        <w:tab/>
      </w:r>
      <w:r w:rsidR="002E146B">
        <w:rPr>
          <w:rFonts w:ascii="Times New Roman" w:hAnsi="Times New Roman" w:cs="Times New Roman"/>
          <w:bCs/>
        </w:rPr>
        <w:t>Ora, não seria razoável impor às licitantes que considerassem em suas propostas todos os custos relacionados a eventos futuros e incertos, sem nenhum indicativo de concretização ou não. Fosse assim, deveriam ser considerados, além da oneração da folha em 20% (vinte por cento), todos os aspectos relativos à Reforma Tributária que vem sendo discutidos na atualidade, tais como</w:t>
      </w:r>
      <w:r w:rsidR="00E17D55">
        <w:rPr>
          <w:rFonts w:ascii="Times New Roman" w:hAnsi="Times New Roman" w:cs="Times New Roman"/>
          <w:bCs/>
        </w:rPr>
        <w:t>, apenas a título exemplificativo, a extinção do PIS/COFINS com a criação do CBS, que importará, para empresas do segmento de tecnologia da informação, um aumento d</w:t>
      </w:r>
      <w:r w:rsidR="00E17D55" w:rsidRPr="00E17D55">
        <w:rPr>
          <w:rFonts w:ascii="Times New Roman" w:hAnsi="Times New Roman" w:cs="Times New Roman"/>
          <w:bCs/>
        </w:rPr>
        <w:t>a tributação incidente sobre a venda nacional de serviços</w:t>
      </w:r>
      <w:r w:rsidR="00E17D55">
        <w:rPr>
          <w:rFonts w:ascii="Times New Roman" w:hAnsi="Times New Roman" w:cs="Times New Roman"/>
          <w:bCs/>
        </w:rPr>
        <w:t xml:space="preserve"> </w:t>
      </w:r>
      <w:r w:rsidR="00E17D55" w:rsidRPr="00E17D55">
        <w:rPr>
          <w:rFonts w:ascii="Times New Roman" w:hAnsi="Times New Roman" w:cs="Times New Roman"/>
          <w:bCs/>
        </w:rPr>
        <w:t>de 3,65% para 12% da alíquota sobre receita bruta</w:t>
      </w:r>
      <w:r w:rsidR="00E17D55">
        <w:rPr>
          <w:rStyle w:val="Refdenotaderodap"/>
          <w:rFonts w:ascii="Times New Roman" w:hAnsi="Times New Roman" w:cs="Times New Roman"/>
          <w:bCs/>
        </w:rPr>
        <w:footnoteReference w:id="4"/>
      </w:r>
      <w:r w:rsidR="00E17D55">
        <w:rPr>
          <w:rFonts w:ascii="Times New Roman" w:hAnsi="Times New Roman" w:cs="Times New Roman"/>
          <w:bCs/>
        </w:rPr>
        <w:t>.</w:t>
      </w:r>
    </w:p>
    <w:p w14:paraId="7CA79ED0" w14:textId="1D6D6E0B" w:rsidR="002E146B" w:rsidRDefault="002E146B" w:rsidP="004A4C4A">
      <w:pPr>
        <w:spacing w:after="0" w:line="360" w:lineRule="auto"/>
        <w:jc w:val="both"/>
        <w:rPr>
          <w:rFonts w:ascii="Times New Roman" w:hAnsi="Times New Roman" w:cs="Times New Roman"/>
          <w:bCs/>
        </w:rPr>
      </w:pPr>
      <w:r>
        <w:rPr>
          <w:rFonts w:ascii="Times New Roman" w:hAnsi="Times New Roman" w:cs="Times New Roman"/>
          <w:bCs/>
        </w:rPr>
        <w:tab/>
        <w:t xml:space="preserve">Não obstante, considerar na precificação fatos futuros e incertos não traria nenhum benefício ou garantia de real obtenção da proposta mais vantajosa à Administração, uma vez </w:t>
      </w:r>
      <w:r w:rsidR="00A52917">
        <w:rPr>
          <w:rFonts w:ascii="Times New Roman" w:hAnsi="Times New Roman" w:cs="Times New Roman"/>
          <w:bCs/>
        </w:rPr>
        <w:t>que importariam em acréscimo tributário expressivo, culminando com propostas e contratações significativamente mais onerosas</w:t>
      </w:r>
      <w:r w:rsidR="00E17D55">
        <w:rPr>
          <w:rFonts w:ascii="Times New Roman" w:hAnsi="Times New Roman" w:cs="Times New Roman"/>
          <w:bCs/>
        </w:rPr>
        <w:t>.</w:t>
      </w:r>
    </w:p>
    <w:p w14:paraId="350B5A34" w14:textId="572F89F0" w:rsidR="00A52917" w:rsidRDefault="00A52917" w:rsidP="004A4C4A">
      <w:pPr>
        <w:spacing w:after="0" w:line="360" w:lineRule="auto"/>
        <w:jc w:val="both"/>
        <w:rPr>
          <w:rFonts w:ascii="Times New Roman" w:hAnsi="Times New Roman" w:cs="Times New Roman"/>
          <w:bCs/>
        </w:rPr>
      </w:pPr>
      <w:r>
        <w:rPr>
          <w:rFonts w:ascii="Times New Roman" w:hAnsi="Times New Roman" w:cs="Times New Roman"/>
          <w:bCs/>
        </w:rPr>
        <w:tab/>
        <w:t>Ademais, considerando que, no mínimo, o benefício da desoneração da folha manter-se-á vigente até 31/12/2020, estar-se-ia assumindo que a Administração Pública estaria sendo conivente com prática de sobrepreço vedada pela legislação e pela jurisprudência, com a concessão de margem de lucro</w:t>
      </w:r>
      <w:r w:rsidR="001A1A1F">
        <w:rPr>
          <w:rFonts w:ascii="Times New Roman" w:hAnsi="Times New Roman" w:cs="Times New Roman"/>
          <w:bCs/>
        </w:rPr>
        <w:t xml:space="preserve"> exorbitante</w:t>
      </w:r>
      <w:r>
        <w:rPr>
          <w:rFonts w:ascii="Times New Roman" w:hAnsi="Times New Roman" w:cs="Times New Roman"/>
          <w:bCs/>
        </w:rPr>
        <w:t xml:space="preserve"> à contratada, pelo período de, no mínimo, 03 (três) meses. E caso, o que parece ser a tendência, a desoneração da folha se mantivesse por maior período, arcaria a Administração Pública com propostas necessariamente mais caras? Não parece ser este o entendimento ou caminho objetivado</w:t>
      </w:r>
      <w:r w:rsidR="00801D00">
        <w:rPr>
          <w:rFonts w:ascii="Times New Roman" w:hAnsi="Times New Roman" w:cs="Times New Roman"/>
          <w:bCs/>
        </w:rPr>
        <w:t xml:space="preserve"> pelo MJSP</w:t>
      </w:r>
      <w:r>
        <w:rPr>
          <w:rFonts w:ascii="Times New Roman" w:hAnsi="Times New Roman" w:cs="Times New Roman"/>
          <w:bCs/>
        </w:rPr>
        <w:t>.</w:t>
      </w:r>
    </w:p>
    <w:p w14:paraId="55CBA936" w14:textId="378577E1" w:rsidR="00660C0C" w:rsidRDefault="00660C0C" w:rsidP="004A4C4A">
      <w:pPr>
        <w:spacing w:after="0" w:line="360" w:lineRule="auto"/>
        <w:jc w:val="both"/>
        <w:rPr>
          <w:rFonts w:ascii="Times New Roman" w:hAnsi="Times New Roman" w:cs="Times New Roman"/>
          <w:bCs/>
        </w:rPr>
      </w:pPr>
      <w:r>
        <w:rPr>
          <w:rFonts w:ascii="Times New Roman" w:hAnsi="Times New Roman" w:cs="Times New Roman"/>
          <w:bCs/>
        </w:rPr>
        <w:tab/>
        <w:t xml:space="preserve">Note-se que, caso fosse essa a linha de entendimento, o MJSP, seguindo o disposto no esclarecimento mencionado pela CAPGEMINI, de que “a Planilha de Análise de Exequibilidade </w:t>
      </w:r>
      <w:r w:rsidRPr="00660C0C">
        <w:rPr>
          <w:rFonts w:ascii="Times New Roman" w:hAnsi="Times New Roman" w:cs="Times New Roman"/>
          <w:bCs/>
        </w:rPr>
        <w:t>não será usada para reequilíbrio do contrato</w:t>
      </w:r>
      <w:r>
        <w:rPr>
          <w:rFonts w:ascii="Times New Roman" w:hAnsi="Times New Roman" w:cs="Times New Roman"/>
          <w:bCs/>
        </w:rPr>
        <w:t xml:space="preserve">”, estaria assumindo contratações mais caras, sem possibilidade de pleitear o reequilíbrio da contratação, consoante determinações vigentes do TCU extensíveis a todos os órgãos da Administração Pública Federal com contratos ativos com fornecedores beneficiários da desoneração da folha de pagamento. A determinação é de que </w:t>
      </w:r>
      <w:r w:rsidR="000A400D">
        <w:rPr>
          <w:rFonts w:ascii="Times New Roman" w:hAnsi="Times New Roman" w:cs="Times New Roman"/>
          <w:bCs/>
        </w:rPr>
        <w:t>se busquem</w:t>
      </w:r>
      <w:r>
        <w:rPr>
          <w:rFonts w:ascii="Times New Roman" w:hAnsi="Times New Roman" w:cs="Times New Roman"/>
          <w:bCs/>
        </w:rPr>
        <w:t xml:space="preserve"> as devidas reduções nos valores contratados!</w:t>
      </w:r>
    </w:p>
    <w:p w14:paraId="6A3B0704" w14:textId="72FBE86E" w:rsidR="00801D00" w:rsidRDefault="00A52917" w:rsidP="004A4C4A">
      <w:pPr>
        <w:spacing w:after="0" w:line="360" w:lineRule="auto"/>
        <w:jc w:val="both"/>
        <w:rPr>
          <w:rFonts w:ascii="Times New Roman" w:hAnsi="Times New Roman" w:cs="Times New Roman"/>
          <w:bCs/>
        </w:rPr>
      </w:pPr>
      <w:r>
        <w:rPr>
          <w:rFonts w:ascii="Times New Roman" w:hAnsi="Times New Roman" w:cs="Times New Roman"/>
          <w:bCs/>
        </w:rPr>
        <w:tab/>
        <w:t xml:space="preserve">  </w:t>
      </w:r>
      <w:r w:rsidR="0074146C">
        <w:rPr>
          <w:rFonts w:ascii="Times New Roman" w:hAnsi="Times New Roman" w:cs="Times New Roman"/>
          <w:bCs/>
        </w:rPr>
        <w:t xml:space="preserve">Adicione ao quanto exposto que a própria Planilha de Análise de Exequibilidade </w:t>
      </w:r>
      <w:r w:rsidR="00801D00">
        <w:rPr>
          <w:rFonts w:ascii="Times New Roman" w:hAnsi="Times New Roman" w:cs="Times New Roman"/>
          <w:bCs/>
        </w:rPr>
        <w:t xml:space="preserve">(Anexo III do Edital) </w:t>
      </w:r>
      <w:r w:rsidR="0074146C">
        <w:rPr>
          <w:rFonts w:ascii="Times New Roman" w:hAnsi="Times New Roman" w:cs="Times New Roman"/>
          <w:bCs/>
        </w:rPr>
        <w:t>previu</w:t>
      </w:r>
      <w:r w:rsidR="00801D00">
        <w:rPr>
          <w:rFonts w:ascii="Times New Roman" w:hAnsi="Times New Roman" w:cs="Times New Roman"/>
          <w:bCs/>
        </w:rPr>
        <w:t xml:space="preserve"> o benefício da desoneração da folha de pagamento:</w:t>
      </w:r>
    </w:p>
    <w:p w14:paraId="4F2A9093" w14:textId="77777777" w:rsidR="000A400D" w:rsidRDefault="000A400D" w:rsidP="004A4C4A">
      <w:pPr>
        <w:spacing w:after="0" w:line="360" w:lineRule="auto"/>
        <w:jc w:val="both"/>
        <w:rPr>
          <w:rFonts w:ascii="Times New Roman" w:hAnsi="Times New Roman" w:cs="Times New Roman"/>
          <w:bCs/>
        </w:rPr>
      </w:pPr>
    </w:p>
    <w:p w14:paraId="27AF4575" w14:textId="1654D2E0" w:rsidR="00801D00" w:rsidRDefault="00801D00" w:rsidP="004A4C4A">
      <w:pPr>
        <w:spacing w:after="0" w:line="360" w:lineRule="auto"/>
        <w:jc w:val="both"/>
        <w:rPr>
          <w:rFonts w:ascii="Times New Roman" w:hAnsi="Times New Roman" w:cs="Times New Roman"/>
          <w:bCs/>
        </w:rPr>
      </w:pPr>
      <w:r>
        <w:rPr>
          <w:noProof/>
        </w:rPr>
        <w:drawing>
          <wp:inline distT="0" distB="0" distL="0" distR="0" wp14:anchorId="61361179" wp14:editId="1412A974">
            <wp:extent cx="5400040" cy="416560"/>
            <wp:effectExtent l="0" t="0" r="0" b="2540"/>
            <wp:docPr id="5" name="Image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400040" cy="416560"/>
                    </a:xfrm>
                    <a:prstGeom prst="rect">
                      <a:avLst/>
                    </a:prstGeom>
                  </pic:spPr>
                </pic:pic>
              </a:graphicData>
            </a:graphic>
          </wp:inline>
        </w:drawing>
      </w:r>
    </w:p>
    <w:p w14:paraId="28AF2B86" w14:textId="77777777" w:rsidR="000A400D" w:rsidRDefault="000A400D" w:rsidP="004A4C4A">
      <w:pPr>
        <w:spacing w:after="0" w:line="360" w:lineRule="auto"/>
        <w:jc w:val="both"/>
        <w:rPr>
          <w:rFonts w:ascii="Times New Roman" w:hAnsi="Times New Roman" w:cs="Times New Roman"/>
          <w:bCs/>
        </w:rPr>
      </w:pPr>
    </w:p>
    <w:p w14:paraId="38EAD91D" w14:textId="5587C5D5" w:rsidR="00A52917" w:rsidRDefault="0074146C" w:rsidP="004A4C4A">
      <w:pPr>
        <w:spacing w:after="0" w:line="360" w:lineRule="auto"/>
        <w:jc w:val="both"/>
        <w:rPr>
          <w:rFonts w:ascii="Times New Roman" w:hAnsi="Times New Roman" w:cs="Times New Roman"/>
          <w:bCs/>
        </w:rPr>
      </w:pPr>
      <w:r>
        <w:rPr>
          <w:rFonts w:ascii="Times New Roman" w:hAnsi="Times New Roman" w:cs="Times New Roman"/>
          <w:bCs/>
        </w:rPr>
        <w:t xml:space="preserve"> </w:t>
      </w:r>
      <w:r w:rsidR="00801D00">
        <w:rPr>
          <w:rFonts w:ascii="Times New Roman" w:hAnsi="Times New Roman" w:cs="Times New Roman"/>
          <w:bCs/>
        </w:rPr>
        <w:tab/>
        <w:t>Como a Planilha em questão era vinculativa, na condição de Anexo do Edital, e considerando que a tributação incidente ao tempo de elaboração e apresentação da proposta equivalia ao constante na planilha</w:t>
      </w:r>
      <w:r w:rsidR="00320582">
        <w:rPr>
          <w:rFonts w:ascii="Times New Roman" w:hAnsi="Times New Roman" w:cs="Times New Roman"/>
          <w:bCs/>
        </w:rPr>
        <w:t xml:space="preserve"> (cenário de desoneração)</w:t>
      </w:r>
      <w:r w:rsidR="00801D00">
        <w:rPr>
          <w:rFonts w:ascii="Times New Roman" w:hAnsi="Times New Roman" w:cs="Times New Roman"/>
          <w:bCs/>
        </w:rPr>
        <w:t>, a META, assim como outras licitantes, a exemplo da DATAINFO, e outras que certamente assim devem ter considerado</w:t>
      </w:r>
      <w:r w:rsidR="00320582">
        <w:rPr>
          <w:rFonts w:ascii="Times New Roman" w:hAnsi="Times New Roman" w:cs="Times New Roman"/>
          <w:bCs/>
        </w:rPr>
        <w:t xml:space="preserve"> (até mesmo a própria CAPGEMINI)</w:t>
      </w:r>
      <w:r w:rsidR="00801D00">
        <w:rPr>
          <w:rFonts w:ascii="Times New Roman" w:hAnsi="Times New Roman" w:cs="Times New Roman"/>
          <w:bCs/>
        </w:rPr>
        <w:t xml:space="preserve">, seguiram a legislação vigente e o modelo apresentado, isso em </w:t>
      </w:r>
      <w:r w:rsidR="008F039B">
        <w:rPr>
          <w:rFonts w:ascii="Times New Roman" w:hAnsi="Times New Roman" w:cs="Times New Roman"/>
          <w:bCs/>
        </w:rPr>
        <w:t>estrita observância</w:t>
      </w:r>
      <w:r w:rsidR="00801D00">
        <w:rPr>
          <w:rFonts w:ascii="Times New Roman" w:hAnsi="Times New Roman" w:cs="Times New Roman"/>
          <w:bCs/>
        </w:rPr>
        <w:t xml:space="preserve"> ao princípio d</w:t>
      </w:r>
      <w:r w:rsidR="00476573">
        <w:rPr>
          <w:rFonts w:ascii="Times New Roman" w:hAnsi="Times New Roman" w:cs="Times New Roman"/>
          <w:bCs/>
        </w:rPr>
        <w:t>a</w:t>
      </w:r>
      <w:r w:rsidR="00801D00">
        <w:rPr>
          <w:rFonts w:ascii="Times New Roman" w:hAnsi="Times New Roman" w:cs="Times New Roman"/>
          <w:bCs/>
        </w:rPr>
        <w:t xml:space="preserve"> vinculação ao instrumento convocatório</w:t>
      </w:r>
      <w:r w:rsidR="00A77509">
        <w:rPr>
          <w:rFonts w:ascii="Times New Roman" w:hAnsi="Times New Roman" w:cs="Times New Roman"/>
          <w:bCs/>
        </w:rPr>
        <w:t xml:space="preserve"> e em privilégio à isonomia entre as licitantes</w:t>
      </w:r>
      <w:r w:rsidR="00801D00">
        <w:rPr>
          <w:rFonts w:ascii="Times New Roman" w:hAnsi="Times New Roman" w:cs="Times New Roman"/>
          <w:bCs/>
        </w:rPr>
        <w:t>.</w:t>
      </w:r>
    </w:p>
    <w:p w14:paraId="32210CF5" w14:textId="2CF673FC" w:rsidR="00320582" w:rsidRDefault="003822A7" w:rsidP="004A4C4A">
      <w:pPr>
        <w:spacing w:after="0" w:line="360" w:lineRule="auto"/>
        <w:jc w:val="both"/>
        <w:rPr>
          <w:rFonts w:ascii="Times New Roman" w:hAnsi="Times New Roman" w:cs="Times New Roman"/>
          <w:bCs/>
        </w:rPr>
      </w:pPr>
      <w:r>
        <w:rPr>
          <w:rFonts w:ascii="Times New Roman" w:hAnsi="Times New Roman" w:cs="Times New Roman"/>
          <w:bCs/>
        </w:rPr>
        <w:tab/>
      </w:r>
      <w:r w:rsidR="008A19B5">
        <w:rPr>
          <w:rFonts w:ascii="Times New Roman" w:hAnsi="Times New Roman" w:cs="Times New Roman"/>
          <w:bCs/>
        </w:rPr>
        <w:t xml:space="preserve">Há de se destacar, ainda, que tanto é assim que a própria Lei 8.666/93, no artigo. 65, §5°, dispõe que </w:t>
      </w:r>
      <w:r w:rsidR="008A19B5" w:rsidRPr="008A19B5">
        <w:rPr>
          <w:rFonts w:ascii="Times New Roman" w:hAnsi="Times New Roman" w:cs="Times New Roman"/>
          <w:bCs/>
          <w:i/>
          <w:iCs/>
        </w:rPr>
        <w:t>“Quaisquer tributos ou encargos legais criados, alterados ou extintos, bem como a superveniência de disposições legais, quando ocorridas após a data da apresentação da proposta, de comprovada repercussão nos preços contratados, implicarão a revisão destes para mais ou para menos, conforme o caso”</w:t>
      </w:r>
      <w:r w:rsidR="00660C0C">
        <w:rPr>
          <w:rFonts w:ascii="Times New Roman" w:hAnsi="Times New Roman" w:cs="Times New Roman"/>
          <w:bCs/>
        </w:rPr>
        <w:t>, de modo a apresentar alternativas para a manutenção do equilíbrio contratual sem necessidade de se computarem no cálculo do preço fatos futuros e incertos.</w:t>
      </w:r>
    </w:p>
    <w:p w14:paraId="514E9628" w14:textId="11CE2CD6" w:rsidR="002955D0" w:rsidRDefault="002955D0" w:rsidP="004A4C4A">
      <w:pPr>
        <w:spacing w:after="0" w:line="360" w:lineRule="auto"/>
        <w:jc w:val="both"/>
        <w:rPr>
          <w:rFonts w:ascii="Times New Roman" w:hAnsi="Times New Roman" w:cs="Times New Roman"/>
          <w:bCs/>
        </w:rPr>
      </w:pPr>
      <w:r>
        <w:rPr>
          <w:rFonts w:ascii="Times New Roman" w:hAnsi="Times New Roman" w:cs="Times New Roman"/>
          <w:bCs/>
        </w:rPr>
        <w:tab/>
        <w:t>Visando corroborar o entendimento, colaciona-se excerto do entendimento do Tribunal de Contas da União acerca do tema:</w:t>
      </w:r>
    </w:p>
    <w:p w14:paraId="2D9AC8DD" w14:textId="261885D4" w:rsidR="002955D0" w:rsidRDefault="002955D0" w:rsidP="004A4C4A">
      <w:pPr>
        <w:spacing w:after="0" w:line="360" w:lineRule="auto"/>
        <w:jc w:val="both"/>
        <w:rPr>
          <w:rFonts w:ascii="Times New Roman" w:hAnsi="Times New Roman" w:cs="Times New Roman"/>
          <w:bCs/>
        </w:rPr>
      </w:pPr>
    </w:p>
    <w:p w14:paraId="120B7F51" w14:textId="77777777" w:rsidR="00E47535" w:rsidRPr="00E47535" w:rsidRDefault="002955D0" w:rsidP="00E47535">
      <w:pPr>
        <w:spacing w:after="0" w:line="240" w:lineRule="auto"/>
        <w:ind w:left="2268"/>
        <w:jc w:val="both"/>
        <w:rPr>
          <w:rFonts w:ascii="Times New Roman" w:hAnsi="Times New Roman" w:cs="Times New Roman"/>
          <w:bCs/>
          <w:sz w:val="20"/>
          <w:szCs w:val="20"/>
        </w:rPr>
      </w:pPr>
      <w:r w:rsidRPr="00E47535">
        <w:rPr>
          <w:rFonts w:ascii="Times New Roman" w:hAnsi="Times New Roman" w:cs="Times New Roman"/>
          <w:bCs/>
          <w:sz w:val="20"/>
          <w:szCs w:val="20"/>
        </w:rPr>
        <w:t>Os contratos de prestação de serviços celebrados com empresas beneficiadas pela Lei 12.546/2011 devem considerar, em seus orçamentos, a desoneração da folha de pagamento decorrente da mudança da base de cálculo para a contribuição previdenciária instituída pela lei, sendo passível de ressarcimento a fixação de preços que a desconsidere. (Acórdão 2859/2013-Plenário | Relator: JOSÉ MUCIO MONTEIRO</w:t>
      </w:r>
      <w:r w:rsidR="00E47535" w:rsidRPr="00E47535">
        <w:rPr>
          <w:rFonts w:ascii="Times New Roman" w:hAnsi="Times New Roman" w:cs="Times New Roman"/>
          <w:bCs/>
          <w:sz w:val="20"/>
          <w:szCs w:val="20"/>
        </w:rPr>
        <w:t xml:space="preserve"> / </w:t>
      </w:r>
      <w:r w:rsidRPr="00E47535">
        <w:rPr>
          <w:rFonts w:ascii="Times New Roman" w:hAnsi="Times New Roman" w:cs="Times New Roman"/>
          <w:bCs/>
          <w:sz w:val="20"/>
          <w:szCs w:val="20"/>
        </w:rPr>
        <w:t>ÁREA: Contrato Administrativo | TEMA: Equilíbrio econômico-financeiro | SUBTEMA: Encargos sociais</w:t>
      </w:r>
      <w:r w:rsidR="00E47535" w:rsidRPr="00E47535">
        <w:rPr>
          <w:rFonts w:ascii="Times New Roman" w:hAnsi="Times New Roman" w:cs="Times New Roman"/>
          <w:bCs/>
          <w:sz w:val="20"/>
          <w:szCs w:val="20"/>
        </w:rPr>
        <w:t xml:space="preserve"> / </w:t>
      </w:r>
      <w:r w:rsidRPr="00E47535">
        <w:rPr>
          <w:rFonts w:ascii="Times New Roman" w:hAnsi="Times New Roman" w:cs="Times New Roman"/>
          <w:bCs/>
          <w:sz w:val="20"/>
          <w:szCs w:val="20"/>
        </w:rPr>
        <w:t>Outros indexadores: Desoneração</w:t>
      </w:r>
      <w:r w:rsidR="00E47535" w:rsidRPr="00E47535">
        <w:rPr>
          <w:rFonts w:ascii="Times New Roman" w:hAnsi="Times New Roman" w:cs="Times New Roman"/>
          <w:bCs/>
          <w:sz w:val="20"/>
          <w:szCs w:val="20"/>
        </w:rPr>
        <w:t xml:space="preserve">. </w:t>
      </w:r>
      <w:r w:rsidRPr="00E47535">
        <w:rPr>
          <w:rFonts w:ascii="Times New Roman" w:hAnsi="Times New Roman" w:cs="Times New Roman"/>
          <w:bCs/>
          <w:sz w:val="20"/>
          <w:szCs w:val="20"/>
        </w:rPr>
        <w:t>Publicado:</w:t>
      </w:r>
      <w:r w:rsidR="00E47535" w:rsidRPr="00E47535">
        <w:rPr>
          <w:rFonts w:ascii="Times New Roman" w:hAnsi="Times New Roman" w:cs="Times New Roman"/>
          <w:bCs/>
          <w:sz w:val="20"/>
          <w:szCs w:val="20"/>
        </w:rPr>
        <w:t xml:space="preserve"> </w:t>
      </w:r>
      <w:r w:rsidRPr="00E47535">
        <w:rPr>
          <w:rFonts w:ascii="Times New Roman" w:hAnsi="Times New Roman" w:cs="Times New Roman"/>
          <w:bCs/>
          <w:sz w:val="20"/>
          <w:szCs w:val="20"/>
        </w:rPr>
        <w:t>Informativo de Licitações e Contratos nº 174</w:t>
      </w:r>
      <w:r w:rsidR="00E47535" w:rsidRPr="00E47535">
        <w:rPr>
          <w:rFonts w:ascii="Times New Roman" w:hAnsi="Times New Roman" w:cs="Times New Roman"/>
          <w:bCs/>
          <w:sz w:val="20"/>
          <w:szCs w:val="20"/>
        </w:rPr>
        <w:t>. B</w:t>
      </w:r>
      <w:r w:rsidRPr="00E47535">
        <w:rPr>
          <w:rFonts w:ascii="Times New Roman" w:hAnsi="Times New Roman" w:cs="Times New Roman"/>
          <w:bCs/>
          <w:sz w:val="20"/>
          <w:szCs w:val="20"/>
        </w:rPr>
        <w:t>oletim de Jurisprudência nº 14 de 04/11/2013</w:t>
      </w:r>
      <w:r w:rsidR="00E47535" w:rsidRPr="00E47535">
        <w:rPr>
          <w:rFonts w:ascii="Times New Roman" w:hAnsi="Times New Roman" w:cs="Times New Roman"/>
          <w:bCs/>
          <w:sz w:val="20"/>
          <w:szCs w:val="20"/>
        </w:rPr>
        <w:t>)</w:t>
      </w:r>
    </w:p>
    <w:p w14:paraId="0F6BFA6F" w14:textId="77777777" w:rsidR="00E47535" w:rsidRPr="00E47535" w:rsidRDefault="00E47535" w:rsidP="00E47535">
      <w:pPr>
        <w:spacing w:after="0" w:line="240" w:lineRule="auto"/>
        <w:ind w:left="2268"/>
        <w:jc w:val="both"/>
        <w:rPr>
          <w:rFonts w:ascii="Times New Roman" w:hAnsi="Times New Roman" w:cs="Times New Roman"/>
          <w:bCs/>
          <w:sz w:val="20"/>
          <w:szCs w:val="20"/>
        </w:rPr>
      </w:pPr>
    </w:p>
    <w:p w14:paraId="36AAC6A9" w14:textId="2A13260F" w:rsidR="00E47535" w:rsidRPr="00B9092A" w:rsidRDefault="00E47535" w:rsidP="00E47535">
      <w:pPr>
        <w:spacing w:after="0" w:line="240" w:lineRule="auto"/>
        <w:ind w:left="2268"/>
        <w:jc w:val="both"/>
        <w:rPr>
          <w:rFonts w:ascii="Times New Roman" w:hAnsi="Times New Roman" w:cs="Times New Roman"/>
          <w:bCs/>
          <w:sz w:val="20"/>
          <w:szCs w:val="20"/>
        </w:rPr>
      </w:pPr>
      <w:r w:rsidRPr="00B9092A">
        <w:rPr>
          <w:rFonts w:ascii="Times New Roman" w:hAnsi="Times New Roman" w:cs="Times New Roman"/>
          <w:bCs/>
          <w:sz w:val="20"/>
          <w:szCs w:val="20"/>
        </w:rPr>
        <w:t xml:space="preserve">Os órgãos e as entidades da Administração Pública Federal devem adotar as medidas necessárias à revisão dos contratos de prestação de serviços ainda vigentes, firmados com empresas beneficiadas pela </w:t>
      </w:r>
      <w:r w:rsidRPr="00B9092A">
        <w:rPr>
          <w:rFonts w:ascii="Times New Roman" w:hAnsi="Times New Roman" w:cs="Times New Roman"/>
          <w:bCs/>
          <w:i/>
          <w:iCs/>
        </w:rPr>
        <w:t>desoneração</w:t>
      </w:r>
      <w:r w:rsidRPr="00B9092A">
        <w:rPr>
          <w:rFonts w:ascii="Times New Roman" w:hAnsi="Times New Roman" w:cs="Times New Roman"/>
          <w:bCs/>
          <w:sz w:val="20"/>
          <w:szCs w:val="20"/>
        </w:rPr>
        <w:t xml:space="preserve"> da </w:t>
      </w:r>
      <w:r w:rsidRPr="00B9092A">
        <w:rPr>
          <w:rFonts w:ascii="Times New Roman" w:hAnsi="Times New Roman" w:cs="Times New Roman"/>
          <w:bCs/>
          <w:i/>
          <w:iCs/>
        </w:rPr>
        <w:t>folha</w:t>
      </w:r>
      <w:r w:rsidRPr="00B9092A">
        <w:rPr>
          <w:rFonts w:ascii="Times New Roman" w:hAnsi="Times New Roman" w:cs="Times New Roman"/>
          <w:bCs/>
          <w:sz w:val="20"/>
          <w:szCs w:val="20"/>
        </w:rPr>
        <w:t xml:space="preserve"> de </w:t>
      </w:r>
      <w:r w:rsidRPr="00B9092A">
        <w:rPr>
          <w:rFonts w:ascii="Times New Roman" w:hAnsi="Times New Roman" w:cs="Times New Roman"/>
          <w:bCs/>
          <w:i/>
          <w:iCs/>
        </w:rPr>
        <w:t>pagamento</w:t>
      </w:r>
      <w:r w:rsidRPr="00B9092A">
        <w:rPr>
          <w:rFonts w:ascii="Times New Roman" w:hAnsi="Times New Roman" w:cs="Times New Roman"/>
          <w:bCs/>
          <w:sz w:val="20"/>
          <w:szCs w:val="20"/>
        </w:rPr>
        <w:t xml:space="preserve"> propiciada pelo art. 7º da Lei 12.546/2011 e pelo art. 2º do Decreto 7.828/2012, atentando para os efeitos retroativos às datas de início da </w:t>
      </w:r>
      <w:r w:rsidRPr="00B9092A">
        <w:rPr>
          <w:rFonts w:ascii="Times New Roman" w:hAnsi="Times New Roman" w:cs="Times New Roman"/>
          <w:bCs/>
          <w:i/>
          <w:iCs/>
        </w:rPr>
        <w:t>desoneração</w:t>
      </w:r>
      <w:r w:rsidRPr="00B9092A">
        <w:rPr>
          <w:rFonts w:ascii="Times New Roman" w:hAnsi="Times New Roman" w:cs="Times New Roman"/>
          <w:bCs/>
          <w:sz w:val="20"/>
          <w:szCs w:val="20"/>
        </w:rPr>
        <w:t xml:space="preserve"> mencionadas na legislação, bem como à obtenção, na via administrativa, do ressarcimento dos valores pagos a maior em relação aos contratos de prestação de serviços já encerrados, celebrados com empresas beneficiadas pela aludida </w:t>
      </w:r>
      <w:r w:rsidRPr="00B9092A">
        <w:rPr>
          <w:rFonts w:ascii="Times New Roman" w:hAnsi="Times New Roman" w:cs="Times New Roman"/>
          <w:bCs/>
          <w:i/>
          <w:iCs/>
        </w:rPr>
        <w:t>desoneração. (</w:t>
      </w:r>
      <w:r w:rsidRPr="00B9092A">
        <w:rPr>
          <w:rFonts w:ascii="Times New Roman" w:hAnsi="Times New Roman" w:cs="Times New Roman"/>
          <w:bCs/>
          <w:sz w:val="20"/>
          <w:szCs w:val="20"/>
        </w:rPr>
        <w:t xml:space="preserve">Acórdão 671/2018-Plenário | Relator: AROLDO CEDRAZ / ÁREA: Contrato Administrativo | TEMA: Equilíbrio econômico-financeiro | SUBTEMA: Encargos sociais / Outros indexadores: </w:t>
      </w:r>
      <w:r w:rsidRPr="00B9092A">
        <w:rPr>
          <w:rFonts w:ascii="Times New Roman" w:hAnsi="Times New Roman" w:cs="Times New Roman"/>
          <w:bCs/>
          <w:i/>
          <w:iCs/>
        </w:rPr>
        <w:t>Desoneração</w:t>
      </w:r>
      <w:r w:rsidRPr="00B9092A">
        <w:rPr>
          <w:rFonts w:ascii="Times New Roman" w:hAnsi="Times New Roman" w:cs="Times New Roman"/>
          <w:bCs/>
          <w:sz w:val="20"/>
          <w:szCs w:val="20"/>
        </w:rPr>
        <w:t xml:space="preserve">, Revisão contratual. Publicado: </w:t>
      </w:r>
      <w:hyperlink r:id="rId11" w:history="1">
        <w:r w:rsidRPr="00B9092A">
          <w:rPr>
            <w:rFonts w:ascii="Times New Roman" w:hAnsi="Times New Roman" w:cs="Times New Roman"/>
            <w:bCs/>
          </w:rPr>
          <w:t>Informativo de Licitações e Contratos nº 342 de 17/04/2018</w:t>
        </w:r>
      </w:hyperlink>
      <w:r w:rsidRPr="00B9092A">
        <w:rPr>
          <w:rFonts w:ascii="Times New Roman" w:hAnsi="Times New Roman" w:cs="Times New Roman"/>
          <w:bCs/>
          <w:sz w:val="20"/>
          <w:szCs w:val="20"/>
        </w:rPr>
        <w:t xml:space="preserve">/ </w:t>
      </w:r>
      <w:hyperlink r:id="rId12" w:history="1">
        <w:r w:rsidRPr="00B9092A">
          <w:rPr>
            <w:rFonts w:ascii="Times New Roman" w:hAnsi="Times New Roman" w:cs="Times New Roman"/>
            <w:bCs/>
          </w:rPr>
          <w:t>Boletim de Jurisprudência nº 212 de 16/04/2018</w:t>
        </w:r>
      </w:hyperlink>
      <w:r w:rsidRPr="00B9092A">
        <w:rPr>
          <w:rFonts w:ascii="Times New Roman" w:hAnsi="Times New Roman" w:cs="Times New Roman"/>
          <w:bCs/>
          <w:sz w:val="20"/>
          <w:szCs w:val="20"/>
        </w:rPr>
        <w:t>)</w:t>
      </w:r>
    </w:p>
    <w:p w14:paraId="3BA7DE73" w14:textId="60465531" w:rsidR="00E47535" w:rsidRPr="00B9092A" w:rsidRDefault="00660C0C" w:rsidP="00E47535">
      <w:pPr>
        <w:spacing w:after="0" w:line="360" w:lineRule="auto"/>
        <w:jc w:val="both"/>
        <w:rPr>
          <w:rFonts w:ascii="Times New Roman" w:hAnsi="Times New Roman" w:cs="Times New Roman"/>
          <w:bCs/>
          <w:sz w:val="20"/>
          <w:szCs w:val="20"/>
        </w:rPr>
      </w:pPr>
      <w:r w:rsidRPr="00B9092A">
        <w:rPr>
          <w:rFonts w:ascii="Times New Roman" w:hAnsi="Times New Roman" w:cs="Times New Roman"/>
          <w:bCs/>
          <w:sz w:val="20"/>
          <w:szCs w:val="20"/>
        </w:rPr>
        <w:tab/>
      </w:r>
    </w:p>
    <w:p w14:paraId="1AD681E1" w14:textId="77777777" w:rsidR="00307372" w:rsidRDefault="00660C0C" w:rsidP="00E47535">
      <w:pPr>
        <w:spacing w:after="0" w:line="360" w:lineRule="auto"/>
        <w:jc w:val="both"/>
        <w:rPr>
          <w:rFonts w:ascii="Times New Roman" w:hAnsi="Times New Roman" w:cs="Times New Roman"/>
          <w:bCs/>
        </w:rPr>
      </w:pPr>
      <w:r>
        <w:tab/>
      </w:r>
      <w:r>
        <w:rPr>
          <w:rFonts w:ascii="Times New Roman" w:hAnsi="Times New Roman" w:cs="Times New Roman"/>
          <w:bCs/>
        </w:rPr>
        <w:t xml:space="preserve">Com base no quanto exposto, entende-se que a regra </w:t>
      </w:r>
      <w:proofErr w:type="spellStart"/>
      <w:r>
        <w:rPr>
          <w:rFonts w:ascii="Times New Roman" w:hAnsi="Times New Roman" w:cs="Times New Roman"/>
          <w:bCs/>
        </w:rPr>
        <w:t>editalícia</w:t>
      </w:r>
      <w:proofErr w:type="spellEnd"/>
      <w:r>
        <w:rPr>
          <w:rFonts w:ascii="Times New Roman" w:hAnsi="Times New Roman" w:cs="Times New Roman"/>
          <w:bCs/>
        </w:rPr>
        <w:t xml:space="preserve"> em nenhum momento vedou considerar-se o benefício da desoneração da folha de pagamento</w:t>
      </w:r>
      <w:r w:rsidR="00206E59">
        <w:rPr>
          <w:rFonts w:ascii="Times New Roman" w:hAnsi="Times New Roman" w:cs="Times New Roman"/>
          <w:bCs/>
        </w:rPr>
        <w:t xml:space="preserve">, não tendo a META descumprido o Edital neste particular. </w:t>
      </w:r>
    </w:p>
    <w:p w14:paraId="053F1F88" w14:textId="697D8867" w:rsidR="00660C0C" w:rsidRDefault="00206E59" w:rsidP="00307372">
      <w:pPr>
        <w:spacing w:after="0" w:line="360" w:lineRule="auto"/>
        <w:ind w:firstLine="708"/>
        <w:jc w:val="both"/>
      </w:pPr>
      <w:r>
        <w:rPr>
          <w:rFonts w:ascii="Times New Roman" w:hAnsi="Times New Roman" w:cs="Times New Roman"/>
          <w:bCs/>
        </w:rPr>
        <w:t xml:space="preserve">Se </w:t>
      </w:r>
      <w:r w:rsidR="00657603">
        <w:rPr>
          <w:rFonts w:ascii="Times New Roman" w:hAnsi="Times New Roman" w:cs="Times New Roman"/>
          <w:bCs/>
        </w:rPr>
        <w:t xml:space="preserve">o MJSP </w:t>
      </w:r>
      <w:r>
        <w:rPr>
          <w:rFonts w:ascii="Times New Roman" w:hAnsi="Times New Roman" w:cs="Times New Roman"/>
          <w:bCs/>
        </w:rPr>
        <w:t xml:space="preserve">fez alguma restrição nesse sentido, o fez </w:t>
      </w:r>
      <w:r w:rsidR="00723666">
        <w:rPr>
          <w:rFonts w:ascii="Times New Roman" w:hAnsi="Times New Roman" w:cs="Times New Roman"/>
          <w:bCs/>
        </w:rPr>
        <w:t xml:space="preserve">apenas </w:t>
      </w:r>
      <w:r w:rsidR="00315083">
        <w:rPr>
          <w:rFonts w:ascii="Times New Roman" w:hAnsi="Times New Roman" w:cs="Times New Roman"/>
          <w:bCs/>
        </w:rPr>
        <w:t xml:space="preserve">em sede de esclarecimentos, </w:t>
      </w:r>
      <w:r w:rsidR="00CA4C34">
        <w:rPr>
          <w:rFonts w:ascii="Times New Roman" w:hAnsi="Times New Roman" w:cs="Times New Roman"/>
          <w:bCs/>
        </w:rPr>
        <w:t>os quais contradisseram as disposições da</w:t>
      </w:r>
      <w:r w:rsidR="00723666">
        <w:rPr>
          <w:rFonts w:ascii="Times New Roman" w:hAnsi="Times New Roman" w:cs="Times New Roman"/>
          <w:bCs/>
        </w:rPr>
        <w:t xml:space="preserve"> </w:t>
      </w:r>
      <w:r>
        <w:rPr>
          <w:rFonts w:ascii="Times New Roman" w:hAnsi="Times New Roman" w:cs="Times New Roman"/>
          <w:bCs/>
        </w:rPr>
        <w:t>Planilha de Análise de Exequibilidade</w:t>
      </w:r>
      <w:r w:rsidR="00CA44B4">
        <w:rPr>
          <w:rFonts w:ascii="Times New Roman" w:hAnsi="Times New Roman" w:cs="Times New Roman"/>
          <w:bCs/>
        </w:rPr>
        <w:t>, que s</w:t>
      </w:r>
      <w:r w:rsidR="00945D87">
        <w:rPr>
          <w:rFonts w:ascii="Times New Roman" w:hAnsi="Times New Roman" w:cs="Times New Roman"/>
          <w:bCs/>
        </w:rPr>
        <w:t>obre aqueles deveriam prevalecer</w:t>
      </w:r>
      <w:r w:rsidR="00315083">
        <w:rPr>
          <w:rFonts w:ascii="Times New Roman" w:hAnsi="Times New Roman" w:cs="Times New Roman"/>
          <w:bCs/>
        </w:rPr>
        <w:t>.</w:t>
      </w:r>
      <w:r w:rsidR="00584347">
        <w:rPr>
          <w:rFonts w:ascii="Times New Roman" w:hAnsi="Times New Roman" w:cs="Times New Roman"/>
          <w:bCs/>
        </w:rPr>
        <w:t xml:space="preserve"> Não poderia o MJSP impor a adoção de uma ou outra tributação, já que se trata de questão de competência exclusiva de licitante fornecedora, a quem compete arcar com todos os custos e ônus de sua proposta, desde que observada a legislação vigente.</w:t>
      </w:r>
    </w:p>
    <w:p w14:paraId="502BF8E0" w14:textId="77777777" w:rsidR="00E47535" w:rsidRDefault="00E47535" w:rsidP="00E47535">
      <w:pPr>
        <w:spacing w:after="0" w:line="360" w:lineRule="auto"/>
        <w:jc w:val="both"/>
      </w:pPr>
    </w:p>
    <w:p w14:paraId="40B7871D" w14:textId="50942220" w:rsidR="00801D00" w:rsidRDefault="00801D00" w:rsidP="004A4C4A">
      <w:pPr>
        <w:spacing w:after="0" w:line="360" w:lineRule="auto"/>
        <w:jc w:val="both"/>
        <w:rPr>
          <w:rFonts w:ascii="Times New Roman" w:hAnsi="Times New Roman" w:cs="Times New Roman"/>
          <w:bCs/>
        </w:rPr>
      </w:pPr>
    </w:p>
    <w:p w14:paraId="7B6CE0DC" w14:textId="2F71706E" w:rsidR="004A4C4A" w:rsidRDefault="004A4C4A" w:rsidP="004A4C4A">
      <w:pPr>
        <w:spacing w:after="0" w:line="360" w:lineRule="auto"/>
        <w:jc w:val="both"/>
        <w:rPr>
          <w:rFonts w:ascii="Times New Roman" w:hAnsi="Times New Roman" w:cs="Times New Roman"/>
          <w:b/>
        </w:rPr>
      </w:pPr>
      <w:r>
        <w:rPr>
          <w:rFonts w:ascii="Times New Roman" w:hAnsi="Times New Roman" w:cs="Times New Roman"/>
          <w:b/>
        </w:rPr>
        <w:t>IV – DA EXEQUIBILIDADE DA PROPOSTA</w:t>
      </w:r>
      <w:r w:rsidR="002955D0">
        <w:rPr>
          <w:rFonts w:ascii="Times New Roman" w:hAnsi="Times New Roman" w:cs="Times New Roman"/>
          <w:b/>
        </w:rPr>
        <w:t xml:space="preserve"> NO CENÁRIO DE ONERAÇÃO DA FOLHA DE PAGAMENTO</w:t>
      </w:r>
    </w:p>
    <w:p w14:paraId="54583D69" w14:textId="4DDF929B" w:rsidR="0094103B" w:rsidRDefault="00B21064" w:rsidP="004A4C4A">
      <w:pPr>
        <w:spacing w:after="0" w:line="360" w:lineRule="auto"/>
        <w:jc w:val="both"/>
        <w:rPr>
          <w:rFonts w:ascii="Times New Roman" w:hAnsi="Times New Roman" w:cs="Times New Roman"/>
          <w:bCs/>
        </w:rPr>
      </w:pPr>
      <w:r w:rsidRPr="00B21064">
        <w:rPr>
          <w:rFonts w:ascii="Times New Roman" w:hAnsi="Times New Roman" w:cs="Times New Roman"/>
          <w:bCs/>
        </w:rPr>
        <w:tab/>
      </w:r>
    </w:p>
    <w:p w14:paraId="21F73C7B" w14:textId="522FC1D5" w:rsidR="00DE5E3E" w:rsidRDefault="00DE5E3E" w:rsidP="004A4C4A">
      <w:pPr>
        <w:spacing w:after="0" w:line="360" w:lineRule="auto"/>
        <w:jc w:val="both"/>
        <w:rPr>
          <w:rFonts w:ascii="Times New Roman" w:hAnsi="Times New Roman" w:cs="Times New Roman"/>
          <w:bCs/>
        </w:rPr>
      </w:pPr>
      <w:r>
        <w:rPr>
          <w:rFonts w:ascii="Times New Roman" w:hAnsi="Times New Roman" w:cs="Times New Roman"/>
          <w:bCs/>
        </w:rPr>
        <w:tab/>
        <w:t xml:space="preserve">Verifica-se da argumentação supra expendida que não há se falar em descumprimento das normas </w:t>
      </w:r>
      <w:proofErr w:type="spellStart"/>
      <w:r>
        <w:rPr>
          <w:rFonts w:ascii="Times New Roman" w:hAnsi="Times New Roman" w:cs="Times New Roman"/>
          <w:bCs/>
        </w:rPr>
        <w:t>editalícias</w:t>
      </w:r>
      <w:proofErr w:type="spellEnd"/>
      <w:r>
        <w:rPr>
          <w:rFonts w:ascii="Times New Roman" w:hAnsi="Times New Roman" w:cs="Times New Roman"/>
          <w:bCs/>
        </w:rPr>
        <w:t xml:space="preserve"> ou mesmo desclassificação da proposta por erros de preenchimento de planilhas, porquanto </w:t>
      </w:r>
      <w:r w:rsidRPr="00637EC9">
        <w:rPr>
          <w:rFonts w:ascii="Times New Roman" w:hAnsi="Times New Roman" w:cs="Times New Roman"/>
          <w:b/>
          <w:u w:val="single"/>
        </w:rPr>
        <w:t>foram seguidos os modelos e orientações do próprio Edital e respectivos anexos,</w:t>
      </w:r>
      <w:r w:rsidR="00415BF9" w:rsidRPr="00637EC9">
        <w:rPr>
          <w:rFonts w:ascii="Times New Roman" w:hAnsi="Times New Roman" w:cs="Times New Roman"/>
          <w:b/>
          <w:u w:val="single"/>
        </w:rPr>
        <w:t xml:space="preserve"> aos quais a META</w:t>
      </w:r>
      <w:r w:rsidR="002462D2">
        <w:rPr>
          <w:rFonts w:ascii="Times New Roman" w:hAnsi="Times New Roman" w:cs="Times New Roman"/>
          <w:b/>
          <w:u w:val="single"/>
        </w:rPr>
        <w:t>, assim como as demais licitantes,</w:t>
      </w:r>
      <w:r w:rsidR="00415BF9" w:rsidRPr="00637EC9">
        <w:rPr>
          <w:rFonts w:ascii="Times New Roman" w:hAnsi="Times New Roman" w:cs="Times New Roman"/>
          <w:b/>
          <w:u w:val="single"/>
        </w:rPr>
        <w:t xml:space="preserve"> estava</w:t>
      </w:r>
      <w:r w:rsidR="002462D2">
        <w:rPr>
          <w:rFonts w:ascii="Times New Roman" w:hAnsi="Times New Roman" w:cs="Times New Roman"/>
          <w:b/>
          <w:u w:val="single"/>
        </w:rPr>
        <w:t>m</w:t>
      </w:r>
      <w:r w:rsidR="00415BF9" w:rsidRPr="00637EC9">
        <w:rPr>
          <w:rFonts w:ascii="Times New Roman" w:hAnsi="Times New Roman" w:cs="Times New Roman"/>
          <w:b/>
          <w:u w:val="single"/>
        </w:rPr>
        <w:t xml:space="preserve"> </w:t>
      </w:r>
      <w:r w:rsidR="00B56F00" w:rsidRPr="00637EC9">
        <w:rPr>
          <w:rFonts w:ascii="Times New Roman" w:hAnsi="Times New Roman" w:cs="Times New Roman"/>
          <w:b/>
          <w:u w:val="single"/>
        </w:rPr>
        <w:t>estritamente vinculada</w:t>
      </w:r>
      <w:r w:rsidR="00861B41">
        <w:rPr>
          <w:rFonts w:ascii="Times New Roman" w:hAnsi="Times New Roman" w:cs="Times New Roman"/>
          <w:b/>
          <w:u w:val="single"/>
        </w:rPr>
        <w:t>s</w:t>
      </w:r>
      <w:r w:rsidR="00B56F00" w:rsidRPr="00637EC9">
        <w:rPr>
          <w:rFonts w:ascii="Times New Roman" w:hAnsi="Times New Roman" w:cs="Times New Roman"/>
          <w:b/>
          <w:u w:val="single"/>
        </w:rPr>
        <w:t>, e</w:t>
      </w:r>
      <w:r w:rsidRPr="00637EC9">
        <w:rPr>
          <w:rFonts w:ascii="Times New Roman" w:hAnsi="Times New Roman" w:cs="Times New Roman"/>
          <w:b/>
          <w:u w:val="single"/>
        </w:rPr>
        <w:t xml:space="preserve"> cuja Planilha de Análise de Exequibilidade previa, em seus termos, o benefício da desoneração da folha de pagamento</w:t>
      </w:r>
      <w:r>
        <w:rPr>
          <w:rFonts w:ascii="Times New Roman" w:hAnsi="Times New Roman" w:cs="Times New Roman"/>
          <w:bCs/>
        </w:rPr>
        <w:t>.</w:t>
      </w:r>
    </w:p>
    <w:p w14:paraId="5F62C494" w14:textId="08BFA920" w:rsidR="00DE5E3E" w:rsidRDefault="000C4105" w:rsidP="004A4C4A">
      <w:pPr>
        <w:spacing w:after="0" w:line="360" w:lineRule="auto"/>
        <w:jc w:val="both"/>
        <w:rPr>
          <w:rFonts w:ascii="Times New Roman" w:hAnsi="Times New Roman" w:cs="Times New Roman"/>
          <w:bCs/>
        </w:rPr>
      </w:pPr>
      <w:r>
        <w:rPr>
          <w:rFonts w:ascii="Times New Roman" w:hAnsi="Times New Roman" w:cs="Times New Roman"/>
          <w:bCs/>
        </w:rPr>
        <w:tab/>
      </w:r>
      <w:r w:rsidR="00DE5E3E">
        <w:rPr>
          <w:rFonts w:ascii="Times New Roman" w:hAnsi="Times New Roman" w:cs="Times New Roman"/>
          <w:bCs/>
        </w:rPr>
        <w:t xml:space="preserve">Ademais, há de se ter em vista que </w:t>
      </w:r>
      <w:r w:rsidR="00073263">
        <w:rPr>
          <w:rFonts w:ascii="Times New Roman" w:hAnsi="Times New Roman" w:cs="Times New Roman"/>
          <w:bCs/>
        </w:rPr>
        <w:t>o item 6.4 do Edital é claro ao estabelecer os caminhos de resolução na hipótese de eventual equívoco na cotação dos encargos tributários devidos:</w:t>
      </w:r>
    </w:p>
    <w:p w14:paraId="5BB4E97A" w14:textId="77777777" w:rsidR="00E9040F" w:rsidRDefault="00E9040F" w:rsidP="00E9040F">
      <w:pPr>
        <w:spacing w:after="0" w:line="360" w:lineRule="auto"/>
        <w:jc w:val="both"/>
        <w:rPr>
          <w:rFonts w:ascii="Times New Roman" w:hAnsi="Times New Roman" w:cs="Times New Roman"/>
          <w:bCs/>
        </w:rPr>
      </w:pPr>
    </w:p>
    <w:p w14:paraId="0A6D8BC9" w14:textId="14CB92B5" w:rsidR="00E9040F" w:rsidRPr="00E9040F" w:rsidRDefault="00E9040F" w:rsidP="00E9040F">
      <w:pPr>
        <w:spacing w:after="0" w:line="240" w:lineRule="auto"/>
        <w:ind w:left="2268"/>
        <w:jc w:val="both"/>
        <w:rPr>
          <w:rFonts w:ascii="Times New Roman" w:hAnsi="Times New Roman" w:cs="Times New Roman"/>
          <w:bCs/>
          <w:i/>
          <w:iCs/>
        </w:rPr>
      </w:pPr>
      <w:r w:rsidRPr="00E9040F">
        <w:rPr>
          <w:rFonts w:ascii="Times New Roman" w:hAnsi="Times New Roman" w:cs="Times New Roman"/>
          <w:bCs/>
          <w:i/>
          <w:iCs/>
        </w:rPr>
        <w:t xml:space="preserve">6.4. </w:t>
      </w:r>
      <w:r w:rsidRPr="007D7E0E">
        <w:rPr>
          <w:rFonts w:ascii="Times New Roman" w:hAnsi="Times New Roman" w:cs="Times New Roman"/>
          <w:b/>
          <w:i/>
          <w:iCs/>
          <w:u w:val="single"/>
        </w:rPr>
        <w:t>A empresa é a única responsável pela cotação correta dos encargos tributários.</w:t>
      </w:r>
      <w:r w:rsidRPr="00E9040F">
        <w:rPr>
          <w:rFonts w:ascii="Times New Roman" w:hAnsi="Times New Roman" w:cs="Times New Roman"/>
          <w:bCs/>
          <w:i/>
          <w:iCs/>
        </w:rPr>
        <w:t xml:space="preserve"> Em caso</w:t>
      </w:r>
      <w:r>
        <w:rPr>
          <w:rFonts w:ascii="Times New Roman" w:hAnsi="Times New Roman" w:cs="Times New Roman"/>
          <w:bCs/>
          <w:i/>
          <w:iCs/>
        </w:rPr>
        <w:t xml:space="preserve"> </w:t>
      </w:r>
      <w:r w:rsidRPr="00E9040F">
        <w:rPr>
          <w:rFonts w:ascii="Times New Roman" w:hAnsi="Times New Roman" w:cs="Times New Roman"/>
          <w:bCs/>
          <w:i/>
          <w:iCs/>
        </w:rPr>
        <w:t>de erro ou cotação incompa</w:t>
      </w:r>
      <w:r w:rsidRPr="00E9040F">
        <w:rPr>
          <w:rFonts w:ascii="Times New Roman" w:eastAsia="Times New Roman" w:hAnsi="Times New Roman" w:cs="Times New Roman"/>
          <w:bCs/>
          <w:i/>
          <w:iCs/>
        </w:rPr>
        <w:t>tí</w:t>
      </w:r>
      <w:r w:rsidRPr="00E9040F">
        <w:rPr>
          <w:rFonts w:ascii="Times New Roman" w:hAnsi="Times New Roman" w:cs="Times New Roman"/>
          <w:bCs/>
          <w:i/>
          <w:iCs/>
        </w:rPr>
        <w:t>vel com o regime tributário a que se submete, serão adotadas as</w:t>
      </w:r>
      <w:r>
        <w:rPr>
          <w:rFonts w:ascii="Times New Roman" w:hAnsi="Times New Roman" w:cs="Times New Roman"/>
          <w:bCs/>
          <w:i/>
          <w:iCs/>
        </w:rPr>
        <w:t xml:space="preserve"> </w:t>
      </w:r>
      <w:r w:rsidRPr="00E9040F">
        <w:rPr>
          <w:rFonts w:ascii="Times New Roman" w:hAnsi="Times New Roman" w:cs="Times New Roman"/>
          <w:bCs/>
          <w:i/>
          <w:iCs/>
        </w:rPr>
        <w:t>orientações a seguir:</w:t>
      </w:r>
    </w:p>
    <w:p w14:paraId="192DAA4E" w14:textId="6DDDF958" w:rsidR="00E9040F" w:rsidRPr="00E9040F" w:rsidRDefault="00E9040F" w:rsidP="00E9040F">
      <w:pPr>
        <w:spacing w:after="0" w:line="240" w:lineRule="auto"/>
        <w:ind w:left="2268"/>
        <w:jc w:val="both"/>
        <w:rPr>
          <w:rFonts w:ascii="Times New Roman" w:hAnsi="Times New Roman" w:cs="Times New Roman"/>
          <w:bCs/>
          <w:i/>
          <w:iCs/>
        </w:rPr>
      </w:pPr>
      <w:r w:rsidRPr="00E9040F">
        <w:rPr>
          <w:rFonts w:ascii="Times New Roman" w:hAnsi="Times New Roman" w:cs="Times New Roman"/>
          <w:bCs/>
          <w:i/>
          <w:iCs/>
        </w:rPr>
        <w:t>6.4.1. cotação de percentual menor que o adequado: o percentual será mantido durante toda a</w:t>
      </w:r>
      <w:r>
        <w:rPr>
          <w:rFonts w:ascii="Times New Roman" w:hAnsi="Times New Roman" w:cs="Times New Roman"/>
          <w:bCs/>
          <w:i/>
          <w:iCs/>
        </w:rPr>
        <w:t xml:space="preserve"> </w:t>
      </w:r>
      <w:r w:rsidRPr="00E9040F">
        <w:rPr>
          <w:rFonts w:ascii="Times New Roman" w:hAnsi="Times New Roman" w:cs="Times New Roman"/>
          <w:bCs/>
          <w:i/>
          <w:iCs/>
        </w:rPr>
        <w:t>execução contratual;</w:t>
      </w:r>
    </w:p>
    <w:p w14:paraId="56979937" w14:textId="7BC74473" w:rsidR="00073263" w:rsidRPr="00E9040F" w:rsidRDefault="00E9040F" w:rsidP="00E9040F">
      <w:pPr>
        <w:spacing w:after="0" w:line="240" w:lineRule="auto"/>
        <w:ind w:left="2268"/>
        <w:jc w:val="both"/>
        <w:rPr>
          <w:rFonts w:ascii="Times New Roman" w:hAnsi="Times New Roman" w:cs="Times New Roman"/>
          <w:bCs/>
          <w:i/>
          <w:iCs/>
        </w:rPr>
      </w:pPr>
      <w:r w:rsidRPr="00E9040F">
        <w:rPr>
          <w:rFonts w:ascii="Times New Roman" w:hAnsi="Times New Roman" w:cs="Times New Roman"/>
          <w:bCs/>
          <w:i/>
          <w:iCs/>
        </w:rPr>
        <w:t>6.4.2. cotação de percentual maior que o adequado: o excesso será suprimido</w:t>
      </w:r>
      <w:r>
        <w:rPr>
          <w:rFonts w:ascii="Times New Roman" w:hAnsi="Times New Roman" w:cs="Times New Roman"/>
          <w:bCs/>
          <w:i/>
          <w:iCs/>
        </w:rPr>
        <w:t xml:space="preserve"> </w:t>
      </w:r>
      <w:r w:rsidRPr="00E9040F">
        <w:rPr>
          <w:rFonts w:ascii="Times New Roman" w:hAnsi="Times New Roman" w:cs="Times New Roman"/>
          <w:bCs/>
          <w:i/>
          <w:iCs/>
        </w:rPr>
        <w:t>unilateralmente, da planilha e haverá glosa, quando do pagamento, e/ou redução, quando da</w:t>
      </w:r>
      <w:r>
        <w:rPr>
          <w:rFonts w:ascii="Times New Roman" w:hAnsi="Times New Roman" w:cs="Times New Roman"/>
          <w:bCs/>
          <w:i/>
          <w:iCs/>
        </w:rPr>
        <w:t xml:space="preserve"> </w:t>
      </w:r>
      <w:r w:rsidRPr="00E9040F">
        <w:rPr>
          <w:rFonts w:ascii="Times New Roman" w:hAnsi="Times New Roman" w:cs="Times New Roman"/>
          <w:bCs/>
          <w:i/>
          <w:iCs/>
        </w:rPr>
        <w:t>repactuação, para fins de total ressarcimento do débito.</w:t>
      </w:r>
    </w:p>
    <w:p w14:paraId="1A638188" w14:textId="77777777" w:rsidR="00E9040F" w:rsidRDefault="00E9040F" w:rsidP="004A4C4A">
      <w:pPr>
        <w:spacing w:after="0" w:line="360" w:lineRule="auto"/>
        <w:jc w:val="both"/>
        <w:rPr>
          <w:rFonts w:ascii="Times New Roman" w:hAnsi="Times New Roman" w:cs="Times New Roman"/>
          <w:bCs/>
        </w:rPr>
      </w:pPr>
    </w:p>
    <w:p w14:paraId="68D50975" w14:textId="77777777" w:rsidR="00DE2E7B" w:rsidRDefault="00E9040F" w:rsidP="004A4C4A">
      <w:pPr>
        <w:spacing w:after="0" w:line="360" w:lineRule="auto"/>
        <w:jc w:val="both"/>
        <w:rPr>
          <w:rFonts w:ascii="Times New Roman" w:hAnsi="Times New Roman" w:cs="Times New Roman"/>
          <w:bCs/>
        </w:rPr>
      </w:pPr>
      <w:r>
        <w:rPr>
          <w:rFonts w:ascii="Times New Roman" w:hAnsi="Times New Roman" w:cs="Times New Roman"/>
          <w:bCs/>
        </w:rPr>
        <w:tab/>
        <w:t xml:space="preserve">Em razão do princípio da eventualidade, há de se ponderar, ainda, </w:t>
      </w:r>
      <w:r w:rsidR="00904C0E">
        <w:rPr>
          <w:rFonts w:ascii="Times New Roman" w:hAnsi="Times New Roman" w:cs="Times New Roman"/>
          <w:bCs/>
        </w:rPr>
        <w:t xml:space="preserve">e em caráter subsidiário à argumentação anteriormente expendida, </w:t>
      </w:r>
      <w:r>
        <w:rPr>
          <w:rFonts w:ascii="Times New Roman" w:hAnsi="Times New Roman" w:cs="Times New Roman"/>
          <w:bCs/>
        </w:rPr>
        <w:t xml:space="preserve">que </w:t>
      </w:r>
      <w:r w:rsidR="001B01F0">
        <w:rPr>
          <w:rFonts w:ascii="Times New Roman" w:hAnsi="Times New Roman" w:cs="Times New Roman"/>
          <w:bCs/>
        </w:rPr>
        <w:t>caso</w:t>
      </w:r>
      <w:r>
        <w:rPr>
          <w:rFonts w:ascii="Times New Roman" w:hAnsi="Times New Roman" w:cs="Times New Roman"/>
          <w:bCs/>
        </w:rPr>
        <w:t xml:space="preserve"> a META fosse </w:t>
      </w:r>
      <w:r w:rsidR="001B01F0">
        <w:rPr>
          <w:rFonts w:ascii="Times New Roman" w:hAnsi="Times New Roman" w:cs="Times New Roman"/>
          <w:bCs/>
        </w:rPr>
        <w:t xml:space="preserve">legalmente </w:t>
      </w:r>
      <w:r>
        <w:rPr>
          <w:rFonts w:ascii="Times New Roman" w:hAnsi="Times New Roman" w:cs="Times New Roman"/>
          <w:bCs/>
        </w:rPr>
        <w:t>instada</w:t>
      </w:r>
      <w:r w:rsidR="00364309">
        <w:rPr>
          <w:rFonts w:ascii="Times New Roman" w:hAnsi="Times New Roman" w:cs="Times New Roman"/>
          <w:bCs/>
        </w:rPr>
        <w:t xml:space="preserve"> (por força de lei)</w:t>
      </w:r>
      <w:r>
        <w:rPr>
          <w:rFonts w:ascii="Times New Roman" w:hAnsi="Times New Roman" w:cs="Times New Roman"/>
          <w:bCs/>
        </w:rPr>
        <w:t xml:space="preserve"> a considerar a oneração em 20% (vinte por cento) de sua folha de pagamento</w:t>
      </w:r>
      <w:r w:rsidR="001B01F0">
        <w:rPr>
          <w:rFonts w:ascii="Times New Roman" w:hAnsi="Times New Roman" w:cs="Times New Roman"/>
          <w:bCs/>
        </w:rPr>
        <w:t xml:space="preserve"> após 31/12/2020</w:t>
      </w:r>
      <w:r>
        <w:rPr>
          <w:rFonts w:ascii="Times New Roman" w:hAnsi="Times New Roman" w:cs="Times New Roman"/>
          <w:bCs/>
        </w:rPr>
        <w:t xml:space="preserve">, </w:t>
      </w:r>
      <w:r w:rsidR="002C6B07">
        <w:rPr>
          <w:rFonts w:ascii="Times New Roman" w:hAnsi="Times New Roman" w:cs="Times New Roman"/>
          <w:bCs/>
        </w:rPr>
        <w:t>caber-lhe-ia</w:t>
      </w:r>
      <w:r w:rsidR="00365953">
        <w:rPr>
          <w:rFonts w:ascii="Times New Roman" w:hAnsi="Times New Roman" w:cs="Times New Roman"/>
          <w:bCs/>
        </w:rPr>
        <w:t xml:space="preserve"> arcar com os custos decorrentes da alteração </w:t>
      </w:r>
      <w:r w:rsidR="00BA615D">
        <w:rPr>
          <w:rFonts w:ascii="Times New Roman" w:hAnsi="Times New Roman" w:cs="Times New Roman"/>
          <w:bCs/>
        </w:rPr>
        <w:t>tributária na forma admitida pelo Edital, seus Anexos e legislação vigente</w:t>
      </w:r>
      <w:r w:rsidR="00515654">
        <w:rPr>
          <w:rFonts w:ascii="Times New Roman" w:hAnsi="Times New Roman" w:cs="Times New Roman"/>
          <w:bCs/>
        </w:rPr>
        <w:t xml:space="preserve">. </w:t>
      </w:r>
    </w:p>
    <w:p w14:paraId="55E6AA0A" w14:textId="77777777" w:rsidR="0057658C" w:rsidRDefault="00ED2450" w:rsidP="00DE2E7B">
      <w:pPr>
        <w:spacing w:after="0" w:line="360" w:lineRule="auto"/>
        <w:ind w:firstLine="708"/>
        <w:jc w:val="both"/>
        <w:rPr>
          <w:rFonts w:ascii="Times New Roman" w:hAnsi="Times New Roman" w:cs="Times New Roman"/>
          <w:bCs/>
        </w:rPr>
      </w:pPr>
      <w:r>
        <w:rPr>
          <w:rFonts w:ascii="Times New Roman" w:hAnsi="Times New Roman" w:cs="Times New Roman"/>
          <w:bCs/>
        </w:rPr>
        <w:t>Nessa hipótese</w:t>
      </w:r>
      <w:r w:rsidR="00DE2E7B">
        <w:rPr>
          <w:rFonts w:ascii="Times New Roman" w:hAnsi="Times New Roman" w:cs="Times New Roman"/>
          <w:bCs/>
        </w:rPr>
        <w:t xml:space="preserve">, </w:t>
      </w:r>
      <w:r w:rsidR="0005301B">
        <w:rPr>
          <w:rFonts w:ascii="Times New Roman" w:hAnsi="Times New Roman" w:cs="Times New Roman"/>
          <w:bCs/>
        </w:rPr>
        <w:t xml:space="preserve">a </w:t>
      </w:r>
      <w:r w:rsidR="00E9040F">
        <w:rPr>
          <w:rFonts w:ascii="Times New Roman" w:hAnsi="Times New Roman" w:cs="Times New Roman"/>
          <w:bCs/>
        </w:rPr>
        <w:t>proposta</w:t>
      </w:r>
      <w:r w:rsidR="0005301B">
        <w:rPr>
          <w:rFonts w:ascii="Times New Roman" w:hAnsi="Times New Roman" w:cs="Times New Roman"/>
          <w:bCs/>
        </w:rPr>
        <w:t>, que</w:t>
      </w:r>
      <w:r w:rsidR="00E9040F">
        <w:rPr>
          <w:rFonts w:ascii="Times New Roman" w:hAnsi="Times New Roman" w:cs="Times New Roman"/>
          <w:bCs/>
        </w:rPr>
        <w:t xml:space="preserve"> </w:t>
      </w:r>
      <w:r w:rsidR="00DE2E7B">
        <w:rPr>
          <w:rFonts w:ascii="Times New Roman" w:hAnsi="Times New Roman" w:cs="Times New Roman"/>
          <w:bCs/>
        </w:rPr>
        <w:t xml:space="preserve">deveria inevitavelmente ser mantida, </w:t>
      </w:r>
      <w:r w:rsidR="0005301B">
        <w:rPr>
          <w:rFonts w:ascii="Times New Roman" w:hAnsi="Times New Roman" w:cs="Times New Roman"/>
          <w:bCs/>
        </w:rPr>
        <w:t xml:space="preserve">poderia </w:t>
      </w:r>
      <w:r w:rsidR="00806502">
        <w:rPr>
          <w:rFonts w:ascii="Times New Roman" w:hAnsi="Times New Roman" w:cs="Times New Roman"/>
          <w:bCs/>
        </w:rPr>
        <w:t>preservar sua</w:t>
      </w:r>
      <w:r w:rsidR="0005301B">
        <w:rPr>
          <w:rFonts w:ascii="Times New Roman" w:hAnsi="Times New Roman" w:cs="Times New Roman"/>
          <w:bCs/>
        </w:rPr>
        <w:t xml:space="preserve"> exequibilidade </w:t>
      </w:r>
      <w:r w:rsidR="00E9040F">
        <w:rPr>
          <w:rFonts w:ascii="Times New Roman" w:hAnsi="Times New Roman" w:cs="Times New Roman"/>
          <w:bCs/>
        </w:rPr>
        <w:t xml:space="preserve">mediante redução da margem e </w:t>
      </w:r>
      <w:r w:rsidR="002619F1">
        <w:rPr>
          <w:rFonts w:ascii="Times New Roman" w:hAnsi="Times New Roman" w:cs="Times New Roman"/>
          <w:bCs/>
        </w:rPr>
        <w:t xml:space="preserve">revisão de </w:t>
      </w:r>
      <w:r w:rsidR="00E9040F">
        <w:rPr>
          <w:rFonts w:ascii="Times New Roman" w:hAnsi="Times New Roman" w:cs="Times New Roman"/>
          <w:bCs/>
        </w:rPr>
        <w:t>despesas administrativas/operacionais inicialmente orçadas</w:t>
      </w:r>
      <w:r w:rsidR="0057658C">
        <w:rPr>
          <w:rFonts w:ascii="Times New Roman" w:hAnsi="Times New Roman" w:cs="Times New Roman"/>
          <w:bCs/>
        </w:rPr>
        <w:t>.</w:t>
      </w:r>
    </w:p>
    <w:p w14:paraId="6C992D48" w14:textId="3CA6E4CD" w:rsidR="007D7E0E" w:rsidRDefault="0057658C" w:rsidP="00BB35E7">
      <w:pPr>
        <w:spacing w:after="0" w:line="360" w:lineRule="auto"/>
        <w:ind w:firstLine="708"/>
        <w:jc w:val="both"/>
        <w:rPr>
          <w:rFonts w:ascii="Times New Roman" w:hAnsi="Times New Roman" w:cs="Times New Roman"/>
          <w:bCs/>
        </w:rPr>
      </w:pPr>
      <w:r>
        <w:rPr>
          <w:rFonts w:ascii="Times New Roman" w:hAnsi="Times New Roman" w:cs="Times New Roman"/>
          <w:bCs/>
        </w:rPr>
        <w:t>Assim, a título meramente ilustrativo</w:t>
      </w:r>
      <w:r w:rsidR="00BB35E7">
        <w:rPr>
          <w:rFonts w:ascii="Times New Roman" w:hAnsi="Times New Roman" w:cs="Times New Roman"/>
          <w:bCs/>
        </w:rPr>
        <w:t xml:space="preserve"> (sem caráter vinculativo, portanto)</w:t>
      </w:r>
      <w:r>
        <w:rPr>
          <w:rFonts w:ascii="Times New Roman" w:hAnsi="Times New Roman" w:cs="Times New Roman"/>
          <w:bCs/>
        </w:rPr>
        <w:t xml:space="preserve">, considerando-se </w:t>
      </w:r>
      <w:r w:rsidR="009D1A40">
        <w:rPr>
          <w:rFonts w:ascii="Times New Roman" w:hAnsi="Times New Roman" w:cs="Times New Roman"/>
          <w:bCs/>
        </w:rPr>
        <w:t>as</w:t>
      </w:r>
      <w:r w:rsidR="00E9040F">
        <w:rPr>
          <w:rFonts w:ascii="Times New Roman" w:hAnsi="Times New Roman" w:cs="Times New Roman"/>
          <w:bCs/>
        </w:rPr>
        <w:t xml:space="preserve"> </w:t>
      </w:r>
      <w:r w:rsidR="009D1A40">
        <w:rPr>
          <w:rFonts w:ascii="Times New Roman" w:hAnsi="Times New Roman" w:cs="Times New Roman"/>
          <w:bCs/>
        </w:rPr>
        <w:t xml:space="preserve">mesmas </w:t>
      </w:r>
      <w:r w:rsidR="00E9040F">
        <w:rPr>
          <w:rFonts w:ascii="Times New Roman" w:hAnsi="Times New Roman" w:cs="Times New Roman"/>
          <w:bCs/>
        </w:rPr>
        <w:t xml:space="preserve">bases salariais </w:t>
      </w:r>
      <w:r w:rsidR="009A6A88">
        <w:rPr>
          <w:rFonts w:ascii="Times New Roman" w:hAnsi="Times New Roman" w:cs="Times New Roman"/>
          <w:bCs/>
        </w:rPr>
        <w:t>outrora apresentadas</w:t>
      </w:r>
      <w:r w:rsidR="00BB35E7">
        <w:rPr>
          <w:rFonts w:ascii="Times New Roman" w:hAnsi="Times New Roman" w:cs="Times New Roman"/>
          <w:bCs/>
        </w:rPr>
        <w:t xml:space="preserve"> e</w:t>
      </w:r>
      <w:r w:rsidR="00E9040F">
        <w:rPr>
          <w:rFonts w:ascii="Times New Roman" w:hAnsi="Times New Roman" w:cs="Times New Roman"/>
          <w:bCs/>
        </w:rPr>
        <w:t xml:space="preserve"> sem alteração do valor global e valores unitários praticados</w:t>
      </w:r>
      <w:r w:rsidR="00584347">
        <w:rPr>
          <w:rFonts w:ascii="Times New Roman" w:hAnsi="Times New Roman" w:cs="Times New Roman"/>
          <w:bCs/>
        </w:rPr>
        <w:t>, mantendo-se ainda, e de forma inquestionável, a melhor e mais vantajosa proposta à Administração</w:t>
      </w:r>
      <w:r w:rsidR="00BB35E7">
        <w:rPr>
          <w:rFonts w:ascii="Times New Roman" w:hAnsi="Times New Roman" w:cs="Times New Roman"/>
          <w:bCs/>
        </w:rPr>
        <w:t xml:space="preserve">, </w:t>
      </w:r>
      <w:r w:rsidR="00B12658">
        <w:rPr>
          <w:rFonts w:ascii="Times New Roman" w:hAnsi="Times New Roman" w:cs="Times New Roman"/>
          <w:bCs/>
        </w:rPr>
        <w:t>poder-se-ia chegar</w:t>
      </w:r>
      <w:r w:rsidR="00A33EB3">
        <w:rPr>
          <w:rFonts w:ascii="Times New Roman" w:hAnsi="Times New Roman" w:cs="Times New Roman"/>
          <w:bCs/>
        </w:rPr>
        <w:t xml:space="preserve"> a um</w:t>
      </w:r>
      <w:r w:rsidR="007D7E0E">
        <w:rPr>
          <w:rFonts w:ascii="Times New Roman" w:hAnsi="Times New Roman" w:cs="Times New Roman"/>
          <w:bCs/>
        </w:rPr>
        <w:t xml:space="preserve"> cenário de</w:t>
      </w:r>
      <w:r w:rsidR="00A33EB3">
        <w:rPr>
          <w:rFonts w:ascii="Times New Roman" w:hAnsi="Times New Roman" w:cs="Times New Roman"/>
          <w:bCs/>
        </w:rPr>
        <w:t xml:space="preserve"> </w:t>
      </w:r>
      <w:r w:rsidR="00BA044C">
        <w:rPr>
          <w:rFonts w:ascii="Times New Roman" w:hAnsi="Times New Roman" w:cs="Times New Roman"/>
          <w:bCs/>
        </w:rPr>
        <w:t>p</w:t>
      </w:r>
      <w:r w:rsidR="00A33EB3">
        <w:rPr>
          <w:rFonts w:ascii="Times New Roman" w:hAnsi="Times New Roman" w:cs="Times New Roman"/>
          <w:bCs/>
        </w:rPr>
        <w:t xml:space="preserve">roposta </w:t>
      </w:r>
      <w:r w:rsidR="00B22BCA">
        <w:rPr>
          <w:rFonts w:ascii="Times New Roman" w:hAnsi="Times New Roman" w:cs="Times New Roman"/>
          <w:bCs/>
        </w:rPr>
        <w:t>apto a absorver os custos de</w:t>
      </w:r>
      <w:r w:rsidR="007D7E0E">
        <w:rPr>
          <w:rFonts w:ascii="Times New Roman" w:hAnsi="Times New Roman" w:cs="Times New Roman"/>
          <w:bCs/>
        </w:rPr>
        <w:t xml:space="preserve"> oneração da folha de pagamento</w:t>
      </w:r>
      <w:r w:rsidR="0071673F">
        <w:rPr>
          <w:rFonts w:ascii="Times New Roman" w:hAnsi="Times New Roman" w:cs="Times New Roman"/>
          <w:bCs/>
        </w:rPr>
        <w:t xml:space="preserve">, sem significativos prejuízos à sua </w:t>
      </w:r>
      <w:r w:rsidR="008679FF">
        <w:rPr>
          <w:rFonts w:ascii="Times New Roman" w:hAnsi="Times New Roman" w:cs="Times New Roman"/>
          <w:bCs/>
        </w:rPr>
        <w:t>exequibilidade</w:t>
      </w:r>
      <w:r w:rsidR="008E1746">
        <w:rPr>
          <w:rFonts w:ascii="Times New Roman" w:hAnsi="Times New Roman" w:cs="Times New Roman"/>
          <w:bCs/>
        </w:rPr>
        <w:t>, conforme Planilhas demonstrativas encaminhadas por e-mail</w:t>
      </w:r>
      <w:r w:rsidR="00F04B1D">
        <w:rPr>
          <w:rFonts w:ascii="Times New Roman" w:hAnsi="Times New Roman" w:cs="Times New Roman"/>
          <w:bCs/>
        </w:rPr>
        <w:t xml:space="preserve"> ao MJSP nesta data</w:t>
      </w:r>
      <w:r w:rsidR="008E1746">
        <w:rPr>
          <w:rFonts w:ascii="Times New Roman" w:hAnsi="Times New Roman" w:cs="Times New Roman"/>
          <w:bCs/>
        </w:rPr>
        <w:t>, juntamente das presentes contrarrazões</w:t>
      </w:r>
      <w:r w:rsidR="007D7E0E">
        <w:rPr>
          <w:rFonts w:ascii="Times New Roman" w:hAnsi="Times New Roman" w:cs="Times New Roman"/>
          <w:bCs/>
        </w:rPr>
        <w:t>.</w:t>
      </w:r>
    </w:p>
    <w:p w14:paraId="4B7D1090" w14:textId="6C4C9B6C" w:rsidR="00A721B2" w:rsidRDefault="000F7DB6" w:rsidP="00B7542B">
      <w:pPr>
        <w:spacing w:after="0" w:line="360" w:lineRule="auto"/>
        <w:ind w:firstLine="708"/>
        <w:jc w:val="both"/>
        <w:rPr>
          <w:rFonts w:ascii="Times New Roman" w:hAnsi="Times New Roman" w:cs="Times New Roman"/>
          <w:bCs/>
        </w:rPr>
      </w:pPr>
      <w:r>
        <w:rPr>
          <w:rFonts w:ascii="Times New Roman" w:hAnsi="Times New Roman" w:cs="Times New Roman"/>
          <w:bCs/>
        </w:rPr>
        <w:t>Reitere-se</w:t>
      </w:r>
      <w:r w:rsidR="00A721B2">
        <w:rPr>
          <w:rFonts w:ascii="Times New Roman" w:hAnsi="Times New Roman" w:cs="Times New Roman"/>
          <w:bCs/>
        </w:rPr>
        <w:t xml:space="preserve"> que, conforme consta na Planilha de Análise de Exequibilidade e com base na legislação vigente, a composição de custos da META considera o cenário de desoneração da folha de pagamento</w:t>
      </w:r>
      <w:r w:rsidR="008E39DD">
        <w:rPr>
          <w:rFonts w:ascii="Times New Roman" w:hAnsi="Times New Roman" w:cs="Times New Roman"/>
          <w:bCs/>
        </w:rPr>
        <w:t>.</w:t>
      </w:r>
    </w:p>
    <w:p w14:paraId="1E5110BA" w14:textId="2FD67647" w:rsidR="00E9040F" w:rsidRDefault="00E9040F" w:rsidP="004A4C4A">
      <w:pPr>
        <w:spacing w:after="0" w:line="360" w:lineRule="auto"/>
        <w:jc w:val="both"/>
        <w:rPr>
          <w:rFonts w:ascii="Times New Roman" w:hAnsi="Times New Roman" w:cs="Times New Roman"/>
          <w:bCs/>
        </w:rPr>
      </w:pPr>
      <w:r>
        <w:rPr>
          <w:rFonts w:ascii="Times New Roman" w:hAnsi="Times New Roman" w:cs="Times New Roman"/>
          <w:bCs/>
        </w:rPr>
        <w:tab/>
      </w:r>
      <w:r w:rsidR="0007257F">
        <w:rPr>
          <w:rFonts w:ascii="Times New Roman" w:hAnsi="Times New Roman" w:cs="Times New Roman"/>
          <w:bCs/>
        </w:rPr>
        <w:t>Assim, n</w:t>
      </w:r>
      <w:r w:rsidR="007D7E0E">
        <w:rPr>
          <w:rFonts w:ascii="Times New Roman" w:hAnsi="Times New Roman" w:cs="Times New Roman"/>
          <w:bCs/>
        </w:rPr>
        <w:t xml:space="preserve">o </w:t>
      </w:r>
      <w:r w:rsidR="000A400D">
        <w:rPr>
          <w:rFonts w:ascii="Times New Roman" w:hAnsi="Times New Roman" w:cs="Times New Roman"/>
          <w:bCs/>
        </w:rPr>
        <w:t>Edital em questão</w:t>
      </w:r>
      <w:r w:rsidR="007D7E0E">
        <w:rPr>
          <w:rFonts w:ascii="Times New Roman" w:hAnsi="Times New Roman" w:cs="Times New Roman"/>
          <w:bCs/>
        </w:rPr>
        <w:t xml:space="preserve">, confirmando-se a hipótese de oneração da folha a partir de 2021, </w:t>
      </w:r>
      <w:r w:rsidR="007D7E0E" w:rsidRPr="004A6D63">
        <w:rPr>
          <w:rFonts w:ascii="Times New Roman" w:hAnsi="Times New Roman" w:cs="Times New Roman"/>
          <w:b/>
          <w:u w:val="single"/>
        </w:rPr>
        <w:t>a</w:t>
      </w:r>
      <w:r w:rsidRPr="004A6D63">
        <w:rPr>
          <w:rFonts w:ascii="Times New Roman" w:hAnsi="Times New Roman" w:cs="Times New Roman"/>
          <w:b/>
          <w:u w:val="single"/>
        </w:rPr>
        <w:t xml:space="preserve"> única ressalva a ser considerada é que, caso o benefício da desoneração da folha de pagamento </w:t>
      </w:r>
      <w:r w:rsidR="00633B43">
        <w:rPr>
          <w:rFonts w:ascii="Times New Roman" w:hAnsi="Times New Roman" w:cs="Times New Roman"/>
          <w:b/>
          <w:u w:val="single"/>
        </w:rPr>
        <w:t>seja</w:t>
      </w:r>
      <w:r w:rsidRPr="004A6D63">
        <w:rPr>
          <w:rFonts w:ascii="Times New Roman" w:hAnsi="Times New Roman" w:cs="Times New Roman"/>
          <w:b/>
          <w:u w:val="single"/>
        </w:rPr>
        <w:t xml:space="preserve"> mantido para o segmento de tecnologia da informação mesmo após 31/12/2020, ou seja, </w:t>
      </w:r>
      <w:r w:rsidR="00633B43">
        <w:rPr>
          <w:rFonts w:ascii="Times New Roman" w:hAnsi="Times New Roman" w:cs="Times New Roman"/>
          <w:b/>
          <w:u w:val="single"/>
        </w:rPr>
        <w:t>seja</w:t>
      </w:r>
      <w:r w:rsidRPr="004A6D63">
        <w:rPr>
          <w:rFonts w:ascii="Times New Roman" w:hAnsi="Times New Roman" w:cs="Times New Roman"/>
          <w:b/>
          <w:u w:val="single"/>
        </w:rPr>
        <w:t xml:space="preserve"> prorrogad</w:t>
      </w:r>
      <w:r w:rsidR="00BF0115" w:rsidRPr="004A6D63">
        <w:rPr>
          <w:rFonts w:ascii="Times New Roman" w:hAnsi="Times New Roman" w:cs="Times New Roman"/>
          <w:b/>
          <w:u w:val="single"/>
        </w:rPr>
        <w:t>o</w:t>
      </w:r>
      <w:r w:rsidRPr="004A6D63">
        <w:rPr>
          <w:rFonts w:ascii="Times New Roman" w:hAnsi="Times New Roman" w:cs="Times New Roman"/>
          <w:b/>
          <w:u w:val="single"/>
        </w:rPr>
        <w:t>, neste contexto, não caberia à Administração Pública qualquer pleito de redução/repactuação dos valores praticados, porquanto em sua proposta inicial a META já estaria considerando o benefício da desoneração da folha de pagamento</w:t>
      </w:r>
      <w:r>
        <w:rPr>
          <w:rFonts w:ascii="Times New Roman" w:hAnsi="Times New Roman" w:cs="Times New Roman"/>
          <w:bCs/>
        </w:rPr>
        <w:t xml:space="preserve">.  </w:t>
      </w:r>
      <w:r w:rsidR="00BF0115">
        <w:rPr>
          <w:rFonts w:ascii="Times New Roman" w:hAnsi="Times New Roman" w:cs="Times New Roman"/>
          <w:bCs/>
        </w:rPr>
        <w:t xml:space="preserve">De igual forma, caso </w:t>
      </w:r>
      <w:r w:rsidR="00CE51E0">
        <w:rPr>
          <w:rFonts w:ascii="Times New Roman" w:hAnsi="Times New Roman" w:cs="Times New Roman"/>
          <w:bCs/>
        </w:rPr>
        <w:t xml:space="preserve">ocorresse a </w:t>
      </w:r>
      <w:proofErr w:type="spellStart"/>
      <w:r w:rsidR="00CE51E0">
        <w:rPr>
          <w:rFonts w:ascii="Times New Roman" w:hAnsi="Times New Roman" w:cs="Times New Roman"/>
          <w:bCs/>
        </w:rPr>
        <w:t>reoneração</w:t>
      </w:r>
      <w:proofErr w:type="spellEnd"/>
      <w:r w:rsidR="00CE51E0">
        <w:rPr>
          <w:rFonts w:ascii="Times New Roman" w:hAnsi="Times New Roman" w:cs="Times New Roman"/>
          <w:bCs/>
        </w:rPr>
        <w:t xml:space="preserve"> da folha a partir de 31/12/2020, </w:t>
      </w:r>
      <w:r w:rsidR="007D7E0E">
        <w:rPr>
          <w:rFonts w:ascii="Times New Roman" w:hAnsi="Times New Roman" w:cs="Times New Roman"/>
          <w:bCs/>
        </w:rPr>
        <w:t>caberia à META</w:t>
      </w:r>
      <w:r w:rsidR="000A400D">
        <w:rPr>
          <w:rFonts w:ascii="Times New Roman" w:hAnsi="Times New Roman" w:cs="Times New Roman"/>
          <w:bCs/>
        </w:rPr>
        <w:t>, por sua conta e risco,</w:t>
      </w:r>
      <w:r w:rsidR="007D7E0E">
        <w:rPr>
          <w:rFonts w:ascii="Times New Roman" w:hAnsi="Times New Roman" w:cs="Times New Roman"/>
          <w:bCs/>
        </w:rPr>
        <w:t xml:space="preserve"> arcar com o ônus dos 20% sobre a folha de pagamento de seus funcionários na hipótese de </w:t>
      </w:r>
      <w:r w:rsidR="00584347">
        <w:rPr>
          <w:rFonts w:ascii="Times New Roman" w:hAnsi="Times New Roman" w:cs="Times New Roman"/>
          <w:bCs/>
        </w:rPr>
        <w:t xml:space="preserve">inexistência de respaldo legal para o </w:t>
      </w:r>
      <w:r w:rsidR="007D7E0E">
        <w:rPr>
          <w:rFonts w:ascii="Times New Roman" w:hAnsi="Times New Roman" w:cs="Times New Roman"/>
          <w:bCs/>
        </w:rPr>
        <w:t>reequilíbrio econômico-financeiro da contratação.</w:t>
      </w:r>
    </w:p>
    <w:p w14:paraId="48E93F20" w14:textId="04A7A034" w:rsidR="00DE5E3E" w:rsidRDefault="00E9040F" w:rsidP="004A4C4A">
      <w:pPr>
        <w:spacing w:after="0" w:line="360" w:lineRule="auto"/>
        <w:jc w:val="both"/>
        <w:rPr>
          <w:rFonts w:ascii="Times New Roman" w:hAnsi="Times New Roman" w:cs="Times New Roman"/>
          <w:bCs/>
        </w:rPr>
      </w:pPr>
      <w:r>
        <w:rPr>
          <w:rFonts w:ascii="Times New Roman" w:hAnsi="Times New Roman" w:cs="Times New Roman"/>
          <w:bCs/>
        </w:rPr>
        <w:t xml:space="preserve"> </w:t>
      </w:r>
      <w:r w:rsidR="00125233">
        <w:rPr>
          <w:rFonts w:ascii="Times New Roman" w:hAnsi="Times New Roman" w:cs="Times New Roman"/>
          <w:bCs/>
        </w:rPr>
        <w:tab/>
        <w:t>Reitere-se, aqui, o entendimento do Tribunal de Contas da União:</w:t>
      </w:r>
    </w:p>
    <w:p w14:paraId="19E20A12" w14:textId="6797A0FD" w:rsidR="001A0181" w:rsidRPr="00125233" w:rsidRDefault="001A0181" w:rsidP="00125233">
      <w:pPr>
        <w:pStyle w:val="NormalWeb"/>
        <w:ind w:left="2268"/>
        <w:jc w:val="both"/>
        <w:rPr>
          <w:sz w:val="20"/>
          <w:szCs w:val="20"/>
        </w:rPr>
      </w:pPr>
      <w:r w:rsidRPr="00125233">
        <w:rPr>
          <w:sz w:val="20"/>
          <w:szCs w:val="20"/>
        </w:rPr>
        <w:t>A existência de erros materiais ou de omissões nas planilhas de custos e preços das</w:t>
      </w:r>
      <w:r w:rsidR="00125233" w:rsidRPr="00125233">
        <w:rPr>
          <w:sz w:val="20"/>
          <w:szCs w:val="20"/>
        </w:rPr>
        <w:t xml:space="preserve"> </w:t>
      </w:r>
      <w:r w:rsidRPr="00125233">
        <w:rPr>
          <w:sz w:val="20"/>
          <w:szCs w:val="20"/>
        </w:rPr>
        <w:t>licitantes não enseja a desclassificação antecipada das respectivas propostas, devendo a</w:t>
      </w:r>
      <w:r w:rsidR="00125233" w:rsidRPr="00125233">
        <w:rPr>
          <w:sz w:val="20"/>
          <w:szCs w:val="20"/>
        </w:rPr>
        <w:t xml:space="preserve"> </w:t>
      </w:r>
      <w:r w:rsidRPr="00125233">
        <w:rPr>
          <w:sz w:val="20"/>
          <w:szCs w:val="20"/>
        </w:rPr>
        <w:t>Administração contratante realizar diligências junto às licitantes para a devida correção</w:t>
      </w:r>
      <w:r w:rsidR="00125233" w:rsidRPr="00125233">
        <w:rPr>
          <w:sz w:val="20"/>
          <w:szCs w:val="20"/>
        </w:rPr>
        <w:t xml:space="preserve"> </w:t>
      </w:r>
      <w:r w:rsidRPr="00125233">
        <w:rPr>
          <w:sz w:val="20"/>
          <w:szCs w:val="20"/>
        </w:rPr>
        <w:t xml:space="preserve">das falhas, desde que não seja alterado o </w:t>
      </w:r>
      <w:r w:rsidRPr="00125233">
        <w:rPr>
          <w:rStyle w:val="nfase"/>
          <w:sz w:val="20"/>
          <w:szCs w:val="20"/>
        </w:rPr>
        <w:t>valor</w:t>
      </w:r>
      <w:r w:rsidRPr="00125233">
        <w:rPr>
          <w:sz w:val="20"/>
          <w:szCs w:val="20"/>
        </w:rPr>
        <w:t xml:space="preserve"> </w:t>
      </w:r>
      <w:r w:rsidRPr="00125233">
        <w:rPr>
          <w:rStyle w:val="nfase"/>
          <w:sz w:val="20"/>
          <w:szCs w:val="20"/>
        </w:rPr>
        <w:t>global</w:t>
      </w:r>
      <w:r w:rsidRPr="00125233">
        <w:rPr>
          <w:sz w:val="20"/>
          <w:szCs w:val="20"/>
        </w:rPr>
        <w:t xml:space="preserve"> proposto. </w:t>
      </w:r>
      <w:r w:rsidRPr="00F412EA">
        <w:rPr>
          <w:b/>
          <w:bCs/>
          <w:sz w:val="20"/>
          <w:szCs w:val="20"/>
          <w:u w:val="single"/>
        </w:rPr>
        <w:t>Cabe à licitante suportar</w:t>
      </w:r>
      <w:r w:rsidR="00125233" w:rsidRPr="00F412EA">
        <w:rPr>
          <w:b/>
          <w:bCs/>
          <w:sz w:val="20"/>
          <w:szCs w:val="20"/>
          <w:u w:val="single"/>
        </w:rPr>
        <w:t xml:space="preserve"> </w:t>
      </w:r>
      <w:r w:rsidRPr="00F412EA">
        <w:rPr>
          <w:b/>
          <w:bCs/>
          <w:sz w:val="20"/>
          <w:szCs w:val="20"/>
          <w:u w:val="single"/>
        </w:rPr>
        <w:t>o ônus decorrente do seu erro, no caso de a Administração considerar exequível a</w:t>
      </w:r>
      <w:r w:rsidR="00125233" w:rsidRPr="00F412EA">
        <w:rPr>
          <w:b/>
          <w:bCs/>
          <w:sz w:val="20"/>
          <w:szCs w:val="20"/>
          <w:u w:val="single"/>
        </w:rPr>
        <w:t xml:space="preserve"> </w:t>
      </w:r>
      <w:r w:rsidRPr="00F412EA">
        <w:rPr>
          <w:b/>
          <w:bCs/>
          <w:sz w:val="20"/>
          <w:szCs w:val="20"/>
          <w:u w:val="single"/>
        </w:rPr>
        <w:t>proposta apresentada.</w:t>
      </w:r>
      <w:r w:rsidR="00125233" w:rsidRPr="00125233">
        <w:rPr>
          <w:sz w:val="20"/>
          <w:szCs w:val="20"/>
        </w:rPr>
        <w:t xml:space="preserve"> (</w:t>
      </w:r>
      <w:r w:rsidRPr="00125233">
        <w:rPr>
          <w:sz w:val="20"/>
          <w:szCs w:val="20"/>
        </w:rPr>
        <w:t>Acórdão 2546/2015-Plenário | Relator: ANDRÉ DE CARVALHO</w:t>
      </w:r>
      <w:r w:rsidR="00125233" w:rsidRPr="00125233">
        <w:rPr>
          <w:sz w:val="20"/>
          <w:szCs w:val="20"/>
        </w:rPr>
        <w:t xml:space="preserve"> / </w:t>
      </w:r>
      <w:r w:rsidRPr="00125233">
        <w:rPr>
          <w:sz w:val="20"/>
          <w:szCs w:val="20"/>
        </w:rPr>
        <w:t>ÁREA: Licitação | TEMA: Julgamento | SUBTEMA: Erro material</w:t>
      </w:r>
      <w:r w:rsidR="00125233" w:rsidRPr="00125233">
        <w:rPr>
          <w:sz w:val="20"/>
          <w:szCs w:val="20"/>
        </w:rPr>
        <w:t xml:space="preserve"> / </w:t>
      </w:r>
      <w:r w:rsidRPr="00125233">
        <w:rPr>
          <w:sz w:val="20"/>
          <w:szCs w:val="20"/>
        </w:rPr>
        <w:t xml:space="preserve">Outros indexadores: Desclassificação, Manutenção, Correção, Preço </w:t>
      </w:r>
      <w:r w:rsidRPr="00125233">
        <w:rPr>
          <w:rStyle w:val="nfase"/>
          <w:sz w:val="20"/>
          <w:szCs w:val="20"/>
        </w:rPr>
        <w:t>global</w:t>
      </w:r>
      <w:r w:rsidRPr="00125233">
        <w:rPr>
          <w:sz w:val="20"/>
          <w:szCs w:val="20"/>
        </w:rPr>
        <w:t>, Planilha orçamentária, Diligência, Omissão</w:t>
      </w:r>
      <w:r w:rsidR="00125233" w:rsidRPr="00125233">
        <w:rPr>
          <w:sz w:val="20"/>
          <w:szCs w:val="20"/>
        </w:rPr>
        <w:t>)</w:t>
      </w:r>
      <w:r w:rsidR="00F412EA">
        <w:rPr>
          <w:sz w:val="20"/>
          <w:szCs w:val="20"/>
        </w:rPr>
        <w:t xml:space="preserve"> </w:t>
      </w:r>
      <w:r w:rsidR="00F412EA" w:rsidRPr="00F412EA">
        <w:rPr>
          <w:sz w:val="22"/>
          <w:szCs w:val="22"/>
        </w:rPr>
        <w:t>(grifamos)</w:t>
      </w:r>
    </w:p>
    <w:p w14:paraId="01FEE980" w14:textId="77777777" w:rsidR="00584347" w:rsidRDefault="00584347" w:rsidP="004A4C4A">
      <w:pPr>
        <w:spacing w:after="0" w:line="360" w:lineRule="auto"/>
        <w:jc w:val="both"/>
        <w:rPr>
          <w:rFonts w:ascii="Times New Roman" w:hAnsi="Times New Roman" w:cs="Times New Roman"/>
          <w:bCs/>
        </w:rPr>
      </w:pPr>
      <w:r>
        <w:rPr>
          <w:rFonts w:ascii="Times New Roman" w:hAnsi="Times New Roman" w:cs="Times New Roman"/>
          <w:bCs/>
        </w:rPr>
        <w:tab/>
      </w:r>
    </w:p>
    <w:p w14:paraId="028A7E8D" w14:textId="77977471" w:rsidR="001A0181" w:rsidRDefault="00584347" w:rsidP="00584347">
      <w:pPr>
        <w:spacing w:after="0" w:line="360" w:lineRule="auto"/>
        <w:ind w:firstLine="708"/>
        <w:jc w:val="both"/>
        <w:rPr>
          <w:rFonts w:ascii="Times New Roman" w:hAnsi="Times New Roman" w:cs="Times New Roman"/>
          <w:bCs/>
        </w:rPr>
      </w:pPr>
      <w:r>
        <w:rPr>
          <w:rFonts w:ascii="Times New Roman" w:hAnsi="Times New Roman" w:cs="Times New Roman"/>
          <w:bCs/>
        </w:rPr>
        <w:t>Assim, ainda que a Administração</w:t>
      </w:r>
      <w:r w:rsidR="000A6902">
        <w:rPr>
          <w:rFonts w:ascii="Times New Roman" w:hAnsi="Times New Roman" w:cs="Times New Roman"/>
          <w:bCs/>
        </w:rPr>
        <w:t xml:space="preserve">, a </w:t>
      </w:r>
      <w:proofErr w:type="spellStart"/>
      <w:r w:rsidR="000A6902" w:rsidRPr="00745F94">
        <w:rPr>
          <w:rFonts w:ascii="Times New Roman" w:hAnsi="Times New Roman" w:cs="Times New Roman"/>
          <w:bCs/>
          <w:i/>
          <w:iCs/>
        </w:rPr>
        <w:t>contrario</w:t>
      </w:r>
      <w:proofErr w:type="spellEnd"/>
      <w:r w:rsidR="000A6902" w:rsidRPr="00745F94">
        <w:rPr>
          <w:rFonts w:ascii="Times New Roman" w:hAnsi="Times New Roman" w:cs="Times New Roman"/>
          <w:bCs/>
          <w:i/>
          <w:iCs/>
        </w:rPr>
        <w:t xml:space="preserve"> sensu</w:t>
      </w:r>
      <w:r w:rsidR="000A6902">
        <w:rPr>
          <w:rFonts w:ascii="Times New Roman" w:hAnsi="Times New Roman" w:cs="Times New Roman"/>
          <w:bCs/>
        </w:rPr>
        <w:t xml:space="preserve"> d</w:t>
      </w:r>
      <w:r w:rsidR="00A53E4F">
        <w:rPr>
          <w:rFonts w:ascii="Times New Roman" w:hAnsi="Times New Roman" w:cs="Times New Roman"/>
          <w:bCs/>
        </w:rPr>
        <w:t>o princípio da legalidade e d</w:t>
      </w:r>
      <w:r w:rsidR="00745F94">
        <w:rPr>
          <w:rFonts w:ascii="Times New Roman" w:hAnsi="Times New Roman" w:cs="Times New Roman"/>
          <w:bCs/>
        </w:rPr>
        <w:t>a</w:t>
      </w:r>
      <w:r w:rsidR="00A53E4F">
        <w:rPr>
          <w:rFonts w:ascii="Times New Roman" w:hAnsi="Times New Roman" w:cs="Times New Roman"/>
          <w:bCs/>
        </w:rPr>
        <w:t xml:space="preserve"> vinculação ao instrumento convocatório,</w:t>
      </w:r>
      <w:r>
        <w:rPr>
          <w:rFonts w:ascii="Times New Roman" w:hAnsi="Times New Roman" w:cs="Times New Roman"/>
          <w:bCs/>
        </w:rPr>
        <w:t xml:space="preserve"> considere que o esclarecimento prestado, em </w:t>
      </w:r>
      <w:r w:rsidR="00A53E4F">
        <w:rPr>
          <w:rFonts w:ascii="Times New Roman" w:hAnsi="Times New Roman" w:cs="Times New Roman"/>
          <w:bCs/>
        </w:rPr>
        <w:t xml:space="preserve">desacordo </w:t>
      </w:r>
      <w:r>
        <w:rPr>
          <w:rFonts w:ascii="Times New Roman" w:hAnsi="Times New Roman" w:cs="Times New Roman"/>
          <w:bCs/>
        </w:rPr>
        <w:t xml:space="preserve">ao previsto na Planilha de Análise de Exequibilidade do Edital (Anexo III) </w:t>
      </w:r>
      <w:r w:rsidR="00CD2A7B">
        <w:rPr>
          <w:rFonts w:ascii="Times New Roman" w:hAnsi="Times New Roman" w:cs="Times New Roman"/>
          <w:bCs/>
        </w:rPr>
        <w:t xml:space="preserve">e às disposições legais pertinentes ao reequilíbrio econômico-financeiro do contrato </w:t>
      </w:r>
      <w:r>
        <w:rPr>
          <w:rFonts w:ascii="Times New Roman" w:hAnsi="Times New Roman" w:cs="Times New Roman"/>
          <w:bCs/>
        </w:rPr>
        <w:t xml:space="preserve">tenha o condão de vincular </w:t>
      </w:r>
      <w:r w:rsidR="00C91669">
        <w:rPr>
          <w:rFonts w:ascii="Times New Roman" w:hAnsi="Times New Roman" w:cs="Times New Roman"/>
          <w:bCs/>
        </w:rPr>
        <w:t xml:space="preserve">as partes envolvidas no procedimento licitatório, sobrepondo-se aos termos do Edital e seus </w:t>
      </w:r>
      <w:r w:rsidR="000A400D">
        <w:rPr>
          <w:rFonts w:ascii="Times New Roman" w:hAnsi="Times New Roman" w:cs="Times New Roman"/>
          <w:bCs/>
        </w:rPr>
        <w:t>A</w:t>
      </w:r>
      <w:r w:rsidR="00C91669">
        <w:rPr>
          <w:rFonts w:ascii="Times New Roman" w:hAnsi="Times New Roman" w:cs="Times New Roman"/>
          <w:bCs/>
        </w:rPr>
        <w:t>nexos, não seria por si só motivo de desclassificação da proposta ofertada pela META, uma vez que mantida a sua condição de exequibilidade com a alteração de margens que dizem respeito à rentabilidade da contratação e estratégia de gestão administrativa e operacional.</w:t>
      </w:r>
    </w:p>
    <w:p w14:paraId="535A556D" w14:textId="795BDBD0" w:rsidR="00C91669" w:rsidRDefault="00C91669" w:rsidP="00584347">
      <w:pPr>
        <w:spacing w:after="0" w:line="360" w:lineRule="auto"/>
        <w:ind w:firstLine="708"/>
        <w:jc w:val="both"/>
        <w:rPr>
          <w:rFonts w:ascii="Times New Roman" w:hAnsi="Times New Roman" w:cs="Times New Roman"/>
          <w:bCs/>
        </w:rPr>
      </w:pPr>
      <w:r>
        <w:rPr>
          <w:rFonts w:ascii="Times New Roman" w:hAnsi="Times New Roman" w:cs="Times New Roman"/>
          <w:bCs/>
        </w:rPr>
        <w:t>No mais, afastar a exequibilidade da Proposta da META até mesmo em um cenário de</w:t>
      </w:r>
      <w:r w:rsidR="001F4E6A">
        <w:rPr>
          <w:rFonts w:ascii="Times New Roman" w:hAnsi="Times New Roman" w:cs="Times New Roman"/>
          <w:bCs/>
        </w:rPr>
        <w:t xml:space="preserve"> risco de</w:t>
      </w:r>
      <w:r>
        <w:rPr>
          <w:rFonts w:ascii="Times New Roman" w:hAnsi="Times New Roman" w:cs="Times New Roman"/>
          <w:bCs/>
        </w:rPr>
        <w:t xml:space="preserve"> oneração da folha de pagamento seria considerar-se </w:t>
      </w:r>
      <w:r w:rsidR="00732760">
        <w:rPr>
          <w:rFonts w:ascii="Times New Roman" w:hAnsi="Times New Roman" w:cs="Times New Roman"/>
          <w:bCs/>
        </w:rPr>
        <w:t>inexequíveis também e no mínimo as 04 (quatro) propostas que lhe sucedem, incluindo-se a ofertada pela CAPGEMINI, que</w:t>
      </w:r>
      <w:r w:rsidR="00B9092A">
        <w:rPr>
          <w:rFonts w:ascii="Times New Roman" w:hAnsi="Times New Roman" w:cs="Times New Roman"/>
          <w:bCs/>
        </w:rPr>
        <w:t xml:space="preserve"> pode</w:t>
      </w:r>
      <w:r w:rsidR="006B3557">
        <w:rPr>
          <w:rFonts w:ascii="Times New Roman" w:hAnsi="Times New Roman" w:cs="Times New Roman"/>
          <w:bCs/>
        </w:rPr>
        <w:t>m</w:t>
      </w:r>
      <w:r w:rsidR="00B9092A">
        <w:rPr>
          <w:rFonts w:ascii="Times New Roman" w:hAnsi="Times New Roman" w:cs="Times New Roman"/>
          <w:bCs/>
        </w:rPr>
        <w:t xml:space="preserve"> ter considerado ou não</w:t>
      </w:r>
      <w:r w:rsidR="00732760">
        <w:rPr>
          <w:rFonts w:ascii="Times New Roman" w:hAnsi="Times New Roman" w:cs="Times New Roman"/>
          <w:bCs/>
        </w:rPr>
        <w:t xml:space="preserve"> </w:t>
      </w:r>
      <w:r w:rsidR="00B9092A">
        <w:rPr>
          <w:rFonts w:ascii="Times New Roman" w:hAnsi="Times New Roman" w:cs="Times New Roman"/>
          <w:bCs/>
        </w:rPr>
        <w:t>o benefício</w:t>
      </w:r>
      <w:r w:rsidR="00732760">
        <w:rPr>
          <w:rFonts w:ascii="Times New Roman" w:hAnsi="Times New Roman" w:cs="Times New Roman"/>
          <w:bCs/>
        </w:rPr>
        <w:t xml:space="preserve">, já que a diferença entre estas não ultrapassa 0,78%, equivalente a não mais que R$ 152.000,00 (cento e cinquenta e dois mil reais). </w:t>
      </w:r>
    </w:p>
    <w:p w14:paraId="65D4B09A" w14:textId="378DAAFD" w:rsidR="00B9092A" w:rsidRDefault="00B9092A" w:rsidP="00584347">
      <w:pPr>
        <w:spacing w:after="0" w:line="360" w:lineRule="auto"/>
        <w:ind w:firstLine="708"/>
        <w:jc w:val="both"/>
        <w:rPr>
          <w:rFonts w:ascii="Times New Roman" w:hAnsi="Times New Roman" w:cs="Times New Roman"/>
          <w:bCs/>
        </w:rPr>
      </w:pPr>
      <w:r>
        <w:rPr>
          <w:rFonts w:ascii="Times New Roman" w:hAnsi="Times New Roman" w:cs="Times New Roman"/>
          <w:bCs/>
        </w:rPr>
        <w:t xml:space="preserve">No mesmo sentido, afastar a exequibilidade da Proposta da META </w:t>
      </w:r>
      <w:r w:rsidR="009423CF">
        <w:rPr>
          <w:rFonts w:ascii="Times New Roman" w:hAnsi="Times New Roman" w:cs="Times New Roman"/>
          <w:bCs/>
        </w:rPr>
        <w:t>por não ter considerado a oneração da folha de pagamento, caracterizaria ingerência excessiva da Administração na liberdade alçada às licitantes em compor suas estratégias de preços, com custos, despesas, tributos e, inclusive, riscos</w:t>
      </w:r>
      <w:r w:rsidR="003B6431">
        <w:rPr>
          <w:rFonts w:ascii="Times New Roman" w:hAnsi="Times New Roman" w:cs="Times New Roman"/>
          <w:bCs/>
        </w:rPr>
        <w:t xml:space="preserve"> e ônus</w:t>
      </w:r>
      <w:r w:rsidR="009423CF">
        <w:rPr>
          <w:rFonts w:ascii="Times New Roman" w:hAnsi="Times New Roman" w:cs="Times New Roman"/>
          <w:bCs/>
        </w:rPr>
        <w:t xml:space="preserve"> assumidos na oferta de sua proposta. A Administração deve presumir, em sua análise, que as licitantes estão cientes dos termos do Edital e seus Anexos, bem como da legislação, a eles vinculando-se estritamente, nos exatos termos constantes nas propostas apresentadas, correndo por sua conta todos os ônus decorrentes de erros, equívocos ou mesmo estratégias e riscos assumidos.</w:t>
      </w:r>
      <w:r w:rsidR="008B687E" w:rsidRPr="00A91156">
        <w:rPr>
          <w:rFonts w:ascii="Times New Roman" w:hAnsi="Times New Roman" w:cs="Times New Roman"/>
          <w:bCs/>
        </w:rPr>
        <w:t xml:space="preserve">  É nesse sentido o item 7.11 d</w:t>
      </w:r>
      <w:r w:rsidR="008B687E" w:rsidRPr="008B687E">
        <w:rPr>
          <w:rFonts w:ascii="Times New Roman" w:hAnsi="Times New Roman" w:cs="Times New Roman"/>
          <w:bCs/>
        </w:rPr>
        <w:t>a IN SEGES/MP N. 5, de 2017</w:t>
      </w:r>
      <w:r w:rsidR="008B687E">
        <w:rPr>
          <w:rFonts w:ascii="Times New Roman" w:hAnsi="Times New Roman" w:cs="Times New Roman"/>
          <w:bCs/>
        </w:rPr>
        <w:t>.</w:t>
      </w:r>
    </w:p>
    <w:p w14:paraId="1706CC21" w14:textId="73509FA6" w:rsidR="007D43F1" w:rsidRDefault="007D43F1" w:rsidP="00584347">
      <w:pPr>
        <w:spacing w:after="0" w:line="360" w:lineRule="auto"/>
        <w:ind w:firstLine="708"/>
        <w:jc w:val="both"/>
        <w:rPr>
          <w:rFonts w:ascii="Times New Roman" w:hAnsi="Times New Roman" w:cs="Times New Roman"/>
          <w:bCs/>
        </w:rPr>
      </w:pPr>
      <w:r>
        <w:rPr>
          <w:rFonts w:ascii="Times New Roman" w:hAnsi="Times New Roman" w:cs="Times New Roman"/>
          <w:bCs/>
        </w:rPr>
        <w:t xml:space="preserve">Assim, negar a exequibilidade da proposta da META e desclassifica-la diante de todo o cenário posto, caracterizaria injustificável arbitrariedade, em prejuízo da obtenção da melhor proposta pelo MJSP, e em violação </w:t>
      </w:r>
      <w:r w:rsidR="00027ADA">
        <w:rPr>
          <w:rFonts w:ascii="Times New Roman" w:hAnsi="Times New Roman" w:cs="Times New Roman"/>
          <w:bCs/>
        </w:rPr>
        <w:t xml:space="preserve">à livre iniciativa </w:t>
      </w:r>
      <w:r w:rsidR="00DE1201">
        <w:rPr>
          <w:rFonts w:ascii="Times New Roman" w:hAnsi="Times New Roman" w:cs="Times New Roman"/>
          <w:bCs/>
        </w:rPr>
        <w:t xml:space="preserve">e concorrência (Art. 170 da CF/88) e </w:t>
      </w:r>
      <w:r>
        <w:rPr>
          <w:rFonts w:ascii="Times New Roman" w:hAnsi="Times New Roman" w:cs="Times New Roman"/>
          <w:bCs/>
        </w:rPr>
        <w:t>aos princípios mais basilares que regem as contratações públicas, dentre os quais o da eficiência, da economicidade</w:t>
      </w:r>
      <w:r w:rsidR="008B687E">
        <w:rPr>
          <w:rFonts w:ascii="Times New Roman" w:hAnsi="Times New Roman" w:cs="Times New Roman"/>
          <w:bCs/>
        </w:rPr>
        <w:t>,</w:t>
      </w:r>
      <w:r>
        <w:rPr>
          <w:rFonts w:ascii="Times New Roman" w:hAnsi="Times New Roman" w:cs="Times New Roman"/>
          <w:bCs/>
        </w:rPr>
        <w:t xml:space="preserve"> da razoabilidade/proporcionalidade e, sobretudo, da legalidade.</w:t>
      </w:r>
    </w:p>
    <w:p w14:paraId="4FFED56E" w14:textId="22A6097B" w:rsidR="00584347" w:rsidRDefault="00584347" w:rsidP="004A4C4A">
      <w:pPr>
        <w:spacing w:after="0" w:line="360" w:lineRule="auto"/>
        <w:jc w:val="both"/>
        <w:rPr>
          <w:rFonts w:ascii="Times New Roman" w:hAnsi="Times New Roman" w:cs="Times New Roman"/>
          <w:bCs/>
        </w:rPr>
      </w:pPr>
      <w:r>
        <w:rPr>
          <w:rFonts w:ascii="Times New Roman" w:hAnsi="Times New Roman" w:cs="Times New Roman"/>
          <w:bCs/>
        </w:rPr>
        <w:tab/>
      </w:r>
    </w:p>
    <w:p w14:paraId="1AE3DFD0" w14:textId="326DA27E" w:rsidR="005F314A" w:rsidRDefault="00394781" w:rsidP="005F314A">
      <w:pPr>
        <w:spacing w:after="0" w:line="360" w:lineRule="auto"/>
        <w:jc w:val="both"/>
        <w:rPr>
          <w:rFonts w:ascii="Times New Roman" w:hAnsi="Times New Roman" w:cs="Times New Roman"/>
          <w:b/>
        </w:rPr>
      </w:pPr>
      <w:r>
        <w:rPr>
          <w:rFonts w:ascii="Times New Roman" w:hAnsi="Times New Roman" w:cs="Times New Roman"/>
          <w:b/>
        </w:rPr>
        <w:t>V</w:t>
      </w:r>
      <w:r w:rsidR="004A4C4A">
        <w:rPr>
          <w:rFonts w:ascii="Times New Roman" w:hAnsi="Times New Roman" w:cs="Times New Roman"/>
          <w:b/>
        </w:rPr>
        <w:t xml:space="preserve"> </w:t>
      </w:r>
      <w:r>
        <w:rPr>
          <w:rFonts w:ascii="Times New Roman" w:hAnsi="Times New Roman" w:cs="Times New Roman"/>
          <w:b/>
        </w:rPr>
        <w:t xml:space="preserve">- </w:t>
      </w:r>
      <w:r w:rsidR="005F314A" w:rsidRPr="005F314A">
        <w:rPr>
          <w:rFonts w:ascii="Times New Roman" w:hAnsi="Times New Roman" w:cs="Times New Roman"/>
          <w:b/>
        </w:rPr>
        <w:t>DOS REQUERIMENTOS</w:t>
      </w:r>
    </w:p>
    <w:p w14:paraId="330DE8B5" w14:textId="77777777" w:rsidR="005F314A" w:rsidRPr="005F314A" w:rsidRDefault="005F314A" w:rsidP="005F314A">
      <w:pPr>
        <w:spacing w:after="0" w:line="360" w:lineRule="auto"/>
        <w:jc w:val="both"/>
        <w:rPr>
          <w:rFonts w:ascii="Times New Roman" w:hAnsi="Times New Roman" w:cs="Times New Roman"/>
          <w:b/>
        </w:rPr>
      </w:pPr>
    </w:p>
    <w:p w14:paraId="37A53FCC" w14:textId="02A6A297" w:rsidR="005F314A" w:rsidRPr="005F314A" w:rsidRDefault="005F314A" w:rsidP="005F314A">
      <w:pPr>
        <w:spacing w:after="0" w:line="360" w:lineRule="auto"/>
        <w:ind w:firstLine="708"/>
        <w:jc w:val="both"/>
        <w:rPr>
          <w:rFonts w:ascii="Times New Roman" w:hAnsi="Times New Roman" w:cs="Times New Roman"/>
        </w:rPr>
      </w:pPr>
      <w:r w:rsidRPr="005F314A">
        <w:rPr>
          <w:rFonts w:ascii="Times New Roman" w:hAnsi="Times New Roman" w:cs="Times New Roman"/>
        </w:rPr>
        <w:t xml:space="preserve">Diante do exposto, </w:t>
      </w:r>
      <w:r w:rsidRPr="005F314A">
        <w:rPr>
          <w:rFonts w:ascii="Times New Roman" w:hAnsi="Times New Roman" w:cs="Times New Roman"/>
          <w:b/>
        </w:rPr>
        <w:t>REQUER</w:t>
      </w:r>
      <w:r w:rsidRPr="005F314A">
        <w:rPr>
          <w:rFonts w:ascii="Times New Roman" w:hAnsi="Times New Roman" w:cs="Times New Roman"/>
        </w:rPr>
        <w:t xml:space="preserve"> o acolhimento das presentes contrarrazões, para, no mérito, </w:t>
      </w:r>
      <w:r w:rsidR="004A4C4A">
        <w:rPr>
          <w:rFonts w:ascii="Times New Roman" w:hAnsi="Times New Roman" w:cs="Times New Roman"/>
        </w:rPr>
        <w:t xml:space="preserve">não acolher as manifestações de interesse recursal das licitantes DATAINFO </w:t>
      </w:r>
      <w:r w:rsidR="00F059A9">
        <w:rPr>
          <w:rFonts w:ascii="Times New Roman" w:hAnsi="Times New Roman" w:cs="Times New Roman"/>
        </w:rPr>
        <w:t>e</w:t>
      </w:r>
      <w:r w:rsidR="004A4C4A">
        <w:rPr>
          <w:rFonts w:ascii="Times New Roman" w:hAnsi="Times New Roman" w:cs="Times New Roman"/>
        </w:rPr>
        <w:t xml:space="preserve"> SIGMA, porquanto não apresentadas as </w:t>
      </w:r>
      <w:r w:rsidR="00F059A9">
        <w:rPr>
          <w:rFonts w:ascii="Times New Roman" w:hAnsi="Times New Roman" w:cs="Times New Roman"/>
        </w:rPr>
        <w:t xml:space="preserve">respectivas </w:t>
      </w:r>
      <w:r w:rsidR="004A4C4A">
        <w:rPr>
          <w:rFonts w:ascii="Times New Roman" w:hAnsi="Times New Roman" w:cs="Times New Roman"/>
        </w:rPr>
        <w:t>razões recursais</w:t>
      </w:r>
      <w:r w:rsidR="00F059A9">
        <w:rPr>
          <w:rFonts w:ascii="Times New Roman" w:hAnsi="Times New Roman" w:cs="Times New Roman"/>
        </w:rPr>
        <w:t xml:space="preserve"> e, em acolhendo, negar-lhes provimento</w:t>
      </w:r>
      <w:r w:rsidR="004A4C4A">
        <w:rPr>
          <w:rFonts w:ascii="Times New Roman" w:hAnsi="Times New Roman" w:cs="Times New Roman"/>
        </w:rPr>
        <w:t xml:space="preserve">, bem como, em acolhendo, </w:t>
      </w:r>
      <w:r w:rsidRPr="005F314A">
        <w:rPr>
          <w:rFonts w:ascii="Times New Roman" w:hAnsi="Times New Roman" w:cs="Times New Roman"/>
        </w:rPr>
        <w:t xml:space="preserve">negar provimento ao recurso administrativo interposto pela empresa </w:t>
      </w:r>
      <w:r w:rsidR="004A4C4A">
        <w:rPr>
          <w:rFonts w:ascii="Times New Roman" w:hAnsi="Times New Roman" w:cs="Times New Roman"/>
        </w:rPr>
        <w:t>CAPGEMINI BRASIL S/A</w:t>
      </w:r>
      <w:r w:rsidRPr="005F314A">
        <w:rPr>
          <w:rFonts w:ascii="Times New Roman" w:hAnsi="Times New Roman" w:cs="Times New Roman"/>
        </w:rPr>
        <w:t>, mantendo-se a</w:t>
      </w:r>
      <w:r w:rsidR="00DD60FD">
        <w:rPr>
          <w:rFonts w:ascii="Times New Roman" w:hAnsi="Times New Roman" w:cs="Times New Roman"/>
        </w:rPr>
        <w:t xml:space="preserve"> </w:t>
      </w:r>
      <w:r w:rsidR="004F05A2">
        <w:rPr>
          <w:rFonts w:ascii="Times New Roman" w:hAnsi="Times New Roman" w:cs="Times New Roman"/>
        </w:rPr>
        <w:t xml:space="preserve">decisão de </w:t>
      </w:r>
      <w:r w:rsidR="004A4C4A">
        <w:rPr>
          <w:rFonts w:ascii="Times New Roman" w:hAnsi="Times New Roman" w:cs="Times New Roman"/>
        </w:rPr>
        <w:t xml:space="preserve">classificação e </w:t>
      </w:r>
      <w:r w:rsidR="004F05A2">
        <w:rPr>
          <w:rFonts w:ascii="Times New Roman" w:hAnsi="Times New Roman" w:cs="Times New Roman"/>
        </w:rPr>
        <w:t>habilitação da empresa META SERVIÇOS EM INFORMÁTICA S</w:t>
      </w:r>
      <w:r w:rsidR="00B21064">
        <w:rPr>
          <w:rFonts w:ascii="Times New Roman" w:hAnsi="Times New Roman" w:cs="Times New Roman"/>
        </w:rPr>
        <w:t>/</w:t>
      </w:r>
      <w:r w:rsidR="004F05A2">
        <w:rPr>
          <w:rFonts w:ascii="Times New Roman" w:hAnsi="Times New Roman" w:cs="Times New Roman"/>
        </w:rPr>
        <w:t>A</w:t>
      </w:r>
      <w:r w:rsidR="00B21064">
        <w:rPr>
          <w:rFonts w:ascii="Times New Roman" w:hAnsi="Times New Roman" w:cs="Times New Roman"/>
        </w:rPr>
        <w:t xml:space="preserve"> e prosseguindo-se com os atos de homologação e adjudicação</w:t>
      </w:r>
      <w:r w:rsidR="004A4C4A">
        <w:rPr>
          <w:rFonts w:ascii="Times New Roman" w:hAnsi="Times New Roman" w:cs="Times New Roman"/>
        </w:rPr>
        <w:t xml:space="preserve"> do objeto do certame</w:t>
      </w:r>
      <w:r w:rsidR="004F05A2">
        <w:rPr>
          <w:rFonts w:ascii="Times New Roman" w:hAnsi="Times New Roman" w:cs="Times New Roman"/>
        </w:rPr>
        <w:t xml:space="preserve">, </w:t>
      </w:r>
      <w:r w:rsidR="00DD60FD">
        <w:rPr>
          <w:rFonts w:ascii="Times New Roman" w:hAnsi="Times New Roman" w:cs="Times New Roman"/>
        </w:rPr>
        <w:t>consoante</w:t>
      </w:r>
      <w:r w:rsidRPr="005F314A">
        <w:rPr>
          <w:rFonts w:ascii="Times New Roman" w:hAnsi="Times New Roman" w:cs="Times New Roman"/>
        </w:rPr>
        <w:t xml:space="preserve"> razões de fato e de direito </w:t>
      </w:r>
      <w:r w:rsidR="009B2440">
        <w:rPr>
          <w:rFonts w:ascii="Times New Roman" w:hAnsi="Times New Roman" w:cs="Times New Roman"/>
        </w:rPr>
        <w:t>acima</w:t>
      </w:r>
      <w:r w:rsidRPr="005F314A">
        <w:rPr>
          <w:rFonts w:ascii="Times New Roman" w:hAnsi="Times New Roman" w:cs="Times New Roman"/>
        </w:rPr>
        <w:t xml:space="preserve"> expostas.</w:t>
      </w:r>
    </w:p>
    <w:p w14:paraId="598D38FE" w14:textId="77777777" w:rsidR="005F314A" w:rsidRPr="005F314A" w:rsidRDefault="005F314A" w:rsidP="005F314A">
      <w:pPr>
        <w:spacing w:after="0" w:line="360" w:lineRule="auto"/>
        <w:jc w:val="both"/>
        <w:rPr>
          <w:rFonts w:ascii="Times New Roman" w:hAnsi="Times New Roman" w:cs="Times New Roman"/>
        </w:rPr>
      </w:pPr>
    </w:p>
    <w:p w14:paraId="19D057D8" w14:textId="77777777" w:rsidR="005F314A" w:rsidRPr="005F314A" w:rsidRDefault="005F314A" w:rsidP="005F314A">
      <w:pPr>
        <w:spacing w:after="0"/>
        <w:ind w:left="2268"/>
        <w:jc w:val="both"/>
        <w:rPr>
          <w:rFonts w:ascii="Times New Roman" w:hAnsi="Times New Roman" w:cs="Times New Roman"/>
          <w:b/>
        </w:rPr>
      </w:pPr>
      <w:r w:rsidRPr="005F314A">
        <w:rPr>
          <w:rFonts w:ascii="Times New Roman" w:hAnsi="Times New Roman" w:cs="Times New Roman"/>
          <w:b/>
        </w:rPr>
        <w:t>Termos em que,</w:t>
      </w:r>
    </w:p>
    <w:p w14:paraId="68C6BEB3" w14:textId="77777777" w:rsidR="005F314A" w:rsidRPr="005F314A" w:rsidRDefault="005F314A" w:rsidP="005F314A">
      <w:pPr>
        <w:spacing w:after="0"/>
        <w:ind w:left="2268"/>
        <w:jc w:val="both"/>
        <w:rPr>
          <w:rFonts w:ascii="Times New Roman" w:hAnsi="Times New Roman" w:cs="Times New Roman"/>
          <w:b/>
        </w:rPr>
      </w:pPr>
      <w:r w:rsidRPr="005F314A">
        <w:rPr>
          <w:rFonts w:ascii="Times New Roman" w:hAnsi="Times New Roman" w:cs="Times New Roman"/>
          <w:b/>
        </w:rPr>
        <w:t>Pede e espera deferimento.</w:t>
      </w:r>
    </w:p>
    <w:p w14:paraId="2B8ED2F0" w14:textId="77777777" w:rsidR="005F314A" w:rsidRPr="005F314A" w:rsidRDefault="005F314A" w:rsidP="005F314A">
      <w:pPr>
        <w:spacing w:after="0" w:line="360" w:lineRule="auto"/>
        <w:jc w:val="both"/>
        <w:rPr>
          <w:rFonts w:ascii="Times New Roman" w:hAnsi="Times New Roman" w:cs="Times New Roman"/>
        </w:rPr>
      </w:pPr>
    </w:p>
    <w:p w14:paraId="213F08F9" w14:textId="7C38063F" w:rsidR="005F314A" w:rsidRPr="005F314A" w:rsidRDefault="005F314A" w:rsidP="005F314A">
      <w:pPr>
        <w:spacing w:after="0" w:line="360" w:lineRule="auto"/>
        <w:jc w:val="right"/>
        <w:rPr>
          <w:rFonts w:ascii="Times New Roman" w:hAnsi="Times New Roman" w:cs="Times New Roman"/>
        </w:rPr>
      </w:pPr>
      <w:r w:rsidRPr="005F314A">
        <w:rPr>
          <w:rFonts w:ascii="Times New Roman" w:hAnsi="Times New Roman" w:cs="Times New Roman"/>
        </w:rPr>
        <w:t xml:space="preserve">Barueri/SP, </w:t>
      </w:r>
      <w:r w:rsidR="004A4C4A">
        <w:rPr>
          <w:rFonts w:ascii="Times New Roman" w:hAnsi="Times New Roman" w:cs="Times New Roman"/>
        </w:rPr>
        <w:t>28 de setembro</w:t>
      </w:r>
      <w:r w:rsidR="00B21064">
        <w:rPr>
          <w:rFonts w:ascii="Times New Roman" w:hAnsi="Times New Roman" w:cs="Times New Roman"/>
        </w:rPr>
        <w:t xml:space="preserve"> de 2020</w:t>
      </w:r>
      <w:r w:rsidR="004F05A2">
        <w:rPr>
          <w:rFonts w:ascii="Times New Roman" w:hAnsi="Times New Roman" w:cs="Times New Roman"/>
        </w:rPr>
        <w:t>.</w:t>
      </w:r>
    </w:p>
    <w:p w14:paraId="648A39DA" w14:textId="77777777" w:rsidR="00E8619A" w:rsidRDefault="00E8619A" w:rsidP="005F314A">
      <w:pPr>
        <w:spacing w:after="0"/>
        <w:jc w:val="center"/>
        <w:rPr>
          <w:rFonts w:ascii="Times New Roman" w:hAnsi="Times New Roman" w:cs="Times New Roman"/>
        </w:rPr>
      </w:pPr>
    </w:p>
    <w:p w14:paraId="044440B9" w14:textId="11EDA2C6" w:rsidR="005F314A" w:rsidRPr="005F314A" w:rsidRDefault="005F314A" w:rsidP="005F314A">
      <w:pPr>
        <w:spacing w:after="0"/>
        <w:jc w:val="center"/>
        <w:rPr>
          <w:rFonts w:ascii="Times New Roman" w:hAnsi="Times New Roman" w:cs="Times New Roman"/>
        </w:rPr>
      </w:pPr>
      <w:r w:rsidRPr="005F314A">
        <w:rPr>
          <w:rFonts w:ascii="Times New Roman" w:hAnsi="Times New Roman" w:cs="Times New Roman"/>
        </w:rPr>
        <w:t>_____________________________________</w:t>
      </w:r>
      <w:r w:rsidR="0092042B">
        <w:rPr>
          <w:rFonts w:ascii="Times New Roman" w:hAnsi="Times New Roman" w:cs="Times New Roman"/>
        </w:rPr>
        <w:t>_</w:t>
      </w:r>
    </w:p>
    <w:p w14:paraId="4973B9DF" w14:textId="77777777" w:rsidR="005F314A" w:rsidRPr="005F314A" w:rsidRDefault="005F314A" w:rsidP="005F314A">
      <w:pPr>
        <w:spacing w:after="0"/>
        <w:jc w:val="center"/>
        <w:rPr>
          <w:rFonts w:ascii="Times New Roman" w:hAnsi="Times New Roman" w:cs="Times New Roman"/>
          <w:b/>
        </w:rPr>
      </w:pPr>
      <w:r w:rsidRPr="005F314A">
        <w:rPr>
          <w:rFonts w:ascii="Times New Roman" w:hAnsi="Times New Roman" w:cs="Times New Roman"/>
          <w:b/>
        </w:rPr>
        <w:t>META SERVIÇOS EM INFORMÁTICA S/A</w:t>
      </w:r>
    </w:p>
    <w:p w14:paraId="77AE707B" w14:textId="77777777" w:rsidR="005F314A" w:rsidRDefault="005F314A" w:rsidP="005F314A">
      <w:pPr>
        <w:spacing w:after="0"/>
        <w:jc w:val="center"/>
        <w:rPr>
          <w:rFonts w:ascii="Times New Roman" w:hAnsi="Times New Roman" w:cs="Times New Roman"/>
        </w:rPr>
      </w:pPr>
      <w:r>
        <w:rPr>
          <w:rFonts w:ascii="Times New Roman" w:hAnsi="Times New Roman" w:cs="Times New Roman"/>
        </w:rPr>
        <w:t>Roberta Reinehr</w:t>
      </w:r>
    </w:p>
    <w:p w14:paraId="7A1E2208" w14:textId="1104A821" w:rsidR="005F314A" w:rsidRDefault="00A75622" w:rsidP="005F314A">
      <w:pPr>
        <w:spacing w:after="0"/>
        <w:jc w:val="center"/>
        <w:rPr>
          <w:rFonts w:ascii="Times New Roman" w:hAnsi="Times New Roman" w:cs="Times New Roman"/>
        </w:rPr>
      </w:pPr>
      <w:r>
        <w:rPr>
          <w:rFonts w:ascii="Times New Roman" w:hAnsi="Times New Roman" w:cs="Times New Roman"/>
        </w:rPr>
        <w:t>Gerente de Serviços - Governo</w:t>
      </w:r>
      <w:bookmarkEnd w:id="0"/>
    </w:p>
    <w:sectPr w:rsidR="005F314A" w:rsidSect="00675736">
      <w:headerReference w:type="default" r:id="rId13"/>
      <w:pgSz w:w="11906" w:h="16838"/>
      <w:pgMar w:top="1134" w:right="1701"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F941D82" w14:textId="77777777" w:rsidR="00C42ED8" w:rsidRDefault="00C42ED8" w:rsidP="005F314A">
      <w:pPr>
        <w:spacing w:after="0" w:line="240" w:lineRule="auto"/>
      </w:pPr>
      <w:r>
        <w:separator/>
      </w:r>
    </w:p>
  </w:endnote>
  <w:endnote w:type="continuationSeparator" w:id="0">
    <w:p w14:paraId="4B4256C9" w14:textId="77777777" w:rsidR="00C42ED8" w:rsidRDefault="00C42ED8" w:rsidP="005F31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EA3EEF9" w14:textId="77777777" w:rsidR="00C42ED8" w:rsidRDefault="00C42ED8" w:rsidP="005F314A">
      <w:pPr>
        <w:spacing w:after="0" w:line="240" w:lineRule="auto"/>
      </w:pPr>
      <w:r>
        <w:separator/>
      </w:r>
    </w:p>
  </w:footnote>
  <w:footnote w:type="continuationSeparator" w:id="0">
    <w:p w14:paraId="36E22ACF" w14:textId="77777777" w:rsidR="00C42ED8" w:rsidRDefault="00C42ED8" w:rsidP="005F314A">
      <w:pPr>
        <w:spacing w:after="0" w:line="240" w:lineRule="auto"/>
      </w:pPr>
      <w:r>
        <w:continuationSeparator/>
      </w:r>
    </w:p>
  </w:footnote>
  <w:footnote w:id="1">
    <w:p w14:paraId="50B9233D" w14:textId="37EC04A8" w:rsidR="004864CC" w:rsidRDefault="004864CC">
      <w:pPr>
        <w:pStyle w:val="Textodenotaderodap"/>
      </w:pPr>
      <w:r>
        <w:rPr>
          <w:rStyle w:val="Refdenotaderodap"/>
        </w:rPr>
        <w:footnoteRef/>
      </w:r>
      <w:r>
        <w:t xml:space="preserve"> </w:t>
      </w:r>
      <w:r w:rsidRPr="00D61BE1">
        <w:rPr>
          <w:rFonts w:ascii="Times New Roman" w:hAnsi="Times New Roman" w:cs="Times New Roman"/>
        </w:rPr>
        <w:t>https://michaelis.uol.com.br/moderno-portugues/busca/portugues-brasileiro/presumir/</w:t>
      </w:r>
    </w:p>
  </w:footnote>
  <w:footnote w:id="2">
    <w:p w14:paraId="4AB12278" w14:textId="50C07963" w:rsidR="0072794A" w:rsidRDefault="0072794A" w:rsidP="00660C0C">
      <w:pPr>
        <w:pStyle w:val="Textodenotaderodap"/>
        <w:jc w:val="both"/>
      </w:pPr>
      <w:r>
        <w:rPr>
          <w:rStyle w:val="Refdenotaderodap"/>
        </w:rPr>
        <w:footnoteRef/>
      </w:r>
      <w:r w:rsidR="00660C0C">
        <w:t xml:space="preserve"> </w:t>
      </w:r>
      <w:r w:rsidR="00660C0C" w:rsidRPr="00660C0C">
        <w:t>https://valor.globo.com/politica/noticia/2020/09/01/para-evitar-derrota-governo-propoe-mais-6-meses-de-desoneracao-em-2021.ghtml</w:t>
      </w:r>
    </w:p>
  </w:footnote>
  <w:footnote w:id="3">
    <w:p w14:paraId="19421CC8" w14:textId="3456B743" w:rsidR="00660C0C" w:rsidRDefault="00660C0C" w:rsidP="00660C0C">
      <w:pPr>
        <w:pStyle w:val="Textodenotaderodap"/>
        <w:jc w:val="both"/>
      </w:pPr>
      <w:r>
        <w:rPr>
          <w:rStyle w:val="Refdenotaderodap"/>
        </w:rPr>
        <w:footnoteRef/>
      </w:r>
      <w:r>
        <w:t xml:space="preserve"> </w:t>
      </w:r>
      <w:r w:rsidRPr="00660C0C">
        <w:t>https://g1.globo.com/economia/noticia/2020/09/23/guedes-defende-tributos-alternativos-e-diz-que-o-pais-tem-que-desonerar-a-folha.ghtml</w:t>
      </w:r>
    </w:p>
  </w:footnote>
  <w:footnote w:id="4">
    <w:p w14:paraId="5D73C10D" w14:textId="3D4F4EDF" w:rsidR="004864CC" w:rsidRDefault="004864CC" w:rsidP="00660C0C">
      <w:pPr>
        <w:pStyle w:val="Textodenotaderodap"/>
        <w:jc w:val="both"/>
      </w:pPr>
      <w:r>
        <w:rPr>
          <w:rStyle w:val="Refdenotaderodap"/>
        </w:rPr>
        <w:footnoteRef/>
      </w:r>
      <w:r>
        <w:t xml:space="preserve"> </w:t>
      </w:r>
      <w:r w:rsidRPr="00E17D55">
        <w:t>https://www.camara.leg.br/noticias/678558-reforma-tributaria-saiba-mais-sobre-o-projeto-que-cria-a-contribuicao-sobre-bens-e-servicos/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D3378D" w14:textId="77777777" w:rsidR="004864CC" w:rsidRDefault="004864CC">
    <w:pPr>
      <w:pStyle w:val="Cabealho"/>
    </w:pPr>
    <w:r>
      <w:rPr>
        <w:noProof/>
        <w:lang w:eastAsia="pt-BR"/>
      </w:rPr>
      <w:drawing>
        <wp:anchor distT="0" distB="0" distL="114300" distR="114300" simplePos="0" relativeHeight="251657216" behindDoc="0" locked="0" layoutInCell="1" allowOverlap="1" wp14:anchorId="6CC6B173" wp14:editId="1D927AAC">
          <wp:simplePos x="0" y="0"/>
          <wp:positionH relativeFrom="margin">
            <wp:posOffset>4050030</wp:posOffset>
          </wp:positionH>
          <wp:positionV relativeFrom="margin">
            <wp:posOffset>-809625</wp:posOffset>
          </wp:positionV>
          <wp:extent cx="1359535" cy="408305"/>
          <wp:effectExtent l="0" t="0" r="0" b="0"/>
          <wp:wrapSquare wrapText="bothSides"/>
          <wp:docPr id="22" name="Imagem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59535" cy="408305"/>
                  </a:xfrm>
                  <a:prstGeom prst="rect">
                    <a:avLst/>
                  </a:prstGeom>
                  <a:noFill/>
                </pic:spPr>
              </pic:pic>
            </a:graphicData>
          </a:graphic>
        </wp:anchor>
      </w:drawing>
    </w:r>
  </w:p>
  <w:p w14:paraId="5506E1C1" w14:textId="77777777" w:rsidR="004864CC" w:rsidRDefault="004864CC">
    <w:pPr>
      <w:pStyle w:val="Cabealho"/>
    </w:pPr>
  </w:p>
  <w:p w14:paraId="040F9889" w14:textId="77777777" w:rsidR="004864CC" w:rsidRDefault="004864CC">
    <w:pPr>
      <w:pStyle w:val="Cabealho"/>
    </w:pPr>
  </w:p>
  <w:p w14:paraId="655B7711" w14:textId="77777777" w:rsidR="004864CC" w:rsidRDefault="004864CC">
    <w:pPr>
      <w:pStyle w:val="Cabealho"/>
    </w:pPr>
  </w:p>
  <w:p w14:paraId="00F3A2F8" w14:textId="77777777" w:rsidR="004864CC" w:rsidRDefault="004864CC">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DA1EB0"/>
    <w:multiLevelType w:val="hybridMultilevel"/>
    <w:tmpl w:val="AC56E14C"/>
    <w:lvl w:ilvl="0" w:tplc="3912F3FC">
      <w:start w:val="1"/>
      <w:numFmt w:val="lowerLetter"/>
      <w:lvlText w:val="(%1)"/>
      <w:lvlJc w:val="left"/>
      <w:pPr>
        <w:ind w:left="1773" w:hanging="1065"/>
      </w:pPr>
      <w:rPr>
        <w:rFonts w:hint="default"/>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1" w15:restartNumberingAfterBreak="0">
    <w:nsid w:val="04E624C5"/>
    <w:multiLevelType w:val="multilevel"/>
    <w:tmpl w:val="B3E4B8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63826F0"/>
    <w:multiLevelType w:val="multilevel"/>
    <w:tmpl w:val="F0E885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B913D49"/>
    <w:multiLevelType w:val="hybridMultilevel"/>
    <w:tmpl w:val="DB98E220"/>
    <w:lvl w:ilvl="0" w:tplc="0A9EAE86">
      <w:start w:val="3"/>
      <w:numFmt w:val="bullet"/>
      <w:lvlText w:val=""/>
      <w:lvlJc w:val="left"/>
      <w:pPr>
        <w:ind w:left="720" w:hanging="360"/>
      </w:pPr>
      <w:rPr>
        <w:rFonts w:ascii="Wingdings" w:eastAsiaTheme="minorHAnsi" w:hAnsi="Wingdings" w:cs="Times New Roman"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 w15:restartNumberingAfterBreak="0">
    <w:nsid w:val="1D4504BC"/>
    <w:multiLevelType w:val="hybridMultilevel"/>
    <w:tmpl w:val="AD24BF1C"/>
    <w:lvl w:ilvl="0" w:tplc="F53C972A">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15:restartNumberingAfterBreak="0">
    <w:nsid w:val="1E29480A"/>
    <w:multiLevelType w:val="hybridMultilevel"/>
    <w:tmpl w:val="54468186"/>
    <w:lvl w:ilvl="0" w:tplc="0BD2C392">
      <w:start w:val="1"/>
      <w:numFmt w:val="decimal"/>
      <w:lvlText w:val="%1)"/>
      <w:lvlJc w:val="left"/>
      <w:pPr>
        <w:ind w:left="1068" w:hanging="360"/>
      </w:pPr>
      <w:rPr>
        <w:rFonts w:hint="default"/>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6" w15:restartNumberingAfterBreak="0">
    <w:nsid w:val="33AA4B78"/>
    <w:multiLevelType w:val="multilevel"/>
    <w:tmpl w:val="DE5283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C4273FE"/>
    <w:multiLevelType w:val="hybridMultilevel"/>
    <w:tmpl w:val="C95C7974"/>
    <w:lvl w:ilvl="0" w:tplc="2A9AB650">
      <w:start w:val="1"/>
      <w:numFmt w:val="decimal"/>
      <w:lvlText w:val="%1."/>
      <w:lvlJc w:val="left"/>
      <w:pPr>
        <w:ind w:left="1068" w:hanging="360"/>
      </w:pPr>
      <w:rPr>
        <w:rFonts w:hint="default"/>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8" w15:restartNumberingAfterBreak="0">
    <w:nsid w:val="40F00B18"/>
    <w:multiLevelType w:val="hybridMultilevel"/>
    <w:tmpl w:val="24B0FE16"/>
    <w:lvl w:ilvl="0" w:tplc="6E52E1C0">
      <w:numFmt w:val="bullet"/>
      <w:lvlText w:val=""/>
      <w:lvlJc w:val="left"/>
      <w:pPr>
        <w:ind w:left="720" w:hanging="360"/>
      </w:pPr>
      <w:rPr>
        <w:rFonts w:ascii="Wingdings" w:eastAsiaTheme="minorHAnsi" w:hAnsi="Wingdings" w:cs="Times New Roman"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9" w15:restartNumberingAfterBreak="0">
    <w:nsid w:val="4BFF28D1"/>
    <w:multiLevelType w:val="hybridMultilevel"/>
    <w:tmpl w:val="78C8F70A"/>
    <w:lvl w:ilvl="0" w:tplc="ECDEB086">
      <w:numFmt w:val="bullet"/>
      <w:lvlText w:val=""/>
      <w:lvlJc w:val="left"/>
      <w:pPr>
        <w:ind w:left="720" w:hanging="360"/>
      </w:pPr>
      <w:rPr>
        <w:rFonts w:ascii="Symbol" w:eastAsiaTheme="minorHAnsi" w:hAnsi="Symbol" w:cs="Times New Roman"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0" w15:restartNumberingAfterBreak="0">
    <w:nsid w:val="527350EA"/>
    <w:multiLevelType w:val="hybridMultilevel"/>
    <w:tmpl w:val="FFD64208"/>
    <w:lvl w:ilvl="0" w:tplc="08E6AEF8">
      <w:start w:val="1"/>
      <w:numFmt w:val="lowerLetter"/>
      <w:lvlText w:val="%1)"/>
      <w:lvlJc w:val="left"/>
      <w:pPr>
        <w:ind w:left="1068" w:hanging="360"/>
      </w:pPr>
      <w:rPr>
        <w:rFonts w:hint="default"/>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11" w15:restartNumberingAfterBreak="0">
    <w:nsid w:val="55C7758B"/>
    <w:multiLevelType w:val="multilevel"/>
    <w:tmpl w:val="5AE699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7C30AA9"/>
    <w:multiLevelType w:val="hybridMultilevel"/>
    <w:tmpl w:val="CD0CD718"/>
    <w:lvl w:ilvl="0" w:tplc="63263E48">
      <w:start w:val="1"/>
      <w:numFmt w:val="lowerLetter"/>
      <w:lvlText w:val="(%1)"/>
      <w:lvlJc w:val="left"/>
      <w:pPr>
        <w:ind w:left="1068" w:hanging="360"/>
      </w:pPr>
      <w:rPr>
        <w:rFonts w:hint="default"/>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13" w15:restartNumberingAfterBreak="0">
    <w:nsid w:val="63767FC7"/>
    <w:multiLevelType w:val="hybridMultilevel"/>
    <w:tmpl w:val="AC466ABC"/>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12"/>
  </w:num>
  <w:num w:numId="2">
    <w:abstractNumId w:val="4"/>
  </w:num>
  <w:num w:numId="3">
    <w:abstractNumId w:val="0"/>
  </w:num>
  <w:num w:numId="4">
    <w:abstractNumId w:val="9"/>
  </w:num>
  <w:num w:numId="5">
    <w:abstractNumId w:val="10"/>
  </w:num>
  <w:num w:numId="6">
    <w:abstractNumId w:val="7"/>
  </w:num>
  <w:num w:numId="7">
    <w:abstractNumId w:val="13"/>
  </w:num>
  <w:num w:numId="8">
    <w:abstractNumId w:val="5"/>
  </w:num>
  <w:num w:numId="9">
    <w:abstractNumId w:val="8"/>
  </w:num>
  <w:num w:numId="10">
    <w:abstractNumId w:val="3"/>
  </w:num>
  <w:num w:numId="11">
    <w:abstractNumId w:val="11"/>
  </w:num>
  <w:num w:numId="12">
    <w:abstractNumId w:val="6"/>
  </w:num>
  <w:num w:numId="13">
    <w:abstractNumId w:val="1"/>
  </w:num>
  <w:num w:numId="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3BD6"/>
    <w:rsid w:val="00004633"/>
    <w:rsid w:val="000062F1"/>
    <w:rsid w:val="00007509"/>
    <w:rsid w:val="000100F9"/>
    <w:rsid w:val="00016848"/>
    <w:rsid w:val="00024411"/>
    <w:rsid w:val="00027ADA"/>
    <w:rsid w:val="000301C0"/>
    <w:rsid w:val="00040561"/>
    <w:rsid w:val="00042702"/>
    <w:rsid w:val="000465B6"/>
    <w:rsid w:val="00051B53"/>
    <w:rsid w:val="0005301B"/>
    <w:rsid w:val="0006110D"/>
    <w:rsid w:val="0006139F"/>
    <w:rsid w:val="00070239"/>
    <w:rsid w:val="0007257F"/>
    <w:rsid w:val="00073263"/>
    <w:rsid w:val="0007536B"/>
    <w:rsid w:val="0008536C"/>
    <w:rsid w:val="00094571"/>
    <w:rsid w:val="000952DF"/>
    <w:rsid w:val="000A05B3"/>
    <w:rsid w:val="000A3ADA"/>
    <w:rsid w:val="000A400D"/>
    <w:rsid w:val="000A6902"/>
    <w:rsid w:val="000B346F"/>
    <w:rsid w:val="000B34DC"/>
    <w:rsid w:val="000B53D9"/>
    <w:rsid w:val="000C4105"/>
    <w:rsid w:val="000E1849"/>
    <w:rsid w:val="000F7DB6"/>
    <w:rsid w:val="00104BA4"/>
    <w:rsid w:val="00104DAB"/>
    <w:rsid w:val="00112039"/>
    <w:rsid w:val="00123C30"/>
    <w:rsid w:val="00125233"/>
    <w:rsid w:val="0012579D"/>
    <w:rsid w:val="001276C0"/>
    <w:rsid w:val="001354C5"/>
    <w:rsid w:val="00141B5C"/>
    <w:rsid w:val="0014506E"/>
    <w:rsid w:val="001462FC"/>
    <w:rsid w:val="001534B7"/>
    <w:rsid w:val="0015492B"/>
    <w:rsid w:val="0016466F"/>
    <w:rsid w:val="00174061"/>
    <w:rsid w:val="00177CC5"/>
    <w:rsid w:val="00183F05"/>
    <w:rsid w:val="00186ACF"/>
    <w:rsid w:val="00196501"/>
    <w:rsid w:val="0019652E"/>
    <w:rsid w:val="001A0181"/>
    <w:rsid w:val="001A0A12"/>
    <w:rsid w:val="001A1A1F"/>
    <w:rsid w:val="001B00A6"/>
    <w:rsid w:val="001B01F0"/>
    <w:rsid w:val="001B5CD2"/>
    <w:rsid w:val="001C3C37"/>
    <w:rsid w:val="001D30FE"/>
    <w:rsid w:val="001D4D4F"/>
    <w:rsid w:val="001D5390"/>
    <w:rsid w:val="001F3916"/>
    <w:rsid w:val="001F4E6A"/>
    <w:rsid w:val="001F6FBF"/>
    <w:rsid w:val="00202351"/>
    <w:rsid w:val="0020675C"/>
    <w:rsid w:val="00206E59"/>
    <w:rsid w:val="0020706C"/>
    <w:rsid w:val="002077B3"/>
    <w:rsid w:val="00212859"/>
    <w:rsid w:val="00214F72"/>
    <w:rsid w:val="00220F21"/>
    <w:rsid w:val="00222A5B"/>
    <w:rsid w:val="002264BA"/>
    <w:rsid w:val="00232A0C"/>
    <w:rsid w:val="0023680E"/>
    <w:rsid w:val="00241E2C"/>
    <w:rsid w:val="002462D2"/>
    <w:rsid w:val="00253F64"/>
    <w:rsid w:val="002619F1"/>
    <w:rsid w:val="00262B09"/>
    <w:rsid w:val="00266199"/>
    <w:rsid w:val="00271B65"/>
    <w:rsid w:val="00273137"/>
    <w:rsid w:val="00276327"/>
    <w:rsid w:val="00286063"/>
    <w:rsid w:val="002940B4"/>
    <w:rsid w:val="002955D0"/>
    <w:rsid w:val="002B61DC"/>
    <w:rsid w:val="002C6B07"/>
    <w:rsid w:val="002D2B0E"/>
    <w:rsid w:val="002E0418"/>
    <w:rsid w:val="002E146B"/>
    <w:rsid w:val="002E4E1B"/>
    <w:rsid w:val="002E6FAB"/>
    <w:rsid w:val="002F4AD4"/>
    <w:rsid w:val="003000C4"/>
    <w:rsid w:val="00303FA3"/>
    <w:rsid w:val="003065AA"/>
    <w:rsid w:val="00307372"/>
    <w:rsid w:val="003126A6"/>
    <w:rsid w:val="00315083"/>
    <w:rsid w:val="00317F76"/>
    <w:rsid w:val="00320582"/>
    <w:rsid w:val="003228D6"/>
    <w:rsid w:val="00324690"/>
    <w:rsid w:val="003305F3"/>
    <w:rsid w:val="003322B0"/>
    <w:rsid w:val="00341696"/>
    <w:rsid w:val="00354B62"/>
    <w:rsid w:val="00356DBD"/>
    <w:rsid w:val="00364309"/>
    <w:rsid w:val="00365953"/>
    <w:rsid w:val="00372E88"/>
    <w:rsid w:val="00373C18"/>
    <w:rsid w:val="0037738E"/>
    <w:rsid w:val="003822A7"/>
    <w:rsid w:val="00385797"/>
    <w:rsid w:val="00391B2D"/>
    <w:rsid w:val="00391B31"/>
    <w:rsid w:val="00391C4A"/>
    <w:rsid w:val="00394781"/>
    <w:rsid w:val="003A0853"/>
    <w:rsid w:val="003A0DD6"/>
    <w:rsid w:val="003B5474"/>
    <w:rsid w:val="003B6431"/>
    <w:rsid w:val="003C30BA"/>
    <w:rsid w:val="003C4ED8"/>
    <w:rsid w:val="003D085E"/>
    <w:rsid w:val="003E37B9"/>
    <w:rsid w:val="003E7E1C"/>
    <w:rsid w:val="003F4693"/>
    <w:rsid w:val="003F7B9F"/>
    <w:rsid w:val="00412489"/>
    <w:rsid w:val="00415BF9"/>
    <w:rsid w:val="00417EF8"/>
    <w:rsid w:val="00421D11"/>
    <w:rsid w:val="0042294B"/>
    <w:rsid w:val="00424609"/>
    <w:rsid w:val="004423B3"/>
    <w:rsid w:val="00450A27"/>
    <w:rsid w:val="00450B71"/>
    <w:rsid w:val="00453183"/>
    <w:rsid w:val="0045427A"/>
    <w:rsid w:val="00456CEC"/>
    <w:rsid w:val="00461AC6"/>
    <w:rsid w:val="00464CB1"/>
    <w:rsid w:val="00470CC6"/>
    <w:rsid w:val="00476573"/>
    <w:rsid w:val="004808E8"/>
    <w:rsid w:val="004821BB"/>
    <w:rsid w:val="00485D8D"/>
    <w:rsid w:val="004864CC"/>
    <w:rsid w:val="004A4C4A"/>
    <w:rsid w:val="004A6D63"/>
    <w:rsid w:val="004B5361"/>
    <w:rsid w:val="004B6BF3"/>
    <w:rsid w:val="004C3025"/>
    <w:rsid w:val="004C45BB"/>
    <w:rsid w:val="004C5856"/>
    <w:rsid w:val="004C6F5F"/>
    <w:rsid w:val="004C7A56"/>
    <w:rsid w:val="004D6056"/>
    <w:rsid w:val="004E5247"/>
    <w:rsid w:val="004E7D71"/>
    <w:rsid w:val="004F05A2"/>
    <w:rsid w:val="00501991"/>
    <w:rsid w:val="00507A3B"/>
    <w:rsid w:val="00512F49"/>
    <w:rsid w:val="00515654"/>
    <w:rsid w:val="00515C46"/>
    <w:rsid w:val="00521205"/>
    <w:rsid w:val="00522DCA"/>
    <w:rsid w:val="005245F0"/>
    <w:rsid w:val="005252C8"/>
    <w:rsid w:val="00530CDC"/>
    <w:rsid w:val="00534DC2"/>
    <w:rsid w:val="00537896"/>
    <w:rsid w:val="00540F28"/>
    <w:rsid w:val="00551694"/>
    <w:rsid w:val="005653A1"/>
    <w:rsid w:val="00574ECE"/>
    <w:rsid w:val="0057658C"/>
    <w:rsid w:val="005773D7"/>
    <w:rsid w:val="00581778"/>
    <w:rsid w:val="0058424A"/>
    <w:rsid w:val="00584347"/>
    <w:rsid w:val="0058441C"/>
    <w:rsid w:val="0059151C"/>
    <w:rsid w:val="005921F7"/>
    <w:rsid w:val="0059336E"/>
    <w:rsid w:val="0059775F"/>
    <w:rsid w:val="005C3AB5"/>
    <w:rsid w:val="005D5CC4"/>
    <w:rsid w:val="005E57FB"/>
    <w:rsid w:val="005E634E"/>
    <w:rsid w:val="005E7B1D"/>
    <w:rsid w:val="005F05DD"/>
    <w:rsid w:val="005F314A"/>
    <w:rsid w:val="005F6498"/>
    <w:rsid w:val="006051FF"/>
    <w:rsid w:val="00622332"/>
    <w:rsid w:val="00626AB6"/>
    <w:rsid w:val="00633B43"/>
    <w:rsid w:val="0063685A"/>
    <w:rsid w:val="0063762C"/>
    <w:rsid w:val="00637EC9"/>
    <w:rsid w:val="0064172E"/>
    <w:rsid w:val="0064637D"/>
    <w:rsid w:val="0065029B"/>
    <w:rsid w:val="006569A3"/>
    <w:rsid w:val="00657516"/>
    <w:rsid w:val="00657603"/>
    <w:rsid w:val="00660C0C"/>
    <w:rsid w:val="006723A2"/>
    <w:rsid w:val="0067433B"/>
    <w:rsid w:val="006745EF"/>
    <w:rsid w:val="00675736"/>
    <w:rsid w:val="006904AF"/>
    <w:rsid w:val="006945EB"/>
    <w:rsid w:val="006A3BC6"/>
    <w:rsid w:val="006B0F45"/>
    <w:rsid w:val="006B3557"/>
    <w:rsid w:val="006B4B38"/>
    <w:rsid w:val="006C1ED2"/>
    <w:rsid w:val="006C686D"/>
    <w:rsid w:val="006D0052"/>
    <w:rsid w:val="006D4237"/>
    <w:rsid w:val="006D4CF0"/>
    <w:rsid w:val="006E0D06"/>
    <w:rsid w:val="006E3355"/>
    <w:rsid w:val="006E5927"/>
    <w:rsid w:val="006F0177"/>
    <w:rsid w:val="006F3B6C"/>
    <w:rsid w:val="006F7B69"/>
    <w:rsid w:val="007014FF"/>
    <w:rsid w:val="0071239C"/>
    <w:rsid w:val="00714C7E"/>
    <w:rsid w:val="00715992"/>
    <w:rsid w:val="0071673F"/>
    <w:rsid w:val="00723346"/>
    <w:rsid w:val="00723666"/>
    <w:rsid w:val="00723D88"/>
    <w:rsid w:val="00724A7C"/>
    <w:rsid w:val="0072794A"/>
    <w:rsid w:val="00732760"/>
    <w:rsid w:val="0074146C"/>
    <w:rsid w:val="00745F94"/>
    <w:rsid w:val="007575D8"/>
    <w:rsid w:val="0076044F"/>
    <w:rsid w:val="00770E10"/>
    <w:rsid w:val="00787881"/>
    <w:rsid w:val="007B5449"/>
    <w:rsid w:val="007C28BC"/>
    <w:rsid w:val="007C34C8"/>
    <w:rsid w:val="007C4E14"/>
    <w:rsid w:val="007C706D"/>
    <w:rsid w:val="007D2A58"/>
    <w:rsid w:val="007D43F1"/>
    <w:rsid w:val="007D79FE"/>
    <w:rsid w:val="007D7E0E"/>
    <w:rsid w:val="007E283B"/>
    <w:rsid w:val="007E47E8"/>
    <w:rsid w:val="007F523B"/>
    <w:rsid w:val="007F701F"/>
    <w:rsid w:val="00801D00"/>
    <w:rsid w:val="00804369"/>
    <w:rsid w:val="00804B08"/>
    <w:rsid w:val="00806502"/>
    <w:rsid w:val="00814431"/>
    <w:rsid w:val="00815134"/>
    <w:rsid w:val="00815ABC"/>
    <w:rsid w:val="00817E41"/>
    <w:rsid w:val="00822466"/>
    <w:rsid w:val="00842F64"/>
    <w:rsid w:val="00843123"/>
    <w:rsid w:val="00844597"/>
    <w:rsid w:val="00854430"/>
    <w:rsid w:val="00861B41"/>
    <w:rsid w:val="00863848"/>
    <w:rsid w:val="00865954"/>
    <w:rsid w:val="00865965"/>
    <w:rsid w:val="00865BEC"/>
    <w:rsid w:val="008679FF"/>
    <w:rsid w:val="00872F88"/>
    <w:rsid w:val="0088737A"/>
    <w:rsid w:val="00887A30"/>
    <w:rsid w:val="00891C48"/>
    <w:rsid w:val="008A19B5"/>
    <w:rsid w:val="008A1B7C"/>
    <w:rsid w:val="008A45EE"/>
    <w:rsid w:val="008A74D5"/>
    <w:rsid w:val="008B08F4"/>
    <w:rsid w:val="008B687E"/>
    <w:rsid w:val="008E1746"/>
    <w:rsid w:val="008E1929"/>
    <w:rsid w:val="008E28AF"/>
    <w:rsid w:val="008E39DD"/>
    <w:rsid w:val="008F039B"/>
    <w:rsid w:val="008F10B7"/>
    <w:rsid w:val="008F7C0F"/>
    <w:rsid w:val="00903312"/>
    <w:rsid w:val="00904C0E"/>
    <w:rsid w:val="0090617A"/>
    <w:rsid w:val="00910E02"/>
    <w:rsid w:val="00917F16"/>
    <w:rsid w:val="0092042B"/>
    <w:rsid w:val="00935D2A"/>
    <w:rsid w:val="00936A4E"/>
    <w:rsid w:val="00937267"/>
    <w:rsid w:val="0094103B"/>
    <w:rsid w:val="009423CF"/>
    <w:rsid w:val="009447DD"/>
    <w:rsid w:val="00945D87"/>
    <w:rsid w:val="00951875"/>
    <w:rsid w:val="009518FB"/>
    <w:rsid w:val="00965A0B"/>
    <w:rsid w:val="009660A6"/>
    <w:rsid w:val="00970CDC"/>
    <w:rsid w:val="00973DD0"/>
    <w:rsid w:val="00982175"/>
    <w:rsid w:val="00993FFF"/>
    <w:rsid w:val="0099751A"/>
    <w:rsid w:val="00997C00"/>
    <w:rsid w:val="009A0837"/>
    <w:rsid w:val="009A129A"/>
    <w:rsid w:val="009A5EDD"/>
    <w:rsid w:val="009A6A88"/>
    <w:rsid w:val="009A6F7C"/>
    <w:rsid w:val="009B2440"/>
    <w:rsid w:val="009B6784"/>
    <w:rsid w:val="009C6EE0"/>
    <w:rsid w:val="009D1A40"/>
    <w:rsid w:val="009E092B"/>
    <w:rsid w:val="009E0AA2"/>
    <w:rsid w:val="009E3BD6"/>
    <w:rsid w:val="009E4464"/>
    <w:rsid w:val="009F2E69"/>
    <w:rsid w:val="00A00578"/>
    <w:rsid w:val="00A24DA1"/>
    <w:rsid w:val="00A2616B"/>
    <w:rsid w:val="00A33EB3"/>
    <w:rsid w:val="00A357E5"/>
    <w:rsid w:val="00A52917"/>
    <w:rsid w:val="00A53E4F"/>
    <w:rsid w:val="00A541C2"/>
    <w:rsid w:val="00A55CE3"/>
    <w:rsid w:val="00A5710C"/>
    <w:rsid w:val="00A6033A"/>
    <w:rsid w:val="00A62953"/>
    <w:rsid w:val="00A63983"/>
    <w:rsid w:val="00A721B2"/>
    <w:rsid w:val="00A75622"/>
    <w:rsid w:val="00A7743C"/>
    <w:rsid w:val="00A77509"/>
    <w:rsid w:val="00A84A41"/>
    <w:rsid w:val="00A91156"/>
    <w:rsid w:val="00A91BEA"/>
    <w:rsid w:val="00A94008"/>
    <w:rsid w:val="00A94AF6"/>
    <w:rsid w:val="00A9704C"/>
    <w:rsid w:val="00AA0D9D"/>
    <w:rsid w:val="00AA587D"/>
    <w:rsid w:val="00AB0CF6"/>
    <w:rsid w:val="00AB1AA4"/>
    <w:rsid w:val="00AC3E4C"/>
    <w:rsid w:val="00AD2EBE"/>
    <w:rsid w:val="00AD4B39"/>
    <w:rsid w:val="00AD6B6C"/>
    <w:rsid w:val="00AF781C"/>
    <w:rsid w:val="00B013D1"/>
    <w:rsid w:val="00B02545"/>
    <w:rsid w:val="00B053A3"/>
    <w:rsid w:val="00B12658"/>
    <w:rsid w:val="00B21064"/>
    <w:rsid w:val="00B22BCA"/>
    <w:rsid w:val="00B277EB"/>
    <w:rsid w:val="00B305D9"/>
    <w:rsid w:val="00B32C0F"/>
    <w:rsid w:val="00B3448B"/>
    <w:rsid w:val="00B3478B"/>
    <w:rsid w:val="00B36EF3"/>
    <w:rsid w:val="00B430C8"/>
    <w:rsid w:val="00B43202"/>
    <w:rsid w:val="00B56F00"/>
    <w:rsid w:val="00B63FF0"/>
    <w:rsid w:val="00B6652A"/>
    <w:rsid w:val="00B66656"/>
    <w:rsid w:val="00B7107D"/>
    <w:rsid w:val="00B7542B"/>
    <w:rsid w:val="00B77CFC"/>
    <w:rsid w:val="00B80774"/>
    <w:rsid w:val="00B86F68"/>
    <w:rsid w:val="00B87CB4"/>
    <w:rsid w:val="00B9092A"/>
    <w:rsid w:val="00B94A6A"/>
    <w:rsid w:val="00BA044C"/>
    <w:rsid w:val="00BA615D"/>
    <w:rsid w:val="00BB061B"/>
    <w:rsid w:val="00BB35E7"/>
    <w:rsid w:val="00BB4E76"/>
    <w:rsid w:val="00BC6818"/>
    <w:rsid w:val="00BE08BF"/>
    <w:rsid w:val="00BE3EAD"/>
    <w:rsid w:val="00BF0115"/>
    <w:rsid w:val="00C03486"/>
    <w:rsid w:val="00C15F36"/>
    <w:rsid w:val="00C22963"/>
    <w:rsid w:val="00C276E5"/>
    <w:rsid w:val="00C40889"/>
    <w:rsid w:val="00C42ED8"/>
    <w:rsid w:val="00C44996"/>
    <w:rsid w:val="00C5028D"/>
    <w:rsid w:val="00C604C6"/>
    <w:rsid w:val="00C6076C"/>
    <w:rsid w:val="00C66B38"/>
    <w:rsid w:val="00C7220C"/>
    <w:rsid w:val="00C771D4"/>
    <w:rsid w:val="00C807C1"/>
    <w:rsid w:val="00C91575"/>
    <w:rsid w:val="00C91669"/>
    <w:rsid w:val="00CA1195"/>
    <w:rsid w:val="00CA44B4"/>
    <w:rsid w:val="00CA4C34"/>
    <w:rsid w:val="00CA5F58"/>
    <w:rsid w:val="00CA650D"/>
    <w:rsid w:val="00CA71F7"/>
    <w:rsid w:val="00CB567E"/>
    <w:rsid w:val="00CC5A99"/>
    <w:rsid w:val="00CD0624"/>
    <w:rsid w:val="00CD2008"/>
    <w:rsid w:val="00CD2A7B"/>
    <w:rsid w:val="00CD3093"/>
    <w:rsid w:val="00CD35F1"/>
    <w:rsid w:val="00CE51E0"/>
    <w:rsid w:val="00CE52F4"/>
    <w:rsid w:val="00CE5810"/>
    <w:rsid w:val="00CE5906"/>
    <w:rsid w:val="00CF0AC8"/>
    <w:rsid w:val="00CF0D10"/>
    <w:rsid w:val="00CF77F2"/>
    <w:rsid w:val="00D00CCF"/>
    <w:rsid w:val="00D02A23"/>
    <w:rsid w:val="00D06997"/>
    <w:rsid w:val="00D07049"/>
    <w:rsid w:val="00D10779"/>
    <w:rsid w:val="00D11725"/>
    <w:rsid w:val="00D13108"/>
    <w:rsid w:val="00D20E01"/>
    <w:rsid w:val="00D227CD"/>
    <w:rsid w:val="00D3190F"/>
    <w:rsid w:val="00D342CD"/>
    <w:rsid w:val="00D34FD1"/>
    <w:rsid w:val="00D41E80"/>
    <w:rsid w:val="00D5673A"/>
    <w:rsid w:val="00D5728F"/>
    <w:rsid w:val="00D576AC"/>
    <w:rsid w:val="00D61BE1"/>
    <w:rsid w:val="00D642A0"/>
    <w:rsid w:val="00D70948"/>
    <w:rsid w:val="00D713C1"/>
    <w:rsid w:val="00D91942"/>
    <w:rsid w:val="00D94564"/>
    <w:rsid w:val="00D95571"/>
    <w:rsid w:val="00D976DA"/>
    <w:rsid w:val="00DA1C8F"/>
    <w:rsid w:val="00DA6BDC"/>
    <w:rsid w:val="00DB7ADE"/>
    <w:rsid w:val="00DB7CAC"/>
    <w:rsid w:val="00DC4B9B"/>
    <w:rsid w:val="00DD60FD"/>
    <w:rsid w:val="00DE0334"/>
    <w:rsid w:val="00DE1201"/>
    <w:rsid w:val="00DE2DF0"/>
    <w:rsid w:val="00DE2E7B"/>
    <w:rsid w:val="00DE5E3E"/>
    <w:rsid w:val="00DF13BB"/>
    <w:rsid w:val="00DF1C97"/>
    <w:rsid w:val="00E0189E"/>
    <w:rsid w:val="00E10383"/>
    <w:rsid w:val="00E17D55"/>
    <w:rsid w:val="00E223E3"/>
    <w:rsid w:val="00E2392A"/>
    <w:rsid w:val="00E2680F"/>
    <w:rsid w:val="00E462A3"/>
    <w:rsid w:val="00E47535"/>
    <w:rsid w:val="00E503DD"/>
    <w:rsid w:val="00E50711"/>
    <w:rsid w:val="00E52E56"/>
    <w:rsid w:val="00E57A14"/>
    <w:rsid w:val="00E6561A"/>
    <w:rsid w:val="00E6722F"/>
    <w:rsid w:val="00E677E5"/>
    <w:rsid w:val="00E711FF"/>
    <w:rsid w:val="00E74A37"/>
    <w:rsid w:val="00E76C4F"/>
    <w:rsid w:val="00E84E4E"/>
    <w:rsid w:val="00E8619A"/>
    <w:rsid w:val="00E86BD8"/>
    <w:rsid w:val="00E9040F"/>
    <w:rsid w:val="00E928B8"/>
    <w:rsid w:val="00E96E63"/>
    <w:rsid w:val="00EA2F29"/>
    <w:rsid w:val="00EB0573"/>
    <w:rsid w:val="00EB683D"/>
    <w:rsid w:val="00ED2450"/>
    <w:rsid w:val="00EE35B9"/>
    <w:rsid w:val="00EE483B"/>
    <w:rsid w:val="00EE4DB2"/>
    <w:rsid w:val="00EF4EE1"/>
    <w:rsid w:val="00F00F56"/>
    <w:rsid w:val="00F03505"/>
    <w:rsid w:val="00F04B1D"/>
    <w:rsid w:val="00F059A9"/>
    <w:rsid w:val="00F07E5C"/>
    <w:rsid w:val="00F1456C"/>
    <w:rsid w:val="00F15BCE"/>
    <w:rsid w:val="00F205E2"/>
    <w:rsid w:val="00F21F6A"/>
    <w:rsid w:val="00F2321A"/>
    <w:rsid w:val="00F2459F"/>
    <w:rsid w:val="00F35FF9"/>
    <w:rsid w:val="00F371CF"/>
    <w:rsid w:val="00F412EA"/>
    <w:rsid w:val="00F46B25"/>
    <w:rsid w:val="00F52843"/>
    <w:rsid w:val="00F529E3"/>
    <w:rsid w:val="00F54F98"/>
    <w:rsid w:val="00F617EC"/>
    <w:rsid w:val="00F627AD"/>
    <w:rsid w:val="00F81DE1"/>
    <w:rsid w:val="00F82B27"/>
    <w:rsid w:val="00F8657E"/>
    <w:rsid w:val="00F921A3"/>
    <w:rsid w:val="00F925DC"/>
    <w:rsid w:val="00F93F43"/>
    <w:rsid w:val="00FA32F4"/>
    <w:rsid w:val="00FB3F0D"/>
    <w:rsid w:val="00FB7CD2"/>
    <w:rsid w:val="00FB7DD4"/>
    <w:rsid w:val="00FC10CD"/>
    <w:rsid w:val="00FD1A62"/>
    <w:rsid w:val="00FD1D62"/>
    <w:rsid w:val="00FE0099"/>
    <w:rsid w:val="00FE43DF"/>
    <w:rsid w:val="00FF02D8"/>
    <w:rsid w:val="00FF0688"/>
    <w:rsid w:val="00FF496D"/>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37EC815"/>
  <w15:docId w15:val="{9ED6A201-F10C-4749-83AE-B1950A3C0B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3">
    <w:name w:val="heading 3"/>
    <w:basedOn w:val="Normal"/>
    <w:link w:val="Ttulo3Char"/>
    <w:uiPriority w:val="9"/>
    <w:qFormat/>
    <w:rsid w:val="003F4693"/>
    <w:pPr>
      <w:spacing w:before="100" w:beforeAutospacing="1" w:after="100" w:afterAutospacing="1" w:line="240" w:lineRule="auto"/>
      <w:outlineLvl w:val="2"/>
    </w:pPr>
    <w:rPr>
      <w:rFonts w:ascii="Times New Roman" w:eastAsia="Times New Roman" w:hAnsi="Times New Roman" w:cs="Times New Roman"/>
      <w:b/>
      <w:bCs/>
      <w:sz w:val="27"/>
      <w:szCs w:val="27"/>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5F314A"/>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5F314A"/>
  </w:style>
  <w:style w:type="paragraph" w:styleId="Rodap">
    <w:name w:val="footer"/>
    <w:basedOn w:val="Normal"/>
    <w:link w:val="RodapChar"/>
    <w:uiPriority w:val="99"/>
    <w:unhideWhenUsed/>
    <w:rsid w:val="005F314A"/>
    <w:pPr>
      <w:tabs>
        <w:tab w:val="center" w:pos="4252"/>
        <w:tab w:val="right" w:pos="8504"/>
      </w:tabs>
      <w:spacing w:after="0" w:line="240" w:lineRule="auto"/>
    </w:pPr>
  </w:style>
  <w:style w:type="character" w:customStyle="1" w:styleId="RodapChar">
    <w:name w:val="Rodapé Char"/>
    <w:basedOn w:val="Fontepargpadro"/>
    <w:link w:val="Rodap"/>
    <w:uiPriority w:val="99"/>
    <w:rsid w:val="005F314A"/>
  </w:style>
  <w:style w:type="paragraph" w:styleId="Textodebalo">
    <w:name w:val="Balloon Text"/>
    <w:basedOn w:val="Normal"/>
    <w:link w:val="TextodebaloChar"/>
    <w:uiPriority w:val="99"/>
    <w:semiHidden/>
    <w:unhideWhenUsed/>
    <w:rsid w:val="005F314A"/>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5F314A"/>
    <w:rPr>
      <w:rFonts w:ascii="Tahoma" w:hAnsi="Tahoma" w:cs="Tahoma"/>
      <w:sz w:val="16"/>
      <w:szCs w:val="16"/>
    </w:rPr>
  </w:style>
  <w:style w:type="paragraph" w:styleId="PargrafodaLista">
    <w:name w:val="List Paragraph"/>
    <w:basedOn w:val="Normal"/>
    <w:uiPriority w:val="34"/>
    <w:qFormat/>
    <w:rsid w:val="00B63FF0"/>
    <w:pPr>
      <w:ind w:left="720"/>
      <w:contextualSpacing/>
    </w:pPr>
  </w:style>
  <w:style w:type="paragraph" w:customStyle="1" w:styleId="Default">
    <w:name w:val="Default"/>
    <w:rsid w:val="00286063"/>
    <w:pPr>
      <w:autoSpaceDE w:val="0"/>
      <w:autoSpaceDN w:val="0"/>
      <w:adjustRightInd w:val="0"/>
      <w:spacing w:after="0" w:line="240" w:lineRule="auto"/>
    </w:pPr>
    <w:rPr>
      <w:rFonts w:ascii="Cambria" w:hAnsi="Cambria" w:cs="Cambria"/>
      <w:color w:val="000000"/>
      <w:sz w:val="24"/>
      <w:szCs w:val="24"/>
    </w:rPr>
  </w:style>
  <w:style w:type="paragraph" w:styleId="Textodenotaderodap">
    <w:name w:val="footnote text"/>
    <w:basedOn w:val="Normal"/>
    <w:link w:val="TextodenotaderodapChar"/>
    <w:uiPriority w:val="99"/>
    <w:semiHidden/>
    <w:unhideWhenUsed/>
    <w:rsid w:val="00CE5906"/>
    <w:pPr>
      <w:spacing w:after="0" w:line="240" w:lineRule="auto"/>
    </w:pPr>
    <w:rPr>
      <w:sz w:val="20"/>
      <w:szCs w:val="20"/>
    </w:rPr>
  </w:style>
  <w:style w:type="character" w:customStyle="1" w:styleId="TextodenotaderodapChar">
    <w:name w:val="Texto de nota de rodapé Char"/>
    <w:basedOn w:val="Fontepargpadro"/>
    <w:link w:val="Textodenotaderodap"/>
    <w:uiPriority w:val="99"/>
    <w:semiHidden/>
    <w:rsid w:val="00CE5906"/>
    <w:rPr>
      <w:sz w:val="20"/>
      <w:szCs w:val="20"/>
    </w:rPr>
  </w:style>
  <w:style w:type="character" w:styleId="Refdenotaderodap">
    <w:name w:val="footnote reference"/>
    <w:basedOn w:val="Fontepargpadro"/>
    <w:uiPriority w:val="99"/>
    <w:semiHidden/>
    <w:unhideWhenUsed/>
    <w:rsid w:val="00CE5906"/>
    <w:rPr>
      <w:vertAlign w:val="superscript"/>
    </w:rPr>
  </w:style>
  <w:style w:type="paragraph" w:styleId="NormalWeb">
    <w:name w:val="Normal (Web)"/>
    <w:basedOn w:val="Normal"/>
    <w:uiPriority w:val="99"/>
    <w:unhideWhenUsed/>
    <w:rsid w:val="0065029B"/>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customStyle="1" w:styleId="artigo">
    <w:name w:val="artigo"/>
    <w:basedOn w:val="Normal"/>
    <w:rsid w:val="00A5710C"/>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customStyle="1" w:styleId="Ttulo3Char">
    <w:name w:val="Título 3 Char"/>
    <w:basedOn w:val="Fontepargpadro"/>
    <w:link w:val="Ttulo3"/>
    <w:uiPriority w:val="9"/>
    <w:rsid w:val="003F4693"/>
    <w:rPr>
      <w:rFonts w:ascii="Times New Roman" w:eastAsia="Times New Roman" w:hAnsi="Times New Roman" w:cs="Times New Roman"/>
      <w:b/>
      <w:bCs/>
      <w:sz w:val="27"/>
      <w:szCs w:val="27"/>
      <w:lang w:eastAsia="pt-BR"/>
    </w:rPr>
  </w:style>
  <w:style w:type="character" w:styleId="Hyperlink">
    <w:name w:val="Hyperlink"/>
    <w:basedOn w:val="Fontepargpadro"/>
    <w:uiPriority w:val="99"/>
    <w:unhideWhenUsed/>
    <w:rsid w:val="003F4693"/>
    <w:rPr>
      <w:color w:val="0000FF"/>
      <w:u w:val="single"/>
    </w:rPr>
  </w:style>
  <w:style w:type="character" w:styleId="Refdecomentrio">
    <w:name w:val="annotation reference"/>
    <w:basedOn w:val="Fontepargpadro"/>
    <w:uiPriority w:val="99"/>
    <w:semiHidden/>
    <w:unhideWhenUsed/>
    <w:rsid w:val="00253F64"/>
    <w:rPr>
      <w:sz w:val="16"/>
      <w:szCs w:val="16"/>
    </w:rPr>
  </w:style>
  <w:style w:type="paragraph" w:styleId="Textodecomentrio">
    <w:name w:val="annotation text"/>
    <w:basedOn w:val="Normal"/>
    <w:link w:val="TextodecomentrioChar"/>
    <w:uiPriority w:val="99"/>
    <w:semiHidden/>
    <w:unhideWhenUsed/>
    <w:rsid w:val="00253F64"/>
    <w:pPr>
      <w:spacing w:line="240" w:lineRule="auto"/>
    </w:pPr>
    <w:rPr>
      <w:sz w:val="20"/>
      <w:szCs w:val="20"/>
    </w:rPr>
  </w:style>
  <w:style w:type="character" w:customStyle="1" w:styleId="TextodecomentrioChar">
    <w:name w:val="Texto de comentário Char"/>
    <w:basedOn w:val="Fontepargpadro"/>
    <w:link w:val="Textodecomentrio"/>
    <w:uiPriority w:val="99"/>
    <w:semiHidden/>
    <w:rsid w:val="00253F64"/>
    <w:rPr>
      <w:sz w:val="20"/>
      <w:szCs w:val="20"/>
    </w:rPr>
  </w:style>
  <w:style w:type="paragraph" w:styleId="Assuntodocomentrio">
    <w:name w:val="annotation subject"/>
    <w:basedOn w:val="Textodecomentrio"/>
    <w:next w:val="Textodecomentrio"/>
    <w:link w:val="AssuntodocomentrioChar"/>
    <w:uiPriority w:val="99"/>
    <w:semiHidden/>
    <w:unhideWhenUsed/>
    <w:rsid w:val="00253F64"/>
    <w:rPr>
      <w:b/>
      <w:bCs/>
    </w:rPr>
  </w:style>
  <w:style w:type="character" w:customStyle="1" w:styleId="AssuntodocomentrioChar">
    <w:name w:val="Assunto do comentário Char"/>
    <w:basedOn w:val="TextodecomentrioChar"/>
    <w:link w:val="Assuntodocomentrio"/>
    <w:uiPriority w:val="99"/>
    <w:semiHidden/>
    <w:rsid w:val="00253F64"/>
    <w:rPr>
      <w:b/>
      <w:bCs/>
      <w:sz w:val="20"/>
      <w:szCs w:val="20"/>
    </w:rPr>
  </w:style>
  <w:style w:type="table" w:styleId="Tabelacomgrade">
    <w:name w:val="Table Grid"/>
    <w:basedOn w:val="Tabelanormal"/>
    <w:uiPriority w:val="59"/>
    <w:unhideWhenUsed/>
    <w:rsid w:val="00AB1A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fase">
    <w:name w:val="Emphasis"/>
    <w:basedOn w:val="Fontepargpadro"/>
    <w:uiPriority w:val="20"/>
    <w:qFormat/>
    <w:rsid w:val="00822466"/>
    <w:rPr>
      <w:i/>
      <w:iCs/>
    </w:rPr>
  </w:style>
  <w:style w:type="character" w:styleId="MenoPendente">
    <w:name w:val="Unresolved Mention"/>
    <w:basedOn w:val="Fontepargpadro"/>
    <w:uiPriority w:val="99"/>
    <w:semiHidden/>
    <w:unhideWhenUsed/>
    <w:rsid w:val="006B0F45"/>
    <w:rPr>
      <w:color w:val="605E5C"/>
      <w:shd w:val="clear" w:color="auto" w:fill="E1DFDD"/>
    </w:rPr>
  </w:style>
  <w:style w:type="character" w:customStyle="1" w:styleId="lista-resultadoinfo-descricao">
    <w:name w:val="lista-resultado__info-descricao"/>
    <w:basedOn w:val="Fontepargpadro"/>
    <w:rsid w:val="00FF0688"/>
  </w:style>
  <w:style w:type="character" w:styleId="Forte">
    <w:name w:val="Strong"/>
    <w:basedOn w:val="Fontepargpadro"/>
    <w:uiPriority w:val="22"/>
    <w:qFormat/>
    <w:rsid w:val="00F8657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0855404">
      <w:bodyDiv w:val="1"/>
      <w:marLeft w:val="0"/>
      <w:marRight w:val="0"/>
      <w:marTop w:val="0"/>
      <w:marBottom w:val="0"/>
      <w:divBdr>
        <w:top w:val="none" w:sz="0" w:space="0" w:color="auto"/>
        <w:left w:val="none" w:sz="0" w:space="0" w:color="auto"/>
        <w:bottom w:val="none" w:sz="0" w:space="0" w:color="auto"/>
        <w:right w:val="none" w:sz="0" w:space="0" w:color="auto"/>
      </w:divBdr>
      <w:divsChild>
        <w:div w:id="998851446">
          <w:marLeft w:val="-225"/>
          <w:marRight w:val="-225"/>
          <w:marTop w:val="0"/>
          <w:marBottom w:val="0"/>
          <w:divBdr>
            <w:top w:val="none" w:sz="0" w:space="0" w:color="auto"/>
            <w:left w:val="none" w:sz="0" w:space="0" w:color="auto"/>
            <w:bottom w:val="none" w:sz="0" w:space="0" w:color="auto"/>
            <w:right w:val="none" w:sz="0" w:space="0" w:color="auto"/>
          </w:divBdr>
          <w:divsChild>
            <w:div w:id="1603489173">
              <w:marLeft w:val="0"/>
              <w:marRight w:val="0"/>
              <w:marTop w:val="0"/>
              <w:marBottom w:val="0"/>
              <w:divBdr>
                <w:top w:val="none" w:sz="0" w:space="0" w:color="auto"/>
                <w:left w:val="none" w:sz="0" w:space="0" w:color="auto"/>
                <w:bottom w:val="none" w:sz="0" w:space="0" w:color="auto"/>
                <w:right w:val="none" w:sz="0" w:space="0" w:color="auto"/>
              </w:divBdr>
              <w:divsChild>
                <w:div w:id="1727803381">
                  <w:marLeft w:val="0"/>
                  <w:marRight w:val="0"/>
                  <w:marTop w:val="0"/>
                  <w:marBottom w:val="0"/>
                  <w:divBdr>
                    <w:top w:val="none" w:sz="0" w:space="0" w:color="auto"/>
                    <w:left w:val="none" w:sz="0" w:space="0" w:color="auto"/>
                    <w:bottom w:val="none" w:sz="0" w:space="0" w:color="auto"/>
                    <w:right w:val="none" w:sz="0" w:space="0" w:color="auto"/>
                  </w:divBdr>
                  <w:divsChild>
                    <w:div w:id="229732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1490276">
              <w:marLeft w:val="0"/>
              <w:marRight w:val="0"/>
              <w:marTop w:val="0"/>
              <w:marBottom w:val="0"/>
              <w:divBdr>
                <w:top w:val="none" w:sz="0" w:space="0" w:color="auto"/>
                <w:left w:val="none" w:sz="0" w:space="0" w:color="auto"/>
                <w:bottom w:val="none" w:sz="0" w:space="0" w:color="auto"/>
                <w:right w:val="none" w:sz="0" w:space="0" w:color="auto"/>
              </w:divBdr>
              <w:divsChild>
                <w:div w:id="1911185504">
                  <w:marLeft w:val="0"/>
                  <w:marRight w:val="0"/>
                  <w:marTop w:val="0"/>
                  <w:marBottom w:val="0"/>
                  <w:divBdr>
                    <w:top w:val="none" w:sz="0" w:space="0" w:color="auto"/>
                    <w:left w:val="none" w:sz="0" w:space="0" w:color="auto"/>
                    <w:bottom w:val="none" w:sz="0" w:space="0" w:color="auto"/>
                    <w:right w:val="none" w:sz="0" w:space="0" w:color="auto"/>
                  </w:divBdr>
                </w:div>
              </w:divsChild>
            </w:div>
            <w:div w:id="201941994">
              <w:marLeft w:val="0"/>
              <w:marRight w:val="0"/>
              <w:marTop w:val="0"/>
              <w:marBottom w:val="0"/>
              <w:divBdr>
                <w:top w:val="none" w:sz="0" w:space="0" w:color="auto"/>
                <w:left w:val="none" w:sz="0" w:space="0" w:color="auto"/>
                <w:bottom w:val="none" w:sz="0" w:space="0" w:color="auto"/>
                <w:right w:val="none" w:sz="0" w:space="0" w:color="auto"/>
              </w:divBdr>
              <w:divsChild>
                <w:div w:id="1576476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907899">
          <w:marLeft w:val="-225"/>
          <w:marRight w:val="-225"/>
          <w:marTop w:val="0"/>
          <w:marBottom w:val="0"/>
          <w:divBdr>
            <w:top w:val="none" w:sz="0" w:space="0" w:color="auto"/>
            <w:left w:val="none" w:sz="0" w:space="0" w:color="auto"/>
            <w:bottom w:val="none" w:sz="0" w:space="0" w:color="auto"/>
            <w:right w:val="none" w:sz="0" w:space="0" w:color="auto"/>
          </w:divBdr>
          <w:divsChild>
            <w:div w:id="1879314225">
              <w:marLeft w:val="0"/>
              <w:marRight w:val="0"/>
              <w:marTop w:val="0"/>
              <w:marBottom w:val="0"/>
              <w:divBdr>
                <w:top w:val="none" w:sz="0" w:space="0" w:color="auto"/>
                <w:left w:val="none" w:sz="0" w:space="0" w:color="auto"/>
                <w:bottom w:val="none" w:sz="0" w:space="0" w:color="auto"/>
                <w:right w:val="none" w:sz="0" w:space="0" w:color="auto"/>
              </w:divBdr>
              <w:divsChild>
                <w:div w:id="418916644">
                  <w:marLeft w:val="0"/>
                  <w:marRight w:val="0"/>
                  <w:marTop w:val="0"/>
                  <w:marBottom w:val="0"/>
                  <w:divBdr>
                    <w:top w:val="none" w:sz="0" w:space="0" w:color="auto"/>
                    <w:left w:val="none" w:sz="0" w:space="0" w:color="auto"/>
                    <w:bottom w:val="none" w:sz="0" w:space="0" w:color="auto"/>
                    <w:right w:val="none" w:sz="0" w:space="0" w:color="auto"/>
                  </w:divBdr>
                </w:div>
              </w:divsChild>
            </w:div>
            <w:div w:id="234248576">
              <w:marLeft w:val="0"/>
              <w:marRight w:val="0"/>
              <w:marTop w:val="0"/>
              <w:marBottom w:val="0"/>
              <w:divBdr>
                <w:top w:val="none" w:sz="0" w:space="0" w:color="auto"/>
                <w:left w:val="none" w:sz="0" w:space="0" w:color="auto"/>
                <w:bottom w:val="none" w:sz="0" w:space="0" w:color="auto"/>
                <w:right w:val="none" w:sz="0" w:space="0" w:color="auto"/>
              </w:divBdr>
              <w:divsChild>
                <w:div w:id="1286228854">
                  <w:marLeft w:val="0"/>
                  <w:marRight w:val="0"/>
                  <w:marTop w:val="0"/>
                  <w:marBottom w:val="0"/>
                  <w:divBdr>
                    <w:top w:val="none" w:sz="0" w:space="0" w:color="auto"/>
                    <w:left w:val="none" w:sz="0" w:space="0" w:color="auto"/>
                    <w:bottom w:val="none" w:sz="0" w:space="0" w:color="auto"/>
                    <w:right w:val="none" w:sz="0" w:space="0" w:color="auto"/>
                  </w:divBdr>
                </w:div>
              </w:divsChild>
            </w:div>
            <w:div w:id="1802117843">
              <w:marLeft w:val="0"/>
              <w:marRight w:val="0"/>
              <w:marTop w:val="0"/>
              <w:marBottom w:val="0"/>
              <w:divBdr>
                <w:top w:val="none" w:sz="0" w:space="0" w:color="auto"/>
                <w:left w:val="none" w:sz="0" w:space="0" w:color="auto"/>
                <w:bottom w:val="none" w:sz="0" w:space="0" w:color="auto"/>
                <w:right w:val="none" w:sz="0" w:space="0" w:color="auto"/>
              </w:divBdr>
              <w:divsChild>
                <w:div w:id="383600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7641366">
          <w:marLeft w:val="-225"/>
          <w:marRight w:val="-225"/>
          <w:marTop w:val="0"/>
          <w:marBottom w:val="0"/>
          <w:divBdr>
            <w:top w:val="none" w:sz="0" w:space="0" w:color="auto"/>
            <w:left w:val="none" w:sz="0" w:space="0" w:color="auto"/>
            <w:bottom w:val="none" w:sz="0" w:space="0" w:color="auto"/>
            <w:right w:val="none" w:sz="0" w:space="0" w:color="auto"/>
          </w:divBdr>
          <w:divsChild>
            <w:div w:id="1865093348">
              <w:marLeft w:val="0"/>
              <w:marRight w:val="0"/>
              <w:marTop w:val="0"/>
              <w:marBottom w:val="0"/>
              <w:divBdr>
                <w:top w:val="none" w:sz="0" w:space="0" w:color="auto"/>
                <w:left w:val="none" w:sz="0" w:space="0" w:color="auto"/>
                <w:bottom w:val="none" w:sz="0" w:space="0" w:color="auto"/>
                <w:right w:val="none" w:sz="0" w:space="0" w:color="auto"/>
              </w:divBdr>
            </w:div>
            <w:div w:id="88088054">
              <w:marLeft w:val="0"/>
              <w:marRight w:val="0"/>
              <w:marTop w:val="0"/>
              <w:marBottom w:val="0"/>
              <w:divBdr>
                <w:top w:val="none" w:sz="0" w:space="0" w:color="auto"/>
                <w:left w:val="none" w:sz="0" w:space="0" w:color="auto"/>
                <w:bottom w:val="none" w:sz="0" w:space="0" w:color="auto"/>
                <w:right w:val="none" w:sz="0" w:space="0" w:color="auto"/>
              </w:divBdr>
            </w:div>
            <w:div w:id="8024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4148995">
      <w:bodyDiv w:val="1"/>
      <w:marLeft w:val="0"/>
      <w:marRight w:val="0"/>
      <w:marTop w:val="0"/>
      <w:marBottom w:val="0"/>
      <w:divBdr>
        <w:top w:val="none" w:sz="0" w:space="0" w:color="auto"/>
        <w:left w:val="none" w:sz="0" w:space="0" w:color="auto"/>
        <w:bottom w:val="none" w:sz="0" w:space="0" w:color="auto"/>
        <w:right w:val="none" w:sz="0" w:space="0" w:color="auto"/>
      </w:divBdr>
    </w:div>
    <w:div w:id="252782360">
      <w:bodyDiv w:val="1"/>
      <w:marLeft w:val="0"/>
      <w:marRight w:val="0"/>
      <w:marTop w:val="0"/>
      <w:marBottom w:val="0"/>
      <w:divBdr>
        <w:top w:val="none" w:sz="0" w:space="0" w:color="auto"/>
        <w:left w:val="none" w:sz="0" w:space="0" w:color="auto"/>
        <w:bottom w:val="none" w:sz="0" w:space="0" w:color="auto"/>
        <w:right w:val="none" w:sz="0" w:space="0" w:color="auto"/>
      </w:divBdr>
      <w:divsChild>
        <w:div w:id="736318237">
          <w:marLeft w:val="0"/>
          <w:marRight w:val="0"/>
          <w:marTop w:val="0"/>
          <w:marBottom w:val="0"/>
          <w:divBdr>
            <w:top w:val="none" w:sz="0" w:space="0" w:color="auto"/>
            <w:left w:val="none" w:sz="0" w:space="0" w:color="auto"/>
            <w:bottom w:val="none" w:sz="0" w:space="0" w:color="auto"/>
            <w:right w:val="none" w:sz="0" w:space="0" w:color="auto"/>
          </w:divBdr>
          <w:divsChild>
            <w:div w:id="1193034643">
              <w:marLeft w:val="0"/>
              <w:marRight w:val="0"/>
              <w:marTop w:val="0"/>
              <w:marBottom w:val="0"/>
              <w:divBdr>
                <w:top w:val="none" w:sz="0" w:space="0" w:color="auto"/>
                <w:left w:val="none" w:sz="0" w:space="0" w:color="auto"/>
                <w:bottom w:val="none" w:sz="0" w:space="0" w:color="auto"/>
                <w:right w:val="none" w:sz="0" w:space="0" w:color="auto"/>
              </w:divBdr>
              <w:divsChild>
                <w:div w:id="564071400">
                  <w:marLeft w:val="0"/>
                  <w:marRight w:val="0"/>
                  <w:marTop w:val="0"/>
                  <w:marBottom w:val="0"/>
                  <w:divBdr>
                    <w:top w:val="none" w:sz="0" w:space="0" w:color="auto"/>
                    <w:left w:val="none" w:sz="0" w:space="0" w:color="auto"/>
                    <w:bottom w:val="none" w:sz="0" w:space="0" w:color="auto"/>
                    <w:right w:val="none" w:sz="0" w:space="0" w:color="auto"/>
                  </w:divBdr>
                </w:div>
              </w:divsChild>
            </w:div>
            <w:div w:id="837384099">
              <w:marLeft w:val="0"/>
              <w:marRight w:val="0"/>
              <w:marTop w:val="0"/>
              <w:marBottom w:val="0"/>
              <w:divBdr>
                <w:top w:val="none" w:sz="0" w:space="0" w:color="auto"/>
                <w:left w:val="none" w:sz="0" w:space="0" w:color="auto"/>
                <w:bottom w:val="none" w:sz="0" w:space="0" w:color="auto"/>
                <w:right w:val="none" w:sz="0" w:space="0" w:color="auto"/>
              </w:divBdr>
              <w:divsChild>
                <w:div w:id="1767071708">
                  <w:marLeft w:val="0"/>
                  <w:marRight w:val="0"/>
                  <w:marTop w:val="0"/>
                  <w:marBottom w:val="0"/>
                  <w:divBdr>
                    <w:top w:val="none" w:sz="0" w:space="0" w:color="auto"/>
                    <w:left w:val="none" w:sz="0" w:space="0" w:color="auto"/>
                    <w:bottom w:val="none" w:sz="0" w:space="0" w:color="auto"/>
                    <w:right w:val="none" w:sz="0" w:space="0" w:color="auto"/>
                  </w:divBdr>
                </w:div>
              </w:divsChild>
            </w:div>
            <w:div w:id="954293846">
              <w:marLeft w:val="0"/>
              <w:marRight w:val="0"/>
              <w:marTop w:val="0"/>
              <w:marBottom w:val="0"/>
              <w:divBdr>
                <w:top w:val="none" w:sz="0" w:space="0" w:color="auto"/>
                <w:left w:val="none" w:sz="0" w:space="0" w:color="auto"/>
                <w:bottom w:val="none" w:sz="0" w:space="0" w:color="auto"/>
                <w:right w:val="none" w:sz="0" w:space="0" w:color="auto"/>
              </w:divBdr>
              <w:divsChild>
                <w:div w:id="1133214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306193">
          <w:marLeft w:val="0"/>
          <w:marRight w:val="0"/>
          <w:marTop w:val="0"/>
          <w:marBottom w:val="0"/>
          <w:divBdr>
            <w:top w:val="none" w:sz="0" w:space="0" w:color="auto"/>
            <w:left w:val="none" w:sz="0" w:space="0" w:color="auto"/>
            <w:bottom w:val="none" w:sz="0" w:space="0" w:color="auto"/>
            <w:right w:val="none" w:sz="0" w:space="0" w:color="auto"/>
          </w:divBdr>
          <w:divsChild>
            <w:div w:id="2089030997">
              <w:marLeft w:val="0"/>
              <w:marRight w:val="0"/>
              <w:marTop w:val="0"/>
              <w:marBottom w:val="0"/>
              <w:divBdr>
                <w:top w:val="none" w:sz="0" w:space="0" w:color="auto"/>
                <w:left w:val="none" w:sz="0" w:space="0" w:color="auto"/>
                <w:bottom w:val="none" w:sz="0" w:space="0" w:color="auto"/>
                <w:right w:val="none" w:sz="0" w:space="0" w:color="auto"/>
              </w:divBdr>
              <w:divsChild>
                <w:div w:id="752509832">
                  <w:marLeft w:val="0"/>
                  <w:marRight w:val="0"/>
                  <w:marTop w:val="0"/>
                  <w:marBottom w:val="0"/>
                  <w:divBdr>
                    <w:top w:val="none" w:sz="0" w:space="0" w:color="auto"/>
                    <w:left w:val="none" w:sz="0" w:space="0" w:color="auto"/>
                    <w:bottom w:val="none" w:sz="0" w:space="0" w:color="auto"/>
                    <w:right w:val="none" w:sz="0" w:space="0" w:color="auto"/>
                  </w:divBdr>
                </w:div>
              </w:divsChild>
            </w:div>
            <w:div w:id="2050491741">
              <w:marLeft w:val="0"/>
              <w:marRight w:val="0"/>
              <w:marTop w:val="0"/>
              <w:marBottom w:val="0"/>
              <w:divBdr>
                <w:top w:val="none" w:sz="0" w:space="0" w:color="auto"/>
                <w:left w:val="none" w:sz="0" w:space="0" w:color="auto"/>
                <w:bottom w:val="none" w:sz="0" w:space="0" w:color="auto"/>
                <w:right w:val="none" w:sz="0" w:space="0" w:color="auto"/>
              </w:divBdr>
              <w:divsChild>
                <w:div w:id="1983995313">
                  <w:marLeft w:val="0"/>
                  <w:marRight w:val="0"/>
                  <w:marTop w:val="0"/>
                  <w:marBottom w:val="0"/>
                  <w:divBdr>
                    <w:top w:val="none" w:sz="0" w:space="0" w:color="auto"/>
                    <w:left w:val="none" w:sz="0" w:space="0" w:color="auto"/>
                    <w:bottom w:val="none" w:sz="0" w:space="0" w:color="auto"/>
                    <w:right w:val="none" w:sz="0" w:space="0" w:color="auto"/>
                  </w:divBdr>
                </w:div>
              </w:divsChild>
            </w:div>
            <w:div w:id="1589583967">
              <w:marLeft w:val="0"/>
              <w:marRight w:val="0"/>
              <w:marTop w:val="0"/>
              <w:marBottom w:val="0"/>
              <w:divBdr>
                <w:top w:val="none" w:sz="0" w:space="0" w:color="auto"/>
                <w:left w:val="none" w:sz="0" w:space="0" w:color="auto"/>
                <w:bottom w:val="none" w:sz="0" w:space="0" w:color="auto"/>
                <w:right w:val="none" w:sz="0" w:space="0" w:color="auto"/>
              </w:divBdr>
              <w:divsChild>
                <w:div w:id="1078553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3277121">
          <w:marLeft w:val="0"/>
          <w:marRight w:val="0"/>
          <w:marTop w:val="0"/>
          <w:marBottom w:val="0"/>
          <w:divBdr>
            <w:top w:val="none" w:sz="0" w:space="0" w:color="auto"/>
            <w:left w:val="none" w:sz="0" w:space="0" w:color="auto"/>
            <w:bottom w:val="none" w:sz="0" w:space="0" w:color="auto"/>
            <w:right w:val="none" w:sz="0" w:space="0" w:color="auto"/>
          </w:divBdr>
          <w:divsChild>
            <w:div w:id="937908068">
              <w:marLeft w:val="0"/>
              <w:marRight w:val="0"/>
              <w:marTop w:val="0"/>
              <w:marBottom w:val="0"/>
              <w:divBdr>
                <w:top w:val="none" w:sz="0" w:space="0" w:color="auto"/>
                <w:left w:val="none" w:sz="0" w:space="0" w:color="auto"/>
                <w:bottom w:val="none" w:sz="0" w:space="0" w:color="auto"/>
                <w:right w:val="none" w:sz="0" w:space="0" w:color="auto"/>
              </w:divBdr>
              <w:divsChild>
                <w:div w:id="1595166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0228223">
          <w:marLeft w:val="0"/>
          <w:marRight w:val="0"/>
          <w:marTop w:val="0"/>
          <w:marBottom w:val="0"/>
          <w:divBdr>
            <w:top w:val="none" w:sz="0" w:space="0" w:color="auto"/>
            <w:left w:val="none" w:sz="0" w:space="0" w:color="auto"/>
            <w:bottom w:val="none" w:sz="0" w:space="0" w:color="auto"/>
            <w:right w:val="none" w:sz="0" w:space="0" w:color="auto"/>
          </w:divBdr>
          <w:divsChild>
            <w:div w:id="1398363956">
              <w:marLeft w:val="0"/>
              <w:marRight w:val="0"/>
              <w:marTop w:val="0"/>
              <w:marBottom w:val="0"/>
              <w:divBdr>
                <w:top w:val="none" w:sz="0" w:space="0" w:color="auto"/>
                <w:left w:val="none" w:sz="0" w:space="0" w:color="auto"/>
                <w:bottom w:val="none" w:sz="0" w:space="0" w:color="auto"/>
                <w:right w:val="none" w:sz="0" w:space="0" w:color="auto"/>
              </w:divBdr>
              <w:divsChild>
                <w:div w:id="2040155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2600015">
          <w:marLeft w:val="0"/>
          <w:marRight w:val="0"/>
          <w:marTop w:val="0"/>
          <w:marBottom w:val="0"/>
          <w:divBdr>
            <w:top w:val="none" w:sz="0" w:space="0" w:color="auto"/>
            <w:left w:val="none" w:sz="0" w:space="0" w:color="auto"/>
            <w:bottom w:val="none" w:sz="0" w:space="0" w:color="auto"/>
            <w:right w:val="none" w:sz="0" w:space="0" w:color="auto"/>
          </w:divBdr>
          <w:divsChild>
            <w:div w:id="1101222064">
              <w:marLeft w:val="0"/>
              <w:marRight w:val="0"/>
              <w:marTop w:val="0"/>
              <w:marBottom w:val="0"/>
              <w:divBdr>
                <w:top w:val="none" w:sz="0" w:space="0" w:color="auto"/>
                <w:left w:val="none" w:sz="0" w:space="0" w:color="auto"/>
                <w:bottom w:val="none" w:sz="0" w:space="0" w:color="auto"/>
                <w:right w:val="none" w:sz="0" w:space="0" w:color="auto"/>
              </w:divBdr>
              <w:divsChild>
                <w:div w:id="73936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7032343">
      <w:bodyDiv w:val="1"/>
      <w:marLeft w:val="0"/>
      <w:marRight w:val="0"/>
      <w:marTop w:val="0"/>
      <w:marBottom w:val="0"/>
      <w:divBdr>
        <w:top w:val="none" w:sz="0" w:space="0" w:color="auto"/>
        <w:left w:val="none" w:sz="0" w:space="0" w:color="auto"/>
        <w:bottom w:val="none" w:sz="0" w:space="0" w:color="auto"/>
        <w:right w:val="none" w:sz="0" w:space="0" w:color="auto"/>
      </w:divBdr>
    </w:div>
    <w:div w:id="328870379">
      <w:bodyDiv w:val="1"/>
      <w:marLeft w:val="0"/>
      <w:marRight w:val="0"/>
      <w:marTop w:val="0"/>
      <w:marBottom w:val="0"/>
      <w:divBdr>
        <w:top w:val="none" w:sz="0" w:space="0" w:color="auto"/>
        <w:left w:val="none" w:sz="0" w:space="0" w:color="auto"/>
        <w:bottom w:val="none" w:sz="0" w:space="0" w:color="auto"/>
        <w:right w:val="none" w:sz="0" w:space="0" w:color="auto"/>
      </w:divBdr>
    </w:div>
    <w:div w:id="361169597">
      <w:bodyDiv w:val="1"/>
      <w:marLeft w:val="0"/>
      <w:marRight w:val="0"/>
      <w:marTop w:val="0"/>
      <w:marBottom w:val="0"/>
      <w:divBdr>
        <w:top w:val="none" w:sz="0" w:space="0" w:color="auto"/>
        <w:left w:val="none" w:sz="0" w:space="0" w:color="auto"/>
        <w:bottom w:val="none" w:sz="0" w:space="0" w:color="auto"/>
        <w:right w:val="none" w:sz="0" w:space="0" w:color="auto"/>
      </w:divBdr>
    </w:div>
    <w:div w:id="402333887">
      <w:bodyDiv w:val="1"/>
      <w:marLeft w:val="0"/>
      <w:marRight w:val="0"/>
      <w:marTop w:val="0"/>
      <w:marBottom w:val="0"/>
      <w:divBdr>
        <w:top w:val="none" w:sz="0" w:space="0" w:color="auto"/>
        <w:left w:val="none" w:sz="0" w:space="0" w:color="auto"/>
        <w:bottom w:val="none" w:sz="0" w:space="0" w:color="auto"/>
        <w:right w:val="none" w:sz="0" w:space="0" w:color="auto"/>
      </w:divBdr>
    </w:div>
    <w:div w:id="661127568">
      <w:bodyDiv w:val="1"/>
      <w:marLeft w:val="0"/>
      <w:marRight w:val="0"/>
      <w:marTop w:val="0"/>
      <w:marBottom w:val="0"/>
      <w:divBdr>
        <w:top w:val="none" w:sz="0" w:space="0" w:color="auto"/>
        <w:left w:val="none" w:sz="0" w:space="0" w:color="auto"/>
        <w:bottom w:val="none" w:sz="0" w:space="0" w:color="auto"/>
        <w:right w:val="none" w:sz="0" w:space="0" w:color="auto"/>
      </w:divBdr>
    </w:div>
    <w:div w:id="716274596">
      <w:bodyDiv w:val="1"/>
      <w:marLeft w:val="0"/>
      <w:marRight w:val="0"/>
      <w:marTop w:val="0"/>
      <w:marBottom w:val="0"/>
      <w:divBdr>
        <w:top w:val="none" w:sz="0" w:space="0" w:color="auto"/>
        <w:left w:val="none" w:sz="0" w:space="0" w:color="auto"/>
        <w:bottom w:val="none" w:sz="0" w:space="0" w:color="auto"/>
        <w:right w:val="none" w:sz="0" w:space="0" w:color="auto"/>
      </w:divBdr>
    </w:div>
    <w:div w:id="788665325">
      <w:bodyDiv w:val="1"/>
      <w:marLeft w:val="0"/>
      <w:marRight w:val="0"/>
      <w:marTop w:val="0"/>
      <w:marBottom w:val="0"/>
      <w:divBdr>
        <w:top w:val="none" w:sz="0" w:space="0" w:color="auto"/>
        <w:left w:val="none" w:sz="0" w:space="0" w:color="auto"/>
        <w:bottom w:val="none" w:sz="0" w:space="0" w:color="auto"/>
        <w:right w:val="none" w:sz="0" w:space="0" w:color="auto"/>
      </w:divBdr>
    </w:div>
    <w:div w:id="812605804">
      <w:bodyDiv w:val="1"/>
      <w:marLeft w:val="0"/>
      <w:marRight w:val="0"/>
      <w:marTop w:val="0"/>
      <w:marBottom w:val="0"/>
      <w:divBdr>
        <w:top w:val="none" w:sz="0" w:space="0" w:color="auto"/>
        <w:left w:val="none" w:sz="0" w:space="0" w:color="auto"/>
        <w:bottom w:val="none" w:sz="0" w:space="0" w:color="auto"/>
        <w:right w:val="none" w:sz="0" w:space="0" w:color="auto"/>
      </w:divBdr>
    </w:div>
    <w:div w:id="829096572">
      <w:bodyDiv w:val="1"/>
      <w:marLeft w:val="0"/>
      <w:marRight w:val="0"/>
      <w:marTop w:val="0"/>
      <w:marBottom w:val="0"/>
      <w:divBdr>
        <w:top w:val="none" w:sz="0" w:space="0" w:color="auto"/>
        <w:left w:val="none" w:sz="0" w:space="0" w:color="auto"/>
        <w:bottom w:val="none" w:sz="0" w:space="0" w:color="auto"/>
        <w:right w:val="none" w:sz="0" w:space="0" w:color="auto"/>
      </w:divBdr>
    </w:div>
    <w:div w:id="852038273">
      <w:bodyDiv w:val="1"/>
      <w:marLeft w:val="0"/>
      <w:marRight w:val="0"/>
      <w:marTop w:val="0"/>
      <w:marBottom w:val="0"/>
      <w:divBdr>
        <w:top w:val="none" w:sz="0" w:space="0" w:color="auto"/>
        <w:left w:val="none" w:sz="0" w:space="0" w:color="auto"/>
        <w:bottom w:val="none" w:sz="0" w:space="0" w:color="auto"/>
        <w:right w:val="none" w:sz="0" w:space="0" w:color="auto"/>
      </w:divBdr>
    </w:div>
    <w:div w:id="880018837">
      <w:bodyDiv w:val="1"/>
      <w:marLeft w:val="0"/>
      <w:marRight w:val="0"/>
      <w:marTop w:val="0"/>
      <w:marBottom w:val="0"/>
      <w:divBdr>
        <w:top w:val="none" w:sz="0" w:space="0" w:color="auto"/>
        <w:left w:val="none" w:sz="0" w:space="0" w:color="auto"/>
        <w:bottom w:val="none" w:sz="0" w:space="0" w:color="auto"/>
        <w:right w:val="none" w:sz="0" w:space="0" w:color="auto"/>
      </w:divBdr>
    </w:div>
    <w:div w:id="916403723">
      <w:bodyDiv w:val="1"/>
      <w:marLeft w:val="0"/>
      <w:marRight w:val="0"/>
      <w:marTop w:val="0"/>
      <w:marBottom w:val="0"/>
      <w:divBdr>
        <w:top w:val="none" w:sz="0" w:space="0" w:color="auto"/>
        <w:left w:val="none" w:sz="0" w:space="0" w:color="auto"/>
        <w:bottom w:val="none" w:sz="0" w:space="0" w:color="auto"/>
        <w:right w:val="none" w:sz="0" w:space="0" w:color="auto"/>
      </w:divBdr>
    </w:div>
    <w:div w:id="998077118">
      <w:bodyDiv w:val="1"/>
      <w:marLeft w:val="0"/>
      <w:marRight w:val="0"/>
      <w:marTop w:val="0"/>
      <w:marBottom w:val="0"/>
      <w:divBdr>
        <w:top w:val="none" w:sz="0" w:space="0" w:color="auto"/>
        <w:left w:val="none" w:sz="0" w:space="0" w:color="auto"/>
        <w:bottom w:val="none" w:sz="0" w:space="0" w:color="auto"/>
        <w:right w:val="none" w:sz="0" w:space="0" w:color="auto"/>
      </w:divBdr>
    </w:div>
    <w:div w:id="1029641530">
      <w:bodyDiv w:val="1"/>
      <w:marLeft w:val="0"/>
      <w:marRight w:val="0"/>
      <w:marTop w:val="0"/>
      <w:marBottom w:val="0"/>
      <w:divBdr>
        <w:top w:val="none" w:sz="0" w:space="0" w:color="auto"/>
        <w:left w:val="none" w:sz="0" w:space="0" w:color="auto"/>
        <w:bottom w:val="none" w:sz="0" w:space="0" w:color="auto"/>
        <w:right w:val="none" w:sz="0" w:space="0" w:color="auto"/>
      </w:divBdr>
    </w:div>
    <w:div w:id="1078357463">
      <w:bodyDiv w:val="1"/>
      <w:marLeft w:val="0"/>
      <w:marRight w:val="0"/>
      <w:marTop w:val="0"/>
      <w:marBottom w:val="0"/>
      <w:divBdr>
        <w:top w:val="none" w:sz="0" w:space="0" w:color="auto"/>
        <w:left w:val="none" w:sz="0" w:space="0" w:color="auto"/>
        <w:bottom w:val="none" w:sz="0" w:space="0" w:color="auto"/>
        <w:right w:val="none" w:sz="0" w:space="0" w:color="auto"/>
      </w:divBdr>
    </w:div>
    <w:div w:id="1078940290">
      <w:bodyDiv w:val="1"/>
      <w:marLeft w:val="0"/>
      <w:marRight w:val="0"/>
      <w:marTop w:val="0"/>
      <w:marBottom w:val="0"/>
      <w:divBdr>
        <w:top w:val="none" w:sz="0" w:space="0" w:color="auto"/>
        <w:left w:val="none" w:sz="0" w:space="0" w:color="auto"/>
        <w:bottom w:val="none" w:sz="0" w:space="0" w:color="auto"/>
        <w:right w:val="none" w:sz="0" w:space="0" w:color="auto"/>
      </w:divBdr>
    </w:div>
    <w:div w:id="1093091937">
      <w:bodyDiv w:val="1"/>
      <w:marLeft w:val="0"/>
      <w:marRight w:val="0"/>
      <w:marTop w:val="0"/>
      <w:marBottom w:val="0"/>
      <w:divBdr>
        <w:top w:val="none" w:sz="0" w:space="0" w:color="auto"/>
        <w:left w:val="none" w:sz="0" w:space="0" w:color="auto"/>
        <w:bottom w:val="none" w:sz="0" w:space="0" w:color="auto"/>
        <w:right w:val="none" w:sz="0" w:space="0" w:color="auto"/>
      </w:divBdr>
      <w:divsChild>
        <w:div w:id="1427115085">
          <w:marLeft w:val="0"/>
          <w:marRight w:val="0"/>
          <w:marTop w:val="0"/>
          <w:marBottom w:val="0"/>
          <w:divBdr>
            <w:top w:val="none" w:sz="0" w:space="0" w:color="auto"/>
            <w:left w:val="none" w:sz="0" w:space="0" w:color="auto"/>
            <w:bottom w:val="none" w:sz="0" w:space="0" w:color="auto"/>
            <w:right w:val="none" w:sz="0" w:space="0" w:color="auto"/>
          </w:divBdr>
        </w:div>
        <w:div w:id="562915180">
          <w:marLeft w:val="0"/>
          <w:marRight w:val="0"/>
          <w:marTop w:val="0"/>
          <w:marBottom w:val="0"/>
          <w:divBdr>
            <w:top w:val="none" w:sz="0" w:space="0" w:color="auto"/>
            <w:left w:val="none" w:sz="0" w:space="0" w:color="auto"/>
            <w:bottom w:val="none" w:sz="0" w:space="0" w:color="auto"/>
            <w:right w:val="none" w:sz="0" w:space="0" w:color="auto"/>
          </w:divBdr>
          <w:divsChild>
            <w:div w:id="1591236265">
              <w:marLeft w:val="0"/>
              <w:marRight w:val="0"/>
              <w:marTop w:val="0"/>
              <w:marBottom w:val="0"/>
              <w:divBdr>
                <w:top w:val="none" w:sz="0" w:space="0" w:color="auto"/>
                <w:left w:val="none" w:sz="0" w:space="0" w:color="auto"/>
                <w:bottom w:val="none" w:sz="0" w:space="0" w:color="auto"/>
                <w:right w:val="none" w:sz="0" w:space="0" w:color="auto"/>
              </w:divBdr>
            </w:div>
          </w:divsChild>
        </w:div>
        <w:div w:id="1452360835">
          <w:marLeft w:val="0"/>
          <w:marRight w:val="0"/>
          <w:marTop w:val="0"/>
          <w:marBottom w:val="0"/>
          <w:divBdr>
            <w:top w:val="none" w:sz="0" w:space="0" w:color="auto"/>
            <w:left w:val="none" w:sz="0" w:space="0" w:color="auto"/>
            <w:bottom w:val="none" w:sz="0" w:space="0" w:color="auto"/>
            <w:right w:val="none" w:sz="0" w:space="0" w:color="auto"/>
          </w:divBdr>
          <w:divsChild>
            <w:div w:id="1030691247">
              <w:marLeft w:val="0"/>
              <w:marRight w:val="0"/>
              <w:marTop w:val="0"/>
              <w:marBottom w:val="0"/>
              <w:divBdr>
                <w:top w:val="none" w:sz="0" w:space="0" w:color="auto"/>
                <w:left w:val="none" w:sz="0" w:space="0" w:color="auto"/>
                <w:bottom w:val="none" w:sz="0" w:space="0" w:color="auto"/>
                <w:right w:val="none" w:sz="0" w:space="0" w:color="auto"/>
              </w:divBdr>
            </w:div>
          </w:divsChild>
        </w:div>
        <w:div w:id="1445229389">
          <w:marLeft w:val="0"/>
          <w:marRight w:val="0"/>
          <w:marTop w:val="0"/>
          <w:marBottom w:val="0"/>
          <w:divBdr>
            <w:top w:val="none" w:sz="0" w:space="0" w:color="auto"/>
            <w:left w:val="none" w:sz="0" w:space="0" w:color="auto"/>
            <w:bottom w:val="none" w:sz="0" w:space="0" w:color="auto"/>
            <w:right w:val="none" w:sz="0" w:space="0" w:color="auto"/>
          </w:divBdr>
          <w:divsChild>
            <w:div w:id="1840923915">
              <w:marLeft w:val="0"/>
              <w:marRight w:val="0"/>
              <w:marTop w:val="0"/>
              <w:marBottom w:val="0"/>
              <w:divBdr>
                <w:top w:val="none" w:sz="0" w:space="0" w:color="auto"/>
                <w:left w:val="none" w:sz="0" w:space="0" w:color="auto"/>
                <w:bottom w:val="none" w:sz="0" w:space="0" w:color="auto"/>
                <w:right w:val="none" w:sz="0" w:space="0" w:color="auto"/>
              </w:divBdr>
            </w:div>
          </w:divsChild>
        </w:div>
        <w:div w:id="1649702521">
          <w:marLeft w:val="0"/>
          <w:marRight w:val="0"/>
          <w:marTop w:val="0"/>
          <w:marBottom w:val="0"/>
          <w:divBdr>
            <w:top w:val="none" w:sz="0" w:space="0" w:color="auto"/>
            <w:left w:val="none" w:sz="0" w:space="0" w:color="auto"/>
            <w:bottom w:val="none" w:sz="0" w:space="0" w:color="auto"/>
            <w:right w:val="none" w:sz="0" w:space="0" w:color="auto"/>
          </w:divBdr>
        </w:div>
        <w:div w:id="1105349674">
          <w:marLeft w:val="0"/>
          <w:marRight w:val="0"/>
          <w:marTop w:val="0"/>
          <w:marBottom w:val="0"/>
          <w:divBdr>
            <w:top w:val="none" w:sz="0" w:space="0" w:color="auto"/>
            <w:left w:val="none" w:sz="0" w:space="0" w:color="auto"/>
            <w:bottom w:val="none" w:sz="0" w:space="0" w:color="auto"/>
            <w:right w:val="none" w:sz="0" w:space="0" w:color="auto"/>
          </w:divBdr>
          <w:divsChild>
            <w:div w:id="704866139">
              <w:marLeft w:val="0"/>
              <w:marRight w:val="0"/>
              <w:marTop w:val="0"/>
              <w:marBottom w:val="0"/>
              <w:divBdr>
                <w:top w:val="none" w:sz="0" w:space="0" w:color="auto"/>
                <w:left w:val="none" w:sz="0" w:space="0" w:color="auto"/>
                <w:bottom w:val="none" w:sz="0" w:space="0" w:color="auto"/>
                <w:right w:val="none" w:sz="0" w:space="0" w:color="auto"/>
              </w:divBdr>
            </w:div>
          </w:divsChild>
        </w:div>
        <w:div w:id="1209685192">
          <w:marLeft w:val="0"/>
          <w:marRight w:val="0"/>
          <w:marTop w:val="0"/>
          <w:marBottom w:val="0"/>
          <w:divBdr>
            <w:top w:val="none" w:sz="0" w:space="0" w:color="auto"/>
            <w:left w:val="none" w:sz="0" w:space="0" w:color="auto"/>
            <w:bottom w:val="none" w:sz="0" w:space="0" w:color="auto"/>
            <w:right w:val="none" w:sz="0" w:space="0" w:color="auto"/>
          </w:divBdr>
          <w:divsChild>
            <w:div w:id="68041033">
              <w:marLeft w:val="0"/>
              <w:marRight w:val="0"/>
              <w:marTop w:val="0"/>
              <w:marBottom w:val="0"/>
              <w:divBdr>
                <w:top w:val="none" w:sz="0" w:space="0" w:color="auto"/>
                <w:left w:val="none" w:sz="0" w:space="0" w:color="auto"/>
                <w:bottom w:val="none" w:sz="0" w:space="0" w:color="auto"/>
                <w:right w:val="none" w:sz="0" w:space="0" w:color="auto"/>
              </w:divBdr>
            </w:div>
          </w:divsChild>
        </w:div>
        <w:div w:id="1598293281">
          <w:marLeft w:val="0"/>
          <w:marRight w:val="0"/>
          <w:marTop w:val="0"/>
          <w:marBottom w:val="0"/>
          <w:divBdr>
            <w:top w:val="none" w:sz="0" w:space="0" w:color="auto"/>
            <w:left w:val="none" w:sz="0" w:space="0" w:color="auto"/>
            <w:bottom w:val="none" w:sz="0" w:space="0" w:color="auto"/>
            <w:right w:val="none" w:sz="0" w:space="0" w:color="auto"/>
          </w:divBdr>
          <w:divsChild>
            <w:div w:id="736514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7379752">
      <w:bodyDiv w:val="1"/>
      <w:marLeft w:val="0"/>
      <w:marRight w:val="0"/>
      <w:marTop w:val="0"/>
      <w:marBottom w:val="0"/>
      <w:divBdr>
        <w:top w:val="none" w:sz="0" w:space="0" w:color="auto"/>
        <w:left w:val="none" w:sz="0" w:space="0" w:color="auto"/>
        <w:bottom w:val="none" w:sz="0" w:space="0" w:color="auto"/>
        <w:right w:val="none" w:sz="0" w:space="0" w:color="auto"/>
      </w:divBdr>
    </w:div>
    <w:div w:id="1180658029">
      <w:bodyDiv w:val="1"/>
      <w:marLeft w:val="0"/>
      <w:marRight w:val="0"/>
      <w:marTop w:val="0"/>
      <w:marBottom w:val="0"/>
      <w:divBdr>
        <w:top w:val="none" w:sz="0" w:space="0" w:color="auto"/>
        <w:left w:val="none" w:sz="0" w:space="0" w:color="auto"/>
        <w:bottom w:val="none" w:sz="0" w:space="0" w:color="auto"/>
        <w:right w:val="none" w:sz="0" w:space="0" w:color="auto"/>
      </w:divBdr>
    </w:div>
    <w:div w:id="1298410758">
      <w:bodyDiv w:val="1"/>
      <w:marLeft w:val="0"/>
      <w:marRight w:val="0"/>
      <w:marTop w:val="0"/>
      <w:marBottom w:val="0"/>
      <w:divBdr>
        <w:top w:val="none" w:sz="0" w:space="0" w:color="auto"/>
        <w:left w:val="none" w:sz="0" w:space="0" w:color="auto"/>
        <w:bottom w:val="none" w:sz="0" w:space="0" w:color="auto"/>
        <w:right w:val="none" w:sz="0" w:space="0" w:color="auto"/>
      </w:divBdr>
    </w:div>
    <w:div w:id="1315067450">
      <w:bodyDiv w:val="1"/>
      <w:marLeft w:val="0"/>
      <w:marRight w:val="0"/>
      <w:marTop w:val="0"/>
      <w:marBottom w:val="0"/>
      <w:divBdr>
        <w:top w:val="none" w:sz="0" w:space="0" w:color="auto"/>
        <w:left w:val="none" w:sz="0" w:space="0" w:color="auto"/>
        <w:bottom w:val="none" w:sz="0" w:space="0" w:color="auto"/>
        <w:right w:val="none" w:sz="0" w:space="0" w:color="auto"/>
      </w:divBdr>
    </w:div>
    <w:div w:id="1328745685">
      <w:bodyDiv w:val="1"/>
      <w:marLeft w:val="0"/>
      <w:marRight w:val="0"/>
      <w:marTop w:val="0"/>
      <w:marBottom w:val="0"/>
      <w:divBdr>
        <w:top w:val="none" w:sz="0" w:space="0" w:color="auto"/>
        <w:left w:val="none" w:sz="0" w:space="0" w:color="auto"/>
        <w:bottom w:val="none" w:sz="0" w:space="0" w:color="auto"/>
        <w:right w:val="none" w:sz="0" w:space="0" w:color="auto"/>
      </w:divBdr>
    </w:div>
    <w:div w:id="1477454866">
      <w:bodyDiv w:val="1"/>
      <w:marLeft w:val="0"/>
      <w:marRight w:val="0"/>
      <w:marTop w:val="0"/>
      <w:marBottom w:val="0"/>
      <w:divBdr>
        <w:top w:val="none" w:sz="0" w:space="0" w:color="auto"/>
        <w:left w:val="none" w:sz="0" w:space="0" w:color="auto"/>
        <w:bottom w:val="none" w:sz="0" w:space="0" w:color="auto"/>
        <w:right w:val="none" w:sz="0" w:space="0" w:color="auto"/>
      </w:divBdr>
    </w:div>
    <w:div w:id="1530869499">
      <w:bodyDiv w:val="1"/>
      <w:marLeft w:val="0"/>
      <w:marRight w:val="0"/>
      <w:marTop w:val="0"/>
      <w:marBottom w:val="0"/>
      <w:divBdr>
        <w:top w:val="none" w:sz="0" w:space="0" w:color="auto"/>
        <w:left w:val="none" w:sz="0" w:space="0" w:color="auto"/>
        <w:bottom w:val="none" w:sz="0" w:space="0" w:color="auto"/>
        <w:right w:val="none" w:sz="0" w:space="0" w:color="auto"/>
      </w:divBdr>
    </w:div>
    <w:div w:id="1585795299">
      <w:bodyDiv w:val="1"/>
      <w:marLeft w:val="0"/>
      <w:marRight w:val="0"/>
      <w:marTop w:val="0"/>
      <w:marBottom w:val="0"/>
      <w:divBdr>
        <w:top w:val="none" w:sz="0" w:space="0" w:color="auto"/>
        <w:left w:val="none" w:sz="0" w:space="0" w:color="auto"/>
        <w:bottom w:val="none" w:sz="0" w:space="0" w:color="auto"/>
        <w:right w:val="none" w:sz="0" w:space="0" w:color="auto"/>
      </w:divBdr>
    </w:div>
    <w:div w:id="1600480867">
      <w:bodyDiv w:val="1"/>
      <w:marLeft w:val="0"/>
      <w:marRight w:val="0"/>
      <w:marTop w:val="0"/>
      <w:marBottom w:val="0"/>
      <w:divBdr>
        <w:top w:val="none" w:sz="0" w:space="0" w:color="auto"/>
        <w:left w:val="none" w:sz="0" w:space="0" w:color="auto"/>
        <w:bottom w:val="none" w:sz="0" w:space="0" w:color="auto"/>
        <w:right w:val="none" w:sz="0" w:space="0" w:color="auto"/>
      </w:divBdr>
    </w:div>
    <w:div w:id="1725713505">
      <w:bodyDiv w:val="1"/>
      <w:marLeft w:val="0"/>
      <w:marRight w:val="0"/>
      <w:marTop w:val="0"/>
      <w:marBottom w:val="0"/>
      <w:divBdr>
        <w:top w:val="none" w:sz="0" w:space="0" w:color="auto"/>
        <w:left w:val="none" w:sz="0" w:space="0" w:color="auto"/>
        <w:bottom w:val="none" w:sz="0" w:space="0" w:color="auto"/>
        <w:right w:val="none" w:sz="0" w:space="0" w:color="auto"/>
      </w:divBdr>
    </w:div>
    <w:div w:id="1792086018">
      <w:bodyDiv w:val="1"/>
      <w:marLeft w:val="0"/>
      <w:marRight w:val="0"/>
      <w:marTop w:val="0"/>
      <w:marBottom w:val="0"/>
      <w:divBdr>
        <w:top w:val="none" w:sz="0" w:space="0" w:color="auto"/>
        <w:left w:val="none" w:sz="0" w:space="0" w:color="auto"/>
        <w:bottom w:val="none" w:sz="0" w:space="0" w:color="auto"/>
        <w:right w:val="none" w:sz="0" w:space="0" w:color="auto"/>
      </w:divBdr>
    </w:div>
    <w:div w:id="1969625821">
      <w:bodyDiv w:val="1"/>
      <w:marLeft w:val="0"/>
      <w:marRight w:val="0"/>
      <w:marTop w:val="0"/>
      <w:marBottom w:val="0"/>
      <w:divBdr>
        <w:top w:val="none" w:sz="0" w:space="0" w:color="auto"/>
        <w:left w:val="none" w:sz="0" w:space="0" w:color="auto"/>
        <w:bottom w:val="none" w:sz="0" w:space="0" w:color="auto"/>
        <w:right w:val="none" w:sz="0" w:space="0" w:color="auto"/>
      </w:divBdr>
    </w:div>
    <w:div w:id="2071882260">
      <w:bodyDiv w:val="1"/>
      <w:marLeft w:val="0"/>
      <w:marRight w:val="0"/>
      <w:marTop w:val="0"/>
      <w:marBottom w:val="0"/>
      <w:divBdr>
        <w:top w:val="none" w:sz="0" w:space="0" w:color="auto"/>
        <w:left w:val="none" w:sz="0" w:space="0" w:color="auto"/>
        <w:bottom w:val="none" w:sz="0" w:space="0" w:color="auto"/>
        <w:right w:val="none" w:sz="0" w:space="0" w:color="auto"/>
      </w:divBdr>
    </w:div>
    <w:div w:id="2095853036">
      <w:bodyDiv w:val="1"/>
      <w:marLeft w:val="0"/>
      <w:marRight w:val="0"/>
      <w:marTop w:val="0"/>
      <w:marBottom w:val="0"/>
      <w:divBdr>
        <w:top w:val="none" w:sz="0" w:space="0" w:color="auto"/>
        <w:left w:val="none" w:sz="0" w:space="0" w:color="auto"/>
        <w:bottom w:val="none" w:sz="0" w:space="0" w:color="auto"/>
        <w:right w:val="none" w:sz="0" w:space="0" w:color="auto"/>
      </w:divBdr>
    </w:div>
    <w:div w:id="2107072595">
      <w:bodyDiv w:val="1"/>
      <w:marLeft w:val="0"/>
      <w:marRight w:val="0"/>
      <w:marTop w:val="0"/>
      <w:marBottom w:val="0"/>
      <w:divBdr>
        <w:top w:val="none" w:sz="0" w:space="0" w:color="auto"/>
        <w:left w:val="none" w:sz="0" w:space="0" w:color="auto"/>
        <w:bottom w:val="none" w:sz="0" w:space="0" w:color="auto"/>
        <w:right w:val="none" w:sz="0" w:space="0" w:color="auto"/>
      </w:divBdr>
    </w:div>
    <w:div w:id="21451944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contas.tcu.gov.br/sisdoc/ObterDocumentoSisdoc?codPapelTramitavel=59282098"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contas.tcu.gov.br/sisdoc/ObterDocumentoSisdoc?codPapelTramitavel=59161595"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contas.tcu.gov.br/sisdoc/ObterDocumentoSisdoc?codPapelTramitavel=59169567"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emf"/><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CDDEC5-848D-4008-9E9F-AEF5B31703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2043</TotalTime>
  <Pages>20</Pages>
  <Words>8152</Words>
  <Characters>44022</Characters>
  <Application>Microsoft Office Word</Application>
  <DocSecurity>0</DocSecurity>
  <Lines>366</Lines>
  <Paragraphs>104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52070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Roberta Reinehr</dc:creator>
  <cp:lastModifiedBy>Roberta Reinehr</cp:lastModifiedBy>
  <cp:revision>231</cp:revision>
  <cp:lastPrinted>2020-09-28T23:32:00Z</cp:lastPrinted>
  <dcterms:created xsi:type="dcterms:W3CDTF">2020-09-25T20:30:00Z</dcterms:created>
  <dcterms:modified xsi:type="dcterms:W3CDTF">2020-09-28T23:34:00Z</dcterms:modified>
</cp:coreProperties>
</file>