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512C9" w:rsidRDefault="000721EB">
      <w:pPr>
        <w:pStyle w:val="WW-Ttulo"/>
        <w:rPr>
          <w:smallCaps/>
          <w:sz w:val="22"/>
          <w:szCs w:val="22"/>
        </w:rPr>
      </w:pPr>
      <w:r>
        <w:rPr>
          <w:noProof/>
        </w:rPr>
        <w:drawing>
          <wp:inline distT="0" distB="0" distL="0" distR="0">
            <wp:extent cx="581025" cy="5810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2C9" w:rsidRDefault="004512C9">
      <w:pPr>
        <w:pStyle w:val="WW-Ttulo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Ministério do Meio Ambiente</w:t>
      </w:r>
    </w:p>
    <w:p w:rsidR="004512C9" w:rsidRDefault="004512C9">
      <w:pPr>
        <w:pStyle w:val="WW-Ttulo"/>
        <w:spacing w:after="120" w:line="240" w:lineRule="exact"/>
        <w:rPr>
          <w:szCs w:val="24"/>
        </w:rPr>
      </w:pPr>
      <w:r>
        <w:rPr>
          <w:smallCaps/>
          <w:sz w:val="22"/>
          <w:szCs w:val="22"/>
        </w:rPr>
        <w:t>Conselho Nacional de Recursos Hídricos</w:t>
      </w:r>
      <w:r>
        <w:rPr>
          <w:b w:val="0"/>
        </w:rPr>
        <w:t xml:space="preserve"> </w:t>
      </w:r>
    </w:p>
    <w:p w:rsidR="008E5CA8" w:rsidRPr="008E5CA8" w:rsidRDefault="008E5CA8" w:rsidP="008E5CA8">
      <w:pPr>
        <w:tabs>
          <w:tab w:val="left" w:pos="0"/>
          <w:tab w:val="left" w:pos="7088"/>
        </w:tabs>
        <w:spacing w:after="120" w:line="240" w:lineRule="exact"/>
        <w:jc w:val="center"/>
        <w:rPr>
          <w:b/>
          <w:bCs/>
          <w:color w:val="FF0000"/>
          <w:sz w:val="24"/>
          <w:szCs w:val="24"/>
        </w:rPr>
      </w:pPr>
      <w:r w:rsidRPr="008E5CA8">
        <w:rPr>
          <w:b/>
          <w:bCs/>
          <w:color w:val="FF0000"/>
          <w:sz w:val="24"/>
          <w:szCs w:val="24"/>
        </w:rPr>
        <w:t xml:space="preserve">MINUTA </w:t>
      </w:r>
      <w:r w:rsidRPr="008E5CA8">
        <w:rPr>
          <w:b/>
          <w:bCs/>
          <w:sz w:val="24"/>
          <w:szCs w:val="24"/>
        </w:rPr>
        <w:t xml:space="preserve">RESOLUÇÃO Nº ___, DE ___ </w:t>
      </w:r>
      <w:proofErr w:type="spellStart"/>
      <w:r w:rsidRPr="008E5CA8">
        <w:rPr>
          <w:b/>
          <w:bCs/>
          <w:sz w:val="24"/>
          <w:szCs w:val="24"/>
        </w:rPr>
        <w:t>DE</w:t>
      </w:r>
      <w:proofErr w:type="spellEnd"/>
      <w:r w:rsidRPr="008E5CA8">
        <w:rPr>
          <w:b/>
          <w:bCs/>
          <w:sz w:val="24"/>
          <w:szCs w:val="24"/>
        </w:rPr>
        <w:t xml:space="preserve"> ___________ </w:t>
      </w:r>
      <w:proofErr w:type="spellStart"/>
      <w:r w:rsidRPr="008E5CA8">
        <w:rPr>
          <w:b/>
          <w:bCs/>
          <w:sz w:val="24"/>
          <w:szCs w:val="24"/>
        </w:rPr>
        <w:t>DE</w:t>
      </w:r>
      <w:proofErr w:type="spellEnd"/>
      <w:r w:rsidRPr="008E5CA8">
        <w:rPr>
          <w:b/>
          <w:bCs/>
          <w:sz w:val="24"/>
          <w:szCs w:val="24"/>
        </w:rPr>
        <w:t xml:space="preserve"> 2015</w:t>
      </w:r>
      <w:r w:rsidRPr="008E5CA8">
        <w:rPr>
          <w:b/>
          <w:bCs/>
          <w:color w:val="FF0000"/>
          <w:sz w:val="24"/>
          <w:szCs w:val="24"/>
        </w:rPr>
        <w:t>.</w:t>
      </w:r>
    </w:p>
    <w:p w:rsidR="004512C9" w:rsidRDefault="004512C9">
      <w:pPr>
        <w:tabs>
          <w:tab w:val="left" w:pos="0"/>
          <w:tab w:val="left" w:pos="7088"/>
        </w:tabs>
        <w:spacing w:after="120" w:line="240" w:lineRule="exact"/>
        <w:jc w:val="center"/>
      </w:pPr>
    </w:p>
    <w:p w:rsidR="004512C9" w:rsidRDefault="004512C9">
      <w:pPr>
        <w:pStyle w:val="Recuodecorpodetexto31"/>
        <w:tabs>
          <w:tab w:val="clear" w:pos="9420"/>
          <w:tab w:val="clear" w:pos="16508"/>
          <w:tab w:val="left" w:pos="10065"/>
          <w:tab w:val="left" w:pos="16901"/>
        </w:tabs>
        <w:spacing w:after="120" w:line="240" w:lineRule="exact"/>
        <w:ind w:left="5103"/>
        <w:rPr>
          <w:rFonts w:eastAsia="Helvetica-Bold"/>
          <w:i/>
          <w:szCs w:val="24"/>
        </w:rPr>
      </w:pPr>
      <w:r>
        <w:rPr>
          <w:i/>
          <w:szCs w:val="24"/>
        </w:rPr>
        <w:t xml:space="preserve">Aprova os </w:t>
      </w:r>
      <w:r w:rsidR="00783473">
        <w:rPr>
          <w:i/>
          <w:szCs w:val="24"/>
        </w:rPr>
        <w:t>critérios</w:t>
      </w:r>
      <w:r>
        <w:rPr>
          <w:i/>
          <w:szCs w:val="24"/>
        </w:rPr>
        <w:t xml:space="preserve"> para </w:t>
      </w:r>
      <w:r w:rsidR="008F6E28">
        <w:rPr>
          <w:i/>
          <w:szCs w:val="24"/>
        </w:rPr>
        <w:t>estabelecimento de</w:t>
      </w:r>
      <w:r w:rsidR="00783473">
        <w:rPr>
          <w:i/>
          <w:szCs w:val="24"/>
        </w:rPr>
        <w:t xml:space="preserve"> derivações, captações e lançamentos</w:t>
      </w:r>
      <w:r>
        <w:rPr>
          <w:i/>
          <w:szCs w:val="24"/>
        </w:rPr>
        <w:t xml:space="preserve"> </w:t>
      </w:r>
      <w:r w:rsidR="00783473" w:rsidRPr="00783473">
        <w:rPr>
          <w:i/>
          <w:szCs w:val="24"/>
        </w:rPr>
        <w:t>de pouca expressão, considerados insignificantes,</w:t>
      </w:r>
      <w:r>
        <w:rPr>
          <w:i/>
          <w:szCs w:val="24"/>
        </w:rPr>
        <w:t xml:space="preserve"> para isenção da obrigatoriedade da outorga de direito de uso de recursos hídricos nos corpos d’água de domínio da União </w:t>
      </w:r>
      <w:r w:rsidR="00783473">
        <w:rPr>
          <w:i/>
          <w:szCs w:val="24"/>
        </w:rPr>
        <w:t>d</w:t>
      </w:r>
      <w:r>
        <w:rPr>
          <w:i/>
          <w:szCs w:val="24"/>
        </w:rPr>
        <w:t xml:space="preserve">a Bacia Hidrográfica do Rio </w:t>
      </w:r>
      <w:r w:rsidR="00C408CC">
        <w:rPr>
          <w:i/>
          <w:szCs w:val="24"/>
        </w:rPr>
        <w:t>Verde Grande</w:t>
      </w:r>
      <w:r>
        <w:rPr>
          <w:rFonts w:eastAsia="Helvetica-Bold"/>
          <w:i/>
          <w:szCs w:val="24"/>
        </w:rPr>
        <w:t>.</w:t>
      </w:r>
    </w:p>
    <w:p w:rsidR="00B26C87" w:rsidRDefault="00B26C87">
      <w:pPr>
        <w:pStyle w:val="Recuodecorpodetexto31"/>
        <w:tabs>
          <w:tab w:val="clear" w:pos="9420"/>
          <w:tab w:val="clear" w:pos="16508"/>
          <w:tab w:val="left" w:pos="10065"/>
          <w:tab w:val="left" w:pos="16901"/>
        </w:tabs>
        <w:spacing w:after="120" w:line="240" w:lineRule="exact"/>
        <w:ind w:left="5103"/>
        <w:rPr>
          <w:szCs w:val="24"/>
        </w:rPr>
      </w:pPr>
    </w:p>
    <w:p w:rsidR="004512C9" w:rsidRDefault="004512C9" w:rsidP="008E5CA8">
      <w:pPr>
        <w:pStyle w:val="Recuodecorpodetexto21"/>
        <w:spacing w:after="12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>
        <w:rPr>
          <w:b/>
          <w:sz w:val="24"/>
          <w:szCs w:val="24"/>
        </w:rPr>
        <w:t>CONSELHO NACIONAL DE RECURSOS HÍDRICOS-CNRH</w:t>
      </w:r>
      <w:r>
        <w:rPr>
          <w:sz w:val="24"/>
          <w:szCs w:val="24"/>
        </w:rPr>
        <w:t>, no uso das competências que lhe são conferidas pelas Leis n</w:t>
      </w:r>
      <w:r>
        <w:rPr>
          <w:sz w:val="24"/>
          <w:szCs w:val="24"/>
          <w:u w:val="single"/>
          <w:vertAlign w:val="superscript"/>
        </w:rPr>
        <w:t>os</w:t>
      </w:r>
      <w:r>
        <w:rPr>
          <w:sz w:val="24"/>
          <w:szCs w:val="24"/>
        </w:rPr>
        <w:t xml:space="preserve"> 9.433, de 8 de janeiro de 1997, e 9.984, de 17 de julho de 2000, e tendo em vista o disposto em seu Regimento Interno, anexo à Portaria n</w:t>
      </w:r>
      <w:r>
        <w:rPr>
          <w:sz w:val="24"/>
          <w:szCs w:val="24"/>
          <w:u w:val="single"/>
          <w:vertAlign w:val="superscript"/>
        </w:rPr>
        <w:t>o</w:t>
      </w:r>
      <w:r>
        <w:rPr>
          <w:sz w:val="24"/>
          <w:szCs w:val="24"/>
        </w:rPr>
        <w:t xml:space="preserve"> 377, de 19 de setembro de 2003, e</w:t>
      </w:r>
    </w:p>
    <w:p w:rsidR="004512C9" w:rsidRDefault="004512C9" w:rsidP="008E5CA8">
      <w:pPr>
        <w:pStyle w:val="Recuodecorpodetexto21"/>
        <w:spacing w:after="12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Considerando o disposto no</w:t>
      </w:r>
      <w:r w:rsidR="002C2298">
        <w:rPr>
          <w:sz w:val="24"/>
          <w:szCs w:val="24"/>
        </w:rPr>
        <w:t>s incisos II e III do</w:t>
      </w:r>
      <w:r>
        <w:rPr>
          <w:sz w:val="24"/>
          <w:szCs w:val="24"/>
        </w:rPr>
        <w:t xml:space="preserve"> § 1</w:t>
      </w:r>
      <w:r>
        <w:rPr>
          <w:sz w:val="24"/>
          <w:szCs w:val="24"/>
          <w:u w:val="single"/>
          <w:vertAlign w:val="superscript"/>
        </w:rPr>
        <w:t>o</w:t>
      </w:r>
      <w:r w:rsidR="002C2298">
        <w:rPr>
          <w:sz w:val="24"/>
          <w:szCs w:val="24"/>
        </w:rPr>
        <w:t xml:space="preserve"> do art. 12, no art. 20 e no inciso V</w:t>
      </w:r>
      <w:r>
        <w:rPr>
          <w:sz w:val="24"/>
          <w:szCs w:val="24"/>
        </w:rPr>
        <w:t xml:space="preserve"> do art. 38, da Lei n</w:t>
      </w:r>
      <w:r>
        <w:rPr>
          <w:sz w:val="24"/>
          <w:szCs w:val="24"/>
          <w:u w:val="single"/>
          <w:vertAlign w:val="superscript"/>
        </w:rPr>
        <w:t>o</w:t>
      </w:r>
      <w:r>
        <w:rPr>
          <w:sz w:val="24"/>
          <w:szCs w:val="24"/>
        </w:rPr>
        <w:t xml:space="preserve"> 9.433, de 8 de janeiro de 1997; e</w:t>
      </w:r>
    </w:p>
    <w:p w:rsidR="004512C9" w:rsidRDefault="004512C9" w:rsidP="008E5CA8">
      <w:pPr>
        <w:pStyle w:val="Recuodecorpodetexto21"/>
        <w:spacing w:after="120" w:line="240" w:lineRule="exact"/>
        <w:ind w:firstLine="0"/>
        <w:rPr>
          <w:rFonts w:eastAsia="Helvetica"/>
          <w:bCs/>
          <w:sz w:val="24"/>
          <w:szCs w:val="24"/>
        </w:rPr>
      </w:pPr>
      <w:r>
        <w:rPr>
          <w:sz w:val="24"/>
          <w:szCs w:val="24"/>
        </w:rPr>
        <w:t xml:space="preserve">Considerando a proposta do Comitê da Bacia Hidrográfica do Rio </w:t>
      </w:r>
      <w:r w:rsidR="00783473">
        <w:rPr>
          <w:sz w:val="24"/>
          <w:szCs w:val="24"/>
        </w:rPr>
        <w:t>Verde Grande</w:t>
      </w:r>
      <w:r>
        <w:rPr>
          <w:sz w:val="24"/>
          <w:szCs w:val="24"/>
        </w:rPr>
        <w:t>, constante d</w:t>
      </w:r>
      <w:r w:rsidR="00783473">
        <w:rPr>
          <w:sz w:val="24"/>
          <w:szCs w:val="24"/>
        </w:rPr>
        <w:t>e sua</w:t>
      </w:r>
      <w:r>
        <w:rPr>
          <w:sz w:val="24"/>
          <w:szCs w:val="24"/>
        </w:rPr>
        <w:t xml:space="preserve"> Deliberação n</w:t>
      </w:r>
      <w:r>
        <w:rPr>
          <w:sz w:val="24"/>
          <w:szCs w:val="24"/>
          <w:u w:val="single"/>
          <w:vertAlign w:val="superscript"/>
        </w:rPr>
        <w:t>o</w:t>
      </w:r>
      <w:r>
        <w:rPr>
          <w:sz w:val="24"/>
          <w:szCs w:val="24"/>
        </w:rPr>
        <w:t xml:space="preserve"> </w:t>
      </w:r>
      <w:r w:rsidR="00783473">
        <w:rPr>
          <w:sz w:val="24"/>
          <w:szCs w:val="24"/>
        </w:rPr>
        <w:t>51</w:t>
      </w:r>
      <w:r>
        <w:rPr>
          <w:sz w:val="24"/>
          <w:szCs w:val="24"/>
        </w:rPr>
        <w:t xml:space="preserve">, de </w:t>
      </w:r>
      <w:r w:rsidR="00C408CC">
        <w:rPr>
          <w:sz w:val="24"/>
          <w:szCs w:val="24"/>
        </w:rPr>
        <w:t>05</w:t>
      </w:r>
      <w:r>
        <w:rPr>
          <w:sz w:val="24"/>
          <w:szCs w:val="24"/>
        </w:rPr>
        <w:t xml:space="preserve"> de ma</w:t>
      </w:r>
      <w:r w:rsidR="00C408CC">
        <w:rPr>
          <w:sz w:val="24"/>
          <w:szCs w:val="24"/>
        </w:rPr>
        <w:t>i</w:t>
      </w:r>
      <w:r>
        <w:rPr>
          <w:sz w:val="24"/>
          <w:szCs w:val="24"/>
        </w:rPr>
        <w:t>o de 201</w:t>
      </w:r>
      <w:r w:rsidR="00C408CC">
        <w:rPr>
          <w:sz w:val="24"/>
          <w:szCs w:val="24"/>
        </w:rPr>
        <w:t>5</w:t>
      </w:r>
      <w:r>
        <w:rPr>
          <w:sz w:val="24"/>
          <w:szCs w:val="24"/>
        </w:rPr>
        <w:t xml:space="preserve">, que </w:t>
      </w:r>
      <w:r w:rsidR="00C408CC">
        <w:rPr>
          <w:sz w:val="24"/>
          <w:szCs w:val="24"/>
        </w:rPr>
        <w:t>propõe as derivações, captações e lançamentos</w:t>
      </w:r>
      <w:r w:rsidR="00675110">
        <w:rPr>
          <w:sz w:val="24"/>
          <w:szCs w:val="24"/>
        </w:rPr>
        <w:t xml:space="preserve"> insignificantes para efeito de isenção de obrigatoriedade de outorga de direitos de uso de recursos hídricos,</w:t>
      </w:r>
      <w:r>
        <w:rPr>
          <w:sz w:val="24"/>
          <w:szCs w:val="24"/>
        </w:rPr>
        <w:t xml:space="preserve"> resolve:</w:t>
      </w:r>
    </w:p>
    <w:p w:rsidR="008E5CA8" w:rsidRDefault="004512C9" w:rsidP="008E5CA8">
      <w:pPr>
        <w:spacing w:after="120" w:line="240" w:lineRule="exact"/>
        <w:jc w:val="both"/>
        <w:rPr>
          <w:sz w:val="24"/>
          <w:szCs w:val="24"/>
        </w:rPr>
      </w:pPr>
      <w:r>
        <w:rPr>
          <w:rFonts w:eastAsia="Helvetica"/>
          <w:bCs/>
          <w:sz w:val="24"/>
          <w:szCs w:val="24"/>
        </w:rPr>
        <w:t>Art. 1</w:t>
      </w:r>
      <w:r>
        <w:rPr>
          <w:bCs/>
          <w:sz w:val="24"/>
          <w:szCs w:val="24"/>
          <w:u w:val="single"/>
          <w:vertAlign w:val="superscript"/>
        </w:rPr>
        <w:t>o</w:t>
      </w:r>
      <w:r>
        <w:rPr>
          <w:rFonts w:eastAsia="Helvetica"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Aprovar os </w:t>
      </w:r>
      <w:r w:rsidR="00675110">
        <w:rPr>
          <w:sz w:val="24"/>
          <w:szCs w:val="24"/>
        </w:rPr>
        <w:t xml:space="preserve">critérios </w:t>
      </w:r>
      <w:r w:rsidR="00675110" w:rsidRPr="00675110">
        <w:rPr>
          <w:sz w:val="24"/>
          <w:szCs w:val="24"/>
        </w:rPr>
        <w:t>para estabelecimento de derivações, captações e lançamentos de pouca expressão, considerados insignificantes</w:t>
      </w:r>
      <w:r w:rsidR="00675110">
        <w:rPr>
          <w:sz w:val="24"/>
          <w:szCs w:val="24"/>
        </w:rPr>
        <w:t>,</w:t>
      </w:r>
      <w:r>
        <w:rPr>
          <w:sz w:val="24"/>
          <w:szCs w:val="24"/>
        </w:rPr>
        <w:t xml:space="preserve"> nos corpos d’água de domínio da União </w:t>
      </w:r>
      <w:r w:rsidR="00535D63">
        <w:rPr>
          <w:sz w:val="24"/>
          <w:szCs w:val="24"/>
        </w:rPr>
        <w:t>d</w:t>
      </w:r>
      <w:r>
        <w:rPr>
          <w:sz w:val="24"/>
          <w:szCs w:val="24"/>
        </w:rPr>
        <w:t xml:space="preserve">a </w:t>
      </w:r>
      <w:r w:rsidR="008E5CA8">
        <w:rPr>
          <w:sz w:val="24"/>
          <w:szCs w:val="24"/>
        </w:rPr>
        <w:t>B</w:t>
      </w:r>
      <w:r>
        <w:rPr>
          <w:sz w:val="24"/>
          <w:szCs w:val="24"/>
        </w:rPr>
        <w:t xml:space="preserve">acia </w:t>
      </w:r>
      <w:r w:rsidR="008E5CA8">
        <w:rPr>
          <w:sz w:val="24"/>
          <w:szCs w:val="24"/>
        </w:rPr>
        <w:t>Hidrográfica do R</w:t>
      </w:r>
      <w:r>
        <w:rPr>
          <w:sz w:val="24"/>
          <w:szCs w:val="24"/>
        </w:rPr>
        <w:t xml:space="preserve">io </w:t>
      </w:r>
      <w:r w:rsidR="00535D63">
        <w:rPr>
          <w:sz w:val="24"/>
          <w:szCs w:val="24"/>
        </w:rPr>
        <w:t>Verde Grande</w:t>
      </w:r>
      <w:r>
        <w:rPr>
          <w:sz w:val="24"/>
          <w:szCs w:val="24"/>
        </w:rPr>
        <w:t xml:space="preserve">, conforme proposto pelo Comitê da Bacia Hidrográfica do Rio </w:t>
      </w:r>
      <w:r w:rsidR="00535D63">
        <w:rPr>
          <w:sz w:val="24"/>
          <w:szCs w:val="24"/>
        </w:rPr>
        <w:t>Verde Grande</w:t>
      </w:r>
      <w:r>
        <w:rPr>
          <w:sz w:val="24"/>
          <w:szCs w:val="24"/>
        </w:rPr>
        <w:t xml:space="preserve"> – CBH </w:t>
      </w:r>
      <w:r w:rsidR="00535D63">
        <w:rPr>
          <w:sz w:val="24"/>
          <w:szCs w:val="24"/>
        </w:rPr>
        <w:t>Verde Grande</w:t>
      </w:r>
      <w:r>
        <w:rPr>
          <w:sz w:val="24"/>
          <w:szCs w:val="24"/>
        </w:rPr>
        <w:t xml:space="preserve">, nos termos </w:t>
      </w:r>
      <w:r w:rsidR="00535D63">
        <w:rPr>
          <w:sz w:val="24"/>
          <w:szCs w:val="24"/>
        </w:rPr>
        <w:t xml:space="preserve">do artigo 1º </w:t>
      </w:r>
      <w:r>
        <w:rPr>
          <w:sz w:val="24"/>
          <w:szCs w:val="24"/>
        </w:rPr>
        <w:t>da Deliberação n</w:t>
      </w:r>
      <w:r>
        <w:rPr>
          <w:sz w:val="24"/>
          <w:szCs w:val="24"/>
          <w:u w:val="single"/>
          <w:vertAlign w:val="superscript"/>
        </w:rPr>
        <w:t>o</w:t>
      </w:r>
      <w:r w:rsidR="00535D63">
        <w:rPr>
          <w:sz w:val="24"/>
          <w:szCs w:val="24"/>
        </w:rPr>
        <w:t xml:space="preserve"> 51</w:t>
      </w:r>
      <w:r>
        <w:rPr>
          <w:sz w:val="24"/>
          <w:szCs w:val="24"/>
        </w:rPr>
        <w:t xml:space="preserve">, de </w:t>
      </w:r>
      <w:r w:rsidR="00535D63">
        <w:rPr>
          <w:sz w:val="24"/>
          <w:szCs w:val="24"/>
        </w:rPr>
        <w:t>05</w:t>
      </w:r>
      <w:r>
        <w:rPr>
          <w:sz w:val="24"/>
          <w:szCs w:val="24"/>
        </w:rPr>
        <w:t xml:space="preserve"> de ma</w:t>
      </w:r>
      <w:r w:rsidR="00535D63">
        <w:rPr>
          <w:sz w:val="24"/>
          <w:szCs w:val="24"/>
        </w:rPr>
        <w:t>i</w:t>
      </w:r>
      <w:r>
        <w:rPr>
          <w:sz w:val="24"/>
          <w:szCs w:val="24"/>
        </w:rPr>
        <w:t>o de 201</w:t>
      </w:r>
      <w:r w:rsidR="00535D63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8E5CA8">
        <w:rPr>
          <w:sz w:val="24"/>
          <w:szCs w:val="24"/>
        </w:rPr>
        <w:t xml:space="preserve"> </w:t>
      </w:r>
    </w:p>
    <w:p w:rsidR="004512C9" w:rsidRDefault="004512C9" w:rsidP="008E5CA8">
      <w:pPr>
        <w:spacing w:after="120" w:line="240" w:lineRule="exact"/>
        <w:jc w:val="both"/>
        <w:rPr>
          <w:sz w:val="24"/>
          <w:szCs w:val="24"/>
        </w:rPr>
      </w:pPr>
      <w:r>
        <w:rPr>
          <w:bCs/>
          <w:sz w:val="24"/>
          <w:szCs w:val="24"/>
        </w:rPr>
        <w:t>Art. 2</w:t>
      </w:r>
      <w:r>
        <w:rPr>
          <w:bCs/>
          <w:sz w:val="24"/>
          <w:szCs w:val="24"/>
          <w:u w:val="single"/>
          <w:vertAlign w:val="superscript"/>
        </w:rPr>
        <w:t>o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Esta Resolução entra em vigor na data de sua publicação.</w:t>
      </w:r>
      <w:bookmarkStart w:id="0" w:name="_GoBack"/>
      <w:bookmarkEnd w:id="0"/>
    </w:p>
    <w:p w:rsidR="004512C9" w:rsidRDefault="004512C9">
      <w:pPr>
        <w:spacing w:after="120" w:line="240" w:lineRule="exact"/>
        <w:jc w:val="both"/>
        <w:rPr>
          <w:sz w:val="24"/>
          <w:szCs w:val="24"/>
        </w:rPr>
      </w:pPr>
    </w:p>
    <w:p w:rsidR="004512C9" w:rsidRDefault="004512C9">
      <w:pPr>
        <w:spacing w:after="120" w:line="240" w:lineRule="exact"/>
        <w:jc w:val="both"/>
        <w:rPr>
          <w:sz w:val="24"/>
          <w:szCs w:val="24"/>
        </w:rPr>
      </w:pPr>
    </w:p>
    <w:p w:rsidR="004512C9" w:rsidRDefault="004512C9">
      <w:pPr>
        <w:spacing w:after="120" w:line="240" w:lineRule="exact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4512C9">
        <w:trPr>
          <w:trHeight w:val="532"/>
        </w:trPr>
        <w:tc>
          <w:tcPr>
            <w:tcW w:w="4536" w:type="dxa"/>
            <w:shd w:val="clear" w:color="auto" w:fill="auto"/>
          </w:tcPr>
          <w:p w:rsidR="004512C9" w:rsidRDefault="004512C9">
            <w:pPr>
              <w:snapToGrid w:val="0"/>
              <w:spacing w:after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IZABELLA TEIXEIRA</w:t>
            </w:r>
          </w:p>
          <w:p w:rsidR="004512C9" w:rsidRDefault="004512C9">
            <w:pPr>
              <w:snapToGrid w:val="0"/>
              <w:spacing w:after="120"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536" w:type="dxa"/>
            <w:shd w:val="clear" w:color="auto" w:fill="auto"/>
          </w:tcPr>
          <w:p w:rsidR="004512C9" w:rsidRDefault="00535D63">
            <w:pPr>
              <w:pStyle w:val="Ttulo5"/>
              <w:tabs>
                <w:tab w:val="left" w:pos="0"/>
                <w:tab w:val="left" w:pos="1008"/>
              </w:tabs>
              <w:snapToGrid w:val="0"/>
              <w:spacing w:after="120" w:line="240" w:lineRule="exact"/>
              <w:ind w:left="0"/>
              <w:jc w:val="center"/>
              <w:rPr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MARCELO JORGE MEDEIROS</w:t>
            </w:r>
          </w:p>
          <w:p w:rsidR="004512C9" w:rsidRDefault="00B55325">
            <w:pPr>
              <w:snapToGrid w:val="0"/>
              <w:spacing w:after="120" w:line="240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Secretário </w:t>
            </w:r>
            <w:r w:rsidR="004512C9">
              <w:rPr>
                <w:b/>
                <w:bCs/>
                <w:sz w:val="24"/>
                <w:szCs w:val="24"/>
              </w:rPr>
              <w:t>Executivo</w:t>
            </w:r>
          </w:p>
        </w:tc>
      </w:tr>
    </w:tbl>
    <w:p w:rsidR="004512C9" w:rsidRDefault="004512C9">
      <w:pPr>
        <w:pStyle w:val="NormalWeb"/>
        <w:spacing w:before="0" w:after="120" w:line="240" w:lineRule="exact"/>
      </w:pPr>
    </w:p>
    <w:sectPr w:rsidR="004512C9" w:rsidSect="00A77070">
      <w:footerReference w:type="default" r:id="rId8"/>
      <w:pgSz w:w="11906" w:h="16838"/>
      <w:pgMar w:top="1134" w:right="1134" w:bottom="851" w:left="1418" w:header="720" w:footer="2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8D" w:rsidRDefault="00680E8D">
      <w:r>
        <w:separator/>
      </w:r>
    </w:p>
  </w:endnote>
  <w:endnote w:type="continuationSeparator" w:id="0">
    <w:p w:rsidR="00680E8D" w:rsidRDefault="0068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-Bold">
    <w:altName w:val="Times New Roman"/>
    <w:charset w:val="00"/>
    <w:family w:val="swiss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423"/>
      <w:gridCol w:w="3371"/>
      <w:gridCol w:w="3412"/>
    </w:tblGrid>
    <w:tr w:rsidR="004512C9">
      <w:trPr>
        <w:trHeight w:val="1838"/>
      </w:trPr>
      <w:tc>
        <w:tcPr>
          <w:tcW w:w="3423" w:type="dxa"/>
          <w:shd w:val="clear" w:color="auto" w:fill="auto"/>
        </w:tcPr>
        <w:p w:rsidR="004512C9" w:rsidRDefault="004512C9">
          <w:pPr>
            <w:pStyle w:val="Rodap"/>
            <w:rPr>
              <w:rFonts w:ascii="Arial Narrow" w:hAnsi="Arial Narrow" w:cs="Arial Narrow"/>
              <w:b/>
              <w:sz w:val="16"/>
              <w:szCs w:val="16"/>
            </w:rPr>
          </w:pPr>
        </w:p>
      </w:tc>
      <w:tc>
        <w:tcPr>
          <w:tcW w:w="3371" w:type="dxa"/>
          <w:shd w:val="clear" w:color="auto" w:fill="auto"/>
        </w:tcPr>
        <w:p w:rsidR="004512C9" w:rsidRDefault="004512C9">
          <w:pPr>
            <w:pStyle w:val="Rodap"/>
            <w:jc w:val="center"/>
          </w:pPr>
        </w:p>
      </w:tc>
      <w:tc>
        <w:tcPr>
          <w:tcW w:w="3412" w:type="dxa"/>
          <w:shd w:val="clear" w:color="auto" w:fill="auto"/>
        </w:tcPr>
        <w:p w:rsidR="004512C9" w:rsidRDefault="004512C9">
          <w:pPr>
            <w:pStyle w:val="Rodap"/>
            <w:snapToGrid w:val="0"/>
            <w:jc w:val="right"/>
          </w:pPr>
        </w:p>
      </w:tc>
    </w:tr>
  </w:tbl>
  <w:p w:rsidR="004512C9" w:rsidRDefault="004512C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8D" w:rsidRDefault="00680E8D">
      <w:r>
        <w:separator/>
      </w:r>
    </w:p>
  </w:footnote>
  <w:footnote w:type="continuationSeparator" w:id="0">
    <w:p w:rsidR="00680E8D" w:rsidRDefault="00680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9D"/>
    <w:rsid w:val="000721EB"/>
    <w:rsid w:val="002833C9"/>
    <w:rsid w:val="002C2298"/>
    <w:rsid w:val="002F3265"/>
    <w:rsid w:val="004512C9"/>
    <w:rsid w:val="00535D63"/>
    <w:rsid w:val="00675110"/>
    <w:rsid w:val="00680E8D"/>
    <w:rsid w:val="00783473"/>
    <w:rsid w:val="0079229D"/>
    <w:rsid w:val="008E5CA8"/>
    <w:rsid w:val="008F6E28"/>
    <w:rsid w:val="00957C80"/>
    <w:rsid w:val="00A23C0D"/>
    <w:rsid w:val="00A77070"/>
    <w:rsid w:val="00B26C87"/>
    <w:rsid w:val="00B55325"/>
    <w:rsid w:val="00C408CC"/>
    <w:rsid w:val="00CF123C"/>
    <w:rsid w:val="00DE31FB"/>
    <w:rsid w:val="00E652F1"/>
    <w:rsid w:val="00FC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8F4A62EE-0C98-4BE6-B287-6492D329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Normal"/>
    <w:next w:val="Normal"/>
    <w:qFormat/>
    <w:pPr>
      <w:keepNext/>
      <w:numPr>
        <w:numId w:val="2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rFonts w:ascii="Arial" w:hAnsi="Arial" w:cs="Arial"/>
      <w:b/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2"/>
      </w:numPr>
      <w:jc w:val="center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2"/>
      </w:numPr>
      <w:ind w:left="1276"/>
      <w:outlineLvl w:val="4"/>
    </w:pPr>
    <w:rPr>
      <w:rFonts w:ascii="Arial" w:hAnsi="Arial" w:cs="Arial"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2"/>
      </w:numPr>
      <w:tabs>
        <w:tab w:val="left" w:pos="426"/>
        <w:tab w:val="left" w:pos="1134"/>
      </w:tabs>
      <w:jc w:val="both"/>
      <w:outlineLvl w:val="5"/>
    </w:pPr>
    <w:rPr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7">
    <w:name w:val="Fonte parág. padrão7"/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Fontepargpadro2">
    <w:name w:val="Fonte parág. padrão2"/>
  </w:style>
  <w:style w:type="character" w:customStyle="1" w:styleId="Fontepargpadro1">
    <w:name w:val="Fonte parág. padrão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-Fontepargpadro">
    <w:name w:val="WW-Fonte parág. padrão"/>
  </w:style>
  <w:style w:type="character" w:styleId="Hyperlink">
    <w:name w:val="Hyperlink"/>
    <w:basedOn w:val="WW-Fontepargpadro"/>
    <w:rPr>
      <w:color w:val="0000FF"/>
      <w:u w:val="single"/>
    </w:rPr>
  </w:style>
  <w:style w:type="character" w:styleId="nfase">
    <w:name w:val="Emphasis"/>
    <w:basedOn w:val="WW-Fontepargpadro"/>
    <w:qFormat/>
    <w:rPr>
      <w:i/>
      <w:iCs/>
    </w:rPr>
  </w:style>
  <w:style w:type="character" w:customStyle="1" w:styleId="SmbolosdeNumerao">
    <w:name w:val="Símbolos de Numeração"/>
  </w:style>
  <w:style w:type="character" w:customStyle="1" w:styleId="WW-SmbolosdeNumerao">
    <w:name w:val="WW-Símbolos de Numeração"/>
  </w:style>
  <w:style w:type="character" w:customStyle="1" w:styleId="CharChar">
    <w:name w:val="Char Char"/>
    <w:basedOn w:val="Fontepargpadro3"/>
  </w:style>
  <w:style w:type="character" w:customStyle="1" w:styleId="CabealhoChar">
    <w:name w:val="Cabeçalho Char"/>
    <w:basedOn w:val="Fontepargpadro6"/>
  </w:style>
  <w:style w:type="character" w:customStyle="1" w:styleId="TtuloChar">
    <w:name w:val="Título Char"/>
    <w:basedOn w:val="Fontepargpadro7"/>
    <w:rPr>
      <w:b/>
      <w:sz w:val="16"/>
    </w:rPr>
  </w:style>
  <w:style w:type="character" w:customStyle="1" w:styleId="RodapChar">
    <w:name w:val="Rodapé Char"/>
    <w:basedOn w:val="Fontepargpadro7"/>
  </w:style>
  <w:style w:type="character" w:customStyle="1" w:styleId="WW-Absatz-Standardschriftart1111111111111111111">
    <w:name w:val="WW-Absatz-Standardschriftart1111111111111111111"/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jc w:val="both"/>
    </w:pPr>
    <w:rPr>
      <w:sz w:val="24"/>
    </w:rPr>
  </w:style>
  <w:style w:type="paragraph" w:styleId="Lista">
    <w:name w:val="List"/>
    <w:basedOn w:val="Corpodetexto"/>
    <w:rPr>
      <w:rFonts w:cs="Lucida Sans Unicode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Legenda">
    <w:name w:val="WW-Legenda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ndice">
    <w:name w:val="WW-Índice"/>
    <w:basedOn w:val="Normal"/>
    <w:pPr>
      <w:suppressLineNumbers/>
    </w:pPr>
    <w:rPr>
      <w:rFonts w:cs="Lucida Sans Unicode"/>
    </w:rPr>
  </w:style>
  <w:style w:type="paragraph" w:customStyle="1" w:styleId="WW-TtuloPrincipal">
    <w:name w:val="WW-Título Principal"/>
    <w:basedOn w:val="Normal"/>
    <w:next w:val="Corpodetexto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Ttulo">
    <w:name w:val="WW-Título"/>
    <w:basedOn w:val="Normal"/>
    <w:next w:val="Subttulo"/>
    <w:pPr>
      <w:jc w:val="center"/>
    </w:pPr>
    <w:rPr>
      <w:b/>
      <w:sz w:val="16"/>
    </w:rPr>
  </w:style>
  <w:style w:type="paragraph" w:styleId="Subttulo">
    <w:name w:val="Subtitle"/>
    <w:basedOn w:val="WW-TtuloPrincipal"/>
    <w:next w:val="Corpodetexto"/>
    <w:qFormat/>
    <w:pPr>
      <w:jc w:val="center"/>
    </w:pPr>
    <w:rPr>
      <w:i/>
      <w:iCs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tabs>
        <w:tab w:val="left" w:pos="1134"/>
      </w:tabs>
      <w:ind w:firstLine="1134"/>
      <w:jc w:val="both"/>
    </w:pPr>
    <w:rPr>
      <w:rFonts w:ascii="Arial" w:hAnsi="Arial" w:cs="Arial"/>
      <w:sz w:val="24"/>
    </w:rPr>
  </w:style>
  <w:style w:type="paragraph" w:customStyle="1" w:styleId="WW-Recuodecorpodetexto2">
    <w:name w:val="WW-Recuo de corpo de texto 2"/>
    <w:basedOn w:val="Normal"/>
    <w:pPr>
      <w:tabs>
        <w:tab w:val="left" w:pos="2836"/>
      </w:tabs>
      <w:ind w:left="1418" w:hanging="1418"/>
    </w:pPr>
    <w:rPr>
      <w:rFonts w:ascii="Arial" w:hAnsi="Arial" w:cs="Arial"/>
      <w:sz w:val="24"/>
    </w:rPr>
  </w:style>
  <w:style w:type="paragraph" w:customStyle="1" w:styleId="WW-Estruturadodocumento">
    <w:name w:val="WW-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WW-Recuodecorpodetexto3">
    <w:name w:val="WW-Recuo de corpo de texto 3"/>
    <w:basedOn w:val="Normal"/>
    <w:pPr>
      <w:tabs>
        <w:tab w:val="left" w:pos="786"/>
      </w:tabs>
      <w:ind w:left="360"/>
      <w:jc w:val="both"/>
    </w:pPr>
    <w:rPr>
      <w:sz w:val="24"/>
    </w:rPr>
  </w:style>
  <w:style w:type="paragraph" w:customStyle="1" w:styleId="Estilo6">
    <w:name w:val="Estilo6"/>
    <w:basedOn w:val="Normal"/>
    <w:pPr>
      <w:overflowPunct w:val="0"/>
      <w:autoSpaceDE w:val="0"/>
      <w:spacing w:before="120"/>
      <w:jc w:val="center"/>
      <w:textAlignment w:val="baseline"/>
    </w:pPr>
    <w:rPr>
      <w:rFonts w:ascii="Arial" w:hAnsi="Arial" w:cs="Arial"/>
      <w:b/>
      <w:sz w:val="18"/>
    </w:rPr>
  </w:style>
  <w:style w:type="paragraph" w:customStyle="1" w:styleId="WW-Corpodetexto2">
    <w:name w:val="WW-Corpo de texto 2"/>
    <w:basedOn w:val="Normal"/>
    <w:pPr>
      <w:tabs>
        <w:tab w:val="left" w:pos="1134"/>
      </w:tabs>
      <w:spacing w:line="360" w:lineRule="auto"/>
      <w:jc w:val="both"/>
    </w:pPr>
    <w:rPr>
      <w:rFonts w:ascii="Verdana" w:hAnsi="Verdana" w:cs="Verdana"/>
      <w:sz w:val="22"/>
    </w:rPr>
  </w:style>
  <w:style w:type="paragraph" w:customStyle="1" w:styleId="WW-Corpodetexto3">
    <w:name w:val="WW-Corpo de texto 3"/>
    <w:basedOn w:val="Normal"/>
    <w:rPr>
      <w:color w:val="000000"/>
      <w:sz w:val="24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  <w:lang w:val="pt-PT"/>
    </w:rPr>
  </w:style>
  <w:style w:type="paragraph" w:customStyle="1" w:styleId="WW-Corpodetexto21">
    <w:name w:val="WW-Corpo de texto 21"/>
    <w:basedOn w:val="Normal"/>
    <w:pPr>
      <w:jc w:val="both"/>
    </w:pPr>
    <w:rPr>
      <w:sz w:val="24"/>
    </w:rPr>
  </w:style>
  <w:style w:type="paragraph" w:customStyle="1" w:styleId="Recuodecorpodetexto21">
    <w:name w:val="Recuo de corpo de texto 21"/>
    <w:basedOn w:val="Normal"/>
    <w:pPr>
      <w:tabs>
        <w:tab w:val="left" w:pos="-30"/>
        <w:tab w:val="left" w:pos="7058"/>
      </w:tabs>
      <w:ind w:left="-15" w:firstLine="866"/>
      <w:jc w:val="both"/>
    </w:pPr>
  </w:style>
  <w:style w:type="paragraph" w:customStyle="1" w:styleId="Recuodecorpodetexto31">
    <w:name w:val="Recuo de corpo de texto 31"/>
    <w:basedOn w:val="Normal"/>
    <w:pPr>
      <w:tabs>
        <w:tab w:val="left" w:pos="9420"/>
        <w:tab w:val="left" w:pos="16508"/>
      </w:tabs>
      <w:ind w:left="4710"/>
      <w:jc w:val="both"/>
    </w:pPr>
    <w:rPr>
      <w:sz w:val="24"/>
    </w:rPr>
  </w:style>
  <w:style w:type="paragraph" w:customStyle="1" w:styleId="WW-NormalWeb">
    <w:name w:val="WW-Normal (Web)"/>
    <w:basedOn w:val="Normal"/>
    <w:pPr>
      <w:spacing w:before="280" w:after="280"/>
    </w:pPr>
    <w:rPr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               SRH/DPI/UPS</vt:lpstr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Nº                SRH/DPI/UPS</dc:title>
  <dc:subject/>
  <dc:creator>iica</dc:creator>
  <cp:keywords/>
  <dc:description/>
  <cp:lastModifiedBy>Roseli Souza</cp:lastModifiedBy>
  <cp:revision>5</cp:revision>
  <cp:lastPrinted>2011-08-19T13:52:00Z</cp:lastPrinted>
  <dcterms:created xsi:type="dcterms:W3CDTF">2015-10-22T19:42:00Z</dcterms:created>
  <dcterms:modified xsi:type="dcterms:W3CDTF">2015-10-29T18:43:00Z</dcterms:modified>
</cp:coreProperties>
</file>