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E1CE7" w:rsidRDefault="0042183C">
      <w:pPr>
        <w:pStyle w:val="Ttulo"/>
        <w:jc w:val="center"/>
        <w:rPr>
          <w:b/>
          <w:smallCaps/>
          <w:sz w:val="22"/>
        </w:rPr>
      </w:pPr>
      <w:r>
        <w:rPr>
          <w:noProof/>
          <w:lang w:eastAsia="pt-BR"/>
        </w:rPr>
        <w:drawing>
          <wp:inline distT="0" distB="0" distL="0" distR="0">
            <wp:extent cx="552450" cy="561975"/>
            <wp:effectExtent l="19050" t="0" r="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5619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1CE7" w:rsidRDefault="006E2565">
      <w:pPr>
        <w:pStyle w:val="Ttulo"/>
        <w:spacing w:before="0" w:after="0" w:line="240" w:lineRule="exact"/>
        <w:jc w:val="center"/>
        <w:rPr>
          <w:b/>
          <w:smallCaps/>
          <w:sz w:val="22"/>
        </w:rPr>
      </w:pPr>
      <w:r>
        <w:rPr>
          <w:b/>
          <w:smallCaps/>
          <w:sz w:val="22"/>
        </w:rPr>
        <w:t>Ministério do Meio Ambiente</w:t>
      </w:r>
    </w:p>
    <w:p w:rsidR="007E1CE7" w:rsidRDefault="006E2565">
      <w:pPr>
        <w:pStyle w:val="Ttulo"/>
        <w:spacing w:before="0" w:line="240" w:lineRule="exact"/>
        <w:jc w:val="center"/>
        <w:rPr>
          <w:b/>
          <w:smallCaps/>
          <w:sz w:val="22"/>
        </w:rPr>
      </w:pPr>
      <w:r>
        <w:rPr>
          <w:b/>
          <w:smallCaps/>
          <w:sz w:val="22"/>
        </w:rPr>
        <w:t>Conselho Nacional de Recursos Hídricos</w:t>
      </w:r>
    </w:p>
    <w:p w:rsidR="007E1CE7" w:rsidRDefault="006E2565">
      <w:pPr>
        <w:pStyle w:val="Ttulo2"/>
        <w:tabs>
          <w:tab w:val="left" w:pos="0"/>
        </w:tabs>
        <w:spacing w:line="240" w:lineRule="exact"/>
        <w:ind w:right="425"/>
        <w:jc w:val="center"/>
        <w:rPr>
          <w:b/>
          <w:color w:val="auto"/>
          <w:sz w:val="24"/>
        </w:rPr>
      </w:pPr>
      <w:r>
        <w:rPr>
          <w:b/>
          <w:color w:val="auto"/>
          <w:sz w:val="24"/>
        </w:rPr>
        <w:t>RESOLUÇÃO N</w:t>
      </w:r>
      <w:r>
        <w:rPr>
          <w:b/>
          <w:color w:val="auto"/>
          <w:u w:val="single"/>
          <w:vertAlign w:val="superscript"/>
        </w:rPr>
        <w:t>o</w:t>
      </w:r>
      <w:r>
        <w:rPr>
          <w:b/>
          <w:color w:val="auto"/>
          <w:sz w:val="24"/>
        </w:rPr>
        <w:t xml:space="preserve"> </w:t>
      </w:r>
      <w:r w:rsidR="00C33BF7">
        <w:rPr>
          <w:b/>
          <w:color w:val="auto"/>
          <w:sz w:val="24"/>
        </w:rPr>
        <w:t>xx</w:t>
      </w:r>
      <w:r>
        <w:rPr>
          <w:b/>
          <w:color w:val="auto"/>
          <w:sz w:val="24"/>
        </w:rPr>
        <w:t xml:space="preserve">, DE </w:t>
      </w:r>
      <w:r w:rsidR="00C33BF7">
        <w:rPr>
          <w:b/>
          <w:color w:val="auto"/>
          <w:sz w:val="24"/>
        </w:rPr>
        <w:t>xx</w:t>
      </w:r>
      <w:r>
        <w:rPr>
          <w:b/>
          <w:color w:val="auto"/>
          <w:sz w:val="24"/>
        </w:rPr>
        <w:t xml:space="preserve"> DE </w:t>
      </w:r>
      <w:r w:rsidR="00C33BF7">
        <w:rPr>
          <w:b/>
          <w:color w:val="auto"/>
          <w:sz w:val="24"/>
        </w:rPr>
        <w:t>xx</w:t>
      </w:r>
      <w:r>
        <w:rPr>
          <w:b/>
          <w:color w:val="auto"/>
          <w:sz w:val="24"/>
        </w:rPr>
        <w:t xml:space="preserve"> DE </w:t>
      </w:r>
      <w:proofErr w:type="gramStart"/>
      <w:r>
        <w:rPr>
          <w:b/>
          <w:color w:val="auto"/>
          <w:sz w:val="24"/>
        </w:rPr>
        <w:t>20</w:t>
      </w:r>
      <w:r w:rsidR="00C33BF7">
        <w:rPr>
          <w:b/>
          <w:color w:val="auto"/>
          <w:sz w:val="24"/>
        </w:rPr>
        <w:t>xx</w:t>
      </w:r>
      <w:proofErr w:type="gramEnd"/>
    </w:p>
    <w:p w:rsidR="00050A3F" w:rsidRDefault="00050A3F">
      <w:pPr>
        <w:tabs>
          <w:tab w:val="left" w:pos="0"/>
        </w:tabs>
        <w:spacing w:line="240" w:lineRule="exact"/>
        <w:ind w:right="425"/>
        <w:jc w:val="center"/>
        <w:rPr>
          <w:sz w:val="20"/>
          <w:szCs w:val="20"/>
        </w:rPr>
      </w:pPr>
    </w:p>
    <w:p w:rsidR="00496A56" w:rsidRDefault="00AE68D2" w:rsidP="00496A56">
      <w:pPr>
        <w:tabs>
          <w:tab w:val="left" w:pos="4253"/>
        </w:tabs>
        <w:spacing w:line="240" w:lineRule="exact"/>
        <w:ind w:left="4253" w:right="425"/>
        <w:jc w:val="both"/>
        <w:rPr>
          <w:i/>
        </w:rPr>
      </w:pPr>
      <w:r w:rsidRPr="00AE68D2">
        <w:rPr>
          <w:i/>
          <w:sz w:val="20"/>
          <w:szCs w:val="20"/>
        </w:rPr>
        <w:t>Altera a Resolução CNRH nº 70, de 19de março de 2007, que e</w:t>
      </w:r>
      <w:r w:rsidR="006B0890" w:rsidRPr="00AE68D2">
        <w:rPr>
          <w:i/>
          <w:sz w:val="20"/>
          <w:szCs w:val="20"/>
        </w:rPr>
        <w:t xml:space="preserve">stabelece as prioridades </w:t>
      </w:r>
      <w:r w:rsidR="00496A56" w:rsidRPr="00AE68D2">
        <w:rPr>
          <w:i/>
          <w:sz w:val="20"/>
          <w:szCs w:val="20"/>
        </w:rPr>
        <w:t>par</w:t>
      </w:r>
      <w:r w:rsidR="006B0890" w:rsidRPr="00AE68D2">
        <w:rPr>
          <w:i/>
          <w:sz w:val="20"/>
          <w:szCs w:val="20"/>
        </w:rPr>
        <w:t xml:space="preserve">a aplicação dos </w:t>
      </w:r>
      <w:r w:rsidR="006B0890" w:rsidRPr="00AE68D2">
        <w:rPr>
          <w:bCs/>
          <w:i/>
          <w:szCs w:val="20"/>
        </w:rPr>
        <w:t>recursos provenientes da cobrança pelo uso da água, referidos no inciso II do § 1º do art. 17 da Lei n</w:t>
      </w:r>
      <w:r w:rsidR="006B0890" w:rsidRPr="00AE68D2">
        <w:rPr>
          <w:bCs/>
          <w:i/>
          <w:szCs w:val="20"/>
          <w:u w:val="single"/>
          <w:vertAlign w:val="superscript"/>
        </w:rPr>
        <w:t>o</w:t>
      </w:r>
      <w:r w:rsidR="006B0890" w:rsidRPr="00AE68D2">
        <w:rPr>
          <w:bCs/>
          <w:i/>
          <w:szCs w:val="20"/>
        </w:rPr>
        <w:t xml:space="preserve"> 9.648, de 27 de maio de 1998, com a redação dada pelo art. 28 da Lei n</w:t>
      </w:r>
      <w:r w:rsidR="006B0890" w:rsidRPr="00AE68D2">
        <w:rPr>
          <w:bCs/>
          <w:i/>
          <w:szCs w:val="20"/>
          <w:u w:val="single"/>
          <w:vertAlign w:val="superscript"/>
        </w:rPr>
        <w:t>o</w:t>
      </w:r>
      <w:r w:rsidR="006B0890" w:rsidRPr="00AE68D2">
        <w:rPr>
          <w:bCs/>
          <w:i/>
          <w:szCs w:val="20"/>
        </w:rPr>
        <w:t xml:space="preserve"> 9.984, de</w:t>
      </w:r>
      <w:r w:rsidR="006B0890">
        <w:rPr>
          <w:bCs/>
          <w:i/>
          <w:szCs w:val="20"/>
        </w:rPr>
        <w:t xml:space="preserve"> 17 de julho de 2000, para o período 2012 </w:t>
      </w:r>
      <w:r w:rsidR="00496A56">
        <w:rPr>
          <w:bCs/>
          <w:i/>
          <w:szCs w:val="20"/>
        </w:rPr>
        <w:t>–</w:t>
      </w:r>
      <w:r w:rsidR="006B0890">
        <w:rPr>
          <w:bCs/>
          <w:i/>
          <w:szCs w:val="20"/>
        </w:rPr>
        <w:t xml:space="preserve"> 201</w:t>
      </w:r>
      <w:r w:rsidR="00496A56">
        <w:rPr>
          <w:bCs/>
          <w:i/>
          <w:szCs w:val="20"/>
        </w:rPr>
        <w:t xml:space="preserve">5 e os </w:t>
      </w:r>
      <w:r w:rsidR="00496A56">
        <w:rPr>
          <w:i/>
        </w:rPr>
        <w:t>procedimentos para promover o acompanhamento de sua aplicação.</w:t>
      </w:r>
    </w:p>
    <w:p w:rsidR="00496A56" w:rsidRDefault="00496A56" w:rsidP="00496A56">
      <w:pPr>
        <w:tabs>
          <w:tab w:val="left" w:pos="4253"/>
        </w:tabs>
        <w:spacing w:line="240" w:lineRule="exact"/>
        <w:ind w:left="4253" w:right="425"/>
        <w:jc w:val="both"/>
        <w:rPr>
          <w:i/>
        </w:rPr>
      </w:pPr>
    </w:p>
    <w:p w:rsidR="00496A56" w:rsidRDefault="00496A56" w:rsidP="00496A56">
      <w:pPr>
        <w:tabs>
          <w:tab w:val="left" w:pos="4253"/>
        </w:tabs>
        <w:spacing w:line="240" w:lineRule="exact"/>
        <w:ind w:left="4253" w:right="425"/>
        <w:jc w:val="both"/>
        <w:rPr>
          <w:i/>
        </w:rPr>
      </w:pPr>
    </w:p>
    <w:p w:rsidR="00496A56" w:rsidRDefault="00496A56" w:rsidP="00496A56">
      <w:pPr>
        <w:tabs>
          <w:tab w:val="left" w:pos="4253"/>
        </w:tabs>
        <w:spacing w:line="240" w:lineRule="exact"/>
        <w:ind w:left="4253" w:right="425"/>
        <w:jc w:val="both"/>
        <w:rPr>
          <w:i/>
        </w:rPr>
      </w:pPr>
    </w:p>
    <w:p w:rsidR="007E1CE7" w:rsidRDefault="007E1CE7">
      <w:pPr>
        <w:pStyle w:val="WW-Textoembloco"/>
        <w:spacing w:line="240" w:lineRule="exact"/>
        <w:rPr>
          <w:i/>
        </w:rPr>
      </w:pPr>
    </w:p>
    <w:p w:rsidR="007E1CE7" w:rsidRPr="00BD0390" w:rsidRDefault="006E2565" w:rsidP="00BD0390">
      <w:pPr>
        <w:pStyle w:val="WW-Corpodetexto2"/>
        <w:spacing w:after="120" w:line="240" w:lineRule="exact"/>
        <w:ind w:firstLine="1418"/>
      </w:pPr>
      <w:r w:rsidRPr="00BD0390">
        <w:t xml:space="preserve">O </w:t>
      </w:r>
      <w:r w:rsidRPr="00BD0390">
        <w:rPr>
          <w:b/>
        </w:rPr>
        <w:t>CONSELHO NACIONAL DE RECURSOS HÍDRICOS-CNRH</w:t>
      </w:r>
      <w:r w:rsidRPr="00BD0390">
        <w:t>, no uso das competências que lhe são conferidas pelas Leis n</w:t>
      </w:r>
      <w:r w:rsidRPr="00BD0390">
        <w:rPr>
          <w:u w:val="single"/>
          <w:vertAlign w:val="superscript"/>
        </w:rPr>
        <w:t>os</w:t>
      </w:r>
      <w:r w:rsidRPr="00BD0390">
        <w:t xml:space="preserve"> 9.433, de </w:t>
      </w:r>
      <w:proofErr w:type="gramStart"/>
      <w:r w:rsidRPr="00BD0390">
        <w:t>8</w:t>
      </w:r>
      <w:proofErr w:type="gramEnd"/>
      <w:r w:rsidRPr="00BD0390">
        <w:t xml:space="preserve"> de janeiro de 1997, e 9.984, de 17 de julho de 2000, tendo em vista o disposto em seu Regimento Interno; e</w:t>
      </w:r>
    </w:p>
    <w:p w:rsidR="007E1CE7" w:rsidRPr="00BD0390" w:rsidRDefault="006E2565" w:rsidP="00BD0390">
      <w:pPr>
        <w:pStyle w:val="Rodap"/>
        <w:tabs>
          <w:tab w:val="left" w:pos="708"/>
        </w:tabs>
        <w:spacing w:after="120" w:line="240" w:lineRule="exact"/>
        <w:ind w:right="-6" w:firstLine="1418"/>
        <w:jc w:val="both"/>
        <w:rPr>
          <w:sz w:val="24"/>
        </w:rPr>
      </w:pPr>
      <w:r w:rsidRPr="00BD0390">
        <w:rPr>
          <w:sz w:val="24"/>
        </w:rPr>
        <w:t>Considerando que o § 4</w:t>
      </w:r>
      <w:r w:rsidRPr="00BD0390">
        <w:rPr>
          <w:sz w:val="24"/>
          <w:u w:val="single"/>
          <w:vertAlign w:val="superscript"/>
        </w:rPr>
        <w:t>o</w:t>
      </w:r>
      <w:r w:rsidRPr="00BD0390">
        <w:rPr>
          <w:sz w:val="24"/>
        </w:rPr>
        <w:t xml:space="preserve"> do art. 21 da Lei n</w:t>
      </w:r>
      <w:r w:rsidRPr="00BD0390">
        <w:rPr>
          <w:sz w:val="24"/>
          <w:u w:val="single"/>
          <w:vertAlign w:val="superscript"/>
        </w:rPr>
        <w:t>o</w:t>
      </w:r>
      <w:r w:rsidRPr="00BD0390">
        <w:rPr>
          <w:sz w:val="24"/>
        </w:rPr>
        <w:t xml:space="preserve"> 9.984, de 2000, estabelece que as prioridades de aplicação de recursos a que se refere o </w:t>
      </w:r>
      <w:r w:rsidRPr="00BD0390">
        <w:rPr>
          <w:i/>
          <w:sz w:val="24"/>
        </w:rPr>
        <w:t>caput</w:t>
      </w:r>
      <w:r w:rsidRPr="00BD0390">
        <w:rPr>
          <w:sz w:val="24"/>
        </w:rPr>
        <w:t xml:space="preserve"> do art. 22 da Lei n</w:t>
      </w:r>
      <w:r w:rsidRPr="00BD0390">
        <w:rPr>
          <w:sz w:val="24"/>
          <w:u w:val="single"/>
          <w:vertAlign w:val="superscript"/>
        </w:rPr>
        <w:t>o</w:t>
      </w:r>
      <w:r w:rsidRPr="00BD0390">
        <w:rPr>
          <w:sz w:val="24"/>
        </w:rPr>
        <w:t xml:space="preserve"> 9.433, de 1997, serão definidas pelo CNRH, em articulação com os respectivos Comitês de Bacia Hidrográfica;</w:t>
      </w:r>
    </w:p>
    <w:p w:rsidR="007E1CE7" w:rsidRPr="00BD0390" w:rsidRDefault="006E2565" w:rsidP="00BD0390">
      <w:pPr>
        <w:spacing w:after="120" w:line="240" w:lineRule="exact"/>
        <w:ind w:firstLine="1418"/>
        <w:jc w:val="both"/>
        <w:rPr>
          <w:lang w:val="pt-PT"/>
        </w:rPr>
      </w:pPr>
      <w:r w:rsidRPr="00BD0390">
        <w:rPr>
          <w:lang w:val="pt-PT"/>
        </w:rPr>
        <w:t>Considerando que o art. 17 da Lei n</w:t>
      </w:r>
      <w:r w:rsidRPr="00BD0390">
        <w:rPr>
          <w:u w:val="single"/>
          <w:vertAlign w:val="superscript"/>
        </w:rPr>
        <w:t>o</w:t>
      </w:r>
      <w:r w:rsidRPr="00BD0390">
        <w:rPr>
          <w:lang w:val="pt-PT"/>
        </w:rPr>
        <w:t xml:space="preserve"> 9.648, de 27 de maio de 1998, com a redação dada pelo art. 28 da Lei n</w:t>
      </w:r>
      <w:r w:rsidRPr="00BD0390">
        <w:rPr>
          <w:u w:val="single"/>
          <w:vertAlign w:val="superscript"/>
        </w:rPr>
        <w:t>o</w:t>
      </w:r>
      <w:r w:rsidRPr="00BD0390">
        <w:rPr>
          <w:lang w:val="pt-PT"/>
        </w:rPr>
        <w:t xml:space="preserve"> 9.984, de 2000, estabelece, no inciso II do § 1º, que setenta e cinco centésimos por cento do valor da energia produzida constituem pagamento pelo uso dos recursos hídricos e serão aplicados, nos termos do art. 22 da Lei n</w:t>
      </w:r>
      <w:r w:rsidRPr="00BD0390">
        <w:rPr>
          <w:u w:val="single"/>
          <w:vertAlign w:val="superscript"/>
        </w:rPr>
        <w:t>o</w:t>
      </w:r>
      <w:r w:rsidRPr="00BD0390">
        <w:rPr>
          <w:lang w:val="pt-PT"/>
        </w:rPr>
        <w:t xml:space="preserve"> 9.433, de 1997, na implementação da Política Nacional de Recursos Hídricos e do Sistema Nacional de Gerenciamento de Recursos Hídricos-SINGREH;</w:t>
      </w:r>
    </w:p>
    <w:p w:rsidR="007E1CE7" w:rsidRPr="00BD0390" w:rsidRDefault="006E2565" w:rsidP="00BD0390">
      <w:pPr>
        <w:spacing w:after="120" w:line="240" w:lineRule="exact"/>
        <w:ind w:firstLine="1418"/>
        <w:jc w:val="both"/>
        <w:rPr>
          <w:lang w:val="pt-PT"/>
        </w:rPr>
      </w:pPr>
      <w:r w:rsidRPr="00BD0390">
        <w:rPr>
          <w:lang w:val="pt-PT"/>
        </w:rPr>
        <w:t>Considerando que o Plano de Aplicação dos recursos oriundos da cobrança pelo uso dos recursos hídricos pagos pelas usinas hidroelétricas está vinculado à proposta orçamentária da Agência Nacional de Águas-ANA, sendo encaminhada anualmente pelo Poder Executivo Federal ao Congresso Nacional para aprovação; e</w:t>
      </w:r>
    </w:p>
    <w:p w:rsidR="00BD0390" w:rsidRPr="00BD0390" w:rsidRDefault="006E2565" w:rsidP="00BD0390">
      <w:pPr>
        <w:spacing w:after="120" w:line="240" w:lineRule="exact"/>
        <w:ind w:firstLine="1418"/>
        <w:jc w:val="both"/>
        <w:rPr>
          <w:lang w:val="pt-PT"/>
        </w:rPr>
      </w:pPr>
      <w:r w:rsidRPr="00BD0390">
        <w:rPr>
          <w:lang w:val="pt-PT"/>
        </w:rPr>
        <w:t>Considerando a Resolução CNRH n</w:t>
      </w:r>
      <w:r w:rsidRPr="00BD0390">
        <w:rPr>
          <w:u w:val="single"/>
          <w:vertAlign w:val="superscript"/>
        </w:rPr>
        <w:t>o</w:t>
      </w:r>
      <w:r w:rsidRPr="00BD0390">
        <w:rPr>
          <w:lang w:val="pt-PT"/>
        </w:rPr>
        <w:t xml:space="preserve"> 58, de 30 de janeiro de 2006, que aprova o Plano Nacional de Recursos Hídricos, seus Programas e Sub-Programas</w:t>
      </w:r>
      <w:r w:rsidR="00BD0390" w:rsidRPr="00BD0390">
        <w:rPr>
          <w:lang w:val="pt-PT"/>
        </w:rPr>
        <w:t>;</w:t>
      </w:r>
    </w:p>
    <w:p w:rsidR="007E1CE7" w:rsidRPr="00FD40DE" w:rsidRDefault="00BD0390" w:rsidP="00FD40DE">
      <w:pPr>
        <w:spacing w:after="120" w:line="240" w:lineRule="exact"/>
        <w:ind w:firstLine="1418"/>
        <w:jc w:val="both"/>
        <w:rPr>
          <w:i/>
          <w:iCs/>
          <w:lang w:eastAsia="pt-BR"/>
        </w:rPr>
      </w:pPr>
      <w:r w:rsidRPr="00BD0390">
        <w:rPr>
          <w:lang w:val="pt-PT"/>
        </w:rPr>
        <w:t>Considerando a Resolução CNRH n</w:t>
      </w:r>
      <w:r w:rsidRPr="00556087">
        <w:rPr>
          <w:u w:val="single"/>
          <w:vertAlign w:val="superscript"/>
          <w:lang w:val="pt-PT"/>
        </w:rPr>
        <w:t>o</w:t>
      </w:r>
      <w:r w:rsidRPr="00BD0390">
        <w:rPr>
          <w:lang w:val="pt-PT"/>
        </w:rPr>
        <w:t xml:space="preserve"> 135, de 14 de dezembro de 2011, que aprova </w:t>
      </w:r>
      <w:r w:rsidRPr="00BD0390">
        <w:rPr>
          <w:i/>
          <w:iCs/>
          <w:lang w:eastAsia="pt-BR"/>
        </w:rPr>
        <w:t xml:space="preserve">o documento “Plano Nacional de Recursos </w:t>
      </w:r>
      <w:proofErr w:type="spellStart"/>
      <w:r w:rsidRPr="00BD0390">
        <w:rPr>
          <w:i/>
          <w:iCs/>
          <w:lang w:eastAsia="pt-BR"/>
        </w:rPr>
        <w:t>Hídricos-PNRH</w:t>
      </w:r>
      <w:proofErr w:type="spellEnd"/>
      <w:r w:rsidRPr="00BD0390">
        <w:rPr>
          <w:i/>
          <w:iCs/>
          <w:lang w:eastAsia="pt-BR"/>
        </w:rPr>
        <w:t>: Prioridades 2012-2015”, como resultado da primeira revisão do PNRH</w:t>
      </w:r>
      <w:r w:rsidR="006E2565" w:rsidRPr="00BD0390">
        <w:rPr>
          <w:lang w:val="pt-PT"/>
        </w:rPr>
        <w:t>, resolve:</w:t>
      </w:r>
    </w:p>
    <w:p w:rsidR="00BD0390" w:rsidRDefault="00BD0390" w:rsidP="00BD0390">
      <w:pPr>
        <w:spacing w:after="120" w:line="240" w:lineRule="exact"/>
        <w:ind w:firstLine="1418"/>
        <w:jc w:val="both"/>
        <w:rPr>
          <w:bCs/>
          <w:szCs w:val="20"/>
        </w:rPr>
      </w:pPr>
    </w:p>
    <w:p w:rsidR="007E1CE7" w:rsidRDefault="006E2565">
      <w:pPr>
        <w:spacing w:after="120" w:line="240" w:lineRule="exact"/>
        <w:ind w:firstLine="1418"/>
        <w:jc w:val="both"/>
        <w:rPr>
          <w:szCs w:val="20"/>
        </w:rPr>
      </w:pPr>
      <w:r>
        <w:rPr>
          <w:bCs/>
          <w:szCs w:val="20"/>
        </w:rPr>
        <w:t>Art. 1</w:t>
      </w:r>
      <w:r>
        <w:rPr>
          <w:bCs/>
          <w:strike/>
        </w:rPr>
        <w:t>º</w:t>
      </w:r>
      <w:r>
        <w:rPr>
          <w:szCs w:val="20"/>
        </w:rPr>
        <w:t xml:space="preserve"> A aplicação dos recursos provenientes da cobrança de que trata o inciso II do § 1</w:t>
      </w:r>
      <w:r>
        <w:rPr>
          <w:u w:val="single"/>
          <w:vertAlign w:val="superscript"/>
        </w:rPr>
        <w:t>o</w:t>
      </w:r>
      <w:r>
        <w:rPr>
          <w:szCs w:val="20"/>
        </w:rPr>
        <w:t xml:space="preserve"> do art. 17 da Lei n</w:t>
      </w:r>
      <w:r>
        <w:rPr>
          <w:u w:val="single"/>
          <w:vertAlign w:val="superscript"/>
        </w:rPr>
        <w:t>o</w:t>
      </w:r>
      <w:r>
        <w:rPr>
          <w:szCs w:val="20"/>
        </w:rPr>
        <w:t xml:space="preserve"> 9.648, de 1998, com a redação dada pelo art. 28 da Lei n</w:t>
      </w:r>
      <w:r>
        <w:rPr>
          <w:u w:val="single"/>
          <w:vertAlign w:val="superscript"/>
        </w:rPr>
        <w:t>o</w:t>
      </w:r>
      <w:r>
        <w:rPr>
          <w:szCs w:val="20"/>
        </w:rPr>
        <w:t xml:space="preserve"> 9.984, de 2000, </w:t>
      </w:r>
      <w:r w:rsidR="00A12F0F">
        <w:rPr>
          <w:szCs w:val="20"/>
        </w:rPr>
        <w:t xml:space="preserve">correspondente ao período 2012 – 2015 </w:t>
      </w:r>
      <w:proofErr w:type="gramStart"/>
      <w:r>
        <w:rPr>
          <w:szCs w:val="20"/>
        </w:rPr>
        <w:t>dar-se-á</w:t>
      </w:r>
      <w:proofErr w:type="gramEnd"/>
      <w:r>
        <w:rPr>
          <w:szCs w:val="20"/>
        </w:rPr>
        <w:t xml:space="preserve"> </w:t>
      </w:r>
      <w:r w:rsidR="00A12F0F">
        <w:rPr>
          <w:szCs w:val="20"/>
        </w:rPr>
        <w:t xml:space="preserve">considerando as prioridades definidas na Resolução </w:t>
      </w:r>
      <w:r w:rsidR="00AE68D2">
        <w:rPr>
          <w:szCs w:val="20"/>
        </w:rPr>
        <w:t xml:space="preserve">CNRH </w:t>
      </w:r>
      <w:r w:rsidR="00CA323F">
        <w:rPr>
          <w:szCs w:val="20"/>
        </w:rPr>
        <w:t>n</w:t>
      </w:r>
      <w:r w:rsidR="00AE68D2">
        <w:rPr>
          <w:szCs w:val="20"/>
        </w:rPr>
        <w:t>º</w:t>
      </w:r>
      <w:r w:rsidR="00CA323F">
        <w:rPr>
          <w:szCs w:val="20"/>
        </w:rPr>
        <w:t xml:space="preserve"> </w:t>
      </w:r>
      <w:r w:rsidR="00A12F0F">
        <w:rPr>
          <w:szCs w:val="20"/>
        </w:rPr>
        <w:t>135</w:t>
      </w:r>
      <w:r w:rsidR="00AE68D2">
        <w:rPr>
          <w:szCs w:val="20"/>
        </w:rPr>
        <w:t>, de 14 de dezembro de 2011</w:t>
      </w:r>
      <w:r w:rsidR="00050A3F">
        <w:rPr>
          <w:szCs w:val="20"/>
        </w:rPr>
        <w:t>.</w:t>
      </w:r>
    </w:p>
    <w:p w:rsidR="00584434" w:rsidRDefault="00584434" w:rsidP="00AE68D2">
      <w:pPr>
        <w:suppressAutoHyphens w:val="0"/>
        <w:autoSpaceDE w:val="0"/>
        <w:autoSpaceDN w:val="0"/>
        <w:adjustRightInd w:val="0"/>
        <w:ind w:firstLine="1416"/>
        <w:jc w:val="both"/>
        <w:rPr>
          <w:szCs w:val="20"/>
        </w:rPr>
      </w:pPr>
      <w:r>
        <w:rPr>
          <w:szCs w:val="20"/>
        </w:rPr>
        <w:t>Art. 2</w:t>
      </w:r>
      <w:r w:rsidR="00AE68D2">
        <w:rPr>
          <w:bCs/>
          <w:strike/>
        </w:rPr>
        <w:t>º</w:t>
      </w:r>
      <w:r>
        <w:rPr>
          <w:szCs w:val="20"/>
        </w:rPr>
        <w:t xml:space="preserve"> A definição das prioridades para aplicação dos recursos da cobrança </w:t>
      </w:r>
      <w:r w:rsidRPr="00D6106C">
        <w:rPr>
          <w:szCs w:val="20"/>
        </w:rPr>
        <w:t>a que se refere o art. 22 da Lei no 9.433, de 1997</w:t>
      </w:r>
      <w:r w:rsidR="00AE68D2">
        <w:rPr>
          <w:szCs w:val="20"/>
        </w:rPr>
        <w:t>, ocorrerá</w:t>
      </w:r>
      <w:r>
        <w:rPr>
          <w:szCs w:val="20"/>
        </w:rPr>
        <w:t xml:space="preserve"> </w:t>
      </w:r>
      <w:proofErr w:type="gramStart"/>
      <w:r>
        <w:rPr>
          <w:szCs w:val="20"/>
        </w:rPr>
        <w:t>a cada</w:t>
      </w:r>
      <w:proofErr w:type="gramEnd"/>
      <w:r>
        <w:rPr>
          <w:szCs w:val="20"/>
        </w:rPr>
        <w:t xml:space="preserve"> quatros anos, concomitantemente com o Plano Nacional de Recursos Hídricos.</w:t>
      </w:r>
    </w:p>
    <w:p w:rsidR="00584434" w:rsidRDefault="00584434" w:rsidP="00584434">
      <w:pPr>
        <w:suppressAutoHyphens w:val="0"/>
        <w:autoSpaceDE w:val="0"/>
        <w:autoSpaceDN w:val="0"/>
        <w:adjustRightInd w:val="0"/>
        <w:rPr>
          <w:szCs w:val="20"/>
        </w:rPr>
      </w:pPr>
    </w:p>
    <w:p w:rsidR="00584434" w:rsidRDefault="00584434" w:rsidP="00584434">
      <w:pPr>
        <w:suppressAutoHyphens w:val="0"/>
        <w:autoSpaceDE w:val="0"/>
        <w:autoSpaceDN w:val="0"/>
        <w:adjustRightInd w:val="0"/>
        <w:rPr>
          <w:szCs w:val="20"/>
        </w:rPr>
      </w:pPr>
      <w:r>
        <w:rPr>
          <w:szCs w:val="20"/>
        </w:rPr>
        <w:t>Parágrafo único:</w:t>
      </w:r>
      <w:r w:rsidR="00AE68D2">
        <w:rPr>
          <w:szCs w:val="20"/>
        </w:rPr>
        <w:t xml:space="preserve"> O CNRH estabelecerá</w:t>
      </w:r>
      <w:r w:rsidRPr="00D6106C">
        <w:rPr>
          <w:szCs w:val="20"/>
        </w:rPr>
        <w:t xml:space="preserve"> os procedimentos para </w:t>
      </w:r>
      <w:r>
        <w:rPr>
          <w:szCs w:val="20"/>
        </w:rPr>
        <w:t xml:space="preserve">a </w:t>
      </w:r>
      <w:r w:rsidRPr="00D6106C">
        <w:rPr>
          <w:szCs w:val="20"/>
        </w:rPr>
        <w:t>definição das prioridades de aplicação d</w:t>
      </w:r>
      <w:r>
        <w:rPr>
          <w:szCs w:val="20"/>
        </w:rPr>
        <w:t>os</w:t>
      </w:r>
      <w:r w:rsidRPr="00D6106C">
        <w:rPr>
          <w:szCs w:val="20"/>
        </w:rPr>
        <w:t xml:space="preserve"> recursos</w:t>
      </w:r>
      <w:r>
        <w:rPr>
          <w:szCs w:val="20"/>
        </w:rPr>
        <w:t xml:space="preserve"> referidos no </w:t>
      </w:r>
      <w:r w:rsidRPr="00AE68D2">
        <w:rPr>
          <w:i/>
          <w:szCs w:val="20"/>
        </w:rPr>
        <w:t>caput</w:t>
      </w:r>
      <w:r w:rsidRPr="00D6106C">
        <w:rPr>
          <w:szCs w:val="20"/>
        </w:rPr>
        <w:t>.</w:t>
      </w:r>
    </w:p>
    <w:p w:rsidR="00324D7C" w:rsidRDefault="00324D7C" w:rsidP="00CA323F">
      <w:pPr>
        <w:spacing w:after="120" w:line="240" w:lineRule="exact"/>
        <w:ind w:firstLine="1418"/>
        <w:jc w:val="both"/>
        <w:rPr>
          <w:szCs w:val="20"/>
          <w:highlight w:val="yellow"/>
        </w:rPr>
      </w:pPr>
    </w:p>
    <w:p w:rsidR="00CB7E1E" w:rsidRDefault="00CB7E1E" w:rsidP="00AE68D2">
      <w:pPr>
        <w:suppressAutoHyphens w:val="0"/>
        <w:autoSpaceDE w:val="0"/>
        <w:autoSpaceDN w:val="0"/>
        <w:adjustRightInd w:val="0"/>
        <w:ind w:firstLine="1416"/>
        <w:rPr>
          <w:rFonts w:ascii="TimesNewRomanPSMT" w:hAnsi="TimesNewRomanPSMT" w:cs="TimesNewRomanPSMT"/>
          <w:lang w:eastAsia="pt-BR"/>
        </w:rPr>
      </w:pPr>
      <w:r>
        <w:rPr>
          <w:rFonts w:ascii="TimesNewRomanPSMT" w:hAnsi="TimesNewRomanPSMT" w:cs="TimesNewRomanPSMT"/>
          <w:lang w:eastAsia="pt-BR"/>
        </w:rPr>
        <w:lastRenderedPageBreak/>
        <w:t xml:space="preserve">Art. </w:t>
      </w:r>
      <w:r w:rsidR="00AE68D2">
        <w:rPr>
          <w:rFonts w:ascii="TimesNewRomanPSMT" w:hAnsi="TimesNewRomanPSMT" w:cs="TimesNewRomanPSMT"/>
          <w:lang w:eastAsia="pt-BR"/>
        </w:rPr>
        <w:t>3</w:t>
      </w:r>
      <w:r w:rsidR="00AE68D2">
        <w:rPr>
          <w:bCs/>
          <w:strike/>
        </w:rPr>
        <w:t>º</w:t>
      </w:r>
      <w:r>
        <w:rPr>
          <w:rFonts w:ascii="TimesNewRomanPSMT" w:hAnsi="TimesNewRomanPSMT" w:cs="TimesNewRomanPSMT"/>
          <w:lang w:eastAsia="pt-BR"/>
        </w:rPr>
        <w:t xml:space="preserve"> Fica </w:t>
      </w:r>
      <w:r w:rsidR="00CC6745">
        <w:rPr>
          <w:rFonts w:ascii="TimesNewRomanPSMT" w:hAnsi="TimesNewRomanPSMT" w:cs="TimesNewRomanPSMT"/>
          <w:lang w:eastAsia="pt-BR"/>
        </w:rPr>
        <w:t>mantido o</w:t>
      </w:r>
      <w:r>
        <w:rPr>
          <w:rFonts w:ascii="TimesNewRomanPSMT" w:hAnsi="TimesNewRomanPSMT" w:cs="TimesNewRomanPSMT"/>
          <w:lang w:eastAsia="pt-BR"/>
        </w:rPr>
        <w:t xml:space="preserve"> Grupo de Trabalho permanente</w:t>
      </w:r>
      <w:r w:rsidR="00CC6745">
        <w:rPr>
          <w:rFonts w:ascii="TimesNewRomanPSMT" w:hAnsi="TimesNewRomanPSMT" w:cs="TimesNewRomanPSMT"/>
          <w:lang w:eastAsia="pt-BR"/>
        </w:rPr>
        <w:t xml:space="preserve"> criado</w:t>
      </w:r>
      <w:r>
        <w:rPr>
          <w:rFonts w:ascii="TimesNewRomanPSMT" w:hAnsi="TimesNewRomanPSMT" w:cs="TimesNewRomanPSMT"/>
          <w:lang w:eastAsia="pt-BR"/>
        </w:rPr>
        <w:t xml:space="preserve"> no âmbito da Câmara Técnica de Cobrança pelo Uso de Recursos Hídricos</w:t>
      </w:r>
      <w:r w:rsidR="00AE68D2">
        <w:rPr>
          <w:rFonts w:ascii="TimesNewRomanPSMT" w:hAnsi="TimesNewRomanPSMT" w:cs="TimesNewRomanPSMT"/>
          <w:lang w:eastAsia="pt-BR"/>
        </w:rPr>
        <w:t xml:space="preserve"> – </w:t>
      </w:r>
      <w:r>
        <w:rPr>
          <w:rFonts w:ascii="TimesNewRomanPSMT" w:hAnsi="TimesNewRomanPSMT" w:cs="TimesNewRomanPSMT"/>
          <w:lang w:eastAsia="pt-BR"/>
        </w:rPr>
        <w:t>CTCOB</w:t>
      </w:r>
      <w:r w:rsidR="00AE68D2">
        <w:rPr>
          <w:rFonts w:ascii="TimesNewRomanPSMT" w:hAnsi="TimesNewRomanPSMT" w:cs="TimesNewRomanPSMT"/>
          <w:lang w:eastAsia="pt-BR"/>
        </w:rPr>
        <w:t>,</w:t>
      </w:r>
      <w:r>
        <w:rPr>
          <w:rFonts w:ascii="TimesNewRomanPSMT" w:hAnsi="TimesNewRomanPSMT" w:cs="TimesNewRomanPSMT"/>
          <w:lang w:eastAsia="pt-BR"/>
        </w:rPr>
        <w:t xml:space="preserve"> com as seguintes atribuições:</w:t>
      </w:r>
    </w:p>
    <w:p w:rsidR="00CB7E1E" w:rsidRDefault="00CB7E1E" w:rsidP="00CB7E1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lang w:eastAsia="pt-BR"/>
        </w:rPr>
      </w:pPr>
    </w:p>
    <w:p w:rsidR="00AE1605" w:rsidRPr="00AE1605" w:rsidRDefault="00AE1605" w:rsidP="00AE1605">
      <w:pPr>
        <w:suppressAutoHyphens w:val="0"/>
        <w:autoSpaceDE w:val="0"/>
        <w:autoSpaceDN w:val="0"/>
        <w:adjustRightInd w:val="0"/>
        <w:jc w:val="both"/>
        <w:rPr>
          <w:rFonts w:ascii="TimesNewRomanPSMT" w:hAnsi="TimesNewRomanPSMT" w:cs="TimesNewRomanPSMT"/>
          <w:lang w:eastAsia="pt-BR"/>
        </w:rPr>
      </w:pPr>
      <w:r w:rsidRPr="00AE1605">
        <w:rPr>
          <w:rFonts w:ascii="TimesNewRomanPSMT" w:hAnsi="TimesNewRomanPSMT" w:cs="TimesNewRomanPSMT"/>
          <w:lang w:eastAsia="pt-BR"/>
        </w:rPr>
        <w:t>I - acompanhar a aplicação dos recursos da cobrança, verificando sua conformidade com as prioridades estabelecidas pelo CNRH;</w:t>
      </w:r>
    </w:p>
    <w:p w:rsidR="00AE1605" w:rsidRPr="00AE1605" w:rsidRDefault="00AE1605" w:rsidP="00DD7661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lang w:eastAsia="pt-BR"/>
        </w:rPr>
      </w:pPr>
    </w:p>
    <w:p w:rsidR="00DD7661" w:rsidRPr="00AE1605" w:rsidRDefault="00AE1605" w:rsidP="00AE68D2">
      <w:pPr>
        <w:suppressAutoHyphens w:val="0"/>
        <w:autoSpaceDE w:val="0"/>
        <w:autoSpaceDN w:val="0"/>
        <w:adjustRightInd w:val="0"/>
        <w:jc w:val="both"/>
        <w:rPr>
          <w:rFonts w:ascii="TimesNewRomanPSMT" w:hAnsi="TimesNewRomanPSMT" w:cs="TimesNewRomanPSMT"/>
          <w:lang w:eastAsia="pt-BR"/>
        </w:rPr>
      </w:pPr>
      <w:r w:rsidRPr="00AE1605">
        <w:rPr>
          <w:rFonts w:ascii="TimesNewRomanPSMT" w:hAnsi="TimesNewRomanPSMT" w:cs="TimesNewRomanPSMT"/>
          <w:lang w:eastAsia="pt-BR"/>
        </w:rPr>
        <w:t>I</w:t>
      </w:r>
      <w:r w:rsidR="00DD7661" w:rsidRPr="00AE1605">
        <w:rPr>
          <w:rFonts w:ascii="TimesNewRomanPSMT" w:hAnsi="TimesNewRomanPSMT" w:cs="TimesNewRomanPSMT"/>
          <w:lang w:eastAsia="pt-BR"/>
        </w:rPr>
        <w:t>I –</w:t>
      </w:r>
      <w:r w:rsidR="0067596B" w:rsidRPr="00AE1605">
        <w:rPr>
          <w:rFonts w:ascii="TimesNewRomanPSMT" w:hAnsi="TimesNewRomanPSMT" w:cs="TimesNewRomanPSMT"/>
          <w:lang w:eastAsia="pt-BR"/>
        </w:rPr>
        <w:t xml:space="preserve"> v</w:t>
      </w:r>
      <w:r w:rsidR="00DD7661" w:rsidRPr="00AE1605">
        <w:rPr>
          <w:rFonts w:ascii="TimesNewRomanPSMT" w:hAnsi="TimesNewRomanPSMT" w:cs="TimesNewRomanPSMT"/>
          <w:lang w:eastAsia="pt-BR"/>
        </w:rPr>
        <w:t xml:space="preserve">erificar </w:t>
      </w:r>
      <w:r w:rsidR="00AE68D2">
        <w:rPr>
          <w:rFonts w:ascii="TimesNewRomanPSMT" w:hAnsi="TimesNewRomanPSMT" w:cs="TimesNewRomanPSMT"/>
          <w:lang w:eastAsia="pt-BR"/>
        </w:rPr>
        <w:t xml:space="preserve">a </w:t>
      </w:r>
      <w:r w:rsidR="00DD7661" w:rsidRPr="00AE1605">
        <w:rPr>
          <w:rFonts w:ascii="TimesNewRomanPSMT" w:hAnsi="TimesNewRomanPSMT" w:cs="TimesNewRomanPSMT"/>
          <w:lang w:eastAsia="pt-BR"/>
        </w:rPr>
        <w:t xml:space="preserve">compatibilidade dos Planos Plurianuais e das Leis Orçamentárias Anuais com as </w:t>
      </w:r>
      <w:r w:rsidR="00AE68D2">
        <w:rPr>
          <w:rFonts w:ascii="TimesNewRomanPSMT" w:hAnsi="TimesNewRomanPSMT" w:cs="TimesNewRomanPSMT"/>
          <w:lang w:eastAsia="pt-BR"/>
        </w:rPr>
        <w:t>p</w:t>
      </w:r>
      <w:r w:rsidR="00DD7661" w:rsidRPr="00AE1605">
        <w:rPr>
          <w:rFonts w:ascii="TimesNewRomanPSMT" w:hAnsi="TimesNewRomanPSMT" w:cs="TimesNewRomanPSMT"/>
          <w:lang w:eastAsia="pt-BR"/>
        </w:rPr>
        <w:t>rioridades estabelecidas pelo CNRH</w:t>
      </w:r>
      <w:r w:rsidR="00DD7661" w:rsidRPr="00AE1605">
        <w:rPr>
          <w:rFonts w:ascii="TimesNewRomanPSMT" w:hAnsi="TimesNewRomanPSMT" w:cs="TimesNewRomanPSMT"/>
          <w:b/>
          <w:lang w:eastAsia="pt-BR"/>
        </w:rPr>
        <w:t>;</w:t>
      </w:r>
    </w:p>
    <w:p w:rsidR="00CB7E1E" w:rsidRDefault="00CB7E1E" w:rsidP="00CB7E1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lang w:eastAsia="pt-BR"/>
        </w:rPr>
      </w:pPr>
    </w:p>
    <w:p w:rsidR="00CB7E1E" w:rsidRDefault="00CB7E1E" w:rsidP="000A5F76">
      <w:pPr>
        <w:suppressAutoHyphens w:val="0"/>
        <w:autoSpaceDE w:val="0"/>
        <w:autoSpaceDN w:val="0"/>
        <w:adjustRightInd w:val="0"/>
        <w:jc w:val="both"/>
        <w:rPr>
          <w:rFonts w:ascii="TimesNewRomanPSMT" w:hAnsi="TimesNewRomanPSMT" w:cs="TimesNewRomanPSMT"/>
          <w:lang w:eastAsia="pt-BR"/>
        </w:rPr>
      </w:pPr>
      <w:r w:rsidRPr="00A66A9C">
        <w:rPr>
          <w:rFonts w:ascii="TimesNewRomanPSMT" w:hAnsi="TimesNewRomanPSMT" w:cs="TimesNewRomanPSMT"/>
          <w:lang w:eastAsia="pt-BR"/>
        </w:rPr>
        <w:t>III - elaborar e encaminhar relatório ao CNRH sobre a aplicação dos recursos</w:t>
      </w:r>
      <w:r w:rsidR="00750903" w:rsidRPr="00A66A9C">
        <w:rPr>
          <w:rFonts w:ascii="TimesNewRomanPSMT" w:hAnsi="TimesNewRomanPSMT" w:cs="TimesNewRomanPSMT"/>
          <w:lang w:eastAsia="pt-BR"/>
        </w:rPr>
        <w:t>.</w:t>
      </w:r>
    </w:p>
    <w:p w:rsidR="00AE1605" w:rsidRDefault="00AE1605" w:rsidP="00CB7E1E">
      <w:pPr>
        <w:suppressAutoHyphens w:val="0"/>
        <w:autoSpaceDE w:val="0"/>
        <w:autoSpaceDN w:val="0"/>
        <w:adjustRightInd w:val="0"/>
        <w:rPr>
          <w:rFonts w:ascii="TimesNewRomanPSMT" w:hAnsi="TimesNewRomanPSMT" w:cs="TimesNewRomanPSMT"/>
          <w:lang w:eastAsia="pt-BR"/>
        </w:rPr>
      </w:pPr>
    </w:p>
    <w:p w:rsidR="00CB7E1E" w:rsidRDefault="00CB7E1E" w:rsidP="005D2B18">
      <w:pPr>
        <w:suppressAutoHyphens w:val="0"/>
        <w:autoSpaceDE w:val="0"/>
        <w:autoSpaceDN w:val="0"/>
        <w:adjustRightInd w:val="0"/>
        <w:jc w:val="both"/>
        <w:rPr>
          <w:rFonts w:ascii="TimesNewRomanPSMT" w:hAnsi="TimesNewRomanPSMT" w:cs="TimesNewRomanPSMT"/>
          <w:lang w:eastAsia="pt-BR"/>
        </w:rPr>
      </w:pPr>
      <w:r>
        <w:rPr>
          <w:rFonts w:ascii="TimesNewRomanPSMT" w:hAnsi="TimesNewRomanPSMT" w:cs="TimesNewRomanPSMT"/>
          <w:lang w:eastAsia="pt-BR"/>
        </w:rPr>
        <w:t>Parágrafo único</w:t>
      </w:r>
      <w:r w:rsidR="005D2B18">
        <w:rPr>
          <w:rFonts w:ascii="TimesNewRomanPSMT" w:hAnsi="TimesNewRomanPSMT" w:cs="TimesNewRomanPSMT"/>
          <w:lang w:eastAsia="pt-BR"/>
        </w:rPr>
        <w:t xml:space="preserve">: A composição do Grupo de Trabalho será definida pela </w:t>
      </w:r>
      <w:r>
        <w:rPr>
          <w:rFonts w:ascii="TimesNewRomanPSMT" w:hAnsi="TimesNewRomanPSMT" w:cs="TimesNewRomanPSMT"/>
          <w:lang w:eastAsia="pt-BR"/>
        </w:rPr>
        <w:t>CTCOB, observando a</w:t>
      </w:r>
      <w:r w:rsidR="005D2B18">
        <w:rPr>
          <w:rFonts w:ascii="TimesNewRomanPSMT" w:hAnsi="TimesNewRomanPSMT" w:cs="TimesNewRomanPSMT"/>
          <w:lang w:eastAsia="pt-BR"/>
        </w:rPr>
        <w:t xml:space="preserve"> </w:t>
      </w:r>
      <w:r>
        <w:rPr>
          <w:rFonts w:ascii="TimesNewRomanPSMT" w:hAnsi="TimesNewRomanPSMT" w:cs="TimesNewRomanPSMT"/>
          <w:lang w:eastAsia="pt-BR"/>
        </w:rPr>
        <w:t>representatividade do CNRH.</w:t>
      </w:r>
    </w:p>
    <w:p w:rsidR="00CB7E1E" w:rsidRDefault="00CB7E1E" w:rsidP="00CB7E1E">
      <w:pPr>
        <w:spacing w:after="120" w:line="240" w:lineRule="exact"/>
        <w:jc w:val="both"/>
        <w:rPr>
          <w:rFonts w:ascii="TimesNewRomanPSMT" w:hAnsi="TimesNewRomanPSMT" w:cs="TimesNewRomanPSMT"/>
          <w:lang w:eastAsia="pt-BR"/>
        </w:rPr>
      </w:pPr>
    </w:p>
    <w:p w:rsidR="00CB7E1E" w:rsidRDefault="00CB7E1E" w:rsidP="00AE68D2">
      <w:pPr>
        <w:spacing w:after="120" w:line="240" w:lineRule="exact"/>
        <w:ind w:firstLine="1416"/>
        <w:jc w:val="both"/>
        <w:rPr>
          <w:szCs w:val="20"/>
        </w:rPr>
      </w:pPr>
      <w:r w:rsidRPr="00CB7E1E">
        <w:rPr>
          <w:szCs w:val="20"/>
        </w:rPr>
        <w:t>Art.</w:t>
      </w:r>
      <w:r w:rsidR="00AE68D2">
        <w:rPr>
          <w:szCs w:val="20"/>
        </w:rPr>
        <w:t xml:space="preserve"> 4</w:t>
      </w:r>
      <w:r w:rsidR="00AE68D2">
        <w:rPr>
          <w:bCs/>
          <w:strike/>
        </w:rPr>
        <w:t>º</w:t>
      </w:r>
      <w:r w:rsidRPr="00CB7E1E">
        <w:rPr>
          <w:szCs w:val="20"/>
        </w:rPr>
        <w:t xml:space="preserve"> </w:t>
      </w:r>
      <w:r w:rsidR="006B7D0E">
        <w:rPr>
          <w:szCs w:val="20"/>
        </w:rPr>
        <w:t>Fica</w:t>
      </w:r>
      <w:r w:rsidR="00CC6745">
        <w:rPr>
          <w:szCs w:val="20"/>
        </w:rPr>
        <w:t>m</w:t>
      </w:r>
      <w:r w:rsidR="006B7D0E">
        <w:rPr>
          <w:szCs w:val="20"/>
        </w:rPr>
        <w:t xml:space="preserve"> r</w:t>
      </w:r>
      <w:r w:rsidRPr="00CB7E1E">
        <w:rPr>
          <w:szCs w:val="20"/>
        </w:rPr>
        <w:t>evo</w:t>
      </w:r>
      <w:r>
        <w:rPr>
          <w:szCs w:val="20"/>
        </w:rPr>
        <w:t>g</w:t>
      </w:r>
      <w:r w:rsidRPr="00CB7E1E">
        <w:rPr>
          <w:szCs w:val="20"/>
        </w:rPr>
        <w:t>a</w:t>
      </w:r>
      <w:r w:rsidR="006B7D0E">
        <w:rPr>
          <w:szCs w:val="20"/>
        </w:rPr>
        <w:t>da</w:t>
      </w:r>
      <w:r w:rsidR="00CC6745">
        <w:rPr>
          <w:szCs w:val="20"/>
        </w:rPr>
        <w:t>s</w:t>
      </w:r>
      <w:r w:rsidRPr="00CB7E1E">
        <w:rPr>
          <w:szCs w:val="20"/>
        </w:rPr>
        <w:t xml:space="preserve"> a</w:t>
      </w:r>
      <w:r w:rsidR="00CC6745">
        <w:rPr>
          <w:szCs w:val="20"/>
        </w:rPr>
        <w:t>s</w:t>
      </w:r>
      <w:r w:rsidRPr="00CB7E1E">
        <w:rPr>
          <w:szCs w:val="20"/>
        </w:rPr>
        <w:t xml:space="preserve"> </w:t>
      </w:r>
      <w:r w:rsidR="00AE68D2">
        <w:rPr>
          <w:szCs w:val="20"/>
        </w:rPr>
        <w:t>R</w:t>
      </w:r>
      <w:r w:rsidR="00CC6745" w:rsidRPr="00CB7E1E">
        <w:rPr>
          <w:szCs w:val="20"/>
        </w:rPr>
        <w:t>esoluç</w:t>
      </w:r>
      <w:r w:rsidR="00CC6745">
        <w:rPr>
          <w:szCs w:val="20"/>
        </w:rPr>
        <w:t>ões</w:t>
      </w:r>
      <w:r w:rsidR="00AE68D2">
        <w:rPr>
          <w:szCs w:val="20"/>
        </w:rPr>
        <w:t xml:space="preserve"> CNRH</w:t>
      </w:r>
      <w:r w:rsidRPr="00CB7E1E">
        <w:rPr>
          <w:szCs w:val="20"/>
        </w:rPr>
        <w:t xml:space="preserve"> </w:t>
      </w:r>
      <w:proofErr w:type="gramStart"/>
      <w:r w:rsidR="00CC6745">
        <w:rPr>
          <w:szCs w:val="20"/>
        </w:rPr>
        <w:t>n</w:t>
      </w:r>
      <w:r w:rsidR="00CC6745" w:rsidRPr="00A629FC">
        <w:rPr>
          <w:szCs w:val="20"/>
          <w:u w:val="single"/>
          <w:vertAlign w:val="superscript"/>
        </w:rPr>
        <w:t>o</w:t>
      </w:r>
      <w:r w:rsidR="00CC6745">
        <w:rPr>
          <w:szCs w:val="20"/>
        </w:rPr>
        <w:t xml:space="preserve"> 70</w:t>
      </w:r>
      <w:proofErr w:type="gramEnd"/>
      <w:r w:rsidR="00CC6745">
        <w:rPr>
          <w:szCs w:val="20"/>
        </w:rPr>
        <w:t>, de 19 de marco de 2007</w:t>
      </w:r>
      <w:r w:rsidR="00173BBF">
        <w:rPr>
          <w:szCs w:val="20"/>
        </w:rPr>
        <w:t>, e n</w:t>
      </w:r>
      <w:r w:rsidR="00173BBF" w:rsidRPr="00CB7E1E">
        <w:rPr>
          <w:szCs w:val="20"/>
          <w:u w:val="single"/>
          <w:vertAlign w:val="superscript"/>
        </w:rPr>
        <w:t>o</w:t>
      </w:r>
      <w:r w:rsidR="00173BBF">
        <w:rPr>
          <w:szCs w:val="20"/>
        </w:rPr>
        <w:t xml:space="preserve"> </w:t>
      </w:r>
      <w:r w:rsidR="00173BBF" w:rsidRPr="00CB7E1E">
        <w:rPr>
          <w:szCs w:val="20"/>
        </w:rPr>
        <w:t>1</w:t>
      </w:r>
      <w:r w:rsidR="00173BBF">
        <w:rPr>
          <w:szCs w:val="20"/>
        </w:rPr>
        <w:t>22</w:t>
      </w:r>
      <w:r w:rsidR="00AE68D2">
        <w:rPr>
          <w:szCs w:val="20"/>
        </w:rPr>
        <w:t>,</w:t>
      </w:r>
      <w:r w:rsidR="00173BBF">
        <w:rPr>
          <w:szCs w:val="20"/>
        </w:rPr>
        <w:t xml:space="preserve"> de 29 de junho de 2011.</w:t>
      </w:r>
    </w:p>
    <w:p w:rsidR="00CB7E1E" w:rsidRDefault="00CB7E1E" w:rsidP="00CB7E1E">
      <w:pPr>
        <w:spacing w:after="120" w:line="240" w:lineRule="exact"/>
        <w:jc w:val="both"/>
        <w:rPr>
          <w:rFonts w:ascii="TimesNewRomanPSMT" w:hAnsi="TimesNewRomanPSMT" w:cs="TimesNewRomanPSMT"/>
          <w:lang w:eastAsia="pt-BR"/>
        </w:rPr>
      </w:pPr>
    </w:p>
    <w:p w:rsidR="00CB7E1E" w:rsidRPr="00CB7E1E" w:rsidRDefault="00CB7E1E" w:rsidP="00AE68D2">
      <w:pPr>
        <w:spacing w:after="120" w:line="240" w:lineRule="exact"/>
        <w:ind w:left="708" w:firstLine="708"/>
        <w:jc w:val="both"/>
        <w:rPr>
          <w:szCs w:val="20"/>
        </w:rPr>
      </w:pPr>
      <w:r>
        <w:rPr>
          <w:rFonts w:ascii="TimesNewRomanPSMT" w:hAnsi="TimesNewRomanPSMT" w:cs="TimesNewRomanPSMT"/>
          <w:lang w:eastAsia="pt-BR"/>
        </w:rPr>
        <w:t xml:space="preserve">Art. </w:t>
      </w:r>
      <w:r w:rsidR="00AE68D2">
        <w:rPr>
          <w:rFonts w:ascii="TimesNewRomanPSMT" w:hAnsi="TimesNewRomanPSMT" w:cs="TimesNewRomanPSMT"/>
          <w:lang w:eastAsia="pt-BR"/>
        </w:rPr>
        <w:t>5</w:t>
      </w:r>
      <w:r w:rsidR="00AE68D2">
        <w:rPr>
          <w:bCs/>
          <w:strike/>
        </w:rPr>
        <w:t>º</w:t>
      </w:r>
      <w:r>
        <w:rPr>
          <w:rFonts w:ascii="TimesNewRomanPSMT" w:hAnsi="TimesNewRomanPSMT" w:cs="TimesNewRomanPSMT"/>
          <w:lang w:eastAsia="pt-BR"/>
        </w:rPr>
        <w:t xml:space="preserve"> Esta Resolução entra em vigor na data de sua publicação.</w:t>
      </w:r>
    </w:p>
    <w:sectPr w:rsidR="00CB7E1E" w:rsidRPr="00CB7E1E" w:rsidSect="007E1CE7">
      <w:footerReference w:type="default" r:id="rId8"/>
      <w:pgSz w:w="11905" w:h="16837"/>
      <w:pgMar w:top="1418" w:right="56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29B9" w:rsidRPr="00684C90" w:rsidRDefault="00C629B9">
      <w:r>
        <w:separator/>
      </w:r>
    </w:p>
  </w:endnote>
  <w:endnote w:type="continuationSeparator" w:id="0">
    <w:p w:rsidR="00C629B9" w:rsidRPr="00684C90" w:rsidRDefault="00C629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CE7" w:rsidRDefault="007E1CE7">
    <w:pPr>
      <w:pStyle w:val="Rodap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29B9" w:rsidRPr="00684C90" w:rsidRDefault="00C629B9">
      <w:r>
        <w:separator/>
      </w:r>
    </w:p>
  </w:footnote>
  <w:footnote w:type="continuationSeparator" w:id="0">
    <w:p w:rsidR="00C629B9" w:rsidRPr="00684C90" w:rsidRDefault="00C629B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2183C"/>
    <w:rsid w:val="00050A3F"/>
    <w:rsid w:val="000A5F76"/>
    <w:rsid w:val="00173BBF"/>
    <w:rsid w:val="00245F00"/>
    <w:rsid w:val="00255857"/>
    <w:rsid w:val="00324D7C"/>
    <w:rsid w:val="0042183C"/>
    <w:rsid w:val="00496A56"/>
    <w:rsid w:val="00556087"/>
    <w:rsid w:val="00584434"/>
    <w:rsid w:val="005D2B18"/>
    <w:rsid w:val="0067596B"/>
    <w:rsid w:val="006B0890"/>
    <w:rsid w:val="006B7D0E"/>
    <w:rsid w:val="006E2565"/>
    <w:rsid w:val="00750903"/>
    <w:rsid w:val="007E1CE7"/>
    <w:rsid w:val="008166A1"/>
    <w:rsid w:val="008F6625"/>
    <w:rsid w:val="00997D08"/>
    <w:rsid w:val="00A12F0F"/>
    <w:rsid w:val="00A629FC"/>
    <w:rsid w:val="00A66A9C"/>
    <w:rsid w:val="00AE1605"/>
    <w:rsid w:val="00AE68D2"/>
    <w:rsid w:val="00B1400A"/>
    <w:rsid w:val="00B42A8F"/>
    <w:rsid w:val="00B96E40"/>
    <w:rsid w:val="00BD0390"/>
    <w:rsid w:val="00C33BF7"/>
    <w:rsid w:val="00C629B9"/>
    <w:rsid w:val="00CA323F"/>
    <w:rsid w:val="00CB7E1E"/>
    <w:rsid w:val="00CC6745"/>
    <w:rsid w:val="00D514D8"/>
    <w:rsid w:val="00D6106C"/>
    <w:rsid w:val="00DD7661"/>
    <w:rsid w:val="00E51CC6"/>
    <w:rsid w:val="00F90C7E"/>
    <w:rsid w:val="00FD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1CE7"/>
    <w:pPr>
      <w:suppressAutoHyphens/>
    </w:pPr>
    <w:rPr>
      <w:sz w:val="24"/>
      <w:szCs w:val="24"/>
      <w:lang w:eastAsia="ar-SA"/>
    </w:rPr>
  </w:style>
  <w:style w:type="paragraph" w:styleId="Ttulo2">
    <w:name w:val="heading 2"/>
    <w:basedOn w:val="Normal"/>
    <w:next w:val="Normal"/>
    <w:qFormat/>
    <w:rsid w:val="007E1CE7"/>
    <w:pPr>
      <w:keepNext/>
      <w:tabs>
        <w:tab w:val="num" w:pos="0"/>
      </w:tabs>
      <w:spacing w:after="120"/>
      <w:jc w:val="both"/>
      <w:outlineLvl w:val="1"/>
    </w:pPr>
    <w:rPr>
      <w:rFonts w:eastAsia="Arial Unicode MS"/>
      <w:color w:val="FF0000"/>
      <w:sz w:val="28"/>
      <w:szCs w:val="20"/>
    </w:rPr>
  </w:style>
  <w:style w:type="paragraph" w:styleId="Ttulo5">
    <w:name w:val="heading 5"/>
    <w:basedOn w:val="Normal"/>
    <w:next w:val="Normal"/>
    <w:qFormat/>
    <w:rsid w:val="007E1CE7"/>
    <w:pPr>
      <w:keepNext/>
      <w:tabs>
        <w:tab w:val="num" w:pos="0"/>
      </w:tabs>
      <w:suppressAutoHyphens w:val="0"/>
      <w:jc w:val="center"/>
      <w:outlineLvl w:val="4"/>
    </w:pPr>
    <w:rPr>
      <w:rFonts w:ascii="Arial Narrow" w:hAnsi="Arial Narrow"/>
      <w:b/>
      <w:bCs/>
      <w:szCs w:val="20"/>
    </w:rPr>
  </w:style>
  <w:style w:type="paragraph" w:styleId="Ttulo7">
    <w:name w:val="heading 7"/>
    <w:basedOn w:val="Normal"/>
    <w:next w:val="Normal"/>
    <w:qFormat/>
    <w:rsid w:val="007E1CE7"/>
    <w:pPr>
      <w:keepNext/>
      <w:tabs>
        <w:tab w:val="num" w:pos="0"/>
      </w:tabs>
      <w:spacing w:after="120"/>
      <w:jc w:val="center"/>
      <w:outlineLvl w:val="6"/>
    </w:pPr>
    <w:rPr>
      <w:rFonts w:ascii="Arial" w:hAnsi="Arial" w:cs="Arial"/>
      <w:b/>
      <w:bCs/>
      <w:szCs w:val="20"/>
    </w:rPr>
  </w:style>
  <w:style w:type="paragraph" w:styleId="Ttulo9">
    <w:name w:val="heading 9"/>
    <w:basedOn w:val="Normal"/>
    <w:next w:val="Normal"/>
    <w:qFormat/>
    <w:rsid w:val="007E1CE7"/>
    <w:pPr>
      <w:keepNext/>
      <w:suppressAutoHyphens w:val="0"/>
      <w:ind w:left="708"/>
      <w:jc w:val="both"/>
      <w:outlineLvl w:val="8"/>
    </w:pPr>
    <w:rPr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7E1CE7"/>
  </w:style>
  <w:style w:type="character" w:customStyle="1" w:styleId="Fontepargpadro3">
    <w:name w:val="Fonte parág. padrão3"/>
    <w:rsid w:val="007E1CE7"/>
  </w:style>
  <w:style w:type="character" w:customStyle="1" w:styleId="WW-Absatz-Standardschriftart">
    <w:name w:val="WW-Absatz-Standardschriftart"/>
    <w:rsid w:val="007E1CE7"/>
  </w:style>
  <w:style w:type="character" w:customStyle="1" w:styleId="WW-Absatz-Standardschriftart1">
    <w:name w:val="WW-Absatz-Standardschriftart1"/>
    <w:rsid w:val="007E1CE7"/>
  </w:style>
  <w:style w:type="character" w:customStyle="1" w:styleId="WW-Absatz-Standardschriftart11">
    <w:name w:val="WW-Absatz-Standardschriftart11"/>
    <w:rsid w:val="007E1CE7"/>
  </w:style>
  <w:style w:type="character" w:customStyle="1" w:styleId="Fontepargpadro2">
    <w:name w:val="Fonte parág. padrão2"/>
    <w:rsid w:val="007E1CE7"/>
  </w:style>
  <w:style w:type="character" w:customStyle="1" w:styleId="WW-Absatz-Standardschriftart111">
    <w:name w:val="WW-Absatz-Standardschriftart111"/>
    <w:rsid w:val="007E1CE7"/>
  </w:style>
  <w:style w:type="character" w:customStyle="1" w:styleId="WW-Absatz-Standardschriftart1111">
    <w:name w:val="WW-Absatz-Standardschriftart1111"/>
    <w:rsid w:val="007E1CE7"/>
  </w:style>
  <w:style w:type="character" w:customStyle="1" w:styleId="WW-Absatz-Standardschriftart11111">
    <w:name w:val="WW-Absatz-Standardschriftart11111"/>
    <w:rsid w:val="007E1CE7"/>
  </w:style>
  <w:style w:type="character" w:customStyle="1" w:styleId="WW-Absatz-Standardschriftart111111">
    <w:name w:val="WW-Absatz-Standardschriftart111111"/>
    <w:rsid w:val="007E1CE7"/>
  </w:style>
  <w:style w:type="character" w:customStyle="1" w:styleId="WW-Absatz-Standardschriftart1111111">
    <w:name w:val="WW-Absatz-Standardschriftart1111111"/>
    <w:rsid w:val="007E1CE7"/>
  </w:style>
  <w:style w:type="character" w:customStyle="1" w:styleId="WW-Absatz-Standardschriftart11111111">
    <w:name w:val="WW-Absatz-Standardschriftart11111111"/>
    <w:rsid w:val="007E1CE7"/>
  </w:style>
  <w:style w:type="character" w:customStyle="1" w:styleId="WW-Absatz-Standardschriftart111111111">
    <w:name w:val="WW-Absatz-Standardschriftart111111111"/>
    <w:rsid w:val="007E1CE7"/>
  </w:style>
  <w:style w:type="character" w:customStyle="1" w:styleId="WW-Absatz-Standardschriftart1111111111">
    <w:name w:val="WW-Absatz-Standardschriftart1111111111"/>
    <w:rsid w:val="007E1CE7"/>
  </w:style>
  <w:style w:type="character" w:customStyle="1" w:styleId="WW-Absatz-Standardschriftart11111111111">
    <w:name w:val="WW-Absatz-Standardschriftart11111111111"/>
    <w:rsid w:val="007E1CE7"/>
  </w:style>
  <w:style w:type="character" w:customStyle="1" w:styleId="WW-Absatz-Standardschriftart111111111111">
    <w:name w:val="WW-Absatz-Standardschriftart111111111111"/>
    <w:rsid w:val="007E1CE7"/>
  </w:style>
  <w:style w:type="character" w:customStyle="1" w:styleId="WW-Absatz-Standardschriftart1111111111111">
    <w:name w:val="WW-Absatz-Standardschriftart1111111111111"/>
    <w:rsid w:val="007E1CE7"/>
  </w:style>
  <w:style w:type="character" w:customStyle="1" w:styleId="WW-Absatz-Standardschriftart11111111111111">
    <w:name w:val="WW-Absatz-Standardschriftart11111111111111"/>
    <w:rsid w:val="007E1CE7"/>
  </w:style>
  <w:style w:type="character" w:customStyle="1" w:styleId="WW-Absatz-Standardschriftart111111111111111">
    <w:name w:val="WW-Absatz-Standardschriftart111111111111111"/>
    <w:rsid w:val="007E1CE7"/>
  </w:style>
  <w:style w:type="character" w:customStyle="1" w:styleId="Fontepargpadro1">
    <w:name w:val="Fonte parág. padrão1"/>
    <w:rsid w:val="007E1CE7"/>
  </w:style>
  <w:style w:type="character" w:customStyle="1" w:styleId="WW-Fontepargpadro">
    <w:name w:val="WW-Fonte parág. padrão"/>
    <w:rsid w:val="007E1CE7"/>
  </w:style>
  <w:style w:type="character" w:customStyle="1" w:styleId="WW-Absatz-Standardschriftart1111111111111111">
    <w:name w:val="WW-Absatz-Standardschriftart1111111111111111"/>
    <w:rsid w:val="007E1CE7"/>
  </w:style>
  <w:style w:type="character" w:customStyle="1" w:styleId="WW-Absatz-Standardschriftart11111111111111111">
    <w:name w:val="WW-Absatz-Standardschriftart11111111111111111"/>
    <w:rsid w:val="007E1CE7"/>
  </w:style>
  <w:style w:type="character" w:customStyle="1" w:styleId="WW-Fontepargpadro1">
    <w:name w:val="WW-Fonte parág. padrão1"/>
    <w:rsid w:val="007E1CE7"/>
  </w:style>
  <w:style w:type="character" w:customStyle="1" w:styleId="TtuloChar">
    <w:name w:val="Título Char"/>
    <w:basedOn w:val="Fontepargpadro3"/>
    <w:rsid w:val="007E1CE7"/>
    <w:rPr>
      <w:rFonts w:ascii="Arial" w:eastAsia="Lucida Sans Unicode" w:hAnsi="Arial" w:cs="Tahoma"/>
      <w:sz w:val="28"/>
      <w:szCs w:val="28"/>
    </w:rPr>
  </w:style>
  <w:style w:type="character" w:customStyle="1" w:styleId="Ttulo5Char">
    <w:name w:val="Título 5 Char"/>
    <w:basedOn w:val="Fontepargpadro3"/>
    <w:rsid w:val="007E1CE7"/>
    <w:rPr>
      <w:rFonts w:ascii="Arial Narrow" w:hAnsi="Arial Narrow"/>
      <w:b/>
      <w:bCs/>
      <w:sz w:val="24"/>
    </w:rPr>
  </w:style>
  <w:style w:type="character" w:customStyle="1" w:styleId="CabealhoChar">
    <w:name w:val="Cabeçalho Char"/>
    <w:basedOn w:val="Fontepargpadro3"/>
    <w:rsid w:val="007E1CE7"/>
    <w:rPr>
      <w:sz w:val="24"/>
      <w:szCs w:val="24"/>
    </w:rPr>
  </w:style>
  <w:style w:type="paragraph" w:customStyle="1" w:styleId="Ttulo1">
    <w:name w:val="Título1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Corpodetexto">
    <w:name w:val="Body Text"/>
    <w:basedOn w:val="Normal"/>
    <w:rsid w:val="007E1CE7"/>
    <w:pPr>
      <w:ind w:right="424"/>
      <w:jc w:val="both"/>
    </w:pPr>
    <w:rPr>
      <w:rFonts w:ascii="Arial" w:hAnsi="Arial"/>
      <w:szCs w:val="20"/>
    </w:rPr>
  </w:style>
  <w:style w:type="paragraph" w:styleId="Lista">
    <w:name w:val="List"/>
    <w:basedOn w:val="Corpodetexto"/>
    <w:rsid w:val="007E1CE7"/>
    <w:rPr>
      <w:rFonts w:cs="Tahoma"/>
    </w:rPr>
  </w:style>
  <w:style w:type="paragraph" w:customStyle="1" w:styleId="Legenda4">
    <w:name w:val="Legenda4"/>
    <w:basedOn w:val="Normal"/>
    <w:rsid w:val="007E1CE7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7E1CE7"/>
    <w:pPr>
      <w:suppressLineNumbers/>
    </w:pPr>
    <w:rPr>
      <w:rFonts w:cs="Tahoma"/>
    </w:rPr>
  </w:style>
  <w:style w:type="paragraph" w:customStyle="1" w:styleId="Captulo">
    <w:name w:val="Capítulo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3">
    <w:name w:val="Legenda3"/>
    <w:basedOn w:val="Normal"/>
    <w:rsid w:val="007E1CE7"/>
    <w:pPr>
      <w:suppressLineNumbers/>
      <w:spacing w:before="120" w:after="120"/>
    </w:pPr>
    <w:rPr>
      <w:rFonts w:cs="Tahoma"/>
      <w:i/>
      <w:iCs/>
    </w:rPr>
  </w:style>
  <w:style w:type="paragraph" w:customStyle="1" w:styleId="Legenda2">
    <w:name w:val="Legenda2"/>
    <w:basedOn w:val="Normal"/>
    <w:rsid w:val="007E1CE7"/>
    <w:pPr>
      <w:suppressLineNumbers/>
      <w:spacing w:before="120" w:after="120"/>
    </w:pPr>
    <w:rPr>
      <w:rFonts w:cs="Tahoma"/>
      <w:i/>
      <w:iCs/>
    </w:rPr>
  </w:style>
  <w:style w:type="paragraph" w:styleId="Ttulo">
    <w:name w:val="Title"/>
    <w:basedOn w:val="Normal"/>
    <w:next w:val="Corpodetexto"/>
    <w:qFormat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ubttulo">
    <w:name w:val="Subtitle"/>
    <w:basedOn w:val="WW-TtuloPrincipal11"/>
    <w:next w:val="Corpodetexto"/>
    <w:qFormat/>
    <w:rsid w:val="007E1CE7"/>
    <w:pPr>
      <w:jc w:val="center"/>
    </w:pPr>
    <w:rPr>
      <w:i/>
      <w:iCs/>
    </w:rPr>
  </w:style>
  <w:style w:type="paragraph" w:customStyle="1" w:styleId="WW-TtuloPrincipal11">
    <w:name w:val="WW-Título Principal11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Legenda1">
    <w:name w:val="Legenda1"/>
    <w:basedOn w:val="Normal"/>
    <w:rsid w:val="007E1CE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TtuloPrincipal">
    <w:name w:val="Título Principal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">
    <w:name w:val="WW-Legenda"/>
    <w:basedOn w:val="Normal"/>
    <w:rsid w:val="007E1CE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">
    <w:name w:val="WW-Índice"/>
    <w:basedOn w:val="Normal"/>
    <w:rsid w:val="007E1CE7"/>
    <w:pPr>
      <w:suppressLineNumbers/>
    </w:pPr>
    <w:rPr>
      <w:rFonts w:cs="Tahoma"/>
    </w:rPr>
  </w:style>
  <w:style w:type="paragraph" w:customStyle="1" w:styleId="WW-TtuloPrincipal">
    <w:name w:val="WW-Título Principal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">
    <w:name w:val="WW-Legenda1"/>
    <w:basedOn w:val="Normal"/>
    <w:rsid w:val="007E1CE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">
    <w:name w:val="WW-Índice1"/>
    <w:basedOn w:val="Normal"/>
    <w:rsid w:val="007E1CE7"/>
    <w:pPr>
      <w:suppressLineNumbers/>
    </w:pPr>
    <w:rPr>
      <w:rFonts w:cs="Tahoma"/>
    </w:rPr>
  </w:style>
  <w:style w:type="paragraph" w:customStyle="1" w:styleId="WW-TtuloPrincipal1">
    <w:name w:val="WW-Título Principal1"/>
    <w:basedOn w:val="Normal"/>
    <w:next w:val="Corpodetexto"/>
    <w:rsid w:val="007E1CE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WW-Legenda11">
    <w:name w:val="WW-Legenda11"/>
    <w:basedOn w:val="Normal"/>
    <w:rsid w:val="007E1CE7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ndice11">
    <w:name w:val="WW-Índice11"/>
    <w:basedOn w:val="Normal"/>
    <w:rsid w:val="007E1CE7"/>
    <w:pPr>
      <w:suppressLineNumbers/>
    </w:pPr>
    <w:rPr>
      <w:rFonts w:cs="Tahoma"/>
    </w:rPr>
  </w:style>
  <w:style w:type="paragraph" w:styleId="Rodap">
    <w:name w:val="footer"/>
    <w:basedOn w:val="Normal"/>
    <w:rsid w:val="007E1CE7"/>
    <w:pPr>
      <w:tabs>
        <w:tab w:val="center" w:pos="4419"/>
        <w:tab w:val="right" w:pos="8838"/>
      </w:tabs>
    </w:pPr>
    <w:rPr>
      <w:sz w:val="20"/>
      <w:szCs w:val="20"/>
    </w:rPr>
  </w:style>
  <w:style w:type="paragraph" w:customStyle="1" w:styleId="WW-Ttulo">
    <w:name w:val="WW-Título"/>
    <w:basedOn w:val="Normal"/>
    <w:next w:val="Subttulo"/>
    <w:rsid w:val="007E1CE7"/>
    <w:pPr>
      <w:jc w:val="center"/>
    </w:pPr>
    <w:rPr>
      <w:b/>
      <w:bCs/>
      <w:szCs w:val="20"/>
    </w:rPr>
  </w:style>
  <w:style w:type="paragraph" w:styleId="Recuodecorpodetexto">
    <w:name w:val="Body Text Indent"/>
    <w:basedOn w:val="Normal"/>
    <w:rsid w:val="007E1CE7"/>
    <w:pPr>
      <w:ind w:firstLine="708"/>
      <w:jc w:val="both"/>
    </w:pPr>
  </w:style>
  <w:style w:type="paragraph" w:customStyle="1" w:styleId="WW-Corpodetexto2">
    <w:name w:val="WW-Corpo de texto 2"/>
    <w:basedOn w:val="Normal"/>
    <w:rsid w:val="007E1CE7"/>
    <w:pPr>
      <w:widowControl w:val="0"/>
      <w:jc w:val="both"/>
    </w:pPr>
    <w:rPr>
      <w:szCs w:val="20"/>
    </w:rPr>
  </w:style>
  <w:style w:type="paragraph" w:customStyle="1" w:styleId="WW-Corpodetexto3">
    <w:name w:val="WW-Corpo de texto 3"/>
    <w:basedOn w:val="Normal"/>
    <w:rsid w:val="007E1CE7"/>
    <w:pPr>
      <w:tabs>
        <w:tab w:val="left" w:pos="1134"/>
      </w:tabs>
      <w:spacing w:after="240" w:line="360" w:lineRule="auto"/>
      <w:ind w:right="40"/>
      <w:jc w:val="both"/>
    </w:pPr>
  </w:style>
  <w:style w:type="paragraph" w:customStyle="1" w:styleId="WW-Recuodecorpodetexto2">
    <w:name w:val="WW-Recuo de corpo de texto 2"/>
    <w:basedOn w:val="Normal"/>
    <w:rsid w:val="007E1CE7"/>
    <w:pPr>
      <w:ind w:firstLine="720"/>
      <w:jc w:val="both"/>
    </w:pPr>
  </w:style>
  <w:style w:type="paragraph" w:styleId="Textodebalo">
    <w:name w:val="Balloon Text"/>
    <w:basedOn w:val="Normal"/>
    <w:rsid w:val="007E1CE7"/>
    <w:rPr>
      <w:rFonts w:ascii="Tahoma" w:hAnsi="Tahoma" w:cs="Tahoma"/>
      <w:sz w:val="16"/>
      <w:szCs w:val="16"/>
    </w:rPr>
  </w:style>
  <w:style w:type="paragraph" w:customStyle="1" w:styleId="WW-Textoembloco">
    <w:name w:val="WW-Texto em bloco"/>
    <w:basedOn w:val="Normal"/>
    <w:rsid w:val="007E1CE7"/>
    <w:pPr>
      <w:keepNext/>
      <w:spacing w:after="120"/>
      <w:ind w:left="4320" w:right="-5"/>
      <w:jc w:val="both"/>
    </w:pPr>
    <w:rPr>
      <w:bCs/>
      <w:szCs w:val="20"/>
    </w:rPr>
  </w:style>
  <w:style w:type="paragraph" w:customStyle="1" w:styleId="ContedodaTabela">
    <w:name w:val="Conteúdo da Tabela"/>
    <w:basedOn w:val="Corpodetexto"/>
    <w:rsid w:val="007E1CE7"/>
    <w:pPr>
      <w:suppressLineNumbers/>
    </w:pPr>
  </w:style>
  <w:style w:type="paragraph" w:customStyle="1" w:styleId="TtulodaTabela">
    <w:name w:val="Título da Tabela"/>
    <w:basedOn w:val="ContedodaTabela"/>
    <w:rsid w:val="007E1CE7"/>
    <w:pPr>
      <w:jc w:val="center"/>
    </w:pPr>
    <w:rPr>
      <w:b/>
      <w:bCs/>
      <w:i/>
      <w:iCs/>
    </w:rPr>
  </w:style>
  <w:style w:type="paragraph" w:customStyle="1" w:styleId="Contedodatabela0">
    <w:name w:val="Conteúdo da tabela"/>
    <w:basedOn w:val="Normal"/>
    <w:rsid w:val="007E1CE7"/>
    <w:pPr>
      <w:suppressLineNumbers/>
    </w:pPr>
  </w:style>
  <w:style w:type="paragraph" w:customStyle="1" w:styleId="Ttulodatabela0">
    <w:name w:val="Título da tabela"/>
    <w:basedOn w:val="Contedodatabela0"/>
    <w:rsid w:val="007E1CE7"/>
    <w:pPr>
      <w:jc w:val="center"/>
    </w:pPr>
    <w:rPr>
      <w:b/>
      <w:bCs/>
      <w:i/>
      <w:iCs/>
    </w:rPr>
  </w:style>
  <w:style w:type="paragraph" w:customStyle="1" w:styleId="Titulo">
    <w:name w:val="Titulo"/>
    <w:basedOn w:val="Normal"/>
    <w:rsid w:val="007E1CE7"/>
    <w:pPr>
      <w:suppressAutoHyphens w:val="0"/>
      <w:spacing w:after="120"/>
      <w:jc w:val="center"/>
    </w:pPr>
    <w:rPr>
      <w:sz w:val="18"/>
    </w:rPr>
  </w:style>
  <w:style w:type="paragraph" w:customStyle="1" w:styleId="WW-NormalWeb">
    <w:name w:val="WW-Normal (Web)"/>
    <w:basedOn w:val="Normal"/>
    <w:rsid w:val="007E1CE7"/>
    <w:pPr>
      <w:spacing w:before="280" w:after="280"/>
    </w:pPr>
  </w:style>
  <w:style w:type="paragraph" w:customStyle="1" w:styleId="Objetocomseta">
    <w:name w:val="Objeto com seta"/>
    <w:basedOn w:val="Normal"/>
    <w:rsid w:val="007E1CE7"/>
  </w:style>
  <w:style w:type="paragraph" w:styleId="Cabealho">
    <w:name w:val="header"/>
    <w:basedOn w:val="Normal"/>
    <w:rsid w:val="007E1CE7"/>
    <w:pPr>
      <w:tabs>
        <w:tab w:val="center" w:pos="4252"/>
        <w:tab w:val="right" w:pos="8504"/>
      </w:tabs>
    </w:pPr>
  </w:style>
  <w:style w:type="paragraph" w:customStyle="1" w:styleId="Contedodetabela">
    <w:name w:val="Conteúdo de tabela"/>
    <w:basedOn w:val="Normal"/>
    <w:rsid w:val="007E1CE7"/>
    <w:pPr>
      <w:suppressLineNumbers/>
    </w:pPr>
  </w:style>
  <w:style w:type="paragraph" w:customStyle="1" w:styleId="Ttulodetabela">
    <w:name w:val="Título de tabela"/>
    <w:basedOn w:val="Contedodetabela"/>
    <w:rsid w:val="007E1CE7"/>
    <w:pPr>
      <w:jc w:val="center"/>
    </w:pPr>
    <w:rPr>
      <w:b/>
      <w:bCs/>
    </w:rPr>
  </w:style>
  <w:style w:type="paragraph" w:customStyle="1" w:styleId="Corpodetexto21">
    <w:name w:val="Corpo de texto 21"/>
    <w:basedOn w:val="Normal"/>
    <w:rsid w:val="007E1CE7"/>
    <w:pPr>
      <w:widowControl w:val="0"/>
      <w:jc w:val="both"/>
    </w:pPr>
    <w:rPr>
      <w:szCs w:val="20"/>
    </w:rPr>
  </w:style>
  <w:style w:type="paragraph" w:styleId="NormalWeb">
    <w:name w:val="Normal (Web)"/>
    <w:basedOn w:val="Normal"/>
    <w:rsid w:val="007E1CE7"/>
    <w:pPr>
      <w:spacing w:before="100" w:after="10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567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MINISTÉRIO DO MEIO AMBIENTE</vt:lpstr>
    </vt:vector>
  </TitlesOfParts>
  <Company/>
  <LinksUpToDate>false</LinksUpToDate>
  <CharactersWithSpaces>3624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MINISTÉRIO DO MEIO AMBIENTE</dc:title>
  <dc:creator>mauricio.andres</dc:creator>
  <cp:lastModifiedBy>81549954091</cp:lastModifiedBy>
  <cp:revision>30</cp:revision>
  <cp:lastPrinted>2011-01-25T20:49:00Z</cp:lastPrinted>
  <dcterms:created xsi:type="dcterms:W3CDTF">2012-09-21T10:25:00Z</dcterms:created>
  <dcterms:modified xsi:type="dcterms:W3CDTF">2012-11-13T13:12:00Z</dcterms:modified>
</cp:coreProperties>
</file>