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r w:rsidR="00E96EFC">
        <w:rPr>
          <w:sz w:val="18"/>
          <w:szCs w:val="18"/>
        </w:rPr>
        <w:t xml:space="preserve">  </w:t>
      </w:r>
      <w:r w:rsidRPr="00FD23B2">
        <w:rPr>
          <w:sz w:val="18"/>
          <w:szCs w:val="18"/>
        </w:rPr>
        <w:t>CEP 70.053-900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00360CAE" w:rsidRPr="00CD1FDD">
          <w:rPr>
            <w:rStyle w:val="Hyperlink"/>
            <w:sz w:val="18"/>
            <w:szCs w:val="18"/>
          </w:rPr>
          <w:t>sdcom@economia.gov.br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8F153C" w:rsidRPr="00BB3088" w:rsidRDefault="008F153C" w:rsidP="008F153C">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Pr>
          <w:sz w:val="24"/>
          <w:szCs w:val="24"/>
        </w:rPr>
        <w:t xml:space="preserve">espelhos não emoldurados, </w:t>
      </w:r>
      <w:r w:rsidRPr="00BB3088">
        <w:rPr>
          <w:sz w:val="24"/>
          <w:szCs w:val="24"/>
        </w:rPr>
        <w:t xml:space="preserve">comumente classificadas no </w:t>
      </w:r>
      <w:r>
        <w:rPr>
          <w:sz w:val="24"/>
          <w:szCs w:val="24"/>
        </w:rPr>
        <w:t>sub</w:t>
      </w:r>
      <w:r w:rsidRPr="00BB3088">
        <w:rPr>
          <w:sz w:val="24"/>
          <w:szCs w:val="24"/>
        </w:rPr>
        <w:t>ite</w:t>
      </w:r>
      <w:r>
        <w:rPr>
          <w:sz w:val="24"/>
          <w:szCs w:val="24"/>
        </w:rPr>
        <w:t xml:space="preserve">m 7009.91.00 </w:t>
      </w:r>
      <w:r w:rsidRPr="00BB3088">
        <w:rPr>
          <w:sz w:val="24"/>
          <w:szCs w:val="24"/>
        </w:rPr>
        <w:t>da Nomenclatura Comum do Mercosul – NCM, originárias d</w:t>
      </w:r>
      <w:r>
        <w:rPr>
          <w:sz w:val="24"/>
          <w:szCs w:val="24"/>
        </w:rPr>
        <w:t xml:space="preserve">a </w:t>
      </w:r>
      <w:r w:rsidRPr="00AF3E71">
        <w:rPr>
          <w:sz w:val="24"/>
          <w:szCs w:val="24"/>
        </w:rPr>
        <w:t>República Popular da China</w:t>
      </w:r>
      <w:r>
        <w:rPr>
          <w:sz w:val="24"/>
          <w:szCs w:val="24"/>
        </w:rPr>
        <w:t xml:space="preserve"> e Estados Unidos Mexicanos</w:t>
      </w:r>
      <w:r w:rsidRPr="00BB3088">
        <w:rPr>
          <w:sz w:val="24"/>
          <w:szCs w:val="24"/>
        </w:rPr>
        <w:t>, e de dano à indústria doméstica decorrente de tal prática.</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8F153C" w:rsidRPr="00AF3E71" w:rsidRDefault="008F153C" w:rsidP="008F153C">
      <w:pPr>
        <w:pBdr>
          <w:top w:val="single" w:sz="4" w:space="1" w:color="auto"/>
          <w:left w:val="single" w:sz="4" w:space="4" w:color="auto"/>
          <w:bottom w:val="single" w:sz="4" w:space="1" w:color="auto"/>
          <w:right w:val="single" w:sz="4" w:space="4" w:color="auto"/>
        </w:pBdr>
        <w:jc w:val="center"/>
        <w:rPr>
          <w:bCs/>
          <w:color w:val="000000" w:themeColor="text1"/>
          <w:sz w:val="24"/>
          <w:szCs w:val="24"/>
        </w:rPr>
      </w:pPr>
      <w:r w:rsidRPr="00AF3E71">
        <w:rPr>
          <w:color w:val="000000" w:themeColor="text1"/>
          <w:sz w:val="24"/>
          <w:szCs w:val="24"/>
        </w:rPr>
        <w:t xml:space="preserve">Processo Administrativo SECEX </w:t>
      </w:r>
      <w:r w:rsidRPr="00253DF8">
        <w:rPr>
          <w:bCs/>
          <w:color w:val="000000" w:themeColor="text1"/>
          <w:sz w:val="24"/>
          <w:szCs w:val="24"/>
        </w:rPr>
        <w:t>52272.004935/2020-11</w:t>
      </w:r>
    </w:p>
    <w:p w:rsidR="008F153C" w:rsidRPr="00AF3E71" w:rsidRDefault="008F153C" w:rsidP="008F153C">
      <w:pPr>
        <w:pBdr>
          <w:top w:val="single" w:sz="4" w:space="1" w:color="auto"/>
          <w:left w:val="single" w:sz="4" w:space="4" w:color="auto"/>
          <w:bottom w:val="single" w:sz="4" w:space="1" w:color="auto"/>
          <w:right w:val="single" w:sz="4" w:space="4" w:color="auto"/>
        </w:pBdr>
        <w:jc w:val="center"/>
        <w:rPr>
          <w:bCs/>
          <w:color w:val="000000" w:themeColor="text1"/>
          <w:sz w:val="24"/>
          <w:szCs w:val="24"/>
        </w:rPr>
      </w:pPr>
      <w:r w:rsidRPr="00AF3E71">
        <w:rPr>
          <w:color w:val="000000" w:themeColor="text1"/>
          <w:sz w:val="24"/>
          <w:szCs w:val="24"/>
        </w:rPr>
        <w:t xml:space="preserve">Contato: (+55 61) 2027-7770 ou </w:t>
      </w:r>
      <w:r>
        <w:rPr>
          <w:color w:val="000000" w:themeColor="text1"/>
          <w:sz w:val="24"/>
          <w:szCs w:val="24"/>
        </w:rPr>
        <w:t>espelhos</w:t>
      </w:r>
      <w:r w:rsidRPr="00AF3E71">
        <w:rPr>
          <w:color w:val="000000" w:themeColor="text1"/>
          <w:sz w:val="24"/>
          <w:szCs w:val="24"/>
        </w:rPr>
        <w:t>.</w:t>
      </w:r>
      <w:r>
        <w:rPr>
          <w:color w:val="000000" w:themeColor="text1"/>
          <w:sz w:val="24"/>
          <w:szCs w:val="24"/>
        </w:rPr>
        <w:t>rev</w:t>
      </w:r>
      <w:r w:rsidRPr="00AF3E71">
        <w:rPr>
          <w:color w:val="000000" w:themeColor="text1"/>
          <w:sz w:val="24"/>
          <w:szCs w:val="24"/>
        </w:rPr>
        <w:t>@</w:t>
      </w:r>
      <w:r>
        <w:rPr>
          <w:color w:val="000000" w:themeColor="text1"/>
          <w:sz w:val="24"/>
          <w:szCs w:val="24"/>
        </w:rPr>
        <w:t>economia</w:t>
      </w:r>
      <w:r w:rsidRPr="00AF3E71">
        <w:rPr>
          <w:color w:val="000000" w:themeColor="text1"/>
          <w:sz w:val="24"/>
          <w:szCs w:val="24"/>
        </w:rPr>
        <w:t>.gov.br</w:t>
      </w:r>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rsidR="00AE3976" w:rsidRPr="008B4D23" w:rsidRDefault="00AE3976" w:rsidP="00AE3976">
      <w:pPr>
        <w:jc w:val="both"/>
        <w:rPr>
          <w:sz w:val="24"/>
        </w:rPr>
      </w:pPr>
    </w:p>
    <w:p w:rsidR="008F153C" w:rsidRPr="00037C6A" w:rsidRDefault="007E4B19" w:rsidP="008F153C">
      <w:pPr>
        <w:numPr>
          <w:ilvl w:val="0"/>
          <w:numId w:val="31"/>
        </w:numPr>
        <w:ind w:left="0" w:firstLine="0"/>
        <w:jc w:val="both"/>
        <w:rPr>
          <w:sz w:val="24"/>
          <w:szCs w:val="24"/>
        </w:rPr>
      </w:pPr>
      <w:r>
        <w:rPr>
          <w:sz w:val="24"/>
          <w:szCs w:val="24"/>
        </w:rPr>
        <w:t xml:space="preserve">  </w:t>
      </w:r>
      <w:r w:rsidR="008F153C" w:rsidRPr="00037C6A">
        <w:rPr>
          <w:sz w:val="24"/>
          <w:szCs w:val="24"/>
        </w:rPr>
        <w:t xml:space="preserve">Este questionário tem por objetivo reunir informações necessárias à </w:t>
      </w:r>
      <w:r w:rsidR="008F153C">
        <w:rPr>
          <w:sz w:val="24"/>
          <w:szCs w:val="24"/>
        </w:rPr>
        <w:t xml:space="preserve">revisão de </w:t>
      </w:r>
      <w:r w:rsidR="008F153C" w:rsidRPr="00BB3088">
        <w:rPr>
          <w:sz w:val="24"/>
          <w:szCs w:val="24"/>
        </w:rPr>
        <w:t xml:space="preserve">final de período da medida antidumping aplicada sobre as importações brasileiras de </w:t>
      </w:r>
      <w:r w:rsidR="008F153C">
        <w:rPr>
          <w:sz w:val="24"/>
          <w:szCs w:val="24"/>
        </w:rPr>
        <w:t>espelhos não emoldurados</w:t>
      </w:r>
      <w:r w:rsidR="008F153C" w:rsidRPr="00BB3088">
        <w:rPr>
          <w:sz w:val="24"/>
          <w:szCs w:val="24"/>
        </w:rPr>
        <w:t>,</w:t>
      </w:r>
      <w:r w:rsidR="008F153C" w:rsidRPr="00BB3088">
        <w:rPr>
          <w:color w:val="FF0000"/>
          <w:sz w:val="24"/>
          <w:szCs w:val="24"/>
        </w:rPr>
        <w:t xml:space="preserve"> </w:t>
      </w:r>
      <w:r w:rsidR="008F153C" w:rsidRPr="00BB3088">
        <w:rPr>
          <w:sz w:val="24"/>
          <w:szCs w:val="24"/>
        </w:rPr>
        <w:t xml:space="preserve">comumente classificadas no </w:t>
      </w:r>
      <w:r w:rsidR="008F153C">
        <w:rPr>
          <w:sz w:val="24"/>
          <w:szCs w:val="24"/>
        </w:rPr>
        <w:t xml:space="preserve">subitem 7009.91.00 </w:t>
      </w:r>
      <w:r w:rsidR="008F153C" w:rsidRPr="00BB3088">
        <w:rPr>
          <w:sz w:val="24"/>
          <w:szCs w:val="24"/>
        </w:rPr>
        <w:t>da Nomenclatura Comum do Mercosul – NCM, originárias d</w:t>
      </w:r>
      <w:r w:rsidR="008F153C">
        <w:rPr>
          <w:sz w:val="24"/>
          <w:szCs w:val="24"/>
        </w:rPr>
        <w:t xml:space="preserve">a </w:t>
      </w:r>
      <w:r w:rsidR="008F153C" w:rsidRPr="00AF3E71">
        <w:rPr>
          <w:sz w:val="24"/>
          <w:szCs w:val="24"/>
        </w:rPr>
        <w:t>China</w:t>
      </w:r>
      <w:r w:rsidR="008F153C">
        <w:rPr>
          <w:sz w:val="24"/>
          <w:szCs w:val="24"/>
        </w:rPr>
        <w:t xml:space="preserve"> e México</w:t>
      </w:r>
      <w:r w:rsidR="008F153C" w:rsidRPr="00BB3088">
        <w:rPr>
          <w:sz w:val="24"/>
          <w:szCs w:val="24"/>
        </w:rPr>
        <w:t>, e de dano à indústria doméstica decorrente de tal prática</w:t>
      </w:r>
      <w:r w:rsidR="008F153C">
        <w:rPr>
          <w:sz w:val="24"/>
          <w:szCs w:val="24"/>
        </w:rPr>
        <w:t>.</w:t>
      </w:r>
    </w:p>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lastRenderedPageBreak/>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1" w:name="_Toc340425357"/>
      <w:r w:rsidRPr="00827E09">
        <w:rPr>
          <w:rFonts w:ascii="Times New Roman" w:hAnsi="Times New Roman"/>
        </w:rPr>
        <w:lastRenderedPageBreak/>
        <w:t>I - INFORMAÇÕES SOBRE A EMPRESA</w:t>
      </w:r>
      <w:bookmarkEnd w:id="1"/>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2" w:name="_Toc340425358"/>
      <w:r w:rsidRPr="00827E09">
        <w:rPr>
          <w:rFonts w:ascii="Times New Roman" w:hAnsi="Times New Roman"/>
          <w:sz w:val="24"/>
          <w:szCs w:val="24"/>
        </w:rPr>
        <w:t>Dados gerais</w:t>
      </w:r>
      <w:bookmarkEnd w:id="2"/>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3" w:name="_Toc340425360"/>
      <w:r w:rsidRPr="00102935">
        <w:rPr>
          <w:rFonts w:ascii="Times New Roman" w:hAnsi="Times New Roman"/>
          <w:sz w:val="24"/>
          <w:szCs w:val="24"/>
        </w:rPr>
        <w:t>Estrutura e Afiliações</w:t>
      </w:r>
      <w:bookmarkEnd w:id="3"/>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proofErr w:type="gramStart"/>
      <w:r w:rsidR="00D353D0">
        <w:rPr>
          <w:rFonts w:ascii="Times New Roman" w:hAnsi="Times New Roman"/>
          <w:bCs/>
          <w:sz w:val="24"/>
        </w:rPr>
        <w:t>à  SDCOM</w:t>
      </w:r>
      <w:proofErr w:type="gramEnd"/>
      <w:r w:rsidR="00AE3976" w:rsidRPr="00102935">
        <w:rPr>
          <w:rFonts w:ascii="Times New Roman" w:hAnsi="Times New Roman"/>
          <w:bCs/>
          <w:sz w:val="24"/>
        </w:rPr>
        <w:t xml:space="preserve">,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4.6 Apresentar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4"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4"/>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 xml:space="preserve">Produto objeto da </w:t>
      </w:r>
      <w:r w:rsidR="00A12672">
        <w:rPr>
          <w:rFonts w:ascii="Times New Roman" w:hAnsi="Times New Roman"/>
          <w:b/>
          <w:bCs/>
          <w:sz w:val="24"/>
          <w:szCs w:val="24"/>
        </w:rPr>
        <w:t>revisão</w:t>
      </w:r>
      <w:r w:rsidRPr="00FC31CA">
        <w:rPr>
          <w:rFonts w:ascii="Times New Roman" w:hAnsi="Times New Roman"/>
          <w:b/>
          <w:bCs/>
          <w:sz w:val="24"/>
          <w:szCs w:val="24"/>
        </w:rPr>
        <w:t>:</w:t>
      </w:r>
    </w:p>
    <w:p w:rsidR="00205634" w:rsidRPr="00FC31CA" w:rsidRDefault="00205634" w:rsidP="00205634">
      <w:pPr>
        <w:pStyle w:val="Recuodecorpodetexto"/>
        <w:ind w:left="-142" w:right="-199" w:firstLine="0"/>
        <w:jc w:val="left"/>
        <w:rPr>
          <w:rFonts w:ascii="Times New Roman" w:hAnsi="Times New Roman"/>
          <w:b/>
          <w:bCs/>
          <w:sz w:val="24"/>
          <w:szCs w:val="24"/>
        </w:rPr>
      </w:pPr>
    </w:p>
    <w:p w:rsidR="008F153C" w:rsidRPr="00037C6A" w:rsidRDefault="00205634" w:rsidP="008F153C">
      <w:pPr>
        <w:jc w:val="both"/>
        <w:rPr>
          <w:sz w:val="24"/>
          <w:szCs w:val="24"/>
        </w:rPr>
      </w:pPr>
      <w:r w:rsidRPr="00FC31CA">
        <w:rPr>
          <w:b/>
          <w:sz w:val="24"/>
          <w:szCs w:val="24"/>
        </w:rPr>
        <w:t>i)</w:t>
      </w:r>
      <w:r w:rsidRPr="00FC31CA">
        <w:rPr>
          <w:b/>
          <w:color w:val="FF0000"/>
          <w:sz w:val="24"/>
          <w:szCs w:val="24"/>
        </w:rPr>
        <w:tab/>
      </w:r>
      <w:r w:rsidR="008F153C">
        <w:rPr>
          <w:sz w:val="24"/>
          <w:szCs w:val="24"/>
        </w:rPr>
        <w:t>Espelhos não emoldurados</w:t>
      </w:r>
      <w:r w:rsidR="008F153C" w:rsidRPr="00BB3088">
        <w:rPr>
          <w:sz w:val="24"/>
          <w:szCs w:val="24"/>
        </w:rPr>
        <w:t>,</w:t>
      </w:r>
      <w:r w:rsidR="008F153C" w:rsidRPr="00BB3088">
        <w:rPr>
          <w:color w:val="FF0000"/>
          <w:sz w:val="24"/>
          <w:szCs w:val="24"/>
        </w:rPr>
        <w:t xml:space="preserve"> </w:t>
      </w:r>
      <w:r w:rsidR="008F153C" w:rsidRPr="00BB3088">
        <w:rPr>
          <w:sz w:val="24"/>
          <w:szCs w:val="24"/>
        </w:rPr>
        <w:t>comumente classificad</w:t>
      </w:r>
      <w:r w:rsidR="008F153C">
        <w:rPr>
          <w:sz w:val="24"/>
          <w:szCs w:val="24"/>
        </w:rPr>
        <w:t xml:space="preserve">o no subitem 7009.91.00 </w:t>
      </w:r>
      <w:r w:rsidR="008F153C" w:rsidRPr="00BB3088">
        <w:rPr>
          <w:sz w:val="24"/>
          <w:szCs w:val="24"/>
        </w:rPr>
        <w:t xml:space="preserve">da NCM, </w:t>
      </w:r>
      <w:r w:rsidR="008F153C">
        <w:rPr>
          <w:sz w:val="24"/>
          <w:szCs w:val="24"/>
        </w:rPr>
        <w:t xml:space="preserve">exportados da </w:t>
      </w:r>
      <w:r w:rsidR="008F153C" w:rsidRPr="00AF3E71">
        <w:rPr>
          <w:sz w:val="24"/>
          <w:szCs w:val="24"/>
        </w:rPr>
        <w:t>China</w:t>
      </w:r>
      <w:r w:rsidR="008F153C">
        <w:rPr>
          <w:sz w:val="24"/>
          <w:szCs w:val="24"/>
        </w:rPr>
        <w:t xml:space="preserve"> e México para o Brasil.</w:t>
      </w:r>
    </w:p>
    <w:p w:rsidR="008F153C" w:rsidRPr="00037C6A" w:rsidRDefault="008F153C" w:rsidP="008F153C">
      <w:pPr>
        <w:jc w:val="both"/>
        <w:rPr>
          <w:sz w:val="24"/>
          <w:szCs w:val="24"/>
        </w:rPr>
      </w:pPr>
    </w:p>
    <w:p w:rsidR="008F153C" w:rsidRDefault="008F153C" w:rsidP="008F153C">
      <w:pPr>
        <w:ind w:left="709"/>
        <w:jc w:val="both"/>
        <w:rPr>
          <w:bCs/>
          <w:sz w:val="24"/>
          <w:szCs w:val="24"/>
        </w:rPr>
      </w:pPr>
      <w:r>
        <w:rPr>
          <w:bCs/>
          <w:sz w:val="24"/>
          <w:szCs w:val="24"/>
        </w:rPr>
        <w:t>O produto consiste em espelho não emoldurado,</w:t>
      </w:r>
      <w:r w:rsidRPr="00253DF8">
        <w:t xml:space="preserve"> </w:t>
      </w:r>
      <w:r w:rsidRPr="00253DF8">
        <w:rPr>
          <w:bCs/>
          <w:sz w:val="24"/>
          <w:szCs w:val="24"/>
        </w:rPr>
        <w:t xml:space="preserve">em chapas ou em folhas, não processado, independentemente da espessura. Podem ser coloridos ou incolores e são fabricados com camada metálica de prata, alumínio ou cromo. Sua principal função é refletir luz e imagem. O espelho não emoldurado é um produto semimanufaturado, confeccionado normalmente a partir do vidro plano </w:t>
      </w:r>
      <w:proofErr w:type="spellStart"/>
      <w:r w:rsidRPr="00253DF8">
        <w:rPr>
          <w:bCs/>
          <w:sz w:val="24"/>
          <w:szCs w:val="24"/>
        </w:rPr>
        <w:t>flotado</w:t>
      </w:r>
      <w:proofErr w:type="spellEnd"/>
      <w:r w:rsidRPr="00253DF8">
        <w:rPr>
          <w:bCs/>
          <w:sz w:val="24"/>
          <w:szCs w:val="24"/>
        </w:rPr>
        <w:t xml:space="preserve"> incolor ou colorido, cortado industrialmente nas dimensões e finalidades para as quais se destina</w:t>
      </w:r>
      <w:r>
        <w:rPr>
          <w:bCs/>
          <w:sz w:val="24"/>
          <w:szCs w:val="24"/>
        </w:rPr>
        <w:t xml:space="preserve"> e </w:t>
      </w:r>
      <w:r w:rsidRPr="00253DF8">
        <w:rPr>
          <w:bCs/>
          <w:sz w:val="24"/>
          <w:szCs w:val="24"/>
        </w:rPr>
        <w:t>o simples corte do espelho não emoldurado não configura o seu processamento</w:t>
      </w:r>
      <w:r>
        <w:rPr>
          <w:bCs/>
          <w:sz w:val="24"/>
          <w:szCs w:val="24"/>
        </w:rPr>
        <w:t>.</w:t>
      </w:r>
    </w:p>
    <w:p w:rsidR="008F153C" w:rsidRDefault="008F153C" w:rsidP="008F153C">
      <w:pPr>
        <w:ind w:left="709"/>
        <w:jc w:val="both"/>
        <w:rPr>
          <w:bCs/>
          <w:sz w:val="24"/>
          <w:szCs w:val="24"/>
        </w:rPr>
      </w:pPr>
    </w:p>
    <w:p w:rsidR="008F153C" w:rsidRPr="00B04F67" w:rsidRDefault="008F153C" w:rsidP="008F153C">
      <w:pPr>
        <w:ind w:left="709"/>
        <w:jc w:val="both"/>
        <w:rPr>
          <w:bCs/>
          <w:sz w:val="24"/>
          <w:szCs w:val="24"/>
        </w:rPr>
      </w:pPr>
      <w:r w:rsidRPr="00B04F67">
        <w:rPr>
          <w:bCs/>
          <w:sz w:val="24"/>
          <w:szCs w:val="24"/>
        </w:rPr>
        <w:t>Estão excluídos do escopo do produto objeto da investigação (lista não exaustiva):</w:t>
      </w:r>
    </w:p>
    <w:p w:rsidR="008F153C"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 xml:space="preserve">espelhos </w:t>
      </w:r>
      <w:proofErr w:type="spellStart"/>
      <w:r w:rsidRPr="00253DF8">
        <w:rPr>
          <w:sz w:val="24"/>
          <w:szCs w:val="24"/>
        </w:rPr>
        <w:t>bisotados</w:t>
      </w:r>
      <w:proofErr w:type="spellEnd"/>
      <w:r w:rsidRPr="00253DF8">
        <w:rPr>
          <w:sz w:val="24"/>
          <w:szCs w:val="24"/>
        </w:rPr>
        <w:t xml:space="preserve"> (</w:t>
      </w:r>
      <w:proofErr w:type="spellStart"/>
      <w:r w:rsidRPr="00253DF8">
        <w:rPr>
          <w:sz w:val="24"/>
          <w:szCs w:val="24"/>
        </w:rPr>
        <w:t>bisotê</w:t>
      </w:r>
      <w:proofErr w:type="spellEnd"/>
      <w:r w:rsidRPr="00253DF8">
        <w:rPr>
          <w:sz w:val="24"/>
          <w:szCs w:val="24"/>
        </w:rPr>
        <w:t>)</w:t>
      </w:r>
      <w:r>
        <w:rPr>
          <w:sz w:val="24"/>
          <w:szCs w:val="24"/>
        </w:rPr>
        <w:t>;</w:t>
      </w:r>
      <w:r w:rsidRPr="00253DF8">
        <w:rPr>
          <w:sz w:val="24"/>
          <w:szCs w:val="24"/>
        </w:rPr>
        <w:t xml:space="preserve"> </w:t>
      </w:r>
    </w:p>
    <w:p w:rsidR="008F153C" w:rsidRDefault="008F153C" w:rsidP="008F153C">
      <w:pPr>
        <w:ind w:left="709"/>
        <w:jc w:val="both"/>
        <w:rPr>
          <w:sz w:val="24"/>
          <w:szCs w:val="24"/>
        </w:rPr>
      </w:pPr>
      <w:r w:rsidRPr="00B04F67">
        <w:rPr>
          <w:bCs/>
          <w:sz w:val="24"/>
          <w:szCs w:val="24"/>
        </w:rPr>
        <w:t>•</w:t>
      </w:r>
      <w:r>
        <w:rPr>
          <w:bCs/>
          <w:sz w:val="24"/>
          <w:szCs w:val="24"/>
        </w:rPr>
        <w:t xml:space="preserve"> </w:t>
      </w:r>
      <w:r>
        <w:rPr>
          <w:bCs/>
          <w:sz w:val="24"/>
          <w:szCs w:val="24"/>
        </w:rPr>
        <w:tab/>
      </w:r>
      <w:r w:rsidRPr="00D266DA">
        <w:rPr>
          <w:sz w:val="24"/>
          <w:szCs w:val="24"/>
        </w:rPr>
        <w:t xml:space="preserve">importações de </w:t>
      </w:r>
      <w:r w:rsidRPr="00253DF8">
        <w:rPr>
          <w:sz w:val="24"/>
          <w:szCs w:val="24"/>
        </w:rPr>
        <w:t>espelhos chanfrados</w:t>
      </w:r>
      <w:r>
        <w:rPr>
          <w:sz w:val="24"/>
          <w:szCs w:val="24"/>
        </w:rPr>
        <w:t>;</w:t>
      </w:r>
      <w:r w:rsidRPr="00253DF8">
        <w:rPr>
          <w:sz w:val="24"/>
          <w:szCs w:val="24"/>
        </w:rPr>
        <w:t xml:space="preserve"> </w:t>
      </w:r>
    </w:p>
    <w:p w:rsidR="008F153C" w:rsidRDefault="008F153C" w:rsidP="008F153C">
      <w:pPr>
        <w:ind w:left="709"/>
        <w:jc w:val="both"/>
        <w:rPr>
          <w:sz w:val="24"/>
          <w:szCs w:val="24"/>
        </w:rPr>
      </w:pPr>
      <w:r w:rsidRPr="00B04F67">
        <w:rPr>
          <w:bCs/>
          <w:sz w:val="24"/>
          <w:szCs w:val="24"/>
        </w:rPr>
        <w:t>•</w:t>
      </w:r>
      <w:r>
        <w:rPr>
          <w:bCs/>
          <w:sz w:val="24"/>
          <w:szCs w:val="24"/>
        </w:rPr>
        <w:tab/>
      </w:r>
      <w:r>
        <w:rPr>
          <w:sz w:val="24"/>
          <w:szCs w:val="24"/>
        </w:rPr>
        <w:t xml:space="preserve">importação de espelhos </w:t>
      </w:r>
      <w:r w:rsidRPr="00253DF8">
        <w:rPr>
          <w:sz w:val="24"/>
          <w:szCs w:val="24"/>
        </w:rPr>
        <w:t xml:space="preserve">redondos e ovalados </w:t>
      </w:r>
    </w:p>
    <w:p w:rsidR="008F153C"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 xml:space="preserve">espelhos processados e acabados, tais como </w:t>
      </w:r>
      <w:r>
        <w:rPr>
          <w:sz w:val="24"/>
          <w:szCs w:val="24"/>
        </w:rPr>
        <w:t xml:space="preserve">os de </w:t>
      </w:r>
      <w:r w:rsidRPr="00253DF8">
        <w:rPr>
          <w:sz w:val="24"/>
          <w:szCs w:val="24"/>
        </w:rPr>
        <w:t>embalagens cosméticas</w:t>
      </w:r>
      <w:r>
        <w:rPr>
          <w:sz w:val="24"/>
          <w:szCs w:val="24"/>
        </w:rPr>
        <w:t>;</w:t>
      </w:r>
    </w:p>
    <w:p w:rsidR="008F153C"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de bolso, de bolsa</w:t>
      </w:r>
      <w:r>
        <w:rPr>
          <w:sz w:val="24"/>
          <w:szCs w:val="24"/>
        </w:rPr>
        <w:t xml:space="preserve"> e</w:t>
      </w:r>
      <w:r w:rsidRPr="00253DF8">
        <w:rPr>
          <w:sz w:val="24"/>
          <w:szCs w:val="24"/>
        </w:rPr>
        <w:t xml:space="preserve"> de mão</w:t>
      </w:r>
      <w:r>
        <w:rPr>
          <w:sz w:val="24"/>
          <w:szCs w:val="24"/>
        </w:rPr>
        <w:t>;</w:t>
      </w:r>
    </w:p>
    <w:p w:rsidR="008F153C"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para telescópio</w:t>
      </w:r>
      <w:r>
        <w:rPr>
          <w:sz w:val="24"/>
          <w:szCs w:val="24"/>
        </w:rPr>
        <w:t>;</w:t>
      </w:r>
      <w:r w:rsidRPr="00253DF8">
        <w:rPr>
          <w:sz w:val="24"/>
          <w:szCs w:val="24"/>
        </w:rPr>
        <w:t xml:space="preserve"> </w:t>
      </w:r>
    </w:p>
    <w:p w:rsidR="008F153C"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côncavos e convexos</w:t>
      </w:r>
      <w:r>
        <w:rPr>
          <w:sz w:val="24"/>
          <w:szCs w:val="24"/>
        </w:rPr>
        <w:t>;</w:t>
      </w:r>
      <w:r w:rsidRPr="00253DF8">
        <w:rPr>
          <w:sz w:val="24"/>
          <w:szCs w:val="24"/>
        </w:rPr>
        <w:t xml:space="preserve"> </w:t>
      </w:r>
    </w:p>
    <w:p w:rsidR="008F153C" w:rsidRPr="00253DF8"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laminados de segurança</w:t>
      </w:r>
      <w:r>
        <w:rPr>
          <w:sz w:val="24"/>
          <w:szCs w:val="24"/>
        </w:rPr>
        <w:t>;</w:t>
      </w:r>
    </w:p>
    <w:p w:rsidR="008F153C" w:rsidRPr="00D266DA" w:rsidRDefault="008F153C" w:rsidP="008F153C">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retrovisores para veículos, emoldurados ou não, que se classificam no subitem 7009.10.00 da NCM</w:t>
      </w:r>
      <w:r w:rsidRPr="00D266DA">
        <w:rPr>
          <w:sz w:val="24"/>
          <w:szCs w:val="24"/>
        </w:rPr>
        <w:t>.</w:t>
      </w:r>
    </w:p>
    <w:p w:rsidR="008F153C" w:rsidRPr="00037C6A" w:rsidRDefault="008F153C" w:rsidP="008F153C">
      <w:pPr>
        <w:jc w:val="both"/>
        <w:rPr>
          <w:sz w:val="24"/>
          <w:szCs w:val="24"/>
        </w:rPr>
      </w:pPr>
    </w:p>
    <w:p w:rsidR="008F153C" w:rsidRPr="00037C6A" w:rsidRDefault="008F153C" w:rsidP="008F153C">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8F153C" w:rsidRPr="00037C6A" w:rsidRDefault="008F153C" w:rsidP="008F153C">
      <w:pPr>
        <w:tabs>
          <w:tab w:val="num" w:pos="0"/>
        </w:tabs>
        <w:jc w:val="both"/>
        <w:rPr>
          <w:sz w:val="24"/>
          <w:szCs w:val="24"/>
        </w:rPr>
      </w:pPr>
    </w:p>
    <w:p w:rsidR="008F153C" w:rsidRPr="00A83FD4" w:rsidRDefault="008F153C" w:rsidP="008F153C">
      <w:pPr>
        <w:ind w:left="1080"/>
        <w:jc w:val="both"/>
        <w:rPr>
          <w:color w:val="000000" w:themeColor="text1"/>
          <w:sz w:val="24"/>
          <w:szCs w:val="24"/>
        </w:rPr>
      </w:pPr>
      <w:r>
        <w:rPr>
          <w:color w:val="000000" w:themeColor="text1"/>
          <w:sz w:val="24"/>
          <w:szCs w:val="24"/>
        </w:rPr>
        <w:t>Abril</w:t>
      </w:r>
      <w:r w:rsidRPr="00A83FD4">
        <w:rPr>
          <w:color w:val="000000" w:themeColor="text1"/>
          <w:sz w:val="24"/>
          <w:szCs w:val="24"/>
        </w:rPr>
        <w:t xml:space="preserve"> de </w:t>
      </w:r>
      <w:r>
        <w:rPr>
          <w:color w:val="000000" w:themeColor="text1"/>
          <w:sz w:val="24"/>
          <w:szCs w:val="24"/>
        </w:rPr>
        <w:t xml:space="preserve">2019 </w:t>
      </w:r>
      <w:r w:rsidRPr="00A83FD4">
        <w:rPr>
          <w:color w:val="000000" w:themeColor="text1"/>
          <w:sz w:val="24"/>
          <w:szCs w:val="24"/>
        </w:rPr>
        <w:t xml:space="preserve">a </w:t>
      </w:r>
      <w:bookmarkStart w:id="5" w:name="_GoBack"/>
      <w:proofErr w:type="gramStart"/>
      <w:r>
        <w:rPr>
          <w:color w:val="000000" w:themeColor="text1"/>
          <w:sz w:val="24"/>
          <w:szCs w:val="24"/>
        </w:rPr>
        <w:t>Março</w:t>
      </w:r>
      <w:bookmarkEnd w:id="5"/>
      <w:proofErr w:type="gramEnd"/>
      <w:r>
        <w:rPr>
          <w:color w:val="000000" w:themeColor="text1"/>
          <w:sz w:val="24"/>
          <w:szCs w:val="24"/>
        </w:rPr>
        <w:t xml:space="preserve"> </w:t>
      </w:r>
      <w:r w:rsidRPr="00A83FD4">
        <w:rPr>
          <w:color w:val="000000" w:themeColor="text1"/>
          <w:sz w:val="24"/>
          <w:szCs w:val="24"/>
        </w:rPr>
        <w:t xml:space="preserve">de </w:t>
      </w:r>
      <w:r>
        <w:rPr>
          <w:color w:val="000000" w:themeColor="text1"/>
          <w:sz w:val="24"/>
          <w:szCs w:val="24"/>
        </w:rPr>
        <w:t>2020</w:t>
      </w:r>
    </w:p>
    <w:p w:rsidR="008F153C" w:rsidRPr="00037C6A" w:rsidRDefault="008F153C" w:rsidP="008F153C">
      <w:pPr>
        <w:ind w:left="1080"/>
        <w:jc w:val="both"/>
        <w:rPr>
          <w:b/>
          <w:sz w:val="24"/>
          <w:szCs w:val="24"/>
        </w:rPr>
      </w:pPr>
    </w:p>
    <w:p w:rsidR="008F153C" w:rsidRPr="00037C6A" w:rsidRDefault="008F153C" w:rsidP="008F153C">
      <w:pPr>
        <w:ind w:left="1080"/>
        <w:jc w:val="both"/>
        <w:rPr>
          <w:b/>
          <w:sz w:val="24"/>
          <w:szCs w:val="24"/>
        </w:rPr>
      </w:pPr>
    </w:p>
    <w:p w:rsidR="008F153C" w:rsidRPr="00037C6A" w:rsidRDefault="008F153C" w:rsidP="008F153C">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rsidR="008F153C" w:rsidRPr="00037C6A" w:rsidRDefault="008F153C" w:rsidP="008F153C">
      <w:pPr>
        <w:tabs>
          <w:tab w:val="num" w:pos="0"/>
        </w:tabs>
        <w:jc w:val="both"/>
        <w:rPr>
          <w:sz w:val="24"/>
          <w:szCs w:val="24"/>
        </w:rPr>
      </w:pPr>
    </w:p>
    <w:p w:rsidR="008F153C" w:rsidRPr="00AB2470" w:rsidRDefault="008F153C" w:rsidP="008F153C">
      <w:pPr>
        <w:jc w:val="both"/>
        <w:rPr>
          <w:sz w:val="24"/>
          <w:szCs w:val="24"/>
        </w:rPr>
      </w:pPr>
      <w:r>
        <w:rPr>
          <w:sz w:val="24"/>
          <w:szCs w:val="24"/>
        </w:rPr>
        <w:t>ABRIL</w:t>
      </w:r>
      <w:r w:rsidRPr="00AB2470">
        <w:rPr>
          <w:sz w:val="24"/>
          <w:szCs w:val="24"/>
        </w:rPr>
        <w:t xml:space="preserve"> de </w:t>
      </w:r>
      <w:r w:rsidRPr="00AB2470">
        <w:rPr>
          <w:b/>
          <w:sz w:val="24"/>
          <w:szCs w:val="24"/>
        </w:rPr>
        <w:t>201</w:t>
      </w:r>
      <w:r>
        <w:rPr>
          <w:b/>
          <w:sz w:val="24"/>
          <w:szCs w:val="24"/>
        </w:rPr>
        <w:t>5</w:t>
      </w:r>
      <w:r w:rsidRPr="00AB2470">
        <w:rPr>
          <w:sz w:val="24"/>
          <w:szCs w:val="24"/>
        </w:rPr>
        <w:t xml:space="preserve"> a </w:t>
      </w:r>
      <w:proofErr w:type="gramStart"/>
      <w:r>
        <w:rPr>
          <w:sz w:val="24"/>
          <w:szCs w:val="24"/>
        </w:rPr>
        <w:t>MARÇO</w:t>
      </w:r>
      <w:proofErr w:type="gramEnd"/>
      <w:r>
        <w:rPr>
          <w:sz w:val="24"/>
          <w:szCs w:val="24"/>
        </w:rPr>
        <w:t xml:space="preserve"> </w:t>
      </w:r>
      <w:r w:rsidRPr="00AB2470">
        <w:rPr>
          <w:sz w:val="24"/>
          <w:szCs w:val="24"/>
        </w:rPr>
        <w:t xml:space="preserve">de </w:t>
      </w:r>
      <w:r>
        <w:rPr>
          <w:b/>
          <w:sz w:val="24"/>
          <w:szCs w:val="24"/>
        </w:rPr>
        <w:t>2020</w:t>
      </w:r>
      <w:r w:rsidRPr="00AB2470">
        <w:rPr>
          <w:sz w:val="24"/>
          <w:szCs w:val="24"/>
        </w:rPr>
        <w:t>, dividido em cinco períodos, conforme especificado abaixo:</w:t>
      </w:r>
    </w:p>
    <w:p w:rsidR="008F153C" w:rsidRPr="00037C6A" w:rsidRDefault="008F153C" w:rsidP="008F153C">
      <w:pPr>
        <w:tabs>
          <w:tab w:val="num" w:pos="0"/>
        </w:tabs>
        <w:jc w:val="both"/>
        <w:rPr>
          <w:sz w:val="24"/>
          <w:szCs w:val="24"/>
        </w:rPr>
      </w:pPr>
    </w:p>
    <w:p w:rsidR="008F153C" w:rsidRPr="00AB2470" w:rsidRDefault="008F153C" w:rsidP="008F153C">
      <w:pPr>
        <w:ind w:left="1080"/>
        <w:jc w:val="both"/>
        <w:rPr>
          <w:sz w:val="24"/>
          <w:szCs w:val="24"/>
        </w:rPr>
      </w:pPr>
      <w:r w:rsidRPr="00AB2470">
        <w:rPr>
          <w:sz w:val="24"/>
          <w:szCs w:val="24"/>
        </w:rPr>
        <w:t xml:space="preserve">P1 – </w:t>
      </w:r>
      <w:proofErr w:type="gramStart"/>
      <w:r>
        <w:rPr>
          <w:sz w:val="24"/>
          <w:szCs w:val="24"/>
        </w:rPr>
        <w:t>ABRIL</w:t>
      </w:r>
      <w:proofErr w:type="gramEnd"/>
      <w:r w:rsidRPr="00AB2470">
        <w:rPr>
          <w:sz w:val="24"/>
          <w:szCs w:val="24"/>
        </w:rPr>
        <w:t xml:space="preserve"> de </w:t>
      </w:r>
      <w:r>
        <w:rPr>
          <w:sz w:val="24"/>
          <w:szCs w:val="24"/>
        </w:rPr>
        <w:t xml:space="preserve">2015 </w:t>
      </w:r>
      <w:r w:rsidRPr="00AB2470">
        <w:rPr>
          <w:sz w:val="24"/>
          <w:szCs w:val="24"/>
        </w:rPr>
        <w:t xml:space="preserve">a </w:t>
      </w:r>
      <w:r>
        <w:rPr>
          <w:sz w:val="24"/>
          <w:szCs w:val="24"/>
        </w:rPr>
        <w:t xml:space="preserve">MARÇO </w:t>
      </w:r>
      <w:r w:rsidRPr="00AB2470">
        <w:rPr>
          <w:sz w:val="24"/>
          <w:szCs w:val="24"/>
        </w:rPr>
        <w:t>de 201</w:t>
      </w:r>
      <w:r>
        <w:rPr>
          <w:sz w:val="24"/>
          <w:szCs w:val="24"/>
        </w:rPr>
        <w:t>6</w:t>
      </w:r>
    </w:p>
    <w:p w:rsidR="008F153C" w:rsidRPr="00037C6A" w:rsidRDefault="008F153C" w:rsidP="008F153C">
      <w:pPr>
        <w:ind w:left="1080"/>
        <w:jc w:val="both"/>
        <w:rPr>
          <w:sz w:val="24"/>
          <w:szCs w:val="24"/>
        </w:rPr>
      </w:pPr>
      <w:r w:rsidRPr="00037C6A">
        <w:rPr>
          <w:sz w:val="24"/>
          <w:szCs w:val="24"/>
        </w:rPr>
        <w:t>P2 –</w:t>
      </w:r>
      <w:r>
        <w:rPr>
          <w:sz w:val="24"/>
          <w:szCs w:val="24"/>
        </w:rPr>
        <w:t xml:space="preserve"> </w:t>
      </w:r>
      <w:proofErr w:type="gramStart"/>
      <w:r>
        <w:rPr>
          <w:sz w:val="24"/>
          <w:szCs w:val="24"/>
        </w:rPr>
        <w:t>ABRIL</w:t>
      </w:r>
      <w:proofErr w:type="gramEnd"/>
      <w:r w:rsidRPr="00AB2470">
        <w:rPr>
          <w:sz w:val="24"/>
          <w:szCs w:val="24"/>
        </w:rPr>
        <w:t xml:space="preserve"> de 201</w:t>
      </w:r>
      <w:r>
        <w:rPr>
          <w:sz w:val="24"/>
          <w:szCs w:val="24"/>
        </w:rPr>
        <w:t>6</w:t>
      </w:r>
      <w:r w:rsidRPr="00AB2470">
        <w:rPr>
          <w:sz w:val="24"/>
          <w:szCs w:val="24"/>
        </w:rPr>
        <w:t xml:space="preserve"> a </w:t>
      </w:r>
      <w:r>
        <w:rPr>
          <w:sz w:val="24"/>
          <w:szCs w:val="24"/>
        </w:rPr>
        <w:t xml:space="preserve">MARÇO </w:t>
      </w:r>
      <w:r w:rsidRPr="00AB2470">
        <w:rPr>
          <w:sz w:val="24"/>
          <w:szCs w:val="24"/>
        </w:rPr>
        <w:t>de 201</w:t>
      </w:r>
      <w:r>
        <w:rPr>
          <w:sz w:val="24"/>
          <w:szCs w:val="24"/>
        </w:rPr>
        <w:t>7</w:t>
      </w:r>
    </w:p>
    <w:p w:rsidR="008F153C" w:rsidRPr="00037C6A" w:rsidRDefault="008F153C" w:rsidP="008F153C">
      <w:pPr>
        <w:ind w:left="1080"/>
        <w:jc w:val="both"/>
        <w:rPr>
          <w:sz w:val="24"/>
          <w:szCs w:val="24"/>
        </w:rPr>
      </w:pPr>
      <w:r w:rsidRPr="00037C6A">
        <w:rPr>
          <w:sz w:val="24"/>
          <w:szCs w:val="24"/>
        </w:rPr>
        <w:t>P</w:t>
      </w:r>
      <w:r>
        <w:rPr>
          <w:sz w:val="24"/>
          <w:szCs w:val="24"/>
        </w:rPr>
        <w:t>3</w:t>
      </w:r>
      <w:r w:rsidRPr="00037C6A">
        <w:rPr>
          <w:sz w:val="24"/>
          <w:szCs w:val="24"/>
        </w:rPr>
        <w:t xml:space="preserve"> – </w:t>
      </w:r>
      <w:proofErr w:type="gramStart"/>
      <w:r>
        <w:rPr>
          <w:sz w:val="24"/>
          <w:szCs w:val="24"/>
        </w:rPr>
        <w:t>ABRIL</w:t>
      </w:r>
      <w:proofErr w:type="gramEnd"/>
      <w:r w:rsidRPr="00AB2470">
        <w:rPr>
          <w:sz w:val="24"/>
          <w:szCs w:val="24"/>
        </w:rPr>
        <w:t xml:space="preserve"> de 201</w:t>
      </w:r>
      <w:r>
        <w:rPr>
          <w:sz w:val="24"/>
          <w:szCs w:val="24"/>
        </w:rPr>
        <w:t>7</w:t>
      </w:r>
      <w:r w:rsidRPr="00AB2470">
        <w:rPr>
          <w:sz w:val="24"/>
          <w:szCs w:val="24"/>
        </w:rPr>
        <w:t xml:space="preserve"> a </w:t>
      </w:r>
      <w:r>
        <w:rPr>
          <w:sz w:val="24"/>
          <w:szCs w:val="24"/>
        </w:rPr>
        <w:t xml:space="preserve">MARÇO </w:t>
      </w:r>
      <w:r w:rsidRPr="00AB2470">
        <w:rPr>
          <w:sz w:val="24"/>
          <w:szCs w:val="24"/>
        </w:rPr>
        <w:t>de 201</w:t>
      </w:r>
      <w:r>
        <w:rPr>
          <w:sz w:val="24"/>
          <w:szCs w:val="24"/>
        </w:rPr>
        <w:t>8</w:t>
      </w:r>
    </w:p>
    <w:p w:rsidR="008F153C" w:rsidRDefault="008F153C" w:rsidP="008F153C">
      <w:pPr>
        <w:ind w:left="1080"/>
        <w:jc w:val="both"/>
        <w:rPr>
          <w:sz w:val="24"/>
          <w:szCs w:val="24"/>
        </w:rPr>
      </w:pPr>
      <w:r w:rsidRPr="00037C6A">
        <w:rPr>
          <w:sz w:val="24"/>
          <w:szCs w:val="24"/>
        </w:rPr>
        <w:t>P</w:t>
      </w:r>
      <w:r>
        <w:rPr>
          <w:sz w:val="24"/>
          <w:szCs w:val="24"/>
        </w:rPr>
        <w:t>4</w:t>
      </w:r>
      <w:r w:rsidRPr="00037C6A">
        <w:rPr>
          <w:sz w:val="24"/>
          <w:szCs w:val="24"/>
        </w:rPr>
        <w:t xml:space="preserve"> – </w:t>
      </w:r>
      <w:proofErr w:type="gramStart"/>
      <w:r>
        <w:rPr>
          <w:sz w:val="24"/>
          <w:szCs w:val="24"/>
        </w:rPr>
        <w:t>ABRIL</w:t>
      </w:r>
      <w:proofErr w:type="gramEnd"/>
      <w:r w:rsidRPr="00AB2470">
        <w:rPr>
          <w:sz w:val="24"/>
          <w:szCs w:val="24"/>
        </w:rPr>
        <w:t xml:space="preserve"> de 201</w:t>
      </w:r>
      <w:r>
        <w:rPr>
          <w:sz w:val="24"/>
          <w:szCs w:val="24"/>
        </w:rPr>
        <w:t>8</w:t>
      </w:r>
      <w:r w:rsidRPr="00AB2470">
        <w:rPr>
          <w:sz w:val="24"/>
          <w:szCs w:val="24"/>
        </w:rPr>
        <w:t xml:space="preserve"> a </w:t>
      </w:r>
      <w:r>
        <w:rPr>
          <w:sz w:val="24"/>
          <w:szCs w:val="24"/>
        </w:rPr>
        <w:t xml:space="preserve">MARÇO </w:t>
      </w:r>
      <w:r w:rsidRPr="00AB2470">
        <w:rPr>
          <w:sz w:val="24"/>
          <w:szCs w:val="24"/>
        </w:rPr>
        <w:t>de 201</w:t>
      </w:r>
      <w:r>
        <w:rPr>
          <w:sz w:val="24"/>
          <w:szCs w:val="24"/>
        </w:rPr>
        <w:t>9</w:t>
      </w:r>
    </w:p>
    <w:p w:rsidR="008F153C" w:rsidRPr="00037C6A" w:rsidRDefault="008F153C" w:rsidP="008F153C">
      <w:pPr>
        <w:ind w:left="1080"/>
        <w:jc w:val="both"/>
        <w:rPr>
          <w:sz w:val="24"/>
          <w:szCs w:val="24"/>
        </w:rPr>
      </w:pPr>
      <w:r w:rsidRPr="00037C6A">
        <w:rPr>
          <w:sz w:val="24"/>
          <w:szCs w:val="24"/>
        </w:rPr>
        <w:t>P</w:t>
      </w:r>
      <w:r>
        <w:rPr>
          <w:sz w:val="24"/>
          <w:szCs w:val="24"/>
        </w:rPr>
        <w:t>5</w:t>
      </w:r>
      <w:r w:rsidRPr="00037C6A">
        <w:rPr>
          <w:sz w:val="24"/>
          <w:szCs w:val="24"/>
        </w:rPr>
        <w:t xml:space="preserve"> – </w:t>
      </w:r>
      <w:proofErr w:type="gramStart"/>
      <w:r>
        <w:rPr>
          <w:sz w:val="24"/>
          <w:szCs w:val="24"/>
        </w:rPr>
        <w:t>ABRIL</w:t>
      </w:r>
      <w:proofErr w:type="gramEnd"/>
      <w:r w:rsidRPr="00AB2470">
        <w:rPr>
          <w:sz w:val="24"/>
          <w:szCs w:val="24"/>
        </w:rPr>
        <w:t xml:space="preserve"> de </w:t>
      </w:r>
      <w:r>
        <w:rPr>
          <w:sz w:val="24"/>
          <w:szCs w:val="24"/>
        </w:rPr>
        <w:t xml:space="preserve">2019 </w:t>
      </w:r>
      <w:r w:rsidRPr="00AB2470">
        <w:rPr>
          <w:sz w:val="24"/>
          <w:szCs w:val="24"/>
        </w:rPr>
        <w:t xml:space="preserve">a </w:t>
      </w:r>
      <w:r>
        <w:rPr>
          <w:sz w:val="24"/>
          <w:szCs w:val="24"/>
        </w:rPr>
        <w:t xml:space="preserve">MARÇO </w:t>
      </w:r>
      <w:r w:rsidRPr="00AB2470">
        <w:rPr>
          <w:sz w:val="24"/>
          <w:szCs w:val="24"/>
        </w:rPr>
        <w:t xml:space="preserve">de </w:t>
      </w:r>
      <w:r>
        <w:rPr>
          <w:sz w:val="24"/>
          <w:szCs w:val="24"/>
        </w:rPr>
        <w:t>2020</w:t>
      </w:r>
    </w:p>
    <w:p w:rsidR="00BF7C50" w:rsidRPr="00FC31CA" w:rsidRDefault="00BF7C50" w:rsidP="008F153C">
      <w:pPr>
        <w:jc w:val="both"/>
      </w:pPr>
    </w:p>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w:t>
      </w:r>
      <w:proofErr w:type="spellStart"/>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rsidR="00A00973" w:rsidRPr="00902829" w:rsidRDefault="00A00973" w:rsidP="00CD5CA6">
      <w:pPr>
        <w:pStyle w:val="PargrafodaLista"/>
        <w:ind w:left="0"/>
        <w:rPr>
          <w:sz w:val="24"/>
          <w:szCs w:val="24"/>
        </w:rPr>
      </w:pPr>
    </w:p>
    <w:p w:rsidR="00205634" w:rsidRPr="00C3657F" w:rsidRDefault="00205634" w:rsidP="00205634">
      <w:pPr>
        <w:numPr>
          <w:ilvl w:val="1"/>
          <w:numId w:val="14"/>
        </w:numPr>
        <w:tabs>
          <w:tab w:val="clear" w:pos="705"/>
          <w:tab w:val="left" w:pos="709"/>
        </w:tabs>
        <w:ind w:left="0" w:firstLine="0"/>
        <w:jc w:val="both"/>
        <w:rPr>
          <w:color w:val="000000" w:themeColor="text1"/>
          <w:sz w:val="24"/>
          <w:szCs w:val="24"/>
        </w:rPr>
      </w:pPr>
      <w:r w:rsidRPr="00C3657F">
        <w:rPr>
          <w:color w:val="000000" w:themeColor="text1"/>
          <w:sz w:val="24"/>
          <w:szCs w:val="24"/>
        </w:rPr>
        <w:t>Correlacionar os Códigos do Produto (CODPROD) da empresa com o Código de Identificação do Produto (CODIP), a partir das características elencadas abaixo:</w:t>
      </w:r>
    </w:p>
    <w:p w:rsidR="00C3657F" w:rsidRPr="00037C6A" w:rsidRDefault="00C3657F" w:rsidP="00C3657F">
      <w:pPr>
        <w:tabs>
          <w:tab w:val="left" w:pos="709"/>
        </w:tabs>
        <w:jc w:val="both"/>
        <w:rPr>
          <w:sz w:val="24"/>
          <w:szCs w:val="24"/>
        </w:rPr>
      </w:pPr>
    </w:p>
    <w:p w:rsidR="00C3657F" w:rsidRDefault="00C3657F" w:rsidP="00C3657F">
      <w:pPr>
        <w:pStyle w:val="PargrafodaLista"/>
        <w:widowControl/>
        <w:autoSpaceDE w:val="0"/>
        <w:autoSpaceDN w:val="0"/>
        <w:adjustRightInd w:val="0"/>
        <w:ind w:left="705"/>
        <w:rPr>
          <w:rFonts w:ascii="Calibri" w:eastAsiaTheme="minorHAnsi" w:hAnsi="Calibri" w:cs="Calibri"/>
          <w:snapToGrid/>
          <w:color w:val="000000"/>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20"/>
        <w:gridCol w:w="2521"/>
        <w:gridCol w:w="2521"/>
        <w:gridCol w:w="2521"/>
      </w:tblGrid>
      <w:tr w:rsidR="008F153C" w:rsidTr="005A70A9">
        <w:trPr>
          <w:trHeight w:val="735"/>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8F153C" w:rsidRDefault="008F153C" w:rsidP="005A70A9">
            <w:pPr>
              <w:widowControl/>
              <w:spacing w:line="276" w:lineRule="auto"/>
              <w:jc w:val="center"/>
              <w:rPr>
                <w:bCs/>
                <w:snapToGrid/>
                <w:sz w:val="24"/>
                <w:szCs w:val="24"/>
                <w:lang w:eastAsia="en-US"/>
              </w:rPr>
            </w:pPr>
            <w:r>
              <w:rPr>
                <w:bCs/>
                <w:sz w:val="24"/>
                <w:szCs w:val="24"/>
                <w:lang w:eastAsia="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8F153C" w:rsidRDefault="008F153C" w:rsidP="005A70A9">
            <w:pPr>
              <w:widowControl/>
              <w:spacing w:line="276" w:lineRule="auto"/>
              <w:jc w:val="center"/>
              <w:rPr>
                <w:bCs/>
                <w:sz w:val="24"/>
                <w:szCs w:val="24"/>
                <w:lang w:eastAsia="en-US"/>
              </w:rPr>
            </w:pPr>
            <w:r>
              <w:rPr>
                <w:bCs/>
                <w:sz w:val="24"/>
                <w:szCs w:val="24"/>
                <w:lang w:eastAsia="en-US"/>
              </w:rPr>
              <w:t xml:space="preserve">Cor </w:t>
            </w:r>
          </w:p>
          <w:p w:rsidR="008F153C" w:rsidRDefault="008F153C" w:rsidP="005A70A9">
            <w:pPr>
              <w:widowControl/>
              <w:spacing w:line="276" w:lineRule="auto"/>
              <w:jc w:val="center"/>
              <w:rPr>
                <w:bCs/>
                <w:sz w:val="24"/>
                <w:szCs w:val="24"/>
                <w:lang w:eastAsia="en-US"/>
              </w:rPr>
            </w:pPr>
            <w:r>
              <w:rPr>
                <w:bCs/>
                <w:sz w:val="24"/>
                <w:szCs w:val="24"/>
                <w:lang w:eastAsia="en-US"/>
              </w:rPr>
              <w:t>(códigos 1 e 2)</w:t>
            </w:r>
            <w:r>
              <w:rPr>
                <w:bCs/>
                <w:sz w:val="24"/>
                <w:szCs w:val="24"/>
                <w:vertAlign w:val="superscript"/>
                <w:lang w:eastAsia="en-US"/>
              </w:rPr>
              <w:t>1</w:t>
            </w:r>
          </w:p>
        </w:tc>
        <w:tc>
          <w:tcPr>
            <w:tcW w:w="1250" w:type="pct"/>
            <w:tcBorders>
              <w:top w:val="single" w:sz="4" w:space="0" w:color="auto"/>
              <w:left w:val="single" w:sz="4" w:space="0" w:color="auto"/>
              <w:bottom w:val="single" w:sz="4" w:space="0" w:color="auto"/>
              <w:right w:val="single" w:sz="4" w:space="0" w:color="auto"/>
            </w:tcBorders>
            <w:vAlign w:val="center"/>
            <w:hideMark/>
          </w:tcPr>
          <w:p w:rsidR="008F153C" w:rsidRDefault="008F153C" w:rsidP="005A70A9">
            <w:pPr>
              <w:widowControl/>
              <w:spacing w:line="276" w:lineRule="auto"/>
              <w:jc w:val="center"/>
              <w:rPr>
                <w:bCs/>
                <w:sz w:val="24"/>
                <w:szCs w:val="24"/>
                <w:lang w:eastAsia="en-US"/>
              </w:rPr>
            </w:pPr>
            <w:r>
              <w:rPr>
                <w:bCs/>
                <w:sz w:val="24"/>
                <w:szCs w:val="24"/>
                <w:lang w:eastAsia="en-US"/>
              </w:rPr>
              <w:t>Espessura</w:t>
            </w:r>
          </w:p>
          <w:p w:rsidR="008F153C" w:rsidRDefault="008F153C" w:rsidP="005A70A9">
            <w:pPr>
              <w:widowControl/>
              <w:spacing w:line="276" w:lineRule="auto"/>
              <w:jc w:val="center"/>
              <w:rPr>
                <w:bCs/>
                <w:sz w:val="24"/>
                <w:szCs w:val="24"/>
                <w:lang w:eastAsia="en-US"/>
              </w:rPr>
            </w:pPr>
            <w:r>
              <w:rPr>
                <w:bCs/>
                <w:sz w:val="24"/>
                <w:szCs w:val="24"/>
                <w:lang w:eastAsia="en-US"/>
              </w:rPr>
              <w:t>(códigos 1 a 7)</w:t>
            </w:r>
            <w:r>
              <w:rPr>
                <w:bCs/>
                <w:sz w:val="24"/>
                <w:szCs w:val="24"/>
                <w:vertAlign w:val="superscript"/>
                <w:lang w:eastAsia="en-US"/>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8F153C" w:rsidRDefault="008F153C" w:rsidP="005A70A9">
            <w:pPr>
              <w:widowControl/>
              <w:spacing w:line="276" w:lineRule="auto"/>
              <w:jc w:val="center"/>
              <w:rPr>
                <w:bCs/>
                <w:sz w:val="24"/>
                <w:szCs w:val="24"/>
                <w:lang w:eastAsia="en-US"/>
              </w:rPr>
            </w:pPr>
            <w:r>
              <w:rPr>
                <w:bCs/>
                <w:sz w:val="24"/>
                <w:szCs w:val="24"/>
                <w:lang w:eastAsia="en-US"/>
              </w:rPr>
              <w:t>CODIP</w:t>
            </w:r>
            <w:r>
              <w:rPr>
                <w:bCs/>
                <w:sz w:val="24"/>
                <w:szCs w:val="24"/>
                <w:vertAlign w:val="superscript"/>
                <w:lang w:eastAsia="en-US"/>
              </w:rPr>
              <w:t>3</w:t>
            </w:r>
          </w:p>
        </w:tc>
      </w:tr>
      <w:tr w:rsidR="008F153C" w:rsidTr="005A70A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r>
      <w:tr w:rsidR="008F153C" w:rsidTr="005A70A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8F153C" w:rsidRDefault="008F153C" w:rsidP="005A70A9">
            <w:pPr>
              <w:widowControl/>
              <w:spacing w:line="276" w:lineRule="auto"/>
              <w:rPr>
                <w:sz w:val="24"/>
                <w:szCs w:val="24"/>
                <w:lang w:eastAsia="en-US"/>
              </w:rPr>
            </w:pPr>
            <w:r>
              <w:rPr>
                <w:sz w:val="24"/>
                <w:szCs w:val="24"/>
                <w:lang w:eastAsia="en-US"/>
              </w:rPr>
              <w:t> </w:t>
            </w:r>
          </w:p>
        </w:tc>
      </w:tr>
    </w:tbl>
    <w:p w:rsidR="008F153C" w:rsidRDefault="008F153C" w:rsidP="008F153C">
      <w:pPr>
        <w:jc w:val="both"/>
      </w:pPr>
      <w:r>
        <w:rPr>
          <w:vertAlign w:val="superscript"/>
        </w:rPr>
        <w:t xml:space="preserve">1 </w:t>
      </w:r>
      <w:r>
        <w:t>A cor do espelho deve ser informada conforme a seguir: 1 = incolor; 2 = colorido.</w:t>
      </w:r>
    </w:p>
    <w:p w:rsidR="008F153C" w:rsidRPr="004D4D09" w:rsidRDefault="008F153C" w:rsidP="008F153C">
      <w:pPr>
        <w:jc w:val="both"/>
      </w:pPr>
      <w:r>
        <w:rPr>
          <w:vertAlign w:val="superscript"/>
        </w:rPr>
        <w:t xml:space="preserve">2 </w:t>
      </w:r>
      <w:r>
        <w:t>A espessura do espelho deve ser informada conforme a seguir: 1 = até 1,99mm; 2 = 2,00mm a 2,99mm; 3 = 3,00mm a 3,99mm; 4 = 4,00mm a 4,99mm; 5 = 5,00mm a 5,99mm; 6 = 6,00mm a 7,99mm; e 7 = acima de 8,00mm.</w:t>
      </w:r>
    </w:p>
    <w:p w:rsidR="008F153C" w:rsidRDefault="008F153C" w:rsidP="008F153C">
      <w:pPr>
        <w:jc w:val="both"/>
      </w:pPr>
      <w:r>
        <w:rPr>
          <w:vertAlign w:val="superscript"/>
        </w:rPr>
        <w:t xml:space="preserve">3 </w:t>
      </w:r>
      <w:r>
        <w:t>O CODIP fornecido é representado por uma combinação alfanumérica que reflete as características do produto. A combinação alfanumérica reflete, em ordem decrescente, a importância de cada característica do produto, começando pela mais relevante.</w:t>
      </w:r>
    </w:p>
    <w:p w:rsidR="005E2C7D" w:rsidRDefault="005E2C7D" w:rsidP="00CD5CA6">
      <w:pPr>
        <w:pStyle w:val="PargrafodaLista"/>
        <w:ind w:left="0"/>
        <w:rPr>
          <w:iCs/>
          <w:color w:val="FF0000"/>
          <w:sz w:val="24"/>
          <w:szCs w:val="24"/>
        </w:rPr>
      </w:pPr>
    </w:p>
    <w:p w:rsidR="005E2C7D" w:rsidRPr="00902829" w:rsidRDefault="005E2C7D"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 xml:space="preserve">(produção contínua ou </w:t>
      </w:r>
      <w:r w:rsidRPr="00FC31CA">
        <w:rPr>
          <w:sz w:val="24"/>
          <w:szCs w:val="24"/>
        </w:rPr>
        <w:lastRenderedPageBreak/>
        <w:t>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proofErr w:type="spellStart"/>
      <w:r w:rsidRPr="00674F22">
        <w:rPr>
          <w:sz w:val="24"/>
          <w:szCs w:val="24"/>
        </w:rPr>
        <w:t>substitutibilidade</w:t>
      </w:r>
      <w:proofErr w:type="spellEnd"/>
      <w:r w:rsidRPr="00674F22">
        <w:rPr>
          <w:sz w:val="24"/>
          <w:szCs w:val="24"/>
        </w:rPr>
        <w:t xml:space="preserv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rsidR="00367671" w:rsidRPr="00337C3B" w:rsidRDefault="00367671" w:rsidP="00367671">
      <w:pPr>
        <w:jc w:val="both"/>
        <w:rPr>
          <w:sz w:val="24"/>
        </w:rPr>
      </w:pPr>
    </w:p>
    <w:p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rsidR="00547855" w:rsidRPr="00337C3B" w:rsidRDefault="00547855" w:rsidP="005A77DA">
      <w:pPr>
        <w:tabs>
          <w:tab w:val="num" w:pos="0"/>
        </w:tabs>
        <w:jc w:val="both"/>
        <w:rPr>
          <w:sz w:val="24"/>
        </w:rPr>
      </w:pPr>
    </w:p>
    <w:p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rsidR="00EE536C" w:rsidRPr="00337C3B" w:rsidRDefault="00EE536C" w:rsidP="00EE536C">
      <w:pPr>
        <w:jc w:val="both"/>
        <w:rPr>
          <w:sz w:val="24"/>
        </w:rPr>
      </w:pPr>
    </w:p>
    <w:p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rsidR="00B31D8E" w:rsidRPr="00337C3B" w:rsidRDefault="00B31D8E" w:rsidP="005A77DA">
      <w:pPr>
        <w:tabs>
          <w:tab w:val="num" w:pos="0"/>
        </w:tabs>
        <w:jc w:val="both"/>
        <w:rPr>
          <w:sz w:val="24"/>
        </w:rPr>
      </w:pPr>
    </w:p>
    <w:p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rsidR="00460823" w:rsidRPr="00337C3B" w:rsidRDefault="00460823" w:rsidP="005A77DA">
      <w:pPr>
        <w:tabs>
          <w:tab w:val="num" w:pos="0"/>
        </w:tabs>
        <w:jc w:val="both"/>
        <w:rPr>
          <w:sz w:val="24"/>
        </w:rPr>
      </w:pPr>
    </w:p>
    <w:p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rsidR="00547855" w:rsidRPr="00337C3B" w:rsidRDefault="00547855" w:rsidP="00367671">
      <w:pPr>
        <w:jc w:val="both"/>
        <w:rPr>
          <w:sz w:val="24"/>
        </w:rPr>
      </w:pPr>
    </w:p>
    <w:p w:rsidR="005A77DA" w:rsidRPr="00337C3B" w:rsidRDefault="005A77DA" w:rsidP="00367671">
      <w:pPr>
        <w:jc w:val="both"/>
        <w:rPr>
          <w:sz w:val="24"/>
        </w:rPr>
      </w:pPr>
    </w:p>
    <w:p w:rsidR="00460823" w:rsidRPr="00745183" w:rsidRDefault="00460823" w:rsidP="005A77DA">
      <w:pPr>
        <w:pStyle w:val="Ttulo6"/>
        <w:rPr>
          <w:b w:val="0"/>
        </w:rPr>
      </w:pPr>
      <w:r w:rsidRPr="00745183">
        <w:rPr>
          <w:b w:val="0"/>
        </w:rPr>
        <w:t>3.</w:t>
      </w:r>
      <w:r w:rsidRPr="00745183">
        <w:rPr>
          <w:b w:val="0"/>
        </w:rPr>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F7375B" w:rsidRDefault="00E11416" w:rsidP="00A904F6">
      <w:pPr>
        <w:pStyle w:val="Ttulo6"/>
        <w:rPr>
          <w:b w:val="0"/>
        </w:rPr>
      </w:pPr>
      <w:r w:rsidRPr="00F7375B">
        <w:rPr>
          <w:b w:val="0"/>
        </w:rPr>
        <w:t>6.</w:t>
      </w:r>
      <w:r w:rsidR="00367671" w:rsidRPr="00F7375B">
        <w:rPr>
          <w:b w:val="0"/>
        </w:rPr>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8F153C">
        <w:rPr>
          <w:b/>
          <w:sz w:val="24"/>
          <w:szCs w:val="24"/>
        </w:rPr>
        <w:t>abril</w:t>
      </w:r>
      <w:r w:rsidR="00C3657F" w:rsidRPr="00C3657F">
        <w:rPr>
          <w:b/>
          <w:sz w:val="24"/>
          <w:szCs w:val="24"/>
        </w:rPr>
        <w:t xml:space="preserve"> de </w:t>
      </w:r>
      <w:r w:rsidR="008F153C">
        <w:rPr>
          <w:b/>
          <w:sz w:val="24"/>
          <w:szCs w:val="24"/>
        </w:rPr>
        <w:t xml:space="preserve">2015 </w:t>
      </w:r>
      <w:r w:rsidR="00C3657F" w:rsidRPr="00C3657F">
        <w:rPr>
          <w:b/>
          <w:sz w:val="24"/>
          <w:szCs w:val="24"/>
        </w:rPr>
        <w:t xml:space="preserve">a </w:t>
      </w:r>
      <w:r w:rsidR="008F153C">
        <w:rPr>
          <w:b/>
          <w:sz w:val="24"/>
          <w:szCs w:val="24"/>
        </w:rPr>
        <w:t xml:space="preserve">março </w:t>
      </w:r>
      <w:r w:rsidR="00C3657F" w:rsidRPr="00C3657F">
        <w:rPr>
          <w:b/>
          <w:sz w:val="24"/>
          <w:szCs w:val="24"/>
        </w:rPr>
        <w:t xml:space="preserve">de </w:t>
      </w:r>
      <w:r w:rsidR="008F153C">
        <w:rPr>
          <w:b/>
          <w:sz w:val="24"/>
          <w:szCs w:val="24"/>
        </w:rPr>
        <w:t>2020</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8F153C">
        <w:rPr>
          <w:b/>
          <w:sz w:val="24"/>
          <w:szCs w:val="24"/>
        </w:rPr>
        <w:t>abril</w:t>
      </w:r>
      <w:r w:rsidR="008F153C" w:rsidRPr="00C3657F">
        <w:rPr>
          <w:b/>
          <w:sz w:val="24"/>
          <w:szCs w:val="24"/>
        </w:rPr>
        <w:t xml:space="preserve"> de </w:t>
      </w:r>
      <w:r w:rsidR="008F153C">
        <w:rPr>
          <w:b/>
          <w:sz w:val="24"/>
          <w:szCs w:val="24"/>
        </w:rPr>
        <w:t xml:space="preserve">2015 </w:t>
      </w:r>
      <w:r w:rsidR="008F153C" w:rsidRPr="00C3657F">
        <w:rPr>
          <w:b/>
          <w:sz w:val="24"/>
          <w:szCs w:val="24"/>
        </w:rPr>
        <w:t xml:space="preserve">a </w:t>
      </w:r>
      <w:r w:rsidR="008F153C">
        <w:rPr>
          <w:b/>
          <w:sz w:val="24"/>
          <w:szCs w:val="24"/>
        </w:rPr>
        <w:t xml:space="preserve">março </w:t>
      </w:r>
      <w:r w:rsidR="008F153C" w:rsidRPr="00C3657F">
        <w:rPr>
          <w:b/>
          <w:sz w:val="24"/>
          <w:szCs w:val="24"/>
        </w:rPr>
        <w:t xml:space="preserve">de </w:t>
      </w:r>
      <w:r w:rsidR="008F153C">
        <w:rPr>
          <w:b/>
          <w:sz w:val="24"/>
          <w:szCs w:val="24"/>
        </w:rPr>
        <w:t>2020</w:t>
      </w:r>
      <w:r w:rsidR="00C3657F">
        <w:rPr>
          <w:b/>
          <w:sz w:val="24"/>
          <w:szCs w:val="24"/>
        </w:rPr>
        <w:t xml:space="preserve"> </w:t>
      </w:r>
      <w:r w:rsidRPr="00F7375B">
        <w:rPr>
          <w:sz w:val="24"/>
          <w:szCs w:val="24"/>
        </w:rPr>
        <w:t>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rsidR="00D80080" w:rsidRPr="00A82725" w:rsidRDefault="00D80080" w:rsidP="00C61F5F">
      <w:pPr>
        <w:jc w:val="both"/>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proofErr w:type="gramStart"/>
      <w:r w:rsidRPr="00F7375B">
        <w:rPr>
          <w:sz w:val="24"/>
        </w:rPr>
        <w:tab/>
        <w:t>In</w:t>
      </w:r>
      <w:r w:rsidRPr="00F7375B">
        <w:rPr>
          <w:sz w:val="24"/>
          <w:szCs w:val="24"/>
        </w:rPr>
        <w:t>formar</w:t>
      </w:r>
      <w:proofErr w:type="gramEnd"/>
      <w:r w:rsidRPr="00F7375B">
        <w:rPr>
          <w:sz w:val="24"/>
          <w:szCs w:val="24"/>
        </w:rPr>
        <w:t xml:space="preserve"> se, durante o período de</w:t>
      </w:r>
      <w:r w:rsidR="00C3657F">
        <w:rPr>
          <w:sz w:val="24"/>
          <w:szCs w:val="24"/>
        </w:rPr>
        <w:t xml:space="preserve"> </w:t>
      </w:r>
      <w:r w:rsidR="008F153C">
        <w:rPr>
          <w:b/>
          <w:sz w:val="24"/>
          <w:szCs w:val="24"/>
        </w:rPr>
        <w:t>abril</w:t>
      </w:r>
      <w:r w:rsidR="008F153C" w:rsidRPr="00C3657F">
        <w:rPr>
          <w:b/>
          <w:sz w:val="24"/>
          <w:szCs w:val="24"/>
        </w:rPr>
        <w:t xml:space="preserve"> de </w:t>
      </w:r>
      <w:r w:rsidR="008F153C">
        <w:rPr>
          <w:b/>
          <w:sz w:val="24"/>
          <w:szCs w:val="24"/>
        </w:rPr>
        <w:t xml:space="preserve">2015 </w:t>
      </w:r>
      <w:r w:rsidR="008F153C" w:rsidRPr="00C3657F">
        <w:rPr>
          <w:b/>
          <w:sz w:val="24"/>
          <w:szCs w:val="24"/>
        </w:rPr>
        <w:t xml:space="preserve">a </w:t>
      </w:r>
      <w:r w:rsidR="008F153C">
        <w:rPr>
          <w:b/>
          <w:sz w:val="24"/>
          <w:szCs w:val="24"/>
        </w:rPr>
        <w:t xml:space="preserve">março </w:t>
      </w:r>
      <w:r w:rsidR="008F153C" w:rsidRPr="00C3657F">
        <w:rPr>
          <w:b/>
          <w:sz w:val="24"/>
          <w:szCs w:val="24"/>
        </w:rPr>
        <w:t xml:space="preserve">de </w:t>
      </w:r>
      <w:r w:rsidR="008F153C">
        <w:rPr>
          <w:b/>
          <w:sz w:val="24"/>
          <w:szCs w:val="24"/>
        </w:rPr>
        <w:t>2020</w:t>
      </w:r>
      <w:r w:rsidR="00C3657F">
        <w:rPr>
          <w:b/>
          <w:sz w:val="24"/>
          <w:szCs w:val="24"/>
        </w:rPr>
        <w:t xml:space="preserve">, </w:t>
      </w:r>
      <w:r w:rsidRPr="00F7375B">
        <w:rPr>
          <w:sz w:val="24"/>
          <w:szCs w:val="24"/>
        </w:rPr>
        <w:t>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A01D5C" w:rsidRDefault="00244A00" w:rsidP="00244A00">
      <w:pPr>
        <w:ind w:left="-142" w:right="-199"/>
        <w:jc w:val="both"/>
        <w:rPr>
          <w:sz w:val="24"/>
          <w:szCs w:val="24"/>
        </w:rPr>
      </w:pPr>
      <w:proofErr w:type="gramStart"/>
      <w:r w:rsidRPr="00A01D5C">
        <w:rPr>
          <w:sz w:val="24"/>
          <w:szCs w:val="24"/>
        </w:rPr>
        <w:t>1.</w:t>
      </w:r>
      <w:r w:rsidRPr="00A01D5C">
        <w:rPr>
          <w:sz w:val="24"/>
          <w:szCs w:val="24"/>
        </w:rPr>
        <w:tab/>
      </w:r>
      <w:r w:rsidR="00A01D5C">
        <w:rPr>
          <w:sz w:val="24"/>
          <w:szCs w:val="24"/>
        </w:rPr>
        <w:t>Em</w:t>
      </w:r>
      <w:proofErr w:type="gramEnd"/>
      <w:r w:rsidR="00A01D5C">
        <w:rPr>
          <w:sz w:val="24"/>
          <w:szCs w:val="24"/>
        </w:rPr>
        <w:t xml:space="preserve"> sendo o caso, d</w:t>
      </w:r>
      <w:r w:rsidRPr="00A01D5C">
        <w:rPr>
          <w:sz w:val="24"/>
          <w:szCs w:val="24"/>
        </w:rPr>
        <w:t>escrever, detalhadamente, o</w:t>
      </w:r>
      <w:r w:rsidR="00C3657F">
        <w:rPr>
          <w:sz w:val="24"/>
          <w:szCs w:val="24"/>
        </w:rPr>
        <w:t xml:space="preserve"> </w:t>
      </w:r>
      <w:r w:rsidR="00360CAE">
        <w:rPr>
          <w:sz w:val="24"/>
          <w:szCs w:val="24"/>
        </w:rPr>
        <w:t xml:space="preserve">Espelho Não Emoldurado </w:t>
      </w:r>
      <w:r w:rsidRPr="00A01D5C">
        <w:rPr>
          <w:sz w:val="24"/>
          <w:szCs w:val="24"/>
        </w:rPr>
        <w:t>importado</w:t>
      </w:r>
      <w:r w:rsidR="00C3657F">
        <w:rPr>
          <w:sz w:val="24"/>
          <w:szCs w:val="24"/>
        </w:rPr>
        <w:t xml:space="preserve"> </w:t>
      </w:r>
      <w:r w:rsidRPr="00A01D5C">
        <w:rPr>
          <w:sz w:val="24"/>
          <w:szCs w:val="24"/>
        </w:rPr>
        <w:t>por essa empresa. Acrescentar informações e especificações relevantes que permitam caracterizar tecnicamente este produto, tais como nome/código comercial do fabricante, tipo, mercado a que se destina, dentre outros. Se disponível, anexar catálogo de</w:t>
      </w:r>
      <w:r w:rsidR="00C3657F">
        <w:rPr>
          <w:sz w:val="24"/>
          <w:szCs w:val="24"/>
        </w:rPr>
        <w:t xml:space="preserve"> </w:t>
      </w:r>
      <w:r w:rsidR="00360CAE">
        <w:rPr>
          <w:sz w:val="24"/>
          <w:szCs w:val="24"/>
        </w:rPr>
        <w:t>Espelho Não Emoldurado</w:t>
      </w:r>
      <w:r w:rsidR="00C3657F">
        <w:rPr>
          <w:sz w:val="24"/>
          <w:szCs w:val="24"/>
        </w:rPr>
        <w: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r w:rsidRPr="00A01D5C">
        <w:rPr>
          <w:sz w:val="24"/>
          <w:szCs w:val="24"/>
        </w:rPr>
        <w:t>5.</w:t>
      </w:r>
      <w:r w:rsidRPr="00A01D5C">
        <w:rPr>
          <w:sz w:val="24"/>
          <w:szCs w:val="24"/>
        </w:rPr>
        <w:tab/>
        <w:t>Esclarecer se essa empresa submete o</w:t>
      </w:r>
      <w:r w:rsidR="00C3657F">
        <w:rPr>
          <w:sz w:val="24"/>
          <w:szCs w:val="24"/>
        </w:rPr>
        <w:t xml:space="preserve"> </w:t>
      </w:r>
      <w:r w:rsidR="00360CAE">
        <w:rPr>
          <w:sz w:val="24"/>
          <w:szCs w:val="24"/>
        </w:rPr>
        <w:t xml:space="preserve">Espelho Não Emoldurado </w:t>
      </w:r>
      <w:r w:rsidRPr="00A01D5C">
        <w:rPr>
          <w:sz w:val="24"/>
          <w:szCs w:val="24"/>
        </w:rPr>
        <w:t xml:space="preserve">importado a algum processo de transformação e/ou embalagem, descrevendo sucintamente tal processo, ou se </w:t>
      </w:r>
      <w:proofErr w:type="gramStart"/>
      <w:r w:rsidRPr="00A01D5C">
        <w:rPr>
          <w:sz w:val="24"/>
          <w:szCs w:val="24"/>
        </w:rPr>
        <w:t>o(</w:t>
      </w:r>
      <w:proofErr w:type="gramEnd"/>
      <w:r w:rsidRPr="00A01D5C">
        <w:rPr>
          <w:sz w:val="24"/>
          <w:szCs w:val="24"/>
        </w:rPr>
        <w:t xml:space="preserve">a) utiliza e/ou revende na forma em que foi importado(a). Informar, ainda, se o </w:t>
      </w:r>
      <w:r w:rsidR="00360CAE">
        <w:rPr>
          <w:sz w:val="24"/>
          <w:szCs w:val="24"/>
        </w:rPr>
        <w:t xml:space="preserve">Espelho Não Emoldurado </w:t>
      </w:r>
      <w:r w:rsidRPr="00A01D5C">
        <w:rPr>
          <w:sz w:val="24"/>
          <w:szCs w:val="24"/>
        </w:rPr>
        <w:t>importado é posteriormente exportado ou vendido no mercado interno.</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proofErr w:type="gramStart"/>
      <w:r w:rsidRPr="00C3657F">
        <w:rPr>
          <w:color w:val="000000" w:themeColor="text1"/>
          <w:sz w:val="24"/>
          <w:szCs w:val="24"/>
        </w:rPr>
        <w:t>6.</w:t>
      </w:r>
      <w:r w:rsidRPr="00C3657F">
        <w:rPr>
          <w:color w:val="000000" w:themeColor="text1"/>
          <w:sz w:val="24"/>
          <w:szCs w:val="24"/>
        </w:rPr>
        <w:tab/>
        <w:t>Caso</w:t>
      </w:r>
      <w:proofErr w:type="gramEnd"/>
      <w:r w:rsidRPr="00C3657F">
        <w:rPr>
          <w:color w:val="000000" w:themeColor="text1"/>
          <w:sz w:val="24"/>
          <w:szCs w:val="24"/>
        </w:rPr>
        <w:t xml:space="preserve"> essa empresa revenda </w:t>
      </w:r>
      <w:r w:rsidR="00C3657F" w:rsidRPr="00C3657F">
        <w:rPr>
          <w:color w:val="000000" w:themeColor="text1"/>
          <w:sz w:val="24"/>
          <w:szCs w:val="24"/>
        </w:rPr>
        <w:t xml:space="preserve">o </w:t>
      </w:r>
      <w:r w:rsidR="00360CAE">
        <w:rPr>
          <w:sz w:val="24"/>
          <w:szCs w:val="24"/>
        </w:rPr>
        <w:t xml:space="preserve">Espelho Não Emoldurado </w:t>
      </w:r>
      <w:r w:rsidRPr="00C3657F">
        <w:rPr>
          <w:color w:val="000000" w:themeColor="text1"/>
          <w:sz w:val="24"/>
          <w:szCs w:val="24"/>
        </w:rPr>
        <w:t>importado</w:t>
      </w:r>
      <w:r w:rsidRPr="00A01D5C">
        <w:rPr>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proofErr w:type="gramStart"/>
      <w:r w:rsidRPr="00A01D5C">
        <w:rPr>
          <w:rFonts w:ascii="Times New Roman" w:hAnsi="Times New Roman"/>
          <w:sz w:val="24"/>
          <w:szCs w:val="24"/>
        </w:rPr>
        <w:t>7.</w:t>
      </w:r>
      <w:r w:rsidRPr="00A01D5C">
        <w:rPr>
          <w:rFonts w:ascii="Times New Roman" w:hAnsi="Times New Roman"/>
          <w:sz w:val="24"/>
          <w:szCs w:val="24"/>
        </w:rPr>
        <w:tab/>
        <w:t>Esclarecer</w:t>
      </w:r>
      <w:proofErr w:type="gramEnd"/>
      <w:r w:rsidRPr="00A01D5C">
        <w:rPr>
          <w:rFonts w:ascii="Times New Roman" w:hAnsi="Times New Roman"/>
          <w:sz w:val="24"/>
          <w:szCs w:val="24"/>
        </w:rPr>
        <w:t xml:space="preserve"> a política comercial na aquisição de </w:t>
      </w:r>
      <w:r w:rsidR="00360CAE" w:rsidRPr="00360CAE">
        <w:rPr>
          <w:rFonts w:ascii="Times New Roman" w:hAnsi="Times New Roman"/>
          <w:sz w:val="24"/>
          <w:szCs w:val="24"/>
        </w:rPr>
        <w:t>Espelho Não Emoldurado</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proofErr w:type="gramStart"/>
      <w:r w:rsidR="008F153C">
        <w:rPr>
          <w:b/>
          <w:color w:val="000000" w:themeColor="text1"/>
          <w:sz w:val="24"/>
          <w:szCs w:val="24"/>
        </w:rPr>
        <w:t>ABRIL</w:t>
      </w:r>
      <w:proofErr w:type="gramEnd"/>
      <w:r w:rsidR="00C3657F" w:rsidRPr="00C3657F">
        <w:rPr>
          <w:b/>
          <w:color w:val="000000" w:themeColor="text1"/>
          <w:sz w:val="24"/>
          <w:szCs w:val="24"/>
        </w:rPr>
        <w:t xml:space="preserve"> DE </w:t>
      </w:r>
      <w:r w:rsidR="008F153C">
        <w:rPr>
          <w:b/>
          <w:color w:val="000000" w:themeColor="text1"/>
          <w:sz w:val="24"/>
          <w:szCs w:val="24"/>
        </w:rPr>
        <w:t xml:space="preserve">2019 </w:t>
      </w:r>
      <w:r w:rsidR="00C3657F" w:rsidRPr="00C3657F">
        <w:rPr>
          <w:b/>
          <w:color w:val="000000" w:themeColor="text1"/>
          <w:sz w:val="24"/>
          <w:szCs w:val="24"/>
        </w:rPr>
        <w:t xml:space="preserve">A </w:t>
      </w:r>
      <w:r w:rsidR="008F153C">
        <w:rPr>
          <w:b/>
          <w:color w:val="000000" w:themeColor="text1"/>
          <w:sz w:val="24"/>
          <w:szCs w:val="24"/>
        </w:rPr>
        <w:t xml:space="preserve">MARÇO </w:t>
      </w:r>
      <w:r w:rsidR="00C3657F" w:rsidRPr="00C3657F">
        <w:rPr>
          <w:b/>
          <w:color w:val="000000" w:themeColor="text1"/>
          <w:sz w:val="24"/>
          <w:szCs w:val="24"/>
        </w:rPr>
        <w:t xml:space="preserve">DE </w:t>
      </w:r>
      <w:r w:rsidR="008F153C">
        <w:rPr>
          <w:b/>
          <w:color w:val="000000" w:themeColor="text1"/>
          <w:sz w:val="24"/>
          <w:szCs w:val="24"/>
        </w:rPr>
        <w:t>2020</w:t>
      </w:r>
      <w:r w:rsidRPr="00C3657F">
        <w:rPr>
          <w:b/>
          <w:color w:val="000000" w:themeColor="text1"/>
          <w:sz w:val="24"/>
          <w:szCs w:val="24"/>
        </w:rPr>
        <w:t>,</w:t>
      </w:r>
      <w:r w:rsidRPr="00C3657F">
        <w:rPr>
          <w:color w:val="000000" w:themeColor="text1"/>
          <w:sz w:val="24"/>
          <w:szCs w:val="24"/>
        </w:rPr>
        <w:t xml:space="preserve"> de </w:t>
      </w:r>
      <w:r w:rsidR="008F153C" w:rsidRPr="008F153C">
        <w:rPr>
          <w:b/>
          <w:color w:val="000000" w:themeColor="text1"/>
          <w:sz w:val="24"/>
          <w:szCs w:val="24"/>
        </w:rPr>
        <w:t>Espelhos Não Emoldurados</w:t>
      </w:r>
      <w:r w:rsidR="00C3657F" w:rsidRPr="00C3657F">
        <w:rPr>
          <w:color w:val="000000" w:themeColor="text1"/>
          <w:sz w:val="24"/>
          <w:szCs w:val="24"/>
        </w:rPr>
        <w:t xml:space="preserve"> </w:t>
      </w:r>
      <w:r w:rsidRPr="00C3657F">
        <w:rPr>
          <w:b/>
          <w:color w:val="000000" w:themeColor="text1"/>
          <w:sz w:val="24"/>
          <w:szCs w:val="24"/>
        </w:rPr>
        <w:t xml:space="preserve">objeto da </w:t>
      </w:r>
      <w:r w:rsidR="00A12672" w:rsidRPr="00C3657F">
        <w:rPr>
          <w:b/>
          <w:color w:val="000000" w:themeColor="text1"/>
          <w:sz w:val="24"/>
          <w:szCs w:val="24"/>
        </w:rPr>
        <w:t>revisão</w:t>
      </w:r>
      <w:r w:rsidR="00C3657F" w:rsidRPr="00C3657F">
        <w:rPr>
          <w:color w:val="000000" w:themeColor="text1"/>
          <w:sz w:val="24"/>
          <w:szCs w:val="24"/>
        </w:rPr>
        <w:t xml:space="preserve">, comumente classificado no </w:t>
      </w:r>
      <w:r w:rsidR="009D2B3C" w:rsidRPr="00C3657F">
        <w:rPr>
          <w:color w:val="000000" w:themeColor="text1"/>
          <w:sz w:val="24"/>
          <w:szCs w:val="24"/>
        </w:rPr>
        <w:t>sub</w:t>
      </w:r>
      <w:r w:rsidRPr="00C3657F">
        <w:rPr>
          <w:color w:val="000000" w:themeColor="text1"/>
          <w:sz w:val="24"/>
          <w:szCs w:val="24"/>
        </w:rPr>
        <w:t>ite</w:t>
      </w:r>
      <w:r w:rsidR="008F153C">
        <w:rPr>
          <w:color w:val="000000" w:themeColor="text1"/>
          <w:sz w:val="24"/>
          <w:szCs w:val="24"/>
        </w:rPr>
        <w:t xml:space="preserve">m 7009.91.00 </w:t>
      </w:r>
      <w:r w:rsidRPr="00C3657F">
        <w:rPr>
          <w:color w:val="000000" w:themeColor="text1"/>
          <w:sz w:val="24"/>
          <w:szCs w:val="24"/>
        </w:rPr>
        <w:t xml:space="preserve">da NCM e </w:t>
      </w:r>
      <w:r w:rsidRPr="00C3657F">
        <w:rPr>
          <w:bCs/>
          <w:color w:val="000000" w:themeColor="text1"/>
          <w:sz w:val="24"/>
          <w:szCs w:val="24"/>
        </w:rPr>
        <w:t xml:space="preserve">originárias </w:t>
      </w:r>
      <w:r w:rsidRPr="00C3657F">
        <w:rPr>
          <w:color w:val="000000" w:themeColor="text1"/>
          <w:sz w:val="24"/>
          <w:szCs w:val="24"/>
        </w:rPr>
        <w:t>d</w:t>
      </w:r>
      <w:r w:rsidR="00C3657F" w:rsidRPr="00C3657F">
        <w:rPr>
          <w:color w:val="000000" w:themeColor="text1"/>
          <w:sz w:val="24"/>
          <w:szCs w:val="24"/>
        </w:rPr>
        <w:t xml:space="preserve">a </w:t>
      </w:r>
      <w:r w:rsidR="00C3657F" w:rsidRPr="00C3657F">
        <w:rPr>
          <w:b/>
          <w:color w:val="000000" w:themeColor="text1"/>
          <w:sz w:val="24"/>
          <w:szCs w:val="24"/>
        </w:rPr>
        <w:t>China</w:t>
      </w:r>
      <w:r w:rsidR="008F153C">
        <w:rPr>
          <w:b/>
          <w:color w:val="000000" w:themeColor="text1"/>
          <w:sz w:val="24"/>
          <w:szCs w:val="24"/>
        </w:rPr>
        <w:t xml:space="preserve"> e México</w:t>
      </w:r>
      <w:r w:rsidR="00C3657F" w:rsidRPr="00C3657F">
        <w:rPr>
          <w:b/>
          <w:color w:val="000000" w:themeColor="text1"/>
          <w:sz w:val="24"/>
          <w:szCs w:val="24"/>
        </w:rPr>
        <w:t>.</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3F5246" w:rsidRPr="00C3657F" w:rsidRDefault="00A01D5C" w:rsidP="00244A00">
      <w:pPr>
        <w:pStyle w:val="PargrafodaLista"/>
        <w:widowControl/>
        <w:numPr>
          <w:ilvl w:val="0"/>
          <w:numId w:val="38"/>
        </w:numPr>
        <w:ind w:right="-199"/>
        <w:jc w:val="both"/>
        <w:rPr>
          <w:color w:val="000000" w:themeColor="text1"/>
          <w:sz w:val="24"/>
          <w:szCs w:val="24"/>
        </w:rPr>
      </w:pPr>
      <w:r w:rsidRPr="00C3657F">
        <w:rPr>
          <w:iCs/>
          <w:color w:val="000000" w:themeColor="text1"/>
          <w:sz w:val="24"/>
          <w:szCs w:val="24"/>
        </w:rPr>
        <w:t>N</w:t>
      </w:r>
      <w:r w:rsidR="00244A00" w:rsidRPr="00C3657F">
        <w:rPr>
          <w:iCs/>
          <w:color w:val="000000" w:themeColor="text1"/>
          <w:sz w:val="24"/>
          <w:szCs w:val="24"/>
        </w:rPr>
        <w:t>o campo n</w:t>
      </w:r>
      <w:r w:rsidR="00244A00" w:rsidRPr="00C3657F">
        <w:rPr>
          <w:iCs/>
          <w:color w:val="000000" w:themeColor="text1"/>
          <w:sz w:val="24"/>
          <w:szCs w:val="24"/>
          <w:u w:val="single"/>
          <w:vertAlign w:val="superscript"/>
        </w:rPr>
        <w:t>o</w:t>
      </w:r>
      <w:r w:rsidR="00244A00" w:rsidRPr="00C3657F">
        <w:rPr>
          <w:iCs/>
          <w:color w:val="000000" w:themeColor="text1"/>
          <w:sz w:val="24"/>
          <w:szCs w:val="24"/>
        </w:rPr>
        <w:t xml:space="preserve"> 39</w:t>
      </w:r>
      <w:r w:rsidR="00244A00" w:rsidRPr="00C3657F">
        <w:rPr>
          <w:color w:val="000000" w:themeColor="text1"/>
          <w:sz w:val="24"/>
          <w:szCs w:val="24"/>
        </w:rPr>
        <w:t xml:space="preserve"> </w:t>
      </w:r>
      <w:r w:rsidRPr="00C3657F">
        <w:rPr>
          <w:color w:val="000000" w:themeColor="text1"/>
          <w:sz w:val="24"/>
          <w:szCs w:val="24"/>
        </w:rPr>
        <w:t>deverá ser informado o CODIP, de acordo com as características apresentadas item IV (</w:t>
      </w:r>
      <w:r w:rsidRPr="00C3657F">
        <w:rPr>
          <w:color w:val="000000" w:themeColor="text1"/>
          <w:sz w:val="24"/>
        </w:rPr>
        <w:t>“Produto Similar Doméstico e o Processo Produtivo”</w:t>
      </w:r>
      <w:r w:rsidRPr="00C3657F">
        <w:rPr>
          <w:color w:val="000000" w:themeColor="text1"/>
        </w:rPr>
        <w:t>).</w:t>
      </w:r>
    </w:p>
    <w:p w:rsidR="003F5246" w:rsidRPr="00C3657F" w:rsidRDefault="003F5246" w:rsidP="003F5246">
      <w:pPr>
        <w:pStyle w:val="PargrafodaLista"/>
        <w:rPr>
          <w:iCs/>
          <w:color w:val="FF0000"/>
          <w:sz w:val="24"/>
          <w:szCs w:val="24"/>
        </w:rPr>
      </w:pPr>
    </w:p>
    <w:p w:rsidR="008F153C" w:rsidRPr="00A01D5C" w:rsidRDefault="00244A00" w:rsidP="008F153C">
      <w:pPr>
        <w:ind w:left="-142" w:right="-199"/>
        <w:jc w:val="both"/>
        <w:rPr>
          <w:b/>
          <w:sz w:val="24"/>
          <w:szCs w:val="24"/>
        </w:rPr>
      </w:pPr>
      <w:r w:rsidRPr="00C3657F">
        <w:rPr>
          <w:sz w:val="24"/>
          <w:szCs w:val="24"/>
        </w:rPr>
        <w:t>13.</w:t>
      </w:r>
      <w:r w:rsidRPr="00C3657F">
        <w:rPr>
          <w:sz w:val="24"/>
          <w:szCs w:val="24"/>
        </w:rPr>
        <w:tab/>
        <w:t xml:space="preserve">Preencher o </w:t>
      </w:r>
      <w:r w:rsidRPr="00C3657F">
        <w:rPr>
          <w:b/>
          <w:bCs/>
          <w:sz w:val="24"/>
          <w:szCs w:val="24"/>
        </w:rPr>
        <w:t xml:space="preserve">Apêndice </w:t>
      </w:r>
      <w:r w:rsidR="00372DFA" w:rsidRPr="00C3657F">
        <w:rPr>
          <w:b/>
          <w:bCs/>
          <w:sz w:val="24"/>
          <w:szCs w:val="24"/>
        </w:rPr>
        <w:t>XV</w:t>
      </w:r>
      <w:r w:rsidRPr="00C3657F">
        <w:rPr>
          <w:b/>
          <w:bCs/>
          <w:sz w:val="24"/>
          <w:szCs w:val="24"/>
        </w:rPr>
        <w:t>I</w:t>
      </w:r>
      <w:r w:rsidR="0006596D" w:rsidRPr="00C3657F">
        <w:rPr>
          <w:b/>
          <w:bCs/>
          <w:sz w:val="24"/>
          <w:szCs w:val="24"/>
        </w:rPr>
        <w:t>I</w:t>
      </w:r>
      <w:r w:rsidRPr="00C3657F">
        <w:rPr>
          <w:b/>
          <w:bCs/>
          <w:sz w:val="24"/>
          <w:szCs w:val="24"/>
        </w:rPr>
        <w:t>I</w:t>
      </w:r>
      <w:r w:rsidRPr="00C3657F">
        <w:rPr>
          <w:sz w:val="24"/>
          <w:szCs w:val="24"/>
        </w:rPr>
        <w:t xml:space="preserve">, no caso desta empresa ter desembaraçado importações, </w:t>
      </w:r>
      <w:r w:rsidRPr="00C3657F">
        <w:rPr>
          <w:b/>
          <w:sz w:val="24"/>
          <w:szCs w:val="24"/>
        </w:rPr>
        <w:t xml:space="preserve">de </w:t>
      </w:r>
      <w:r w:rsidR="008F153C">
        <w:rPr>
          <w:b/>
          <w:sz w:val="24"/>
          <w:szCs w:val="24"/>
        </w:rPr>
        <w:t>abril</w:t>
      </w:r>
      <w:r w:rsidR="00C3657F" w:rsidRPr="00C3657F">
        <w:rPr>
          <w:b/>
          <w:sz w:val="24"/>
          <w:szCs w:val="24"/>
        </w:rPr>
        <w:t xml:space="preserve"> de </w:t>
      </w:r>
      <w:r w:rsidR="008F153C">
        <w:rPr>
          <w:b/>
          <w:sz w:val="24"/>
          <w:szCs w:val="24"/>
        </w:rPr>
        <w:t xml:space="preserve">2015 </w:t>
      </w:r>
      <w:r w:rsidR="00C3657F" w:rsidRPr="00C3657F">
        <w:rPr>
          <w:b/>
          <w:sz w:val="24"/>
          <w:szCs w:val="24"/>
        </w:rPr>
        <w:t xml:space="preserve">a </w:t>
      </w:r>
      <w:r w:rsidR="008F153C">
        <w:rPr>
          <w:b/>
          <w:sz w:val="24"/>
          <w:szCs w:val="24"/>
        </w:rPr>
        <w:t xml:space="preserve">março </w:t>
      </w:r>
      <w:r w:rsidR="00C3657F" w:rsidRPr="00C3657F">
        <w:rPr>
          <w:b/>
          <w:sz w:val="24"/>
          <w:szCs w:val="24"/>
        </w:rPr>
        <w:t xml:space="preserve">de </w:t>
      </w:r>
      <w:r w:rsidR="008F153C">
        <w:rPr>
          <w:b/>
          <w:sz w:val="24"/>
          <w:szCs w:val="24"/>
        </w:rPr>
        <w:t>2020</w:t>
      </w:r>
      <w:r w:rsidRPr="00C3657F">
        <w:rPr>
          <w:b/>
          <w:sz w:val="24"/>
          <w:szCs w:val="24"/>
        </w:rPr>
        <w:t>,</w:t>
      </w:r>
      <w:r w:rsidRPr="00C3657F">
        <w:rPr>
          <w:sz w:val="24"/>
          <w:szCs w:val="24"/>
        </w:rPr>
        <w:t xml:space="preserve"> </w:t>
      </w:r>
      <w:r w:rsidR="008F153C" w:rsidRPr="00C3657F">
        <w:rPr>
          <w:color w:val="000000" w:themeColor="text1"/>
          <w:sz w:val="24"/>
          <w:szCs w:val="24"/>
        </w:rPr>
        <w:t xml:space="preserve">de </w:t>
      </w:r>
      <w:r w:rsidR="008F153C" w:rsidRPr="008F153C">
        <w:rPr>
          <w:b/>
          <w:color w:val="000000" w:themeColor="text1"/>
          <w:sz w:val="24"/>
          <w:szCs w:val="24"/>
        </w:rPr>
        <w:t>Espelhos Não Emoldurados</w:t>
      </w:r>
      <w:r w:rsidR="008F153C" w:rsidRPr="00C3657F">
        <w:rPr>
          <w:color w:val="000000" w:themeColor="text1"/>
          <w:sz w:val="24"/>
          <w:szCs w:val="24"/>
        </w:rPr>
        <w:t xml:space="preserve"> </w:t>
      </w:r>
      <w:r w:rsidR="008F153C" w:rsidRPr="00C3657F">
        <w:rPr>
          <w:b/>
          <w:color w:val="000000" w:themeColor="text1"/>
          <w:sz w:val="24"/>
          <w:szCs w:val="24"/>
        </w:rPr>
        <w:t>objeto da revisão</w:t>
      </w:r>
      <w:r w:rsidR="008F153C" w:rsidRPr="00C3657F">
        <w:rPr>
          <w:color w:val="000000" w:themeColor="text1"/>
          <w:sz w:val="24"/>
          <w:szCs w:val="24"/>
        </w:rPr>
        <w:t>, comumente classificado no subite</w:t>
      </w:r>
      <w:r w:rsidR="008F153C">
        <w:rPr>
          <w:color w:val="000000" w:themeColor="text1"/>
          <w:sz w:val="24"/>
          <w:szCs w:val="24"/>
        </w:rPr>
        <w:t xml:space="preserve">m 7009.91.00 </w:t>
      </w:r>
      <w:r w:rsidR="008F153C" w:rsidRPr="00C3657F">
        <w:rPr>
          <w:color w:val="000000" w:themeColor="text1"/>
          <w:sz w:val="24"/>
          <w:szCs w:val="24"/>
        </w:rPr>
        <w:t xml:space="preserve">da NCM e </w:t>
      </w:r>
      <w:r w:rsidR="008F153C" w:rsidRPr="00C3657F">
        <w:rPr>
          <w:bCs/>
          <w:color w:val="000000" w:themeColor="text1"/>
          <w:sz w:val="24"/>
          <w:szCs w:val="24"/>
        </w:rPr>
        <w:t xml:space="preserve">originárias </w:t>
      </w:r>
      <w:r w:rsidR="008F153C" w:rsidRPr="00C3657F">
        <w:rPr>
          <w:color w:val="000000" w:themeColor="text1"/>
          <w:sz w:val="24"/>
          <w:szCs w:val="24"/>
        </w:rPr>
        <w:t xml:space="preserve">da </w:t>
      </w:r>
      <w:r w:rsidR="008F153C" w:rsidRPr="00C3657F">
        <w:rPr>
          <w:b/>
          <w:color w:val="000000" w:themeColor="text1"/>
          <w:sz w:val="24"/>
          <w:szCs w:val="24"/>
        </w:rPr>
        <w:t>China</w:t>
      </w:r>
      <w:r w:rsidR="008F153C">
        <w:rPr>
          <w:b/>
          <w:color w:val="000000" w:themeColor="text1"/>
          <w:sz w:val="24"/>
          <w:szCs w:val="24"/>
        </w:rPr>
        <w:t xml:space="preserve"> e México</w:t>
      </w:r>
      <w:r w:rsidR="008F153C" w:rsidRPr="00C3657F">
        <w:rPr>
          <w:b/>
          <w:color w:val="000000" w:themeColor="text1"/>
          <w:sz w:val="24"/>
          <w:szCs w:val="24"/>
        </w:rPr>
        <w:t>.</w:t>
      </w:r>
    </w:p>
    <w:p w:rsidR="00244A00" w:rsidRPr="003F5246" w:rsidRDefault="00244A00" w:rsidP="008F153C">
      <w:pPr>
        <w:ind w:left="-142" w:right="-199"/>
        <w:jc w:val="both"/>
        <w:rPr>
          <w:b/>
          <w:sz w:val="24"/>
          <w:szCs w:val="24"/>
          <w:highlight w:val="lightGray"/>
        </w:rPr>
      </w:pPr>
    </w:p>
    <w:p w:rsidR="00244A00" w:rsidRPr="003F5246" w:rsidRDefault="00244A00" w:rsidP="00A01D5C">
      <w:pPr>
        <w:ind w:left="-142" w:right="-199"/>
        <w:jc w:val="both"/>
        <w:rPr>
          <w:b/>
          <w:sz w:val="24"/>
          <w:szCs w:val="24"/>
          <w:highlight w:val="lightGray"/>
        </w:rPr>
      </w:pPr>
      <w:r w:rsidRPr="003F5246">
        <w:rPr>
          <w:sz w:val="24"/>
          <w:szCs w:val="24"/>
          <w:highlight w:val="lightGray"/>
        </w:rPr>
        <w:t>14.</w:t>
      </w:r>
      <w:r w:rsidRPr="003F5246">
        <w:rPr>
          <w:sz w:val="24"/>
          <w:szCs w:val="24"/>
          <w:highlight w:val="lightGray"/>
        </w:rPr>
        <w:tab/>
        <w:t xml:space="preserve">O preenchimento dos campos do </w:t>
      </w:r>
      <w:r w:rsidRPr="003F5246">
        <w:rPr>
          <w:b/>
          <w:sz w:val="24"/>
          <w:szCs w:val="24"/>
          <w:highlight w:val="lightGray"/>
        </w:rPr>
        <w:t xml:space="preserve">Apêndice </w:t>
      </w:r>
      <w:r w:rsidR="00372DFA" w:rsidRPr="003F5246">
        <w:rPr>
          <w:b/>
          <w:sz w:val="24"/>
          <w:szCs w:val="24"/>
          <w:highlight w:val="lightGray"/>
        </w:rPr>
        <w:t>XV</w:t>
      </w:r>
      <w:r w:rsidRPr="003F5246">
        <w:rPr>
          <w:b/>
          <w:sz w:val="24"/>
          <w:szCs w:val="24"/>
          <w:highlight w:val="lightGray"/>
        </w:rPr>
        <w:t>I</w:t>
      </w:r>
      <w:r w:rsidR="0006596D">
        <w:rPr>
          <w:b/>
          <w:sz w:val="24"/>
          <w:szCs w:val="24"/>
          <w:highlight w:val="lightGray"/>
        </w:rPr>
        <w:t>I</w:t>
      </w:r>
      <w:r w:rsidRPr="003F5246">
        <w:rPr>
          <w:b/>
          <w:sz w:val="24"/>
          <w:szCs w:val="24"/>
          <w:highlight w:val="lightGray"/>
        </w:rPr>
        <w:t xml:space="preserve">I </w:t>
      </w:r>
      <w:r w:rsidRPr="003F5246">
        <w:rPr>
          <w:sz w:val="24"/>
          <w:szCs w:val="24"/>
          <w:highlight w:val="lightGray"/>
        </w:rPr>
        <w:t>deverá ser realizado em conformidade com as instruções abaixo</w:t>
      </w:r>
      <w:r w:rsidRPr="003F5246">
        <w:rPr>
          <w:b/>
          <w:sz w:val="24"/>
          <w:szCs w:val="24"/>
          <w:highlight w:val="lightGray"/>
        </w:rPr>
        <w:t>.</w:t>
      </w:r>
    </w:p>
    <w:p w:rsidR="00244A00" w:rsidRPr="003F5246" w:rsidRDefault="00244A00" w:rsidP="00244A00">
      <w:pPr>
        <w:pStyle w:val="Recuodecorpodetexto3"/>
        <w:ind w:left="-142" w:right="-199"/>
        <w:rPr>
          <w:rFonts w:ascii="Times New Roman" w:hAnsi="Times New Roman"/>
          <w:sz w:val="24"/>
          <w:szCs w:val="24"/>
          <w:highlight w:val="lightGray"/>
        </w:rPr>
      </w:pPr>
    </w:p>
    <w:p w:rsidR="00244A00" w:rsidRPr="003F5246" w:rsidRDefault="00244A00" w:rsidP="00244A00">
      <w:pPr>
        <w:pStyle w:val="Recuodecorpodetexto3"/>
        <w:widowControl/>
        <w:numPr>
          <w:ilvl w:val="0"/>
          <w:numId w:val="39"/>
        </w:numPr>
        <w:ind w:right="-199"/>
        <w:rPr>
          <w:rFonts w:ascii="Times New Roman" w:hAnsi="Times New Roman"/>
          <w:b/>
          <w:sz w:val="24"/>
          <w:szCs w:val="24"/>
          <w:highlight w:val="lightGray"/>
        </w:rPr>
      </w:pPr>
      <w:r w:rsidRPr="003F5246">
        <w:rPr>
          <w:rFonts w:ascii="Times New Roman" w:hAnsi="Times New Roman"/>
          <w:sz w:val="24"/>
          <w:szCs w:val="24"/>
          <w:highlight w:val="lightGray"/>
        </w:rPr>
        <w:t xml:space="preserve">Os campos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os</w:t>
      </w:r>
      <w:r w:rsidRPr="003F5246">
        <w:rPr>
          <w:rFonts w:ascii="Times New Roman" w:hAnsi="Times New Roman"/>
          <w:iCs/>
          <w:sz w:val="24"/>
          <w:szCs w:val="24"/>
          <w:highlight w:val="lightGray"/>
        </w:rPr>
        <w:t xml:space="preserve"> 01 a 05 deverão ser preenchidos de acordo com os documentos utilizados no desembaraço da mercadoria.</w:t>
      </w:r>
    </w:p>
    <w:p w:rsidR="00244A00" w:rsidRPr="00C3657F" w:rsidRDefault="00244A00" w:rsidP="00244A00">
      <w:pPr>
        <w:pStyle w:val="Recuodecorpodetexto3"/>
        <w:ind w:right="-199"/>
        <w:rPr>
          <w:rFonts w:ascii="Times New Roman" w:hAnsi="Times New Roman"/>
          <w:b/>
          <w:color w:val="000000" w:themeColor="text1"/>
          <w:sz w:val="24"/>
          <w:szCs w:val="24"/>
          <w:highlight w:val="lightGray"/>
        </w:rPr>
      </w:pPr>
    </w:p>
    <w:p w:rsidR="00244A00" w:rsidRPr="00C3657F" w:rsidRDefault="00244A00" w:rsidP="00244A00">
      <w:pPr>
        <w:pStyle w:val="Recuodecorpodetexto3"/>
        <w:widowControl/>
        <w:numPr>
          <w:ilvl w:val="0"/>
          <w:numId w:val="39"/>
        </w:numPr>
        <w:ind w:right="-199"/>
        <w:rPr>
          <w:rFonts w:ascii="Times New Roman" w:hAnsi="Times New Roman"/>
          <w:b/>
          <w:color w:val="000000" w:themeColor="text1"/>
          <w:sz w:val="24"/>
          <w:szCs w:val="24"/>
          <w:highlight w:val="lightGray"/>
        </w:rPr>
      </w:pPr>
      <w:r w:rsidRPr="00C3657F">
        <w:rPr>
          <w:rFonts w:ascii="Times New Roman" w:hAnsi="Times New Roman"/>
          <w:color w:val="000000" w:themeColor="text1"/>
          <w:sz w:val="24"/>
          <w:szCs w:val="24"/>
          <w:highlight w:val="lightGray"/>
        </w:rPr>
        <w:t xml:space="preserve">O campo </w:t>
      </w:r>
      <w:r w:rsidRPr="00C3657F">
        <w:rPr>
          <w:rFonts w:ascii="Times New Roman" w:hAnsi="Times New Roman"/>
          <w:iCs/>
          <w:color w:val="000000" w:themeColor="text1"/>
          <w:sz w:val="24"/>
          <w:szCs w:val="24"/>
          <w:highlight w:val="lightGray"/>
        </w:rPr>
        <w:t>n</w:t>
      </w:r>
      <w:r w:rsidRPr="00C3657F">
        <w:rPr>
          <w:rFonts w:ascii="Times New Roman" w:hAnsi="Times New Roman"/>
          <w:iCs/>
          <w:color w:val="000000" w:themeColor="text1"/>
          <w:sz w:val="24"/>
          <w:szCs w:val="24"/>
          <w:highlight w:val="lightGray"/>
          <w:u w:val="single"/>
          <w:vertAlign w:val="superscript"/>
        </w:rPr>
        <w:t>o</w:t>
      </w:r>
      <w:r w:rsidRPr="00C3657F">
        <w:rPr>
          <w:rFonts w:ascii="Times New Roman" w:hAnsi="Times New Roman"/>
          <w:iCs/>
          <w:color w:val="000000" w:themeColor="text1"/>
          <w:sz w:val="24"/>
          <w:szCs w:val="24"/>
          <w:highlight w:val="lightGray"/>
        </w:rPr>
        <w:t xml:space="preserve"> 06 deve ser preenchido de acordo com a instrução “c” de preenchimento do </w:t>
      </w:r>
      <w:r w:rsidRPr="00C3657F">
        <w:rPr>
          <w:rFonts w:ascii="Times New Roman" w:hAnsi="Times New Roman"/>
          <w:b/>
          <w:iCs/>
          <w:color w:val="000000" w:themeColor="text1"/>
          <w:sz w:val="24"/>
          <w:szCs w:val="24"/>
          <w:highlight w:val="lightGray"/>
        </w:rPr>
        <w:t xml:space="preserve">Apêndice </w:t>
      </w:r>
      <w:r w:rsidR="001573B3" w:rsidRPr="00C3657F">
        <w:rPr>
          <w:rFonts w:ascii="Times New Roman" w:hAnsi="Times New Roman"/>
          <w:b/>
          <w:iCs/>
          <w:color w:val="000000" w:themeColor="text1"/>
          <w:sz w:val="24"/>
          <w:szCs w:val="24"/>
          <w:highlight w:val="lightGray"/>
        </w:rPr>
        <w:t>XV</w:t>
      </w:r>
      <w:r w:rsidR="0006596D" w:rsidRPr="00C3657F">
        <w:rPr>
          <w:rFonts w:ascii="Times New Roman" w:hAnsi="Times New Roman"/>
          <w:b/>
          <w:iCs/>
          <w:color w:val="000000" w:themeColor="text1"/>
          <w:sz w:val="24"/>
          <w:szCs w:val="24"/>
          <w:highlight w:val="lightGray"/>
        </w:rPr>
        <w:t>I</w:t>
      </w:r>
      <w:r w:rsidRPr="00C3657F">
        <w:rPr>
          <w:rFonts w:ascii="Times New Roman" w:hAnsi="Times New Roman"/>
          <w:b/>
          <w:iCs/>
          <w:color w:val="000000" w:themeColor="text1"/>
          <w:sz w:val="24"/>
          <w:szCs w:val="24"/>
          <w:highlight w:val="lightGray"/>
        </w:rPr>
        <w:t>I</w:t>
      </w:r>
      <w:r w:rsidRPr="00C3657F">
        <w:rPr>
          <w:rFonts w:ascii="Times New Roman" w:hAnsi="Times New Roman"/>
          <w:iCs/>
          <w:color w:val="000000" w:themeColor="text1"/>
          <w:sz w:val="24"/>
          <w:szCs w:val="24"/>
          <w:highlight w:val="lightGray"/>
        </w:rPr>
        <w:t>.</w:t>
      </w:r>
    </w:p>
    <w:p w:rsidR="00244A00" w:rsidRPr="00C3657F" w:rsidRDefault="00244A00" w:rsidP="00244A00">
      <w:pPr>
        <w:pStyle w:val="Recuodecorpodetexto3"/>
        <w:ind w:right="-199"/>
        <w:rPr>
          <w:rFonts w:ascii="Times New Roman" w:hAnsi="Times New Roman"/>
          <w:b/>
          <w:color w:val="000000" w:themeColor="text1"/>
          <w:sz w:val="24"/>
          <w:szCs w:val="24"/>
        </w:rPr>
      </w:pPr>
    </w:p>
    <w:p w:rsidR="00244A00" w:rsidRPr="00A01D5C" w:rsidRDefault="00244A00" w:rsidP="00A01D5C">
      <w:pPr>
        <w:ind w:left="-142" w:right="-199"/>
        <w:jc w:val="both"/>
        <w:rPr>
          <w:sz w:val="24"/>
          <w:szCs w:val="24"/>
        </w:rPr>
      </w:pPr>
      <w:proofErr w:type="gramStart"/>
      <w:r w:rsidRPr="00C3657F">
        <w:rPr>
          <w:color w:val="000000" w:themeColor="text1"/>
          <w:sz w:val="24"/>
          <w:szCs w:val="24"/>
        </w:rPr>
        <w:t>1</w:t>
      </w:r>
      <w:r w:rsidR="00A01D5C" w:rsidRPr="00C3657F">
        <w:rPr>
          <w:color w:val="000000" w:themeColor="text1"/>
          <w:sz w:val="24"/>
          <w:szCs w:val="24"/>
        </w:rPr>
        <w:t>5</w:t>
      </w:r>
      <w:r w:rsidRPr="00C3657F">
        <w:rPr>
          <w:color w:val="000000" w:themeColor="text1"/>
          <w:sz w:val="24"/>
          <w:szCs w:val="24"/>
        </w:rPr>
        <w:t>.</w:t>
      </w:r>
      <w:r w:rsidRPr="00C3657F">
        <w:rPr>
          <w:color w:val="000000" w:themeColor="text1"/>
          <w:sz w:val="24"/>
          <w:szCs w:val="24"/>
        </w:rPr>
        <w:tab/>
        <w:t>No</w:t>
      </w:r>
      <w:proofErr w:type="gramEnd"/>
      <w:r w:rsidRPr="00C3657F">
        <w:rPr>
          <w:color w:val="000000" w:themeColor="text1"/>
          <w:sz w:val="24"/>
          <w:szCs w:val="24"/>
        </w:rPr>
        <w:t xml:space="preserve"> caso de revenda no mercado interno do produto objeto da </w:t>
      </w:r>
      <w:r w:rsidR="00A12672" w:rsidRPr="00C3657F">
        <w:rPr>
          <w:color w:val="000000" w:themeColor="text1"/>
          <w:sz w:val="24"/>
          <w:szCs w:val="24"/>
        </w:rPr>
        <w:t>revisão</w:t>
      </w:r>
      <w:r w:rsidRPr="00C3657F">
        <w:rPr>
          <w:color w:val="000000" w:themeColor="text1"/>
          <w:sz w:val="24"/>
          <w:szCs w:val="24"/>
        </w:rPr>
        <w:t xml:space="preserve"> importado </w:t>
      </w:r>
      <w:r w:rsidR="00C3657F">
        <w:rPr>
          <w:sz w:val="24"/>
          <w:szCs w:val="24"/>
        </w:rPr>
        <w:t>por essa empresa, originárias da China, Egito e/ou Índia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8F153C">
        <w:rPr>
          <w:b/>
          <w:sz w:val="24"/>
          <w:szCs w:val="24"/>
        </w:rPr>
        <w:t>abril de 2019</w:t>
      </w:r>
      <w:r w:rsidR="00C3657F" w:rsidRPr="00C3657F">
        <w:rPr>
          <w:b/>
          <w:sz w:val="24"/>
          <w:szCs w:val="24"/>
        </w:rPr>
        <w:t xml:space="preserve"> a </w:t>
      </w:r>
      <w:r w:rsidR="008F153C">
        <w:rPr>
          <w:b/>
          <w:sz w:val="24"/>
          <w:szCs w:val="24"/>
        </w:rPr>
        <w:t xml:space="preserve">março </w:t>
      </w:r>
      <w:r w:rsidR="00C3657F" w:rsidRPr="00C3657F">
        <w:rPr>
          <w:b/>
          <w:sz w:val="24"/>
          <w:szCs w:val="24"/>
        </w:rPr>
        <w:t xml:space="preserve">de </w:t>
      </w:r>
      <w:r w:rsidR="008F153C">
        <w:rPr>
          <w:b/>
          <w:sz w:val="24"/>
          <w:szCs w:val="24"/>
        </w:rPr>
        <w:t>2020</w:t>
      </w:r>
      <w:r w:rsidR="00C3657F">
        <w:rPr>
          <w:b/>
          <w:sz w:val="24"/>
          <w:szCs w:val="24"/>
        </w:rPr>
        <w:t>.</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produtor/exportador estrangeiro d</w:t>
      </w:r>
      <w:r w:rsidR="00C3657F">
        <w:rPr>
          <w:sz w:val="24"/>
          <w:szCs w:val="24"/>
        </w:rPr>
        <w:t xml:space="preserve">a China, Egito e/ou Índia </w:t>
      </w:r>
      <w:r w:rsidRPr="00A01D5C">
        <w:rPr>
          <w:sz w:val="24"/>
          <w:szCs w:val="24"/>
        </w:rPr>
        <w:t xml:space="preserve">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244A00" w:rsidRPr="00A01D5C" w:rsidRDefault="00244A00" w:rsidP="00244A00">
      <w:pPr>
        <w:pStyle w:val="Recuodecorpodetexto3"/>
        <w:ind w:left="-142" w:right="-198"/>
        <w:rPr>
          <w:rFonts w:ascii="Times New Roman" w:hAnsi="Times New Roman"/>
          <w:sz w:val="24"/>
          <w:szCs w:val="24"/>
        </w:rPr>
      </w:pPr>
    </w:p>
    <w:p w:rsidR="00244A00" w:rsidRPr="00C3657F" w:rsidRDefault="00904965" w:rsidP="00904965">
      <w:pPr>
        <w:pStyle w:val="Recuodecorpodetexto3"/>
        <w:ind w:right="-198" w:firstLine="0"/>
        <w:rPr>
          <w:rFonts w:ascii="Times New Roman" w:hAnsi="Times New Roman"/>
          <w:b/>
          <w:color w:val="000000" w:themeColor="text1"/>
          <w:sz w:val="24"/>
          <w:szCs w:val="24"/>
        </w:rPr>
      </w:pPr>
      <w:r w:rsidRPr="00C3657F">
        <w:rPr>
          <w:rFonts w:ascii="Times New Roman" w:hAnsi="Times New Roman"/>
          <w:b/>
          <w:color w:val="000000" w:themeColor="text1"/>
          <w:sz w:val="24"/>
          <w:szCs w:val="24"/>
        </w:rPr>
        <w:t>Campo Nº 03.2</w:t>
      </w:r>
      <w:r w:rsidRPr="00C3657F">
        <w:rPr>
          <w:rFonts w:ascii="Times New Roman" w:hAnsi="Times New Roman"/>
          <w:b/>
          <w:color w:val="000000" w:themeColor="text1"/>
          <w:sz w:val="24"/>
          <w:szCs w:val="24"/>
        </w:rPr>
        <w:tab/>
      </w:r>
      <w:r w:rsidR="00244A00" w:rsidRPr="00C3657F">
        <w:rPr>
          <w:rFonts w:ascii="Times New Roman" w:hAnsi="Times New Roman"/>
          <w:b/>
          <w:color w:val="000000" w:themeColor="text1"/>
          <w:sz w:val="24"/>
          <w:szCs w:val="24"/>
        </w:rPr>
        <w:t>Código de Identificação do Produto (CODIP)</w:t>
      </w:r>
    </w:p>
    <w:p w:rsidR="00244A00" w:rsidRPr="00C3657F" w:rsidRDefault="00904965" w:rsidP="00244A00">
      <w:pPr>
        <w:pStyle w:val="Recuodecorpodetexto3"/>
        <w:ind w:left="2127" w:right="-198" w:hanging="2269"/>
        <w:rPr>
          <w:rFonts w:ascii="Times New Roman" w:hAnsi="Times New Roman"/>
          <w:color w:val="000000" w:themeColor="text1"/>
          <w:sz w:val="24"/>
          <w:szCs w:val="24"/>
        </w:rPr>
      </w:pPr>
      <w:r w:rsidRPr="00C3657F">
        <w:rPr>
          <w:rFonts w:ascii="Times New Roman" w:hAnsi="Times New Roman"/>
          <w:color w:val="000000" w:themeColor="text1"/>
          <w:sz w:val="24"/>
          <w:szCs w:val="24"/>
        </w:rPr>
        <w:t xml:space="preserve">  </w:t>
      </w:r>
      <w:r w:rsidR="00244A00" w:rsidRPr="00C3657F">
        <w:rPr>
          <w:rFonts w:ascii="Times New Roman" w:hAnsi="Times New Roman"/>
          <w:color w:val="000000" w:themeColor="text1"/>
          <w:sz w:val="24"/>
          <w:szCs w:val="24"/>
        </w:rPr>
        <w:t>Observação:</w:t>
      </w:r>
      <w:r w:rsidR="00244A00" w:rsidRPr="00C3657F">
        <w:rPr>
          <w:rFonts w:ascii="Times New Roman" w:hAnsi="Times New Roman"/>
          <w:color w:val="000000" w:themeColor="text1"/>
          <w:sz w:val="24"/>
          <w:szCs w:val="24"/>
        </w:rPr>
        <w:tab/>
        <w:t xml:space="preserve">Informar o código de acordo com o especificado no item “c” das instruções de preenchimento do Apêndice </w:t>
      </w:r>
      <w:r w:rsidR="001573B3" w:rsidRPr="00C3657F">
        <w:rPr>
          <w:rFonts w:ascii="Times New Roman" w:hAnsi="Times New Roman"/>
          <w:color w:val="000000" w:themeColor="text1"/>
          <w:sz w:val="24"/>
          <w:szCs w:val="24"/>
        </w:rPr>
        <w:t>XV</w:t>
      </w:r>
      <w:r w:rsidR="0006596D" w:rsidRPr="00C3657F">
        <w:rPr>
          <w:rFonts w:ascii="Times New Roman" w:hAnsi="Times New Roman"/>
          <w:color w:val="000000" w:themeColor="text1"/>
          <w:sz w:val="24"/>
          <w:szCs w:val="24"/>
        </w:rPr>
        <w:t>I</w:t>
      </w:r>
      <w:r w:rsidR="00244A00" w:rsidRPr="00C3657F">
        <w:rPr>
          <w:rFonts w:ascii="Times New Roman" w:hAnsi="Times New Roman"/>
          <w:color w:val="000000" w:themeColor="text1"/>
          <w:sz w:val="24"/>
          <w:szCs w:val="24"/>
        </w:rPr>
        <w:t xml:space="preserve">I.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lastRenderedPageBreak/>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Indicar a fonte para determinar a data de pagamento. Caso não seja possível recuperar tal data, informar as razões para o não preenchimento do campo. Ainda, se uma fatura </w:t>
      </w:r>
      <w:r w:rsidR="00244A00" w:rsidRPr="00A01D5C">
        <w:rPr>
          <w:rFonts w:ascii="Times New Roman" w:hAnsi="Times New Roman"/>
          <w:sz w:val="24"/>
          <w:szCs w:val="24"/>
        </w:rPr>
        <w:lastRenderedPageBreak/>
        <w:t>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C3657F" w:rsidRDefault="00904965" w:rsidP="00904965">
      <w:pPr>
        <w:pStyle w:val="Recuodecorpodetexto3"/>
        <w:ind w:right="-198" w:firstLine="0"/>
        <w:rPr>
          <w:rFonts w:ascii="Times New Roman" w:hAnsi="Times New Roman"/>
          <w:b/>
          <w:color w:val="000000" w:themeColor="text1"/>
          <w:sz w:val="24"/>
          <w:szCs w:val="24"/>
        </w:rPr>
      </w:pPr>
      <w:r w:rsidRPr="00C3657F">
        <w:rPr>
          <w:rFonts w:ascii="Times New Roman" w:hAnsi="Times New Roman"/>
          <w:b/>
          <w:color w:val="000000" w:themeColor="text1"/>
          <w:sz w:val="24"/>
          <w:szCs w:val="24"/>
        </w:rPr>
        <w:t>Campo Nº 10.1</w:t>
      </w:r>
      <w:r w:rsidRPr="00C3657F">
        <w:rPr>
          <w:rFonts w:ascii="Times New Roman" w:hAnsi="Times New Roman"/>
          <w:b/>
          <w:color w:val="000000" w:themeColor="text1"/>
          <w:sz w:val="24"/>
          <w:szCs w:val="24"/>
        </w:rPr>
        <w:tab/>
      </w:r>
      <w:r w:rsidR="00244A00" w:rsidRPr="00C3657F">
        <w:rPr>
          <w:rFonts w:ascii="Times New Roman" w:hAnsi="Times New Roman"/>
          <w:b/>
          <w:color w:val="000000" w:themeColor="text1"/>
          <w:sz w:val="24"/>
          <w:szCs w:val="24"/>
        </w:rPr>
        <w:t>Quantidade (unidade informada, preferencialmente unidade de peso</w:t>
      </w:r>
      <w:r w:rsidR="00C3657F" w:rsidRPr="00C3657F">
        <w:rPr>
          <w:rFonts w:ascii="Times New Roman" w:hAnsi="Times New Roman"/>
          <w:b/>
          <w:color w:val="000000" w:themeColor="text1"/>
          <w:sz w:val="24"/>
          <w:szCs w:val="24"/>
        </w:rPr>
        <w:t xml:space="preserve"> em Kg/</w:t>
      </w:r>
      <w:proofErr w:type="spellStart"/>
      <w:r w:rsidR="00C3657F" w:rsidRPr="00C3657F">
        <w:rPr>
          <w:rFonts w:ascii="Times New Roman" w:hAnsi="Times New Roman"/>
          <w:b/>
          <w:color w:val="000000" w:themeColor="text1"/>
          <w:sz w:val="24"/>
          <w:szCs w:val="24"/>
        </w:rPr>
        <w:t>ton</w:t>
      </w:r>
      <w:proofErr w:type="spellEnd"/>
      <w:r w:rsidR="00244A00" w:rsidRPr="00C3657F">
        <w:rPr>
          <w:rFonts w:ascii="Times New Roman" w:hAnsi="Times New Roman"/>
          <w:b/>
          <w:color w:val="000000" w:themeColor="text1"/>
          <w:sz w:val="24"/>
          <w:szCs w:val="24"/>
        </w:rPr>
        <w:t>)</w:t>
      </w:r>
    </w:p>
    <w:p w:rsidR="00904965" w:rsidRPr="00C3657F" w:rsidRDefault="00904965" w:rsidP="00904965">
      <w:pPr>
        <w:pStyle w:val="Recuodecorpodetexto3"/>
        <w:ind w:left="2127" w:right="-198" w:hanging="2269"/>
        <w:rPr>
          <w:rFonts w:ascii="Times New Roman" w:hAnsi="Times New Roman"/>
          <w:color w:val="000000" w:themeColor="text1"/>
          <w:sz w:val="24"/>
          <w:szCs w:val="24"/>
        </w:rPr>
      </w:pPr>
      <w:r w:rsidRPr="00C3657F">
        <w:rPr>
          <w:rFonts w:ascii="Times New Roman" w:hAnsi="Times New Roman"/>
          <w:color w:val="000000" w:themeColor="text1"/>
          <w:sz w:val="24"/>
          <w:szCs w:val="24"/>
        </w:rPr>
        <w:t xml:space="preserve">  </w:t>
      </w:r>
      <w:r w:rsidR="00244A00" w:rsidRPr="00C3657F">
        <w:rPr>
          <w:rFonts w:ascii="Times New Roman" w:hAnsi="Times New Roman"/>
          <w:color w:val="000000" w:themeColor="text1"/>
          <w:sz w:val="24"/>
          <w:szCs w:val="24"/>
        </w:rPr>
        <w:t>Observação:</w:t>
      </w:r>
      <w:r w:rsidR="00244A00" w:rsidRPr="00C3657F">
        <w:rPr>
          <w:rFonts w:ascii="Times New Roman" w:hAnsi="Times New Roman"/>
          <w:color w:val="000000" w:themeColor="text1"/>
          <w:sz w:val="24"/>
          <w:szCs w:val="24"/>
        </w:rPr>
        <w:tab/>
        <w:t>Informar a quantidade vendida (em [unidade informada, preferencialmente unidade de peso: kg ou t]).</w:t>
      </w:r>
    </w:p>
    <w:p w:rsidR="00904965" w:rsidRDefault="00904965" w:rsidP="00904965">
      <w:pPr>
        <w:pStyle w:val="Recuodecorpodetexto3"/>
        <w:ind w:left="2127" w:right="-198" w:hanging="2269"/>
        <w:rPr>
          <w:rFonts w:ascii="Times New Roman" w:hAnsi="Times New Roman"/>
          <w:sz w:val="24"/>
          <w:szCs w:val="24"/>
        </w:rPr>
      </w:pP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Informar como tais valores foram obtidos no sistema contábil da empresa. Apresentar metodologia e memória de cálculo, bem como planilha com as contas contábeis </w:t>
      </w:r>
      <w:r w:rsidR="00244A00" w:rsidRPr="00A01D5C">
        <w:rPr>
          <w:rFonts w:ascii="Times New Roman" w:hAnsi="Times New Roman"/>
          <w:sz w:val="24"/>
          <w:szCs w:val="24"/>
        </w:rPr>
        <w:lastRenderedPageBreak/>
        <w:t>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6" w:name="_Toc12161866"/>
      <w:bookmarkEnd w:id="6"/>
    </w:p>
    <w:p w:rsidR="000D0087" w:rsidRDefault="000D0087">
      <w:pPr>
        <w:widowControl/>
        <w:rPr>
          <w:sz w:val="24"/>
          <w:szCs w:val="24"/>
        </w:rPr>
      </w:pPr>
      <w:r>
        <w:rPr>
          <w:sz w:val="24"/>
          <w:szCs w:val="24"/>
        </w:rPr>
        <w:br w:type="page"/>
      </w:r>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BBC" w:rsidRDefault="00AA3BBC">
      <w:r>
        <w:separator/>
      </w:r>
    </w:p>
  </w:endnote>
  <w:endnote w:type="continuationSeparator" w:id="0">
    <w:p w:rsidR="00AA3BBC" w:rsidRDefault="00AA3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0CAE">
      <w:rPr>
        <w:rStyle w:val="Nmerodepgina"/>
        <w:noProof/>
      </w:rPr>
      <w:t>22</w:t>
    </w:r>
    <w:r>
      <w:rPr>
        <w:rStyle w:val="Nmerodepgina"/>
      </w:rPr>
      <w:fldChar w:fldCharType="end"/>
    </w:r>
  </w:p>
  <w:p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BBC" w:rsidRDefault="00AA3BBC">
      <w:r>
        <w:separator/>
      </w:r>
    </w:p>
  </w:footnote>
  <w:footnote w:type="continuationSeparator" w:id="0">
    <w:p w:rsidR="00AA3BBC" w:rsidRDefault="00AA3BBC">
      <w:r>
        <w:continuationSeparator/>
      </w:r>
    </w:p>
  </w:footnote>
  <w:footnote w:id="1">
    <w:p w:rsidR="003F5246" w:rsidRDefault="003F5246"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3F5246" w:rsidRDefault="003F5246" w:rsidP="007E4B19">
      <w:pPr>
        <w:pStyle w:val="Textodenotaderodap"/>
      </w:pPr>
      <w:r>
        <w:rPr>
          <w:rStyle w:val="Refdenotaderodap"/>
        </w:rPr>
        <w:footnoteRef/>
      </w:r>
      <w:r>
        <w:t xml:space="preserve"> CONFIDENCIAL: significa que somente o Governo terá acesso às informações.</w:t>
      </w:r>
    </w:p>
  </w:footnote>
  <w:footnote w:id="3">
    <w:p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0CAE"/>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4B8B"/>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153C"/>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3BBC"/>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657F"/>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CF7914"/>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FD12012"/>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dcom@economia.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85D32-CEA6-43DF-9801-8D39B9AA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7579</Words>
  <Characters>40931</Characters>
  <Application>Microsoft Office Word</Application>
  <DocSecurity>2</DocSecurity>
  <Lines>341</Lines>
  <Paragraphs>96</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48414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NOTEBOOK</cp:lastModifiedBy>
  <cp:revision>6</cp:revision>
  <cp:lastPrinted>2015-06-23T13:05:00Z</cp:lastPrinted>
  <dcterms:created xsi:type="dcterms:W3CDTF">2019-06-06T18:09:00Z</dcterms:created>
  <dcterms:modified xsi:type="dcterms:W3CDTF">2021-02-19T18:11:00Z</dcterms:modified>
</cp:coreProperties>
</file>