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DB46" w14:textId="77777777" w:rsidR="00D3036F" w:rsidRPr="00D3036F" w:rsidRDefault="00D3036F" w:rsidP="00D3036F">
      <w:pPr>
        <w:pStyle w:val="Ttulo1"/>
      </w:pPr>
      <w:bookmarkStart w:id="0" w:name="_Toc27046502"/>
      <w:bookmarkStart w:id="1" w:name="_Toc27124087"/>
      <w:bookmarkStart w:id="2" w:name="_Toc27406332"/>
      <w:bookmarkStart w:id="3" w:name="_Toc27413922"/>
      <w:bookmarkStart w:id="4" w:name="_Toc27489064"/>
      <w:bookmarkStart w:id="5" w:name="_Toc27490254"/>
      <w:bookmarkStart w:id="6" w:name="_Toc27492829"/>
      <w:bookmarkStart w:id="7" w:name="_Toc28273304"/>
      <w:bookmarkStart w:id="8" w:name="_Toc31116248"/>
      <w:r w:rsidRPr="00D3036F">
        <w:t>QUESTIONÁRIO DE INTERESSE PÚBLICO</w:t>
      </w:r>
      <w:bookmarkEnd w:id="0"/>
      <w:bookmarkEnd w:id="1"/>
      <w:bookmarkEnd w:id="2"/>
      <w:bookmarkEnd w:id="3"/>
      <w:bookmarkEnd w:id="4"/>
      <w:bookmarkEnd w:id="5"/>
      <w:bookmarkEnd w:id="6"/>
      <w:bookmarkEnd w:id="7"/>
      <w:bookmarkEnd w:id="8"/>
    </w:p>
    <w:p w14:paraId="41BAECDD" w14:textId="77777777" w:rsidR="00D3036F" w:rsidRPr="00D3036F" w:rsidRDefault="00D3036F" w:rsidP="00D3036F"/>
    <w:p w14:paraId="3B1DAB5C" w14:textId="77777777" w:rsidR="00D3036F" w:rsidRPr="009A7324" w:rsidRDefault="00D3036F" w:rsidP="00D3036F">
      <w:pPr>
        <w:pBdr>
          <w:top w:val="nil"/>
          <w:left w:val="nil"/>
          <w:bottom w:val="nil"/>
          <w:right w:val="nil"/>
          <w:between w:val="nil"/>
        </w:pBdr>
        <w:tabs>
          <w:tab w:val="left" w:pos="9639"/>
        </w:tabs>
        <w:ind w:firstLine="0"/>
        <w:jc w:val="center"/>
        <w:rPr>
          <w:rFonts w:eastAsia="Garamond" w:cs="Times New Roman"/>
          <w:b/>
          <w:color w:val="000000"/>
          <w:szCs w:val="24"/>
        </w:rPr>
      </w:pPr>
      <w:r w:rsidRPr="009A7324">
        <w:rPr>
          <w:rFonts w:eastAsia="Garamond" w:cs="Times New Roman"/>
          <w:noProof/>
          <w:color w:val="000000"/>
          <w:szCs w:val="24"/>
        </w:rPr>
        <w:drawing>
          <wp:inline distT="0" distB="0" distL="0" distR="0" wp14:anchorId="08D61F0C" wp14:editId="1971CBE7">
            <wp:extent cx="640080" cy="676910"/>
            <wp:effectExtent l="0" t="0" r="0" b="0"/>
            <wp:docPr id="19464871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640080" cy="676910"/>
                    </a:xfrm>
                    <a:prstGeom prst="rect">
                      <a:avLst/>
                    </a:prstGeom>
                    <a:ln/>
                  </pic:spPr>
                </pic:pic>
              </a:graphicData>
            </a:graphic>
          </wp:inline>
        </w:drawing>
      </w:r>
    </w:p>
    <w:p w14:paraId="68B7B3B5" w14:textId="77777777" w:rsidR="002218A8" w:rsidRPr="002218A8" w:rsidRDefault="002218A8" w:rsidP="00D3036F">
      <w:pPr>
        <w:pBdr>
          <w:top w:val="nil"/>
          <w:left w:val="nil"/>
          <w:bottom w:val="nil"/>
          <w:right w:val="nil"/>
          <w:between w:val="nil"/>
        </w:pBdr>
        <w:tabs>
          <w:tab w:val="left" w:pos="9639"/>
        </w:tabs>
        <w:ind w:firstLine="0"/>
        <w:jc w:val="center"/>
        <w:rPr>
          <w:rFonts w:eastAsia="Garamond" w:cs="Times New Roman"/>
          <w:b/>
          <w:color w:val="000000"/>
          <w:sz w:val="22"/>
        </w:rPr>
      </w:pPr>
      <w:r w:rsidRPr="002218A8">
        <w:rPr>
          <w:rFonts w:eastAsia="Garamond" w:cs="Times New Roman"/>
          <w:b/>
          <w:color w:val="000000"/>
          <w:sz w:val="22"/>
        </w:rPr>
        <w:t>MINISTÉRIO DO DESENVOLVIMENTO, INDÚSTRIA, COMÉRCIO E SERVIÇOS</w:t>
      </w:r>
    </w:p>
    <w:p w14:paraId="26FA1881" w14:textId="4F125596" w:rsidR="00D3036F" w:rsidRPr="002218A8" w:rsidRDefault="002218A8" w:rsidP="00D3036F">
      <w:pPr>
        <w:pBdr>
          <w:top w:val="nil"/>
          <w:left w:val="nil"/>
          <w:bottom w:val="nil"/>
          <w:right w:val="nil"/>
          <w:between w:val="nil"/>
        </w:pBdr>
        <w:tabs>
          <w:tab w:val="left" w:pos="9639"/>
        </w:tabs>
        <w:ind w:firstLine="0"/>
        <w:jc w:val="center"/>
        <w:rPr>
          <w:rFonts w:eastAsia="Garamond" w:cs="Times New Roman"/>
          <w:color w:val="000000"/>
          <w:sz w:val="22"/>
        </w:rPr>
      </w:pPr>
      <w:r w:rsidRPr="002218A8">
        <w:rPr>
          <w:rFonts w:eastAsia="Garamond" w:cs="Times New Roman"/>
          <w:b/>
          <w:color w:val="000000"/>
          <w:sz w:val="22"/>
        </w:rPr>
        <w:t>SECRETARIA DE COMÉRCIO EXTERIOR</w:t>
      </w:r>
    </w:p>
    <w:p w14:paraId="638ACEA6" w14:textId="68C9B7CB" w:rsidR="00D3036F" w:rsidRPr="002218A8" w:rsidRDefault="002218A8" w:rsidP="00D3036F">
      <w:pPr>
        <w:pBdr>
          <w:top w:val="nil"/>
          <w:left w:val="nil"/>
          <w:bottom w:val="nil"/>
          <w:right w:val="nil"/>
          <w:between w:val="nil"/>
        </w:pBdr>
        <w:tabs>
          <w:tab w:val="left" w:pos="9639"/>
        </w:tabs>
        <w:ind w:firstLine="0"/>
        <w:jc w:val="center"/>
        <w:rPr>
          <w:rFonts w:eastAsia="Garamond" w:cs="Times New Roman"/>
          <w:b/>
          <w:color w:val="000000"/>
          <w:sz w:val="22"/>
        </w:rPr>
      </w:pPr>
      <w:r w:rsidRPr="002218A8">
        <w:rPr>
          <w:rFonts w:eastAsia="Garamond" w:cs="Times New Roman"/>
          <w:b/>
          <w:color w:val="000000"/>
          <w:sz w:val="22"/>
        </w:rPr>
        <w:t xml:space="preserve">DEPARTAMENTO DE DEFESA COMERCIAL </w:t>
      </w:r>
    </w:p>
    <w:p w14:paraId="7B7DBD9D" w14:textId="77777777" w:rsidR="002218A8" w:rsidRPr="009A7324" w:rsidRDefault="002218A8" w:rsidP="00D3036F">
      <w:pPr>
        <w:pBdr>
          <w:top w:val="nil"/>
          <w:left w:val="nil"/>
          <w:bottom w:val="nil"/>
          <w:right w:val="nil"/>
          <w:between w:val="nil"/>
        </w:pBdr>
        <w:tabs>
          <w:tab w:val="left" w:pos="9639"/>
        </w:tabs>
        <w:ind w:firstLine="0"/>
        <w:jc w:val="center"/>
        <w:rPr>
          <w:rFonts w:eastAsia="Garamond" w:cs="Times New Roman"/>
          <w:color w:val="000000"/>
          <w:szCs w:val="24"/>
        </w:rPr>
      </w:pPr>
    </w:p>
    <w:p w14:paraId="5F26A293" w14:textId="77777777" w:rsidR="00D3036F" w:rsidRPr="009A7324" w:rsidRDefault="00D3036F" w:rsidP="00D3036F">
      <w:pPr>
        <w:pBdr>
          <w:top w:val="nil"/>
          <w:left w:val="nil"/>
          <w:bottom w:val="nil"/>
          <w:right w:val="nil"/>
          <w:between w:val="nil"/>
        </w:pBdr>
        <w:tabs>
          <w:tab w:val="left" w:pos="9639"/>
        </w:tabs>
        <w:ind w:firstLine="0"/>
        <w:jc w:val="center"/>
        <w:rPr>
          <w:rFonts w:eastAsia="Garamond" w:cs="Times New Roman"/>
          <w:b/>
          <w:color w:val="000000"/>
          <w:szCs w:val="24"/>
        </w:rPr>
      </w:pPr>
    </w:p>
    <w:p w14:paraId="6837CD4C" w14:textId="77777777" w:rsidR="00D3036F" w:rsidRPr="009A7324" w:rsidRDefault="00D3036F" w:rsidP="00D3036F">
      <w:pPr>
        <w:pBdr>
          <w:top w:val="nil"/>
          <w:left w:val="nil"/>
          <w:bottom w:val="nil"/>
          <w:right w:val="nil"/>
          <w:between w:val="nil"/>
        </w:pBdr>
        <w:tabs>
          <w:tab w:val="left" w:pos="9639"/>
        </w:tabs>
        <w:ind w:firstLine="0"/>
        <w:jc w:val="center"/>
        <w:rPr>
          <w:rFonts w:eastAsia="Garamond" w:cs="Times New Roman"/>
          <w:b/>
          <w:color w:val="FFFFFF"/>
          <w:szCs w:val="24"/>
        </w:rPr>
      </w:pPr>
      <w:r w:rsidRPr="009A7324">
        <w:rPr>
          <w:rFonts w:eastAsia="Garamond" w:cs="Times New Roman"/>
          <w:b/>
          <w:color w:val="FFFFFF"/>
          <w:szCs w:val="24"/>
          <w:highlight w:val="black"/>
        </w:rPr>
        <w:t>QUESTIONÁRIO DE AVALIAÇÃO DE INTERESSE PÚBLICO:</w:t>
      </w:r>
    </w:p>
    <w:p w14:paraId="3FCBCC07" w14:textId="77777777" w:rsidR="00D3036F" w:rsidRPr="009A7324" w:rsidRDefault="00D3036F" w:rsidP="00D3036F">
      <w:pPr>
        <w:widowControl w:val="0"/>
        <w:tabs>
          <w:tab w:val="left" w:pos="9639"/>
        </w:tabs>
        <w:ind w:firstLine="0"/>
        <w:jc w:val="center"/>
        <w:rPr>
          <w:rFonts w:eastAsia="Garamond" w:cs="Times New Roman"/>
          <w:b/>
          <w:szCs w:val="24"/>
        </w:rPr>
      </w:pPr>
    </w:p>
    <w:p w14:paraId="085F0635" w14:textId="77777777" w:rsidR="00D3036F" w:rsidRPr="009A7324" w:rsidRDefault="00D3036F" w:rsidP="00D3036F">
      <w:pPr>
        <w:widowControl w:val="0"/>
        <w:tabs>
          <w:tab w:val="left" w:pos="9639"/>
        </w:tabs>
        <w:ind w:firstLine="0"/>
        <w:jc w:val="center"/>
        <w:rPr>
          <w:rFonts w:eastAsia="Garamond" w:cs="Times New Roman"/>
          <w:b/>
          <w:szCs w:val="24"/>
        </w:rPr>
      </w:pPr>
      <w:r w:rsidRPr="009A7324">
        <w:rPr>
          <w:rFonts w:eastAsia="Garamond" w:cs="Times New Roman"/>
          <w:b/>
          <w:szCs w:val="24"/>
        </w:rPr>
        <w:t>Instruções Gerais</w:t>
      </w:r>
    </w:p>
    <w:p w14:paraId="407DD4AE" w14:textId="77777777" w:rsidR="00D3036F" w:rsidRDefault="00D3036F" w:rsidP="00D3036F">
      <w:pPr>
        <w:pBdr>
          <w:top w:val="nil"/>
          <w:left w:val="nil"/>
          <w:bottom w:val="nil"/>
          <w:right w:val="nil"/>
          <w:between w:val="nil"/>
        </w:pBdr>
        <w:tabs>
          <w:tab w:val="left" w:pos="9639"/>
        </w:tabs>
        <w:rPr>
          <w:rFonts w:eastAsia="Garamond" w:cs="Times New Roman"/>
          <w:color w:val="000000"/>
          <w:szCs w:val="24"/>
        </w:rPr>
      </w:pPr>
    </w:p>
    <w:p w14:paraId="3654DE3E" w14:textId="3B91F8B9"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Este questionário tem por objetivo reunir informações necessárias à avaliação de interesse público a ser realizada pel</w:t>
      </w:r>
      <w:r w:rsidR="002218A8">
        <w:rPr>
          <w:rFonts w:eastAsia="Garamond" w:cs="Times New Roman"/>
          <w:color w:val="000000"/>
          <w:szCs w:val="24"/>
        </w:rPr>
        <w:t>o</w:t>
      </w:r>
      <w:r w:rsidRPr="009A7324">
        <w:rPr>
          <w:rFonts w:eastAsia="Garamond" w:cs="Times New Roman"/>
          <w:color w:val="000000"/>
          <w:szCs w:val="24"/>
        </w:rPr>
        <w:t xml:space="preserve"> </w:t>
      </w:r>
      <w:r w:rsidR="002218A8">
        <w:rPr>
          <w:rFonts w:eastAsia="Garamond" w:cs="Times New Roman"/>
          <w:color w:val="000000"/>
          <w:szCs w:val="24"/>
        </w:rPr>
        <w:t>Departamento</w:t>
      </w:r>
      <w:r w:rsidRPr="009A7324">
        <w:rPr>
          <w:rFonts w:eastAsia="Garamond" w:cs="Times New Roman"/>
          <w:color w:val="000000"/>
          <w:szCs w:val="24"/>
        </w:rPr>
        <w:t xml:space="preserve"> de Defesa Comercial (</w:t>
      </w:r>
      <w:r>
        <w:rPr>
          <w:rFonts w:eastAsia="Garamond" w:cs="Times New Roman"/>
          <w:color w:val="000000"/>
          <w:szCs w:val="24"/>
        </w:rPr>
        <w:t>“</w:t>
      </w:r>
      <w:r w:rsidR="002218A8">
        <w:rPr>
          <w:rFonts w:eastAsia="Garamond" w:cs="Times New Roman"/>
          <w:color w:val="000000"/>
          <w:szCs w:val="24"/>
        </w:rPr>
        <w:t>DECOM</w:t>
      </w:r>
      <w:r>
        <w:rPr>
          <w:rFonts w:eastAsia="Garamond" w:cs="Times New Roman"/>
          <w:color w:val="000000"/>
          <w:szCs w:val="24"/>
        </w:rPr>
        <w:t>”</w:t>
      </w:r>
      <w:r w:rsidRPr="009A7324">
        <w:rPr>
          <w:rFonts w:eastAsia="Garamond" w:cs="Times New Roman"/>
          <w:color w:val="000000"/>
          <w:szCs w:val="24"/>
        </w:rPr>
        <w:t>).</w:t>
      </w:r>
    </w:p>
    <w:p w14:paraId="70DED1DA" w14:textId="6927645E"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 xml:space="preserve">Nos termos da </w:t>
      </w:r>
      <w:r w:rsidRPr="00A27333">
        <w:rPr>
          <w:rFonts w:eastAsia="Garamond" w:cs="Times New Roman"/>
          <w:color w:val="000000"/>
          <w:szCs w:val="24"/>
        </w:rPr>
        <w:t>Portaria SECEX nº 13/2020, são</w:t>
      </w:r>
      <w:r w:rsidRPr="009A7324">
        <w:rPr>
          <w:rFonts w:eastAsia="Garamond" w:cs="Times New Roman"/>
          <w:color w:val="000000"/>
          <w:szCs w:val="24"/>
        </w:rPr>
        <w:t xml:space="preserve"> partes interessadas</w:t>
      </w:r>
      <w:bookmarkStart w:id="9" w:name="bookmark=id.2dlolyb" w:colFirst="0" w:colLast="0"/>
      <w:bookmarkEnd w:id="9"/>
      <w:r w:rsidRPr="009A7324">
        <w:rPr>
          <w:rFonts w:eastAsia="Garamond" w:cs="Times New Roman"/>
          <w:color w:val="000000"/>
          <w:szCs w:val="24"/>
        </w:rPr>
        <w:t xml:space="preserve"> no processo de avaliação de interesse público aqueles que</w:t>
      </w:r>
      <w:r w:rsidRPr="00930078">
        <w:rPr>
          <w:rFonts w:cs="Times New Roman"/>
          <w:szCs w:val="24"/>
        </w:rPr>
        <w:t xml:space="preserve"> puderem ser afetados pela decisão de aplicação de medidas de defesa comercial, desde que </w:t>
      </w:r>
      <w:r w:rsidRPr="009A7324">
        <w:rPr>
          <w:rFonts w:eastAsia="Garamond" w:cs="Times New Roman"/>
          <w:color w:val="000000"/>
          <w:szCs w:val="24"/>
        </w:rPr>
        <w:t xml:space="preserve">apresentem procuração com poderes específicos e responderem ao presente questionário. Ademais, são automaticamente consideradas como partes interessadas na avaliação de interesse público as partes interessadas na investigação </w:t>
      </w:r>
      <w:r w:rsidRPr="00A86001">
        <w:rPr>
          <w:rFonts w:eastAsia="Garamond" w:cs="Times New Roman"/>
          <w:color w:val="000000"/>
          <w:szCs w:val="24"/>
        </w:rPr>
        <w:t>de dumping</w:t>
      </w:r>
      <w:r>
        <w:rPr>
          <w:rFonts w:eastAsia="Garamond" w:cs="Times New Roman"/>
          <w:color w:val="000000"/>
          <w:szCs w:val="24"/>
        </w:rPr>
        <w:t xml:space="preserve"> </w:t>
      </w:r>
      <w:r w:rsidRPr="009A7324">
        <w:rPr>
          <w:rFonts w:eastAsia="Garamond" w:cs="Times New Roman"/>
          <w:color w:val="000000"/>
          <w:szCs w:val="24"/>
        </w:rPr>
        <w:t xml:space="preserve">ou subsídios, inclusive os peticionários da investigação de defesa comercial podem apresentar, desde o protocolo da sua petição </w:t>
      </w:r>
      <w:r w:rsidR="002218A8" w:rsidRPr="002218A8">
        <w:rPr>
          <w:rFonts w:eastAsia="Garamond" w:cs="Times New Roman"/>
          <w:color w:val="000000"/>
          <w:szCs w:val="24"/>
        </w:rPr>
        <w:t>no Sistema Eletrônico de Informações - SEI</w:t>
      </w:r>
      <w:r w:rsidRPr="009A7324">
        <w:rPr>
          <w:rFonts w:eastAsia="Garamond" w:cs="Times New Roman"/>
          <w:color w:val="000000"/>
          <w:szCs w:val="24"/>
        </w:rPr>
        <w:t>, informações a respeito da avaliação de interesse público, conforme este questionário. Sendo assim, o envio tempestivo do questionário preenchido e da procuração com poderes específicos para fins deste processo é obrigatório e necessário para a participação de interessados no processo de avaliação de interesse público.</w:t>
      </w:r>
    </w:p>
    <w:p w14:paraId="2F259687"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As partes interessadas que apresentarem procuração com poderes específicos disporão, para a submissão da resposta ao questionário de interesse público, do mesmo prazo inicial concedido para a restituição dos questionários de importador da investigação original ou da revisão de final de período em curso. O prazo para resposta ao questionário inicia-se no primeiro dia útil subsequente à data da publicação da Circular SECEX de início da investigação de defesa comercial.</w:t>
      </w:r>
    </w:p>
    <w:p w14:paraId="500C761C" w14:textId="5FF692DA" w:rsidR="00D3036F" w:rsidRPr="008A3029" w:rsidRDefault="00A27333" w:rsidP="00D3036F">
      <w:pPr>
        <w:pBdr>
          <w:top w:val="nil"/>
          <w:left w:val="nil"/>
          <w:bottom w:val="nil"/>
          <w:right w:val="nil"/>
          <w:between w:val="nil"/>
        </w:pBdr>
        <w:tabs>
          <w:tab w:val="left" w:pos="9639"/>
        </w:tabs>
        <w:rPr>
          <w:rFonts w:eastAsia="Garamond" w:cs="Times New Roman"/>
          <w:color w:val="212121"/>
          <w:szCs w:val="24"/>
        </w:rPr>
      </w:pPr>
      <w:r>
        <w:rPr>
          <w:rFonts w:eastAsia="Garamond" w:cs="Times New Roman"/>
          <w:color w:val="000000"/>
          <w:szCs w:val="24"/>
        </w:rPr>
        <w:lastRenderedPageBreak/>
        <w:t xml:space="preserve">A </w:t>
      </w:r>
      <w:r w:rsidR="00D3036F">
        <w:rPr>
          <w:rFonts w:eastAsia="Garamond" w:cs="Times New Roman"/>
          <w:color w:val="212121"/>
          <w:szCs w:val="24"/>
          <w:highlight w:val="white"/>
        </w:rPr>
        <w:t xml:space="preserve">avaliação levará em conta os </w:t>
      </w:r>
      <w:r w:rsidR="00D3036F">
        <w:rPr>
          <w:rFonts w:eastAsia="Garamond" w:cs="Times New Roman"/>
          <w:color w:val="212121"/>
          <w:szCs w:val="24"/>
        </w:rPr>
        <w:t xml:space="preserve">seguintes elementos primordiais: (1) características, cadeia produtiva e mercado do produto sob análise; (2) oferta internacional do produto sob análise; e (3) oferta nacional do produto sob análise. Para a avaliação final, </w:t>
      </w:r>
      <w:r w:rsidR="00D3036F">
        <w:rPr>
          <w:rFonts w:eastAsia="Garamond" w:cs="Times New Roman"/>
          <w:szCs w:val="24"/>
        </w:rPr>
        <w:t>além do aprofundamento dos elementos da análise preliminar, será analisado</w:t>
      </w:r>
      <w:r w:rsidR="00D3036F">
        <w:rPr>
          <w:rFonts w:eastAsia="Garamond" w:cs="Times New Roman"/>
          <w:color w:val="212121"/>
          <w:szCs w:val="24"/>
        </w:rPr>
        <w:t xml:space="preserve"> primordialmente o seguinte critério adicional: (4) impactos da medida de defesa comercial na dinâmica do mercado nacional.</w:t>
      </w:r>
    </w:p>
    <w:p w14:paraId="091BEB70" w14:textId="77777777" w:rsidR="00D3036F" w:rsidRPr="000949C8" w:rsidRDefault="00D3036F" w:rsidP="00D3036F">
      <w:pPr>
        <w:ind w:firstLine="0"/>
        <w:jc w:val="center"/>
        <w:rPr>
          <w:rFonts w:eastAsia="Garamond" w:cs="Times New Roman"/>
          <w:b/>
          <w:color w:val="1F3864" w:themeColor="accent1" w:themeShade="80"/>
          <w:szCs w:val="24"/>
        </w:rPr>
      </w:pPr>
      <w:r w:rsidRPr="000949C8">
        <w:rPr>
          <w:rFonts w:eastAsia="Garamond" w:cs="Times New Roman"/>
          <w:b/>
          <w:color w:val="1F3864" w:themeColor="accent1" w:themeShade="80"/>
          <w:szCs w:val="24"/>
        </w:rPr>
        <w:t xml:space="preserve">Quadro </w:t>
      </w:r>
      <w:r w:rsidR="000949C8" w:rsidRPr="000949C8">
        <w:rPr>
          <w:rFonts w:eastAsia="Garamond" w:cs="Times New Roman"/>
          <w:b/>
          <w:color w:val="1F3864" w:themeColor="accent1" w:themeShade="80"/>
          <w:szCs w:val="24"/>
        </w:rPr>
        <w:t>1</w:t>
      </w:r>
      <w:r w:rsidRPr="000949C8">
        <w:rPr>
          <w:rFonts w:eastAsia="Garamond" w:cs="Times New Roman"/>
          <w:b/>
          <w:color w:val="1F3864" w:themeColor="accent1" w:themeShade="80"/>
          <w:szCs w:val="24"/>
        </w:rPr>
        <w:t>: Critérios Analisados na Avaliação de Interesse Público (Resumo)</w:t>
      </w:r>
    </w:p>
    <w:tbl>
      <w:tblPr>
        <w:tblW w:w="8784" w:type="dxa"/>
        <w:jc w:val="center"/>
        <w:tblLook w:val="04A0" w:firstRow="1" w:lastRow="0" w:firstColumn="1" w:lastColumn="0" w:noHBand="0" w:noVBand="1"/>
      </w:tblPr>
      <w:tblGrid>
        <w:gridCol w:w="5665"/>
        <w:gridCol w:w="1560"/>
        <w:gridCol w:w="1559"/>
      </w:tblGrid>
      <w:tr w:rsidR="00D3036F" w14:paraId="53158C3B" w14:textId="77777777" w:rsidTr="00824360">
        <w:trPr>
          <w:jc w:val="center"/>
        </w:trPr>
        <w:tc>
          <w:tcPr>
            <w:tcW w:w="5665" w:type="dxa"/>
            <w:tcBorders>
              <w:top w:val="single" w:sz="4" w:space="0" w:color="auto"/>
              <w:left w:val="single" w:sz="4" w:space="0" w:color="auto"/>
              <w:bottom w:val="single" w:sz="4" w:space="0" w:color="auto"/>
              <w:right w:val="single" w:sz="4" w:space="0" w:color="auto"/>
            </w:tcBorders>
            <w:vAlign w:val="center"/>
          </w:tcPr>
          <w:p w14:paraId="0F23E44F" w14:textId="77777777" w:rsidR="00D3036F" w:rsidRPr="00424191" w:rsidRDefault="00D3036F" w:rsidP="00824360">
            <w:pPr>
              <w:spacing w:line="240" w:lineRule="auto"/>
              <w:ind w:firstLine="0"/>
              <w:rPr>
                <w:rFonts w:eastAsia="Garamond" w:cs="Times New Roman"/>
                <w:b/>
                <w:szCs w:val="24"/>
              </w:rPr>
            </w:pPr>
            <w:r w:rsidRPr="00424191">
              <w:rPr>
                <w:rFonts w:eastAsia="Garamond" w:cs="Times New Roman"/>
                <w:b/>
                <w:szCs w:val="24"/>
              </w:rPr>
              <w:t>Critérios Analisados</w:t>
            </w:r>
          </w:p>
        </w:tc>
        <w:tc>
          <w:tcPr>
            <w:tcW w:w="1560" w:type="dxa"/>
            <w:tcBorders>
              <w:top w:val="single" w:sz="4" w:space="0" w:color="auto"/>
              <w:left w:val="single" w:sz="4" w:space="0" w:color="auto"/>
              <w:bottom w:val="single" w:sz="4" w:space="0" w:color="auto"/>
              <w:right w:val="single" w:sz="4" w:space="0" w:color="auto"/>
            </w:tcBorders>
            <w:vAlign w:val="center"/>
          </w:tcPr>
          <w:p w14:paraId="6EFA5C26" w14:textId="77777777" w:rsidR="00D3036F" w:rsidRPr="00424191" w:rsidRDefault="00D3036F" w:rsidP="00824360">
            <w:pPr>
              <w:spacing w:line="240" w:lineRule="auto"/>
              <w:ind w:firstLine="0"/>
              <w:jc w:val="center"/>
              <w:rPr>
                <w:rFonts w:eastAsia="Garamond" w:cs="Times New Roman"/>
                <w:b/>
                <w:szCs w:val="24"/>
              </w:rPr>
            </w:pPr>
            <w:r w:rsidRPr="00424191">
              <w:rPr>
                <w:rFonts w:eastAsia="Garamond" w:cs="Times New Roman"/>
                <w:b/>
                <w:szCs w:val="24"/>
              </w:rPr>
              <w:t>Avaliação Preliminar de Interesse Público</w:t>
            </w:r>
          </w:p>
        </w:tc>
        <w:tc>
          <w:tcPr>
            <w:tcW w:w="1559" w:type="dxa"/>
            <w:tcBorders>
              <w:top w:val="single" w:sz="4" w:space="0" w:color="auto"/>
              <w:left w:val="single" w:sz="4" w:space="0" w:color="auto"/>
              <w:bottom w:val="single" w:sz="4" w:space="0" w:color="auto"/>
              <w:right w:val="single" w:sz="4" w:space="0" w:color="auto"/>
            </w:tcBorders>
            <w:vAlign w:val="center"/>
          </w:tcPr>
          <w:p w14:paraId="15AE1984" w14:textId="77777777" w:rsidR="00D3036F" w:rsidRPr="00424191" w:rsidRDefault="00D3036F" w:rsidP="00824360">
            <w:pPr>
              <w:spacing w:line="240" w:lineRule="auto"/>
              <w:ind w:firstLine="0"/>
              <w:jc w:val="center"/>
              <w:rPr>
                <w:rFonts w:eastAsia="Garamond" w:cs="Times New Roman"/>
                <w:b/>
                <w:szCs w:val="24"/>
              </w:rPr>
            </w:pPr>
            <w:r w:rsidRPr="00424191">
              <w:rPr>
                <w:rFonts w:eastAsia="Garamond" w:cs="Times New Roman"/>
                <w:b/>
                <w:szCs w:val="24"/>
              </w:rPr>
              <w:t>Avaliação Final de Interesse Público</w:t>
            </w:r>
          </w:p>
        </w:tc>
      </w:tr>
      <w:tr w:rsidR="00D3036F" w14:paraId="460EFF5D" w14:textId="77777777" w:rsidTr="00824360">
        <w:trPr>
          <w:jc w:val="center"/>
        </w:trPr>
        <w:tc>
          <w:tcPr>
            <w:tcW w:w="8784" w:type="dxa"/>
            <w:gridSpan w:val="3"/>
            <w:tcBorders>
              <w:left w:val="single" w:sz="4" w:space="0" w:color="auto"/>
              <w:right w:val="single" w:sz="4" w:space="0" w:color="auto"/>
            </w:tcBorders>
            <w:shd w:val="solid" w:color="auto" w:fill="auto"/>
            <w:vAlign w:val="center"/>
          </w:tcPr>
          <w:p w14:paraId="7CB1A4DF" w14:textId="77777777" w:rsidR="00D3036F" w:rsidRDefault="00D3036F" w:rsidP="00824360">
            <w:pPr>
              <w:spacing w:line="240" w:lineRule="auto"/>
              <w:ind w:firstLine="0"/>
              <w:jc w:val="left"/>
              <w:rPr>
                <w:rFonts w:eastAsia="Garamond" w:cs="Times New Roman"/>
                <w:szCs w:val="24"/>
              </w:rPr>
            </w:pPr>
            <w:r>
              <w:rPr>
                <w:rFonts w:eastAsia="Garamond" w:cs="Times New Roman"/>
                <w:b/>
                <w:color w:val="FFFFFF" w:themeColor="background1"/>
                <w:szCs w:val="24"/>
              </w:rPr>
              <w:t>I</w:t>
            </w:r>
            <w:r w:rsidRPr="002F76E3">
              <w:rPr>
                <w:rFonts w:eastAsia="Garamond" w:cs="Times New Roman"/>
                <w:b/>
                <w:color w:val="FFFFFF" w:themeColor="background1"/>
                <w:szCs w:val="24"/>
              </w:rPr>
              <w:t>. Características do produto, da cadeia produtiva e do mercado de produto sob análise</w:t>
            </w:r>
          </w:p>
        </w:tc>
      </w:tr>
      <w:tr w:rsidR="00D3036F" w14:paraId="162FCA8B" w14:textId="77777777" w:rsidTr="00824360">
        <w:trPr>
          <w:jc w:val="center"/>
        </w:trPr>
        <w:tc>
          <w:tcPr>
            <w:tcW w:w="5665" w:type="dxa"/>
            <w:tcBorders>
              <w:left w:val="single" w:sz="4" w:space="0" w:color="auto"/>
              <w:right w:val="single" w:sz="4" w:space="0" w:color="auto"/>
            </w:tcBorders>
            <w:vAlign w:val="center"/>
          </w:tcPr>
          <w:p w14:paraId="48677278" w14:textId="77777777" w:rsidR="00D3036F" w:rsidRPr="00040E21" w:rsidRDefault="00D3036F" w:rsidP="00824360">
            <w:pPr>
              <w:spacing w:line="240" w:lineRule="auto"/>
              <w:ind w:firstLine="0"/>
              <w:rPr>
                <w:rFonts w:eastAsia="Garamond" w:cs="Times New Roman"/>
                <w:color w:val="000000"/>
                <w:szCs w:val="24"/>
              </w:rPr>
            </w:pPr>
            <w:r>
              <w:rPr>
                <w:rFonts w:eastAsia="Garamond" w:cs="Times New Roman"/>
                <w:color w:val="000000"/>
                <w:szCs w:val="24"/>
              </w:rPr>
              <w:t>I</w:t>
            </w:r>
            <w:r w:rsidRPr="00040E21">
              <w:rPr>
                <w:rFonts w:eastAsia="Garamond" w:cs="Times New Roman"/>
                <w:color w:val="000000"/>
                <w:szCs w:val="24"/>
              </w:rPr>
              <w:t>.1 Características do produto sob análise</w:t>
            </w:r>
          </w:p>
        </w:tc>
        <w:tc>
          <w:tcPr>
            <w:tcW w:w="1560" w:type="dxa"/>
            <w:tcBorders>
              <w:left w:val="single" w:sz="4" w:space="0" w:color="auto"/>
              <w:right w:val="single" w:sz="4" w:space="0" w:color="auto"/>
            </w:tcBorders>
            <w:vAlign w:val="center"/>
          </w:tcPr>
          <w:p w14:paraId="439F3DB6"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559" w:type="dxa"/>
            <w:tcBorders>
              <w:left w:val="single" w:sz="4" w:space="0" w:color="auto"/>
              <w:right w:val="single" w:sz="4" w:space="0" w:color="auto"/>
            </w:tcBorders>
            <w:vAlign w:val="center"/>
          </w:tcPr>
          <w:p w14:paraId="4F0F39F8"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03B82689" w14:textId="77777777" w:rsidTr="00824360">
        <w:trPr>
          <w:jc w:val="center"/>
        </w:trPr>
        <w:tc>
          <w:tcPr>
            <w:tcW w:w="5665" w:type="dxa"/>
            <w:tcBorders>
              <w:left w:val="single" w:sz="4" w:space="0" w:color="auto"/>
              <w:right w:val="single" w:sz="4" w:space="0" w:color="auto"/>
            </w:tcBorders>
            <w:vAlign w:val="center"/>
          </w:tcPr>
          <w:p w14:paraId="4279FC1B" w14:textId="77777777" w:rsidR="00D3036F" w:rsidRPr="00040E21" w:rsidRDefault="00D3036F" w:rsidP="00824360">
            <w:pPr>
              <w:spacing w:line="240" w:lineRule="auto"/>
              <w:ind w:firstLine="0"/>
              <w:rPr>
                <w:rFonts w:eastAsia="Garamond" w:cs="Times New Roman"/>
                <w:color w:val="000000"/>
                <w:szCs w:val="24"/>
              </w:rPr>
            </w:pPr>
            <w:r>
              <w:rPr>
                <w:rFonts w:eastAsia="Garamond" w:cs="Times New Roman"/>
                <w:color w:val="000000"/>
                <w:szCs w:val="24"/>
              </w:rPr>
              <w:t>I</w:t>
            </w:r>
            <w:r w:rsidRPr="00040E21">
              <w:rPr>
                <w:rFonts w:eastAsia="Garamond" w:cs="Times New Roman"/>
                <w:color w:val="000000"/>
                <w:szCs w:val="24"/>
              </w:rPr>
              <w:t>.2 Cadeia produtiva do produto sob análise</w:t>
            </w:r>
          </w:p>
        </w:tc>
        <w:tc>
          <w:tcPr>
            <w:tcW w:w="1560" w:type="dxa"/>
            <w:tcBorders>
              <w:left w:val="single" w:sz="4" w:space="0" w:color="auto"/>
              <w:right w:val="single" w:sz="4" w:space="0" w:color="auto"/>
            </w:tcBorders>
            <w:vAlign w:val="center"/>
          </w:tcPr>
          <w:p w14:paraId="5CC967D5"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559" w:type="dxa"/>
            <w:tcBorders>
              <w:left w:val="single" w:sz="4" w:space="0" w:color="auto"/>
              <w:right w:val="single" w:sz="4" w:space="0" w:color="auto"/>
            </w:tcBorders>
            <w:vAlign w:val="center"/>
          </w:tcPr>
          <w:p w14:paraId="35A12FEB"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3F75AD39" w14:textId="77777777" w:rsidTr="00824360">
        <w:trPr>
          <w:jc w:val="center"/>
        </w:trPr>
        <w:tc>
          <w:tcPr>
            <w:tcW w:w="5665" w:type="dxa"/>
            <w:tcBorders>
              <w:left w:val="single" w:sz="4" w:space="0" w:color="auto"/>
              <w:right w:val="single" w:sz="4" w:space="0" w:color="auto"/>
            </w:tcBorders>
            <w:vAlign w:val="center"/>
          </w:tcPr>
          <w:p w14:paraId="4AAB1948" w14:textId="77777777" w:rsidR="00D3036F" w:rsidRPr="00040E21" w:rsidRDefault="00D3036F" w:rsidP="00824360">
            <w:pPr>
              <w:spacing w:line="240" w:lineRule="auto"/>
              <w:ind w:firstLine="0"/>
              <w:rPr>
                <w:rFonts w:eastAsia="Garamond" w:cs="Times New Roman"/>
                <w:color w:val="000000"/>
                <w:szCs w:val="24"/>
              </w:rPr>
            </w:pPr>
            <w:r>
              <w:rPr>
                <w:rFonts w:eastAsia="Garamond" w:cs="Times New Roman"/>
                <w:color w:val="000000"/>
                <w:szCs w:val="24"/>
              </w:rPr>
              <w:t>I</w:t>
            </w:r>
            <w:r w:rsidRPr="00040E21">
              <w:rPr>
                <w:rFonts w:eastAsia="Garamond" w:cs="Times New Roman"/>
                <w:color w:val="000000"/>
                <w:szCs w:val="24"/>
              </w:rPr>
              <w:t>.3 Substitutibilidade do produto sob análise</w:t>
            </w:r>
          </w:p>
        </w:tc>
        <w:tc>
          <w:tcPr>
            <w:tcW w:w="1560" w:type="dxa"/>
            <w:tcBorders>
              <w:left w:val="single" w:sz="4" w:space="0" w:color="auto"/>
              <w:right w:val="single" w:sz="4" w:space="0" w:color="auto"/>
            </w:tcBorders>
            <w:vAlign w:val="center"/>
          </w:tcPr>
          <w:p w14:paraId="20F5ABE3"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559" w:type="dxa"/>
            <w:tcBorders>
              <w:left w:val="single" w:sz="4" w:space="0" w:color="auto"/>
              <w:right w:val="single" w:sz="4" w:space="0" w:color="auto"/>
            </w:tcBorders>
            <w:vAlign w:val="center"/>
          </w:tcPr>
          <w:p w14:paraId="0BCFD6F2"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376CEE1E" w14:textId="77777777" w:rsidTr="00824360">
        <w:trPr>
          <w:jc w:val="center"/>
        </w:trPr>
        <w:tc>
          <w:tcPr>
            <w:tcW w:w="5665" w:type="dxa"/>
            <w:tcBorders>
              <w:left w:val="single" w:sz="4" w:space="0" w:color="auto"/>
              <w:right w:val="single" w:sz="4" w:space="0" w:color="auto"/>
            </w:tcBorders>
            <w:vAlign w:val="center"/>
          </w:tcPr>
          <w:p w14:paraId="20833D19" w14:textId="77777777" w:rsidR="00D3036F" w:rsidRPr="00040E21" w:rsidRDefault="00D3036F" w:rsidP="00824360">
            <w:pPr>
              <w:spacing w:line="240" w:lineRule="auto"/>
              <w:ind w:firstLine="0"/>
              <w:rPr>
                <w:rFonts w:eastAsia="Garamond" w:cs="Times New Roman"/>
                <w:color w:val="000000"/>
                <w:szCs w:val="24"/>
              </w:rPr>
            </w:pPr>
            <w:r>
              <w:rPr>
                <w:rFonts w:eastAsia="Garamond" w:cs="Times New Roman"/>
                <w:color w:val="000000"/>
                <w:szCs w:val="24"/>
              </w:rPr>
              <w:t>I</w:t>
            </w:r>
            <w:r w:rsidRPr="00040E21">
              <w:rPr>
                <w:rFonts w:eastAsia="Garamond" w:cs="Times New Roman"/>
                <w:color w:val="000000"/>
                <w:szCs w:val="24"/>
              </w:rPr>
              <w:t>.4. Concentração do mercado do produto sob análise</w:t>
            </w:r>
          </w:p>
        </w:tc>
        <w:tc>
          <w:tcPr>
            <w:tcW w:w="1560" w:type="dxa"/>
            <w:tcBorders>
              <w:left w:val="single" w:sz="4" w:space="0" w:color="auto"/>
              <w:right w:val="single" w:sz="4" w:space="0" w:color="auto"/>
            </w:tcBorders>
            <w:vAlign w:val="center"/>
          </w:tcPr>
          <w:p w14:paraId="65CBB64E"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559" w:type="dxa"/>
            <w:tcBorders>
              <w:left w:val="single" w:sz="4" w:space="0" w:color="auto"/>
              <w:right w:val="single" w:sz="4" w:space="0" w:color="auto"/>
            </w:tcBorders>
            <w:vAlign w:val="center"/>
          </w:tcPr>
          <w:p w14:paraId="531DC073"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06D12E2E" w14:textId="77777777" w:rsidTr="00824360">
        <w:trPr>
          <w:jc w:val="center"/>
        </w:trPr>
        <w:tc>
          <w:tcPr>
            <w:tcW w:w="8784" w:type="dxa"/>
            <w:gridSpan w:val="3"/>
            <w:tcBorders>
              <w:left w:val="single" w:sz="4" w:space="0" w:color="auto"/>
              <w:right w:val="single" w:sz="4" w:space="0" w:color="auto"/>
            </w:tcBorders>
            <w:shd w:val="solid" w:color="auto" w:fill="auto"/>
            <w:vAlign w:val="center"/>
          </w:tcPr>
          <w:p w14:paraId="68F7D5C7" w14:textId="77777777" w:rsidR="00D3036F" w:rsidRDefault="00D3036F" w:rsidP="00824360">
            <w:pPr>
              <w:spacing w:line="240" w:lineRule="auto"/>
              <w:ind w:firstLine="0"/>
              <w:jc w:val="left"/>
              <w:rPr>
                <w:rFonts w:eastAsia="Garamond" w:cs="Times New Roman"/>
                <w:szCs w:val="24"/>
              </w:rPr>
            </w:pPr>
            <w:r>
              <w:rPr>
                <w:rFonts w:eastAsia="Garamond" w:cs="Times New Roman"/>
                <w:b/>
                <w:color w:val="FFFFFF" w:themeColor="background1"/>
                <w:szCs w:val="24"/>
              </w:rPr>
              <w:t>II</w:t>
            </w:r>
            <w:r w:rsidRPr="002F76E3">
              <w:rPr>
                <w:rFonts w:eastAsia="Garamond" w:cs="Times New Roman"/>
                <w:b/>
                <w:color w:val="FFFFFF" w:themeColor="background1"/>
                <w:szCs w:val="24"/>
              </w:rPr>
              <w:t xml:space="preserve">. </w:t>
            </w:r>
            <w:r>
              <w:rPr>
                <w:rFonts w:eastAsia="Garamond" w:cs="Times New Roman"/>
                <w:b/>
                <w:color w:val="FFFFFF" w:themeColor="background1"/>
                <w:szCs w:val="24"/>
              </w:rPr>
              <w:t>Oferta internacional do produto sob análise</w:t>
            </w:r>
          </w:p>
        </w:tc>
      </w:tr>
      <w:tr w:rsidR="00D3036F" w14:paraId="1D9BB743" w14:textId="77777777" w:rsidTr="00824360">
        <w:trPr>
          <w:jc w:val="center"/>
        </w:trPr>
        <w:tc>
          <w:tcPr>
            <w:tcW w:w="5665" w:type="dxa"/>
            <w:tcBorders>
              <w:left w:val="single" w:sz="4" w:space="0" w:color="auto"/>
              <w:right w:val="single" w:sz="4" w:space="0" w:color="auto"/>
            </w:tcBorders>
            <w:vAlign w:val="center"/>
          </w:tcPr>
          <w:p w14:paraId="21E549FE" w14:textId="77777777" w:rsidR="00D3036F" w:rsidRPr="00040E21" w:rsidRDefault="00D3036F" w:rsidP="00824360">
            <w:pPr>
              <w:spacing w:line="240" w:lineRule="auto"/>
              <w:ind w:firstLine="0"/>
              <w:rPr>
                <w:rFonts w:eastAsia="Garamond" w:cs="Times New Roman"/>
                <w:color w:val="000000"/>
                <w:szCs w:val="24"/>
              </w:rPr>
            </w:pPr>
            <w:r>
              <w:rPr>
                <w:rFonts w:eastAsia="Garamond" w:cs="Times New Roman"/>
                <w:color w:val="000000"/>
                <w:szCs w:val="24"/>
              </w:rPr>
              <w:t>II</w:t>
            </w:r>
            <w:r w:rsidRPr="00040E21">
              <w:rPr>
                <w:rFonts w:eastAsia="Garamond" w:cs="Times New Roman"/>
                <w:color w:val="000000"/>
                <w:szCs w:val="24"/>
              </w:rPr>
              <w:t>.1 Origens alternativas do produto sob análise</w:t>
            </w:r>
          </w:p>
        </w:tc>
        <w:tc>
          <w:tcPr>
            <w:tcW w:w="1560" w:type="dxa"/>
            <w:tcBorders>
              <w:left w:val="single" w:sz="4" w:space="0" w:color="auto"/>
              <w:right w:val="single" w:sz="4" w:space="0" w:color="auto"/>
            </w:tcBorders>
            <w:vAlign w:val="center"/>
          </w:tcPr>
          <w:p w14:paraId="74546059"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559" w:type="dxa"/>
            <w:tcBorders>
              <w:left w:val="single" w:sz="4" w:space="0" w:color="auto"/>
              <w:right w:val="single" w:sz="4" w:space="0" w:color="auto"/>
            </w:tcBorders>
            <w:vAlign w:val="center"/>
          </w:tcPr>
          <w:p w14:paraId="640136AF"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48164AE4" w14:textId="77777777" w:rsidTr="00824360">
        <w:trPr>
          <w:jc w:val="center"/>
        </w:trPr>
        <w:tc>
          <w:tcPr>
            <w:tcW w:w="5665" w:type="dxa"/>
            <w:tcBorders>
              <w:left w:val="single" w:sz="4" w:space="0" w:color="auto"/>
              <w:right w:val="single" w:sz="4" w:space="0" w:color="auto"/>
            </w:tcBorders>
            <w:vAlign w:val="center"/>
          </w:tcPr>
          <w:p w14:paraId="79D23717" w14:textId="77777777" w:rsidR="00D3036F" w:rsidRPr="00040E21" w:rsidRDefault="00D3036F" w:rsidP="00824360">
            <w:pPr>
              <w:spacing w:line="240" w:lineRule="auto"/>
              <w:ind w:firstLine="0"/>
              <w:rPr>
                <w:rFonts w:eastAsia="Garamond" w:cs="Times New Roman"/>
                <w:color w:val="000000"/>
                <w:szCs w:val="24"/>
              </w:rPr>
            </w:pPr>
            <w:r>
              <w:rPr>
                <w:rFonts w:eastAsia="Garamond" w:cs="Times New Roman"/>
                <w:color w:val="000000"/>
                <w:szCs w:val="24"/>
              </w:rPr>
              <w:t>II</w:t>
            </w:r>
            <w:r w:rsidRPr="00040E21">
              <w:rPr>
                <w:rFonts w:eastAsia="Garamond" w:cs="Times New Roman"/>
                <w:color w:val="000000"/>
                <w:szCs w:val="24"/>
              </w:rPr>
              <w:t>.2 Barreiras tarifárias e não tarifárias ao produto sob análise</w:t>
            </w:r>
          </w:p>
        </w:tc>
        <w:tc>
          <w:tcPr>
            <w:tcW w:w="1560" w:type="dxa"/>
            <w:tcBorders>
              <w:left w:val="single" w:sz="4" w:space="0" w:color="auto"/>
              <w:right w:val="single" w:sz="4" w:space="0" w:color="auto"/>
            </w:tcBorders>
            <w:vAlign w:val="center"/>
          </w:tcPr>
          <w:p w14:paraId="10985E93"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559" w:type="dxa"/>
            <w:tcBorders>
              <w:left w:val="single" w:sz="4" w:space="0" w:color="auto"/>
              <w:right w:val="single" w:sz="4" w:space="0" w:color="auto"/>
            </w:tcBorders>
            <w:vAlign w:val="center"/>
          </w:tcPr>
          <w:p w14:paraId="4070F290"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37DE57D9" w14:textId="77777777" w:rsidTr="00824360">
        <w:trPr>
          <w:jc w:val="center"/>
        </w:trPr>
        <w:tc>
          <w:tcPr>
            <w:tcW w:w="8784" w:type="dxa"/>
            <w:gridSpan w:val="3"/>
            <w:tcBorders>
              <w:left w:val="single" w:sz="4" w:space="0" w:color="auto"/>
              <w:right w:val="single" w:sz="4" w:space="0" w:color="auto"/>
            </w:tcBorders>
            <w:shd w:val="solid" w:color="auto" w:fill="auto"/>
            <w:vAlign w:val="center"/>
          </w:tcPr>
          <w:p w14:paraId="1A43D8BC" w14:textId="77777777" w:rsidR="00D3036F" w:rsidRDefault="00D3036F" w:rsidP="00824360">
            <w:pPr>
              <w:spacing w:line="240" w:lineRule="auto"/>
              <w:ind w:firstLine="0"/>
              <w:jc w:val="left"/>
              <w:rPr>
                <w:rFonts w:eastAsia="Garamond" w:cs="Times New Roman"/>
                <w:szCs w:val="24"/>
              </w:rPr>
            </w:pPr>
            <w:r>
              <w:rPr>
                <w:rFonts w:eastAsia="Garamond" w:cs="Times New Roman"/>
                <w:b/>
                <w:color w:val="FFFFFF" w:themeColor="background1"/>
                <w:szCs w:val="24"/>
              </w:rPr>
              <w:t>III.</w:t>
            </w:r>
            <w:r w:rsidRPr="002F76E3">
              <w:rPr>
                <w:rFonts w:eastAsia="Garamond" w:cs="Times New Roman"/>
                <w:b/>
                <w:color w:val="FFFFFF" w:themeColor="background1"/>
                <w:szCs w:val="24"/>
              </w:rPr>
              <w:t xml:space="preserve"> </w:t>
            </w:r>
            <w:r>
              <w:rPr>
                <w:rFonts w:eastAsia="Garamond" w:cs="Times New Roman"/>
                <w:b/>
                <w:color w:val="FFFFFF" w:themeColor="background1"/>
                <w:szCs w:val="24"/>
              </w:rPr>
              <w:t>Oferta nacional do produto sob análise</w:t>
            </w:r>
          </w:p>
        </w:tc>
      </w:tr>
      <w:tr w:rsidR="00D3036F" w14:paraId="248B78B8" w14:textId="77777777" w:rsidTr="00824360">
        <w:trPr>
          <w:jc w:val="center"/>
        </w:trPr>
        <w:tc>
          <w:tcPr>
            <w:tcW w:w="5665" w:type="dxa"/>
            <w:tcBorders>
              <w:left w:val="single" w:sz="4" w:space="0" w:color="auto"/>
              <w:right w:val="single" w:sz="4" w:space="0" w:color="auto"/>
            </w:tcBorders>
            <w:vAlign w:val="center"/>
          </w:tcPr>
          <w:p w14:paraId="67DCF878" w14:textId="77777777" w:rsidR="00D3036F" w:rsidRPr="002C44E4" w:rsidRDefault="00D3036F" w:rsidP="00824360">
            <w:pPr>
              <w:spacing w:line="240" w:lineRule="auto"/>
              <w:ind w:firstLine="0"/>
              <w:rPr>
                <w:rFonts w:eastAsia="Garamond" w:cs="Times New Roman"/>
                <w:color w:val="000000"/>
                <w:szCs w:val="24"/>
              </w:rPr>
            </w:pPr>
            <w:r>
              <w:rPr>
                <w:rFonts w:eastAsia="Garamond" w:cs="Times New Roman"/>
                <w:color w:val="000000"/>
                <w:szCs w:val="24"/>
              </w:rPr>
              <w:t>III.1</w:t>
            </w:r>
            <w:r w:rsidRPr="00C33814">
              <w:rPr>
                <w:rFonts w:eastAsia="Garamond" w:cs="Times New Roman"/>
                <w:color w:val="000000"/>
                <w:szCs w:val="24"/>
              </w:rPr>
              <w:t xml:space="preserve"> Consumo nacional aparente do produto sob análise</w:t>
            </w:r>
          </w:p>
        </w:tc>
        <w:tc>
          <w:tcPr>
            <w:tcW w:w="1560" w:type="dxa"/>
            <w:tcBorders>
              <w:left w:val="single" w:sz="4" w:space="0" w:color="auto"/>
              <w:right w:val="single" w:sz="4" w:space="0" w:color="auto"/>
            </w:tcBorders>
            <w:vAlign w:val="center"/>
          </w:tcPr>
          <w:p w14:paraId="23350F3A"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559" w:type="dxa"/>
            <w:tcBorders>
              <w:left w:val="single" w:sz="4" w:space="0" w:color="auto"/>
              <w:right w:val="single" w:sz="4" w:space="0" w:color="auto"/>
            </w:tcBorders>
            <w:vAlign w:val="center"/>
          </w:tcPr>
          <w:p w14:paraId="4595F2AC"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4121EDBF" w14:textId="77777777" w:rsidTr="00824360">
        <w:trPr>
          <w:jc w:val="center"/>
        </w:trPr>
        <w:tc>
          <w:tcPr>
            <w:tcW w:w="5665" w:type="dxa"/>
            <w:tcBorders>
              <w:left w:val="single" w:sz="4" w:space="0" w:color="auto"/>
              <w:right w:val="single" w:sz="4" w:space="0" w:color="auto"/>
            </w:tcBorders>
            <w:vAlign w:val="center"/>
          </w:tcPr>
          <w:p w14:paraId="15A2E238" w14:textId="77777777" w:rsidR="00D3036F" w:rsidRPr="002C44E4" w:rsidRDefault="00D3036F" w:rsidP="00824360">
            <w:pPr>
              <w:spacing w:line="240" w:lineRule="auto"/>
              <w:ind w:firstLine="0"/>
              <w:rPr>
                <w:rFonts w:eastAsia="Garamond" w:cs="Times New Roman"/>
                <w:color w:val="000000"/>
                <w:szCs w:val="24"/>
              </w:rPr>
            </w:pPr>
            <w:r>
              <w:rPr>
                <w:rFonts w:eastAsia="Garamond" w:cs="Times New Roman"/>
                <w:color w:val="000000"/>
                <w:szCs w:val="24"/>
              </w:rPr>
              <w:t xml:space="preserve">III.2 </w:t>
            </w:r>
            <w:r w:rsidRPr="00C33814">
              <w:rPr>
                <w:rFonts w:eastAsia="Garamond" w:cs="Times New Roman"/>
                <w:color w:val="000000"/>
                <w:szCs w:val="24"/>
              </w:rPr>
              <w:t>Risco de desabastecimento e de interrupção do fornecimento em termos quantitativos</w:t>
            </w:r>
          </w:p>
        </w:tc>
        <w:tc>
          <w:tcPr>
            <w:tcW w:w="1560" w:type="dxa"/>
            <w:tcBorders>
              <w:left w:val="single" w:sz="4" w:space="0" w:color="auto"/>
              <w:right w:val="single" w:sz="4" w:space="0" w:color="auto"/>
            </w:tcBorders>
            <w:vAlign w:val="center"/>
          </w:tcPr>
          <w:p w14:paraId="24CD3ABD"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559" w:type="dxa"/>
            <w:tcBorders>
              <w:left w:val="single" w:sz="4" w:space="0" w:color="auto"/>
              <w:right w:val="single" w:sz="4" w:space="0" w:color="auto"/>
            </w:tcBorders>
            <w:vAlign w:val="center"/>
          </w:tcPr>
          <w:p w14:paraId="70532792"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6D16D822" w14:textId="77777777" w:rsidTr="00824360">
        <w:trPr>
          <w:jc w:val="center"/>
        </w:trPr>
        <w:tc>
          <w:tcPr>
            <w:tcW w:w="5665" w:type="dxa"/>
            <w:tcBorders>
              <w:left w:val="single" w:sz="4" w:space="0" w:color="auto"/>
              <w:right w:val="single" w:sz="4" w:space="0" w:color="auto"/>
            </w:tcBorders>
            <w:vAlign w:val="center"/>
          </w:tcPr>
          <w:p w14:paraId="4DAA8CD5" w14:textId="77777777" w:rsidR="00D3036F" w:rsidRPr="002C44E4" w:rsidRDefault="00D3036F" w:rsidP="00824360">
            <w:pPr>
              <w:spacing w:line="240" w:lineRule="auto"/>
              <w:ind w:firstLine="0"/>
              <w:rPr>
                <w:rFonts w:eastAsia="Garamond" w:cs="Times New Roman"/>
                <w:color w:val="000000"/>
                <w:szCs w:val="24"/>
              </w:rPr>
            </w:pPr>
            <w:r>
              <w:rPr>
                <w:rFonts w:eastAsia="Garamond" w:cs="Times New Roman"/>
                <w:color w:val="000000"/>
                <w:szCs w:val="24"/>
              </w:rPr>
              <w:t>III.3 Risco de restrições à oferta nacional em termos de preço, qualidade e variedade</w:t>
            </w:r>
          </w:p>
        </w:tc>
        <w:tc>
          <w:tcPr>
            <w:tcW w:w="1560" w:type="dxa"/>
            <w:tcBorders>
              <w:left w:val="single" w:sz="4" w:space="0" w:color="auto"/>
              <w:right w:val="single" w:sz="4" w:space="0" w:color="auto"/>
            </w:tcBorders>
            <w:vAlign w:val="center"/>
          </w:tcPr>
          <w:p w14:paraId="22E9960E"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559" w:type="dxa"/>
            <w:tcBorders>
              <w:left w:val="single" w:sz="4" w:space="0" w:color="auto"/>
              <w:right w:val="single" w:sz="4" w:space="0" w:color="auto"/>
            </w:tcBorders>
            <w:vAlign w:val="center"/>
          </w:tcPr>
          <w:p w14:paraId="762E6648"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48511B83" w14:textId="77777777" w:rsidTr="00824360">
        <w:trPr>
          <w:jc w:val="center"/>
        </w:trPr>
        <w:tc>
          <w:tcPr>
            <w:tcW w:w="8784" w:type="dxa"/>
            <w:gridSpan w:val="3"/>
            <w:tcBorders>
              <w:left w:val="single" w:sz="4" w:space="0" w:color="auto"/>
              <w:right w:val="single" w:sz="4" w:space="0" w:color="auto"/>
            </w:tcBorders>
            <w:shd w:val="solid" w:color="auto" w:fill="auto"/>
            <w:vAlign w:val="center"/>
          </w:tcPr>
          <w:p w14:paraId="206E737C" w14:textId="77777777" w:rsidR="00D3036F" w:rsidRDefault="00D3036F" w:rsidP="00824360">
            <w:pPr>
              <w:spacing w:line="240" w:lineRule="auto"/>
              <w:ind w:firstLine="0"/>
              <w:jc w:val="left"/>
              <w:rPr>
                <w:rFonts w:eastAsia="Garamond" w:cs="Times New Roman"/>
                <w:szCs w:val="24"/>
              </w:rPr>
            </w:pPr>
            <w:r>
              <w:rPr>
                <w:rFonts w:eastAsia="Garamond" w:cs="Times New Roman"/>
                <w:b/>
                <w:color w:val="FFFFFF" w:themeColor="background1"/>
                <w:szCs w:val="24"/>
              </w:rPr>
              <w:t>IV. Impactos da medida de defesa comercial na dinâmica do mercado nacional</w:t>
            </w:r>
          </w:p>
        </w:tc>
      </w:tr>
      <w:tr w:rsidR="00D3036F" w14:paraId="30078023" w14:textId="77777777" w:rsidTr="00824360">
        <w:trPr>
          <w:jc w:val="center"/>
        </w:trPr>
        <w:tc>
          <w:tcPr>
            <w:tcW w:w="5665" w:type="dxa"/>
            <w:tcBorders>
              <w:left w:val="single" w:sz="4" w:space="0" w:color="auto"/>
              <w:right w:val="single" w:sz="4" w:space="0" w:color="auto"/>
            </w:tcBorders>
            <w:vAlign w:val="center"/>
          </w:tcPr>
          <w:p w14:paraId="6A9944A8" w14:textId="77777777" w:rsidR="00D3036F" w:rsidRPr="002C44E4" w:rsidRDefault="00D3036F" w:rsidP="00824360">
            <w:pPr>
              <w:spacing w:line="240" w:lineRule="auto"/>
              <w:ind w:firstLine="0"/>
              <w:rPr>
                <w:rFonts w:eastAsia="Garamond" w:cs="Times New Roman"/>
                <w:color w:val="000000"/>
                <w:szCs w:val="24"/>
              </w:rPr>
            </w:pPr>
            <w:r>
              <w:rPr>
                <w:rFonts w:eastAsia="Garamond" w:cs="Times New Roman"/>
                <w:color w:val="000000"/>
                <w:szCs w:val="24"/>
              </w:rPr>
              <w:t>IV.1 I</w:t>
            </w:r>
            <w:r w:rsidRPr="009A7324">
              <w:rPr>
                <w:rFonts w:eastAsia="Garamond" w:cs="Times New Roman"/>
                <w:color w:val="000000"/>
                <w:szCs w:val="24"/>
              </w:rPr>
              <w:t xml:space="preserve">mpactos </w:t>
            </w:r>
            <w:r>
              <w:rPr>
                <w:rFonts w:eastAsia="Garamond" w:cs="Times New Roman"/>
                <w:color w:val="000000"/>
                <w:szCs w:val="24"/>
              </w:rPr>
              <w:t>n</w:t>
            </w:r>
            <w:r w:rsidRPr="009A7324">
              <w:rPr>
                <w:rFonts w:eastAsia="Garamond" w:cs="Times New Roman"/>
                <w:color w:val="000000"/>
                <w:szCs w:val="24"/>
              </w:rPr>
              <w:t>a indústria doméstica</w:t>
            </w:r>
          </w:p>
        </w:tc>
        <w:tc>
          <w:tcPr>
            <w:tcW w:w="1560" w:type="dxa"/>
            <w:tcBorders>
              <w:left w:val="single" w:sz="4" w:space="0" w:color="auto"/>
              <w:right w:val="single" w:sz="4" w:space="0" w:color="auto"/>
            </w:tcBorders>
            <w:vAlign w:val="center"/>
          </w:tcPr>
          <w:p w14:paraId="14EBD998"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w:t>
            </w:r>
          </w:p>
        </w:tc>
        <w:tc>
          <w:tcPr>
            <w:tcW w:w="1559" w:type="dxa"/>
            <w:tcBorders>
              <w:left w:val="single" w:sz="4" w:space="0" w:color="auto"/>
              <w:right w:val="single" w:sz="4" w:space="0" w:color="auto"/>
            </w:tcBorders>
            <w:vAlign w:val="center"/>
          </w:tcPr>
          <w:p w14:paraId="370759A9"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27C4375A" w14:textId="77777777" w:rsidTr="00824360">
        <w:trPr>
          <w:jc w:val="center"/>
        </w:trPr>
        <w:tc>
          <w:tcPr>
            <w:tcW w:w="5665" w:type="dxa"/>
            <w:tcBorders>
              <w:left w:val="single" w:sz="4" w:space="0" w:color="auto"/>
              <w:right w:val="single" w:sz="4" w:space="0" w:color="auto"/>
            </w:tcBorders>
            <w:vAlign w:val="center"/>
          </w:tcPr>
          <w:p w14:paraId="2ACB8D17" w14:textId="77777777" w:rsidR="00D3036F" w:rsidRPr="002C44E4" w:rsidRDefault="00D3036F" w:rsidP="00824360">
            <w:pPr>
              <w:spacing w:line="240" w:lineRule="auto"/>
              <w:ind w:firstLine="0"/>
              <w:rPr>
                <w:rFonts w:eastAsia="Garamond" w:cs="Times New Roman"/>
                <w:color w:val="000000"/>
                <w:szCs w:val="24"/>
              </w:rPr>
            </w:pPr>
            <w:r>
              <w:rPr>
                <w:rFonts w:eastAsia="Garamond" w:cs="Times New Roman"/>
                <w:color w:val="000000"/>
                <w:szCs w:val="24"/>
              </w:rPr>
              <w:t>IV.2 I</w:t>
            </w:r>
            <w:r w:rsidRPr="009A7324">
              <w:rPr>
                <w:rFonts w:eastAsia="Garamond" w:cs="Times New Roman"/>
                <w:color w:val="000000"/>
                <w:szCs w:val="24"/>
              </w:rPr>
              <w:t xml:space="preserve">mpactos </w:t>
            </w:r>
            <w:r>
              <w:rPr>
                <w:rFonts w:eastAsia="Garamond" w:cs="Times New Roman"/>
                <w:color w:val="000000"/>
                <w:szCs w:val="24"/>
              </w:rPr>
              <w:t>n</w:t>
            </w:r>
            <w:r w:rsidRPr="009A7324">
              <w:rPr>
                <w:rFonts w:eastAsia="Garamond" w:cs="Times New Roman"/>
                <w:color w:val="000000"/>
                <w:szCs w:val="24"/>
              </w:rPr>
              <w:t>a cadeia a montante</w:t>
            </w:r>
          </w:p>
        </w:tc>
        <w:tc>
          <w:tcPr>
            <w:tcW w:w="1560" w:type="dxa"/>
            <w:tcBorders>
              <w:left w:val="single" w:sz="4" w:space="0" w:color="auto"/>
              <w:right w:val="single" w:sz="4" w:space="0" w:color="auto"/>
            </w:tcBorders>
            <w:vAlign w:val="center"/>
          </w:tcPr>
          <w:p w14:paraId="5DF0850B"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w:t>
            </w:r>
          </w:p>
        </w:tc>
        <w:tc>
          <w:tcPr>
            <w:tcW w:w="1559" w:type="dxa"/>
            <w:tcBorders>
              <w:left w:val="single" w:sz="4" w:space="0" w:color="auto"/>
              <w:right w:val="single" w:sz="4" w:space="0" w:color="auto"/>
            </w:tcBorders>
            <w:vAlign w:val="center"/>
          </w:tcPr>
          <w:p w14:paraId="6F2CE118"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5CA57A19" w14:textId="77777777" w:rsidTr="00824360">
        <w:trPr>
          <w:jc w:val="center"/>
        </w:trPr>
        <w:tc>
          <w:tcPr>
            <w:tcW w:w="5665" w:type="dxa"/>
            <w:tcBorders>
              <w:left w:val="single" w:sz="4" w:space="0" w:color="auto"/>
              <w:bottom w:val="single" w:sz="4" w:space="0" w:color="auto"/>
              <w:right w:val="single" w:sz="4" w:space="0" w:color="auto"/>
            </w:tcBorders>
            <w:vAlign w:val="center"/>
          </w:tcPr>
          <w:p w14:paraId="2D8C453F" w14:textId="77777777" w:rsidR="00D3036F" w:rsidRPr="002C44E4" w:rsidRDefault="00D3036F" w:rsidP="00824360">
            <w:pPr>
              <w:spacing w:line="240" w:lineRule="auto"/>
              <w:ind w:firstLine="0"/>
              <w:rPr>
                <w:rFonts w:eastAsia="Garamond" w:cs="Times New Roman"/>
                <w:color w:val="000000"/>
                <w:szCs w:val="24"/>
              </w:rPr>
            </w:pPr>
            <w:r>
              <w:rPr>
                <w:rFonts w:eastAsia="Garamond" w:cs="Times New Roman"/>
                <w:color w:val="000000"/>
                <w:szCs w:val="24"/>
              </w:rPr>
              <w:t>IV.3 I</w:t>
            </w:r>
            <w:r w:rsidRPr="009A7324">
              <w:rPr>
                <w:rFonts w:eastAsia="Garamond" w:cs="Times New Roman"/>
                <w:color w:val="000000"/>
                <w:szCs w:val="24"/>
              </w:rPr>
              <w:t>mpactos na cadeia a jusante</w:t>
            </w:r>
          </w:p>
        </w:tc>
        <w:tc>
          <w:tcPr>
            <w:tcW w:w="1560" w:type="dxa"/>
            <w:tcBorders>
              <w:left w:val="single" w:sz="4" w:space="0" w:color="auto"/>
              <w:bottom w:val="single" w:sz="4" w:space="0" w:color="auto"/>
              <w:right w:val="single" w:sz="4" w:space="0" w:color="auto"/>
            </w:tcBorders>
            <w:vAlign w:val="center"/>
          </w:tcPr>
          <w:p w14:paraId="79495BA6"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w:t>
            </w:r>
          </w:p>
        </w:tc>
        <w:tc>
          <w:tcPr>
            <w:tcW w:w="1559" w:type="dxa"/>
            <w:tcBorders>
              <w:left w:val="single" w:sz="4" w:space="0" w:color="auto"/>
              <w:bottom w:val="single" w:sz="4" w:space="0" w:color="auto"/>
              <w:right w:val="single" w:sz="4" w:space="0" w:color="auto"/>
            </w:tcBorders>
            <w:vAlign w:val="center"/>
          </w:tcPr>
          <w:p w14:paraId="0E4DE060"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55059A12" w14:textId="77777777" w:rsidTr="00824360">
        <w:trPr>
          <w:jc w:val="center"/>
        </w:trPr>
        <w:tc>
          <w:tcPr>
            <w:tcW w:w="8784" w:type="dxa"/>
            <w:gridSpan w:val="3"/>
            <w:tcBorders>
              <w:left w:val="single" w:sz="4" w:space="0" w:color="auto"/>
              <w:right w:val="single" w:sz="4" w:space="0" w:color="auto"/>
            </w:tcBorders>
            <w:shd w:val="solid" w:color="auto" w:fill="auto"/>
            <w:vAlign w:val="center"/>
          </w:tcPr>
          <w:p w14:paraId="5349E5E6" w14:textId="77777777" w:rsidR="00D3036F" w:rsidRPr="00916FCC" w:rsidRDefault="00D3036F" w:rsidP="00824360">
            <w:pPr>
              <w:spacing w:line="240" w:lineRule="auto"/>
              <w:ind w:firstLine="0"/>
              <w:jc w:val="left"/>
              <w:rPr>
                <w:rFonts w:eastAsia="Garamond" w:cs="Times New Roman"/>
                <w:b/>
                <w:color w:val="FFFFFF" w:themeColor="background1"/>
                <w:szCs w:val="24"/>
              </w:rPr>
            </w:pPr>
            <w:r w:rsidRPr="00916FCC">
              <w:rPr>
                <w:rFonts w:eastAsia="Garamond" w:cs="Times New Roman"/>
                <w:b/>
                <w:color w:val="FFFFFF" w:themeColor="background1"/>
                <w:szCs w:val="24"/>
              </w:rPr>
              <w:t>Anexo</w:t>
            </w:r>
          </w:p>
        </w:tc>
      </w:tr>
      <w:tr w:rsidR="00D3036F" w14:paraId="66F43EC1" w14:textId="77777777" w:rsidTr="00824360">
        <w:trPr>
          <w:jc w:val="center"/>
        </w:trPr>
        <w:tc>
          <w:tcPr>
            <w:tcW w:w="5665" w:type="dxa"/>
            <w:tcBorders>
              <w:left w:val="single" w:sz="4" w:space="0" w:color="auto"/>
              <w:bottom w:val="single" w:sz="4" w:space="0" w:color="auto"/>
              <w:right w:val="single" w:sz="4" w:space="0" w:color="auto"/>
            </w:tcBorders>
            <w:vAlign w:val="center"/>
          </w:tcPr>
          <w:p w14:paraId="52F4857F" w14:textId="77777777" w:rsidR="00D3036F" w:rsidRDefault="00D3036F" w:rsidP="00824360">
            <w:pPr>
              <w:spacing w:line="240" w:lineRule="auto"/>
              <w:ind w:firstLine="0"/>
              <w:rPr>
                <w:rFonts w:eastAsia="Garamond" w:cs="Times New Roman"/>
                <w:color w:val="000000"/>
                <w:szCs w:val="24"/>
              </w:rPr>
            </w:pPr>
            <w:r>
              <w:t>Simulação de impactos</w:t>
            </w:r>
          </w:p>
        </w:tc>
        <w:tc>
          <w:tcPr>
            <w:tcW w:w="1560" w:type="dxa"/>
            <w:tcBorders>
              <w:left w:val="single" w:sz="4" w:space="0" w:color="auto"/>
              <w:bottom w:val="single" w:sz="4" w:space="0" w:color="auto"/>
              <w:right w:val="single" w:sz="4" w:space="0" w:color="auto"/>
            </w:tcBorders>
            <w:vAlign w:val="center"/>
          </w:tcPr>
          <w:p w14:paraId="09B234A1"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w:t>
            </w:r>
          </w:p>
        </w:tc>
        <w:tc>
          <w:tcPr>
            <w:tcW w:w="1559" w:type="dxa"/>
            <w:tcBorders>
              <w:left w:val="single" w:sz="4" w:space="0" w:color="auto"/>
              <w:bottom w:val="single" w:sz="4" w:space="0" w:color="auto"/>
              <w:right w:val="single" w:sz="4" w:space="0" w:color="auto"/>
            </w:tcBorders>
            <w:vAlign w:val="center"/>
          </w:tcPr>
          <w:p w14:paraId="1499AFA6"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bl>
    <w:p w14:paraId="43186EF2" w14:textId="77777777" w:rsidR="00D3036F" w:rsidRPr="005958FA" w:rsidRDefault="00D3036F" w:rsidP="00D3036F">
      <w:pPr>
        <w:ind w:firstLine="0"/>
        <w:rPr>
          <w:rFonts w:eastAsia="Garamond" w:cs="Times New Roman"/>
          <w:color w:val="5B9BD5" w:themeColor="accent5"/>
          <w:szCs w:val="24"/>
        </w:rPr>
      </w:pPr>
    </w:p>
    <w:p w14:paraId="0D7A7E65" w14:textId="25A550F4" w:rsidR="00D3036F" w:rsidRPr="009A7324" w:rsidRDefault="00950725" w:rsidP="00D3036F">
      <w:pPr>
        <w:pBdr>
          <w:top w:val="nil"/>
          <w:left w:val="nil"/>
          <w:bottom w:val="nil"/>
          <w:right w:val="nil"/>
          <w:between w:val="nil"/>
        </w:pBdr>
        <w:tabs>
          <w:tab w:val="left" w:pos="9639"/>
        </w:tabs>
        <w:rPr>
          <w:rFonts w:eastAsia="Garamond" w:cs="Times New Roman"/>
          <w:color w:val="000000"/>
          <w:szCs w:val="24"/>
        </w:rPr>
      </w:pPr>
      <w:r>
        <w:t>A</w:t>
      </w:r>
      <w:r w:rsidR="00D3036F">
        <w:t xml:space="preserve"> avaliação de interesse público é facultativa, mediante pleito apresentado com base em Questionário de Interesse Público devidamente preenchido ou </w:t>
      </w:r>
      <w:r w:rsidR="00D3036F">
        <w:rPr>
          <w:i/>
        </w:rPr>
        <w:t>ex officio</w:t>
      </w:r>
      <w:r w:rsidR="00D3036F">
        <w:t xml:space="preserve">, a critério </w:t>
      </w:r>
      <w:r w:rsidR="002218A8">
        <w:t>do DECOM</w:t>
      </w:r>
      <w:r w:rsidR="00A86001">
        <w:t>.</w:t>
      </w:r>
      <w:r w:rsidR="00D3036F">
        <w:t xml:space="preserve"> </w:t>
      </w:r>
      <w:r w:rsidR="00A86001">
        <w:t>N</w:t>
      </w:r>
      <w:r w:rsidR="00D3036F">
        <w:rPr>
          <w:rFonts w:cs="Times New Roman"/>
          <w:szCs w:val="24"/>
        </w:rPr>
        <w:t xml:space="preserve">ão será admitida a abertura de avaliação de interesse público quando o Questionário de Interesse Público submetido pelas partes interessadas não apresentar, na narrativa dos seus fatos e fundamentos, indícios de interesse público e/ou elementos mínimos de inteligibilidade, podendo </w:t>
      </w:r>
      <w:r>
        <w:rPr>
          <w:rFonts w:cs="Times New Roman"/>
          <w:szCs w:val="24"/>
        </w:rPr>
        <w:t>o DECOM</w:t>
      </w:r>
      <w:r w:rsidR="00D3036F">
        <w:rPr>
          <w:rFonts w:cs="Times New Roman"/>
          <w:szCs w:val="24"/>
        </w:rPr>
        <w:t xml:space="preserve"> indeferir o pleito, </w:t>
      </w:r>
      <w:r w:rsidR="00D3036F" w:rsidRPr="000411A1">
        <w:rPr>
          <w:rFonts w:cs="Times New Roman"/>
          <w:szCs w:val="24"/>
        </w:rPr>
        <w:t>sem análise do mérito</w:t>
      </w:r>
      <w:r w:rsidR="00D3036F">
        <w:rPr>
          <w:rFonts w:cs="Times New Roman"/>
          <w:szCs w:val="24"/>
        </w:rPr>
        <w:t>.</w:t>
      </w:r>
      <w:r w:rsidR="00D3036F" w:rsidRPr="000411A1">
        <w:rPr>
          <w:rFonts w:cs="Times New Roman"/>
          <w:szCs w:val="24"/>
        </w:rPr>
        <w:t xml:space="preserve"> </w:t>
      </w:r>
      <w:r w:rsidR="00D3036F" w:rsidRPr="009A7324">
        <w:rPr>
          <w:rFonts w:eastAsia="Garamond" w:cs="Times New Roman"/>
          <w:color w:val="000000"/>
          <w:szCs w:val="24"/>
        </w:rPr>
        <w:t xml:space="preserve">O questionário preenchido e a procuração </w:t>
      </w:r>
      <w:r w:rsidR="00D3036F">
        <w:rPr>
          <w:rFonts w:eastAsia="Garamond" w:cs="Times New Roman"/>
          <w:color w:val="000000"/>
          <w:szCs w:val="24"/>
        </w:rPr>
        <w:t>deve</w:t>
      </w:r>
      <w:r w:rsidR="00D3036F" w:rsidRPr="009A7324">
        <w:rPr>
          <w:rFonts w:eastAsia="Garamond" w:cs="Times New Roman"/>
          <w:color w:val="000000"/>
          <w:szCs w:val="24"/>
        </w:rPr>
        <w:t>rão ser protocolados</w:t>
      </w:r>
      <w:r>
        <w:rPr>
          <w:rFonts w:eastAsia="Garamond" w:cs="Times New Roman"/>
          <w:color w:val="000000"/>
          <w:szCs w:val="24"/>
        </w:rPr>
        <w:t xml:space="preserve"> </w:t>
      </w:r>
      <w:r w:rsidRPr="00950725">
        <w:rPr>
          <w:rFonts w:eastAsia="Garamond" w:cs="Times New Roman"/>
          <w:color w:val="000000"/>
          <w:szCs w:val="24"/>
        </w:rPr>
        <w:t xml:space="preserve">de forma </w:t>
      </w:r>
      <w:r w:rsidRPr="00950725">
        <w:rPr>
          <w:rFonts w:eastAsia="Garamond" w:cs="Times New Roman"/>
          <w:color w:val="000000"/>
          <w:szCs w:val="24"/>
        </w:rPr>
        <w:lastRenderedPageBreak/>
        <w:t>simultânea</w:t>
      </w:r>
      <w:r w:rsidR="00FA098D">
        <w:rPr>
          <w:rFonts w:eastAsia="Garamond" w:cs="Times New Roman"/>
          <w:color w:val="000000"/>
          <w:szCs w:val="24"/>
        </w:rPr>
        <w:t xml:space="preserve"> </w:t>
      </w:r>
      <w:r w:rsidRPr="00950725">
        <w:rPr>
          <w:rFonts w:eastAsia="Garamond" w:cs="Times New Roman"/>
          <w:color w:val="000000"/>
          <w:szCs w:val="24"/>
        </w:rPr>
        <w:t xml:space="preserve">nos Processos SEI </w:t>
      </w:r>
      <w:r>
        <w:rPr>
          <w:rFonts w:eastAsia="Garamond" w:cs="Times New Roman"/>
          <w:color w:val="000000"/>
          <w:szCs w:val="24"/>
        </w:rPr>
        <w:t>público</w:t>
      </w:r>
      <w:r w:rsidR="00A86001">
        <w:rPr>
          <w:rFonts w:eastAsia="Garamond" w:cs="Times New Roman"/>
          <w:color w:val="000000"/>
          <w:szCs w:val="24"/>
        </w:rPr>
        <w:t xml:space="preserve"> e </w:t>
      </w:r>
      <w:r w:rsidRPr="00950725">
        <w:rPr>
          <w:rFonts w:eastAsia="Garamond" w:cs="Times New Roman"/>
          <w:color w:val="000000"/>
          <w:szCs w:val="24"/>
        </w:rPr>
        <w:t>confidencial no Sistema Eletrônico de Informações - SEI</w:t>
      </w:r>
      <w:r>
        <w:rPr>
          <w:rFonts w:eastAsia="Garamond" w:cs="Times New Roman"/>
          <w:color w:val="000000"/>
          <w:szCs w:val="24"/>
        </w:rPr>
        <w:t xml:space="preserve"> </w:t>
      </w:r>
      <w:r w:rsidR="00D3036F" w:rsidRPr="009A7324">
        <w:rPr>
          <w:rFonts w:eastAsia="Garamond" w:cs="Times New Roman"/>
          <w:color w:val="000000"/>
          <w:szCs w:val="24"/>
        </w:rPr>
        <w:t xml:space="preserve">. </w:t>
      </w:r>
    </w:p>
    <w:p w14:paraId="2F4FA60F" w14:textId="4E869FCE"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 xml:space="preserve">Toda documentação a ser apresentada </w:t>
      </w:r>
      <w:r w:rsidR="00950725">
        <w:rPr>
          <w:rFonts w:eastAsia="Garamond" w:cs="Times New Roman"/>
          <w:color w:val="000000"/>
          <w:szCs w:val="24"/>
        </w:rPr>
        <w:t>ao DECOM</w:t>
      </w:r>
      <w:r w:rsidRPr="009A7324">
        <w:rPr>
          <w:rFonts w:eastAsia="Garamond" w:cs="Times New Roman"/>
          <w:color w:val="000000"/>
          <w:szCs w:val="24"/>
        </w:rPr>
        <w:t xml:space="preserve"> deverá sempre fazer referência ao produto sob análise da investigação e ao número do processo de defesa comercial, bem como ao número SEI do processo de avaliação de interesse público, se já existente.</w:t>
      </w:r>
    </w:p>
    <w:p w14:paraId="1DA25E39"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u w:val="single"/>
        </w:rPr>
        <w:t>Todos os campos do Questionário devem ser preenchidos pelas partes interessadas</w:t>
      </w:r>
      <w:r>
        <w:rPr>
          <w:rFonts w:eastAsia="Garamond" w:cs="Times New Roman"/>
          <w:color w:val="000000"/>
          <w:szCs w:val="24"/>
          <w:u w:val="single"/>
        </w:rPr>
        <w:t>, ainda que seja para conter a informação de que aquele dado solicitado não está disponível</w:t>
      </w:r>
      <w:r w:rsidRPr="009A7324">
        <w:rPr>
          <w:rFonts w:eastAsia="Garamond" w:cs="Times New Roman"/>
          <w:color w:val="000000"/>
          <w:szCs w:val="24"/>
        </w:rPr>
        <w:t>. Caso não haja resposta para campos numéricos, digitar o número zero; caso não haja resposta para campos alfanuméricos, digitar as palavras “nenhum”, “não aplicável” ou “não disponível”, conforme o caso, explicando a razão.</w:t>
      </w:r>
    </w:p>
    <w:p w14:paraId="79058333"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 xml:space="preserve">As respostas devem ser claras e precisas. Todas as informações apresentadas deverão vir acompanhadas de comprovação, de justificativa e das fontes e metodologias utilizadas. Quaisquer informações consideradas relevantes ou pertinentes ao processo, mesmo que não tenham sido solicitadas, podem ser igualmente apresentadas. </w:t>
      </w:r>
    </w:p>
    <w:p w14:paraId="63873B34" w14:textId="1CF04325" w:rsidR="00D3036F" w:rsidRPr="009A7324" w:rsidRDefault="00950725" w:rsidP="00D3036F">
      <w:pPr>
        <w:pBdr>
          <w:top w:val="nil"/>
          <w:left w:val="nil"/>
          <w:bottom w:val="nil"/>
          <w:right w:val="nil"/>
          <w:between w:val="nil"/>
        </w:pBdr>
        <w:tabs>
          <w:tab w:val="left" w:pos="9639"/>
        </w:tabs>
        <w:rPr>
          <w:rFonts w:eastAsia="Garamond" w:cs="Times New Roman"/>
          <w:color w:val="000000"/>
          <w:szCs w:val="24"/>
        </w:rPr>
      </w:pPr>
      <w:r>
        <w:rPr>
          <w:rFonts w:eastAsia="Garamond" w:cs="Times New Roman"/>
          <w:color w:val="000000"/>
          <w:szCs w:val="24"/>
        </w:rPr>
        <w:t>O DECOM</w:t>
      </w:r>
      <w:r w:rsidR="00D3036F" w:rsidRPr="009A7324">
        <w:rPr>
          <w:rFonts w:eastAsia="Garamond" w:cs="Times New Roman"/>
          <w:color w:val="000000"/>
          <w:szCs w:val="24"/>
        </w:rPr>
        <w:t xml:space="preserve"> poderá conduzir verificação </w:t>
      </w:r>
      <w:r w:rsidR="00D3036F" w:rsidRPr="009A7324">
        <w:rPr>
          <w:rFonts w:eastAsia="Garamond" w:cs="Times New Roman"/>
          <w:i/>
          <w:color w:val="000000"/>
          <w:szCs w:val="24"/>
        </w:rPr>
        <w:t>in loco</w:t>
      </w:r>
      <w:r w:rsidR="00D3036F" w:rsidRPr="009A7324">
        <w:rPr>
          <w:rFonts w:eastAsia="Garamond" w:cs="Times New Roman"/>
          <w:color w:val="000000"/>
          <w:szCs w:val="24"/>
        </w:rPr>
        <w:t xml:space="preserve"> para examinar os registros e comprovar as informações fornecidas pelas partes interessadas. Planilhas e documentos auxiliares utilizados na elaboração da resposta ao questionário devem ser preservados, para fins de eventual verificação </w:t>
      </w:r>
      <w:r w:rsidR="00D3036F" w:rsidRPr="009A7324">
        <w:rPr>
          <w:rFonts w:eastAsia="Garamond" w:cs="Times New Roman"/>
          <w:i/>
          <w:color w:val="000000"/>
          <w:szCs w:val="24"/>
        </w:rPr>
        <w:t>in loco</w:t>
      </w:r>
      <w:r w:rsidR="00D3036F" w:rsidRPr="009A7324">
        <w:rPr>
          <w:rFonts w:eastAsia="Garamond" w:cs="Times New Roman"/>
          <w:color w:val="000000"/>
          <w:szCs w:val="24"/>
        </w:rPr>
        <w:t>.</w:t>
      </w:r>
    </w:p>
    <w:p w14:paraId="55F72782"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 xml:space="preserve">Os arquivos eletrônicos deverão ser apresentados da seguinte forma: </w:t>
      </w:r>
    </w:p>
    <w:p w14:paraId="05B39C78" w14:textId="77777777" w:rsidR="00D3036F" w:rsidRDefault="00D3036F" w:rsidP="00D3036F">
      <w:pPr>
        <w:pStyle w:val="PargrafodaLista"/>
        <w:numPr>
          <w:ilvl w:val="0"/>
          <w:numId w:val="6"/>
        </w:numPr>
        <w:pBdr>
          <w:top w:val="nil"/>
          <w:left w:val="nil"/>
          <w:bottom w:val="nil"/>
          <w:right w:val="nil"/>
          <w:between w:val="nil"/>
        </w:pBdr>
        <w:tabs>
          <w:tab w:val="left" w:pos="1276"/>
          <w:tab w:val="left" w:pos="9639"/>
        </w:tabs>
        <w:ind w:hanging="11"/>
        <w:rPr>
          <w:rFonts w:eastAsia="Garamond" w:cs="Times New Roman"/>
          <w:color w:val="000000"/>
          <w:szCs w:val="24"/>
        </w:rPr>
      </w:pPr>
      <w:r w:rsidRPr="00EB25CA">
        <w:rPr>
          <w:rFonts w:eastAsia="Garamond" w:cs="Times New Roman"/>
          <w:color w:val="000000"/>
          <w:szCs w:val="24"/>
        </w:rPr>
        <w:t>No formato “.doc” ou “.docx”: Dois arquivos com questionário respondido, um com a versão confidencial e outro com a versão pública.</w:t>
      </w:r>
      <w:bookmarkStart w:id="10" w:name="_heading=h.sqyw64" w:colFirst="0" w:colLast="0"/>
      <w:bookmarkEnd w:id="10"/>
    </w:p>
    <w:p w14:paraId="56864CD5" w14:textId="77777777" w:rsidR="00D3036F" w:rsidRPr="00EB25CA" w:rsidRDefault="00D3036F" w:rsidP="00D3036F">
      <w:pPr>
        <w:pStyle w:val="PargrafodaLista"/>
        <w:numPr>
          <w:ilvl w:val="0"/>
          <w:numId w:val="6"/>
        </w:numPr>
        <w:pBdr>
          <w:top w:val="nil"/>
          <w:left w:val="nil"/>
          <w:bottom w:val="nil"/>
          <w:right w:val="nil"/>
          <w:between w:val="nil"/>
        </w:pBdr>
        <w:tabs>
          <w:tab w:val="left" w:pos="1276"/>
          <w:tab w:val="left" w:pos="9639"/>
        </w:tabs>
        <w:ind w:hanging="11"/>
        <w:rPr>
          <w:rFonts w:eastAsia="Garamond" w:cs="Times New Roman"/>
          <w:color w:val="000000"/>
          <w:szCs w:val="24"/>
        </w:rPr>
      </w:pPr>
      <w:r w:rsidRPr="00EB25CA">
        <w:rPr>
          <w:rFonts w:eastAsia="Garamond" w:cs="Times New Roman"/>
          <w:color w:val="000000"/>
          <w:szCs w:val="24"/>
        </w:rPr>
        <w:t>No formato “.xls” ou “.xlsx”: Dois arquivos com as planilhas utilizadas na resposta ao questionário, um com a versão confidencial e outro com a versão pública.</w:t>
      </w:r>
    </w:p>
    <w:p w14:paraId="793E6BC8" w14:textId="77777777" w:rsidR="00D3036F" w:rsidRPr="00EB25CA" w:rsidRDefault="00D3036F" w:rsidP="00D3036F">
      <w:pPr>
        <w:pStyle w:val="PargrafodaLista"/>
        <w:numPr>
          <w:ilvl w:val="0"/>
          <w:numId w:val="6"/>
        </w:numPr>
        <w:pBdr>
          <w:top w:val="nil"/>
          <w:left w:val="nil"/>
          <w:bottom w:val="nil"/>
          <w:right w:val="nil"/>
          <w:between w:val="nil"/>
        </w:pBdr>
        <w:tabs>
          <w:tab w:val="left" w:pos="1276"/>
          <w:tab w:val="left" w:pos="9639"/>
        </w:tabs>
        <w:ind w:hanging="11"/>
        <w:rPr>
          <w:rFonts w:eastAsia="Garamond" w:cs="Times New Roman"/>
          <w:color w:val="000000"/>
          <w:szCs w:val="24"/>
        </w:rPr>
      </w:pPr>
      <w:r w:rsidRPr="00EB25CA">
        <w:rPr>
          <w:rFonts w:eastAsia="Garamond" w:cs="Times New Roman"/>
          <w:color w:val="000000"/>
          <w:szCs w:val="24"/>
        </w:rPr>
        <w:t>No formato “.pdf”: Dois arquivos contendo o questionário respondido e as planilhas utilizadas, um com a versão confidencial e outro com a versão pública.</w:t>
      </w:r>
    </w:p>
    <w:p w14:paraId="6AB9C0C7"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Na preparação dos dados, sobretudo em tabelas no formato “.xls” ou “.xlsx”, os campos alfabéticos devem ser alinhados à esquerda e os campos numéricos à direita.</w:t>
      </w:r>
    </w:p>
    <w:p w14:paraId="73258C80"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As datas devem ser formatadas como campo de data, e não como campo alfabético, no formato 12/34/5678, sendo: posições 1 e 2 iguais a (=) dia, posições 3 e 4 iguais a (=) mês, posições 5 a 8 iguais a (=) ano.</w:t>
      </w:r>
    </w:p>
    <w:p w14:paraId="028BEE29"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Dados correspondentes a valores monetários devem ser preenchidos separando-se os milhares por ponto e os centavos por vírgula. Exemplo: 2.550,30.</w:t>
      </w:r>
    </w:p>
    <w:p w14:paraId="4D3C3E7C"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As planilhas devem conter a memória de cálculo e todas as fórmulas utilizadas.</w:t>
      </w:r>
    </w:p>
    <w:p w14:paraId="1B35FF9B"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lastRenderedPageBreak/>
        <w:t>Serão criados processos separados para o protocolo das versões Confidencial e Pública no SEI. Todos os documentos apresentados pelas partes interessadas deverão seguir os seguintes padrões:</w:t>
      </w:r>
    </w:p>
    <w:p w14:paraId="019B9EA6" w14:textId="13D4A31C" w:rsidR="00D3036F" w:rsidRDefault="00D3036F" w:rsidP="00D3036F">
      <w:pPr>
        <w:pStyle w:val="PargrafodaLista"/>
        <w:numPr>
          <w:ilvl w:val="0"/>
          <w:numId w:val="5"/>
        </w:numPr>
        <w:pBdr>
          <w:top w:val="nil"/>
          <w:left w:val="nil"/>
          <w:bottom w:val="nil"/>
          <w:right w:val="nil"/>
          <w:between w:val="nil"/>
        </w:pBdr>
        <w:tabs>
          <w:tab w:val="left" w:pos="9639"/>
        </w:tabs>
        <w:rPr>
          <w:rFonts w:eastAsia="Garamond" w:cs="Times New Roman"/>
          <w:color w:val="000000"/>
          <w:szCs w:val="24"/>
        </w:rPr>
      </w:pPr>
      <w:r w:rsidRPr="00EB25CA">
        <w:rPr>
          <w:rFonts w:eastAsia="Garamond" w:cs="Times New Roman"/>
          <w:color w:val="000000"/>
          <w:szCs w:val="24"/>
        </w:rPr>
        <w:t>Versão confidencial deverá conter a indicação CONFIDENCIAL</w:t>
      </w:r>
      <w:r w:rsidRPr="009A7324">
        <w:rPr>
          <w:vertAlign w:val="superscript"/>
        </w:rPr>
        <w:footnoteReference w:id="1"/>
      </w:r>
      <w:r w:rsidRPr="00EB25CA">
        <w:rPr>
          <w:rFonts w:eastAsia="Garamond" w:cs="Times New Roman"/>
          <w:color w:val="000000"/>
          <w:szCs w:val="24"/>
        </w:rPr>
        <w:t xml:space="preserve"> em todas as suas páginas, centralizada no alto e no pé de cada página, na cor vermelha.</w:t>
      </w:r>
      <w:r>
        <w:rPr>
          <w:rFonts w:eastAsia="Garamond" w:cs="Times New Roman"/>
          <w:color w:val="000000"/>
          <w:szCs w:val="24"/>
        </w:rPr>
        <w:t xml:space="preserve"> </w:t>
      </w:r>
      <w:r>
        <w:t>A versão confidencial do processo SEI, bem como todos os documentos nele protocolados, deve ter nível de acesso RESTRITO, com a hipótese legal “Defesa Comercial e Interesse Público.</w:t>
      </w:r>
    </w:p>
    <w:p w14:paraId="4A2208C4" w14:textId="77777777" w:rsidR="00D3036F" w:rsidRPr="00283E10" w:rsidRDefault="00D3036F" w:rsidP="00D3036F">
      <w:pPr>
        <w:pStyle w:val="PargrafodaLista"/>
        <w:numPr>
          <w:ilvl w:val="0"/>
          <w:numId w:val="5"/>
        </w:numPr>
        <w:pBdr>
          <w:top w:val="nil"/>
          <w:left w:val="nil"/>
          <w:bottom w:val="nil"/>
          <w:right w:val="nil"/>
          <w:between w:val="nil"/>
        </w:pBdr>
        <w:tabs>
          <w:tab w:val="left" w:pos="9639"/>
        </w:tabs>
        <w:rPr>
          <w:rFonts w:eastAsia="Garamond" w:cs="Times New Roman"/>
          <w:color w:val="000000"/>
          <w:szCs w:val="24"/>
        </w:rPr>
      </w:pPr>
      <w:r>
        <w:rPr>
          <w:rFonts w:eastAsia="Garamond" w:cs="Times New Roman"/>
          <w:color w:val="000000"/>
          <w:szCs w:val="24"/>
        </w:rPr>
        <w:t>V</w:t>
      </w:r>
      <w:r w:rsidRPr="00283E10">
        <w:rPr>
          <w:rFonts w:eastAsia="Garamond" w:cs="Times New Roman"/>
          <w:color w:val="000000"/>
          <w:szCs w:val="24"/>
        </w:rPr>
        <w:t>ersão pública deverá conter a indicação PÚBLICO</w:t>
      </w:r>
      <w:r w:rsidRPr="009A7324">
        <w:rPr>
          <w:vertAlign w:val="superscript"/>
        </w:rPr>
        <w:footnoteReference w:id="2"/>
      </w:r>
      <w:r w:rsidRPr="00283E10">
        <w:rPr>
          <w:rFonts w:eastAsia="Garamond" w:cs="Times New Roman"/>
          <w:color w:val="000000"/>
          <w:szCs w:val="24"/>
        </w:rPr>
        <w:t xml:space="preserve"> em todas as suas páginas, centralizada no alto e no pé de cada página.</w:t>
      </w:r>
    </w:p>
    <w:p w14:paraId="16B72578" w14:textId="77777777" w:rsidR="00D3036F" w:rsidRPr="00283E10" w:rsidRDefault="00D3036F" w:rsidP="00D3036F">
      <w:pPr>
        <w:pStyle w:val="PargrafodaLista"/>
        <w:pBdr>
          <w:top w:val="nil"/>
          <w:left w:val="nil"/>
          <w:bottom w:val="nil"/>
          <w:right w:val="nil"/>
          <w:between w:val="nil"/>
        </w:pBdr>
        <w:tabs>
          <w:tab w:val="left" w:pos="9639"/>
        </w:tabs>
        <w:ind w:firstLine="0"/>
        <w:rPr>
          <w:rFonts w:eastAsia="Garamond" w:cs="Times New Roman"/>
          <w:color w:val="000000"/>
          <w:szCs w:val="24"/>
        </w:rPr>
      </w:pPr>
    </w:p>
    <w:p w14:paraId="0B251881"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Os interessados deverão indicar, em suas manifestações, quais informações serão consideradas confidenciais. Os interessados que apresentarem informações classificadas como confidenciais fornecerão simultaneamente uma versão confidencial e uma versão pública da peça correspondente, contendo resumo público que permita a compreensão da informação fornecida. A impossibilidade de se apresentar resumo público deverá ser devidamente justificada. As justificativas para a confidencialidade e os resumos públicos farão parte da versão pública do processo.</w:t>
      </w:r>
    </w:p>
    <w:p w14:paraId="2929D146" w14:textId="77777777" w:rsidR="00D3036F" w:rsidRPr="009A7324" w:rsidRDefault="00D3036F" w:rsidP="00D3036F">
      <w:pPr>
        <w:pBdr>
          <w:top w:val="nil"/>
          <w:left w:val="nil"/>
          <w:bottom w:val="nil"/>
          <w:right w:val="nil"/>
          <w:between w:val="nil"/>
        </w:pBdr>
        <w:tabs>
          <w:tab w:val="left" w:pos="9639"/>
        </w:tabs>
        <w:rPr>
          <w:rFonts w:eastAsia="Garamond" w:cs="Times New Roman"/>
          <w:color w:val="000000"/>
          <w:szCs w:val="24"/>
        </w:rPr>
      </w:pPr>
      <w:r w:rsidRPr="009A7324">
        <w:rPr>
          <w:rFonts w:eastAsia="Garamond" w:cs="Times New Roman"/>
          <w:color w:val="000000"/>
          <w:szCs w:val="24"/>
        </w:rPr>
        <w:t>A resposta ao questionário e suas informações confidenciais deverão ser protocoladas simultaneamente, cada qual referindo-se ao seu respectivo processo. A divulgação de informação confidencial por erro de classificação do documento é de responsabilidade exclusiva da parte interessada que o submeteu. Documentos protocolados sem a indicação “confidencial” serão tratados como públicos. Informações confidenciais fornecidas sem resumo poderão ser desconsideradas quando da análise do processo. O resumo público relativo às informações numéricas sigilosas passíveis de sumarização deverá ser apresentado em formato numérico, na forma de números-índice ou outro indicador que permita a compreensão sobre a natureza da informação.</w:t>
      </w:r>
    </w:p>
    <w:p w14:paraId="444E3E0D" w14:textId="77777777" w:rsidR="00D3036F" w:rsidRPr="009A7324" w:rsidRDefault="00D3036F" w:rsidP="00D3036F">
      <w:pPr>
        <w:pBdr>
          <w:top w:val="nil"/>
          <w:left w:val="nil"/>
          <w:bottom w:val="nil"/>
          <w:right w:val="nil"/>
          <w:between w:val="nil"/>
        </w:pBdr>
        <w:tabs>
          <w:tab w:val="left" w:pos="9639"/>
        </w:tabs>
        <w:rPr>
          <w:rFonts w:eastAsia="Garamond" w:cs="Times New Roman"/>
          <w:b/>
          <w:color w:val="000000"/>
          <w:szCs w:val="24"/>
        </w:rPr>
      </w:pPr>
    </w:p>
    <w:p w14:paraId="08AF477A" w14:textId="77777777" w:rsidR="00D3036F" w:rsidRPr="004D3C7D" w:rsidRDefault="00D3036F" w:rsidP="000949C8">
      <w:pPr>
        <w:pStyle w:val="Ttulo2"/>
      </w:pPr>
      <w:bookmarkStart w:id="11" w:name="_Toc26866290"/>
      <w:bookmarkStart w:id="12" w:name="_Toc27046503"/>
      <w:bookmarkStart w:id="13" w:name="_Toc27124088"/>
      <w:bookmarkStart w:id="14" w:name="_Toc27406333"/>
      <w:bookmarkStart w:id="15" w:name="_Toc27413923"/>
      <w:bookmarkStart w:id="16" w:name="_Toc27489065"/>
      <w:bookmarkStart w:id="17" w:name="_Toc27490255"/>
      <w:bookmarkStart w:id="18" w:name="_Toc27492830"/>
      <w:bookmarkStart w:id="19" w:name="_Toc28273305"/>
      <w:bookmarkStart w:id="20" w:name="_Toc31116249"/>
      <w:r w:rsidRPr="004D3C7D">
        <w:t>I. Medida De Defesa Comercial Objeto De Avaliação De Interesse Público</w:t>
      </w:r>
      <w:bookmarkEnd w:id="11"/>
      <w:bookmarkEnd w:id="12"/>
      <w:bookmarkEnd w:id="13"/>
      <w:bookmarkEnd w:id="14"/>
      <w:bookmarkEnd w:id="15"/>
      <w:bookmarkEnd w:id="16"/>
      <w:bookmarkEnd w:id="17"/>
      <w:bookmarkEnd w:id="18"/>
      <w:bookmarkEnd w:id="19"/>
      <w:bookmarkEnd w:id="20"/>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D3036F" w:rsidRPr="009A7324" w14:paraId="402B781E" w14:textId="77777777" w:rsidTr="00824360">
        <w:trPr>
          <w:jc w:val="center"/>
        </w:trPr>
        <w:tc>
          <w:tcPr>
            <w:tcW w:w="8642" w:type="dxa"/>
          </w:tcPr>
          <w:p w14:paraId="4755C320" w14:textId="00ADC275"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0"/>
                <w:szCs w:val="24"/>
              </w:rPr>
            </w:pPr>
            <w:r w:rsidRPr="009A7324">
              <w:rPr>
                <w:rFonts w:eastAsia="Garamond" w:cs="Times New Roman"/>
                <w:b/>
                <w:color w:val="000000"/>
                <w:szCs w:val="24"/>
              </w:rPr>
              <w:t xml:space="preserve">Processo </w:t>
            </w:r>
            <w:r w:rsidR="00950725">
              <w:rPr>
                <w:rFonts w:eastAsia="Garamond" w:cs="Times New Roman"/>
                <w:b/>
                <w:color w:val="000000"/>
                <w:szCs w:val="24"/>
              </w:rPr>
              <w:t>SEI</w:t>
            </w:r>
            <w:r w:rsidRPr="009A7324">
              <w:rPr>
                <w:rFonts w:eastAsia="Garamond" w:cs="Times New Roman"/>
                <w:b/>
                <w:color w:val="000000"/>
                <w:szCs w:val="24"/>
              </w:rPr>
              <w:t xml:space="preserve"> (defesa comercial):</w:t>
            </w:r>
            <w:r w:rsidRPr="009A7324">
              <w:rPr>
                <w:rFonts w:eastAsia="Garamond" w:cs="Times New Roman"/>
                <w:color w:val="000000"/>
                <w:szCs w:val="24"/>
              </w:rPr>
              <w:t xml:space="preserve"> </w:t>
            </w:r>
            <w:r w:rsidRPr="009A7324">
              <w:rPr>
                <w:rFonts w:eastAsia="Garamond" w:cs="Times New Roman"/>
                <w:color w:val="FF0000"/>
                <w:szCs w:val="24"/>
              </w:rPr>
              <w:t>[número</w:t>
            </w:r>
            <w:r w:rsidR="00950725">
              <w:rPr>
                <w:rFonts w:eastAsia="Garamond" w:cs="Times New Roman"/>
                <w:color w:val="FF0000"/>
                <w:szCs w:val="24"/>
              </w:rPr>
              <w:t>s restrito e confidencial</w:t>
            </w:r>
            <w:r w:rsidRPr="009A7324">
              <w:rPr>
                <w:rFonts w:eastAsia="Garamond" w:cs="Times New Roman"/>
                <w:color w:val="FF0000"/>
                <w:szCs w:val="24"/>
              </w:rPr>
              <w:t>]</w:t>
            </w:r>
          </w:p>
        </w:tc>
      </w:tr>
      <w:tr w:rsidR="00D3036F" w:rsidRPr="009A7324" w14:paraId="06B223A7" w14:textId="77777777" w:rsidTr="00824360">
        <w:trPr>
          <w:jc w:val="center"/>
        </w:trPr>
        <w:tc>
          <w:tcPr>
            <w:tcW w:w="8642" w:type="dxa"/>
          </w:tcPr>
          <w:p w14:paraId="5EABFA67" w14:textId="499A9F68"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Processo SEI (interesse público):</w:t>
            </w:r>
            <w:r w:rsidRPr="009A7324">
              <w:rPr>
                <w:rFonts w:eastAsia="Garamond" w:cs="Times New Roman"/>
                <w:color w:val="000000"/>
                <w:szCs w:val="24"/>
              </w:rPr>
              <w:t xml:space="preserve"> </w:t>
            </w:r>
            <w:r w:rsidRPr="009A7324">
              <w:rPr>
                <w:rFonts w:eastAsia="Garamond" w:cs="Times New Roman"/>
                <w:color w:val="FF0000"/>
                <w:szCs w:val="24"/>
              </w:rPr>
              <w:t>[número</w:t>
            </w:r>
            <w:r w:rsidR="00950725">
              <w:rPr>
                <w:rFonts w:eastAsia="Garamond" w:cs="Times New Roman"/>
                <w:color w:val="FF0000"/>
                <w:szCs w:val="24"/>
              </w:rPr>
              <w:t xml:space="preserve"> público e confidencial</w:t>
            </w:r>
            <w:r w:rsidRPr="009A7324">
              <w:rPr>
                <w:rFonts w:eastAsia="Garamond" w:cs="Times New Roman"/>
                <w:color w:val="FF0000"/>
                <w:szCs w:val="24"/>
              </w:rPr>
              <w:t>]</w:t>
            </w:r>
          </w:p>
        </w:tc>
      </w:tr>
      <w:tr w:rsidR="00D3036F" w:rsidRPr="009A7324" w14:paraId="74D80172" w14:textId="77777777" w:rsidTr="00824360">
        <w:trPr>
          <w:jc w:val="center"/>
        </w:trPr>
        <w:tc>
          <w:tcPr>
            <w:tcW w:w="8642" w:type="dxa"/>
          </w:tcPr>
          <w:p w14:paraId="7B0E7629"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p>
        </w:tc>
      </w:tr>
      <w:tr w:rsidR="00D3036F" w:rsidRPr="009A7324" w14:paraId="605536DA" w14:textId="77777777" w:rsidTr="00824360">
        <w:trPr>
          <w:jc w:val="center"/>
        </w:trPr>
        <w:tc>
          <w:tcPr>
            <w:tcW w:w="8642" w:type="dxa"/>
          </w:tcPr>
          <w:p w14:paraId="1DBC6AAD" w14:textId="77777777" w:rsidR="00D3036F" w:rsidRPr="00950725"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0"/>
                <w:szCs w:val="24"/>
              </w:rPr>
            </w:pPr>
            <w:r w:rsidRPr="00950725">
              <w:rPr>
                <w:rFonts w:eastAsia="Garamond" w:cs="Times New Roman"/>
                <w:b/>
                <w:color w:val="000000"/>
                <w:szCs w:val="24"/>
              </w:rPr>
              <w:lastRenderedPageBreak/>
              <w:t>Assunto:</w:t>
            </w:r>
            <w:r w:rsidRPr="00950725">
              <w:rPr>
                <w:rFonts w:eastAsia="Garamond" w:cs="Times New Roman"/>
                <w:color w:val="000000"/>
                <w:szCs w:val="24"/>
              </w:rPr>
              <w:t xml:space="preserve"> Avaliação de interesse público sobre a (s) medida(s)</w:t>
            </w:r>
            <w:r w:rsidRPr="00950725">
              <w:rPr>
                <w:rFonts w:eastAsia="Garamond" w:cs="Times New Roman"/>
                <w:color w:val="FF0000"/>
                <w:szCs w:val="24"/>
              </w:rPr>
              <w:t xml:space="preserve"> [antidumping e/ou compensatória] </w:t>
            </w:r>
            <w:r w:rsidRPr="00950725">
              <w:rPr>
                <w:rFonts w:eastAsia="Garamond" w:cs="Times New Roman"/>
                <w:color w:val="000000"/>
                <w:szCs w:val="24"/>
              </w:rPr>
              <w:t xml:space="preserve">aplicadas sobre as importações de </w:t>
            </w:r>
            <w:r w:rsidRPr="00950725">
              <w:rPr>
                <w:rFonts w:eastAsia="Garamond" w:cs="Times New Roman"/>
                <w:color w:val="FF0000"/>
                <w:szCs w:val="24"/>
              </w:rPr>
              <w:t>[produto sob análise da investigação]</w:t>
            </w:r>
          </w:p>
        </w:tc>
      </w:tr>
      <w:tr w:rsidR="00D3036F" w:rsidRPr="009A7324" w14:paraId="154E1D16" w14:textId="77777777" w:rsidTr="00824360">
        <w:trPr>
          <w:jc w:val="center"/>
        </w:trPr>
        <w:tc>
          <w:tcPr>
            <w:tcW w:w="8642" w:type="dxa"/>
          </w:tcPr>
          <w:p w14:paraId="40263864" w14:textId="77777777" w:rsidR="00D3036F" w:rsidRPr="00950725"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A"/>
                <w:szCs w:val="24"/>
              </w:rPr>
            </w:pPr>
            <w:r w:rsidRPr="00950725">
              <w:rPr>
                <w:rFonts w:eastAsia="Garamond" w:cs="Times New Roman"/>
                <w:b/>
                <w:color w:val="000000"/>
                <w:szCs w:val="24"/>
              </w:rPr>
              <w:t>Tipo de medida:</w:t>
            </w:r>
            <w:r w:rsidRPr="00950725">
              <w:rPr>
                <w:rFonts w:eastAsia="Garamond" w:cs="Times New Roman"/>
                <w:color w:val="000000"/>
                <w:szCs w:val="24"/>
              </w:rPr>
              <w:t xml:space="preserve"> </w:t>
            </w:r>
            <w:r w:rsidRPr="00950725">
              <w:rPr>
                <w:rFonts w:eastAsia="Garamond" w:cs="Times New Roman"/>
                <w:color w:val="FF0000"/>
                <w:szCs w:val="24"/>
              </w:rPr>
              <w:t>[antidumping e/ou compensatória, provisória ou final]</w:t>
            </w:r>
          </w:p>
        </w:tc>
      </w:tr>
      <w:tr w:rsidR="00D3036F" w:rsidRPr="009A7324" w14:paraId="5AAB3C90" w14:textId="77777777" w:rsidTr="00824360">
        <w:trPr>
          <w:jc w:val="center"/>
        </w:trPr>
        <w:tc>
          <w:tcPr>
            <w:tcW w:w="8642" w:type="dxa"/>
          </w:tcPr>
          <w:p w14:paraId="70BE96C7" w14:textId="77777777" w:rsidR="00D3036F" w:rsidRPr="00950725"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A"/>
                <w:szCs w:val="24"/>
              </w:rPr>
            </w:pPr>
            <w:r w:rsidRPr="00950725">
              <w:rPr>
                <w:rFonts w:eastAsia="Garamond" w:cs="Times New Roman"/>
                <w:b/>
                <w:color w:val="000000"/>
                <w:szCs w:val="24"/>
              </w:rPr>
              <w:t>Modificação pretendida:</w:t>
            </w:r>
            <w:r w:rsidRPr="00950725">
              <w:rPr>
                <w:rFonts w:eastAsia="Garamond" w:cs="Times New Roman"/>
                <w:color w:val="000000"/>
                <w:szCs w:val="24"/>
              </w:rPr>
              <w:t xml:space="preserve"> </w:t>
            </w:r>
            <w:r w:rsidRPr="00950725">
              <w:rPr>
                <w:rFonts w:eastAsia="Garamond" w:cs="Times New Roman"/>
                <w:color w:val="FF0000"/>
                <w:szCs w:val="24"/>
              </w:rPr>
              <w:t>[suspensão de medida definitiva; alteração de medida definitiva; não aplicação de medida provisória]</w:t>
            </w:r>
          </w:p>
        </w:tc>
      </w:tr>
      <w:tr w:rsidR="00D3036F" w:rsidRPr="009A7324" w14:paraId="755E5C8A" w14:textId="77777777" w:rsidTr="00824360">
        <w:trPr>
          <w:jc w:val="center"/>
        </w:trPr>
        <w:tc>
          <w:tcPr>
            <w:tcW w:w="8642" w:type="dxa"/>
          </w:tcPr>
          <w:p w14:paraId="763F4C48"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Prazo de vigência</w:t>
            </w:r>
            <w:r>
              <w:rPr>
                <w:rFonts w:eastAsia="Garamond" w:cs="Times New Roman"/>
                <w:b/>
                <w:color w:val="000000"/>
                <w:szCs w:val="24"/>
              </w:rPr>
              <w:t xml:space="preserve"> da medida</w:t>
            </w:r>
            <w:r w:rsidRPr="009A7324">
              <w:rPr>
                <w:rFonts w:eastAsia="Garamond" w:cs="Times New Roman"/>
                <w:b/>
                <w:color w:val="000000"/>
                <w:szCs w:val="24"/>
              </w:rPr>
              <w:t>:</w:t>
            </w:r>
            <w:r>
              <w:rPr>
                <w:rFonts w:eastAsia="Garamond" w:cs="Times New Roman"/>
                <w:color w:val="FF0000"/>
                <w:szCs w:val="24"/>
              </w:rPr>
              <w:t xml:space="preserve"> [anos</w:t>
            </w:r>
            <w:r w:rsidRPr="009A7324">
              <w:rPr>
                <w:rFonts w:eastAsia="Garamond" w:cs="Times New Roman"/>
                <w:color w:val="FF0000"/>
                <w:szCs w:val="24"/>
              </w:rPr>
              <w:t>]</w:t>
            </w:r>
          </w:p>
        </w:tc>
      </w:tr>
      <w:tr w:rsidR="00D3036F" w:rsidRPr="009A7324" w14:paraId="6B20A781" w14:textId="77777777" w:rsidTr="00824360">
        <w:trPr>
          <w:jc w:val="center"/>
        </w:trPr>
        <w:tc>
          <w:tcPr>
            <w:tcW w:w="8642" w:type="dxa"/>
          </w:tcPr>
          <w:p w14:paraId="40111A09"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0"/>
                <w:szCs w:val="24"/>
              </w:rPr>
            </w:pPr>
          </w:p>
        </w:tc>
      </w:tr>
      <w:tr w:rsidR="00D3036F" w:rsidRPr="009A7324" w14:paraId="110D1883" w14:textId="77777777" w:rsidTr="00824360">
        <w:trPr>
          <w:jc w:val="center"/>
        </w:trPr>
        <w:tc>
          <w:tcPr>
            <w:tcW w:w="8642" w:type="dxa"/>
          </w:tcPr>
          <w:p w14:paraId="5EC6F0B4"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A"/>
                <w:szCs w:val="24"/>
              </w:rPr>
            </w:pPr>
            <w:r w:rsidRPr="009A7324">
              <w:rPr>
                <w:rFonts w:eastAsia="Garamond" w:cs="Times New Roman"/>
                <w:b/>
                <w:color w:val="00000A"/>
                <w:szCs w:val="24"/>
              </w:rPr>
              <w:t xml:space="preserve">Classificação tarifária: </w:t>
            </w:r>
            <w:r w:rsidRPr="009A7324">
              <w:rPr>
                <w:rFonts w:eastAsia="Garamond" w:cs="Times New Roman"/>
                <w:b/>
                <w:color w:val="FF0000"/>
                <w:szCs w:val="24"/>
              </w:rPr>
              <w:t>[</w:t>
            </w:r>
            <w:r w:rsidRPr="009A7324">
              <w:rPr>
                <w:rFonts w:eastAsia="Garamond" w:cs="Times New Roman"/>
                <w:color w:val="FF0000"/>
                <w:szCs w:val="24"/>
              </w:rPr>
              <w:t>NCM/SH]</w:t>
            </w:r>
          </w:p>
        </w:tc>
      </w:tr>
      <w:tr w:rsidR="00D3036F" w:rsidRPr="009A7324" w14:paraId="3A911E26" w14:textId="77777777" w:rsidTr="00824360">
        <w:trPr>
          <w:jc w:val="center"/>
        </w:trPr>
        <w:tc>
          <w:tcPr>
            <w:tcW w:w="8642" w:type="dxa"/>
          </w:tcPr>
          <w:p w14:paraId="3E721B61"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A"/>
                <w:szCs w:val="24"/>
              </w:rPr>
            </w:pPr>
            <w:r>
              <w:rPr>
                <w:rFonts w:eastAsia="Garamond" w:cs="Times New Roman"/>
                <w:b/>
                <w:color w:val="00000A"/>
                <w:szCs w:val="24"/>
              </w:rPr>
              <w:t xml:space="preserve">Alíquota de importação vigente: </w:t>
            </w:r>
            <w:r>
              <w:rPr>
                <w:rFonts w:eastAsia="Garamond" w:cs="Times New Roman"/>
                <w:color w:val="FF0000"/>
                <w:szCs w:val="24"/>
              </w:rPr>
              <w:t>[%</w:t>
            </w:r>
            <w:r w:rsidRPr="009A7324">
              <w:rPr>
                <w:rFonts w:eastAsia="Garamond" w:cs="Times New Roman"/>
                <w:color w:val="FF0000"/>
                <w:szCs w:val="24"/>
              </w:rPr>
              <w:t>]</w:t>
            </w:r>
          </w:p>
        </w:tc>
      </w:tr>
      <w:tr w:rsidR="00D3036F" w:rsidRPr="009A7324" w14:paraId="2F8F9BA9" w14:textId="77777777" w:rsidTr="00824360">
        <w:trPr>
          <w:jc w:val="center"/>
        </w:trPr>
        <w:tc>
          <w:tcPr>
            <w:tcW w:w="8642" w:type="dxa"/>
          </w:tcPr>
          <w:p w14:paraId="6C3E5D56"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A"/>
                <w:szCs w:val="24"/>
              </w:rPr>
            </w:pPr>
            <w:r w:rsidRPr="009A7324">
              <w:rPr>
                <w:rFonts w:eastAsia="Garamond" w:cs="Times New Roman"/>
                <w:b/>
                <w:color w:val="000000"/>
                <w:szCs w:val="24"/>
              </w:rPr>
              <w:t>Forma de aplicação da medida, quando couber</w:t>
            </w:r>
            <w:r w:rsidRPr="009A7324">
              <w:rPr>
                <w:rFonts w:eastAsia="Garamond" w:cs="Times New Roman"/>
                <w:b/>
                <w:i/>
                <w:color w:val="000000"/>
                <w:szCs w:val="24"/>
              </w:rPr>
              <w:t>:</w:t>
            </w:r>
            <w:r w:rsidRPr="009A7324">
              <w:rPr>
                <w:rFonts w:eastAsia="Garamond" w:cs="Times New Roman"/>
                <w:i/>
                <w:color w:val="000000"/>
                <w:szCs w:val="24"/>
              </w:rPr>
              <w:t xml:space="preserve"> </w:t>
            </w:r>
            <w:r w:rsidRPr="009A7324">
              <w:rPr>
                <w:rFonts w:eastAsia="Garamond" w:cs="Times New Roman"/>
                <w:color w:val="FF0000"/>
                <w:szCs w:val="24"/>
              </w:rPr>
              <w:t>[por país, empresas e por medida em</w:t>
            </w:r>
            <w:r w:rsidRPr="009A7324">
              <w:rPr>
                <w:rFonts w:eastAsia="Garamond" w:cs="Times New Roman"/>
                <w:i/>
                <w:color w:val="FF0000"/>
                <w:szCs w:val="24"/>
              </w:rPr>
              <w:t xml:space="preserve"> ad valorem]</w:t>
            </w:r>
          </w:p>
        </w:tc>
      </w:tr>
      <w:tr w:rsidR="00D3036F" w:rsidRPr="009A7324" w14:paraId="256754BF" w14:textId="77777777" w:rsidTr="00824360">
        <w:trPr>
          <w:jc w:val="center"/>
        </w:trPr>
        <w:tc>
          <w:tcPr>
            <w:tcW w:w="8642" w:type="dxa"/>
          </w:tcPr>
          <w:p w14:paraId="33538022"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A"/>
                <w:szCs w:val="24"/>
              </w:rPr>
            </w:pPr>
          </w:p>
        </w:tc>
      </w:tr>
      <w:tr w:rsidR="00D3036F" w:rsidRPr="009A7324" w14:paraId="70D1D350" w14:textId="77777777" w:rsidTr="00824360">
        <w:trPr>
          <w:jc w:val="center"/>
        </w:trPr>
        <w:tc>
          <w:tcPr>
            <w:tcW w:w="8642" w:type="dxa"/>
          </w:tcPr>
          <w:p w14:paraId="082AE64D"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A"/>
                <w:szCs w:val="24"/>
              </w:rPr>
            </w:pPr>
            <w:r w:rsidRPr="009A7324">
              <w:rPr>
                <w:rFonts w:eastAsia="Garamond" w:cs="Times New Roman"/>
                <w:b/>
                <w:color w:val="000000"/>
                <w:szCs w:val="24"/>
              </w:rPr>
              <w:t>Países Investigados</w:t>
            </w:r>
            <w:r>
              <w:rPr>
                <w:rFonts w:eastAsia="Garamond" w:cs="Times New Roman"/>
                <w:b/>
                <w:color w:val="000000"/>
                <w:szCs w:val="24"/>
              </w:rPr>
              <w:t xml:space="preserve"> pelo Brasil na avaliação de interesse público</w:t>
            </w:r>
            <w:r w:rsidRPr="009A7324">
              <w:rPr>
                <w:rFonts w:eastAsia="Garamond" w:cs="Times New Roman"/>
                <w:b/>
                <w:color w:val="000000"/>
                <w:szCs w:val="24"/>
              </w:rPr>
              <w:t xml:space="preserve">: </w:t>
            </w:r>
            <w:r w:rsidRPr="009A7324">
              <w:rPr>
                <w:rFonts w:eastAsia="Garamond" w:cs="Times New Roman"/>
                <w:color w:val="FF0000"/>
                <w:szCs w:val="24"/>
              </w:rPr>
              <w:t>[países]</w:t>
            </w:r>
          </w:p>
        </w:tc>
      </w:tr>
      <w:tr w:rsidR="00D3036F" w:rsidRPr="009A7324" w14:paraId="126F9FC4" w14:textId="77777777" w:rsidTr="00824360">
        <w:trPr>
          <w:jc w:val="center"/>
        </w:trPr>
        <w:tc>
          <w:tcPr>
            <w:tcW w:w="8642" w:type="dxa"/>
          </w:tcPr>
          <w:p w14:paraId="3CA49EDF"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Pr>
                <w:rFonts w:eastAsia="Garamond" w:cs="Times New Roman"/>
                <w:b/>
                <w:color w:val="000000"/>
                <w:szCs w:val="24"/>
              </w:rPr>
              <w:t>Outros países em que há medidas de defesa comercial aplicadas pelo Brasil:</w:t>
            </w:r>
            <w:r w:rsidRPr="009A7324">
              <w:rPr>
                <w:rFonts w:eastAsia="Garamond" w:cs="Times New Roman"/>
                <w:color w:val="FF0000"/>
                <w:szCs w:val="24"/>
              </w:rPr>
              <w:t xml:space="preserve"> [países]</w:t>
            </w:r>
          </w:p>
        </w:tc>
      </w:tr>
      <w:tr w:rsidR="00D3036F" w:rsidRPr="009A7324" w14:paraId="3A956C38" w14:textId="77777777" w:rsidTr="00824360">
        <w:trPr>
          <w:jc w:val="center"/>
        </w:trPr>
        <w:tc>
          <w:tcPr>
            <w:tcW w:w="8642" w:type="dxa"/>
          </w:tcPr>
          <w:p w14:paraId="5F50D201"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FF0000"/>
                <w:szCs w:val="24"/>
              </w:rPr>
            </w:pPr>
            <w:r w:rsidRPr="009A7324">
              <w:rPr>
                <w:rFonts w:eastAsia="Garamond" w:cs="Times New Roman"/>
                <w:b/>
                <w:color w:val="00000A"/>
                <w:szCs w:val="24"/>
              </w:rPr>
              <w:t>Processos MDIC/SECEX:</w:t>
            </w:r>
            <w:r w:rsidRPr="009A7324">
              <w:rPr>
                <w:rFonts w:eastAsia="Garamond" w:cs="Times New Roman"/>
                <w:color w:val="00000A"/>
                <w:szCs w:val="24"/>
              </w:rPr>
              <w:t xml:space="preserve"> </w:t>
            </w:r>
            <w:r w:rsidRPr="009A7324">
              <w:rPr>
                <w:rFonts w:eastAsia="Garamond" w:cs="Times New Roman"/>
                <w:color w:val="000000"/>
                <w:szCs w:val="24"/>
              </w:rPr>
              <w:t xml:space="preserve">SEI </w:t>
            </w:r>
            <w:r w:rsidRPr="009A7324">
              <w:rPr>
                <w:rFonts w:eastAsia="Garamond" w:cs="Times New Roman"/>
                <w:color w:val="FF0000"/>
                <w:szCs w:val="24"/>
              </w:rPr>
              <w:t xml:space="preserve">[número] </w:t>
            </w:r>
          </w:p>
        </w:tc>
      </w:tr>
      <w:tr w:rsidR="00D3036F" w:rsidRPr="009A7324" w14:paraId="7E7FFE0F" w14:textId="77777777" w:rsidTr="00824360">
        <w:trPr>
          <w:jc w:val="center"/>
        </w:trPr>
        <w:tc>
          <w:tcPr>
            <w:tcW w:w="8642" w:type="dxa"/>
          </w:tcPr>
          <w:p w14:paraId="116583DA"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p>
        </w:tc>
      </w:tr>
      <w:tr w:rsidR="00D3036F" w:rsidRPr="009A7324" w14:paraId="06CEC0D4" w14:textId="77777777" w:rsidTr="00824360">
        <w:trPr>
          <w:jc w:val="center"/>
        </w:trPr>
        <w:tc>
          <w:tcPr>
            <w:tcW w:w="8642" w:type="dxa"/>
          </w:tcPr>
          <w:p w14:paraId="0F428AAD"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Normas:</w:t>
            </w:r>
          </w:p>
        </w:tc>
      </w:tr>
      <w:tr w:rsidR="00D3036F" w:rsidRPr="009A7324" w14:paraId="510F213A" w14:textId="77777777" w:rsidTr="00824360">
        <w:trPr>
          <w:jc w:val="center"/>
        </w:trPr>
        <w:tc>
          <w:tcPr>
            <w:tcW w:w="8642" w:type="dxa"/>
          </w:tcPr>
          <w:p w14:paraId="44C83E69" w14:textId="77777777" w:rsidR="00D3036F" w:rsidRPr="00950725"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50725">
              <w:rPr>
                <w:rFonts w:eastAsia="Garamond" w:cs="Times New Roman"/>
                <w:b/>
                <w:color w:val="000000"/>
                <w:szCs w:val="24"/>
              </w:rPr>
              <w:t xml:space="preserve">a) Investigação </w:t>
            </w:r>
            <w:r w:rsidRPr="00950725">
              <w:rPr>
                <w:rFonts w:eastAsia="Garamond" w:cs="Times New Roman"/>
                <w:color w:val="FF0000"/>
                <w:szCs w:val="24"/>
              </w:rPr>
              <w:t>[antidumping e/ou subsídios]</w:t>
            </w:r>
          </w:p>
        </w:tc>
      </w:tr>
      <w:tr w:rsidR="00D3036F" w:rsidRPr="009A7324" w14:paraId="169F8615" w14:textId="77777777" w:rsidTr="00824360">
        <w:trPr>
          <w:jc w:val="center"/>
        </w:trPr>
        <w:tc>
          <w:tcPr>
            <w:tcW w:w="8642" w:type="dxa"/>
          </w:tcPr>
          <w:p w14:paraId="4C7A9B2A" w14:textId="6BF82A37" w:rsidR="00D3036F" w:rsidRPr="00950725"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50725">
              <w:rPr>
                <w:rFonts w:eastAsia="Garamond" w:cs="Times New Roman"/>
                <w:b/>
                <w:color w:val="000000"/>
                <w:szCs w:val="24"/>
              </w:rPr>
              <w:t xml:space="preserve">b) Parecer </w:t>
            </w:r>
            <w:r w:rsidR="00950725" w:rsidRPr="00950725">
              <w:rPr>
                <w:rFonts w:eastAsia="Garamond" w:cs="Times New Roman"/>
                <w:b/>
                <w:color w:val="000000"/>
                <w:szCs w:val="24"/>
              </w:rPr>
              <w:t>DECOM</w:t>
            </w:r>
            <w:r w:rsidRPr="00950725">
              <w:rPr>
                <w:rFonts w:eastAsia="Garamond" w:cs="Times New Roman"/>
                <w:b/>
                <w:color w:val="000000"/>
                <w:szCs w:val="24"/>
              </w:rPr>
              <w:t xml:space="preserve"> </w:t>
            </w:r>
            <w:r w:rsidRPr="00950725">
              <w:rPr>
                <w:rFonts w:eastAsia="Garamond" w:cs="Times New Roman"/>
                <w:color w:val="FF0000"/>
                <w:szCs w:val="24"/>
              </w:rPr>
              <w:t>[n°, data e tipo de parecer]</w:t>
            </w:r>
          </w:p>
        </w:tc>
      </w:tr>
      <w:tr w:rsidR="00D3036F" w:rsidRPr="009A7324" w14:paraId="4F676F43" w14:textId="77777777" w:rsidTr="00824360">
        <w:trPr>
          <w:jc w:val="center"/>
        </w:trPr>
        <w:tc>
          <w:tcPr>
            <w:tcW w:w="8642" w:type="dxa"/>
          </w:tcPr>
          <w:p w14:paraId="00E795B8"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A"/>
                <w:szCs w:val="24"/>
              </w:rPr>
            </w:pPr>
          </w:p>
        </w:tc>
      </w:tr>
      <w:tr w:rsidR="00D3036F" w:rsidRPr="009A7324" w14:paraId="5EA21A21" w14:textId="77777777" w:rsidTr="00824360">
        <w:trPr>
          <w:jc w:val="center"/>
        </w:trPr>
        <w:tc>
          <w:tcPr>
            <w:tcW w:w="8642" w:type="dxa"/>
          </w:tcPr>
          <w:p w14:paraId="4E2438C1"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0"/>
                <w:szCs w:val="24"/>
              </w:rPr>
            </w:pPr>
            <w:r w:rsidRPr="009A7324">
              <w:rPr>
                <w:rFonts w:eastAsia="Garamond" w:cs="Times New Roman"/>
                <w:b/>
                <w:color w:val="00000A"/>
                <w:szCs w:val="24"/>
              </w:rPr>
              <w:t xml:space="preserve">Peticionária da(s) medida(s) de defesa comercial: </w:t>
            </w:r>
            <w:r w:rsidRPr="009A7324">
              <w:rPr>
                <w:rFonts w:eastAsia="Garamond" w:cs="Times New Roman"/>
                <w:color w:val="FF0000"/>
                <w:szCs w:val="24"/>
              </w:rPr>
              <w:t xml:space="preserve">[nome] </w:t>
            </w:r>
          </w:p>
        </w:tc>
      </w:tr>
      <w:tr w:rsidR="00D3036F" w:rsidRPr="009A7324" w14:paraId="78401D06" w14:textId="77777777" w:rsidTr="00824360">
        <w:trPr>
          <w:jc w:val="center"/>
        </w:trPr>
        <w:tc>
          <w:tcPr>
            <w:tcW w:w="8642" w:type="dxa"/>
          </w:tcPr>
          <w:p w14:paraId="0BD151E9"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A"/>
                <w:szCs w:val="24"/>
              </w:rPr>
            </w:pPr>
          </w:p>
        </w:tc>
      </w:tr>
      <w:tr w:rsidR="00D3036F" w:rsidRPr="009A7324" w14:paraId="63310728" w14:textId="77777777" w:rsidTr="00824360">
        <w:trPr>
          <w:jc w:val="center"/>
        </w:trPr>
        <w:tc>
          <w:tcPr>
            <w:tcW w:w="8642" w:type="dxa"/>
          </w:tcPr>
          <w:p w14:paraId="4EA67706" w14:textId="77777777" w:rsidR="00D3036F" w:rsidRPr="009A7324" w:rsidRDefault="00D3036F" w:rsidP="00824360">
            <w:pPr>
              <w:widowControl w:val="0"/>
              <w:tabs>
                <w:tab w:val="left" w:pos="9639"/>
              </w:tabs>
              <w:spacing w:line="240" w:lineRule="auto"/>
              <w:ind w:firstLine="0"/>
              <w:rPr>
                <w:rFonts w:eastAsia="Garamond" w:cs="Times New Roman"/>
                <w:b/>
                <w:szCs w:val="24"/>
              </w:rPr>
            </w:pPr>
            <w:r w:rsidRPr="009A7324">
              <w:rPr>
                <w:rFonts w:eastAsia="Garamond" w:cs="Times New Roman"/>
                <w:b/>
                <w:szCs w:val="24"/>
              </w:rPr>
              <w:t>Período de Análise:</w:t>
            </w:r>
            <w:r w:rsidRPr="009A7324">
              <w:rPr>
                <w:rFonts w:eastAsia="Garamond" w:cs="Times New Roman"/>
                <w:szCs w:val="24"/>
              </w:rPr>
              <w:t xml:space="preserve"> </w:t>
            </w:r>
            <w:r w:rsidRPr="009A7324">
              <w:rPr>
                <w:rFonts w:eastAsia="Garamond" w:cs="Times New Roman"/>
                <w:color w:val="FF0000"/>
                <w:szCs w:val="24"/>
              </w:rPr>
              <w:t>[prestadas ao longo do período de aplicação da medida de defesa comercial dividindo cada período de 12 (doze meses)]</w:t>
            </w:r>
          </w:p>
        </w:tc>
      </w:tr>
      <w:tr w:rsidR="00D3036F" w:rsidRPr="009A7324" w14:paraId="0AE65717" w14:textId="77777777" w:rsidTr="00824360">
        <w:trPr>
          <w:jc w:val="center"/>
        </w:trPr>
        <w:tc>
          <w:tcPr>
            <w:tcW w:w="8642" w:type="dxa"/>
          </w:tcPr>
          <w:p w14:paraId="6AEC6B89" w14:textId="77777777" w:rsidR="00D3036F" w:rsidRPr="009A7324" w:rsidRDefault="00D3036F" w:rsidP="00824360">
            <w:pPr>
              <w:pBdr>
                <w:top w:val="nil"/>
                <w:left w:val="nil"/>
                <w:bottom w:val="nil"/>
                <w:right w:val="nil"/>
                <w:between w:val="nil"/>
              </w:pBdr>
              <w:tabs>
                <w:tab w:val="left" w:pos="9639"/>
              </w:tabs>
              <w:spacing w:line="240" w:lineRule="auto"/>
              <w:ind w:firstLine="0"/>
              <w:jc w:val="center"/>
              <w:rPr>
                <w:rFonts w:eastAsia="Garamond" w:cs="Times New Roman"/>
                <w:b/>
                <w:color w:val="00000A"/>
                <w:szCs w:val="24"/>
              </w:rPr>
            </w:pPr>
            <w:r w:rsidRPr="009A7324">
              <w:rPr>
                <w:rFonts w:eastAsia="Garamond" w:cs="Times New Roman"/>
                <w:color w:val="000000"/>
                <w:szCs w:val="24"/>
              </w:rPr>
              <w:t xml:space="preserve">P1 – </w:t>
            </w:r>
            <w:r w:rsidRPr="009A7324">
              <w:rPr>
                <w:rFonts w:eastAsia="Garamond" w:cs="Times New Roman"/>
                <w:color w:val="FF0000"/>
                <w:szCs w:val="24"/>
              </w:rPr>
              <w:t>MÊS</w:t>
            </w:r>
            <w:r w:rsidRPr="009A7324">
              <w:rPr>
                <w:rFonts w:eastAsia="Garamond" w:cs="Times New Roman"/>
                <w:color w:val="000000"/>
                <w:szCs w:val="24"/>
              </w:rPr>
              <w:t xml:space="preserve"> de </w:t>
            </w:r>
            <w:r w:rsidRPr="009A7324">
              <w:rPr>
                <w:rFonts w:eastAsia="Garamond" w:cs="Times New Roman"/>
                <w:color w:val="FF0000"/>
                <w:szCs w:val="24"/>
              </w:rPr>
              <w:t>ANO</w:t>
            </w:r>
            <w:r w:rsidRPr="009A7324">
              <w:rPr>
                <w:rFonts w:eastAsia="Garamond" w:cs="Times New Roman"/>
                <w:color w:val="000000"/>
                <w:szCs w:val="24"/>
              </w:rPr>
              <w:t xml:space="preserve"> a </w:t>
            </w:r>
            <w:r w:rsidRPr="009A7324">
              <w:rPr>
                <w:rFonts w:eastAsia="Garamond" w:cs="Times New Roman"/>
                <w:color w:val="FF0000"/>
                <w:szCs w:val="24"/>
              </w:rPr>
              <w:t>MÊS</w:t>
            </w:r>
            <w:r w:rsidRPr="009A7324">
              <w:rPr>
                <w:rFonts w:eastAsia="Garamond" w:cs="Times New Roman"/>
                <w:color w:val="000000"/>
                <w:szCs w:val="24"/>
              </w:rPr>
              <w:t xml:space="preserve"> de </w:t>
            </w:r>
            <w:r w:rsidRPr="009A7324">
              <w:rPr>
                <w:rFonts w:eastAsia="Garamond" w:cs="Times New Roman"/>
                <w:color w:val="FF0000"/>
                <w:szCs w:val="24"/>
              </w:rPr>
              <w:t>ANO</w:t>
            </w:r>
          </w:p>
        </w:tc>
      </w:tr>
      <w:tr w:rsidR="00D3036F" w:rsidRPr="009A7324" w14:paraId="5D3B6A6D" w14:textId="77777777" w:rsidTr="00824360">
        <w:trPr>
          <w:jc w:val="center"/>
        </w:trPr>
        <w:tc>
          <w:tcPr>
            <w:tcW w:w="8642" w:type="dxa"/>
          </w:tcPr>
          <w:p w14:paraId="41A7CB9F" w14:textId="77777777" w:rsidR="00D3036F" w:rsidRPr="009A7324" w:rsidRDefault="00D3036F" w:rsidP="00824360">
            <w:pPr>
              <w:pBdr>
                <w:top w:val="nil"/>
                <w:left w:val="nil"/>
                <w:bottom w:val="nil"/>
                <w:right w:val="nil"/>
                <w:between w:val="nil"/>
              </w:pBdr>
              <w:tabs>
                <w:tab w:val="left" w:pos="9639"/>
              </w:tabs>
              <w:spacing w:line="240" w:lineRule="auto"/>
              <w:ind w:firstLine="0"/>
              <w:jc w:val="center"/>
              <w:rPr>
                <w:rFonts w:eastAsia="Garamond" w:cs="Times New Roman"/>
                <w:b/>
                <w:color w:val="00000A"/>
                <w:szCs w:val="24"/>
              </w:rPr>
            </w:pPr>
            <w:r w:rsidRPr="009A7324">
              <w:rPr>
                <w:rFonts w:eastAsia="Garamond" w:cs="Times New Roman"/>
                <w:color w:val="000000"/>
                <w:szCs w:val="24"/>
              </w:rPr>
              <w:t>P2 –</w:t>
            </w:r>
            <w:r w:rsidRPr="009A7324">
              <w:rPr>
                <w:rFonts w:eastAsia="Garamond" w:cs="Times New Roman"/>
                <w:color w:val="FF0000"/>
                <w:szCs w:val="24"/>
              </w:rPr>
              <w:t xml:space="preserve"> MÊS</w:t>
            </w:r>
            <w:r w:rsidRPr="009A7324">
              <w:rPr>
                <w:rFonts w:eastAsia="Garamond" w:cs="Times New Roman"/>
                <w:color w:val="000000"/>
                <w:szCs w:val="24"/>
              </w:rPr>
              <w:t xml:space="preserve"> de </w:t>
            </w:r>
            <w:r w:rsidRPr="009A7324">
              <w:rPr>
                <w:rFonts w:eastAsia="Garamond" w:cs="Times New Roman"/>
                <w:color w:val="FF0000"/>
                <w:szCs w:val="24"/>
              </w:rPr>
              <w:t>ANO</w:t>
            </w:r>
            <w:r w:rsidRPr="009A7324">
              <w:rPr>
                <w:rFonts w:eastAsia="Garamond" w:cs="Times New Roman"/>
                <w:color w:val="000000"/>
                <w:szCs w:val="24"/>
              </w:rPr>
              <w:t xml:space="preserve"> a </w:t>
            </w:r>
            <w:r w:rsidRPr="009A7324">
              <w:rPr>
                <w:rFonts w:eastAsia="Garamond" w:cs="Times New Roman"/>
                <w:color w:val="FF0000"/>
                <w:szCs w:val="24"/>
              </w:rPr>
              <w:t>MÊS</w:t>
            </w:r>
            <w:r w:rsidRPr="009A7324">
              <w:rPr>
                <w:rFonts w:eastAsia="Garamond" w:cs="Times New Roman"/>
                <w:color w:val="000000"/>
                <w:szCs w:val="24"/>
              </w:rPr>
              <w:t xml:space="preserve"> de </w:t>
            </w:r>
            <w:r w:rsidRPr="009A7324">
              <w:rPr>
                <w:rFonts w:eastAsia="Garamond" w:cs="Times New Roman"/>
                <w:color w:val="FF0000"/>
                <w:szCs w:val="24"/>
              </w:rPr>
              <w:t>ANO</w:t>
            </w:r>
          </w:p>
        </w:tc>
      </w:tr>
      <w:tr w:rsidR="00D3036F" w:rsidRPr="009A7324" w14:paraId="739684F5" w14:textId="77777777" w:rsidTr="00824360">
        <w:trPr>
          <w:jc w:val="center"/>
        </w:trPr>
        <w:tc>
          <w:tcPr>
            <w:tcW w:w="8642" w:type="dxa"/>
          </w:tcPr>
          <w:p w14:paraId="4B6EC55E" w14:textId="77777777" w:rsidR="00D3036F" w:rsidRPr="009A7324" w:rsidRDefault="00D3036F" w:rsidP="00824360">
            <w:pPr>
              <w:pBdr>
                <w:top w:val="nil"/>
                <w:left w:val="nil"/>
                <w:bottom w:val="nil"/>
                <w:right w:val="nil"/>
                <w:between w:val="nil"/>
              </w:pBdr>
              <w:tabs>
                <w:tab w:val="left" w:pos="9639"/>
              </w:tabs>
              <w:spacing w:line="240" w:lineRule="auto"/>
              <w:ind w:firstLine="0"/>
              <w:jc w:val="center"/>
              <w:rPr>
                <w:rFonts w:eastAsia="Garamond" w:cs="Times New Roman"/>
                <w:b/>
                <w:color w:val="00000A"/>
                <w:szCs w:val="24"/>
              </w:rPr>
            </w:pPr>
            <w:r w:rsidRPr="009A7324">
              <w:rPr>
                <w:rFonts w:eastAsia="Garamond" w:cs="Times New Roman"/>
                <w:color w:val="000000"/>
                <w:szCs w:val="24"/>
              </w:rPr>
              <w:t>P3 –</w:t>
            </w:r>
            <w:r w:rsidRPr="009A7324">
              <w:rPr>
                <w:rFonts w:eastAsia="Garamond" w:cs="Times New Roman"/>
                <w:color w:val="FF0000"/>
                <w:szCs w:val="24"/>
              </w:rPr>
              <w:t xml:space="preserve"> MÊS</w:t>
            </w:r>
            <w:r w:rsidRPr="009A7324">
              <w:rPr>
                <w:rFonts w:eastAsia="Garamond" w:cs="Times New Roman"/>
                <w:color w:val="000000"/>
                <w:szCs w:val="24"/>
              </w:rPr>
              <w:t xml:space="preserve"> de </w:t>
            </w:r>
            <w:r w:rsidRPr="009A7324">
              <w:rPr>
                <w:rFonts w:eastAsia="Garamond" w:cs="Times New Roman"/>
                <w:color w:val="FF0000"/>
                <w:szCs w:val="24"/>
              </w:rPr>
              <w:t>ANO</w:t>
            </w:r>
            <w:r w:rsidRPr="009A7324">
              <w:rPr>
                <w:rFonts w:eastAsia="Garamond" w:cs="Times New Roman"/>
                <w:color w:val="000000"/>
                <w:szCs w:val="24"/>
              </w:rPr>
              <w:t xml:space="preserve"> a </w:t>
            </w:r>
            <w:r w:rsidRPr="009A7324">
              <w:rPr>
                <w:rFonts w:eastAsia="Garamond" w:cs="Times New Roman"/>
                <w:color w:val="FF0000"/>
                <w:szCs w:val="24"/>
              </w:rPr>
              <w:t>MÊS</w:t>
            </w:r>
            <w:r w:rsidRPr="009A7324">
              <w:rPr>
                <w:rFonts w:eastAsia="Garamond" w:cs="Times New Roman"/>
                <w:color w:val="000000"/>
                <w:szCs w:val="24"/>
              </w:rPr>
              <w:t xml:space="preserve"> de </w:t>
            </w:r>
            <w:r w:rsidRPr="009A7324">
              <w:rPr>
                <w:rFonts w:eastAsia="Garamond" w:cs="Times New Roman"/>
                <w:color w:val="FF0000"/>
                <w:szCs w:val="24"/>
              </w:rPr>
              <w:t>ANO</w:t>
            </w:r>
          </w:p>
        </w:tc>
      </w:tr>
      <w:tr w:rsidR="00D3036F" w:rsidRPr="009A7324" w14:paraId="369188CD" w14:textId="77777777" w:rsidTr="00824360">
        <w:trPr>
          <w:jc w:val="center"/>
        </w:trPr>
        <w:tc>
          <w:tcPr>
            <w:tcW w:w="8642" w:type="dxa"/>
          </w:tcPr>
          <w:p w14:paraId="707794BA" w14:textId="77777777" w:rsidR="00D3036F" w:rsidRPr="009A7324" w:rsidRDefault="00D3036F" w:rsidP="00824360">
            <w:pPr>
              <w:pBdr>
                <w:top w:val="nil"/>
                <w:left w:val="nil"/>
                <w:bottom w:val="nil"/>
                <w:right w:val="nil"/>
                <w:between w:val="nil"/>
              </w:pBdr>
              <w:tabs>
                <w:tab w:val="left" w:pos="9639"/>
              </w:tabs>
              <w:spacing w:line="240" w:lineRule="auto"/>
              <w:ind w:firstLine="0"/>
              <w:jc w:val="center"/>
              <w:rPr>
                <w:rFonts w:eastAsia="Garamond" w:cs="Times New Roman"/>
                <w:b/>
                <w:color w:val="00000A"/>
                <w:szCs w:val="24"/>
              </w:rPr>
            </w:pPr>
            <w:r w:rsidRPr="009A7324">
              <w:rPr>
                <w:rFonts w:eastAsia="Garamond" w:cs="Times New Roman"/>
                <w:color w:val="000000"/>
                <w:szCs w:val="24"/>
              </w:rPr>
              <w:t xml:space="preserve">P4 – </w:t>
            </w:r>
            <w:r w:rsidRPr="009A7324">
              <w:rPr>
                <w:rFonts w:eastAsia="Garamond" w:cs="Times New Roman"/>
                <w:color w:val="FF0000"/>
                <w:szCs w:val="24"/>
              </w:rPr>
              <w:t>MÊS</w:t>
            </w:r>
            <w:r w:rsidRPr="009A7324">
              <w:rPr>
                <w:rFonts w:eastAsia="Garamond" w:cs="Times New Roman"/>
                <w:color w:val="000000"/>
                <w:szCs w:val="24"/>
              </w:rPr>
              <w:t xml:space="preserve"> de </w:t>
            </w:r>
            <w:r w:rsidRPr="009A7324">
              <w:rPr>
                <w:rFonts w:eastAsia="Garamond" w:cs="Times New Roman"/>
                <w:color w:val="FF0000"/>
                <w:szCs w:val="24"/>
              </w:rPr>
              <w:t>ANO</w:t>
            </w:r>
            <w:r w:rsidRPr="009A7324">
              <w:rPr>
                <w:rFonts w:eastAsia="Garamond" w:cs="Times New Roman"/>
                <w:color w:val="000000"/>
                <w:szCs w:val="24"/>
              </w:rPr>
              <w:t xml:space="preserve"> a </w:t>
            </w:r>
            <w:r w:rsidRPr="009A7324">
              <w:rPr>
                <w:rFonts w:eastAsia="Garamond" w:cs="Times New Roman"/>
                <w:color w:val="FF0000"/>
                <w:szCs w:val="24"/>
              </w:rPr>
              <w:t>MÊS</w:t>
            </w:r>
            <w:r w:rsidRPr="009A7324">
              <w:rPr>
                <w:rFonts w:eastAsia="Garamond" w:cs="Times New Roman"/>
                <w:color w:val="000000"/>
                <w:szCs w:val="24"/>
              </w:rPr>
              <w:t xml:space="preserve"> de </w:t>
            </w:r>
            <w:r w:rsidRPr="009A7324">
              <w:rPr>
                <w:rFonts w:eastAsia="Garamond" w:cs="Times New Roman"/>
                <w:color w:val="FF0000"/>
                <w:szCs w:val="24"/>
              </w:rPr>
              <w:t>ANO</w:t>
            </w:r>
          </w:p>
        </w:tc>
      </w:tr>
      <w:tr w:rsidR="00D3036F" w:rsidRPr="009A7324" w14:paraId="2FCF4891" w14:textId="77777777" w:rsidTr="00824360">
        <w:trPr>
          <w:jc w:val="center"/>
        </w:trPr>
        <w:tc>
          <w:tcPr>
            <w:tcW w:w="8642" w:type="dxa"/>
          </w:tcPr>
          <w:p w14:paraId="0839E33D" w14:textId="77777777" w:rsidR="00D3036F" w:rsidRPr="009A7324" w:rsidRDefault="00D3036F" w:rsidP="00824360">
            <w:pPr>
              <w:pBdr>
                <w:top w:val="nil"/>
                <w:left w:val="nil"/>
                <w:bottom w:val="nil"/>
                <w:right w:val="nil"/>
                <w:between w:val="nil"/>
              </w:pBdr>
              <w:tabs>
                <w:tab w:val="left" w:pos="9639"/>
              </w:tabs>
              <w:spacing w:line="240" w:lineRule="auto"/>
              <w:ind w:firstLine="0"/>
              <w:jc w:val="center"/>
              <w:rPr>
                <w:rFonts w:eastAsia="Garamond" w:cs="Times New Roman"/>
                <w:b/>
                <w:color w:val="00000A"/>
                <w:szCs w:val="24"/>
              </w:rPr>
            </w:pPr>
            <w:r w:rsidRPr="009A7324">
              <w:rPr>
                <w:rFonts w:eastAsia="Garamond" w:cs="Times New Roman"/>
                <w:color w:val="000000"/>
                <w:szCs w:val="24"/>
              </w:rPr>
              <w:t xml:space="preserve">P5 – </w:t>
            </w:r>
            <w:r w:rsidRPr="009A7324">
              <w:rPr>
                <w:rFonts w:eastAsia="Garamond" w:cs="Times New Roman"/>
                <w:color w:val="FF0000"/>
                <w:szCs w:val="24"/>
              </w:rPr>
              <w:t>MÊS</w:t>
            </w:r>
            <w:r w:rsidRPr="009A7324">
              <w:rPr>
                <w:rFonts w:eastAsia="Garamond" w:cs="Times New Roman"/>
                <w:color w:val="000000"/>
                <w:szCs w:val="24"/>
              </w:rPr>
              <w:t xml:space="preserve"> de </w:t>
            </w:r>
            <w:r w:rsidRPr="009A7324">
              <w:rPr>
                <w:rFonts w:eastAsia="Garamond" w:cs="Times New Roman"/>
                <w:color w:val="FF0000"/>
                <w:szCs w:val="24"/>
              </w:rPr>
              <w:t>ANO</w:t>
            </w:r>
            <w:r w:rsidRPr="009A7324">
              <w:rPr>
                <w:rFonts w:eastAsia="Garamond" w:cs="Times New Roman"/>
                <w:color w:val="000000"/>
                <w:szCs w:val="24"/>
              </w:rPr>
              <w:t xml:space="preserve"> a </w:t>
            </w:r>
            <w:r w:rsidRPr="009A7324">
              <w:rPr>
                <w:rFonts w:eastAsia="Garamond" w:cs="Times New Roman"/>
                <w:color w:val="FF0000"/>
                <w:szCs w:val="24"/>
              </w:rPr>
              <w:t>MÊS</w:t>
            </w:r>
            <w:r w:rsidRPr="009A7324">
              <w:rPr>
                <w:rFonts w:eastAsia="Garamond" w:cs="Times New Roman"/>
                <w:color w:val="000000"/>
                <w:szCs w:val="24"/>
              </w:rPr>
              <w:t xml:space="preserve"> de </w:t>
            </w:r>
            <w:r w:rsidRPr="009A7324">
              <w:rPr>
                <w:rFonts w:eastAsia="Garamond" w:cs="Times New Roman"/>
                <w:color w:val="FF0000"/>
                <w:szCs w:val="24"/>
              </w:rPr>
              <w:t>ANO</w:t>
            </w:r>
          </w:p>
        </w:tc>
      </w:tr>
      <w:tr w:rsidR="00D3036F" w:rsidRPr="009A7324" w14:paraId="62FD20B5" w14:textId="77777777" w:rsidTr="00824360">
        <w:trPr>
          <w:jc w:val="center"/>
        </w:trPr>
        <w:tc>
          <w:tcPr>
            <w:tcW w:w="8642" w:type="dxa"/>
          </w:tcPr>
          <w:p w14:paraId="3E1FBF5D" w14:textId="77777777" w:rsidR="00D3036F" w:rsidRPr="009A7324" w:rsidRDefault="00D3036F" w:rsidP="00824360">
            <w:pPr>
              <w:tabs>
                <w:tab w:val="left" w:pos="9639"/>
              </w:tabs>
              <w:spacing w:line="240" w:lineRule="auto"/>
              <w:ind w:firstLine="0"/>
              <w:rPr>
                <w:rFonts w:eastAsia="Garamond" w:cs="Times New Roman"/>
                <w:b/>
                <w:color w:val="00000A"/>
                <w:szCs w:val="24"/>
              </w:rPr>
            </w:pPr>
            <w:r w:rsidRPr="009A7324">
              <w:rPr>
                <w:rFonts w:eastAsia="Garamond" w:cs="Times New Roman"/>
                <w:color w:val="FF0000"/>
                <w:szCs w:val="24"/>
              </w:rPr>
              <w:t>[Indicar tantos períodos quanto necessários para inclusão da primeira aplicação da medida de defesa comercial, quando cabível. Tais períodos de análise deverão ser idênticos aos períodos delimitados nas investigações de defesa comercial. Caso haja necessidade de delimitar períodos não utilizados no processo de defesa comercial, apresentar justificativa para inclusão.]</w:t>
            </w:r>
          </w:p>
        </w:tc>
      </w:tr>
    </w:tbl>
    <w:p w14:paraId="23DCBC5D" w14:textId="77777777" w:rsidR="00D3036F" w:rsidRPr="009A7324" w:rsidRDefault="00D3036F" w:rsidP="00D3036F">
      <w:pPr>
        <w:pBdr>
          <w:top w:val="nil"/>
          <w:left w:val="nil"/>
          <w:bottom w:val="nil"/>
          <w:right w:val="nil"/>
          <w:between w:val="nil"/>
        </w:pBdr>
        <w:tabs>
          <w:tab w:val="left" w:pos="9639"/>
        </w:tabs>
        <w:rPr>
          <w:rFonts w:eastAsia="Garamond" w:cs="Times New Roman"/>
          <w:b/>
          <w:color w:val="000000"/>
          <w:szCs w:val="24"/>
        </w:rPr>
      </w:pPr>
    </w:p>
    <w:p w14:paraId="6632F1E2" w14:textId="77777777" w:rsidR="00D3036F" w:rsidRPr="000949C8" w:rsidRDefault="00D3036F" w:rsidP="000949C8">
      <w:pPr>
        <w:pStyle w:val="Ttulo2"/>
      </w:pPr>
      <w:bookmarkStart w:id="21" w:name="_Toc26866291"/>
      <w:bookmarkStart w:id="22" w:name="_Toc27046504"/>
      <w:bookmarkStart w:id="23" w:name="_Toc27122364"/>
      <w:bookmarkStart w:id="24" w:name="_Toc27124089"/>
      <w:bookmarkStart w:id="25" w:name="_Toc27406334"/>
      <w:bookmarkStart w:id="26" w:name="_Toc27413924"/>
      <w:bookmarkStart w:id="27" w:name="_Toc27489066"/>
      <w:bookmarkStart w:id="28" w:name="_Toc27490256"/>
      <w:bookmarkStart w:id="29" w:name="_Toc27492831"/>
      <w:bookmarkStart w:id="30" w:name="_Toc28273306"/>
      <w:bookmarkStart w:id="31" w:name="_Toc31116250"/>
      <w:r w:rsidRPr="000949C8">
        <w:t>II. Parte Interessada Na Avaliação De Interesse Público</w:t>
      </w:r>
      <w:bookmarkEnd w:id="21"/>
      <w:bookmarkEnd w:id="22"/>
      <w:bookmarkEnd w:id="23"/>
      <w:bookmarkEnd w:id="24"/>
      <w:bookmarkEnd w:id="25"/>
      <w:bookmarkEnd w:id="26"/>
      <w:bookmarkEnd w:id="27"/>
      <w:bookmarkEnd w:id="28"/>
      <w:bookmarkEnd w:id="29"/>
      <w:bookmarkEnd w:id="30"/>
      <w:bookmarkEnd w:id="31"/>
    </w:p>
    <w:p w14:paraId="4B764A7C" w14:textId="77777777" w:rsidR="00D3036F" w:rsidRPr="009A7324" w:rsidRDefault="00D3036F" w:rsidP="00D3036F">
      <w:pPr>
        <w:pBdr>
          <w:top w:val="nil"/>
          <w:left w:val="nil"/>
          <w:bottom w:val="nil"/>
          <w:right w:val="nil"/>
          <w:between w:val="nil"/>
        </w:pBdr>
        <w:tabs>
          <w:tab w:val="left" w:pos="9639"/>
        </w:tabs>
        <w:spacing w:line="240" w:lineRule="auto"/>
        <w:ind w:firstLine="0"/>
        <w:jc w:val="center"/>
        <w:rPr>
          <w:rFonts w:eastAsia="Garamond" w:cs="Times New Roman"/>
          <w:b/>
          <w:color w:val="000000"/>
          <w:szCs w:val="24"/>
        </w:rPr>
      </w:pPr>
      <w:r w:rsidRPr="009A7324">
        <w:rPr>
          <w:rFonts w:eastAsia="Garamond" w:cs="Times New Roman"/>
          <w:b/>
          <w:color w:val="000000"/>
          <w:szCs w:val="24"/>
        </w:rPr>
        <w:t>Dados Gerais da Parte Interessada</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D3036F" w:rsidRPr="009A7324" w14:paraId="6BC03701" w14:textId="77777777" w:rsidTr="00824360">
        <w:trPr>
          <w:jc w:val="center"/>
        </w:trPr>
        <w:tc>
          <w:tcPr>
            <w:tcW w:w="8642" w:type="dxa"/>
          </w:tcPr>
          <w:p w14:paraId="141459A8"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A"/>
                <w:szCs w:val="24"/>
              </w:rPr>
            </w:pPr>
            <w:r w:rsidRPr="009A7324">
              <w:rPr>
                <w:rFonts w:eastAsia="Garamond" w:cs="Times New Roman"/>
                <w:b/>
                <w:color w:val="00000A"/>
                <w:szCs w:val="24"/>
              </w:rPr>
              <w:t>Parte interessada:</w:t>
            </w:r>
          </w:p>
        </w:tc>
      </w:tr>
      <w:tr w:rsidR="00D3036F" w:rsidRPr="009A7324" w14:paraId="6ABDCFE8" w14:textId="77777777" w:rsidTr="00824360">
        <w:trPr>
          <w:jc w:val="center"/>
        </w:trPr>
        <w:tc>
          <w:tcPr>
            <w:tcW w:w="8642" w:type="dxa"/>
          </w:tcPr>
          <w:p w14:paraId="480B0B50"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Razão Social:</w:t>
            </w:r>
          </w:p>
        </w:tc>
      </w:tr>
      <w:tr w:rsidR="00D3036F" w:rsidRPr="009A7324" w14:paraId="7024F2FD" w14:textId="77777777" w:rsidTr="00824360">
        <w:trPr>
          <w:jc w:val="center"/>
        </w:trPr>
        <w:tc>
          <w:tcPr>
            <w:tcW w:w="8642" w:type="dxa"/>
          </w:tcPr>
          <w:p w14:paraId="0EDDDAF0"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CNPJ:</w:t>
            </w:r>
          </w:p>
        </w:tc>
      </w:tr>
      <w:tr w:rsidR="00D3036F" w:rsidRPr="009A7324" w14:paraId="6C7C93C4" w14:textId="77777777" w:rsidTr="00824360">
        <w:trPr>
          <w:jc w:val="center"/>
        </w:trPr>
        <w:tc>
          <w:tcPr>
            <w:tcW w:w="8642" w:type="dxa"/>
          </w:tcPr>
          <w:p w14:paraId="548AD0E4"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Endereço completo:</w:t>
            </w:r>
          </w:p>
        </w:tc>
      </w:tr>
      <w:tr w:rsidR="00D3036F" w:rsidRPr="009A7324" w14:paraId="14AF8F9A" w14:textId="77777777" w:rsidTr="00824360">
        <w:trPr>
          <w:jc w:val="center"/>
        </w:trPr>
        <w:tc>
          <w:tcPr>
            <w:tcW w:w="8642" w:type="dxa"/>
          </w:tcPr>
          <w:p w14:paraId="023DB759"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Telefone:</w:t>
            </w:r>
          </w:p>
        </w:tc>
      </w:tr>
      <w:tr w:rsidR="00D3036F" w:rsidRPr="009A7324" w14:paraId="51BD4DA9" w14:textId="77777777" w:rsidTr="00824360">
        <w:trPr>
          <w:jc w:val="center"/>
        </w:trPr>
        <w:tc>
          <w:tcPr>
            <w:tcW w:w="8642" w:type="dxa"/>
          </w:tcPr>
          <w:p w14:paraId="2E24B840"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Correio Eletrônico:</w:t>
            </w:r>
          </w:p>
        </w:tc>
      </w:tr>
      <w:tr w:rsidR="00D3036F" w:rsidRPr="009A7324" w14:paraId="04592644" w14:textId="77777777" w:rsidTr="00824360">
        <w:trPr>
          <w:jc w:val="center"/>
        </w:trPr>
        <w:tc>
          <w:tcPr>
            <w:tcW w:w="8642" w:type="dxa"/>
          </w:tcPr>
          <w:p w14:paraId="66592123"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Página eletrônica:</w:t>
            </w:r>
          </w:p>
        </w:tc>
      </w:tr>
      <w:tr w:rsidR="00D3036F" w:rsidRPr="009A7324" w14:paraId="6EF88CFB" w14:textId="77777777" w:rsidTr="00824360">
        <w:trPr>
          <w:jc w:val="center"/>
        </w:trPr>
        <w:tc>
          <w:tcPr>
            <w:tcW w:w="8642" w:type="dxa"/>
          </w:tcPr>
          <w:p w14:paraId="6B1DBD6A"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0"/>
                <w:szCs w:val="24"/>
              </w:rPr>
            </w:pPr>
            <w:r w:rsidRPr="009A7324">
              <w:rPr>
                <w:rFonts w:eastAsia="Garamond" w:cs="Times New Roman"/>
                <w:b/>
                <w:color w:val="000000"/>
                <w:szCs w:val="24"/>
              </w:rPr>
              <w:t>Natureza da parte interessada:</w:t>
            </w:r>
            <w:r w:rsidRPr="009A7324">
              <w:rPr>
                <w:rFonts w:eastAsia="Garamond" w:cs="Times New Roman"/>
                <w:color w:val="000000"/>
                <w:szCs w:val="24"/>
              </w:rPr>
              <w:t xml:space="preserve"> </w:t>
            </w:r>
            <w:r w:rsidRPr="009A7324">
              <w:rPr>
                <w:rFonts w:eastAsia="Garamond" w:cs="Times New Roman"/>
                <w:color w:val="FF0000"/>
                <w:szCs w:val="24"/>
              </w:rPr>
              <w:t>[Empresa; entidade de classe; Outra (Especificar)]</w:t>
            </w:r>
          </w:p>
        </w:tc>
      </w:tr>
      <w:tr w:rsidR="00D3036F" w:rsidRPr="009A7324" w14:paraId="1396A4FE" w14:textId="77777777" w:rsidTr="00824360">
        <w:trPr>
          <w:jc w:val="center"/>
        </w:trPr>
        <w:tc>
          <w:tcPr>
            <w:tcW w:w="8642" w:type="dxa"/>
          </w:tcPr>
          <w:p w14:paraId="50457497"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0"/>
                <w:szCs w:val="24"/>
              </w:rPr>
            </w:pPr>
            <w:r w:rsidRPr="009A7324">
              <w:rPr>
                <w:rFonts w:eastAsia="Garamond" w:cs="Times New Roman"/>
                <w:b/>
                <w:color w:val="000000"/>
                <w:szCs w:val="24"/>
              </w:rPr>
              <w:t>Área de atuação:</w:t>
            </w:r>
            <w:r w:rsidRPr="009A7324">
              <w:rPr>
                <w:rFonts w:eastAsia="Garamond" w:cs="Times New Roman"/>
                <w:color w:val="000000"/>
                <w:szCs w:val="24"/>
              </w:rPr>
              <w:t xml:space="preserve"> </w:t>
            </w:r>
            <w:r w:rsidRPr="009A7324">
              <w:rPr>
                <w:rFonts w:eastAsia="Garamond" w:cs="Times New Roman"/>
                <w:color w:val="FF0000"/>
                <w:szCs w:val="24"/>
              </w:rPr>
              <w:t xml:space="preserve">[indústria de transformação; </w:t>
            </w:r>
            <w:r w:rsidRPr="009A7324">
              <w:rPr>
                <w:rFonts w:eastAsia="Garamond" w:cs="Times New Roman"/>
                <w:i/>
                <w:color w:val="FF0000"/>
                <w:szCs w:val="24"/>
              </w:rPr>
              <w:t>trading company</w:t>
            </w:r>
            <w:r w:rsidRPr="009A7324">
              <w:rPr>
                <w:rFonts w:eastAsia="Garamond" w:cs="Times New Roman"/>
                <w:color w:val="FF0000"/>
                <w:szCs w:val="24"/>
              </w:rPr>
              <w:t>; distribuidor/ revendedor local; consumidor final; Outra (Especificar)</w:t>
            </w:r>
            <w:r w:rsidRPr="009A7324">
              <w:rPr>
                <w:rFonts w:eastAsia="Garamond" w:cs="Times New Roman"/>
                <w:color w:val="000000"/>
                <w:szCs w:val="24"/>
              </w:rPr>
              <w:t>.</w:t>
            </w:r>
          </w:p>
        </w:tc>
      </w:tr>
      <w:tr w:rsidR="00D3036F" w:rsidRPr="009A7324" w14:paraId="7A294F72" w14:textId="77777777" w:rsidTr="00824360">
        <w:trPr>
          <w:jc w:val="center"/>
        </w:trPr>
        <w:tc>
          <w:tcPr>
            <w:tcW w:w="8642" w:type="dxa"/>
          </w:tcPr>
          <w:p w14:paraId="1544597A"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0"/>
                <w:szCs w:val="24"/>
              </w:rPr>
            </w:pPr>
            <w:r w:rsidRPr="009A7324">
              <w:rPr>
                <w:rFonts w:eastAsia="Garamond" w:cs="Times New Roman"/>
                <w:b/>
                <w:color w:val="000000"/>
                <w:szCs w:val="24"/>
              </w:rPr>
              <w:lastRenderedPageBreak/>
              <w:t>Participa em entidade de classe:</w:t>
            </w:r>
            <w:r w:rsidRPr="009A7324">
              <w:rPr>
                <w:rFonts w:eastAsia="Garamond" w:cs="Times New Roman"/>
                <w:color w:val="000000"/>
                <w:szCs w:val="24"/>
              </w:rPr>
              <w:t xml:space="preserve"> </w:t>
            </w:r>
            <w:r w:rsidRPr="009A7324">
              <w:rPr>
                <w:rFonts w:eastAsia="Garamond" w:cs="Times New Roman"/>
                <w:color w:val="FF0000"/>
                <w:szCs w:val="24"/>
              </w:rPr>
              <w:t>[sim ou não] e indicar qual é e o nome, telefone e correio eletrônico de contato da entidade</w:t>
            </w:r>
            <w:r w:rsidRPr="009A7324">
              <w:rPr>
                <w:rFonts w:eastAsia="Garamond" w:cs="Times New Roman"/>
                <w:color w:val="000000"/>
                <w:szCs w:val="24"/>
              </w:rPr>
              <w:t>.</w:t>
            </w:r>
          </w:p>
        </w:tc>
      </w:tr>
      <w:tr w:rsidR="00D3036F" w:rsidRPr="009A7324" w14:paraId="442C2704" w14:textId="77777777" w:rsidTr="00824360">
        <w:trPr>
          <w:jc w:val="center"/>
        </w:trPr>
        <w:tc>
          <w:tcPr>
            <w:tcW w:w="8642" w:type="dxa"/>
          </w:tcPr>
          <w:p w14:paraId="1DD9B61D"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color w:val="000000"/>
                <w:szCs w:val="24"/>
              </w:rPr>
            </w:pPr>
            <w:r w:rsidRPr="009A7324">
              <w:rPr>
                <w:rFonts w:eastAsia="Garamond" w:cs="Times New Roman"/>
                <w:b/>
                <w:color w:val="000000"/>
                <w:szCs w:val="24"/>
              </w:rPr>
              <w:t>Entidades (Associações):</w:t>
            </w:r>
            <w:r w:rsidRPr="009A7324">
              <w:rPr>
                <w:rFonts w:eastAsia="Garamond" w:cs="Times New Roman"/>
                <w:color w:val="000000"/>
                <w:szCs w:val="24"/>
              </w:rPr>
              <w:t xml:space="preserve"> </w:t>
            </w:r>
            <w:r w:rsidRPr="009A7324">
              <w:rPr>
                <w:rFonts w:eastAsia="Garamond" w:cs="Times New Roman"/>
                <w:color w:val="FF0000"/>
                <w:szCs w:val="24"/>
              </w:rPr>
              <w:t>especificar o nome e correio eletrônico das empresas associadas, bem como apresentar lista de empresas apoiadoras, quando cabível.</w:t>
            </w:r>
          </w:p>
        </w:tc>
      </w:tr>
    </w:tbl>
    <w:p w14:paraId="6CE18BEF" w14:textId="77777777" w:rsidR="00D3036F" w:rsidRPr="009A7324" w:rsidRDefault="00D3036F" w:rsidP="00D3036F">
      <w:pPr>
        <w:widowControl w:val="0"/>
        <w:tabs>
          <w:tab w:val="left" w:pos="9639"/>
        </w:tabs>
        <w:spacing w:line="240" w:lineRule="auto"/>
        <w:ind w:firstLine="0"/>
        <w:jc w:val="center"/>
        <w:rPr>
          <w:rFonts w:eastAsia="Garamond" w:cs="Times New Roman"/>
          <w:b/>
          <w:szCs w:val="24"/>
        </w:rPr>
      </w:pPr>
    </w:p>
    <w:p w14:paraId="23C2349B" w14:textId="77777777" w:rsidR="00D3036F" w:rsidRPr="009A7324" w:rsidRDefault="00D3036F" w:rsidP="00D3036F">
      <w:pPr>
        <w:widowControl w:val="0"/>
        <w:tabs>
          <w:tab w:val="left" w:pos="9639"/>
        </w:tabs>
        <w:spacing w:line="240" w:lineRule="auto"/>
        <w:ind w:firstLine="0"/>
        <w:jc w:val="center"/>
        <w:rPr>
          <w:rFonts w:eastAsia="Garamond" w:cs="Times New Roman"/>
          <w:b/>
          <w:szCs w:val="24"/>
        </w:rPr>
      </w:pPr>
      <w:r w:rsidRPr="009A7324">
        <w:rPr>
          <w:rFonts w:eastAsia="Garamond" w:cs="Times New Roman"/>
          <w:b/>
          <w:szCs w:val="24"/>
        </w:rPr>
        <w:t>Dados Gerais do Representante Legal</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D3036F" w:rsidRPr="009A7324" w14:paraId="0E0B0943" w14:textId="77777777" w:rsidTr="00824360">
        <w:trPr>
          <w:jc w:val="center"/>
        </w:trPr>
        <w:tc>
          <w:tcPr>
            <w:tcW w:w="8500" w:type="dxa"/>
          </w:tcPr>
          <w:p w14:paraId="6C68DD9F"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Razão Social:</w:t>
            </w:r>
          </w:p>
        </w:tc>
      </w:tr>
      <w:tr w:rsidR="00D3036F" w:rsidRPr="009A7324" w14:paraId="35E2DC90" w14:textId="77777777" w:rsidTr="00824360">
        <w:trPr>
          <w:jc w:val="center"/>
        </w:trPr>
        <w:tc>
          <w:tcPr>
            <w:tcW w:w="8500" w:type="dxa"/>
          </w:tcPr>
          <w:p w14:paraId="586F036A"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CNPJ:</w:t>
            </w:r>
          </w:p>
        </w:tc>
      </w:tr>
      <w:tr w:rsidR="00D3036F" w:rsidRPr="009A7324" w14:paraId="0331134F" w14:textId="77777777" w:rsidTr="00824360">
        <w:trPr>
          <w:jc w:val="center"/>
        </w:trPr>
        <w:tc>
          <w:tcPr>
            <w:tcW w:w="8500" w:type="dxa"/>
          </w:tcPr>
          <w:p w14:paraId="5B345F18"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 xml:space="preserve">Representante legal e ponto focal: </w:t>
            </w:r>
          </w:p>
        </w:tc>
      </w:tr>
      <w:tr w:rsidR="00D3036F" w:rsidRPr="009A7324" w14:paraId="007323C0" w14:textId="77777777" w:rsidTr="00824360">
        <w:trPr>
          <w:jc w:val="center"/>
        </w:trPr>
        <w:tc>
          <w:tcPr>
            <w:tcW w:w="8500" w:type="dxa"/>
          </w:tcPr>
          <w:p w14:paraId="0CBE6D48"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Nome</w:t>
            </w:r>
          </w:p>
        </w:tc>
      </w:tr>
      <w:tr w:rsidR="00D3036F" w:rsidRPr="009A7324" w14:paraId="1A596B41" w14:textId="77777777" w:rsidTr="00824360">
        <w:trPr>
          <w:jc w:val="center"/>
        </w:trPr>
        <w:tc>
          <w:tcPr>
            <w:tcW w:w="8500" w:type="dxa"/>
          </w:tcPr>
          <w:p w14:paraId="5C2F36E2"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Função:</w:t>
            </w:r>
          </w:p>
        </w:tc>
      </w:tr>
      <w:tr w:rsidR="00D3036F" w:rsidRPr="009A7324" w14:paraId="4F6AFCF3" w14:textId="77777777" w:rsidTr="00824360">
        <w:trPr>
          <w:jc w:val="center"/>
        </w:trPr>
        <w:tc>
          <w:tcPr>
            <w:tcW w:w="8500" w:type="dxa"/>
          </w:tcPr>
          <w:p w14:paraId="73744AEB"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Endereço:</w:t>
            </w:r>
          </w:p>
        </w:tc>
      </w:tr>
      <w:tr w:rsidR="00D3036F" w:rsidRPr="009A7324" w14:paraId="296B05EE" w14:textId="77777777" w:rsidTr="00824360">
        <w:trPr>
          <w:jc w:val="center"/>
        </w:trPr>
        <w:tc>
          <w:tcPr>
            <w:tcW w:w="8500" w:type="dxa"/>
          </w:tcPr>
          <w:p w14:paraId="5676DF8D"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Telefone:</w:t>
            </w:r>
          </w:p>
        </w:tc>
      </w:tr>
      <w:tr w:rsidR="00D3036F" w:rsidRPr="009A7324" w14:paraId="713945F4" w14:textId="77777777" w:rsidTr="00824360">
        <w:trPr>
          <w:jc w:val="center"/>
        </w:trPr>
        <w:tc>
          <w:tcPr>
            <w:tcW w:w="8500" w:type="dxa"/>
          </w:tcPr>
          <w:p w14:paraId="09CF4FE9"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Endereço eletrônico:</w:t>
            </w:r>
          </w:p>
        </w:tc>
      </w:tr>
      <w:tr w:rsidR="00D3036F" w:rsidRPr="009A7324" w14:paraId="7EDE7F94" w14:textId="77777777" w:rsidTr="00824360">
        <w:trPr>
          <w:jc w:val="center"/>
        </w:trPr>
        <w:tc>
          <w:tcPr>
            <w:tcW w:w="8500" w:type="dxa"/>
          </w:tcPr>
          <w:p w14:paraId="3D3D9734"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p>
        </w:tc>
      </w:tr>
      <w:tr w:rsidR="00D3036F" w:rsidRPr="009A7324" w14:paraId="4DCC11EB" w14:textId="77777777" w:rsidTr="00824360">
        <w:trPr>
          <w:jc w:val="center"/>
        </w:trPr>
        <w:tc>
          <w:tcPr>
            <w:tcW w:w="8500" w:type="dxa"/>
          </w:tcPr>
          <w:p w14:paraId="38D13ADD"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Outros representantes legais</w:t>
            </w:r>
          </w:p>
        </w:tc>
      </w:tr>
      <w:tr w:rsidR="00D3036F" w:rsidRPr="009A7324" w14:paraId="08FD24A2" w14:textId="77777777" w:rsidTr="00824360">
        <w:trPr>
          <w:jc w:val="center"/>
        </w:trPr>
        <w:tc>
          <w:tcPr>
            <w:tcW w:w="8500" w:type="dxa"/>
          </w:tcPr>
          <w:p w14:paraId="28D831D9"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Nome</w:t>
            </w:r>
          </w:p>
        </w:tc>
      </w:tr>
      <w:tr w:rsidR="00D3036F" w:rsidRPr="009A7324" w14:paraId="4152F133" w14:textId="77777777" w:rsidTr="00824360">
        <w:trPr>
          <w:jc w:val="center"/>
        </w:trPr>
        <w:tc>
          <w:tcPr>
            <w:tcW w:w="8500" w:type="dxa"/>
          </w:tcPr>
          <w:p w14:paraId="7273034F"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Função:</w:t>
            </w:r>
          </w:p>
        </w:tc>
      </w:tr>
      <w:tr w:rsidR="00D3036F" w:rsidRPr="009A7324" w14:paraId="500AF54E" w14:textId="77777777" w:rsidTr="00824360">
        <w:trPr>
          <w:jc w:val="center"/>
        </w:trPr>
        <w:tc>
          <w:tcPr>
            <w:tcW w:w="8500" w:type="dxa"/>
          </w:tcPr>
          <w:p w14:paraId="25FC02FA"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Endereço:</w:t>
            </w:r>
          </w:p>
        </w:tc>
      </w:tr>
      <w:tr w:rsidR="00D3036F" w:rsidRPr="009A7324" w14:paraId="5211CDBA" w14:textId="77777777" w:rsidTr="00824360">
        <w:trPr>
          <w:jc w:val="center"/>
        </w:trPr>
        <w:tc>
          <w:tcPr>
            <w:tcW w:w="8500" w:type="dxa"/>
          </w:tcPr>
          <w:p w14:paraId="4F718BEC" w14:textId="77777777" w:rsidR="00D3036F" w:rsidRPr="009A7324" w:rsidRDefault="00D3036F" w:rsidP="00824360">
            <w:pPr>
              <w:pBdr>
                <w:top w:val="nil"/>
                <w:left w:val="nil"/>
                <w:bottom w:val="nil"/>
                <w:right w:val="nil"/>
                <w:between w:val="nil"/>
              </w:pBdr>
              <w:tabs>
                <w:tab w:val="left" w:pos="9639"/>
              </w:tabs>
              <w:spacing w:line="240" w:lineRule="auto"/>
              <w:ind w:firstLine="0"/>
              <w:jc w:val="left"/>
              <w:rPr>
                <w:rFonts w:eastAsia="Garamond" w:cs="Times New Roman"/>
                <w:b/>
                <w:color w:val="000000"/>
                <w:szCs w:val="24"/>
              </w:rPr>
            </w:pPr>
            <w:r w:rsidRPr="009A7324">
              <w:rPr>
                <w:rFonts w:eastAsia="Garamond" w:cs="Times New Roman"/>
                <w:b/>
                <w:color w:val="000000"/>
                <w:szCs w:val="24"/>
              </w:rPr>
              <w:t>Telefone:</w:t>
            </w:r>
          </w:p>
        </w:tc>
      </w:tr>
    </w:tbl>
    <w:p w14:paraId="100E2F1E" w14:textId="77777777" w:rsidR="00D3036F" w:rsidRPr="009A7324" w:rsidRDefault="00D3036F" w:rsidP="00D3036F">
      <w:pPr>
        <w:widowControl w:val="0"/>
        <w:tabs>
          <w:tab w:val="left" w:pos="9639"/>
        </w:tabs>
        <w:spacing w:line="240" w:lineRule="auto"/>
        <w:ind w:firstLine="0"/>
        <w:jc w:val="center"/>
        <w:rPr>
          <w:rFonts w:eastAsia="Garamond" w:cs="Times New Roman"/>
          <w:b/>
          <w:szCs w:val="24"/>
        </w:rPr>
      </w:pPr>
    </w:p>
    <w:p w14:paraId="0B323D83" w14:textId="77777777" w:rsidR="00D3036F" w:rsidRPr="009A7324" w:rsidRDefault="00D3036F" w:rsidP="00D3036F">
      <w:pPr>
        <w:widowControl w:val="0"/>
        <w:tabs>
          <w:tab w:val="left" w:pos="9639"/>
        </w:tabs>
        <w:spacing w:line="240" w:lineRule="auto"/>
        <w:ind w:firstLine="0"/>
        <w:jc w:val="center"/>
        <w:rPr>
          <w:rFonts w:eastAsia="Garamond" w:cs="Times New Roman"/>
          <w:b/>
          <w:szCs w:val="24"/>
        </w:rPr>
      </w:pPr>
      <w:r w:rsidRPr="009A7324">
        <w:rPr>
          <w:rFonts w:eastAsia="Garamond" w:cs="Times New Roman"/>
          <w:b/>
          <w:szCs w:val="24"/>
        </w:rPr>
        <w:t xml:space="preserve">Termo de Responsabilidade da Parte Interessada/Representante Legal </w:t>
      </w:r>
    </w:p>
    <w:p w14:paraId="216E7321" w14:textId="77777777" w:rsidR="00D3036F" w:rsidRPr="009A7324" w:rsidRDefault="00D3036F" w:rsidP="00D3036F">
      <w:pPr>
        <w:widowControl w:val="0"/>
        <w:tabs>
          <w:tab w:val="left" w:pos="9639"/>
        </w:tabs>
        <w:spacing w:line="240" w:lineRule="auto"/>
        <w:ind w:firstLine="0"/>
        <w:jc w:val="center"/>
        <w:rPr>
          <w:rFonts w:eastAsia="Garamond" w:cs="Times New Roman"/>
          <w:color w:val="FF0000"/>
          <w:szCs w:val="24"/>
        </w:rPr>
      </w:pPr>
      <w:r w:rsidRPr="009A7324">
        <w:rPr>
          <w:rFonts w:eastAsia="Garamond" w:cs="Times New Roman"/>
          <w:color w:val="FF0000"/>
          <w:szCs w:val="24"/>
        </w:rPr>
        <w:t>[</w:t>
      </w:r>
      <w:r w:rsidRPr="009A7324">
        <w:rPr>
          <w:rFonts w:eastAsia="Garamond" w:cs="Times New Roman"/>
          <w:i/>
          <w:color w:val="FF0000"/>
          <w:szCs w:val="24"/>
        </w:rPr>
        <w:t>deverá ser preenchido pelo representante legal da parte interessada ou responsável da parte interessada pela informação deste questionário</w:t>
      </w:r>
      <w:r w:rsidRPr="009A7324">
        <w:rPr>
          <w:rFonts w:eastAsia="Garamond" w:cs="Times New Roman"/>
          <w:color w:val="FF0000"/>
          <w:szCs w:val="24"/>
        </w:rPr>
        <w:t>]</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D3036F" w:rsidRPr="009A7324" w14:paraId="282EB130" w14:textId="77777777" w:rsidTr="00824360">
        <w:trPr>
          <w:jc w:val="center"/>
        </w:trPr>
        <w:tc>
          <w:tcPr>
            <w:tcW w:w="8784" w:type="dxa"/>
          </w:tcPr>
          <w:p w14:paraId="254376BB" w14:textId="77777777" w:rsidR="00D3036F" w:rsidRPr="009A7324" w:rsidRDefault="00D3036F" w:rsidP="00824360">
            <w:pPr>
              <w:tabs>
                <w:tab w:val="left" w:pos="9639"/>
              </w:tabs>
              <w:spacing w:line="240" w:lineRule="auto"/>
              <w:ind w:firstLine="0"/>
              <w:rPr>
                <w:rFonts w:eastAsia="Garamond" w:cs="Times New Roman"/>
                <w:b/>
                <w:szCs w:val="24"/>
              </w:rPr>
            </w:pPr>
            <w:r w:rsidRPr="009A7324">
              <w:rPr>
                <w:rFonts w:eastAsia="Garamond" w:cs="Times New Roman"/>
                <w:b/>
                <w:szCs w:val="24"/>
              </w:rPr>
              <w:t>Parte interessada:</w:t>
            </w:r>
          </w:p>
        </w:tc>
      </w:tr>
      <w:tr w:rsidR="00D3036F" w:rsidRPr="009A7324" w14:paraId="7B273DB3" w14:textId="77777777" w:rsidTr="00824360">
        <w:trPr>
          <w:jc w:val="center"/>
        </w:trPr>
        <w:tc>
          <w:tcPr>
            <w:tcW w:w="8784" w:type="dxa"/>
          </w:tcPr>
          <w:p w14:paraId="22503C55" w14:textId="77777777" w:rsidR="00D3036F" w:rsidRPr="009A7324" w:rsidRDefault="00D3036F" w:rsidP="00824360">
            <w:pPr>
              <w:tabs>
                <w:tab w:val="left" w:pos="9639"/>
              </w:tabs>
              <w:spacing w:line="240" w:lineRule="auto"/>
              <w:ind w:firstLine="0"/>
              <w:rPr>
                <w:rFonts w:eastAsia="Garamond" w:cs="Times New Roman"/>
                <w:color w:val="FF0000"/>
                <w:szCs w:val="24"/>
              </w:rPr>
            </w:pPr>
            <w:r w:rsidRPr="009A7324">
              <w:rPr>
                <w:rFonts w:eastAsia="Garamond" w:cs="Times New Roman"/>
                <w:b/>
                <w:szCs w:val="24"/>
              </w:rPr>
              <w:t xml:space="preserve">Representante legal/Responsável pela informação: </w:t>
            </w:r>
          </w:p>
        </w:tc>
      </w:tr>
      <w:tr w:rsidR="00D3036F" w:rsidRPr="009A7324" w14:paraId="0F0A915C" w14:textId="77777777" w:rsidTr="00824360">
        <w:trPr>
          <w:jc w:val="center"/>
        </w:trPr>
        <w:tc>
          <w:tcPr>
            <w:tcW w:w="8784" w:type="dxa"/>
          </w:tcPr>
          <w:p w14:paraId="2B76FE67" w14:textId="77777777" w:rsidR="00D3036F" w:rsidRPr="009A7324" w:rsidRDefault="00D3036F" w:rsidP="00824360">
            <w:pPr>
              <w:tabs>
                <w:tab w:val="left" w:pos="9639"/>
              </w:tabs>
              <w:spacing w:line="240" w:lineRule="auto"/>
              <w:ind w:firstLine="0"/>
              <w:rPr>
                <w:rFonts w:eastAsia="Garamond" w:cs="Times New Roman"/>
                <w:b/>
                <w:szCs w:val="24"/>
              </w:rPr>
            </w:pPr>
            <w:r w:rsidRPr="009A7324">
              <w:rPr>
                <w:rFonts w:eastAsia="Garamond" w:cs="Times New Roman"/>
                <w:b/>
                <w:szCs w:val="24"/>
              </w:rPr>
              <w:t>Cargo/função do representante legal:</w:t>
            </w:r>
          </w:p>
        </w:tc>
      </w:tr>
      <w:tr w:rsidR="00D3036F" w:rsidRPr="009A7324" w14:paraId="2CD456A2" w14:textId="77777777" w:rsidTr="00824360">
        <w:trPr>
          <w:jc w:val="center"/>
        </w:trPr>
        <w:tc>
          <w:tcPr>
            <w:tcW w:w="8784" w:type="dxa"/>
          </w:tcPr>
          <w:p w14:paraId="23772508" w14:textId="77777777" w:rsidR="00D3036F" w:rsidRPr="009A7324" w:rsidRDefault="00D3036F" w:rsidP="00824360">
            <w:pPr>
              <w:tabs>
                <w:tab w:val="left" w:pos="9639"/>
              </w:tabs>
              <w:spacing w:line="240" w:lineRule="auto"/>
              <w:ind w:firstLine="0"/>
              <w:rPr>
                <w:rFonts w:eastAsia="Garamond" w:cs="Times New Roman"/>
                <w:b/>
                <w:szCs w:val="24"/>
              </w:rPr>
            </w:pPr>
            <w:r w:rsidRPr="009A7324">
              <w:rPr>
                <w:rFonts w:eastAsia="Garamond" w:cs="Times New Roman"/>
                <w:b/>
                <w:szCs w:val="24"/>
              </w:rPr>
              <w:t xml:space="preserve">Telefone: </w:t>
            </w:r>
          </w:p>
        </w:tc>
      </w:tr>
      <w:tr w:rsidR="00D3036F" w:rsidRPr="009A7324" w14:paraId="1A6E5FEA" w14:textId="77777777" w:rsidTr="00824360">
        <w:trPr>
          <w:jc w:val="center"/>
        </w:trPr>
        <w:tc>
          <w:tcPr>
            <w:tcW w:w="8784" w:type="dxa"/>
          </w:tcPr>
          <w:p w14:paraId="690C5D91" w14:textId="77777777" w:rsidR="00D3036F" w:rsidRPr="009A7324" w:rsidRDefault="00D3036F" w:rsidP="00824360">
            <w:pPr>
              <w:tabs>
                <w:tab w:val="left" w:pos="9639"/>
              </w:tabs>
              <w:spacing w:line="240" w:lineRule="auto"/>
              <w:ind w:firstLine="0"/>
              <w:rPr>
                <w:rFonts w:eastAsia="Garamond" w:cs="Times New Roman"/>
                <w:b/>
                <w:szCs w:val="24"/>
              </w:rPr>
            </w:pPr>
            <w:r w:rsidRPr="009A7324">
              <w:rPr>
                <w:rFonts w:eastAsia="Garamond" w:cs="Times New Roman"/>
                <w:b/>
                <w:szCs w:val="24"/>
              </w:rPr>
              <w:t>Endereço:</w:t>
            </w:r>
          </w:p>
        </w:tc>
      </w:tr>
      <w:tr w:rsidR="00D3036F" w:rsidRPr="009A7324" w14:paraId="33CFAA04" w14:textId="77777777" w:rsidTr="00824360">
        <w:trPr>
          <w:jc w:val="center"/>
        </w:trPr>
        <w:tc>
          <w:tcPr>
            <w:tcW w:w="8784" w:type="dxa"/>
          </w:tcPr>
          <w:p w14:paraId="17625E7D" w14:textId="77777777" w:rsidR="00D3036F" w:rsidRPr="009A7324" w:rsidRDefault="00D3036F" w:rsidP="00824360">
            <w:pPr>
              <w:tabs>
                <w:tab w:val="left" w:pos="9639"/>
              </w:tabs>
              <w:spacing w:line="240" w:lineRule="auto"/>
              <w:ind w:firstLine="0"/>
              <w:rPr>
                <w:rFonts w:eastAsia="Garamond" w:cs="Times New Roman"/>
                <w:b/>
                <w:szCs w:val="24"/>
              </w:rPr>
            </w:pPr>
            <w:r w:rsidRPr="009A7324">
              <w:rPr>
                <w:rFonts w:eastAsia="Garamond" w:cs="Times New Roman"/>
                <w:b/>
                <w:szCs w:val="24"/>
              </w:rPr>
              <w:t>Endereço eletrônico:</w:t>
            </w:r>
          </w:p>
        </w:tc>
      </w:tr>
    </w:tbl>
    <w:p w14:paraId="40BA35AB" w14:textId="77777777" w:rsidR="00D3036F" w:rsidRPr="009A7324" w:rsidRDefault="00D3036F" w:rsidP="00D3036F">
      <w:pPr>
        <w:tabs>
          <w:tab w:val="left" w:pos="9639"/>
        </w:tabs>
        <w:spacing w:line="240" w:lineRule="auto"/>
        <w:ind w:firstLine="0"/>
        <w:rPr>
          <w:rFonts w:eastAsia="Garamond" w:cs="Times New Roman"/>
          <w:szCs w:val="24"/>
        </w:rPr>
      </w:pPr>
    </w:p>
    <w:p w14:paraId="42A9AF45" w14:textId="6CEDD202" w:rsidR="00D3036F" w:rsidRPr="009A7324" w:rsidRDefault="00D3036F" w:rsidP="00D3036F">
      <w:pPr>
        <w:tabs>
          <w:tab w:val="left" w:pos="9639"/>
        </w:tabs>
        <w:rPr>
          <w:rFonts w:eastAsia="Garamond" w:cs="Times New Roman"/>
          <w:szCs w:val="24"/>
        </w:rPr>
      </w:pPr>
      <w:r w:rsidRPr="009A7324">
        <w:rPr>
          <w:rFonts w:eastAsia="Garamond" w:cs="Times New Roman"/>
          <w:szCs w:val="24"/>
        </w:rPr>
        <w:t xml:space="preserve">Certifico a veracidade das informações contidas neste questionário e estou ciente de que essas informações estão sujeitas a verificação </w:t>
      </w:r>
      <w:r w:rsidRPr="009A7324">
        <w:rPr>
          <w:rFonts w:eastAsia="Garamond" w:cs="Times New Roman"/>
          <w:b/>
          <w:szCs w:val="24"/>
        </w:rPr>
        <w:t>in loco</w:t>
      </w:r>
      <w:r w:rsidRPr="009A7324">
        <w:rPr>
          <w:rFonts w:eastAsia="Garamond" w:cs="Times New Roman"/>
          <w:szCs w:val="24"/>
        </w:rPr>
        <w:t xml:space="preserve"> pel</w:t>
      </w:r>
      <w:r w:rsidR="00950725">
        <w:rPr>
          <w:rFonts w:eastAsia="Garamond" w:cs="Times New Roman"/>
          <w:szCs w:val="24"/>
        </w:rPr>
        <w:t>o DECOM</w:t>
      </w:r>
      <w:r w:rsidRPr="009A7324">
        <w:rPr>
          <w:rFonts w:eastAsia="Garamond" w:cs="Times New Roman"/>
          <w:szCs w:val="24"/>
        </w:rPr>
        <w:t>.</w:t>
      </w:r>
    </w:p>
    <w:p w14:paraId="02B5D538" w14:textId="43DCBF76" w:rsidR="00D3036F" w:rsidRPr="009A7324" w:rsidRDefault="00D3036F" w:rsidP="00D3036F">
      <w:pPr>
        <w:tabs>
          <w:tab w:val="left" w:pos="9639"/>
        </w:tabs>
        <w:rPr>
          <w:rFonts w:eastAsia="Garamond" w:cs="Times New Roman"/>
          <w:szCs w:val="24"/>
        </w:rPr>
      </w:pPr>
      <w:r w:rsidRPr="009A7324">
        <w:rPr>
          <w:rFonts w:eastAsia="Garamond" w:cs="Times New Roman"/>
          <w:szCs w:val="24"/>
        </w:rPr>
        <w:t xml:space="preserve">Autorizo </w:t>
      </w:r>
      <w:r w:rsidR="00950725">
        <w:rPr>
          <w:rFonts w:eastAsia="Garamond" w:cs="Times New Roman"/>
          <w:szCs w:val="24"/>
        </w:rPr>
        <w:t>o DECOM</w:t>
      </w:r>
      <w:r w:rsidRPr="009A7324">
        <w:rPr>
          <w:rFonts w:eastAsia="Garamond" w:cs="Times New Roman"/>
          <w:szCs w:val="24"/>
        </w:rPr>
        <w:t xml:space="preserve"> a utilizar as informações apresentadas neste questionário.</w:t>
      </w:r>
    </w:p>
    <w:p w14:paraId="14C16F15" w14:textId="77777777" w:rsidR="00D3036F" w:rsidRPr="009A7324" w:rsidRDefault="00D3036F" w:rsidP="00D3036F">
      <w:pPr>
        <w:tabs>
          <w:tab w:val="left" w:pos="9639"/>
        </w:tabs>
        <w:rPr>
          <w:rFonts w:eastAsia="Garamond" w:cs="Times New Roman"/>
          <w:color w:val="000000"/>
          <w:szCs w:val="24"/>
        </w:rPr>
      </w:pPr>
      <w:r w:rsidRPr="009A7324">
        <w:rPr>
          <w:rFonts w:eastAsia="Garamond" w:cs="Times New Roman"/>
          <w:szCs w:val="24"/>
        </w:rPr>
        <w:t xml:space="preserve">Estou ciente de que as informações apresentadas em caráter confidencial, desde que fundamentadas, serão tratadas como tal e não serão reveladas sem autorização expressa da parte que represento, observadas as disposições legais pertinentes. </w:t>
      </w:r>
    </w:p>
    <w:p w14:paraId="5BCF32C6" w14:textId="77777777" w:rsidR="00D3036F" w:rsidRPr="009A7324" w:rsidRDefault="00D3036F" w:rsidP="00D3036F">
      <w:pPr>
        <w:pBdr>
          <w:top w:val="nil"/>
          <w:left w:val="nil"/>
          <w:bottom w:val="nil"/>
          <w:right w:val="nil"/>
          <w:between w:val="nil"/>
        </w:pBdr>
        <w:tabs>
          <w:tab w:val="left" w:pos="9639"/>
        </w:tabs>
        <w:ind w:firstLine="0"/>
        <w:rPr>
          <w:rFonts w:eastAsia="Garamond" w:cs="Times New Roman"/>
          <w:b/>
          <w:color w:val="000000"/>
          <w:szCs w:val="24"/>
        </w:rPr>
      </w:pPr>
      <w:bookmarkStart w:id="32" w:name="_Toc27046505"/>
    </w:p>
    <w:p w14:paraId="36DBC4F9" w14:textId="77777777" w:rsidR="00D3036F" w:rsidRPr="004D3C7D" w:rsidRDefault="00D3036F" w:rsidP="000949C8">
      <w:pPr>
        <w:pStyle w:val="Ttulo2"/>
      </w:pPr>
      <w:bookmarkStart w:id="33" w:name="_Toc27124090"/>
      <w:bookmarkStart w:id="34" w:name="_Toc27406335"/>
      <w:bookmarkStart w:id="35" w:name="_Toc27413925"/>
      <w:bookmarkStart w:id="36" w:name="_Toc27489067"/>
      <w:bookmarkStart w:id="37" w:name="_Toc27490257"/>
      <w:bookmarkStart w:id="38" w:name="_Toc27492832"/>
      <w:bookmarkStart w:id="39" w:name="_Toc28273307"/>
      <w:bookmarkStart w:id="40" w:name="_Toc31116251"/>
      <w:bookmarkEnd w:id="32"/>
      <w:r w:rsidRPr="004D3C7D">
        <w:t>III. Questionário De Avaliação De Interesse Público Em Defesa Comercial</w:t>
      </w:r>
      <w:bookmarkEnd w:id="33"/>
      <w:bookmarkEnd w:id="34"/>
      <w:bookmarkEnd w:id="35"/>
      <w:bookmarkEnd w:id="36"/>
      <w:bookmarkEnd w:id="37"/>
      <w:bookmarkEnd w:id="38"/>
      <w:bookmarkEnd w:id="39"/>
      <w:bookmarkEnd w:id="40"/>
    </w:p>
    <w:p w14:paraId="282065A4" w14:textId="77777777" w:rsidR="00D3036F" w:rsidRPr="000949C8" w:rsidRDefault="00D3036F" w:rsidP="00D3036F">
      <w:pPr>
        <w:ind w:firstLine="0"/>
        <w:jc w:val="center"/>
        <w:rPr>
          <w:rFonts w:eastAsia="Garamond" w:cs="Times New Roman"/>
          <w:b/>
          <w:color w:val="1F3864" w:themeColor="accent1" w:themeShade="80"/>
          <w:szCs w:val="24"/>
        </w:rPr>
      </w:pPr>
      <w:r w:rsidRPr="000949C8">
        <w:rPr>
          <w:rFonts w:eastAsia="Garamond" w:cs="Times New Roman"/>
          <w:b/>
          <w:color w:val="1F3864" w:themeColor="accent1" w:themeShade="80"/>
          <w:szCs w:val="24"/>
        </w:rPr>
        <w:t xml:space="preserve">Quadro </w:t>
      </w:r>
      <w:r w:rsidR="000949C8" w:rsidRPr="000949C8">
        <w:rPr>
          <w:rFonts w:eastAsia="Garamond" w:cs="Times New Roman"/>
          <w:b/>
          <w:color w:val="1F3864" w:themeColor="accent1" w:themeShade="80"/>
          <w:szCs w:val="24"/>
        </w:rPr>
        <w:t>2</w:t>
      </w:r>
      <w:r w:rsidRPr="000949C8">
        <w:rPr>
          <w:rFonts w:eastAsia="Garamond" w:cs="Times New Roman"/>
          <w:b/>
          <w:color w:val="1F3864" w:themeColor="accent1" w:themeShade="80"/>
          <w:szCs w:val="24"/>
        </w:rPr>
        <w:t>: Critérios Analisados na Avaliação de Interesse Público</w:t>
      </w:r>
    </w:p>
    <w:tbl>
      <w:tblPr>
        <w:tblW w:w="9626" w:type="dxa"/>
        <w:jc w:val="center"/>
        <w:tblLook w:val="04A0" w:firstRow="1" w:lastRow="0" w:firstColumn="1" w:lastColumn="0" w:noHBand="0" w:noVBand="1"/>
      </w:tblPr>
      <w:tblGrid>
        <w:gridCol w:w="5807"/>
        <w:gridCol w:w="1985"/>
        <w:gridCol w:w="1834"/>
      </w:tblGrid>
      <w:tr w:rsidR="00D3036F" w:rsidRPr="00424191" w14:paraId="01C730C8" w14:textId="77777777" w:rsidTr="00824360">
        <w:trPr>
          <w:trHeight w:val="372"/>
          <w:jc w:val="center"/>
        </w:trPr>
        <w:tc>
          <w:tcPr>
            <w:tcW w:w="5807" w:type="dxa"/>
            <w:tcBorders>
              <w:top w:val="single" w:sz="4" w:space="0" w:color="auto"/>
              <w:left w:val="single" w:sz="4" w:space="0" w:color="auto"/>
              <w:bottom w:val="single" w:sz="4" w:space="0" w:color="auto"/>
              <w:right w:val="single" w:sz="4" w:space="0" w:color="auto"/>
            </w:tcBorders>
            <w:vAlign w:val="center"/>
          </w:tcPr>
          <w:p w14:paraId="7DE80E9B" w14:textId="77777777" w:rsidR="00D3036F" w:rsidRPr="00424191" w:rsidRDefault="00D3036F" w:rsidP="00824360">
            <w:pPr>
              <w:spacing w:line="240" w:lineRule="auto"/>
              <w:ind w:firstLine="0"/>
              <w:rPr>
                <w:rFonts w:eastAsia="Garamond" w:cs="Times New Roman"/>
                <w:b/>
                <w:szCs w:val="24"/>
              </w:rPr>
            </w:pPr>
            <w:r w:rsidRPr="00424191">
              <w:rPr>
                <w:rFonts w:eastAsia="Garamond" w:cs="Times New Roman"/>
                <w:b/>
                <w:szCs w:val="24"/>
              </w:rPr>
              <w:t>Critérios Analisados</w:t>
            </w:r>
          </w:p>
        </w:tc>
        <w:tc>
          <w:tcPr>
            <w:tcW w:w="1985" w:type="dxa"/>
            <w:tcBorders>
              <w:top w:val="single" w:sz="4" w:space="0" w:color="auto"/>
              <w:left w:val="single" w:sz="4" w:space="0" w:color="auto"/>
              <w:bottom w:val="single" w:sz="4" w:space="0" w:color="auto"/>
              <w:right w:val="single" w:sz="4" w:space="0" w:color="auto"/>
            </w:tcBorders>
            <w:vAlign w:val="center"/>
          </w:tcPr>
          <w:p w14:paraId="4A853BD5" w14:textId="77777777" w:rsidR="00D3036F" w:rsidRPr="00424191" w:rsidRDefault="00D3036F" w:rsidP="00824360">
            <w:pPr>
              <w:spacing w:line="240" w:lineRule="auto"/>
              <w:ind w:firstLine="0"/>
              <w:jc w:val="center"/>
              <w:rPr>
                <w:rFonts w:eastAsia="Garamond" w:cs="Times New Roman"/>
                <w:b/>
                <w:szCs w:val="24"/>
              </w:rPr>
            </w:pPr>
            <w:r w:rsidRPr="00424191">
              <w:rPr>
                <w:rFonts w:eastAsia="Garamond" w:cs="Times New Roman"/>
                <w:b/>
                <w:szCs w:val="24"/>
              </w:rPr>
              <w:t>Avaliação Preliminar de Interesse Público</w:t>
            </w:r>
          </w:p>
        </w:tc>
        <w:tc>
          <w:tcPr>
            <w:tcW w:w="1834" w:type="dxa"/>
            <w:tcBorders>
              <w:top w:val="single" w:sz="4" w:space="0" w:color="auto"/>
              <w:left w:val="single" w:sz="4" w:space="0" w:color="auto"/>
              <w:bottom w:val="single" w:sz="4" w:space="0" w:color="auto"/>
              <w:right w:val="single" w:sz="4" w:space="0" w:color="auto"/>
            </w:tcBorders>
            <w:vAlign w:val="center"/>
          </w:tcPr>
          <w:p w14:paraId="74552707" w14:textId="77777777" w:rsidR="00D3036F" w:rsidRPr="00424191" w:rsidRDefault="00D3036F" w:rsidP="00824360">
            <w:pPr>
              <w:spacing w:line="240" w:lineRule="auto"/>
              <w:ind w:firstLine="0"/>
              <w:jc w:val="center"/>
              <w:rPr>
                <w:rFonts w:eastAsia="Garamond" w:cs="Times New Roman"/>
                <w:b/>
                <w:szCs w:val="24"/>
              </w:rPr>
            </w:pPr>
            <w:r w:rsidRPr="00424191">
              <w:rPr>
                <w:rFonts w:eastAsia="Garamond" w:cs="Times New Roman"/>
                <w:b/>
                <w:szCs w:val="24"/>
              </w:rPr>
              <w:t xml:space="preserve">Avaliação </w:t>
            </w:r>
            <w:r>
              <w:rPr>
                <w:rFonts w:eastAsia="Garamond" w:cs="Times New Roman"/>
                <w:b/>
                <w:szCs w:val="24"/>
              </w:rPr>
              <w:t>Final</w:t>
            </w:r>
            <w:r w:rsidRPr="00424191">
              <w:rPr>
                <w:rFonts w:eastAsia="Garamond" w:cs="Times New Roman"/>
                <w:b/>
                <w:szCs w:val="24"/>
              </w:rPr>
              <w:t xml:space="preserve"> de Interesse Público</w:t>
            </w:r>
          </w:p>
        </w:tc>
      </w:tr>
      <w:tr w:rsidR="00D3036F" w14:paraId="12DF5243" w14:textId="77777777" w:rsidTr="00824360">
        <w:trPr>
          <w:trHeight w:val="382"/>
          <w:jc w:val="center"/>
        </w:trPr>
        <w:tc>
          <w:tcPr>
            <w:tcW w:w="7792" w:type="dxa"/>
            <w:gridSpan w:val="2"/>
            <w:tcBorders>
              <w:left w:val="single" w:sz="4" w:space="0" w:color="auto"/>
              <w:right w:val="single" w:sz="4" w:space="0" w:color="auto"/>
            </w:tcBorders>
            <w:shd w:val="solid" w:color="auto" w:fill="auto"/>
            <w:vAlign w:val="center"/>
          </w:tcPr>
          <w:p w14:paraId="51A7183C" w14:textId="77777777" w:rsidR="00D3036F" w:rsidRDefault="00D3036F" w:rsidP="00824360">
            <w:pPr>
              <w:spacing w:line="240" w:lineRule="auto"/>
              <w:ind w:firstLine="0"/>
              <w:jc w:val="left"/>
              <w:rPr>
                <w:rFonts w:eastAsia="Garamond" w:cs="Times New Roman"/>
                <w:szCs w:val="24"/>
              </w:rPr>
            </w:pPr>
            <w:r>
              <w:rPr>
                <w:rFonts w:eastAsia="Garamond" w:cs="Times New Roman"/>
                <w:b/>
                <w:color w:val="FFFFFF" w:themeColor="background1"/>
                <w:szCs w:val="24"/>
              </w:rPr>
              <w:t>I</w:t>
            </w:r>
            <w:r w:rsidRPr="002F76E3">
              <w:rPr>
                <w:rFonts w:eastAsia="Garamond" w:cs="Times New Roman"/>
                <w:b/>
                <w:color w:val="FFFFFF" w:themeColor="background1"/>
                <w:szCs w:val="24"/>
              </w:rPr>
              <w:t>. Características do produto, da cadeia produtiva e do mercado de produto sob análise</w:t>
            </w:r>
          </w:p>
        </w:tc>
        <w:tc>
          <w:tcPr>
            <w:tcW w:w="1834" w:type="dxa"/>
            <w:tcBorders>
              <w:left w:val="single" w:sz="4" w:space="0" w:color="auto"/>
              <w:right w:val="single" w:sz="4" w:space="0" w:color="auto"/>
            </w:tcBorders>
            <w:shd w:val="solid" w:color="auto" w:fill="auto"/>
            <w:vAlign w:val="center"/>
          </w:tcPr>
          <w:p w14:paraId="12599CC1" w14:textId="77777777" w:rsidR="00D3036F" w:rsidRDefault="00D3036F" w:rsidP="00824360">
            <w:pPr>
              <w:spacing w:line="240" w:lineRule="auto"/>
              <w:ind w:firstLine="0"/>
              <w:jc w:val="left"/>
              <w:rPr>
                <w:rFonts w:eastAsia="Garamond" w:cs="Times New Roman"/>
                <w:b/>
                <w:color w:val="FFFFFF" w:themeColor="background1"/>
                <w:szCs w:val="24"/>
              </w:rPr>
            </w:pPr>
          </w:p>
        </w:tc>
      </w:tr>
      <w:tr w:rsidR="00D3036F" w14:paraId="618817F2" w14:textId="77777777" w:rsidTr="00824360">
        <w:trPr>
          <w:trHeight w:val="1096"/>
          <w:jc w:val="center"/>
        </w:trPr>
        <w:tc>
          <w:tcPr>
            <w:tcW w:w="5807" w:type="dxa"/>
            <w:tcBorders>
              <w:left w:val="single" w:sz="4" w:space="0" w:color="auto"/>
              <w:bottom w:val="single" w:sz="4" w:space="0" w:color="auto"/>
              <w:right w:val="single" w:sz="4" w:space="0" w:color="auto"/>
            </w:tcBorders>
            <w:vAlign w:val="center"/>
          </w:tcPr>
          <w:p w14:paraId="1C638605" w14:textId="77777777" w:rsidR="00D3036F" w:rsidRPr="0065707B" w:rsidRDefault="00D3036F" w:rsidP="00824360">
            <w:pPr>
              <w:spacing w:line="240" w:lineRule="auto"/>
              <w:ind w:firstLine="0"/>
              <w:rPr>
                <w:rFonts w:eastAsia="Garamond" w:cs="Times New Roman"/>
                <w:b/>
                <w:color w:val="auto"/>
                <w:szCs w:val="24"/>
              </w:rPr>
            </w:pPr>
            <w:r w:rsidRPr="0065707B">
              <w:rPr>
                <w:rFonts w:eastAsia="Garamond" w:cs="Times New Roman"/>
                <w:b/>
                <w:color w:val="auto"/>
                <w:szCs w:val="24"/>
              </w:rPr>
              <w:lastRenderedPageBreak/>
              <w:t>I.1 Características do produto sob análise</w:t>
            </w:r>
          </w:p>
          <w:p w14:paraId="311931B4"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 xml:space="preserve">Lista exemplificativa </w:t>
            </w:r>
            <w:r>
              <w:rPr>
                <w:rFonts w:eastAsia="Garamond" w:cs="Times New Roman"/>
                <w:i/>
                <w:color w:val="auto"/>
                <w:sz w:val="22"/>
              </w:rPr>
              <w:t xml:space="preserve">e não exaustiva </w:t>
            </w:r>
            <w:r w:rsidRPr="001542F5">
              <w:rPr>
                <w:rFonts w:eastAsia="Garamond" w:cs="Times New Roman"/>
                <w:i/>
                <w:color w:val="auto"/>
                <w:sz w:val="22"/>
              </w:rPr>
              <w:t>de elementos:</w:t>
            </w:r>
          </w:p>
          <w:p w14:paraId="2E948F99" w14:textId="77777777" w:rsidR="00D3036F" w:rsidRPr="001542F5" w:rsidRDefault="00D3036F" w:rsidP="00D3036F">
            <w:pPr>
              <w:pStyle w:val="PargrafodaLista"/>
              <w:numPr>
                <w:ilvl w:val="0"/>
                <w:numId w:val="7"/>
              </w:numPr>
              <w:pBdr>
                <w:top w:val="nil"/>
                <w:left w:val="nil"/>
                <w:bottom w:val="nil"/>
                <w:right w:val="nil"/>
                <w:between w:val="nil"/>
              </w:pBdr>
              <w:spacing w:line="240" w:lineRule="auto"/>
              <w:contextualSpacing w:val="0"/>
              <w:rPr>
                <w:rFonts w:eastAsia="Garamond" w:cs="Times New Roman"/>
                <w:i/>
                <w:color w:val="auto"/>
                <w:sz w:val="22"/>
              </w:rPr>
            </w:pPr>
            <w:r w:rsidRPr="001542F5">
              <w:rPr>
                <w:rFonts w:eastAsia="Garamond" w:cs="Times New Roman"/>
                <w:i/>
                <w:color w:val="auto"/>
                <w:sz w:val="22"/>
              </w:rPr>
              <w:t>Definição do produto sob análise nos termos da defesa comercial</w:t>
            </w:r>
          </w:p>
          <w:p w14:paraId="1455A5D2" w14:textId="77777777" w:rsidR="00D3036F" w:rsidRPr="001542F5" w:rsidRDefault="00D3036F" w:rsidP="00D3036F">
            <w:pPr>
              <w:pStyle w:val="PargrafodaLista"/>
              <w:numPr>
                <w:ilvl w:val="0"/>
                <w:numId w:val="7"/>
              </w:numPr>
              <w:pBdr>
                <w:top w:val="nil"/>
                <w:left w:val="nil"/>
                <w:bottom w:val="nil"/>
                <w:right w:val="nil"/>
                <w:between w:val="nil"/>
              </w:pBdr>
              <w:spacing w:line="240" w:lineRule="auto"/>
              <w:contextualSpacing w:val="0"/>
              <w:rPr>
                <w:rFonts w:eastAsia="Garamond" w:cs="Times New Roman"/>
                <w:color w:val="auto"/>
                <w:szCs w:val="24"/>
              </w:rPr>
            </w:pPr>
            <w:r w:rsidRPr="001542F5">
              <w:rPr>
                <w:rFonts w:eastAsia="Garamond" w:cs="Times New Roman"/>
                <w:i/>
                <w:color w:val="auto"/>
                <w:sz w:val="22"/>
              </w:rPr>
              <w:t>Usos/funcionalidades do produto sob análise nos termos da defesa comercial</w:t>
            </w:r>
          </w:p>
        </w:tc>
        <w:tc>
          <w:tcPr>
            <w:tcW w:w="1985" w:type="dxa"/>
            <w:tcBorders>
              <w:left w:val="single" w:sz="4" w:space="0" w:color="auto"/>
              <w:bottom w:val="single" w:sz="4" w:space="0" w:color="auto"/>
              <w:right w:val="single" w:sz="4" w:space="0" w:color="auto"/>
            </w:tcBorders>
            <w:vAlign w:val="center"/>
          </w:tcPr>
          <w:p w14:paraId="34C71679"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834" w:type="dxa"/>
            <w:tcBorders>
              <w:left w:val="single" w:sz="4" w:space="0" w:color="auto"/>
              <w:bottom w:val="single" w:sz="4" w:space="0" w:color="auto"/>
              <w:right w:val="single" w:sz="4" w:space="0" w:color="auto"/>
            </w:tcBorders>
            <w:vAlign w:val="center"/>
          </w:tcPr>
          <w:p w14:paraId="54B5E7BD"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r w:rsidR="00D3036F" w14:paraId="5BBFB62B" w14:textId="77777777" w:rsidTr="00824360">
        <w:trPr>
          <w:trHeight w:val="2016"/>
          <w:jc w:val="center"/>
        </w:trPr>
        <w:tc>
          <w:tcPr>
            <w:tcW w:w="5807" w:type="dxa"/>
            <w:tcBorders>
              <w:top w:val="single" w:sz="4" w:space="0" w:color="auto"/>
              <w:left w:val="single" w:sz="4" w:space="0" w:color="auto"/>
              <w:bottom w:val="single" w:sz="4" w:space="0" w:color="auto"/>
              <w:right w:val="single" w:sz="4" w:space="0" w:color="auto"/>
            </w:tcBorders>
            <w:vAlign w:val="center"/>
          </w:tcPr>
          <w:p w14:paraId="3D0B9A65" w14:textId="77777777" w:rsidR="00D3036F" w:rsidRPr="0065707B" w:rsidRDefault="00D3036F" w:rsidP="00824360">
            <w:pPr>
              <w:spacing w:line="240" w:lineRule="auto"/>
              <w:ind w:firstLine="0"/>
              <w:rPr>
                <w:rFonts w:eastAsia="Garamond" w:cs="Times New Roman"/>
                <w:b/>
                <w:color w:val="auto"/>
                <w:szCs w:val="24"/>
              </w:rPr>
            </w:pPr>
            <w:r w:rsidRPr="0065707B">
              <w:rPr>
                <w:rFonts w:eastAsia="Garamond" w:cs="Times New Roman"/>
                <w:b/>
                <w:color w:val="auto"/>
                <w:szCs w:val="24"/>
              </w:rPr>
              <w:t>I.2 Cadeia produtiva do produto sob análise</w:t>
            </w:r>
          </w:p>
          <w:p w14:paraId="012EFBB9"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 xml:space="preserve">Lista exemplificativa </w:t>
            </w:r>
            <w:r>
              <w:rPr>
                <w:rFonts w:eastAsia="Garamond" w:cs="Times New Roman"/>
                <w:i/>
                <w:color w:val="auto"/>
                <w:sz w:val="22"/>
              </w:rPr>
              <w:t xml:space="preserve">e não exaustiva </w:t>
            </w:r>
            <w:r w:rsidRPr="001542F5">
              <w:rPr>
                <w:rFonts w:eastAsia="Garamond" w:cs="Times New Roman"/>
                <w:i/>
                <w:color w:val="auto"/>
                <w:sz w:val="22"/>
              </w:rPr>
              <w:t>de elementos:</w:t>
            </w:r>
          </w:p>
          <w:p w14:paraId="027B9252" w14:textId="77777777" w:rsidR="00D3036F" w:rsidRPr="001542F5" w:rsidRDefault="00D3036F" w:rsidP="00D3036F">
            <w:pPr>
              <w:pStyle w:val="PargrafodaLista"/>
              <w:numPr>
                <w:ilvl w:val="0"/>
                <w:numId w:val="8"/>
              </w:numPr>
              <w:pBdr>
                <w:top w:val="nil"/>
                <w:left w:val="nil"/>
                <w:bottom w:val="nil"/>
                <w:right w:val="nil"/>
                <w:between w:val="nil"/>
              </w:pBdr>
              <w:spacing w:line="240" w:lineRule="auto"/>
              <w:contextualSpacing w:val="0"/>
              <w:rPr>
                <w:rFonts w:eastAsia="Garamond" w:cs="Times New Roman"/>
                <w:i/>
                <w:color w:val="auto"/>
                <w:sz w:val="22"/>
              </w:rPr>
            </w:pPr>
            <w:r w:rsidRPr="001542F5">
              <w:rPr>
                <w:rFonts w:eastAsia="Garamond" w:cs="Times New Roman"/>
                <w:i/>
                <w:color w:val="auto"/>
                <w:sz w:val="22"/>
              </w:rPr>
              <w:t>Como o produto sob análise é produzido (insumos, rota produtiva, etc.)</w:t>
            </w:r>
          </w:p>
          <w:p w14:paraId="59A90A69" w14:textId="77777777" w:rsidR="00D3036F" w:rsidRDefault="00D3036F" w:rsidP="00D3036F">
            <w:pPr>
              <w:pStyle w:val="PargrafodaLista"/>
              <w:numPr>
                <w:ilvl w:val="0"/>
                <w:numId w:val="8"/>
              </w:numPr>
              <w:pBdr>
                <w:top w:val="nil"/>
                <w:left w:val="nil"/>
                <w:bottom w:val="nil"/>
                <w:right w:val="nil"/>
                <w:between w:val="nil"/>
              </w:pBdr>
              <w:spacing w:line="240" w:lineRule="auto"/>
              <w:contextualSpacing w:val="0"/>
              <w:rPr>
                <w:rFonts w:eastAsia="Garamond" w:cs="Times New Roman"/>
                <w:color w:val="auto"/>
                <w:szCs w:val="24"/>
              </w:rPr>
            </w:pPr>
            <w:r w:rsidRPr="001542F5">
              <w:rPr>
                <w:rFonts w:eastAsia="Garamond" w:cs="Times New Roman"/>
                <w:i/>
                <w:color w:val="auto"/>
                <w:sz w:val="22"/>
              </w:rPr>
              <w:t>Como o produto sob análise é utilizado nos elos seguintes (indicando, inclusive, quantos elos há posteriores, em termos de “encadeamento”)</w:t>
            </w:r>
          </w:p>
          <w:p w14:paraId="45015371" w14:textId="77777777" w:rsidR="00D3036F" w:rsidRPr="007D70BB" w:rsidRDefault="00D3036F" w:rsidP="00D3036F">
            <w:pPr>
              <w:pStyle w:val="PargrafodaLista"/>
              <w:numPr>
                <w:ilvl w:val="0"/>
                <w:numId w:val="8"/>
              </w:numPr>
              <w:pBdr>
                <w:top w:val="nil"/>
                <w:left w:val="nil"/>
                <w:bottom w:val="nil"/>
                <w:right w:val="nil"/>
                <w:between w:val="nil"/>
              </w:pBdr>
              <w:spacing w:line="240" w:lineRule="auto"/>
              <w:contextualSpacing w:val="0"/>
              <w:rPr>
                <w:rFonts w:eastAsia="Garamond" w:cs="Times New Roman"/>
                <w:color w:val="auto"/>
                <w:szCs w:val="24"/>
              </w:rPr>
            </w:pPr>
            <w:r>
              <w:rPr>
                <w:rFonts w:eastAsia="Garamond" w:cs="Times New Roman"/>
                <w:i/>
                <w:color w:val="auto"/>
                <w:sz w:val="22"/>
              </w:rPr>
              <w:t>Lista de consumidores nos elos seguintes e de associações</w:t>
            </w:r>
          </w:p>
          <w:p w14:paraId="5EEAF9DB" w14:textId="77777777" w:rsidR="00D3036F" w:rsidRPr="001542F5" w:rsidRDefault="00D3036F" w:rsidP="00D3036F">
            <w:pPr>
              <w:pStyle w:val="PargrafodaLista"/>
              <w:numPr>
                <w:ilvl w:val="0"/>
                <w:numId w:val="8"/>
              </w:numPr>
              <w:pBdr>
                <w:top w:val="nil"/>
                <w:left w:val="nil"/>
                <w:bottom w:val="nil"/>
                <w:right w:val="nil"/>
                <w:between w:val="nil"/>
              </w:pBdr>
              <w:spacing w:line="240" w:lineRule="auto"/>
              <w:contextualSpacing w:val="0"/>
              <w:rPr>
                <w:rFonts w:eastAsia="Garamond" w:cs="Times New Roman"/>
                <w:color w:val="auto"/>
                <w:szCs w:val="24"/>
              </w:rPr>
            </w:pPr>
            <w:r>
              <w:rPr>
                <w:rFonts w:eastAsia="Garamond" w:cs="Times New Roman"/>
                <w:i/>
                <w:color w:val="auto"/>
                <w:sz w:val="22"/>
              </w:rPr>
              <w:t>Práticas comerciais distintivas dos contratos de fornecimento e distribuição, bem como outras informações do funcionamento do mercado.</w:t>
            </w:r>
          </w:p>
        </w:tc>
        <w:tc>
          <w:tcPr>
            <w:tcW w:w="1985" w:type="dxa"/>
            <w:tcBorders>
              <w:top w:val="single" w:sz="4" w:space="0" w:color="auto"/>
              <w:left w:val="single" w:sz="4" w:space="0" w:color="auto"/>
              <w:bottom w:val="single" w:sz="4" w:space="0" w:color="auto"/>
              <w:right w:val="single" w:sz="4" w:space="0" w:color="auto"/>
            </w:tcBorders>
            <w:vAlign w:val="center"/>
          </w:tcPr>
          <w:p w14:paraId="77801E4C"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834" w:type="dxa"/>
            <w:tcBorders>
              <w:top w:val="single" w:sz="4" w:space="0" w:color="auto"/>
              <w:left w:val="single" w:sz="4" w:space="0" w:color="auto"/>
              <w:bottom w:val="single" w:sz="4" w:space="0" w:color="auto"/>
              <w:right w:val="single" w:sz="4" w:space="0" w:color="auto"/>
            </w:tcBorders>
            <w:vAlign w:val="center"/>
          </w:tcPr>
          <w:p w14:paraId="09173E5A"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2BE1B304" w14:textId="77777777" w:rsidTr="00824360">
        <w:trPr>
          <w:trHeight w:val="744"/>
          <w:jc w:val="center"/>
        </w:trPr>
        <w:tc>
          <w:tcPr>
            <w:tcW w:w="5807" w:type="dxa"/>
            <w:tcBorders>
              <w:top w:val="single" w:sz="4" w:space="0" w:color="auto"/>
              <w:left w:val="single" w:sz="4" w:space="0" w:color="auto"/>
              <w:bottom w:val="single" w:sz="4" w:space="0" w:color="auto"/>
              <w:right w:val="single" w:sz="4" w:space="0" w:color="auto"/>
            </w:tcBorders>
            <w:vAlign w:val="center"/>
          </w:tcPr>
          <w:p w14:paraId="64BC87A8" w14:textId="77777777" w:rsidR="00D3036F" w:rsidRPr="0065707B" w:rsidRDefault="00D3036F" w:rsidP="00824360">
            <w:pPr>
              <w:spacing w:line="240" w:lineRule="auto"/>
              <w:ind w:firstLine="0"/>
              <w:rPr>
                <w:rFonts w:eastAsia="Garamond" w:cs="Times New Roman"/>
                <w:b/>
                <w:color w:val="auto"/>
                <w:szCs w:val="24"/>
              </w:rPr>
            </w:pPr>
            <w:r>
              <w:rPr>
                <w:rFonts w:eastAsia="Garamond" w:cs="Times New Roman"/>
                <w:b/>
                <w:color w:val="auto"/>
                <w:szCs w:val="24"/>
              </w:rPr>
              <w:t>I</w:t>
            </w:r>
            <w:r w:rsidRPr="0065707B">
              <w:rPr>
                <w:rFonts w:eastAsia="Garamond" w:cs="Times New Roman"/>
                <w:b/>
                <w:color w:val="auto"/>
                <w:szCs w:val="24"/>
              </w:rPr>
              <w:t>.3 Substitutibilidade do produto sob análise</w:t>
            </w:r>
          </w:p>
          <w:p w14:paraId="2FAD116C"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1D822A76" w14:textId="77777777" w:rsidR="00D3036F" w:rsidRPr="00131A60" w:rsidRDefault="00D3036F" w:rsidP="00D3036F">
            <w:pPr>
              <w:pStyle w:val="PargrafodaLista"/>
              <w:numPr>
                <w:ilvl w:val="0"/>
                <w:numId w:val="8"/>
              </w:numPr>
              <w:pBdr>
                <w:top w:val="nil"/>
                <w:left w:val="nil"/>
                <w:bottom w:val="nil"/>
                <w:right w:val="nil"/>
                <w:between w:val="nil"/>
              </w:pBdr>
              <w:spacing w:line="240" w:lineRule="auto"/>
              <w:contextualSpacing w:val="0"/>
              <w:rPr>
                <w:rFonts w:eastAsia="Garamond" w:cs="Times New Roman"/>
                <w:i/>
                <w:color w:val="auto"/>
                <w:sz w:val="22"/>
              </w:rPr>
            </w:pPr>
            <w:r w:rsidRPr="00131A60">
              <w:rPr>
                <w:rFonts w:eastAsia="Garamond" w:cs="Times New Roman"/>
                <w:i/>
                <w:color w:val="auto"/>
                <w:sz w:val="22"/>
              </w:rPr>
              <w:t>Substitutibilidade pela ótica da oferta</w:t>
            </w:r>
          </w:p>
          <w:p w14:paraId="25A3BC9F" w14:textId="77777777" w:rsidR="00D3036F" w:rsidRPr="001542F5" w:rsidRDefault="00D3036F" w:rsidP="00D3036F">
            <w:pPr>
              <w:pStyle w:val="PargrafodaLista"/>
              <w:numPr>
                <w:ilvl w:val="0"/>
                <w:numId w:val="8"/>
              </w:numPr>
              <w:pBdr>
                <w:top w:val="nil"/>
                <w:left w:val="nil"/>
                <w:bottom w:val="nil"/>
                <w:right w:val="nil"/>
                <w:between w:val="nil"/>
              </w:pBdr>
              <w:spacing w:line="240" w:lineRule="auto"/>
              <w:contextualSpacing w:val="0"/>
              <w:rPr>
                <w:rFonts w:eastAsia="Garamond" w:cs="Times New Roman"/>
                <w:color w:val="auto"/>
                <w:szCs w:val="24"/>
              </w:rPr>
            </w:pPr>
            <w:r w:rsidRPr="00131A60">
              <w:rPr>
                <w:rFonts w:eastAsia="Garamond" w:cs="Times New Roman"/>
                <w:i/>
                <w:color w:val="auto"/>
                <w:sz w:val="22"/>
              </w:rPr>
              <w:t>Substitutibilidade pela ótica da demanda</w:t>
            </w:r>
          </w:p>
        </w:tc>
        <w:tc>
          <w:tcPr>
            <w:tcW w:w="1985" w:type="dxa"/>
            <w:tcBorders>
              <w:top w:val="single" w:sz="4" w:space="0" w:color="auto"/>
              <w:left w:val="single" w:sz="4" w:space="0" w:color="auto"/>
              <w:bottom w:val="single" w:sz="4" w:space="0" w:color="auto"/>
              <w:right w:val="single" w:sz="4" w:space="0" w:color="auto"/>
            </w:tcBorders>
            <w:vAlign w:val="center"/>
          </w:tcPr>
          <w:p w14:paraId="1587EBBE"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834" w:type="dxa"/>
            <w:tcBorders>
              <w:top w:val="single" w:sz="4" w:space="0" w:color="auto"/>
              <w:left w:val="single" w:sz="4" w:space="0" w:color="auto"/>
              <w:bottom w:val="single" w:sz="4" w:space="0" w:color="auto"/>
              <w:right w:val="single" w:sz="4" w:space="0" w:color="auto"/>
            </w:tcBorders>
            <w:vAlign w:val="center"/>
          </w:tcPr>
          <w:p w14:paraId="1A6B928C"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38AA86DD" w14:textId="77777777" w:rsidTr="00824360">
        <w:trPr>
          <w:trHeight w:val="1458"/>
          <w:jc w:val="center"/>
        </w:trPr>
        <w:tc>
          <w:tcPr>
            <w:tcW w:w="5807" w:type="dxa"/>
            <w:tcBorders>
              <w:top w:val="single" w:sz="4" w:space="0" w:color="auto"/>
              <w:left w:val="single" w:sz="4" w:space="0" w:color="auto"/>
              <w:bottom w:val="single" w:sz="4" w:space="0" w:color="auto"/>
              <w:right w:val="single" w:sz="4" w:space="0" w:color="auto"/>
            </w:tcBorders>
            <w:vAlign w:val="center"/>
          </w:tcPr>
          <w:p w14:paraId="0C9D761A" w14:textId="77777777" w:rsidR="00D3036F" w:rsidRPr="0065707B" w:rsidRDefault="00D3036F" w:rsidP="00824360">
            <w:pPr>
              <w:spacing w:line="240" w:lineRule="auto"/>
              <w:ind w:firstLine="0"/>
              <w:rPr>
                <w:rFonts w:eastAsia="Garamond" w:cs="Times New Roman"/>
                <w:b/>
                <w:color w:val="auto"/>
                <w:szCs w:val="24"/>
              </w:rPr>
            </w:pPr>
            <w:r>
              <w:rPr>
                <w:rFonts w:eastAsia="Garamond" w:cs="Times New Roman"/>
                <w:b/>
                <w:color w:val="auto"/>
                <w:szCs w:val="24"/>
              </w:rPr>
              <w:t>I</w:t>
            </w:r>
            <w:r w:rsidRPr="0065707B">
              <w:rPr>
                <w:rFonts w:eastAsia="Garamond" w:cs="Times New Roman"/>
                <w:b/>
                <w:color w:val="auto"/>
                <w:szCs w:val="24"/>
              </w:rPr>
              <w:t>.4. Concentração do mercado do produto sob análise</w:t>
            </w:r>
          </w:p>
          <w:p w14:paraId="0FC8682A"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1650C6E3" w14:textId="77777777" w:rsidR="00D3036F" w:rsidRPr="00131A60"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131A60">
              <w:rPr>
                <w:rFonts w:eastAsia="Garamond" w:cs="Times New Roman"/>
                <w:i/>
                <w:color w:val="auto"/>
                <w:sz w:val="22"/>
              </w:rPr>
              <w:t>Cálculo de índices de concentração de mercado, em especial do HHI</w:t>
            </w:r>
            <w:r>
              <w:rPr>
                <w:rFonts w:eastAsia="Garamond" w:cs="Times New Roman"/>
                <w:i/>
                <w:color w:val="auto"/>
                <w:sz w:val="22"/>
              </w:rPr>
              <w:t>,</w:t>
            </w:r>
            <w:r w:rsidRPr="00131A60">
              <w:rPr>
                <w:rFonts w:eastAsia="Garamond" w:cs="Times New Roman"/>
                <w:i/>
                <w:color w:val="auto"/>
                <w:sz w:val="22"/>
              </w:rPr>
              <w:t xml:space="preserve"> considerando produção nacional (nos termos de defesa comercial), importações e substitutos, se aplicável</w:t>
            </w:r>
          </w:p>
          <w:p w14:paraId="33EAABB6" w14:textId="77777777" w:rsidR="00D3036F" w:rsidRPr="00131A60"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131A60">
              <w:rPr>
                <w:rFonts w:eastAsia="Garamond" w:cs="Times New Roman"/>
                <w:i/>
                <w:color w:val="auto"/>
                <w:sz w:val="22"/>
              </w:rPr>
              <w:t xml:space="preserve">Barreiras à entrada (custo de entrada, </w:t>
            </w:r>
            <w:r>
              <w:rPr>
                <w:rFonts w:eastAsia="Garamond" w:cs="Times New Roman"/>
                <w:i/>
                <w:color w:val="auto"/>
                <w:sz w:val="22"/>
              </w:rPr>
              <w:t xml:space="preserve">histórico de </w:t>
            </w:r>
            <w:r w:rsidRPr="00131A60">
              <w:rPr>
                <w:rFonts w:eastAsia="Garamond" w:cs="Times New Roman"/>
                <w:i/>
                <w:color w:val="auto"/>
                <w:sz w:val="22"/>
              </w:rPr>
              <w:t>entradas, etc.)</w:t>
            </w:r>
          </w:p>
          <w:p w14:paraId="4CCA3644" w14:textId="77777777" w:rsidR="00D3036F" w:rsidRPr="001542F5"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color w:val="auto"/>
                <w:szCs w:val="24"/>
              </w:rPr>
            </w:pPr>
            <w:r w:rsidRPr="00131A60">
              <w:rPr>
                <w:rFonts w:eastAsia="Garamond" w:cs="Times New Roman"/>
                <w:i/>
                <w:color w:val="auto"/>
                <w:sz w:val="22"/>
              </w:rPr>
              <w:t>Atos de concentração (histórico e prospectivo</w:t>
            </w:r>
            <w:r>
              <w:rPr>
                <w:rFonts w:eastAsia="Garamond" w:cs="Times New Roman"/>
                <w:i/>
                <w:color w:val="auto"/>
                <w:sz w:val="22"/>
              </w:rPr>
              <w:t>, se aplicável</w:t>
            </w:r>
            <w:r w:rsidRPr="00131A60">
              <w:rPr>
                <w:rFonts w:eastAsia="Garamond" w:cs="Times New Roman"/>
                <w:i/>
                <w:color w:val="auto"/>
                <w:sz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04909DAE" w14:textId="77777777" w:rsidR="00D3036F" w:rsidRPr="00BB5019" w:rsidRDefault="00D3036F" w:rsidP="00824360">
            <w:pPr>
              <w:spacing w:line="240" w:lineRule="auto"/>
              <w:ind w:firstLine="0"/>
              <w:jc w:val="center"/>
              <w:rPr>
                <w:rFonts w:eastAsia="Garamond" w:cs="Times New Roman"/>
                <w:szCs w:val="24"/>
              </w:rPr>
            </w:pPr>
            <w:r w:rsidRPr="00BB5019">
              <w:rPr>
                <w:rFonts w:eastAsia="Garamond" w:cs="Times New Roman"/>
                <w:szCs w:val="24"/>
              </w:rPr>
              <w:t>X</w:t>
            </w:r>
          </w:p>
        </w:tc>
        <w:tc>
          <w:tcPr>
            <w:tcW w:w="1834" w:type="dxa"/>
            <w:tcBorders>
              <w:top w:val="single" w:sz="4" w:space="0" w:color="auto"/>
              <w:left w:val="single" w:sz="4" w:space="0" w:color="auto"/>
              <w:bottom w:val="single" w:sz="4" w:space="0" w:color="auto"/>
              <w:right w:val="single" w:sz="4" w:space="0" w:color="auto"/>
            </w:tcBorders>
            <w:vAlign w:val="center"/>
          </w:tcPr>
          <w:p w14:paraId="3AFDE0EC" w14:textId="77777777" w:rsidR="00D3036F" w:rsidRPr="00BB5019"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2A9C2C42" w14:textId="77777777" w:rsidTr="00824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jc w:val="center"/>
        </w:trPr>
        <w:tc>
          <w:tcPr>
            <w:tcW w:w="7792" w:type="dxa"/>
            <w:gridSpan w:val="2"/>
            <w:shd w:val="solid" w:color="auto" w:fill="auto"/>
            <w:vAlign w:val="center"/>
          </w:tcPr>
          <w:p w14:paraId="0104B0EB" w14:textId="77777777" w:rsidR="00D3036F" w:rsidRDefault="00D3036F" w:rsidP="00824360">
            <w:pPr>
              <w:spacing w:line="240" w:lineRule="auto"/>
              <w:ind w:firstLine="0"/>
              <w:jc w:val="left"/>
              <w:rPr>
                <w:rFonts w:eastAsia="Garamond" w:cs="Times New Roman"/>
                <w:szCs w:val="24"/>
              </w:rPr>
            </w:pPr>
            <w:r>
              <w:rPr>
                <w:rFonts w:eastAsia="Garamond" w:cs="Times New Roman"/>
                <w:b/>
                <w:color w:val="FFFFFF" w:themeColor="background1"/>
                <w:szCs w:val="24"/>
              </w:rPr>
              <w:t>II</w:t>
            </w:r>
            <w:r w:rsidRPr="002F76E3">
              <w:rPr>
                <w:rFonts w:eastAsia="Garamond" w:cs="Times New Roman"/>
                <w:b/>
                <w:color w:val="FFFFFF" w:themeColor="background1"/>
                <w:szCs w:val="24"/>
              </w:rPr>
              <w:t xml:space="preserve">. </w:t>
            </w:r>
            <w:r>
              <w:rPr>
                <w:rFonts w:eastAsia="Garamond" w:cs="Times New Roman"/>
                <w:b/>
                <w:color w:val="FFFFFF" w:themeColor="background1"/>
                <w:szCs w:val="24"/>
              </w:rPr>
              <w:t>Oferta internacional do produto sob análise</w:t>
            </w:r>
          </w:p>
        </w:tc>
        <w:tc>
          <w:tcPr>
            <w:tcW w:w="1834" w:type="dxa"/>
            <w:shd w:val="solid" w:color="auto" w:fill="auto"/>
            <w:vAlign w:val="center"/>
          </w:tcPr>
          <w:p w14:paraId="2C03D8AD" w14:textId="77777777" w:rsidR="00D3036F" w:rsidRDefault="00D3036F" w:rsidP="00824360">
            <w:pPr>
              <w:spacing w:line="240" w:lineRule="auto"/>
              <w:ind w:firstLine="0"/>
              <w:jc w:val="left"/>
              <w:rPr>
                <w:rFonts w:eastAsia="Garamond" w:cs="Times New Roman"/>
                <w:b/>
                <w:color w:val="FFFFFF" w:themeColor="background1"/>
                <w:szCs w:val="24"/>
              </w:rPr>
            </w:pPr>
          </w:p>
        </w:tc>
      </w:tr>
      <w:tr w:rsidR="00D3036F" w14:paraId="1AC8350C" w14:textId="77777777" w:rsidTr="00824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7"/>
          <w:jc w:val="center"/>
        </w:trPr>
        <w:tc>
          <w:tcPr>
            <w:tcW w:w="5807" w:type="dxa"/>
            <w:vAlign w:val="center"/>
          </w:tcPr>
          <w:p w14:paraId="445AA2ED" w14:textId="77777777" w:rsidR="00D3036F" w:rsidRDefault="00D3036F" w:rsidP="00824360">
            <w:pPr>
              <w:spacing w:line="240" w:lineRule="auto"/>
              <w:ind w:firstLine="0"/>
              <w:rPr>
                <w:rFonts w:eastAsia="Garamond" w:cs="Times New Roman"/>
                <w:b/>
                <w:color w:val="000000"/>
                <w:szCs w:val="24"/>
              </w:rPr>
            </w:pPr>
            <w:r w:rsidRPr="00E70AFD">
              <w:rPr>
                <w:rFonts w:eastAsia="Garamond" w:cs="Times New Roman"/>
                <w:b/>
                <w:color w:val="000000"/>
                <w:szCs w:val="24"/>
              </w:rPr>
              <w:t>II.1 Origens alternativas do produto sob análise</w:t>
            </w:r>
          </w:p>
          <w:p w14:paraId="6429301B"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1B27616A" w14:textId="77777777" w:rsidR="00D3036F" w:rsidRPr="00E70AFD" w:rsidRDefault="00D3036F" w:rsidP="00D3036F">
            <w:pPr>
              <w:pStyle w:val="PargrafodaLista"/>
              <w:numPr>
                <w:ilvl w:val="0"/>
                <w:numId w:val="9"/>
              </w:numPr>
              <w:pBdr>
                <w:top w:val="nil"/>
                <w:left w:val="nil"/>
                <w:bottom w:val="nil"/>
                <w:right w:val="nil"/>
                <w:between w:val="nil"/>
              </w:pBdr>
              <w:spacing w:line="240" w:lineRule="auto"/>
              <w:ind w:left="714" w:hanging="357"/>
              <w:contextualSpacing w:val="0"/>
              <w:rPr>
                <w:rFonts w:eastAsia="Garamond" w:cs="Times New Roman"/>
                <w:i/>
                <w:sz w:val="22"/>
              </w:rPr>
            </w:pPr>
            <w:r w:rsidRPr="00E70AFD">
              <w:rPr>
                <w:rFonts w:eastAsia="Garamond" w:cs="Times New Roman"/>
                <w:i/>
                <w:sz w:val="22"/>
              </w:rPr>
              <w:t>Dados de produção mundial do produto sob análise (análise de concentração de mercado, de grupos econômicos, se aplicável)</w:t>
            </w:r>
          </w:p>
          <w:p w14:paraId="50D0DEAC" w14:textId="77777777" w:rsidR="00D3036F" w:rsidRPr="00E70AFD" w:rsidRDefault="00D3036F" w:rsidP="00D3036F">
            <w:pPr>
              <w:pStyle w:val="PargrafodaLista"/>
              <w:numPr>
                <w:ilvl w:val="0"/>
                <w:numId w:val="9"/>
              </w:numPr>
              <w:pBdr>
                <w:top w:val="nil"/>
                <w:left w:val="nil"/>
                <w:bottom w:val="nil"/>
                <w:right w:val="nil"/>
                <w:between w:val="nil"/>
              </w:pBdr>
              <w:spacing w:line="240" w:lineRule="auto"/>
              <w:ind w:left="714" w:hanging="357"/>
              <w:contextualSpacing w:val="0"/>
              <w:rPr>
                <w:rFonts w:eastAsia="Garamond" w:cs="Times New Roman"/>
                <w:i/>
                <w:sz w:val="22"/>
              </w:rPr>
            </w:pPr>
            <w:r w:rsidRPr="00E70AFD">
              <w:rPr>
                <w:rFonts w:eastAsia="Garamond" w:cs="Times New Roman"/>
                <w:i/>
                <w:sz w:val="22"/>
              </w:rPr>
              <w:t>Dados de exportação mundial do produto sob análise (volume e preço)</w:t>
            </w:r>
          </w:p>
          <w:p w14:paraId="77FB4B0A" w14:textId="77777777" w:rsidR="00D3036F" w:rsidRPr="00E70AFD" w:rsidRDefault="00D3036F" w:rsidP="00D3036F">
            <w:pPr>
              <w:pStyle w:val="PargrafodaLista"/>
              <w:numPr>
                <w:ilvl w:val="0"/>
                <w:numId w:val="9"/>
              </w:numPr>
              <w:pBdr>
                <w:top w:val="nil"/>
                <w:left w:val="nil"/>
                <w:bottom w:val="nil"/>
                <w:right w:val="nil"/>
                <w:between w:val="nil"/>
              </w:pBdr>
              <w:spacing w:line="240" w:lineRule="auto"/>
              <w:ind w:left="714" w:hanging="357"/>
              <w:contextualSpacing w:val="0"/>
              <w:rPr>
                <w:rFonts w:eastAsia="Garamond" w:cs="Times New Roman"/>
                <w:i/>
                <w:sz w:val="22"/>
              </w:rPr>
            </w:pPr>
            <w:r w:rsidRPr="00E70AFD">
              <w:rPr>
                <w:rFonts w:eastAsia="Garamond" w:cs="Times New Roman"/>
                <w:i/>
                <w:sz w:val="22"/>
              </w:rPr>
              <w:t>Da</w:t>
            </w:r>
            <w:r w:rsidRPr="3DD86D06">
              <w:rPr>
                <w:rFonts w:eastAsia="Garamond" w:cs="Times New Roman"/>
                <w:i/>
                <w:color w:val="auto"/>
                <w:sz w:val="22"/>
              </w:rPr>
              <w:t>dos de balança comercial dos exportadores mundiais do produto sob análise</w:t>
            </w:r>
          </w:p>
          <w:p w14:paraId="7E7AC7AC" w14:textId="77777777" w:rsidR="00D3036F" w:rsidRPr="00E70AFD" w:rsidRDefault="00D3036F" w:rsidP="00D3036F">
            <w:pPr>
              <w:pStyle w:val="PargrafodaLista"/>
              <w:numPr>
                <w:ilvl w:val="0"/>
                <w:numId w:val="9"/>
              </w:numPr>
              <w:pBdr>
                <w:top w:val="nil"/>
                <w:left w:val="nil"/>
                <w:bottom w:val="nil"/>
                <w:right w:val="nil"/>
                <w:between w:val="nil"/>
              </w:pBdr>
              <w:spacing w:line="240" w:lineRule="auto"/>
              <w:ind w:left="714" w:hanging="357"/>
              <w:contextualSpacing w:val="0"/>
              <w:rPr>
                <w:rFonts w:eastAsia="Garamond" w:cs="Times New Roman"/>
                <w:i/>
                <w:sz w:val="22"/>
              </w:rPr>
            </w:pPr>
            <w:r w:rsidRPr="3DD86D06">
              <w:rPr>
                <w:rFonts w:eastAsia="Garamond" w:cs="Times New Roman"/>
                <w:i/>
                <w:color w:val="auto"/>
                <w:sz w:val="22"/>
              </w:rPr>
              <w:t>Dados de importação brasileira do produto sob análise (volume e preço), tanto das origens gravadas quanto das não gravadas</w:t>
            </w:r>
          </w:p>
          <w:p w14:paraId="474B1A3A" w14:textId="77777777" w:rsidR="00D3036F" w:rsidRPr="00C02189" w:rsidRDefault="00D3036F" w:rsidP="00D3036F">
            <w:pPr>
              <w:pStyle w:val="PargrafodaLista"/>
              <w:numPr>
                <w:ilvl w:val="0"/>
                <w:numId w:val="9"/>
              </w:numPr>
              <w:pBdr>
                <w:top w:val="nil"/>
                <w:left w:val="nil"/>
                <w:bottom w:val="nil"/>
                <w:right w:val="nil"/>
                <w:between w:val="nil"/>
              </w:pBdr>
              <w:spacing w:line="240" w:lineRule="auto"/>
              <w:ind w:left="714" w:hanging="357"/>
              <w:contextualSpacing w:val="0"/>
              <w:rPr>
                <w:rFonts w:eastAsia="Garamond" w:cs="Times New Roman"/>
                <w:color w:val="FF0000"/>
              </w:rPr>
            </w:pPr>
            <w:r w:rsidRPr="3DD86D06">
              <w:rPr>
                <w:rFonts w:eastAsia="Garamond" w:cs="Times New Roman"/>
                <w:i/>
                <w:color w:val="auto"/>
                <w:sz w:val="22"/>
              </w:rPr>
              <w:t>Capacidade instalada de produção (e de eventual excesso de capacidade) do produto sob análise ou de seu substituto em origens alter</w:t>
            </w:r>
            <w:r w:rsidRPr="00E70AFD">
              <w:rPr>
                <w:rFonts w:eastAsia="Garamond" w:cs="Times New Roman"/>
                <w:i/>
                <w:sz w:val="22"/>
              </w:rPr>
              <w:t>nativas</w:t>
            </w:r>
          </w:p>
        </w:tc>
        <w:tc>
          <w:tcPr>
            <w:tcW w:w="1985" w:type="dxa"/>
            <w:vAlign w:val="center"/>
          </w:tcPr>
          <w:p w14:paraId="273A0FF1"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834" w:type="dxa"/>
            <w:vAlign w:val="center"/>
          </w:tcPr>
          <w:p w14:paraId="79826777"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560BBDD4" w14:textId="77777777" w:rsidTr="008243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8"/>
          <w:jc w:val="center"/>
        </w:trPr>
        <w:tc>
          <w:tcPr>
            <w:tcW w:w="5807" w:type="dxa"/>
            <w:vAlign w:val="center"/>
          </w:tcPr>
          <w:p w14:paraId="0DA7C7BB" w14:textId="77777777" w:rsidR="00D3036F" w:rsidRPr="00E70AFD" w:rsidRDefault="00D3036F" w:rsidP="00824360">
            <w:pPr>
              <w:spacing w:line="240" w:lineRule="auto"/>
              <w:ind w:firstLine="0"/>
              <w:rPr>
                <w:rFonts w:eastAsia="Garamond" w:cs="Times New Roman"/>
                <w:b/>
                <w:color w:val="000000"/>
                <w:szCs w:val="24"/>
              </w:rPr>
            </w:pPr>
            <w:r>
              <w:rPr>
                <w:rFonts w:eastAsia="Garamond" w:cs="Times New Roman"/>
                <w:b/>
                <w:color w:val="000000"/>
                <w:szCs w:val="24"/>
              </w:rPr>
              <w:lastRenderedPageBreak/>
              <w:t>II</w:t>
            </w:r>
            <w:r w:rsidRPr="00E70AFD">
              <w:rPr>
                <w:rFonts w:eastAsia="Garamond" w:cs="Times New Roman"/>
                <w:b/>
                <w:color w:val="000000"/>
                <w:szCs w:val="24"/>
              </w:rPr>
              <w:t>.2 Barreiras tarifárias e não tarifárias ao produto sob análise</w:t>
            </w:r>
          </w:p>
          <w:p w14:paraId="78A61783"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16E100D7" w14:textId="77777777" w:rsidR="00D3036F" w:rsidRPr="00E70AFD"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sidRPr="00E70AFD">
              <w:rPr>
                <w:rFonts w:eastAsia="Garamond" w:cs="Times New Roman"/>
                <w:i/>
                <w:color w:val="auto"/>
                <w:sz w:val="22"/>
              </w:rPr>
              <w:t>II do produto sob análise</w:t>
            </w:r>
          </w:p>
          <w:p w14:paraId="50EA0282" w14:textId="77777777" w:rsidR="00D3036F" w:rsidRPr="00E70AFD"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sidRPr="00E70AFD">
              <w:rPr>
                <w:rFonts w:eastAsia="Garamond" w:cs="Times New Roman"/>
                <w:i/>
                <w:color w:val="auto"/>
                <w:sz w:val="22"/>
              </w:rPr>
              <w:t xml:space="preserve">Comparação </w:t>
            </w:r>
            <w:r>
              <w:rPr>
                <w:rFonts w:eastAsia="Garamond" w:cs="Times New Roman"/>
                <w:i/>
                <w:color w:val="auto"/>
                <w:sz w:val="22"/>
              </w:rPr>
              <w:t xml:space="preserve">do </w:t>
            </w:r>
            <w:r w:rsidRPr="00E70AFD">
              <w:rPr>
                <w:rFonts w:eastAsia="Garamond" w:cs="Times New Roman"/>
                <w:i/>
                <w:color w:val="auto"/>
                <w:sz w:val="22"/>
              </w:rPr>
              <w:t xml:space="preserve">II </w:t>
            </w:r>
            <w:r>
              <w:rPr>
                <w:rFonts w:eastAsia="Garamond" w:cs="Times New Roman"/>
                <w:i/>
                <w:color w:val="auto"/>
                <w:sz w:val="22"/>
              </w:rPr>
              <w:t>do Brasil com</w:t>
            </w:r>
            <w:r w:rsidRPr="00E70AFD">
              <w:rPr>
                <w:rFonts w:eastAsia="Garamond" w:cs="Times New Roman"/>
                <w:i/>
                <w:color w:val="auto"/>
                <w:sz w:val="22"/>
              </w:rPr>
              <w:t xml:space="preserve"> média mundial de II</w:t>
            </w:r>
            <w:r>
              <w:rPr>
                <w:rFonts w:eastAsia="Garamond" w:cs="Times New Roman"/>
                <w:i/>
                <w:color w:val="auto"/>
                <w:sz w:val="22"/>
              </w:rPr>
              <w:t xml:space="preserve"> dos países da OMC, com </w:t>
            </w:r>
            <w:r w:rsidRPr="00E70AFD">
              <w:rPr>
                <w:rFonts w:eastAsia="Garamond" w:cs="Times New Roman"/>
                <w:i/>
                <w:color w:val="auto"/>
                <w:sz w:val="22"/>
              </w:rPr>
              <w:t>os maiores produtores mundiais</w:t>
            </w:r>
            <w:r>
              <w:rPr>
                <w:rFonts w:eastAsia="Garamond" w:cs="Times New Roman"/>
                <w:i/>
                <w:color w:val="auto"/>
                <w:sz w:val="22"/>
              </w:rPr>
              <w:t xml:space="preserve"> e com </w:t>
            </w:r>
            <w:r w:rsidRPr="00E70AFD">
              <w:rPr>
                <w:rFonts w:eastAsia="Garamond" w:cs="Times New Roman"/>
                <w:i/>
                <w:color w:val="auto"/>
                <w:sz w:val="22"/>
              </w:rPr>
              <w:t>os maiores exportadores mundiais</w:t>
            </w:r>
            <w:r>
              <w:rPr>
                <w:rFonts w:eastAsia="Garamond" w:cs="Times New Roman"/>
                <w:i/>
                <w:color w:val="auto"/>
                <w:sz w:val="22"/>
              </w:rPr>
              <w:t>.</w:t>
            </w:r>
          </w:p>
          <w:p w14:paraId="3C6F1D3A" w14:textId="77777777" w:rsidR="00D3036F" w:rsidRPr="00E70AFD"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sidRPr="00E70AFD">
              <w:rPr>
                <w:rFonts w:eastAsia="Garamond" w:cs="Times New Roman"/>
                <w:i/>
                <w:color w:val="auto"/>
                <w:sz w:val="22"/>
              </w:rPr>
              <w:t>Exceções ao II do produto sob análise (ex., ex</w:t>
            </w:r>
            <w:r>
              <w:rPr>
                <w:rFonts w:eastAsia="Garamond" w:cs="Times New Roman"/>
                <w:i/>
                <w:color w:val="auto"/>
                <w:sz w:val="22"/>
              </w:rPr>
              <w:t>-</w:t>
            </w:r>
            <w:r w:rsidRPr="00E70AFD">
              <w:rPr>
                <w:rFonts w:eastAsia="Garamond" w:cs="Times New Roman"/>
                <w:i/>
                <w:color w:val="auto"/>
                <w:sz w:val="22"/>
              </w:rPr>
              <w:t>tarifário, LETEC, LEBIT, etc.)</w:t>
            </w:r>
          </w:p>
          <w:p w14:paraId="0DC11869" w14:textId="77777777" w:rsidR="00D3036F"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sidRPr="00E70AFD">
              <w:rPr>
                <w:rFonts w:eastAsia="Garamond" w:cs="Times New Roman"/>
                <w:i/>
                <w:color w:val="auto"/>
                <w:sz w:val="22"/>
              </w:rPr>
              <w:t>Preferências tarifárias</w:t>
            </w:r>
          </w:p>
          <w:p w14:paraId="43D21B8F" w14:textId="77777777" w:rsidR="00D3036F" w:rsidRPr="00E70AFD"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Pr>
                <w:rFonts w:eastAsia="Garamond" w:cs="Times New Roman"/>
                <w:i/>
                <w:color w:val="auto"/>
                <w:sz w:val="22"/>
              </w:rPr>
              <w:t>Instrumentos de comércio exterior (ex. drawback)</w:t>
            </w:r>
          </w:p>
          <w:p w14:paraId="6E780541" w14:textId="77777777" w:rsidR="00D3036F"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sidRPr="00E70AFD">
              <w:rPr>
                <w:rFonts w:eastAsia="Garamond" w:cs="Times New Roman"/>
                <w:i/>
                <w:color w:val="auto"/>
                <w:sz w:val="22"/>
              </w:rPr>
              <w:t>Outras barreiras não tarifárias (governamentais e privadas, como por ex. homologação, normas técnicas, etc.)</w:t>
            </w:r>
          </w:p>
          <w:p w14:paraId="0D6E7352" w14:textId="77777777" w:rsidR="00D3036F" w:rsidRPr="00E70AFD"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sidRPr="00E70AFD">
              <w:rPr>
                <w:rFonts w:eastAsia="Garamond" w:cs="Times New Roman"/>
                <w:i/>
                <w:color w:val="auto"/>
                <w:sz w:val="22"/>
              </w:rPr>
              <w:t>Medidas de defesa comercial aplicadas pelo Brasil ao produto sob análise (incluindo análise de temporalidade, comportamento de grupos econômicos, etc.)</w:t>
            </w:r>
          </w:p>
          <w:p w14:paraId="614AC90F" w14:textId="77777777" w:rsidR="00D3036F" w:rsidRPr="00E70AFD"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sidRPr="00E70AFD">
              <w:rPr>
                <w:rFonts w:eastAsia="Garamond" w:cs="Times New Roman"/>
                <w:i/>
                <w:color w:val="auto"/>
                <w:sz w:val="22"/>
              </w:rPr>
              <w:t>Outras medidas de defesa comercial aplicadas pelo Brasil a produtos correlatos e/ou da mesma indústria doméstica</w:t>
            </w:r>
          </w:p>
          <w:p w14:paraId="0D102E1A" w14:textId="77777777" w:rsidR="00D3036F" w:rsidRPr="00C02189"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color w:val="FF0000"/>
                <w:szCs w:val="24"/>
              </w:rPr>
            </w:pPr>
            <w:r w:rsidRPr="00E70AFD">
              <w:rPr>
                <w:rFonts w:eastAsia="Garamond" w:cs="Times New Roman"/>
                <w:i/>
                <w:color w:val="auto"/>
                <w:sz w:val="22"/>
              </w:rPr>
              <w:t>Medidas de defesa comercial aplicadas pelo mundo</w:t>
            </w:r>
          </w:p>
        </w:tc>
        <w:tc>
          <w:tcPr>
            <w:tcW w:w="1985" w:type="dxa"/>
            <w:vAlign w:val="center"/>
          </w:tcPr>
          <w:p w14:paraId="40C55344"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834" w:type="dxa"/>
            <w:vAlign w:val="center"/>
          </w:tcPr>
          <w:p w14:paraId="6D183DE7"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1FD4E7F5" w14:textId="77777777" w:rsidTr="00824360">
        <w:trPr>
          <w:trHeight w:val="186"/>
          <w:jc w:val="center"/>
        </w:trPr>
        <w:tc>
          <w:tcPr>
            <w:tcW w:w="7792" w:type="dxa"/>
            <w:gridSpan w:val="2"/>
            <w:tcBorders>
              <w:left w:val="single" w:sz="4" w:space="0" w:color="auto"/>
              <w:right w:val="single" w:sz="4" w:space="0" w:color="auto"/>
            </w:tcBorders>
            <w:shd w:val="solid" w:color="auto" w:fill="auto"/>
            <w:vAlign w:val="center"/>
          </w:tcPr>
          <w:p w14:paraId="1B7E520C" w14:textId="77777777" w:rsidR="00D3036F" w:rsidRDefault="00D3036F" w:rsidP="00824360">
            <w:pPr>
              <w:spacing w:line="240" w:lineRule="auto"/>
              <w:ind w:firstLine="0"/>
              <w:jc w:val="left"/>
              <w:rPr>
                <w:rFonts w:eastAsia="Garamond" w:cs="Times New Roman"/>
                <w:szCs w:val="24"/>
              </w:rPr>
            </w:pPr>
            <w:r>
              <w:rPr>
                <w:rFonts w:eastAsia="Garamond" w:cs="Times New Roman"/>
                <w:b/>
                <w:color w:val="FFFFFF" w:themeColor="background1"/>
                <w:szCs w:val="24"/>
              </w:rPr>
              <w:t>III.</w:t>
            </w:r>
            <w:r w:rsidRPr="002F76E3">
              <w:rPr>
                <w:rFonts w:eastAsia="Garamond" w:cs="Times New Roman"/>
                <w:b/>
                <w:color w:val="FFFFFF" w:themeColor="background1"/>
                <w:szCs w:val="24"/>
              </w:rPr>
              <w:t xml:space="preserve"> </w:t>
            </w:r>
            <w:r>
              <w:rPr>
                <w:rFonts w:eastAsia="Garamond" w:cs="Times New Roman"/>
                <w:b/>
                <w:color w:val="FFFFFF" w:themeColor="background1"/>
                <w:szCs w:val="24"/>
              </w:rPr>
              <w:t>Oferta nacional do produto sob análise</w:t>
            </w:r>
          </w:p>
        </w:tc>
        <w:tc>
          <w:tcPr>
            <w:tcW w:w="1834" w:type="dxa"/>
            <w:tcBorders>
              <w:left w:val="single" w:sz="4" w:space="0" w:color="auto"/>
              <w:right w:val="single" w:sz="4" w:space="0" w:color="auto"/>
            </w:tcBorders>
            <w:shd w:val="solid" w:color="auto" w:fill="auto"/>
            <w:vAlign w:val="center"/>
          </w:tcPr>
          <w:p w14:paraId="581E5CA4" w14:textId="77777777" w:rsidR="00D3036F" w:rsidRDefault="00D3036F" w:rsidP="00824360">
            <w:pPr>
              <w:spacing w:line="240" w:lineRule="auto"/>
              <w:ind w:firstLine="0"/>
              <w:jc w:val="left"/>
              <w:rPr>
                <w:rFonts w:eastAsia="Garamond" w:cs="Times New Roman"/>
                <w:b/>
                <w:color w:val="FFFFFF" w:themeColor="background1"/>
                <w:szCs w:val="24"/>
              </w:rPr>
            </w:pPr>
          </w:p>
        </w:tc>
      </w:tr>
      <w:tr w:rsidR="00D3036F" w14:paraId="0F3F3DB4" w14:textId="77777777" w:rsidTr="00824360">
        <w:trPr>
          <w:trHeight w:val="1282"/>
          <w:jc w:val="center"/>
        </w:trPr>
        <w:tc>
          <w:tcPr>
            <w:tcW w:w="5807" w:type="dxa"/>
            <w:tcBorders>
              <w:left w:val="single" w:sz="4" w:space="0" w:color="auto"/>
              <w:bottom w:val="single" w:sz="4" w:space="0" w:color="auto"/>
              <w:right w:val="single" w:sz="4" w:space="0" w:color="auto"/>
            </w:tcBorders>
            <w:vAlign w:val="center"/>
          </w:tcPr>
          <w:p w14:paraId="45D35674" w14:textId="77777777" w:rsidR="00D3036F" w:rsidRPr="00861FC2" w:rsidRDefault="00D3036F" w:rsidP="00824360">
            <w:pPr>
              <w:spacing w:line="240" w:lineRule="auto"/>
              <w:ind w:firstLine="0"/>
              <w:rPr>
                <w:rFonts w:eastAsia="Garamond" w:cs="Times New Roman"/>
                <w:b/>
                <w:color w:val="000000"/>
                <w:szCs w:val="24"/>
              </w:rPr>
            </w:pPr>
            <w:r w:rsidRPr="00861FC2">
              <w:rPr>
                <w:rFonts w:eastAsia="Garamond" w:cs="Times New Roman"/>
                <w:b/>
                <w:color w:val="000000"/>
                <w:szCs w:val="24"/>
              </w:rPr>
              <w:t>III.1 Consumo nacional aparente do produto sob análise</w:t>
            </w:r>
          </w:p>
          <w:p w14:paraId="57A87FAC"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7636DA06" w14:textId="77777777" w:rsidR="00D3036F" w:rsidRPr="00F81B19"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sidRPr="00F81B19">
              <w:rPr>
                <w:rFonts w:eastAsia="Garamond" w:cs="Times New Roman"/>
                <w:i/>
                <w:color w:val="auto"/>
                <w:sz w:val="22"/>
              </w:rPr>
              <w:t>Dados de mercado brasileiro e de consumo nacional aparente</w:t>
            </w:r>
          </w:p>
          <w:p w14:paraId="315711A4" w14:textId="77777777" w:rsidR="00D3036F" w:rsidRPr="00F81B19"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i/>
                <w:color w:val="auto"/>
                <w:sz w:val="22"/>
              </w:rPr>
            </w:pPr>
            <w:r w:rsidRPr="00F81B19">
              <w:rPr>
                <w:rFonts w:eastAsia="Garamond" w:cs="Times New Roman"/>
                <w:i/>
                <w:color w:val="auto"/>
                <w:sz w:val="22"/>
              </w:rPr>
              <w:t>Representatividade da oferta da indústria doméstica (vendas, excluindo consumo cativo) no mercado brasileiro</w:t>
            </w:r>
          </w:p>
          <w:p w14:paraId="744C84FC" w14:textId="77777777" w:rsidR="00D3036F" w:rsidRPr="00861FC2" w:rsidRDefault="00D3036F" w:rsidP="00D3036F">
            <w:pPr>
              <w:pStyle w:val="PargrafodaLista"/>
              <w:numPr>
                <w:ilvl w:val="0"/>
                <w:numId w:val="10"/>
              </w:numPr>
              <w:pBdr>
                <w:top w:val="nil"/>
                <w:left w:val="nil"/>
                <w:bottom w:val="nil"/>
                <w:right w:val="nil"/>
                <w:between w:val="nil"/>
              </w:pBdr>
              <w:spacing w:line="240" w:lineRule="auto"/>
              <w:ind w:left="714" w:hanging="357"/>
              <w:contextualSpacing w:val="0"/>
              <w:rPr>
                <w:rFonts w:eastAsia="Garamond" w:cs="Times New Roman"/>
                <w:color w:val="FF0000"/>
                <w:szCs w:val="24"/>
              </w:rPr>
            </w:pPr>
            <w:r w:rsidRPr="00F81B19">
              <w:rPr>
                <w:rFonts w:eastAsia="Garamond" w:cs="Times New Roman"/>
                <w:i/>
                <w:color w:val="auto"/>
                <w:sz w:val="22"/>
              </w:rPr>
              <w:t>Representatividade da oferta de importações no mercado brasileiro</w:t>
            </w:r>
          </w:p>
        </w:tc>
        <w:tc>
          <w:tcPr>
            <w:tcW w:w="1985" w:type="dxa"/>
            <w:tcBorders>
              <w:left w:val="single" w:sz="4" w:space="0" w:color="auto"/>
              <w:bottom w:val="single" w:sz="4" w:space="0" w:color="auto"/>
              <w:right w:val="single" w:sz="4" w:space="0" w:color="auto"/>
            </w:tcBorders>
            <w:vAlign w:val="center"/>
          </w:tcPr>
          <w:p w14:paraId="3696B188"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834" w:type="dxa"/>
            <w:tcBorders>
              <w:left w:val="single" w:sz="4" w:space="0" w:color="auto"/>
              <w:bottom w:val="single" w:sz="4" w:space="0" w:color="auto"/>
              <w:right w:val="single" w:sz="4" w:space="0" w:color="auto"/>
            </w:tcBorders>
            <w:vAlign w:val="center"/>
          </w:tcPr>
          <w:p w14:paraId="4E257D28"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753A0D13" w14:textId="77777777" w:rsidTr="00824360">
        <w:trPr>
          <w:trHeight w:val="1107"/>
          <w:jc w:val="center"/>
        </w:trPr>
        <w:tc>
          <w:tcPr>
            <w:tcW w:w="5807" w:type="dxa"/>
            <w:tcBorders>
              <w:top w:val="single" w:sz="4" w:space="0" w:color="auto"/>
              <w:left w:val="single" w:sz="4" w:space="0" w:color="auto"/>
              <w:bottom w:val="single" w:sz="4" w:space="0" w:color="auto"/>
              <w:right w:val="single" w:sz="4" w:space="0" w:color="auto"/>
            </w:tcBorders>
            <w:vAlign w:val="center"/>
          </w:tcPr>
          <w:p w14:paraId="082ED186" w14:textId="77777777" w:rsidR="00D3036F" w:rsidRPr="00861FC2" w:rsidRDefault="00D3036F" w:rsidP="00824360">
            <w:pPr>
              <w:spacing w:line="240" w:lineRule="auto"/>
              <w:ind w:firstLine="0"/>
              <w:rPr>
                <w:rFonts w:eastAsia="Garamond" w:cs="Times New Roman"/>
                <w:b/>
                <w:color w:val="000000"/>
                <w:szCs w:val="24"/>
              </w:rPr>
            </w:pPr>
            <w:r w:rsidRPr="00861FC2">
              <w:rPr>
                <w:rFonts w:eastAsia="Garamond" w:cs="Times New Roman"/>
                <w:b/>
                <w:color w:val="000000"/>
                <w:szCs w:val="24"/>
              </w:rPr>
              <w:t>III.2 Risco de desabastecimento e de interrupção do fornecimento em termos quantitativos</w:t>
            </w:r>
          </w:p>
          <w:p w14:paraId="0728BED3"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412D6085" w14:textId="77777777" w:rsidR="00D3036F" w:rsidRPr="00F81B19" w:rsidRDefault="00D3036F" w:rsidP="00D3036F">
            <w:pPr>
              <w:pStyle w:val="PargrafodaLista"/>
              <w:numPr>
                <w:ilvl w:val="0"/>
                <w:numId w:val="10"/>
              </w:numPr>
              <w:pBdr>
                <w:top w:val="nil"/>
                <w:left w:val="nil"/>
                <w:bottom w:val="nil"/>
                <w:right w:val="nil"/>
                <w:between w:val="nil"/>
              </w:pBdr>
              <w:spacing w:line="240" w:lineRule="auto"/>
              <w:contextualSpacing w:val="0"/>
              <w:rPr>
                <w:rFonts w:eastAsia="Garamond" w:cs="Times New Roman"/>
                <w:i/>
                <w:color w:val="auto"/>
                <w:sz w:val="22"/>
              </w:rPr>
            </w:pPr>
            <w:r w:rsidRPr="00F81B19">
              <w:rPr>
                <w:rFonts w:eastAsia="Garamond" w:cs="Times New Roman"/>
                <w:i/>
                <w:color w:val="auto"/>
                <w:sz w:val="22"/>
              </w:rPr>
              <w:t>Dados de produção nacional em termos de capacidade instalada (nominal e efetiva), ociosa e estoques, nos termos de defesa comercial, em comparação com o mercado brasileiro. Incluir análise de eventual interrupção da produção nacional.</w:t>
            </w:r>
          </w:p>
          <w:p w14:paraId="04DCAD2E" w14:textId="77777777" w:rsidR="00D3036F" w:rsidRPr="00F81B19" w:rsidRDefault="00D3036F" w:rsidP="00D3036F">
            <w:pPr>
              <w:pStyle w:val="PargrafodaLista"/>
              <w:numPr>
                <w:ilvl w:val="0"/>
                <w:numId w:val="10"/>
              </w:numPr>
              <w:pBdr>
                <w:top w:val="nil"/>
                <w:left w:val="nil"/>
                <w:bottom w:val="nil"/>
                <w:right w:val="nil"/>
                <w:between w:val="nil"/>
              </w:pBdr>
              <w:spacing w:line="240" w:lineRule="auto"/>
              <w:contextualSpacing w:val="0"/>
              <w:rPr>
                <w:rFonts w:eastAsia="Garamond" w:cs="Times New Roman"/>
                <w:i/>
                <w:color w:val="auto"/>
                <w:sz w:val="22"/>
              </w:rPr>
            </w:pPr>
            <w:r w:rsidRPr="00F81B19">
              <w:rPr>
                <w:rFonts w:eastAsia="Garamond" w:cs="Times New Roman"/>
                <w:i/>
                <w:color w:val="auto"/>
                <w:sz w:val="22"/>
              </w:rPr>
              <w:t>Riscos de desabastecimento em termos de priorização de mercado (mercado externo vs mercado interno vs consumo cativo vs vendas para relacionadas)</w:t>
            </w:r>
          </w:p>
          <w:p w14:paraId="20EC6F8A" w14:textId="77777777" w:rsidR="00D3036F" w:rsidRPr="00861FC2" w:rsidRDefault="00D3036F" w:rsidP="00D3036F">
            <w:pPr>
              <w:pStyle w:val="PargrafodaLista"/>
              <w:numPr>
                <w:ilvl w:val="0"/>
                <w:numId w:val="10"/>
              </w:numPr>
              <w:pBdr>
                <w:top w:val="nil"/>
                <w:left w:val="nil"/>
                <w:bottom w:val="nil"/>
                <w:right w:val="nil"/>
                <w:between w:val="nil"/>
              </w:pBdr>
              <w:spacing w:line="240" w:lineRule="auto"/>
              <w:contextualSpacing w:val="0"/>
              <w:rPr>
                <w:rFonts w:eastAsia="Garamond" w:cs="Times New Roman"/>
                <w:color w:val="FF0000"/>
                <w:szCs w:val="24"/>
              </w:rPr>
            </w:pPr>
            <w:r w:rsidRPr="00F81B19">
              <w:rPr>
                <w:rFonts w:eastAsia="Garamond" w:cs="Times New Roman"/>
                <w:i/>
                <w:color w:val="auto"/>
                <w:sz w:val="22"/>
              </w:rPr>
              <w:t>Discriminação de clientes</w:t>
            </w:r>
          </w:p>
        </w:tc>
        <w:tc>
          <w:tcPr>
            <w:tcW w:w="1985" w:type="dxa"/>
            <w:tcBorders>
              <w:top w:val="single" w:sz="4" w:space="0" w:color="auto"/>
              <w:left w:val="single" w:sz="4" w:space="0" w:color="auto"/>
              <w:bottom w:val="single" w:sz="4" w:space="0" w:color="auto"/>
              <w:right w:val="single" w:sz="4" w:space="0" w:color="auto"/>
            </w:tcBorders>
            <w:vAlign w:val="center"/>
          </w:tcPr>
          <w:p w14:paraId="297FD2F5"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834" w:type="dxa"/>
            <w:tcBorders>
              <w:top w:val="single" w:sz="4" w:space="0" w:color="auto"/>
              <w:left w:val="single" w:sz="4" w:space="0" w:color="auto"/>
              <w:bottom w:val="single" w:sz="4" w:space="0" w:color="auto"/>
              <w:right w:val="single" w:sz="4" w:space="0" w:color="auto"/>
            </w:tcBorders>
            <w:vAlign w:val="center"/>
          </w:tcPr>
          <w:p w14:paraId="27CCC1F8"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39ED04C3" w14:textId="77777777" w:rsidTr="00824360">
        <w:trPr>
          <w:trHeight w:val="2492"/>
          <w:jc w:val="center"/>
        </w:trPr>
        <w:tc>
          <w:tcPr>
            <w:tcW w:w="5807" w:type="dxa"/>
            <w:tcBorders>
              <w:top w:val="single" w:sz="4" w:space="0" w:color="auto"/>
              <w:left w:val="single" w:sz="4" w:space="0" w:color="auto"/>
              <w:bottom w:val="single" w:sz="4" w:space="0" w:color="auto"/>
              <w:right w:val="single" w:sz="4" w:space="0" w:color="auto"/>
            </w:tcBorders>
            <w:vAlign w:val="center"/>
          </w:tcPr>
          <w:p w14:paraId="4F1484C4" w14:textId="77777777" w:rsidR="00D3036F" w:rsidRPr="00861FC2" w:rsidRDefault="00D3036F" w:rsidP="00824360">
            <w:pPr>
              <w:spacing w:line="240" w:lineRule="auto"/>
              <w:ind w:firstLine="0"/>
              <w:rPr>
                <w:rFonts w:eastAsia="Garamond" w:cs="Times New Roman"/>
                <w:b/>
                <w:color w:val="000000"/>
                <w:szCs w:val="24"/>
              </w:rPr>
            </w:pPr>
            <w:r w:rsidRPr="00861FC2">
              <w:rPr>
                <w:rFonts w:eastAsia="Garamond" w:cs="Times New Roman"/>
                <w:b/>
                <w:color w:val="000000"/>
                <w:szCs w:val="24"/>
              </w:rPr>
              <w:lastRenderedPageBreak/>
              <w:t>III.3 Risco de restrições à oferta nacional em termos de preço, qualidade e variedade</w:t>
            </w:r>
          </w:p>
          <w:p w14:paraId="61363E93"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790B7267" w14:textId="77777777" w:rsidR="00D3036F" w:rsidRPr="00BE7F68"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BE7F68">
              <w:rPr>
                <w:rFonts w:eastAsia="Garamond" w:cs="Times New Roman"/>
                <w:i/>
                <w:color w:val="auto"/>
                <w:sz w:val="22"/>
              </w:rPr>
              <w:t>Indicadores de eventuais restrições à oferta nacional em termos de preço</w:t>
            </w:r>
          </w:p>
          <w:p w14:paraId="4730D3ED" w14:textId="77777777" w:rsidR="00D3036F" w:rsidRPr="00BE7F68" w:rsidRDefault="00D3036F" w:rsidP="00D3036F">
            <w:pPr>
              <w:pStyle w:val="PargrafodaLista"/>
              <w:numPr>
                <w:ilvl w:val="1"/>
                <w:numId w:val="9"/>
              </w:numPr>
              <w:pBdr>
                <w:top w:val="nil"/>
                <w:left w:val="nil"/>
                <w:bottom w:val="nil"/>
                <w:right w:val="nil"/>
                <w:between w:val="nil"/>
              </w:pBdr>
              <w:spacing w:line="240" w:lineRule="auto"/>
              <w:contextualSpacing w:val="0"/>
              <w:rPr>
                <w:rFonts w:eastAsia="Garamond" w:cs="Times New Roman"/>
                <w:i/>
                <w:color w:val="auto"/>
                <w:sz w:val="22"/>
              </w:rPr>
            </w:pPr>
            <w:r w:rsidRPr="00BE7F68">
              <w:rPr>
                <w:rFonts w:eastAsia="Garamond" w:cs="Times New Roman"/>
                <w:i/>
                <w:color w:val="auto"/>
                <w:sz w:val="22"/>
              </w:rPr>
              <w:t>Evolução do preço do produto sob análise com custo da indústria doméstica (análise de descolamento custo vs preço do produto sob análise)</w:t>
            </w:r>
          </w:p>
          <w:p w14:paraId="373F0457" w14:textId="77777777" w:rsidR="00D3036F" w:rsidRPr="00BE7F68" w:rsidRDefault="00D3036F" w:rsidP="00D3036F">
            <w:pPr>
              <w:pStyle w:val="PargrafodaLista"/>
              <w:numPr>
                <w:ilvl w:val="1"/>
                <w:numId w:val="9"/>
              </w:numPr>
              <w:pBdr>
                <w:top w:val="nil"/>
                <w:left w:val="nil"/>
                <w:bottom w:val="nil"/>
                <w:right w:val="nil"/>
                <w:between w:val="nil"/>
              </w:pBdr>
              <w:spacing w:line="240" w:lineRule="auto"/>
              <w:contextualSpacing w:val="0"/>
              <w:rPr>
                <w:rFonts w:eastAsia="Garamond" w:cs="Times New Roman"/>
                <w:i/>
                <w:color w:val="auto"/>
                <w:sz w:val="22"/>
              </w:rPr>
            </w:pPr>
            <w:r w:rsidRPr="00BE7F68">
              <w:rPr>
                <w:rFonts w:eastAsia="Garamond" w:cs="Times New Roman"/>
                <w:i/>
                <w:color w:val="auto"/>
                <w:sz w:val="22"/>
              </w:rPr>
              <w:t>Evolução do preço do produto sob análise com outros preços/índices (comparação com outros parâmetros do mercado, como índices de preços, outros elos da cadeia, preços internacionais, etc.)</w:t>
            </w:r>
          </w:p>
          <w:p w14:paraId="07963DE6" w14:textId="77777777" w:rsidR="00D3036F" w:rsidRPr="00BE7F68"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BE7F68">
              <w:rPr>
                <w:rFonts w:eastAsia="Garamond" w:cs="Times New Roman"/>
                <w:i/>
                <w:color w:val="auto"/>
                <w:sz w:val="22"/>
              </w:rPr>
              <w:t>Indicadores de eventuais restrições à oferta nacional em termos de qualidade e variedade</w:t>
            </w:r>
          </w:p>
          <w:p w14:paraId="29D14E30" w14:textId="77777777" w:rsidR="00D3036F" w:rsidRPr="00BE7F68" w:rsidRDefault="00D3036F" w:rsidP="00D3036F">
            <w:pPr>
              <w:pStyle w:val="PargrafodaLista"/>
              <w:numPr>
                <w:ilvl w:val="1"/>
                <w:numId w:val="9"/>
              </w:numPr>
              <w:pBdr>
                <w:top w:val="nil"/>
                <w:left w:val="nil"/>
                <w:bottom w:val="nil"/>
                <w:right w:val="nil"/>
                <w:between w:val="nil"/>
              </w:pBdr>
              <w:spacing w:line="240" w:lineRule="auto"/>
              <w:contextualSpacing w:val="0"/>
              <w:rPr>
                <w:rFonts w:eastAsia="Garamond" w:cs="Times New Roman"/>
                <w:i/>
                <w:color w:val="auto"/>
                <w:sz w:val="22"/>
              </w:rPr>
            </w:pPr>
            <w:r w:rsidRPr="00BE7F68">
              <w:rPr>
                <w:rFonts w:eastAsia="Garamond" w:cs="Times New Roman"/>
                <w:i/>
                <w:color w:val="auto"/>
                <w:sz w:val="22"/>
              </w:rPr>
              <w:t>Representatividade das devoluções nas vendas da indústria doméstica, nos termos de defesa comercial (%)</w:t>
            </w:r>
          </w:p>
          <w:p w14:paraId="5DB152AA" w14:textId="77777777" w:rsidR="00D3036F" w:rsidRPr="00BE7F68" w:rsidRDefault="00D3036F" w:rsidP="00D3036F">
            <w:pPr>
              <w:pStyle w:val="PargrafodaLista"/>
              <w:numPr>
                <w:ilvl w:val="1"/>
                <w:numId w:val="9"/>
              </w:numPr>
              <w:pBdr>
                <w:top w:val="nil"/>
                <w:left w:val="nil"/>
                <w:bottom w:val="nil"/>
                <w:right w:val="nil"/>
                <w:between w:val="nil"/>
              </w:pBdr>
              <w:spacing w:line="240" w:lineRule="auto"/>
              <w:contextualSpacing w:val="0"/>
              <w:rPr>
                <w:rFonts w:eastAsia="Garamond" w:cs="Times New Roman"/>
                <w:i/>
                <w:color w:val="auto"/>
                <w:sz w:val="22"/>
              </w:rPr>
            </w:pPr>
            <w:r w:rsidRPr="00BE7F68">
              <w:rPr>
                <w:rFonts w:eastAsia="Garamond" w:cs="Times New Roman"/>
                <w:i/>
                <w:color w:val="auto"/>
                <w:sz w:val="22"/>
              </w:rPr>
              <w:t>Evidências de atrasos de tecnologia do produto sob análise da indústria doméstica em comparação com os produtos importados</w:t>
            </w:r>
          </w:p>
          <w:p w14:paraId="76BD2BAE" w14:textId="77777777" w:rsidR="00D3036F" w:rsidRPr="00BE7F68" w:rsidRDefault="00D3036F" w:rsidP="00D3036F">
            <w:pPr>
              <w:pStyle w:val="PargrafodaLista"/>
              <w:numPr>
                <w:ilvl w:val="1"/>
                <w:numId w:val="9"/>
              </w:numPr>
              <w:pBdr>
                <w:top w:val="nil"/>
                <w:left w:val="nil"/>
                <w:bottom w:val="nil"/>
                <w:right w:val="nil"/>
                <w:between w:val="nil"/>
              </w:pBdr>
              <w:spacing w:line="240" w:lineRule="auto"/>
              <w:contextualSpacing w:val="0"/>
              <w:rPr>
                <w:rFonts w:eastAsia="Garamond" w:cs="Times New Roman"/>
                <w:i/>
                <w:color w:val="auto"/>
                <w:sz w:val="22"/>
              </w:rPr>
            </w:pPr>
            <w:r w:rsidRPr="00BE7F68">
              <w:rPr>
                <w:rFonts w:eastAsia="Garamond" w:cs="Times New Roman"/>
                <w:i/>
                <w:color w:val="auto"/>
                <w:sz w:val="22"/>
              </w:rPr>
              <w:t>Evidências de diferenças de qualidade do produto sob análise da indústria doméstica em comparação com os produtos importados (ex. existência de custos de adaptação da planta produtiva do cliente)</w:t>
            </w:r>
          </w:p>
          <w:p w14:paraId="5241AFF1" w14:textId="77777777" w:rsidR="00D3036F" w:rsidRPr="00861FC2"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color w:val="FF0000"/>
                <w:szCs w:val="24"/>
              </w:rPr>
            </w:pPr>
            <w:r w:rsidRPr="00BE7F68">
              <w:rPr>
                <w:rFonts w:eastAsia="Garamond" w:cs="Times New Roman"/>
                <w:i/>
                <w:color w:val="auto"/>
                <w:sz w:val="22"/>
              </w:rPr>
              <w:t>Condutas anticompetitivas coordenadas e unilaterais</w:t>
            </w:r>
          </w:p>
        </w:tc>
        <w:tc>
          <w:tcPr>
            <w:tcW w:w="1985" w:type="dxa"/>
            <w:tcBorders>
              <w:top w:val="single" w:sz="4" w:space="0" w:color="auto"/>
              <w:left w:val="single" w:sz="4" w:space="0" w:color="auto"/>
              <w:bottom w:val="single" w:sz="4" w:space="0" w:color="auto"/>
              <w:right w:val="single" w:sz="4" w:space="0" w:color="auto"/>
            </w:tcBorders>
            <w:vAlign w:val="center"/>
          </w:tcPr>
          <w:p w14:paraId="3D078299"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c>
          <w:tcPr>
            <w:tcW w:w="1834" w:type="dxa"/>
            <w:tcBorders>
              <w:top w:val="single" w:sz="4" w:space="0" w:color="auto"/>
              <w:left w:val="single" w:sz="4" w:space="0" w:color="auto"/>
              <w:bottom w:val="single" w:sz="4" w:space="0" w:color="auto"/>
              <w:right w:val="single" w:sz="4" w:space="0" w:color="auto"/>
            </w:tcBorders>
            <w:vAlign w:val="center"/>
          </w:tcPr>
          <w:p w14:paraId="6429FD73"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7165554F" w14:textId="77777777" w:rsidTr="00824360">
        <w:trPr>
          <w:trHeight w:val="186"/>
          <w:jc w:val="center"/>
        </w:trPr>
        <w:tc>
          <w:tcPr>
            <w:tcW w:w="7792" w:type="dxa"/>
            <w:gridSpan w:val="2"/>
            <w:tcBorders>
              <w:left w:val="single" w:sz="4" w:space="0" w:color="auto"/>
              <w:right w:val="single" w:sz="4" w:space="0" w:color="auto"/>
            </w:tcBorders>
            <w:shd w:val="solid" w:color="auto" w:fill="auto"/>
            <w:vAlign w:val="center"/>
          </w:tcPr>
          <w:p w14:paraId="54DC7A77" w14:textId="77777777" w:rsidR="00D3036F" w:rsidRDefault="00D3036F" w:rsidP="00824360">
            <w:pPr>
              <w:spacing w:line="240" w:lineRule="auto"/>
              <w:ind w:firstLine="0"/>
              <w:jc w:val="left"/>
              <w:rPr>
                <w:rFonts w:eastAsia="Garamond" w:cs="Times New Roman"/>
                <w:szCs w:val="24"/>
              </w:rPr>
            </w:pPr>
            <w:r>
              <w:rPr>
                <w:rFonts w:eastAsia="Garamond" w:cs="Times New Roman"/>
                <w:b/>
                <w:color w:val="FFFFFF" w:themeColor="background1"/>
                <w:szCs w:val="24"/>
              </w:rPr>
              <w:t>IV. Impactos da medida de defesa comercial na dinâmica do mercado nacional</w:t>
            </w:r>
          </w:p>
        </w:tc>
        <w:tc>
          <w:tcPr>
            <w:tcW w:w="1834" w:type="dxa"/>
            <w:tcBorders>
              <w:left w:val="single" w:sz="4" w:space="0" w:color="auto"/>
              <w:right w:val="single" w:sz="4" w:space="0" w:color="auto"/>
            </w:tcBorders>
            <w:shd w:val="solid" w:color="auto" w:fill="auto"/>
            <w:vAlign w:val="center"/>
          </w:tcPr>
          <w:p w14:paraId="295307F7" w14:textId="77777777" w:rsidR="00D3036F" w:rsidRDefault="00D3036F" w:rsidP="00824360">
            <w:pPr>
              <w:spacing w:line="240" w:lineRule="auto"/>
              <w:ind w:firstLine="0"/>
              <w:jc w:val="left"/>
              <w:rPr>
                <w:rFonts w:eastAsia="Garamond" w:cs="Times New Roman"/>
                <w:b/>
                <w:color w:val="FFFFFF" w:themeColor="background1"/>
                <w:szCs w:val="24"/>
              </w:rPr>
            </w:pPr>
          </w:p>
        </w:tc>
      </w:tr>
      <w:tr w:rsidR="00D3036F" w14:paraId="60ED168F" w14:textId="77777777" w:rsidTr="00824360">
        <w:trPr>
          <w:trHeight w:val="1613"/>
          <w:jc w:val="center"/>
        </w:trPr>
        <w:tc>
          <w:tcPr>
            <w:tcW w:w="5807" w:type="dxa"/>
            <w:tcBorders>
              <w:left w:val="single" w:sz="4" w:space="0" w:color="auto"/>
              <w:bottom w:val="single" w:sz="4" w:space="0" w:color="auto"/>
              <w:right w:val="single" w:sz="4" w:space="0" w:color="auto"/>
            </w:tcBorders>
            <w:vAlign w:val="center"/>
          </w:tcPr>
          <w:p w14:paraId="5786BBF2" w14:textId="77777777" w:rsidR="00D3036F" w:rsidRPr="0021037A" w:rsidRDefault="00D3036F" w:rsidP="00824360">
            <w:pPr>
              <w:spacing w:line="240" w:lineRule="auto"/>
              <w:ind w:firstLine="0"/>
              <w:rPr>
                <w:rFonts w:eastAsia="Garamond" w:cs="Times New Roman"/>
                <w:b/>
                <w:color w:val="000000"/>
                <w:szCs w:val="24"/>
              </w:rPr>
            </w:pPr>
            <w:r w:rsidRPr="0021037A">
              <w:rPr>
                <w:rFonts w:eastAsia="Garamond" w:cs="Times New Roman"/>
                <w:b/>
                <w:color w:val="000000"/>
                <w:szCs w:val="24"/>
              </w:rPr>
              <w:t>IV.1 Impactos na indústria doméstica</w:t>
            </w:r>
          </w:p>
          <w:p w14:paraId="66E523AE"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7F96B235" w14:textId="77777777" w:rsidR="00D3036F" w:rsidRPr="00D55FDE"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D55FDE">
              <w:rPr>
                <w:rFonts w:eastAsia="Garamond" w:cs="Times New Roman"/>
                <w:i/>
                <w:color w:val="auto"/>
                <w:sz w:val="22"/>
              </w:rPr>
              <w:t>Investimentos da indústria doméstica em capacidade produtiva e em pesquisa e desenvolvimento/inovação</w:t>
            </w:r>
          </w:p>
          <w:p w14:paraId="533F9FF3" w14:textId="77777777" w:rsidR="00D3036F" w:rsidRPr="00D55FDE"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D55FDE">
              <w:rPr>
                <w:rFonts w:eastAsia="Garamond" w:cs="Times New Roman"/>
                <w:i/>
                <w:color w:val="auto"/>
                <w:sz w:val="22"/>
              </w:rPr>
              <w:t>Nível de emprego/produtividade e elementos de desenvolvimento regional</w:t>
            </w:r>
          </w:p>
          <w:p w14:paraId="4AE8217E" w14:textId="77777777" w:rsidR="00D3036F" w:rsidRPr="006041EB"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FF0000"/>
                <w:sz w:val="22"/>
              </w:rPr>
            </w:pPr>
            <w:r w:rsidRPr="00D55FDE">
              <w:rPr>
                <w:rFonts w:eastAsia="Garamond" w:cs="Times New Roman"/>
                <w:i/>
                <w:color w:val="auto"/>
                <w:sz w:val="22"/>
              </w:rPr>
              <w:t>Evolução dos indicadores da indústria doméstica ao longo da vigência da medida (aplicável apenas aos casos de revisão), nos termos de defesa comercial</w:t>
            </w:r>
          </w:p>
        </w:tc>
        <w:tc>
          <w:tcPr>
            <w:tcW w:w="1985" w:type="dxa"/>
            <w:tcBorders>
              <w:left w:val="single" w:sz="4" w:space="0" w:color="auto"/>
              <w:bottom w:val="single" w:sz="4" w:space="0" w:color="auto"/>
              <w:right w:val="single" w:sz="4" w:space="0" w:color="auto"/>
            </w:tcBorders>
            <w:vAlign w:val="center"/>
          </w:tcPr>
          <w:p w14:paraId="4659AE0C" w14:textId="77777777" w:rsidR="00D3036F" w:rsidRDefault="00D3036F" w:rsidP="00824360">
            <w:pPr>
              <w:spacing w:line="240" w:lineRule="auto"/>
              <w:ind w:firstLine="0"/>
              <w:jc w:val="center"/>
              <w:rPr>
                <w:rFonts w:eastAsia="Garamond" w:cs="Times New Roman"/>
                <w:szCs w:val="24"/>
              </w:rPr>
            </w:pPr>
          </w:p>
        </w:tc>
        <w:tc>
          <w:tcPr>
            <w:tcW w:w="1834" w:type="dxa"/>
            <w:tcBorders>
              <w:left w:val="single" w:sz="4" w:space="0" w:color="auto"/>
              <w:bottom w:val="single" w:sz="4" w:space="0" w:color="auto"/>
              <w:right w:val="single" w:sz="4" w:space="0" w:color="auto"/>
            </w:tcBorders>
            <w:vAlign w:val="center"/>
          </w:tcPr>
          <w:p w14:paraId="7976E2F0"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3DA5F57A" w14:textId="77777777" w:rsidTr="00824360">
        <w:trPr>
          <w:trHeight w:val="1985"/>
          <w:jc w:val="center"/>
        </w:trPr>
        <w:tc>
          <w:tcPr>
            <w:tcW w:w="5807" w:type="dxa"/>
            <w:tcBorders>
              <w:top w:val="single" w:sz="4" w:space="0" w:color="auto"/>
              <w:left w:val="single" w:sz="4" w:space="0" w:color="auto"/>
              <w:bottom w:val="single" w:sz="4" w:space="0" w:color="auto"/>
              <w:right w:val="single" w:sz="4" w:space="0" w:color="auto"/>
            </w:tcBorders>
            <w:vAlign w:val="center"/>
          </w:tcPr>
          <w:p w14:paraId="02875215" w14:textId="77777777" w:rsidR="00D3036F" w:rsidRPr="0021037A" w:rsidRDefault="00D3036F" w:rsidP="00824360">
            <w:pPr>
              <w:spacing w:line="240" w:lineRule="auto"/>
              <w:ind w:firstLine="0"/>
              <w:rPr>
                <w:rFonts w:eastAsia="Garamond" w:cs="Times New Roman"/>
                <w:b/>
                <w:color w:val="000000"/>
                <w:szCs w:val="24"/>
              </w:rPr>
            </w:pPr>
            <w:r w:rsidRPr="0021037A">
              <w:rPr>
                <w:rFonts w:eastAsia="Garamond" w:cs="Times New Roman"/>
                <w:b/>
                <w:color w:val="000000"/>
                <w:szCs w:val="24"/>
              </w:rPr>
              <w:t>IV.2 Impactos na cadeia a montante</w:t>
            </w:r>
          </w:p>
          <w:p w14:paraId="1C6492D9"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5962508C" w14:textId="77777777" w:rsidR="00D3036F" w:rsidRPr="00670BD4"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670BD4">
              <w:rPr>
                <w:rFonts w:eastAsia="Garamond" w:cs="Times New Roman"/>
                <w:i/>
                <w:color w:val="auto"/>
                <w:sz w:val="22"/>
              </w:rPr>
              <w:t>Investimentos do elo a montante em capacidade produtiva e em pesquisa e desenvolvimento/inovação</w:t>
            </w:r>
          </w:p>
          <w:p w14:paraId="2BB8E0CE" w14:textId="77777777" w:rsidR="00D3036F" w:rsidRPr="00670BD4"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670BD4">
              <w:rPr>
                <w:rFonts w:eastAsia="Garamond" w:cs="Times New Roman"/>
                <w:i/>
                <w:color w:val="auto"/>
                <w:sz w:val="22"/>
              </w:rPr>
              <w:t xml:space="preserve"> Nível de emprego/produtividade e elementos de desenvolvimento regional </w:t>
            </w:r>
          </w:p>
          <w:p w14:paraId="6E94FF6C" w14:textId="77777777" w:rsidR="00D3036F" w:rsidRPr="00670BD4"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670BD4">
              <w:rPr>
                <w:rFonts w:eastAsia="Garamond" w:cs="Times New Roman"/>
                <w:i/>
                <w:color w:val="auto"/>
                <w:sz w:val="22"/>
              </w:rPr>
              <w:t>Grau de dependência do elo a montante em relação ao fornecimento à indústria doméstica</w:t>
            </w:r>
          </w:p>
          <w:p w14:paraId="6517C21A" w14:textId="77777777" w:rsidR="00D3036F" w:rsidRPr="006041EB"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color w:val="FF0000"/>
                <w:szCs w:val="24"/>
              </w:rPr>
            </w:pPr>
            <w:r w:rsidRPr="00670BD4">
              <w:rPr>
                <w:rFonts w:eastAsia="Garamond" w:cs="Times New Roman"/>
                <w:i/>
                <w:color w:val="auto"/>
                <w:sz w:val="22"/>
              </w:rPr>
              <w:t>Condições de mercado no elo a montante que podem prejudicar em duplicidade os elos a jusante (ex. existência de outras medidas de defesa comercial a montante)</w:t>
            </w:r>
          </w:p>
        </w:tc>
        <w:tc>
          <w:tcPr>
            <w:tcW w:w="1985" w:type="dxa"/>
            <w:tcBorders>
              <w:top w:val="single" w:sz="4" w:space="0" w:color="auto"/>
              <w:left w:val="single" w:sz="4" w:space="0" w:color="auto"/>
              <w:bottom w:val="single" w:sz="4" w:space="0" w:color="auto"/>
              <w:right w:val="single" w:sz="4" w:space="0" w:color="auto"/>
            </w:tcBorders>
            <w:vAlign w:val="center"/>
          </w:tcPr>
          <w:p w14:paraId="5B7E40A0" w14:textId="77777777" w:rsidR="00D3036F" w:rsidRDefault="00D3036F" w:rsidP="00824360">
            <w:pPr>
              <w:spacing w:line="240" w:lineRule="auto"/>
              <w:ind w:firstLine="0"/>
              <w:jc w:val="center"/>
              <w:rPr>
                <w:rFonts w:eastAsia="Garamond" w:cs="Times New Roman"/>
                <w:szCs w:val="24"/>
              </w:rPr>
            </w:pPr>
          </w:p>
        </w:tc>
        <w:tc>
          <w:tcPr>
            <w:tcW w:w="1834" w:type="dxa"/>
            <w:tcBorders>
              <w:top w:val="single" w:sz="4" w:space="0" w:color="auto"/>
              <w:left w:val="single" w:sz="4" w:space="0" w:color="auto"/>
              <w:bottom w:val="single" w:sz="4" w:space="0" w:color="auto"/>
              <w:right w:val="single" w:sz="4" w:space="0" w:color="auto"/>
            </w:tcBorders>
            <w:vAlign w:val="center"/>
          </w:tcPr>
          <w:p w14:paraId="15822A85"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369FB798" w14:textId="77777777" w:rsidTr="00824360">
        <w:trPr>
          <w:trHeight w:val="2885"/>
          <w:jc w:val="center"/>
        </w:trPr>
        <w:tc>
          <w:tcPr>
            <w:tcW w:w="5807" w:type="dxa"/>
            <w:tcBorders>
              <w:top w:val="single" w:sz="4" w:space="0" w:color="auto"/>
              <w:left w:val="single" w:sz="4" w:space="0" w:color="auto"/>
              <w:bottom w:val="single" w:sz="4" w:space="0" w:color="auto"/>
              <w:right w:val="single" w:sz="4" w:space="0" w:color="auto"/>
            </w:tcBorders>
            <w:vAlign w:val="center"/>
          </w:tcPr>
          <w:p w14:paraId="22C715E6" w14:textId="77777777" w:rsidR="00D3036F" w:rsidRPr="0021037A" w:rsidRDefault="00D3036F" w:rsidP="00824360">
            <w:pPr>
              <w:spacing w:line="240" w:lineRule="auto"/>
              <w:ind w:firstLine="0"/>
              <w:rPr>
                <w:rFonts w:eastAsia="Garamond" w:cs="Times New Roman"/>
                <w:b/>
                <w:color w:val="000000"/>
                <w:szCs w:val="24"/>
              </w:rPr>
            </w:pPr>
            <w:r w:rsidRPr="0021037A">
              <w:rPr>
                <w:rFonts w:eastAsia="Garamond" w:cs="Times New Roman"/>
                <w:b/>
                <w:color w:val="000000"/>
                <w:szCs w:val="24"/>
              </w:rPr>
              <w:lastRenderedPageBreak/>
              <w:t>IV.3 Impactos na cadeia a jusante</w:t>
            </w:r>
          </w:p>
          <w:p w14:paraId="4A9FE475" w14:textId="77777777" w:rsidR="00D3036F" w:rsidRPr="001542F5" w:rsidRDefault="00D3036F" w:rsidP="00824360">
            <w:pPr>
              <w:spacing w:line="240" w:lineRule="auto"/>
              <w:ind w:firstLine="0"/>
              <w:rPr>
                <w:rFonts w:eastAsia="Garamond" w:cs="Times New Roman"/>
                <w:i/>
                <w:color w:val="auto"/>
                <w:sz w:val="22"/>
              </w:rPr>
            </w:pPr>
            <w:r w:rsidRPr="001542F5">
              <w:rPr>
                <w:rFonts w:eastAsia="Garamond" w:cs="Times New Roman"/>
                <w:i/>
                <w:color w:val="auto"/>
                <w:sz w:val="22"/>
              </w:rPr>
              <w:t>Lista exemplificativa</w:t>
            </w:r>
            <w:r>
              <w:rPr>
                <w:rFonts w:eastAsia="Garamond" w:cs="Times New Roman"/>
                <w:i/>
                <w:color w:val="auto"/>
                <w:sz w:val="22"/>
              </w:rPr>
              <w:t xml:space="preserve"> e não exaustiva</w:t>
            </w:r>
            <w:r w:rsidRPr="001542F5">
              <w:rPr>
                <w:rFonts w:eastAsia="Garamond" w:cs="Times New Roman"/>
                <w:i/>
                <w:color w:val="auto"/>
                <w:sz w:val="22"/>
              </w:rPr>
              <w:t xml:space="preserve"> de elementos:</w:t>
            </w:r>
          </w:p>
          <w:p w14:paraId="730C366A" w14:textId="77777777" w:rsidR="00D3036F" w:rsidRPr="00EB639B"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EB639B">
              <w:rPr>
                <w:rFonts w:eastAsia="Garamond" w:cs="Times New Roman"/>
                <w:i/>
                <w:color w:val="auto"/>
                <w:sz w:val="22"/>
              </w:rPr>
              <w:t>Investimentos do elo a jusante em capacidade produtiva e em pesquisa e desenvolvimento/inovação</w:t>
            </w:r>
          </w:p>
          <w:p w14:paraId="36907F83" w14:textId="77777777" w:rsidR="00D3036F" w:rsidRPr="00EB639B"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EB639B">
              <w:rPr>
                <w:rFonts w:eastAsia="Garamond" w:cs="Times New Roman"/>
                <w:i/>
                <w:color w:val="auto"/>
                <w:sz w:val="22"/>
              </w:rPr>
              <w:t>Nível de emprego/produtividade e elementos de desenvolvimento regional</w:t>
            </w:r>
          </w:p>
          <w:p w14:paraId="607899EE" w14:textId="77777777" w:rsidR="00D3036F" w:rsidRPr="00670BD4"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670BD4">
              <w:rPr>
                <w:rFonts w:eastAsia="Garamond" w:cs="Times New Roman"/>
                <w:i/>
                <w:color w:val="auto"/>
                <w:sz w:val="22"/>
              </w:rPr>
              <w:t xml:space="preserve">Grau de dependência do elo a </w:t>
            </w:r>
            <w:r>
              <w:rPr>
                <w:rFonts w:eastAsia="Garamond" w:cs="Times New Roman"/>
                <w:i/>
                <w:color w:val="auto"/>
                <w:sz w:val="22"/>
              </w:rPr>
              <w:t>jusante</w:t>
            </w:r>
            <w:r w:rsidRPr="00670BD4">
              <w:rPr>
                <w:rFonts w:eastAsia="Garamond" w:cs="Times New Roman"/>
                <w:i/>
                <w:color w:val="auto"/>
                <w:sz w:val="22"/>
              </w:rPr>
              <w:t xml:space="preserve"> em relação à </w:t>
            </w:r>
            <w:r>
              <w:rPr>
                <w:rFonts w:eastAsia="Garamond" w:cs="Times New Roman"/>
                <w:i/>
                <w:color w:val="auto"/>
                <w:sz w:val="22"/>
              </w:rPr>
              <w:t xml:space="preserve">distribuição da </w:t>
            </w:r>
            <w:r w:rsidRPr="00670BD4">
              <w:rPr>
                <w:rFonts w:eastAsia="Garamond" w:cs="Times New Roman"/>
                <w:i/>
                <w:color w:val="auto"/>
                <w:sz w:val="22"/>
              </w:rPr>
              <w:t>indústria doméstica</w:t>
            </w:r>
          </w:p>
          <w:p w14:paraId="0DB63B65" w14:textId="77777777" w:rsidR="00D3036F" w:rsidRPr="00EB639B"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EB639B">
              <w:rPr>
                <w:rFonts w:eastAsia="Garamond" w:cs="Times New Roman"/>
                <w:i/>
                <w:color w:val="auto"/>
                <w:sz w:val="22"/>
              </w:rPr>
              <w:t xml:space="preserve">Representatividade do custo do produto sob análise no elo a jusante </w:t>
            </w:r>
          </w:p>
          <w:p w14:paraId="231155CE" w14:textId="77777777" w:rsidR="00D3036F" w:rsidRPr="00EB639B"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i/>
                <w:color w:val="auto"/>
                <w:sz w:val="22"/>
              </w:rPr>
            </w:pPr>
            <w:r w:rsidRPr="00EB639B">
              <w:rPr>
                <w:rFonts w:eastAsia="Garamond" w:cs="Times New Roman"/>
                <w:i/>
                <w:color w:val="auto"/>
                <w:sz w:val="22"/>
              </w:rPr>
              <w:t xml:space="preserve">Riscos de aumento de seus preços, ou redução da produção, ou a redução de opções aos consumidores, ou a perda de competitividade (nacional e/ou internacional), com a consequente redução do volume de vendas, do faturamento e dos resultados financeiros do elo seguinte. </w:t>
            </w:r>
          </w:p>
          <w:p w14:paraId="6B157795" w14:textId="77777777" w:rsidR="00D3036F" w:rsidRPr="006041EB" w:rsidRDefault="00D3036F" w:rsidP="00D3036F">
            <w:pPr>
              <w:pStyle w:val="PargrafodaLista"/>
              <w:numPr>
                <w:ilvl w:val="0"/>
                <w:numId w:val="9"/>
              </w:numPr>
              <w:pBdr>
                <w:top w:val="nil"/>
                <w:left w:val="nil"/>
                <w:bottom w:val="nil"/>
                <w:right w:val="nil"/>
                <w:between w:val="nil"/>
              </w:pBdr>
              <w:spacing w:line="240" w:lineRule="auto"/>
              <w:contextualSpacing w:val="0"/>
              <w:rPr>
                <w:rFonts w:eastAsia="Garamond" w:cs="Times New Roman"/>
                <w:color w:val="FF0000"/>
                <w:szCs w:val="24"/>
              </w:rPr>
            </w:pPr>
            <w:r w:rsidRPr="00EB639B">
              <w:rPr>
                <w:rFonts w:eastAsia="Garamond" w:cs="Times New Roman"/>
                <w:i/>
                <w:color w:val="auto"/>
                <w:sz w:val="22"/>
              </w:rPr>
              <w:t>Dados de elasticidade-preço da demanda</w:t>
            </w:r>
          </w:p>
        </w:tc>
        <w:tc>
          <w:tcPr>
            <w:tcW w:w="1985" w:type="dxa"/>
            <w:tcBorders>
              <w:top w:val="single" w:sz="4" w:space="0" w:color="auto"/>
              <w:left w:val="single" w:sz="4" w:space="0" w:color="auto"/>
              <w:bottom w:val="single" w:sz="4" w:space="0" w:color="auto"/>
              <w:right w:val="single" w:sz="4" w:space="0" w:color="auto"/>
            </w:tcBorders>
            <w:vAlign w:val="center"/>
          </w:tcPr>
          <w:p w14:paraId="31996E5D" w14:textId="77777777" w:rsidR="00D3036F" w:rsidRDefault="00D3036F" w:rsidP="00824360">
            <w:pPr>
              <w:spacing w:line="240" w:lineRule="auto"/>
              <w:ind w:firstLine="0"/>
              <w:jc w:val="center"/>
              <w:rPr>
                <w:rFonts w:eastAsia="Garamond" w:cs="Times New Roman"/>
                <w:szCs w:val="24"/>
              </w:rPr>
            </w:pPr>
          </w:p>
        </w:tc>
        <w:tc>
          <w:tcPr>
            <w:tcW w:w="1834" w:type="dxa"/>
            <w:tcBorders>
              <w:top w:val="single" w:sz="4" w:space="0" w:color="auto"/>
              <w:left w:val="single" w:sz="4" w:space="0" w:color="auto"/>
              <w:bottom w:val="single" w:sz="4" w:space="0" w:color="auto"/>
              <w:right w:val="single" w:sz="4" w:space="0" w:color="auto"/>
            </w:tcBorders>
            <w:vAlign w:val="center"/>
          </w:tcPr>
          <w:p w14:paraId="662BBA87" w14:textId="77777777" w:rsidR="00D3036F" w:rsidRDefault="00D3036F" w:rsidP="00824360">
            <w:pPr>
              <w:spacing w:line="240" w:lineRule="auto"/>
              <w:ind w:firstLine="0"/>
              <w:jc w:val="center"/>
              <w:rPr>
                <w:rFonts w:eastAsia="Garamond" w:cs="Times New Roman"/>
                <w:szCs w:val="24"/>
              </w:rPr>
            </w:pPr>
            <w:r w:rsidRPr="006F6D23">
              <w:rPr>
                <w:rFonts w:eastAsia="Garamond" w:cs="Times New Roman"/>
                <w:szCs w:val="24"/>
              </w:rPr>
              <w:t>X</w:t>
            </w:r>
          </w:p>
        </w:tc>
      </w:tr>
      <w:tr w:rsidR="00D3036F" w14:paraId="256BEB3C" w14:textId="77777777" w:rsidTr="00824360">
        <w:trPr>
          <w:trHeight w:val="186"/>
          <w:jc w:val="center"/>
        </w:trPr>
        <w:tc>
          <w:tcPr>
            <w:tcW w:w="7792" w:type="dxa"/>
            <w:gridSpan w:val="2"/>
            <w:tcBorders>
              <w:left w:val="single" w:sz="4" w:space="0" w:color="auto"/>
              <w:right w:val="single" w:sz="4" w:space="0" w:color="auto"/>
            </w:tcBorders>
            <w:shd w:val="solid" w:color="auto" w:fill="auto"/>
            <w:vAlign w:val="center"/>
          </w:tcPr>
          <w:p w14:paraId="285300EF" w14:textId="77777777" w:rsidR="00D3036F" w:rsidRPr="00916FCC" w:rsidRDefault="00D3036F" w:rsidP="00824360">
            <w:pPr>
              <w:spacing w:line="240" w:lineRule="auto"/>
              <w:ind w:firstLine="0"/>
              <w:jc w:val="left"/>
              <w:rPr>
                <w:rFonts w:eastAsia="Garamond" w:cs="Times New Roman"/>
                <w:b/>
                <w:color w:val="FFFFFF" w:themeColor="background1"/>
                <w:szCs w:val="24"/>
              </w:rPr>
            </w:pPr>
            <w:r w:rsidRPr="00916FCC">
              <w:rPr>
                <w:rFonts w:eastAsia="Garamond" w:cs="Times New Roman"/>
                <w:b/>
                <w:color w:val="FFFFFF" w:themeColor="background1"/>
                <w:szCs w:val="24"/>
              </w:rPr>
              <w:t>Anexo</w:t>
            </w:r>
          </w:p>
        </w:tc>
        <w:tc>
          <w:tcPr>
            <w:tcW w:w="1834" w:type="dxa"/>
            <w:tcBorders>
              <w:left w:val="single" w:sz="4" w:space="0" w:color="auto"/>
              <w:right w:val="single" w:sz="4" w:space="0" w:color="auto"/>
            </w:tcBorders>
            <w:shd w:val="solid" w:color="auto" w:fill="auto"/>
            <w:vAlign w:val="center"/>
          </w:tcPr>
          <w:p w14:paraId="1357ABF1" w14:textId="77777777" w:rsidR="00D3036F" w:rsidRPr="00916FCC" w:rsidRDefault="00D3036F" w:rsidP="00824360">
            <w:pPr>
              <w:spacing w:line="240" w:lineRule="auto"/>
              <w:ind w:firstLine="0"/>
              <w:jc w:val="left"/>
              <w:rPr>
                <w:rFonts w:eastAsia="Garamond" w:cs="Times New Roman"/>
                <w:b/>
                <w:color w:val="FFFFFF" w:themeColor="background1"/>
                <w:szCs w:val="24"/>
              </w:rPr>
            </w:pPr>
          </w:p>
        </w:tc>
      </w:tr>
      <w:tr w:rsidR="00D3036F" w14:paraId="1F303DCD" w14:textId="77777777" w:rsidTr="00824360">
        <w:trPr>
          <w:trHeight w:val="186"/>
          <w:jc w:val="center"/>
        </w:trPr>
        <w:tc>
          <w:tcPr>
            <w:tcW w:w="5807" w:type="dxa"/>
            <w:tcBorders>
              <w:left w:val="single" w:sz="4" w:space="0" w:color="auto"/>
              <w:bottom w:val="single" w:sz="4" w:space="0" w:color="auto"/>
              <w:right w:val="single" w:sz="4" w:space="0" w:color="auto"/>
            </w:tcBorders>
            <w:vAlign w:val="center"/>
          </w:tcPr>
          <w:p w14:paraId="382C167E" w14:textId="77777777" w:rsidR="00D3036F" w:rsidRDefault="00D3036F" w:rsidP="00824360">
            <w:pPr>
              <w:spacing w:line="240" w:lineRule="auto"/>
              <w:ind w:firstLine="0"/>
              <w:rPr>
                <w:rFonts w:eastAsia="Garamond" w:cs="Times New Roman"/>
                <w:color w:val="000000"/>
                <w:szCs w:val="24"/>
              </w:rPr>
            </w:pPr>
            <w:r>
              <w:t>Simulação de impactos</w:t>
            </w:r>
          </w:p>
        </w:tc>
        <w:tc>
          <w:tcPr>
            <w:tcW w:w="1985" w:type="dxa"/>
            <w:tcBorders>
              <w:left w:val="single" w:sz="4" w:space="0" w:color="auto"/>
              <w:bottom w:val="single" w:sz="4" w:space="0" w:color="auto"/>
              <w:right w:val="single" w:sz="4" w:space="0" w:color="auto"/>
            </w:tcBorders>
            <w:vAlign w:val="center"/>
          </w:tcPr>
          <w:p w14:paraId="0E67B45F" w14:textId="77777777" w:rsidR="00D3036F" w:rsidRDefault="00D3036F" w:rsidP="00824360">
            <w:pPr>
              <w:spacing w:line="240" w:lineRule="auto"/>
              <w:ind w:firstLine="0"/>
              <w:jc w:val="center"/>
              <w:rPr>
                <w:rFonts w:eastAsia="Garamond" w:cs="Times New Roman"/>
                <w:szCs w:val="24"/>
              </w:rPr>
            </w:pPr>
          </w:p>
        </w:tc>
        <w:tc>
          <w:tcPr>
            <w:tcW w:w="1834" w:type="dxa"/>
            <w:tcBorders>
              <w:left w:val="single" w:sz="4" w:space="0" w:color="auto"/>
              <w:bottom w:val="single" w:sz="4" w:space="0" w:color="auto"/>
              <w:right w:val="single" w:sz="4" w:space="0" w:color="auto"/>
            </w:tcBorders>
            <w:vAlign w:val="center"/>
          </w:tcPr>
          <w:p w14:paraId="3B7F56C3" w14:textId="77777777" w:rsidR="00D3036F" w:rsidRDefault="00D3036F" w:rsidP="00824360">
            <w:pPr>
              <w:spacing w:line="240" w:lineRule="auto"/>
              <w:ind w:firstLine="0"/>
              <w:jc w:val="center"/>
              <w:rPr>
                <w:rFonts w:eastAsia="Garamond" w:cs="Times New Roman"/>
                <w:szCs w:val="24"/>
              </w:rPr>
            </w:pPr>
            <w:r>
              <w:rPr>
                <w:rFonts w:eastAsia="Garamond" w:cs="Times New Roman"/>
                <w:szCs w:val="24"/>
              </w:rPr>
              <w:t>X</w:t>
            </w:r>
          </w:p>
        </w:tc>
      </w:tr>
    </w:tbl>
    <w:p w14:paraId="18BF957A" w14:textId="77777777" w:rsidR="00625A48" w:rsidRDefault="00625A48"/>
    <w:sectPr w:rsidR="00625A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5195" w14:textId="77777777" w:rsidR="00924DD4" w:rsidRDefault="00924DD4" w:rsidP="00D3036F">
      <w:pPr>
        <w:spacing w:line="240" w:lineRule="auto"/>
      </w:pPr>
      <w:r>
        <w:separator/>
      </w:r>
    </w:p>
  </w:endnote>
  <w:endnote w:type="continuationSeparator" w:id="0">
    <w:p w14:paraId="442D0CCE" w14:textId="77777777" w:rsidR="00924DD4" w:rsidRDefault="00924DD4" w:rsidP="00D30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B5A3" w14:textId="77777777" w:rsidR="00924DD4" w:rsidRDefault="00924DD4" w:rsidP="00D3036F">
      <w:pPr>
        <w:spacing w:line="240" w:lineRule="auto"/>
      </w:pPr>
      <w:r>
        <w:separator/>
      </w:r>
    </w:p>
  </w:footnote>
  <w:footnote w:type="continuationSeparator" w:id="0">
    <w:p w14:paraId="2B95DD4B" w14:textId="77777777" w:rsidR="00924DD4" w:rsidRDefault="00924DD4" w:rsidP="00D3036F">
      <w:pPr>
        <w:spacing w:line="240" w:lineRule="auto"/>
      </w:pPr>
      <w:r>
        <w:continuationSeparator/>
      </w:r>
    </w:p>
  </w:footnote>
  <w:footnote w:id="1">
    <w:p w14:paraId="78B7023D" w14:textId="77777777" w:rsidR="00D3036F" w:rsidRPr="00E258F9" w:rsidRDefault="00D3036F" w:rsidP="00D3036F">
      <w:pPr>
        <w:pBdr>
          <w:top w:val="nil"/>
          <w:left w:val="nil"/>
          <w:bottom w:val="nil"/>
          <w:right w:val="nil"/>
          <w:between w:val="nil"/>
        </w:pBdr>
        <w:spacing w:line="240" w:lineRule="auto"/>
        <w:ind w:firstLine="0"/>
        <w:rPr>
          <w:rFonts w:eastAsia="Garamond" w:cs="Times New Roman"/>
          <w:color w:val="000000"/>
          <w:sz w:val="20"/>
          <w:szCs w:val="20"/>
        </w:rPr>
      </w:pPr>
      <w:r w:rsidRPr="00E258F9">
        <w:rPr>
          <w:rFonts w:cs="Times New Roman"/>
          <w:sz w:val="20"/>
          <w:szCs w:val="20"/>
          <w:vertAlign w:val="superscript"/>
        </w:rPr>
        <w:footnoteRef/>
      </w:r>
      <w:r w:rsidRPr="00E258F9">
        <w:rPr>
          <w:rFonts w:eastAsia="Garamond" w:cs="Times New Roman"/>
          <w:color w:val="000000"/>
          <w:sz w:val="20"/>
          <w:szCs w:val="20"/>
        </w:rPr>
        <w:t xml:space="preserve"> CONFIDENCIAL: significa que somente o governo terá acesso às informações.</w:t>
      </w:r>
    </w:p>
  </w:footnote>
  <w:footnote w:id="2">
    <w:p w14:paraId="1FDDC544" w14:textId="77777777" w:rsidR="00D3036F" w:rsidRPr="00E258F9" w:rsidRDefault="00D3036F" w:rsidP="00D3036F">
      <w:pPr>
        <w:pBdr>
          <w:top w:val="nil"/>
          <w:left w:val="nil"/>
          <w:bottom w:val="nil"/>
          <w:right w:val="nil"/>
          <w:between w:val="nil"/>
        </w:pBdr>
        <w:spacing w:line="240" w:lineRule="auto"/>
        <w:ind w:firstLine="0"/>
        <w:rPr>
          <w:rFonts w:eastAsia="Garamond" w:cs="Times New Roman"/>
          <w:color w:val="000000"/>
          <w:sz w:val="20"/>
          <w:szCs w:val="20"/>
        </w:rPr>
      </w:pPr>
      <w:r w:rsidRPr="00E258F9">
        <w:rPr>
          <w:rFonts w:cs="Times New Roman"/>
          <w:sz w:val="20"/>
          <w:szCs w:val="20"/>
          <w:vertAlign w:val="superscript"/>
        </w:rPr>
        <w:footnoteRef/>
      </w:r>
      <w:r w:rsidRPr="00E258F9">
        <w:rPr>
          <w:rFonts w:eastAsia="Garamond" w:cs="Times New Roman"/>
          <w:color w:val="000000"/>
          <w:sz w:val="20"/>
          <w:szCs w:val="20"/>
        </w:rPr>
        <w:t xml:space="preserve"> PÚBLICO: significa que qualquer pessoa terá acesso às informações.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9B2"/>
    <w:multiLevelType w:val="multilevel"/>
    <w:tmpl w:val="D4A8BD12"/>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7A1FC9"/>
    <w:multiLevelType w:val="multilevel"/>
    <w:tmpl w:val="40BE2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7C3E02"/>
    <w:multiLevelType w:val="hybridMultilevel"/>
    <w:tmpl w:val="9C20F6E2"/>
    <w:lvl w:ilvl="0" w:tplc="CE4A8856">
      <w:numFmt w:val="bullet"/>
      <w:lvlText w:val=""/>
      <w:lvlJc w:val="left"/>
      <w:pPr>
        <w:ind w:left="720" w:hanging="360"/>
      </w:pPr>
      <w:rPr>
        <w:rFonts w:ascii="Symbol" w:eastAsia="Garamond" w:hAnsi="Symbol" w:cs="Times New Roman"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F221947"/>
    <w:multiLevelType w:val="multilevel"/>
    <w:tmpl w:val="D32CC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E42C6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61D30ED"/>
    <w:multiLevelType w:val="hybridMultilevel"/>
    <w:tmpl w:val="63647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9972060"/>
    <w:multiLevelType w:val="hybridMultilevel"/>
    <w:tmpl w:val="B69612D6"/>
    <w:lvl w:ilvl="0" w:tplc="0A0A938A">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33D435A"/>
    <w:multiLevelType w:val="hybridMultilevel"/>
    <w:tmpl w:val="17A09F7E"/>
    <w:lvl w:ilvl="0" w:tplc="17C2DDFC">
      <w:numFmt w:val="bullet"/>
      <w:lvlText w:val=""/>
      <w:lvlJc w:val="left"/>
      <w:pPr>
        <w:ind w:left="720" w:hanging="360"/>
      </w:pPr>
      <w:rPr>
        <w:rFonts w:ascii="Symbol" w:eastAsia="Garamond" w:hAnsi="Symbol" w:cs="Times New Roman"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C9542B3"/>
    <w:multiLevelType w:val="hybridMultilevel"/>
    <w:tmpl w:val="3F56184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D807B82"/>
    <w:multiLevelType w:val="hybridMultilevel"/>
    <w:tmpl w:val="8B32890A"/>
    <w:lvl w:ilvl="0" w:tplc="CA92CE9E">
      <w:numFmt w:val="bullet"/>
      <w:lvlText w:val=""/>
      <w:lvlJc w:val="left"/>
      <w:pPr>
        <w:ind w:left="720" w:hanging="360"/>
      </w:pPr>
      <w:rPr>
        <w:rFonts w:ascii="Symbol" w:eastAsia="Garamond" w:hAnsi="Symbol" w:cs="Times New Roman"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84911620">
    <w:abstractNumId w:val="0"/>
  </w:num>
  <w:num w:numId="2" w16cid:durableId="709842577">
    <w:abstractNumId w:val="1"/>
  </w:num>
  <w:num w:numId="3" w16cid:durableId="1163165004">
    <w:abstractNumId w:val="4"/>
  </w:num>
  <w:num w:numId="4" w16cid:durableId="1313290732">
    <w:abstractNumId w:val="3"/>
  </w:num>
  <w:num w:numId="5" w16cid:durableId="241254651">
    <w:abstractNumId w:val="5"/>
  </w:num>
  <w:num w:numId="6" w16cid:durableId="799494054">
    <w:abstractNumId w:val="8"/>
  </w:num>
  <w:num w:numId="7" w16cid:durableId="2010711552">
    <w:abstractNumId w:val="9"/>
  </w:num>
  <w:num w:numId="8" w16cid:durableId="575482591">
    <w:abstractNumId w:val="2"/>
  </w:num>
  <w:num w:numId="9" w16cid:durableId="1396778722">
    <w:abstractNumId w:val="7"/>
  </w:num>
  <w:num w:numId="10" w16cid:durableId="1250236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6F"/>
    <w:rsid w:val="00012EBA"/>
    <w:rsid w:val="000949C8"/>
    <w:rsid w:val="00145DDC"/>
    <w:rsid w:val="00200966"/>
    <w:rsid w:val="002218A8"/>
    <w:rsid w:val="002B6AEE"/>
    <w:rsid w:val="003C55F0"/>
    <w:rsid w:val="00573C37"/>
    <w:rsid w:val="00625A48"/>
    <w:rsid w:val="00882596"/>
    <w:rsid w:val="00924DD4"/>
    <w:rsid w:val="00950725"/>
    <w:rsid w:val="00A27333"/>
    <w:rsid w:val="00A86001"/>
    <w:rsid w:val="00CA1F6C"/>
    <w:rsid w:val="00D3036F"/>
    <w:rsid w:val="00E97A30"/>
    <w:rsid w:val="00FA09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477E"/>
  <w15:chartTrackingRefBased/>
  <w15:docId w15:val="{A931EDA0-C70B-4EAF-B7F3-CF0FC55D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6F"/>
    <w:pPr>
      <w:spacing w:after="0" w:line="360" w:lineRule="auto"/>
      <w:ind w:firstLine="709"/>
      <w:jc w:val="both"/>
    </w:pPr>
    <w:rPr>
      <w:rFonts w:ascii="Times New Roman" w:eastAsia="Calibri" w:hAnsi="Times New Roman" w:cs="Calibri"/>
      <w:color w:val="000000" w:themeColor="text1"/>
      <w:sz w:val="24"/>
      <w:lang w:eastAsia="pt-BR"/>
    </w:rPr>
  </w:style>
  <w:style w:type="paragraph" w:styleId="Ttulo1">
    <w:name w:val="heading 1"/>
    <w:basedOn w:val="Normal"/>
    <w:next w:val="Normal"/>
    <w:link w:val="Ttulo1Char"/>
    <w:autoRedefine/>
    <w:uiPriority w:val="9"/>
    <w:qFormat/>
    <w:rsid w:val="00D3036F"/>
    <w:pPr>
      <w:keepNext/>
      <w:keepLines/>
      <w:tabs>
        <w:tab w:val="left" w:pos="9639"/>
      </w:tabs>
      <w:ind w:firstLine="0"/>
      <w:jc w:val="center"/>
      <w:outlineLvl w:val="0"/>
    </w:pPr>
    <w:rPr>
      <w:rFonts w:eastAsia="Garamond" w:cstheme="majorBidi"/>
      <w:b/>
      <w:color w:val="FF0000"/>
      <w:szCs w:val="32"/>
    </w:rPr>
  </w:style>
  <w:style w:type="paragraph" w:styleId="Ttulo2">
    <w:name w:val="heading 2"/>
    <w:basedOn w:val="Normal"/>
    <w:next w:val="Normal"/>
    <w:link w:val="Ttulo2Char"/>
    <w:autoRedefine/>
    <w:uiPriority w:val="9"/>
    <w:unhideWhenUsed/>
    <w:qFormat/>
    <w:rsid w:val="000949C8"/>
    <w:pPr>
      <w:keepNext/>
      <w:keepLines/>
      <w:ind w:firstLine="0"/>
      <w:jc w:val="center"/>
      <w:outlineLvl w:val="1"/>
    </w:pPr>
    <w:rPr>
      <w:rFonts w:eastAsia="Garamond" w:cstheme="majorBidi"/>
      <w:b/>
      <w:color w:val="1F3864" w:themeColor="accent1" w:themeShade="80"/>
      <w:szCs w:val="26"/>
    </w:rPr>
  </w:style>
  <w:style w:type="paragraph" w:styleId="Ttulo3">
    <w:name w:val="heading 3"/>
    <w:basedOn w:val="Normal"/>
    <w:next w:val="Normal"/>
    <w:link w:val="Ttulo3Char"/>
    <w:autoRedefine/>
    <w:uiPriority w:val="9"/>
    <w:unhideWhenUsed/>
    <w:qFormat/>
    <w:rsid w:val="003C55F0"/>
    <w:pPr>
      <w:keepNext/>
      <w:keepLines/>
      <w:outlineLvl w:val="2"/>
    </w:pPr>
    <w:rPr>
      <w:rFonts w:eastAsiaTheme="majorEastAsia" w:cstheme="majorBidi"/>
      <w:b/>
      <w:szCs w:val="24"/>
    </w:rPr>
  </w:style>
  <w:style w:type="paragraph" w:styleId="Ttulo4">
    <w:name w:val="heading 4"/>
    <w:basedOn w:val="Normal"/>
    <w:next w:val="Normal"/>
    <w:link w:val="Ttulo4Char"/>
    <w:autoRedefine/>
    <w:uiPriority w:val="9"/>
    <w:unhideWhenUsed/>
    <w:qFormat/>
    <w:rsid w:val="00CA1F6C"/>
    <w:pPr>
      <w:keepNext/>
      <w:keepLines/>
      <w:outlineLvl w:val="3"/>
    </w:pPr>
    <w:rPr>
      <w:rFonts w:eastAsiaTheme="majorEastAsia" w:cstheme="majorBidi"/>
      <w:b/>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C55F0"/>
    <w:rPr>
      <w:rFonts w:ascii="Times New Roman" w:eastAsiaTheme="majorEastAsia" w:hAnsi="Times New Roman" w:cstheme="majorBidi"/>
      <w:b/>
      <w:color w:val="000000" w:themeColor="text1"/>
      <w:sz w:val="24"/>
      <w:szCs w:val="24"/>
    </w:rPr>
  </w:style>
  <w:style w:type="character" w:customStyle="1" w:styleId="Ttulo2Char">
    <w:name w:val="Título 2 Char"/>
    <w:basedOn w:val="Fontepargpadro"/>
    <w:link w:val="Ttulo2"/>
    <w:uiPriority w:val="9"/>
    <w:qFormat/>
    <w:rsid w:val="000949C8"/>
    <w:rPr>
      <w:rFonts w:ascii="Times New Roman" w:eastAsia="Garamond" w:hAnsi="Times New Roman" w:cstheme="majorBidi"/>
      <w:b/>
      <w:color w:val="1F3864" w:themeColor="accent1" w:themeShade="80"/>
      <w:sz w:val="24"/>
      <w:szCs w:val="26"/>
      <w:lang w:eastAsia="pt-BR"/>
    </w:rPr>
  </w:style>
  <w:style w:type="character" w:customStyle="1" w:styleId="Ttulo1Char">
    <w:name w:val="Título 1 Char"/>
    <w:basedOn w:val="Fontepargpadro"/>
    <w:link w:val="Ttulo1"/>
    <w:uiPriority w:val="9"/>
    <w:qFormat/>
    <w:rsid w:val="00D3036F"/>
    <w:rPr>
      <w:rFonts w:ascii="Times New Roman" w:eastAsia="Garamond" w:hAnsi="Times New Roman" w:cstheme="majorBidi"/>
      <w:b/>
      <w:color w:val="FF0000"/>
      <w:sz w:val="24"/>
      <w:szCs w:val="32"/>
      <w:lang w:eastAsia="pt-BR"/>
    </w:rPr>
  </w:style>
  <w:style w:type="character" w:customStyle="1" w:styleId="Ttulo4Char">
    <w:name w:val="Título 4 Char"/>
    <w:basedOn w:val="Fontepargpadro"/>
    <w:link w:val="Ttulo4"/>
    <w:uiPriority w:val="9"/>
    <w:rsid w:val="00CA1F6C"/>
    <w:rPr>
      <w:rFonts w:ascii="Times New Roman" w:eastAsiaTheme="majorEastAsia" w:hAnsi="Times New Roman" w:cstheme="majorBidi"/>
      <w:b/>
      <w:i/>
      <w:iCs/>
      <w:color w:val="000000" w:themeColor="text1"/>
      <w:sz w:val="24"/>
    </w:rPr>
  </w:style>
  <w:style w:type="paragraph" w:styleId="PargrafodaLista">
    <w:name w:val="List Paragraph"/>
    <w:aliases w:val="Recommendation,List Paragraph11,L,CV text,Table text,F5 List Paragraph,Dot pt,Medium Grid 1 - Accent 21,Numbered Paragraph,Bullet point,Colorful List - Accent 11,bullet point list,List Paragraph111,List Paragraph2,Fundamentacion"/>
    <w:basedOn w:val="Normal"/>
    <w:link w:val="PargrafodaListaChar"/>
    <w:uiPriority w:val="34"/>
    <w:qFormat/>
    <w:rsid w:val="00D3036F"/>
    <w:pPr>
      <w:ind w:left="720"/>
      <w:contextualSpacing/>
    </w:pPr>
  </w:style>
  <w:style w:type="character" w:customStyle="1" w:styleId="PargrafodaListaChar">
    <w:name w:val="Parágrafo da Lista Char"/>
    <w:aliases w:val="Recommendation Char,List Paragraph11 Char,L Char,CV text Char,Table text Char,F5 List Paragraph Char,Dot pt Char,Medium Grid 1 - Accent 21 Char,Numbered Paragraph Char,Bullet point Char,Colorful List - Accent 11 Char"/>
    <w:basedOn w:val="Fontepargpadro"/>
    <w:link w:val="PargrafodaLista"/>
    <w:uiPriority w:val="34"/>
    <w:qFormat/>
    <w:rsid w:val="00D3036F"/>
    <w:rPr>
      <w:rFonts w:ascii="Times New Roman" w:eastAsia="Calibri" w:hAnsi="Times New Roman" w:cs="Calibri"/>
      <w:color w:val="000000" w:themeColor="text1"/>
      <w:sz w:val="24"/>
      <w:lang w:eastAsia="pt-BR"/>
    </w:rPr>
  </w:style>
  <w:style w:type="character" w:styleId="Hyperlink">
    <w:name w:val="Hyperlink"/>
    <w:basedOn w:val="Fontepargpadro"/>
    <w:uiPriority w:val="99"/>
    <w:unhideWhenUsed/>
    <w:rsid w:val="00950725"/>
    <w:rPr>
      <w:color w:val="0563C1" w:themeColor="hyperlink"/>
      <w:u w:val="single"/>
    </w:rPr>
  </w:style>
  <w:style w:type="character" w:styleId="MenoPendente">
    <w:name w:val="Unresolved Mention"/>
    <w:basedOn w:val="Fontepargpadro"/>
    <w:uiPriority w:val="99"/>
    <w:semiHidden/>
    <w:unhideWhenUsed/>
    <w:rsid w:val="00950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2969</Words>
  <Characters>16034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Piccoli Lins Cavalcanti</dc:creator>
  <cp:keywords/>
  <dc:description/>
  <cp:lastModifiedBy>Flávia Annibelli Baron</cp:lastModifiedBy>
  <cp:revision>7</cp:revision>
  <dcterms:created xsi:type="dcterms:W3CDTF">2023-11-20T18:03:00Z</dcterms:created>
  <dcterms:modified xsi:type="dcterms:W3CDTF">2023-11-21T15:15:00Z</dcterms:modified>
</cp:coreProperties>
</file>