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1" w:rsidRDefault="00F2164A" w:rsidP="00577DDB">
      <w:pPr>
        <w:jc w:val="center"/>
        <w:rPr>
          <w:rFonts w:ascii="Arial" w:hAnsi="Arial" w:cs="Arial"/>
          <w:sz w:val="35"/>
          <w:szCs w:val="35"/>
        </w:rPr>
      </w:pPr>
      <w:r>
        <w:rPr>
          <w:b/>
          <w:noProof/>
          <w:sz w:val="28"/>
          <w:szCs w:val="36"/>
          <w:lang w:eastAsia="pt-BR"/>
        </w:rPr>
        <w:drawing>
          <wp:anchor distT="0" distB="0" distL="114300" distR="114300" simplePos="0" relativeHeight="251660288" behindDoc="1" locked="0" layoutInCell="1" allowOverlap="1" wp14:anchorId="722EB556" wp14:editId="04EF98C2">
            <wp:simplePos x="0" y="0"/>
            <wp:positionH relativeFrom="column">
              <wp:posOffset>453390</wp:posOffset>
            </wp:positionH>
            <wp:positionV relativeFrom="paragraph">
              <wp:posOffset>80645</wp:posOffset>
            </wp:positionV>
            <wp:extent cx="4667250" cy="46672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tral_azu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69F" w:rsidRDefault="0051069F" w:rsidP="00577DDB">
      <w:pPr>
        <w:jc w:val="center"/>
      </w:pPr>
    </w:p>
    <w:p w:rsidR="00577DDB" w:rsidRDefault="00577DDB" w:rsidP="00577DDB">
      <w:pPr>
        <w:jc w:val="center"/>
      </w:pPr>
    </w:p>
    <w:p w:rsidR="005F108A" w:rsidRDefault="005F108A" w:rsidP="00577DDB">
      <w:pPr>
        <w:jc w:val="center"/>
      </w:pPr>
    </w:p>
    <w:p w:rsidR="005F108A" w:rsidRDefault="005F108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Default="00F2164A" w:rsidP="005F108A">
      <w:pPr>
        <w:jc w:val="center"/>
        <w:rPr>
          <w:b/>
          <w:sz w:val="28"/>
          <w:szCs w:val="36"/>
        </w:rPr>
      </w:pPr>
    </w:p>
    <w:p w:rsidR="00F2164A" w:rsidRPr="00C62F21" w:rsidRDefault="00F2164A" w:rsidP="005F108A">
      <w:pPr>
        <w:jc w:val="center"/>
        <w:rPr>
          <w:b/>
          <w:sz w:val="28"/>
          <w:szCs w:val="36"/>
        </w:rPr>
      </w:pPr>
    </w:p>
    <w:p w:rsidR="00B4086B" w:rsidRDefault="00B4086B" w:rsidP="00577DDB">
      <w:pPr>
        <w:jc w:val="center"/>
      </w:pPr>
    </w:p>
    <w:p w:rsidR="00577DDB" w:rsidRDefault="00577DDB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6700" cy="4476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47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F2164A" w:rsidRPr="00F2164A" w:rsidRDefault="00554E09" w:rsidP="00F216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Tecnologias para doenças hipertensivas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21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" fillcolor="#e5b8b7 [1301]">
                <v:fill color2="#943634 [2405]" colors="0 #e6b9b8;.5 #d99694;1 #953735" focus="100%" type="gradient">
                  <o:fill v:ext="view" type="gradientUnscaled"/>
                </v:fill>
                <v:textbox>
                  <w:txbxContent>
                    <w:p w:rsidR="00F2164A" w:rsidRPr="00F2164A" w:rsidRDefault="00554E09" w:rsidP="00F2164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Tecnologias para doenças hipertensivas</w:t>
                      </w:r>
                    </w:p>
                  </w:txbxContent>
                </v:textbox>
              </v:shape>
            </w:pict>
          </mc:Fallback>
        </mc:AlternateContent>
      </w: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Default="00F2164A" w:rsidP="00577DDB">
      <w:pPr>
        <w:jc w:val="center"/>
      </w:pPr>
    </w:p>
    <w:p w:rsidR="00F2164A" w:rsidRPr="00316EBE" w:rsidRDefault="00F2164A" w:rsidP="00577DDB">
      <w:pPr>
        <w:jc w:val="center"/>
      </w:pPr>
    </w:p>
    <w:p w:rsidR="003A3C76" w:rsidRDefault="003A3C76" w:rsidP="00577DDB">
      <w:pPr>
        <w:jc w:val="center"/>
        <w:rPr>
          <w:rFonts w:asciiTheme="minorHAnsi" w:hAnsiTheme="minorHAnsi"/>
          <w:b/>
        </w:rPr>
      </w:pPr>
    </w:p>
    <w:p w:rsidR="003A3C76" w:rsidRDefault="003A3C76" w:rsidP="00577DDB">
      <w:pPr>
        <w:jc w:val="center"/>
        <w:rPr>
          <w:rFonts w:asciiTheme="minorHAnsi" w:hAnsiTheme="minorHAnsi"/>
          <w:b/>
        </w:rPr>
      </w:pPr>
    </w:p>
    <w:p w:rsidR="00FA5710" w:rsidRDefault="00577DDB" w:rsidP="00577DDB">
      <w:pPr>
        <w:jc w:val="center"/>
        <w:rPr>
          <w:rFonts w:asciiTheme="minorHAnsi" w:hAnsiTheme="minorHAnsi"/>
          <w:b/>
        </w:rPr>
      </w:pPr>
      <w:r w:rsidRPr="003A3C76">
        <w:rPr>
          <w:rFonts w:asciiTheme="minorHAnsi" w:hAnsiTheme="minorHAnsi"/>
          <w:b/>
        </w:rPr>
        <w:t>Rio de Janeiro</w:t>
      </w:r>
      <w:r w:rsidR="003A3C76">
        <w:rPr>
          <w:rFonts w:asciiTheme="minorHAnsi" w:hAnsiTheme="minorHAnsi"/>
          <w:b/>
        </w:rPr>
        <w:tab/>
      </w:r>
    </w:p>
    <w:p w:rsidR="00FA5710" w:rsidRDefault="00FA5710" w:rsidP="00577DDB">
      <w:pPr>
        <w:jc w:val="center"/>
        <w:rPr>
          <w:rFonts w:asciiTheme="minorHAnsi" w:hAnsiTheme="minorHAnsi"/>
          <w:b/>
        </w:rPr>
      </w:pPr>
    </w:p>
    <w:p w:rsidR="00316EBE" w:rsidRPr="003A3C76" w:rsidRDefault="00554E09" w:rsidP="00577DD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Agosto</w:t>
      </w:r>
      <w:r w:rsidR="00577DDB" w:rsidRPr="003A3C76">
        <w:rPr>
          <w:rFonts w:asciiTheme="minorHAnsi" w:hAnsiTheme="minorHAnsi"/>
          <w:b/>
        </w:rPr>
        <w:t xml:space="preserve"> </w:t>
      </w:r>
      <w:r w:rsidR="003A3C76">
        <w:rPr>
          <w:rFonts w:asciiTheme="minorHAnsi" w:hAnsiTheme="minorHAnsi"/>
          <w:b/>
        </w:rPr>
        <w:t>/</w:t>
      </w:r>
      <w:r w:rsidR="00577DDB" w:rsidRPr="003A3C76">
        <w:rPr>
          <w:rFonts w:asciiTheme="minorHAnsi" w:hAnsiTheme="minorHAnsi"/>
          <w:b/>
        </w:rPr>
        <w:t xml:space="preserve"> 2014</w:t>
      </w: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F2164A" w:rsidRDefault="00F2164A" w:rsidP="00577DDB">
      <w:pPr>
        <w:jc w:val="center"/>
        <w:rPr>
          <w:rFonts w:asciiTheme="minorHAnsi" w:hAnsiTheme="minorHAnsi"/>
        </w:rPr>
      </w:pPr>
    </w:p>
    <w:p w:rsidR="000B5A09" w:rsidRDefault="000B5A09" w:rsidP="00577DDB">
      <w:pPr>
        <w:jc w:val="center"/>
        <w:rPr>
          <w:rFonts w:asciiTheme="minorHAnsi" w:hAnsiTheme="minorHAnsi"/>
        </w:rPr>
      </w:pPr>
    </w:p>
    <w:p w:rsidR="000B5A09" w:rsidRDefault="000B5A09" w:rsidP="00577DDB">
      <w:pPr>
        <w:jc w:val="center"/>
        <w:rPr>
          <w:rFonts w:asciiTheme="minorHAnsi" w:hAnsiTheme="minorHAnsi"/>
        </w:rPr>
        <w:sectPr w:rsidR="000B5A09" w:rsidSect="00920A04">
          <w:footerReference w:type="default" r:id="rId10"/>
          <w:headerReference w:type="first" r:id="rId11"/>
          <w:footerReference w:type="first" r:id="rId12"/>
          <w:pgSz w:w="11907" w:h="16839" w:code="9"/>
          <w:pgMar w:top="1418" w:right="1701" w:bottom="1418" w:left="1701" w:header="709" w:footer="709" w:gutter="0"/>
          <w:pgNumType w:fmt="lowerRoman"/>
          <w:cols w:space="708"/>
          <w:titlePg/>
          <w:docGrid w:linePitch="360"/>
        </w:sectPr>
      </w:pPr>
    </w:p>
    <w:p w:rsidR="00577DDB" w:rsidRPr="00540F8B" w:rsidRDefault="00655843" w:rsidP="00577DDB">
      <w:r>
        <w:lastRenderedPageBreak/>
        <w:t>Ins</w:t>
      </w:r>
      <w:r w:rsidR="00F11C54">
        <w:t>tituto Nacional d</w:t>
      </w:r>
      <w:r w:rsidR="00F11C54" w:rsidRPr="00540F8B">
        <w:t xml:space="preserve">a Propriedade Industrial </w:t>
      </w:r>
      <w:r w:rsidR="00302CBC" w:rsidRPr="00540F8B">
        <w:t>- INPI</w:t>
      </w:r>
    </w:p>
    <w:p w:rsidR="00577DDB" w:rsidRPr="00540F8B" w:rsidRDefault="00577DDB" w:rsidP="00577DDB">
      <w:r w:rsidRPr="00540F8B">
        <w:t xml:space="preserve">Presidente: Otávio </w:t>
      </w:r>
      <w:proofErr w:type="spellStart"/>
      <w:r w:rsidRPr="00540F8B">
        <w:t>Brandel</w:t>
      </w:r>
      <w:r w:rsidR="009D72D9">
        <w:t>l</w:t>
      </w:r>
      <w:r w:rsidRPr="00540F8B">
        <w:t>i</w:t>
      </w:r>
      <w:proofErr w:type="spellEnd"/>
      <w:r w:rsidRPr="00540F8B">
        <w:t xml:space="preserve"> </w:t>
      </w:r>
    </w:p>
    <w:p w:rsidR="00577DDB" w:rsidRPr="00540F8B" w:rsidRDefault="00577DDB" w:rsidP="00577DDB">
      <w:r w:rsidRPr="00540F8B">
        <w:t xml:space="preserve">Vice-Presidente: Ademir </w:t>
      </w:r>
      <w:proofErr w:type="spellStart"/>
      <w:r w:rsidRPr="00540F8B">
        <w:t>Tardelli</w:t>
      </w:r>
      <w:proofErr w:type="spellEnd"/>
      <w:r w:rsidRPr="00540F8B">
        <w:t xml:space="preserve"> </w:t>
      </w:r>
    </w:p>
    <w:p w:rsidR="00577DDB" w:rsidRPr="00540F8B" w:rsidRDefault="00577DDB" w:rsidP="00577DDB"/>
    <w:p w:rsidR="00577DDB" w:rsidRPr="00540F8B" w:rsidRDefault="00F11C54" w:rsidP="00577DDB">
      <w:r>
        <w:t>Diretoria de Cooperação para o</w:t>
      </w:r>
      <w:r w:rsidRPr="00540F8B">
        <w:t xml:space="preserve"> Desenvolvimento - </w:t>
      </w:r>
      <w:proofErr w:type="spellStart"/>
      <w:r w:rsidRPr="00540F8B">
        <w:t>Dicod</w:t>
      </w:r>
      <w:proofErr w:type="spellEnd"/>
    </w:p>
    <w:p w:rsidR="00577DDB" w:rsidRPr="00540F8B" w:rsidRDefault="00577DDB" w:rsidP="00577DDB">
      <w:r w:rsidRPr="00540F8B">
        <w:t xml:space="preserve">Diretora: Denise Gregory </w:t>
      </w:r>
    </w:p>
    <w:p w:rsidR="00577DDB" w:rsidRPr="00540F8B" w:rsidRDefault="00577DDB" w:rsidP="00577DDB"/>
    <w:p w:rsidR="00577DDB" w:rsidRPr="00C25D0B" w:rsidRDefault="00F11C54" w:rsidP="00577DDB">
      <w:r w:rsidRPr="00C25D0B">
        <w:t xml:space="preserve">Centro </w:t>
      </w:r>
      <w:r>
        <w:t>d</w:t>
      </w:r>
      <w:r w:rsidRPr="00C25D0B">
        <w:t xml:space="preserve">e Disseminação </w:t>
      </w:r>
      <w:r>
        <w:t>d</w:t>
      </w:r>
      <w:r w:rsidRPr="00C25D0B">
        <w:t xml:space="preserve">a Informação Tecnológica - </w:t>
      </w:r>
      <w:proofErr w:type="spellStart"/>
      <w:r w:rsidRPr="00C25D0B">
        <w:t>Cedin</w:t>
      </w:r>
      <w:proofErr w:type="spellEnd"/>
    </w:p>
    <w:p w:rsidR="00577DDB" w:rsidRPr="00540F8B" w:rsidRDefault="00577DDB" w:rsidP="00577DDB">
      <w:r w:rsidRPr="00540F8B">
        <w:t xml:space="preserve">Coordenador: Luiz </w:t>
      </w:r>
      <w:r w:rsidR="00961AAD">
        <w:t xml:space="preserve">Gomes </w:t>
      </w:r>
      <w:r w:rsidRPr="00540F8B">
        <w:t xml:space="preserve">Ribeiro </w:t>
      </w:r>
      <w:r w:rsidR="00C01A5A">
        <w:t>Filho</w:t>
      </w:r>
    </w:p>
    <w:p w:rsidR="00577DDB" w:rsidRPr="00540F8B" w:rsidRDefault="00577DDB" w:rsidP="00577DDB"/>
    <w:p w:rsidR="00577DDB" w:rsidRPr="00B9124E" w:rsidRDefault="00DE52BA" w:rsidP="00577DDB">
      <w:r>
        <w:t xml:space="preserve">Coordenação de Pesquisa em Inovação e Propriedade </w:t>
      </w:r>
      <w:r w:rsidRPr="00DE52BA">
        <w:t xml:space="preserve">Intelectual </w:t>
      </w:r>
      <w:r w:rsidR="00302CBC" w:rsidRPr="00DE52BA">
        <w:t xml:space="preserve">- </w:t>
      </w:r>
      <w:proofErr w:type="spellStart"/>
      <w:r w:rsidR="00302CBC" w:rsidRPr="00DE52BA">
        <w:t>C</w:t>
      </w:r>
      <w:r w:rsidR="00B63187">
        <w:t>opip</w:t>
      </w:r>
      <w:proofErr w:type="spellEnd"/>
    </w:p>
    <w:p w:rsidR="00577DDB" w:rsidRPr="00540F8B" w:rsidRDefault="00577DDB" w:rsidP="00577DDB">
      <w:r w:rsidRPr="00540F8B">
        <w:t>Rafaela Di Sabato Guerrante</w:t>
      </w:r>
    </w:p>
    <w:p w:rsidR="00577DDB" w:rsidRPr="00540F8B" w:rsidRDefault="00577DDB" w:rsidP="00577DDB"/>
    <w:p w:rsidR="00577DDB" w:rsidRPr="00540F8B" w:rsidRDefault="00577DDB" w:rsidP="00577DDB">
      <w:r w:rsidRPr="00540F8B">
        <w:t>Seção de Administração de Programas</w:t>
      </w:r>
      <w:r w:rsidR="00302CBC" w:rsidRPr="00540F8B">
        <w:t xml:space="preserve"> -</w:t>
      </w:r>
      <w:r w:rsidRPr="00540F8B">
        <w:t xml:space="preserve"> </w:t>
      </w:r>
      <w:proofErr w:type="spellStart"/>
      <w:r w:rsidRPr="00540F8B">
        <w:t>S</w:t>
      </w:r>
      <w:r w:rsidR="00B63187">
        <w:t>epad</w:t>
      </w:r>
      <w:proofErr w:type="spellEnd"/>
    </w:p>
    <w:p w:rsidR="00577DDB" w:rsidRPr="00540F8B" w:rsidRDefault="00577DDB" w:rsidP="00577DDB"/>
    <w:p w:rsidR="00F11C54" w:rsidRDefault="00577DDB" w:rsidP="00F11C54">
      <w:pPr>
        <w:rPr>
          <w:b/>
        </w:rPr>
      </w:pPr>
      <w:r w:rsidRPr="00661937">
        <w:rPr>
          <w:b/>
        </w:rPr>
        <w:t>Autores</w:t>
      </w:r>
      <w:r w:rsidR="00302CBC" w:rsidRPr="00661937">
        <w:rPr>
          <w:b/>
        </w:rPr>
        <w:t xml:space="preserve"> </w:t>
      </w:r>
      <w:r w:rsidR="00F11C54">
        <w:rPr>
          <w:b/>
        </w:rPr>
        <w:t>e Co</w:t>
      </w:r>
      <w:r w:rsidR="00F11C54" w:rsidRPr="00661937">
        <w:rPr>
          <w:b/>
        </w:rPr>
        <w:t>laboradores</w:t>
      </w:r>
    </w:p>
    <w:p w:rsidR="00577DDB" w:rsidRDefault="00577DDB" w:rsidP="00577DDB">
      <w:r w:rsidRPr="00540F8B">
        <w:t xml:space="preserve">Bernardo </w:t>
      </w:r>
      <w:r w:rsidR="00DE52BA">
        <w:t xml:space="preserve">Furtado </w:t>
      </w:r>
      <w:r w:rsidRPr="00540F8B">
        <w:t>Nunes</w:t>
      </w:r>
    </w:p>
    <w:p w:rsidR="00E84E65" w:rsidRDefault="00E84E65" w:rsidP="00E84E65">
      <w:r w:rsidRPr="00540F8B">
        <w:t xml:space="preserve">Flávia Romano </w:t>
      </w:r>
      <w:r>
        <w:t>Villa Verde</w:t>
      </w:r>
    </w:p>
    <w:p w:rsidR="00DE52BA" w:rsidRDefault="00DE52BA" w:rsidP="00577DDB">
      <w:r>
        <w:t>Cristina D’Urso de So</w:t>
      </w:r>
      <w:r w:rsidR="009D72D9">
        <w:t>u</w:t>
      </w:r>
      <w:r>
        <w:t>za Mendes Santos</w:t>
      </w:r>
    </w:p>
    <w:p w:rsidR="00822702" w:rsidRPr="00540F8B" w:rsidRDefault="00822702" w:rsidP="00577DDB">
      <w:r>
        <w:t>Alexandre Lopes Lourenço</w:t>
      </w:r>
    </w:p>
    <w:p w:rsidR="00F11C54" w:rsidRPr="00540F8B" w:rsidRDefault="00F11C54" w:rsidP="00F11C54">
      <w:r w:rsidRPr="00540F8B">
        <w:t>Priscila Rohem dos Santos</w:t>
      </w:r>
    </w:p>
    <w:p w:rsidR="00577DDB" w:rsidRDefault="00302CBC" w:rsidP="00577DDB">
      <w:r w:rsidRPr="00540F8B">
        <w:t>Raf</w:t>
      </w:r>
      <w:r w:rsidR="00D85900">
        <w:t>a</w:t>
      </w:r>
      <w:r w:rsidRPr="00540F8B">
        <w:t>ela Di Sabato Guerrante</w:t>
      </w:r>
    </w:p>
    <w:p w:rsidR="00AC6E38" w:rsidRDefault="00AC6E38" w:rsidP="00577DDB"/>
    <w:p w:rsidR="00AC6E38" w:rsidRDefault="00AC6E38" w:rsidP="00577DDB"/>
    <w:p w:rsidR="00AC6E38" w:rsidRDefault="00AC6E38" w:rsidP="00AC6E38"/>
    <w:p w:rsidR="00AC6E38" w:rsidRDefault="00AC6E38" w:rsidP="00AC6E3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Ficha catalográfica elaborada pela Biblioteca Economista Cláudio </w:t>
      </w:r>
      <w:proofErr w:type="spellStart"/>
      <w:r>
        <w:rPr>
          <w:color w:val="000000"/>
          <w:sz w:val="18"/>
          <w:szCs w:val="18"/>
        </w:rPr>
        <w:t>Treiguer</w:t>
      </w:r>
      <w:proofErr w:type="spellEnd"/>
      <w:r>
        <w:rPr>
          <w:color w:val="000000"/>
          <w:sz w:val="18"/>
          <w:szCs w:val="18"/>
        </w:rPr>
        <w:t xml:space="preserve"> – INPI </w:t>
      </w:r>
    </w:p>
    <w:p w:rsidR="00AC6E38" w:rsidRDefault="00AC6E38" w:rsidP="00AC6E3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5"/>
      </w:tblGrid>
      <w:tr w:rsidR="00AC6E38" w:rsidTr="00134166">
        <w:trPr>
          <w:tblHeader/>
        </w:trPr>
        <w:tc>
          <w:tcPr>
            <w:tcW w:w="753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AC6E38" w:rsidRDefault="00AC6E38" w:rsidP="00134166">
            <w:pPr>
              <w:snapToGrid w:val="0"/>
              <w:spacing w:line="100" w:lineRule="atLeast"/>
              <w:ind w:left="965" w:right="5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C6E38" w:rsidRDefault="00AC6E38" w:rsidP="00134166">
            <w:pPr>
              <w:rPr>
                <w:sz w:val="20"/>
              </w:rPr>
            </w:pPr>
            <w:r>
              <w:rPr>
                <w:sz w:val="20"/>
              </w:rPr>
              <w:t xml:space="preserve">N972t </w:t>
            </w:r>
            <w:r>
              <w:rPr>
                <w:color w:val="000000"/>
                <w:sz w:val="20"/>
                <w:szCs w:val="20"/>
              </w:rPr>
              <w:t xml:space="preserve">     Nunes, Bernardo Furtado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Tecnologias para doenças hipertensivas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 </w:t>
            </w:r>
            <w:r w:rsidRPr="00A62FDE">
              <w:rPr>
                <w:color w:val="000000"/>
                <w:sz w:val="20"/>
                <w:szCs w:val="20"/>
              </w:rPr>
              <w:t>Bernardo Furtado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2FDE">
              <w:rPr>
                <w:color w:val="000000"/>
                <w:sz w:val="20"/>
                <w:szCs w:val="20"/>
              </w:rPr>
              <w:t>Nunes</w:t>
            </w:r>
            <w:r>
              <w:rPr>
                <w:color w:val="000000"/>
                <w:sz w:val="20"/>
                <w:szCs w:val="20"/>
              </w:rPr>
              <w:t xml:space="preserve"> e </w:t>
            </w:r>
            <w:r w:rsidRPr="00A03A96">
              <w:rPr>
                <w:color w:val="000000"/>
                <w:sz w:val="20"/>
                <w:szCs w:val="20"/>
              </w:rPr>
              <w:t>Fl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A03A96">
              <w:rPr>
                <w:color w:val="000000"/>
                <w:sz w:val="20"/>
                <w:szCs w:val="20"/>
              </w:rPr>
              <w:t xml:space="preserve">via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A03A96">
              <w:rPr>
                <w:color w:val="000000"/>
                <w:sz w:val="20"/>
                <w:szCs w:val="20"/>
              </w:rPr>
              <w:t>Romano Villa Verde</w:t>
            </w:r>
            <w:r>
              <w:rPr>
                <w:color w:val="000000"/>
                <w:sz w:val="20"/>
                <w:szCs w:val="20"/>
              </w:rPr>
              <w:t>; Organização: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Priscila Rohem dos Santos e </w:t>
            </w:r>
            <w:r w:rsidRPr="00A62FDE">
              <w:rPr>
                <w:color w:val="000000"/>
                <w:sz w:val="20"/>
                <w:szCs w:val="20"/>
              </w:rPr>
              <w:t xml:space="preserve">Rafaela Di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A62FDE">
              <w:rPr>
                <w:color w:val="000000"/>
                <w:sz w:val="20"/>
                <w:szCs w:val="20"/>
              </w:rPr>
              <w:t>Sabato Guerrante</w:t>
            </w:r>
            <w:r>
              <w:rPr>
                <w:color w:val="000000"/>
                <w:sz w:val="20"/>
                <w:szCs w:val="20"/>
              </w:rPr>
              <w:t>.  Rio de Janeiro: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Instituto Nacional da Propriedade Industrial –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INPI, Diretoria de Cooperação para o Desenvolvimento – DICOD, Centro de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Disseminação da Informação Tecnológica – CEDIN, </w:t>
            </w:r>
            <w:r w:rsidRPr="00A62FDE">
              <w:rPr>
                <w:color w:val="000000"/>
                <w:sz w:val="20"/>
                <w:szCs w:val="20"/>
              </w:rPr>
              <w:t xml:space="preserve">Coordenação de Pesquisa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proofErr w:type="gramStart"/>
            <w:r w:rsidRPr="00A62FDE">
              <w:rPr>
                <w:color w:val="000000"/>
                <w:sz w:val="20"/>
                <w:szCs w:val="20"/>
              </w:rPr>
              <w:t>em</w:t>
            </w:r>
            <w:proofErr w:type="gramEnd"/>
            <w:r w:rsidRPr="00A62FDE">
              <w:rPr>
                <w:color w:val="000000"/>
                <w:sz w:val="20"/>
                <w:szCs w:val="20"/>
              </w:rPr>
              <w:t xml:space="preserve"> Inovação 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2FDE">
              <w:rPr>
                <w:color w:val="000000"/>
                <w:sz w:val="20"/>
                <w:szCs w:val="20"/>
              </w:rPr>
              <w:t xml:space="preserve">Propriedade Intelectual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62FDE">
              <w:rPr>
                <w:color w:val="000000"/>
                <w:sz w:val="20"/>
                <w:szCs w:val="20"/>
              </w:rPr>
              <w:t xml:space="preserve"> C</w:t>
            </w:r>
            <w:r>
              <w:rPr>
                <w:color w:val="000000"/>
                <w:sz w:val="20"/>
                <w:szCs w:val="20"/>
              </w:rPr>
              <w:t xml:space="preserve">OPIP, </w:t>
            </w:r>
            <w:r w:rsidRPr="00A62FDE">
              <w:rPr>
                <w:color w:val="000000"/>
                <w:sz w:val="20"/>
                <w:szCs w:val="20"/>
              </w:rPr>
              <w:t xml:space="preserve">Seção de Administração de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A62FDE">
              <w:rPr>
                <w:color w:val="000000"/>
                <w:sz w:val="20"/>
                <w:szCs w:val="20"/>
              </w:rPr>
              <w:t xml:space="preserve">Programas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A62FD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SEPAD, 2014.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</w:t>
            </w:r>
          </w:p>
          <w:p w:rsidR="00AC6E38" w:rsidRDefault="00AC6E38" w:rsidP="00134166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Radar Tecnológico -  </w:t>
            </w:r>
            <w:r w:rsidR="00240DC7">
              <w:rPr>
                <w:bCs/>
                <w:sz w:val="20"/>
              </w:rPr>
              <w:t>6</w:t>
            </w:r>
            <w:bookmarkStart w:id="0" w:name="_GoBack"/>
            <w:bookmarkEnd w:id="0"/>
            <w:r>
              <w:rPr>
                <w:bCs/>
                <w:sz w:val="20"/>
              </w:rPr>
              <w:t xml:space="preserve"> f.; il.; </w:t>
            </w:r>
            <w:proofErr w:type="spellStart"/>
            <w:r>
              <w:rPr>
                <w:bCs/>
                <w:sz w:val="20"/>
              </w:rPr>
              <w:t>tabs</w:t>
            </w:r>
            <w:proofErr w:type="spellEnd"/>
            <w:r>
              <w:rPr>
                <w:bCs/>
                <w:sz w:val="20"/>
              </w:rPr>
              <w:t>.</w:t>
            </w:r>
          </w:p>
          <w:p w:rsidR="00AC6E38" w:rsidRDefault="00AC6E38" w:rsidP="00134166">
            <w:pPr>
              <w:tabs>
                <w:tab w:val="left" w:pos="1072"/>
                <w:tab w:val="left" w:pos="3000"/>
              </w:tabs>
              <w:spacing w:line="200" w:lineRule="atLeast"/>
              <w:ind w:right="5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    </w:t>
            </w:r>
          </w:p>
          <w:p w:rsidR="00AC6E38" w:rsidRDefault="00AC6E38" w:rsidP="00134166">
            <w:pPr>
              <w:spacing w:line="200" w:lineRule="atLeast"/>
              <w:ind w:left="830" w:right="5"/>
              <w:rPr>
                <w:bCs/>
                <w:sz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</w:t>
            </w:r>
          </w:p>
          <w:p w:rsidR="00AC6E38" w:rsidRDefault="00AC6E38" w:rsidP="00134166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                 1. Patente – Tecnologia – Doença hipertensiva</w:t>
            </w:r>
            <w:proofErr w:type="gramStart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2. Patente – Informação </w:t>
            </w:r>
          </w:p>
          <w:p w:rsidR="00AC6E38" w:rsidRDefault="00AC6E38" w:rsidP="00134166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Tecnológica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3. Patente – Saúde Pública I. Instituto Nacional da Propriedade </w:t>
            </w:r>
          </w:p>
          <w:p w:rsidR="00AC6E38" w:rsidRDefault="00AC6E38" w:rsidP="00134166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 Industrial (Brasil). </w:t>
            </w:r>
            <w:r w:rsidRPr="00981C88">
              <w:rPr>
                <w:sz w:val="20"/>
              </w:rPr>
              <w:t xml:space="preserve">II. Villa Verde, Flávia Romano III. </w:t>
            </w:r>
            <w:r>
              <w:rPr>
                <w:sz w:val="20"/>
              </w:rPr>
              <w:t xml:space="preserve">Santos, Priscila </w:t>
            </w:r>
            <w:proofErr w:type="spellStart"/>
            <w:r>
              <w:rPr>
                <w:sz w:val="20"/>
              </w:rPr>
              <w:t>Rohem</w:t>
            </w:r>
            <w:proofErr w:type="spellEnd"/>
            <w:r>
              <w:rPr>
                <w:sz w:val="20"/>
              </w:rPr>
              <w:t xml:space="preserve"> </w:t>
            </w:r>
          </w:p>
          <w:p w:rsidR="00AC6E38" w:rsidRDefault="00AC6E38" w:rsidP="00134166">
            <w:pPr>
              <w:tabs>
                <w:tab w:val="left" w:pos="851"/>
                <w:tab w:val="left" w:pos="1475"/>
              </w:tabs>
              <w:spacing w:line="200" w:lineRule="atLeast"/>
              <w:ind w:right="5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proofErr w:type="gramStart"/>
            <w:r>
              <w:rPr>
                <w:sz w:val="20"/>
              </w:rPr>
              <w:t>dos</w:t>
            </w:r>
            <w:proofErr w:type="gramEnd"/>
            <w:r>
              <w:rPr>
                <w:sz w:val="20"/>
              </w:rPr>
              <w:t>.; IV. Guerrante, Rafaela Di Sabato; V. Título.</w:t>
            </w:r>
          </w:p>
          <w:p w:rsidR="00AC6E38" w:rsidRDefault="00AC6E38" w:rsidP="00134166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:rsidR="00AC6E38" w:rsidRDefault="00AC6E38" w:rsidP="00134166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CDU: 347.771:615</w:t>
            </w:r>
          </w:p>
        </w:tc>
      </w:tr>
    </w:tbl>
    <w:p w:rsidR="00061DF9" w:rsidRDefault="00061DF9" w:rsidP="00577DDB">
      <w:pPr>
        <w:jc w:val="center"/>
        <w:rPr>
          <w:b/>
          <w:sz w:val="28"/>
          <w:szCs w:val="28"/>
        </w:rPr>
      </w:pPr>
    </w:p>
    <w:p w:rsidR="00F25D6E" w:rsidRDefault="00F25D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6E38" w:rsidRDefault="00AC6E38" w:rsidP="00AC6E38">
      <w:pPr>
        <w:jc w:val="center"/>
        <w:rPr>
          <w:b/>
          <w:sz w:val="28"/>
          <w:szCs w:val="28"/>
        </w:rPr>
      </w:pPr>
      <w:r w:rsidRPr="0097541A">
        <w:rPr>
          <w:b/>
          <w:sz w:val="28"/>
          <w:szCs w:val="28"/>
        </w:rPr>
        <w:lastRenderedPageBreak/>
        <w:t>APRESENTAÇÃO</w:t>
      </w:r>
    </w:p>
    <w:p w:rsidR="00AC6E38" w:rsidRDefault="00AC6E38" w:rsidP="00AC6E38">
      <w:pPr>
        <w:jc w:val="center"/>
        <w:rPr>
          <w:b/>
          <w:sz w:val="28"/>
          <w:szCs w:val="28"/>
        </w:rPr>
      </w:pPr>
    </w:p>
    <w:p w:rsidR="00801D3F" w:rsidRDefault="00801D3F" w:rsidP="00801D3F">
      <w:pPr>
        <w:spacing w:line="360" w:lineRule="auto"/>
        <w:ind w:firstLine="709"/>
        <w:jc w:val="both"/>
      </w:pPr>
      <w:r>
        <w:t xml:space="preserve">O </w:t>
      </w:r>
      <w:r w:rsidRPr="0098585D">
        <w:t>Centro de Disseminação da Informação Tecnológica</w:t>
      </w:r>
      <w:r>
        <w:t xml:space="preserve"> – CEDIN apresenta o </w:t>
      </w:r>
      <w:r w:rsidRPr="0098585D">
        <w:t xml:space="preserve">novo produto </w:t>
      </w:r>
      <w:r>
        <w:t>do INPI</w:t>
      </w:r>
      <w:r w:rsidRPr="00BC0165">
        <w:t>: o Radar Tecnológico</w:t>
      </w:r>
      <w:r>
        <w:t>, com foco em tecnologias/setores elencados como prioritários pelo</w:t>
      </w:r>
      <w:r w:rsidRPr="00BC0165">
        <w:t xml:space="preserve"> governo brasileiro. </w:t>
      </w:r>
      <w:r w:rsidRPr="00815E66">
        <w:t>Os dados</w:t>
      </w:r>
      <w:r>
        <w:t xml:space="preserve"> </w:t>
      </w:r>
      <w:proofErr w:type="spellStart"/>
      <w:r>
        <w:t>patentários</w:t>
      </w:r>
      <w:proofErr w:type="spellEnd"/>
      <w:r w:rsidRPr="00815E66">
        <w:t xml:space="preserve"> são tratados e exibidos </w:t>
      </w:r>
      <w:r w:rsidRPr="0098585D">
        <w:t xml:space="preserve">de modo visual, na forma de gráficos e </w:t>
      </w:r>
      <w:r w:rsidRPr="002A6440">
        <w:t xml:space="preserve">tabelas. O </w:t>
      </w:r>
      <w:r w:rsidRPr="006D21F7">
        <w:t>novo produto</w:t>
      </w:r>
      <w:r>
        <w:t xml:space="preserve"> apresenta a informação tecnológica de patentes em formato amigável, buscando facilitar seu entendimento e uso efetivo.</w:t>
      </w:r>
      <w:r w:rsidRPr="006D21F7">
        <w:t xml:space="preserve"> </w:t>
      </w:r>
      <w:r w:rsidRPr="00B07BB4">
        <w:t xml:space="preserve">O público </w:t>
      </w:r>
      <w:r>
        <w:t xml:space="preserve">alvo do Radar Tecnológico constitui-se de </w:t>
      </w:r>
      <w:r w:rsidRPr="006D21F7">
        <w:t>associações de empresas de base tecnológica</w:t>
      </w:r>
      <w:r>
        <w:t>, formadas por empresas de diferentes portes, órgãos de fomento e instituições de pesquisa.</w:t>
      </w:r>
    </w:p>
    <w:p w:rsidR="00AC6E38" w:rsidRPr="009A70A7" w:rsidRDefault="00801D3F" w:rsidP="00AC6E38">
      <w:pPr>
        <w:spacing w:line="360" w:lineRule="auto"/>
        <w:ind w:firstLine="709"/>
        <w:jc w:val="both"/>
      </w:pPr>
      <w:r>
        <w:t>O Radar Tecnológico permitirá, entre outros aspectos,</w:t>
      </w:r>
      <w:r w:rsidRPr="002522F5">
        <w:t xml:space="preserve"> identificar tecnologias passíveis de </w:t>
      </w:r>
      <w:r w:rsidRPr="002522F5">
        <w:rPr>
          <w:b/>
        </w:rPr>
        <w:t>exploração no território nacional</w:t>
      </w:r>
      <w:r>
        <w:rPr>
          <w:b/>
        </w:rPr>
        <w:t>,</w:t>
      </w:r>
      <w:r w:rsidRPr="002522F5">
        <w:t xml:space="preserve"> sem </w:t>
      </w:r>
      <w:r>
        <w:t>a violação de</w:t>
      </w:r>
      <w:r w:rsidRPr="002522F5">
        <w:t xml:space="preserve"> direitos </w:t>
      </w:r>
      <w:proofErr w:type="spellStart"/>
      <w:r w:rsidRPr="002522F5">
        <w:t>patentários</w:t>
      </w:r>
      <w:proofErr w:type="spellEnd"/>
      <w:r w:rsidRPr="002522F5">
        <w:t xml:space="preserve"> (</w:t>
      </w:r>
      <w:r w:rsidRPr="00E40EC7">
        <w:t>liberdade de operação</w:t>
      </w:r>
      <w:r>
        <w:t xml:space="preserve">); </w:t>
      </w:r>
      <w:r w:rsidR="00AC6E38" w:rsidRPr="002522F5">
        <w:t xml:space="preserve">além de estimular negociações e parcerias para </w:t>
      </w:r>
      <w:r w:rsidR="00AC6E38">
        <w:t xml:space="preserve">o </w:t>
      </w:r>
      <w:r w:rsidR="00AC6E38" w:rsidRPr="002522F5">
        <w:t>desenvolvimento tecnológico</w:t>
      </w:r>
      <w:r w:rsidR="00AC6E38" w:rsidRPr="003E2C4A">
        <w:t xml:space="preserve">. Considerar </w:t>
      </w:r>
      <w:r w:rsidR="00AC6E38">
        <w:t>a</w:t>
      </w:r>
      <w:r w:rsidR="00AC6E38" w:rsidRPr="009A70A7">
        <w:t xml:space="preserve"> informação contida em patentes</w:t>
      </w:r>
      <w:r w:rsidR="00AC6E38">
        <w:t xml:space="preserve"> </w:t>
      </w:r>
      <w:r w:rsidR="00AC6E38" w:rsidRPr="0075289B">
        <w:t>como instrumento para avaliação do cenário de determinado setor tecnológico</w:t>
      </w:r>
      <w:r w:rsidR="00AC6E38" w:rsidRPr="003E2C4A">
        <w:t xml:space="preserve"> </w:t>
      </w:r>
      <w:r w:rsidR="00AC6E38">
        <w:t>gera</w:t>
      </w:r>
      <w:r w:rsidR="00AC6E38" w:rsidRPr="009A70A7">
        <w:t xml:space="preserve"> subsídios à gestão dos direitos de propriedade industrial (PI).</w:t>
      </w:r>
    </w:p>
    <w:p w:rsidR="00AC6E38" w:rsidRDefault="00AC6E38" w:rsidP="00AC6E38">
      <w:pPr>
        <w:spacing w:line="360" w:lineRule="auto"/>
        <w:ind w:firstLine="709"/>
        <w:jc w:val="both"/>
      </w:pPr>
      <w:r w:rsidRPr="002522F5">
        <w:t xml:space="preserve">O conceito de liberdade de operação, </w:t>
      </w:r>
      <w:r>
        <w:t>do termo em inglês</w:t>
      </w:r>
      <w:r w:rsidRPr="002522F5">
        <w:t xml:space="preserve"> “</w:t>
      </w:r>
      <w:proofErr w:type="spellStart"/>
      <w:r w:rsidRPr="00E97DE1">
        <w:rPr>
          <w:i/>
        </w:rPr>
        <w:t>freedom</w:t>
      </w:r>
      <w:proofErr w:type="spellEnd"/>
      <w:r w:rsidRPr="00E97DE1">
        <w:rPr>
          <w:i/>
        </w:rPr>
        <w:t xml:space="preserve"> </w:t>
      </w:r>
      <w:proofErr w:type="spellStart"/>
      <w:r w:rsidRPr="00E97DE1">
        <w:rPr>
          <w:i/>
        </w:rPr>
        <w:t>to</w:t>
      </w:r>
      <w:proofErr w:type="spellEnd"/>
      <w:r w:rsidRPr="00E97DE1">
        <w:rPr>
          <w:i/>
        </w:rPr>
        <w:t xml:space="preserve"> </w:t>
      </w:r>
      <w:proofErr w:type="spellStart"/>
      <w:r w:rsidRPr="00E97DE1">
        <w:rPr>
          <w:i/>
        </w:rPr>
        <w:t>operate</w:t>
      </w:r>
      <w:proofErr w:type="spellEnd"/>
      <w:r w:rsidRPr="002522F5">
        <w:t>” (FTO), significa que</w:t>
      </w:r>
      <w:r w:rsidR="00FD3943">
        <w:t>,</w:t>
      </w:r>
      <w:r w:rsidRPr="002522F5">
        <w:t xml:space="preserve"> para um dado produto</w:t>
      </w:r>
      <w:r>
        <w:t xml:space="preserve"> e/ou processo</w:t>
      </w:r>
      <w:r w:rsidRPr="002522F5">
        <w:t>, não há violação de direitos de PI</w:t>
      </w:r>
      <w:r w:rsidRPr="006D21F7">
        <w:t xml:space="preserve"> </w:t>
      </w:r>
      <w:r>
        <w:t>em determinado território. Este conceito se baseia no fato de que a</w:t>
      </w:r>
      <w:r w:rsidRPr="002522F5">
        <w:t xml:space="preserve"> </w:t>
      </w:r>
      <w:r w:rsidRPr="002522F5">
        <w:rPr>
          <w:b/>
        </w:rPr>
        <w:t xml:space="preserve">proteção </w:t>
      </w:r>
      <w:proofErr w:type="spellStart"/>
      <w:r w:rsidRPr="002522F5">
        <w:rPr>
          <w:b/>
        </w:rPr>
        <w:t>patentária</w:t>
      </w:r>
      <w:proofErr w:type="spellEnd"/>
      <w:r w:rsidRPr="002522F5">
        <w:rPr>
          <w:b/>
        </w:rPr>
        <w:t xml:space="preserve"> é territorial,</w:t>
      </w:r>
      <w:r w:rsidRPr="002522F5">
        <w:t xml:space="preserve"> já que confere ao titular </w:t>
      </w:r>
      <w:r w:rsidRPr="002522F5">
        <w:rPr>
          <w:b/>
        </w:rPr>
        <w:t>o direito de explorar</w:t>
      </w:r>
      <w:r w:rsidRPr="002522F5">
        <w:t xml:space="preserve"> </w:t>
      </w:r>
      <w:r>
        <w:t>(usar, vender, importar</w:t>
      </w:r>
      <w:r w:rsidRPr="002522F5">
        <w:rPr>
          <w:b/>
        </w:rPr>
        <w:t>)</w:t>
      </w:r>
      <w:r w:rsidRPr="002522F5">
        <w:t xml:space="preserve"> determinada tecnologia e o direito </w:t>
      </w:r>
      <w:r w:rsidRPr="002522F5">
        <w:rPr>
          <w:b/>
        </w:rPr>
        <w:t xml:space="preserve">de impedir </w:t>
      </w:r>
      <w:r>
        <w:rPr>
          <w:b/>
        </w:rPr>
        <w:t xml:space="preserve">que </w:t>
      </w:r>
      <w:r w:rsidRPr="002522F5">
        <w:rPr>
          <w:b/>
        </w:rPr>
        <w:t>terceiros</w:t>
      </w:r>
      <w:r w:rsidRPr="002522F5">
        <w:t xml:space="preserve"> </w:t>
      </w:r>
      <w:r>
        <w:t xml:space="preserve">façam a </w:t>
      </w:r>
      <w:r w:rsidRPr="002522F5">
        <w:t xml:space="preserve">exploração </w:t>
      </w:r>
      <w:r w:rsidRPr="002522F5">
        <w:rPr>
          <w:b/>
        </w:rPr>
        <w:t>no território</w:t>
      </w:r>
      <w:r>
        <w:t xml:space="preserve"> onde a patente foi </w:t>
      </w:r>
      <w:r w:rsidRPr="00AA714B">
        <w:rPr>
          <w:b/>
        </w:rPr>
        <w:t>concedida</w:t>
      </w:r>
      <w:r>
        <w:t>. Cabe a cada país – baseado na legislação local</w:t>
      </w:r>
      <w:r w:rsidRPr="00857F3B">
        <w:t xml:space="preserve"> </w:t>
      </w:r>
      <w:r>
        <w:t xml:space="preserve">e respeitando </w:t>
      </w:r>
      <w:r w:rsidR="00FD3943">
        <w:t xml:space="preserve">os </w:t>
      </w:r>
      <w:r>
        <w:t>acordos internacionais</w:t>
      </w:r>
      <w:r w:rsidRPr="00857F3B">
        <w:t xml:space="preserve"> </w:t>
      </w:r>
      <w:r>
        <w:t>dos quais é signatário – decidir</w:t>
      </w:r>
      <w:r w:rsidRPr="003D64EE">
        <w:t xml:space="preserve"> </w:t>
      </w:r>
      <w:r>
        <w:t xml:space="preserve">se a invenção é patenteável ou não. </w:t>
      </w:r>
    </w:p>
    <w:p w:rsidR="00801D3F" w:rsidRDefault="00801D3F" w:rsidP="00801D3F">
      <w:pPr>
        <w:spacing w:line="360" w:lineRule="auto"/>
        <w:ind w:firstLine="709"/>
        <w:jc w:val="both"/>
      </w:pPr>
      <w:r>
        <w:t>A contrapartida do sistema de patentes ao período no qual o titular (depositante) usufrui deste direito – 20 anos, no caso de Patentes de Invenção – é a divulgação da tecnologia. Isso significa que o depositante de um pedido de patente deverá descrever em detalhes nesse documento, a tecnologia por ele desenvolvida. Após no máximo 18 meses, esse documento será publicado e estará disponível em bases de dados (internet), podendo ser recuperado gratuitamente. Desta maneira, as bases de dados de patentes consistem em importantes fontes de informação tecnológica e jurídica.</w:t>
      </w:r>
    </w:p>
    <w:p w:rsidR="00AC6E38" w:rsidRDefault="00AC6E38" w:rsidP="00AC6E38">
      <w:pPr>
        <w:spacing w:line="360" w:lineRule="auto"/>
        <w:ind w:firstLine="708"/>
        <w:jc w:val="both"/>
      </w:pPr>
      <w:r w:rsidRPr="0054017D">
        <w:t xml:space="preserve">Este </w:t>
      </w:r>
      <w:r>
        <w:t>Radar Tecnológico</w:t>
      </w:r>
      <w:r w:rsidRPr="0054017D">
        <w:t xml:space="preserve"> tem como escopo acompanhar</w:t>
      </w:r>
      <w:r>
        <w:t xml:space="preserve"> </w:t>
      </w:r>
      <w:r w:rsidRPr="0054017D">
        <w:t xml:space="preserve">o desenvolvimento tecnológico na área de </w:t>
      </w:r>
      <w:r>
        <w:t xml:space="preserve">tecnologias de </w:t>
      </w:r>
      <w:r w:rsidRPr="00FD3943">
        <w:rPr>
          <w:b/>
        </w:rPr>
        <w:t xml:space="preserve">tratamento, prevenção e diagnóstico para doenças </w:t>
      </w:r>
      <w:r w:rsidRPr="00FD3943">
        <w:rPr>
          <w:b/>
        </w:rPr>
        <w:lastRenderedPageBreak/>
        <w:t>hipertensivas</w:t>
      </w:r>
      <w:r>
        <w:t xml:space="preserve">. Este tema </w:t>
      </w:r>
      <w:r w:rsidR="00FD3943">
        <w:t>foi definido como foco prioritário para monitoramento no âmbito do</w:t>
      </w:r>
      <w:r>
        <w:t xml:space="preserve"> acordo de cooperação técnica entre o INPI e a Agência Brasileira de Inovação (Finep).</w:t>
      </w:r>
    </w:p>
    <w:p w:rsidR="00AC6E38" w:rsidRPr="002522F5" w:rsidRDefault="00AC6E38" w:rsidP="00AC6E38">
      <w:pPr>
        <w:spacing w:line="360" w:lineRule="auto"/>
        <w:ind w:firstLine="709"/>
        <w:jc w:val="both"/>
      </w:pPr>
      <w:r w:rsidRPr="002522F5">
        <w:t>Para determinar a estratégia de bus</w:t>
      </w:r>
      <w:r>
        <w:t>ca em bases de dados de patentes,</w:t>
      </w:r>
      <w:r w:rsidRPr="002522F5">
        <w:t xml:space="preserve"> é necessário definir o período do monitoramento e o enquadramento do setor de acordo com a Classificação Internacional de Patentes (CIP</w:t>
      </w:r>
      <w:proofErr w:type="gramStart"/>
      <w:r w:rsidRPr="002522F5">
        <w:t>)</w:t>
      </w:r>
      <w:proofErr w:type="gramEnd"/>
      <w:r w:rsidRPr="002522F5">
        <w:rPr>
          <w:rStyle w:val="Refdenotaderodap"/>
        </w:rPr>
        <w:footnoteReference w:id="2"/>
      </w:r>
      <w:r w:rsidRPr="002522F5">
        <w:t xml:space="preserve">. O período estabelecido </w:t>
      </w:r>
      <w:r>
        <w:t xml:space="preserve">para este Radar Tecnológico </w:t>
      </w:r>
      <w:r w:rsidRPr="002522F5">
        <w:t xml:space="preserve">foi de </w:t>
      </w:r>
      <w:r w:rsidRPr="00FD3943">
        <w:rPr>
          <w:b/>
        </w:rPr>
        <w:t>2009 a 2013</w:t>
      </w:r>
      <w:r w:rsidRPr="004E5253">
        <w:t xml:space="preserve"> (</w:t>
      </w:r>
      <w:r w:rsidR="00981C88">
        <w:t xml:space="preserve">data de </w:t>
      </w:r>
      <w:r w:rsidRPr="004E5253">
        <w:t>publicação)</w:t>
      </w:r>
      <w:r w:rsidR="00FD3943">
        <w:t>;</w:t>
      </w:r>
      <w:r w:rsidRPr="004E5253">
        <w:t xml:space="preserve"> </w:t>
      </w:r>
      <w:r w:rsidRPr="002522F5">
        <w:t>e</w:t>
      </w:r>
      <w:r>
        <w:t>,</w:t>
      </w:r>
      <w:r w:rsidRPr="002522F5">
        <w:t xml:space="preserve"> para delimitar o campo/área de busca, </w:t>
      </w:r>
      <w:proofErr w:type="gramStart"/>
      <w:r w:rsidRPr="002522F5">
        <w:t>adotou-se</w:t>
      </w:r>
      <w:proofErr w:type="gramEnd"/>
      <w:r w:rsidRPr="002522F5">
        <w:t xml:space="preserve"> a CIP relacionada </w:t>
      </w:r>
      <w:r>
        <w:t>fármacos para o tratamento de distúrbios do sistema cardiovascular</w:t>
      </w:r>
      <w:r w:rsidR="002A6440">
        <w:t>, particularmente</w:t>
      </w:r>
      <w:r>
        <w:t xml:space="preserve"> anti-hipertensivos </w:t>
      </w:r>
      <w:r w:rsidRPr="004E5253">
        <w:t>(</w:t>
      </w:r>
      <w:r>
        <w:t>A61P 09/12</w:t>
      </w:r>
      <w:r w:rsidRPr="002522F5">
        <w:t>). Os documentos de patente</w:t>
      </w:r>
      <w:r w:rsidRPr="002522F5">
        <w:rPr>
          <w:rStyle w:val="Refdenotaderodap"/>
        </w:rPr>
        <w:footnoteReference w:id="3"/>
      </w:r>
      <w:r w:rsidRPr="002522F5">
        <w:t xml:space="preserve"> foram obtidos em consulta à base do Escritório Europeu de Patentes</w:t>
      </w:r>
      <w:r w:rsidRPr="002522F5">
        <w:rPr>
          <w:rStyle w:val="Refdenotaderodap"/>
        </w:rPr>
        <w:footnoteReference w:id="4"/>
      </w:r>
      <w:r w:rsidRPr="002522F5">
        <w:t xml:space="preserve">, que abriga documentação </w:t>
      </w:r>
      <w:proofErr w:type="spellStart"/>
      <w:r w:rsidRPr="002522F5">
        <w:t>patentária</w:t>
      </w:r>
      <w:proofErr w:type="spellEnd"/>
      <w:r w:rsidRPr="002522F5">
        <w:t xml:space="preserve"> de mais de 90 países e utiliza a classificação CIP para organização e recuperação dos documentos de patente.</w:t>
      </w:r>
    </w:p>
    <w:p w:rsidR="00AC6E38" w:rsidRDefault="00AC6E38" w:rsidP="00AC6E38">
      <w:pPr>
        <w:spacing w:line="360" w:lineRule="auto"/>
        <w:ind w:firstLine="708"/>
        <w:jc w:val="both"/>
      </w:pPr>
      <w:r>
        <w:t>Neste Radar Tecnológico são consideradas as convenções</w:t>
      </w:r>
      <w:r w:rsidR="00FD3943">
        <w:t xml:space="preserve"> descritas a seguir</w:t>
      </w:r>
      <w:r>
        <w:t>:</w:t>
      </w:r>
    </w:p>
    <w:p w:rsidR="00AC6E38" w:rsidRDefault="00AC6E38" w:rsidP="00AC6E38">
      <w:pPr>
        <w:spacing w:after="60" w:line="360" w:lineRule="auto"/>
        <w:jc w:val="both"/>
      </w:pPr>
      <w:r w:rsidRPr="007C7474">
        <w:rPr>
          <w:b/>
        </w:rPr>
        <w:t>Documento de patente</w:t>
      </w:r>
      <w:r>
        <w:t>: Pedidos depositados e patentes concedidas.</w:t>
      </w:r>
    </w:p>
    <w:p w:rsidR="00AC6E38" w:rsidRDefault="00AC6E38" w:rsidP="00AC6E38">
      <w:pPr>
        <w:spacing w:after="60" w:line="360" w:lineRule="auto"/>
        <w:jc w:val="both"/>
      </w:pPr>
      <w:r w:rsidRPr="007C7474">
        <w:rPr>
          <w:b/>
        </w:rPr>
        <w:t xml:space="preserve">Família </w:t>
      </w:r>
      <w:r>
        <w:rPr>
          <w:b/>
        </w:rPr>
        <w:t xml:space="preserve">de documentos </w:t>
      </w:r>
      <w:r w:rsidRPr="007C7474">
        <w:rPr>
          <w:b/>
        </w:rPr>
        <w:t>de patente</w:t>
      </w:r>
      <w:r>
        <w:t xml:space="preserve">: Um mesmo invento pode ser protegido por patente em diferentes territórios. Para este invento, são geradas publicações equivalentes (documentos de patente), compondo, assim, uma </w:t>
      </w:r>
      <w:r w:rsidRPr="007C7474">
        <w:t>família</w:t>
      </w:r>
      <w:r>
        <w:t xml:space="preserve"> de documentos de patentes.</w:t>
      </w:r>
    </w:p>
    <w:p w:rsidR="00AC6E38" w:rsidRDefault="00AC6E38" w:rsidP="00AC6E38">
      <w:pPr>
        <w:spacing w:after="60" w:line="360" w:lineRule="auto"/>
        <w:jc w:val="both"/>
      </w:pPr>
      <w:proofErr w:type="spellStart"/>
      <w:r w:rsidRPr="007C7474">
        <w:rPr>
          <w:b/>
        </w:rPr>
        <w:t>Patent</w:t>
      </w:r>
      <w:proofErr w:type="spellEnd"/>
      <w:r w:rsidRPr="007C7474">
        <w:rPr>
          <w:b/>
        </w:rPr>
        <w:t xml:space="preserve"> </w:t>
      </w:r>
      <w:proofErr w:type="spellStart"/>
      <w:r w:rsidRPr="007C7474">
        <w:rPr>
          <w:b/>
        </w:rPr>
        <w:t>Cooperation</w:t>
      </w:r>
      <w:proofErr w:type="spellEnd"/>
      <w:r w:rsidRPr="007C7474">
        <w:rPr>
          <w:b/>
        </w:rPr>
        <w:t xml:space="preserve"> </w:t>
      </w:r>
      <w:proofErr w:type="spellStart"/>
      <w:r w:rsidRPr="007C7474">
        <w:rPr>
          <w:b/>
        </w:rPr>
        <w:t>Treaty</w:t>
      </w:r>
      <w:proofErr w:type="spellEnd"/>
      <w:r w:rsidRPr="007C7474">
        <w:t xml:space="preserve"> </w:t>
      </w:r>
      <w:r w:rsidRPr="00B33255">
        <w:rPr>
          <w:b/>
        </w:rPr>
        <w:t>(PCT)</w:t>
      </w:r>
      <w:r>
        <w:t>: em português, Tratado de Co</w:t>
      </w:r>
      <w:r w:rsidR="00FD3943">
        <w:t>operação em Matéria de Patentes. É</w:t>
      </w:r>
      <w:r>
        <w:t xml:space="preserve"> um acordo administrado no âmbito da Organização Mundial da Propriedade Intelectual (WIPO</w:t>
      </w:r>
      <w:proofErr w:type="gramStart"/>
      <w:r>
        <w:t>)</w:t>
      </w:r>
      <w:proofErr w:type="gramEnd"/>
      <w:r w:rsidRPr="0075289B">
        <w:rPr>
          <w:vertAlign w:val="superscript"/>
        </w:rPr>
        <w:footnoteReference w:id="5"/>
      </w:r>
      <w:r>
        <w:t xml:space="preserve">. Este acordo facilita o depósito em diferentes territórios, </w:t>
      </w:r>
      <w:r w:rsidR="00FD3943">
        <w:t>uma vez que reduz os custos,</w:t>
      </w:r>
      <w:r>
        <w:t xml:space="preserve"> provê 12 meses para a decisão de depositar em mais países e 18 meses adicionais para a efetivação dos depósitos, totalizando 30 meses para a entrada na fase nacional nos estados membros do PCT</w:t>
      </w:r>
      <w:r w:rsidR="00FD3943">
        <w:t>,</w:t>
      </w:r>
      <w:r>
        <w:t xml:space="preserve"> nos quais a proteção </w:t>
      </w:r>
      <w:proofErr w:type="spellStart"/>
      <w:r>
        <w:t>patentária</w:t>
      </w:r>
      <w:proofErr w:type="spellEnd"/>
      <w:r>
        <w:t xml:space="preserve"> é almejada.</w:t>
      </w:r>
    </w:p>
    <w:p w:rsidR="00AC6E38" w:rsidRDefault="00AC6E38" w:rsidP="00AC6E38">
      <w:pPr>
        <w:spacing w:after="60" w:line="360" w:lineRule="auto"/>
        <w:jc w:val="both"/>
      </w:pPr>
      <w:r w:rsidRPr="007C7474">
        <w:rPr>
          <w:b/>
        </w:rPr>
        <w:t>Documento WO</w:t>
      </w:r>
      <w:r>
        <w:t>: O documento de patente com número de publicação iniciado pelo código de país (</w:t>
      </w:r>
      <w:r w:rsidRPr="0093038B">
        <w:rPr>
          <w:i/>
        </w:rPr>
        <w:t xml:space="preserve">country </w:t>
      </w:r>
      <w:proofErr w:type="spellStart"/>
      <w:r w:rsidRPr="0093038B">
        <w:rPr>
          <w:i/>
        </w:rPr>
        <w:t>code</w:t>
      </w:r>
      <w:proofErr w:type="spellEnd"/>
      <w:r>
        <w:t xml:space="preserve">) WO gera apenas uma publicação (documento de patente), </w:t>
      </w:r>
      <w:r>
        <w:lastRenderedPageBreak/>
        <w:t>que indica que o depositante beneficiou-se do PCT. Este documento de patente não gera, por si só, proteção</w:t>
      </w:r>
      <w:r w:rsidR="00FD3943">
        <w:t xml:space="preserve"> da invenção</w:t>
      </w:r>
      <w:r>
        <w:t>.</w:t>
      </w:r>
    </w:p>
    <w:p w:rsidR="00AC6E38" w:rsidRDefault="00AC6E38" w:rsidP="00AC6E38">
      <w:pPr>
        <w:spacing w:after="60" w:line="360" w:lineRule="auto"/>
        <w:jc w:val="both"/>
      </w:pPr>
      <w:r>
        <w:rPr>
          <w:b/>
        </w:rPr>
        <w:t>Documentos</w:t>
      </w:r>
      <w:r w:rsidRPr="004E5253">
        <w:rPr>
          <w:b/>
        </w:rPr>
        <w:t xml:space="preserve"> livres</w:t>
      </w:r>
      <w:r w:rsidR="00FD3943">
        <w:rPr>
          <w:b/>
        </w:rPr>
        <w:t xml:space="preserve"> no Brasil</w:t>
      </w:r>
      <w:r w:rsidRPr="004E5253">
        <w:rPr>
          <w:b/>
        </w:rPr>
        <w:t xml:space="preserve">: </w:t>
      </w:r>
      <w:r w:rsidR="00FD3943">
        <w:t>contê</w:t>
      </w:r>
      <w:r w:rsidRPr="004E5253">
        <w:t xml:space="preserve">m </w:t>
      </w:r>
      <w:r>
        <w:t>tecnologias para as quais foram depositado</w:t>
      </w:r>
      <w:r w:rsidRPr="004E5253">
        <w:t xml:space="preserve">s </w:t>
      </w:r>
      <w:r>
        <w:t xml:space="preserve">pedidos de patente </w:t>
      </w:r>
      <w:r w:rsidRPr="004E5253">
        <w:t>em outros territórios, porém</w:t>
      </w:r>
      <w:r w:rsidRPr="004E5253">
        <w:rPr>
          <w:b/>
        </w:rPr>
        <w:t xml:space="preserve"> </w:t>
      </w:r>
      <w:r w:rsidRPr="004E5253">
        <w:t>não no Brasil, considerando-se os prazos estipulados nas leis e acordos vigentes.</w:t>
      </w:r>
    </w:p>
    <w:p w:rsidR="00AC6E38" w:rsidRDefault="00AC6E38" w:rsidP="00AC6E38">
      <w:pPr>
        <w:spacing w:after="60" w:line="360" w:lineRule="auto"/>
        <w:jc w:val="both"/>
      </w:pPr>
      <w:r w:rsidRPr="00B33255">
        <w:rPr>
          <w:b/>
        </w:rPr>
        <w:t xml:space="preserve">Documentos que podem </w:t>
      </w:r>
      <w:r>
        <w:rPr>
          <w:b/>
        </w:rPr>
        <w:t xml:space="preserve">vir a </w:t>
      </w:r>
      <w:r w:rsidRPr="00B33255">
        <w:rPr>
          <w:b/>
        </w:rPr>
        <w:t>ser depositados no Brasil</w:t>
      </w:r>
      <w:r>
        <w:rPr>
          <w:b/>
        </w:rPr>
        <w:t xml:space="preserve">: </w:t>
      </w:r>
      <w:r>
        <w:t xml:space="preserve">a quantidade </w:t>
      </w:r>
      <w:r w:rsidR="00FD3943">
        <w:t xml:space="preserve">desses documentos </w:t>
      </w:r>
      <w:r>
        <w:t>apresentada</w:t>
      </w:r>
      <w:r w:rsidRPr="00B33255">
        <w:t xml:space="preserve"> neste </w:t>
      </w:r>
      <w:r>
        <w:t>Radar Tecnológico</w:t>
      </w:r>
      <w:r w:rsidRPr="00B33255">
        <w:t xml:space="preserve"> </w:t>
      </w:r>
      <w:r>
        <w:t>é estimada,</w:t>
      </w:r>
      <w:r w:rsidRPr="00F650B9">
        <w:t xml:space="preserve"> levando-se em consideração os pedidos que entraram via PCT e que, deste modo</w:t>
      </w:r>
      <w:r>
        <w:t>,</w:t>
      </w:r>
      <w:r w:rsidRPr="00F650B9">
        <w:t xml:space="preserve"> ainda est</w:t>
      </w:r>
      <w:r>
        <w:t>ão</w:t>
      </w:r>
      <w:r w:rsidRPr="00F650B9">
        <w:t xml:space="preserve"> dentro do período estipulado para indicar interesse em requerer proteção no Brasil (até 30 meses após o primeiro depósito).</w:t>
      </w:r>
      <w:r w:rsidRPr="00A878CC">
        <w:t xml:space="preserve"> </w:t>
      </w:r>
    </w:p>
    <w:p w:rsidR="00AC6E38" w:rsidRDefault="00AC6E38" w:rsidP="00AC6E38">
      <w:pPr>
        <w:spacing w:after="60" w:line="360" w:lineRule="auto"/>
        <w:jc w:val="both"/>
      </w:pPr>
      <w:r w:rsidRPr="00B02A29">
        <w:rPr>
          <w:b/>
        </w:rPr>
        <w:t>Livre para operar</w:t>
      </w:r>
      <w:r>
        <w:rPr>
          <w:b/>
        </w:rPr>
        <w:t xml:space="preserve"> (livre</w:t>
      </w:r>
      <w:r w:rsidR="00981C88">
        <w:rPr>
          <w:b/>
        </w:rPr>
        <w:t>s</w:t>
      </w:r>
      <w:r>
        <w:rPr>
          <w:b/>
        </w:rPr>
        <w:t>)</w:t>
      </w:r>
      <w:r w:rsidRPr="00B02A29">
        <w:t>: Neste Radar Tecnológico</w:t>
      </w:r>
      <w:r w:rsidR="00635DD7">
        <w:t>,</w:t>
      </w:r>
      <w:r w:rsidRPr="00B02A29">
        <w:t xml:space="preserve"> estão representados como livres os pedidos</w:t>
      </w:r>
      <w:r>
        <w:t xml:space="preserve"> de patente que não foram depositados no Brasil (itens 1 e 3) e os que, após terem sido depositados no Brasil tornaram-se livres por terem sido indeferidos</w:t>
      </w:r>
      <w:r w:rsidR="00635DD7">
        <w:t xml:space="preserve">, </w:t>
      </w:r>
      <w:r w:rsidRPr="00D35FDD">
        <w:t>arquiva</w:t>
      </w:r>
      <w:r w:rsidR="00635DD7">
        <w:t xml:space="preserve">dos definitivamente ou que tiveram </w:t>
      </w:r>
      <w:r>
        <w:t xml:space="preserve">o prazo de vigência da proteção </w:t>
      </w:r>
      <w:r w:rsidR="00635DD7">
        <w:t xml:space="preserve">terminado </w:t>
      </w:r>
      <w:r>
        <w:t>(item 2).</w:t>
      </w:r>
    </w:p>
    <w:p w:rsidR="00AC6E38" w:rsidRDefault="00AC6E38" w:rsidP="00AC6E38">
      <w:pPr>
        <w:spacing w:after="60" w:line="360" w:lineRule="auto"/>
        <w:jc w:val="both"/>
      </w:pPr>
      <w:r w:rsidRPr="003F7F6F">
        <w:rPr>
          <w:b/>
        </w:rPr>
        <w:t>Relevância d</w:t>
      </w:r>
      <w:r>
        <w:rPr>
          <w:b/>
        </w:rPr>
        <w:t>o</w:t>
      </w:r>
      <w:r w:rsidRPr="003F7F6F">
        <w:rPr>
          <w:b/>
        </w:rPr>
        <w:t xml:space="preserve"> documento de patente</w:t>
      </w:r>
      <w:r>
        <w:rPr>
          <w:b/>
        </w:rPr>
        <w:t xml:space="preserve">: </w:t>
      </w:r>
      <w:r>
        <w:t>F</w:t>
      </w:r>
      <w:r w:rsidRPr="00243CCF">
        <w:t xml:space="preserve">amílias de documentos </w:t>
      </w:r>
      <w:r>
        <w:t xml:space="preserve">de patente que </w:t>
      </w:r>
      <w:r w:rsidRPr="00243CCF">
        <w:t>cont</w:t>
      </w:r>
      <w:r w:rsidR="00635DD7">
        <w:t>ê</w:t>
      </w:r>
      <w:r>
        <w:t>m</w:t>
      </w:r>
      <w:r w:rsidRPr="00243CCF">
        <w:t xml:space="preserve"> membros</w:t>
      </w:r>
      <w:r>
        <w:t xml:space="preserve"> equivalentes</w:t>
      </w:r>
      <w:r w:rsidRPr="00243CCF">
        <w:t xml:space="preserve"> depositados </w:t>
      </w:r>
      <w:r>
        <w:t>na Europa (</w:t>
      </w:r>
      <w:r w:rsidRPr="00243CCF">
        <w:t>EP</w:t>
      </w:r>
      <w:r>
        <w:t>)</w:t>
      </w:r>
      <w:r w:rsidRPr="00243CCF">
        <w:t xml:space="preserve">, </w:t>
      </w:r>
      <w:r w:rsidR="00635DD7">
        <w:t xml:space="preserve">no </w:t>
      </w:r>
      <w:r>
        <w:t>Japão (</w:t>
      </w:r>
      <w:r w:rsidRPr="00243CCF">
        <w:t>JP</w:t>
      </w:r>
      <w:r>
        <w:t>) e</w:t>
      </w:r>
      <w:r w:rsidR="00635DD7">
        <w:t xml:space="preserve"> nos</w:t>
      </w:r>
      <w:r>
        <w:t xml:space="preserve"> Estados Unidos (US), ou seja,</w:t>
      </w:r>
      <w:r w:rsidR="00635DD7">
        <w:t xml:space="preserve"> as chamadas</w:t>
      </w:r>
      <w:r>
        <w:t xml:space="preserve"> “</w:t>
      </w:r>
      <w:proofErr w:type="spellStart"/>
      <w:r w:rsidRPr="005829BF">
        <w:t>triadic</w:t>
      </w:r>
      <w:proofErr w:type="spellEnd"/>
      <w:r w:rsidRPr="005829BF">
        <w:t xml:space="preserve"> </w:t>
      </w:r>
      <w:proofErr w:type="spellStart"/>
      <w:r w:rsidRPr="005829BF">
        <w:t>patents</w:t>
      </w:r>
      <w:proofErr w:type="spellEnd"/>
      <w:r>
        <w:t>”,</w:t>
      </w:r>
      <w:r w:rsidRPr="00243CCF">
        <w:t xml:space="preserve"> e </w:t>
      </w:r>
      <w:r>
        <w:t xml:space="preserve">que </w:t>
      </w:r>
      <w:r w:rsidRPr="00243CCF">
        <w:t xml:space="preserve">também </w:t>
      </w:r>
      <w:r w:rsidR="00635DD7">
        <w:t>têm</w:t>
      </w:r>
      <w:r w:rsidRPr="00243CCF">
        <w:t xml:space="preserve"> depósitos via PCT (WO)</w:t>
      </w:r>
      <w:r>
        <w:t>,</w:t>
      </w:r>
      <w:r w:rsidR="00635DD7">
        <w:t xml:space="preserve"> podem conte</w:t>
      </w:r>
      <w:r w:rsidRPr="00243CCF">
        <w:t xml:space="preserve">r tecnologias potencialmente relevantes. Isso significa que o depositante manifestou interesse em proteger sua invenção em diferentes territórios/mercados. </w:t>
      </w:r>
      <w:r>
        <w:t xml:space="preserve">Famílias de patente desse tipo, que não tenham documentos depositados no Brasil, podem apresentar tecnologias </w:t>
      </w:r>
      <w:r w:rsidR="00635DD7">
        <w:t xml:space="preserve">de relevância mundial e </w:t>
      </w:r>
      <w:r w:rsidRPr="00243CCF">
        <w:t>passíveis de exploração comercial no território brasileiro</w:t>
      </w:r>
      <w:r>
        <w:t>.</w:t>
      </w:r>
    </w:p>
    <w:p w:rsidR="00AC6E38" w:rsidRDefault="00AC6E38" w:rsidP="00AC6E38">
      <w:pPr>
        <w:spacing w:after="60" w:line="360" w:lineRule="auto"/>
        <w:jc w:val="both"/>
      </w:pPr>
    </w:p>
    <w:p w:rsidR="00920A04" w:rsidRDefault="00920A04" w:rsidP="00AC6E38">
      <w:pPr>
        <w:spacing w:after="60" w:line="360" w:lineRule="auto"/>
        <w:jc w:val="both"/>
      </w:pPr>
    </w:p>
    <w:p w:rsidR="00920A04" w:rsidRPr="00920A04" w:rsidRDefault="00920A04" w:rsidP="00920A04"/>
    <w:p w:rsidR="00920A04" w:rsidRPr="00920A04" w:rsidRDefault="00920A04" w:rsidP="00920A04"/>
    <w:p w:rsidR="00920A04" w:rsidRPr="00920A04" w:rsidRDefault="00920A04" w:rsidP="00920A04"/>
    <w:p w:rsidR="00920A04" w:rsidRDefault="00920A04" w:rsidP="00920A04"/>
    <w:p w:rsidR="00920A04" w:rsidRDefault="00920A04" w:rsidP="00920A04"/>
    <w:p w:rsidR="00AC6E38" w:rsidRPr="00920A04" w:rsidRDefault="00AC6E38" w:rsidP="00920A04">
      <w:pPr>
        <w:sectPr w:rsidR="00AC6E38" w:rsidRPr="00920A04" w:rsidSect="00920A04">
          <w:pgSz w:w="11907" w:h="16839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AC6E38" w:rsidRDefault="00AC6E38" w:rsidP="00AC6E38">
      <w:pPr>
        <w:pStyle w:val="PargrafodaLista"/>
        <w:numPr>
          <w:ilvl w:val="0"/>
          <w:numId w:val="15"/>
        </w:numPr>
        <w:jc w:val="both"/>
        <w:rPr>
          <w:b/>
        </w:rPr>
      </w:pPr>
      <w:r w:rsidRPr="005F5E5B">
        <w:rPr>
          <w:b/>
        </w:rPr>
        <w:lastRenderedPageBreak/>
        <w:t xml:space="preserve">Cenário patentário referente a </w:t>
      </w:r>
      <w:r>
        <w:rPr>
          <w:b/>
        </w:rPr>
        <w:t>tecnologias para doenças hipertensivas</w:t>
      </w:r>
      <w:r w:rsidRPr="005F5E5B">
        <w:rPr>
          <w:b/>
        </w:rPr>
        <w:t xml:space="preserve"> </w:t>
      </w:r>
    </w:p>
    <w:p w:rsidR="00AC6E38" w:rsidRDefault="00AC6E38" w:rsidP="00AC6E38">
      <w:pPr>
        <w:spacing w:line="360" w:lineRule="auto"/>
        <w:ind w:firstLine="709"/>
        <w:jc w:val="both"/>
      </w:pPr>
    </w:p>
    <w:p w:rsidR="00AC6E38" w:rsidRDefault="00AC6E38" w:rsidP="00AC6E38">
      <w:pPr>
        <w:spacing w:line="360" w:lineRule="auto"/>
        <w:ind w:firstLine="709"/>
        <w:jc w:val="both"/>
      </w:pPr>
      <w:r>
        <w:t xml:space="preserve">O número de famílias de documentos (inventos) para o período 2009-2013, relacionados à classificação </w:t>
      </w:r>
      <w:r w:rsidR="00635DD7">
        <w:t xml:space="preserve">correspondente a </w:t>
      </w:r>
      <w:r w:rsidR="00635DD7">
        <w:rPr>
          <w:rStyle w:val="Ttulo1"/>
        </w:rPr>
        <w:t>fármacos aplicados no tratamento de distúrbios do sistema cardiovascular</w:t>
      </w:r>
      <w:r w:rsidR="00635DD7">
        <w:t>, especificamente anti-hipertensivos (</w:t>
      </w:r>
      <w:r>
        <w:t>A61P 09/12</w:t>
      </w:r>
      <w:r w:rsidR="00635DD7">
        <w:t>)</w:t>
      </w:r>
      <w:r>
        <w:t xml:space="preserve"> </w:t>
      </w:r>
      <w:r w:rsidR="00635DD7">
        <w:t xml:space="preserve">é de </w:t>
      </w:r>
      <w:r>
        <w:t>2.064. As famílias de documentos que não contém depósitos correspondentes no Brasil (livre) somam 1.813</w:t>
      </w:r>
      <w:r w:rsidR="00635DD7">
        <w:t>;</w:t>
      </w:r>
      <w:r>
        <w:t xml:space="preserve"> os documentos que podem vir a ser depositados no Brasil (d</w:t>
      </w:r>
      <w:r w:rsidR="00635DD7">
        <w:t>evido ao prazo dado pelo PCT) são</w:t>
      </w:r>
      <w:r>
        <w:t xml:space="preserve"> 39 e os documentos depositados no Brasil </w:t>
      </w:r>
      <w:r w:rsidR="00635DD7">
        <w:t>totaliza</w:t>
      </w:r>
      <w:r>
        <w:t xml:space="preserve">m 212. </w:t>
      </w:r>
    </w:p>
    <w:p w:rsidR="00AC6E38" w:rsidRDefault="00AC6E38" w:rsidP="00AC6E38">
      <w:pPr>
        <w:spacing w:line="360" w:lineRule="auto"/>
        <w:ind w:firstLine="708"/>
        <w:jc w:val="both"/>
      </w:pPr>
    </w:p>
    <w:p w:rsidR="00AC6E38" w:rsidRDefault="00AC6E38" w:rsidP="00AC6E38">
      <w:pPr>
        <w:pStyle w:val="PargrafodaLista"/>
        <w:numPr>
          <w:ilvl w:val="0"/>
          <w:numId w:val="15"/>
        </w:numPr>
        <w:jc w:val="both"/>
        <w:rPr>
          <w:b/>
        </w:rPr>
      </w:pPr>
      <w:r w:rsidRPr="005F5E5B">
        <w:rPr>
          <w:b/>
        </w:rPr>
        <w:t>Análise do status dos documentos de patente depositados no Brasil</w:t>
      </w:r>
    </w:p>
    <w:p w:rsidR="00AC6E38" w:rsidRDefault="00AC6E38" w:rsidP="00AC6E38">
      <w:pPr>
        <w:spacing w:line="360" w:lineRule="auto"/>
        <w:ind w:firstLine="709"/>
        <w:jc w:val="both"/>
      </w:pPr>
    </w:p>
    <w:p w:rsidR="00AC6E38" w:rsidRDefault="00AC6E38" w:rsidP="00AC6E38">
      <w:pPr>
        <w:spacing w:line="360" w:lineRule="auto"/>
        <w:ind w:firstLine="709"/>
        <w:jc w:val="both"/>
      </w:pPr>
      <w:r w:rsidRPr="005829BF">
        <w:t xml:space="preserve">Para a parcela de </w:t>
      </w:r>
      <w:r>
        <w:t>212</w:t>
      </w:r>
      <w:r w:rsidRPr="005829BF">
        <w:t xml:space="preserve"> documentos</w:t>
      </w:r>
      <w:r w:rsidRPr="00684DD5">
        <w:t xml:space="preserve">, </w:t>
      </w:r>
      <w:r w:rsidRPr="005829BF">
        <w:t xml:space="preserve">que corresponde aos pedidos de patente depositados no Brasil, o status atual é </w:t>
      </w:r>
      <w:r>
        <w:t>descrito a seguir (Gráfico 1).</w:t>
      </w:r>
    </w:p>
    <w:p w:rsidR="00635DD7" w:rsidRDefault="00635DD7" w:rsidP="00635DD7">
      <w:pPr>
        <w:spacing w:line="360" w:lineRule="auto"/>
        <w:ind w:firstLine="709"/>
        <w:jc w:val="both"/>
      </w:pPr>
    </w:p>
    <w:p w:rsidR="00635DD7" w:rsidRDefault="00981C88" w:rsidP="00981C88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8AE78A3">
            <wp:extent cx="4359275" cy="27432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DD7" w:rsidRDefault="00635DD7" w:rsidP="00635DD7">
      <w:pPr>
        <w:jc w:val="center"/>
        <w:rPr>
          <w:b/>
        </w:rPr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1</w:t>
      </w:r>
      <w:r w:rsidRPr="004034F4">
        <w:rPr>
          <w:b/>
        </w:rPr>
        <w:t>:</w:t>
      </w:r>
      <w:r>
        <w:rPr>
          <w:b/>
        </w:rPr>
        <w:t xml:space="preserve"> Liberdade de Operação no Brasil – tecnologias para doenças hipertensivas</w:t>
      </w:r>
    </w:p>
    <w:p w:rsidR="00635DD7" w:rsidRDefault="00635DD7" w:rsidP="00635DD7">
      <w:pPr>
        <w:ind w:firstLine="709"/>
        <w:jc w:val="both"/>
      </w:pPr>
    </w:p>
    <w:p w:rsidR="00635DD7" w:rsidRDefault="00635DD7" w:rsidP="00635DD7">
      <w:pPr>
        <w:ind w:left="360"/>
        <w:jc w:val="both"/>
        <w:rPr>
          <w:b/>
        </w:rPr>
      </w:pPr>
    </w:p>
    <w:p w:rsidR="00AC6E38" w:rsidRDefault="00AC6E38" w:rsidP="00AC6E38">
      <w:pPr>
        <w:spacing w:line="360" w:lineRule="auto"/>
        <w:ind w:firstLine="709"/>
        <w:jc w:val="both"/>
      </w:pPr>
      <w:r w:rsidRPr="0067348B">
        <w:t>O</w:t>
      </w:r>
      <w:r>
        <w:t>s pedidos com status “</w:t>
      </w:r>
      <w:r w:rsidRPr="0067348B">
        <w:t>em andamento</w:t>
      </w:r>
      <w:r>
        <w:t>” (89%) compreendem aqueles</w:t>
      </w:r>
      <w:r w:rsidRPr="0067348B">
        <w:t xml:space="preserve"> cuj</w:t>
      </w:r>
      <w:r>
        <w:t xml:space="preserve">a última publicação de decisão na </w:t>
      </w:r>
      <w:r w:rsidR="00635DD7">
        <w:t>Revista da Propriedade Industrial (</w:t>
      </w:r>
      <w:r>
        <w:t>RPI</w:t>
      </w:r>
      <w:proofErr w:type="gramStart"/>
      <w:r w:rsidR="00635DD7">
        <w:t>)</w:t>
      </w:r>
      <w:proofErr w:type="gramEnd"/>
      <w:r w:rsidRPr="00CE3825">
        <w:rPr>
          <w:vertAlign w:val="superscript"/>
        </w:rPr>
        <w:footnoteReference w:id="6"/>
      </w:r>
      <w:r w:rsidRPr="0067348B">
        <w:t xml:space="preserve"> </w:t>
      </w:r>
      <w:r>
        <w:t xml:space="preserve">está relacionada a: i) pedidos publicados; </w:t>
      </w:r>
      <w:proofErr w:type="spellStart"/>
      <w:r>
        <w:t>ii</w:t>
      </w:r>
      <w:proofErr w:type="spellEnd"/>
      <w:r>
        <w:t xml:space="preserve">) pedidos que deram entrada no Brasil via PCT (notificação de </w:t>
      </w:r>
      <w:r>
        <w:lastRenderedPageBreak/>
        <w:t xml:space="preserve">entrada na fase nacional); </w:t>
      </w:r>
      <w:proofErr w:type="spellStart"/>
      <w:r>
        <w:t>iii</w:t>
      </w:r>
      <w:proofErr w:type="spellEnd"/>
      <w:r>
        <w:t>) pedidos em exame no INPI.</w:t>
      </w:r>
      <w:r w:rsidRPr="00CE3825">
        <w:t xml:space="preserve"> </w:t>
      </w:r>
      <w:r w:rsidRPr="009601F3">
        <w:t>Também pode conter documentos arquivados cuja resposta do depositante ao INPI não ocorreu no prazo estipulado (pagamento de taxas ou resposta a algum tipo de exigência). Estes pedidos arquivados podem convergir para o arquivamento definitivo e, assim, tornarem-se livres.</w:t>
      </w:r>
    </w:p>
    <w:p w:rsidR="00AC6E38" w:rsidRPr="00074859" w:rsidRDefault="00AC6E38" w:rsidP="00AC6E38">
      <w:pPr>
        <w:spacing w:line="360" w:lineRule="auto"/>
        <w:ind w:firstLine="709"/>
        <w:jc w:val="both"/>
      </w:pPr>
      <w:r w:rsidRPr="0067348B">
        <w:t>Os documentos c</w:t>
      </w:r>
      <w:r>
        <w:t>lassificados</w:t>
      </w:r>
      <w:r w:rsidRPr="0067348B">
        <w:t xml:space="preserve"> como livre</w:t>
      </w:r>
      <w:r>
        <w:t xml:space="preserve">s (10%), cujas tecnologias estão livres para exploração no </w:t>
      </w:r>
      <w:r w:rsidRPr="00B02A29">
        <w:t>Brasil</w:t>
      </w:r>
      <w:r>
        <w:t>,</w:t>
      </w:r>
      <w:r w:rsidRPr="00B02A29">
        <w:t xml:space="preserve"> são </w:t>
      </w:r>
      <w:r>
        <w:t>documentos de patente</w:t>
      </w:r>
      <w:r w:rsidR="00635DD7">
        <w:t>:</w:t>
      </w:r>
      <w:r>
        <w:t xml:space="preserve"> i) que foram </w:t>
      </w:r>
      <w:r w:rsidRPr="0067348B">
        <w:t>arquiva</w:t>
      </w:r>
      <w:r>
        <w:t>dos definitivamente</w:t>
      </w:r>
      <w:r w:rsidR="00635DD7">
        <w:t>;</w:t>
      </w:r>
      <w:r>
        <w:t xml:space="preserve"> </w:t>
      </w:r>
      <w:proofErr w:type="spellStart"/>
      <w:proofErr w:type="gramStart"/>
      <w:r>
        <w:t>ii</w:t>
      </w:r>
      <w:proofErr w:type="spellEnd"/>
      <w:proofErr w:type="gramEnd"/>
      <w:r>
        <w:t>) cuja patente foi extinta</w:t>
      </w:r>
      <w:r w:rsidR="00635DD7">
        <w:t>;</w:t>
      </w:r>
      <w:r w:rsidRPr="0067348B">
        <w:t xml:space="preserve"> ou</w:t>
      </w:r>
      <w:r>
        <w:t xml:space="preserve"> </w:t>
      </w:r>
      <w:proofErr w:type="spellStart"/>
      <w:r>
        <w:t>iii</w:t>
      </w:r>
      <w:proofErr w:type="spellEnd"/>
      <w:r>
        <w:t>) que foram</w:t>
      </w:r>
      <w:r w:rsidRPr="0067348B">
        <w:t xml:space="preserve"> indefe</w:t>
      </w:r>
      <w:r>
        <w:t>ridos pelo INPI.</w:t>
      </w:r>
    </w:p>
    <w:p w:rsidR="00AC6E38" w:rsidRPr="00194C5E" w:rsidRDefault="00AC6E38" w:rsidP="00AC6E38">
      <w:pPr>
        <w:spacing w:line="360" w:lineRule="auto"/>
        <w:ind w:firstLine="709"/>
        <w:jc w:val="both"/>
      </w:pPr>
      <w:r w:rsidRPr="0067348B">
        <w:t>Os documentos considerados protegidos</w:t>
      </w:r>
      <w:r>
        <w:t xml:space="preserve"> (1%)</w:t>
      </w:r>
      <w:r w:rsidRPr="0067348B">
        <w:t xml:space="preserve"> são </w:t>
      </w:r>
      <w:r w:rsidR="00635DD7">
        <w:t xml:space="preserve">aqueles que foram </w:t>
      </w:r>
      <w:r w:rsidRPr="0067348B">
        <w:t>defe</w:t>
      </w:r>
      <w:r>
        <w:t>ridos/concedidos</w:t>
      </w:r>
      <w:r w:rsidRPr="00CE3825">
        <w:rPr>
          <w:vertAlign w:val="superscript"/>
        </w:rPr>
        <w:footnoteReference w:id="7"/>
      </w:r>
      <w:r w:rsidRPr="0067348B">
        <w:t xml:space="preserve"> ou</w:t>
      </w:r>
      <w:r>
        <w:t xml:space="preserve"> com status de </w:t>
      </w:r>
      <w:r w:rsidRPr="0067348B">
        <w:t>emissão da</w:t>
      </w:r>
      <w:r>
        <w:t xml:space="preserve"> </w:t>
      </w:r>
      <w:r w:rsidRPr="0067348B">
        <w:t xml:space="preserve">carta patente. </w:t>
      </w:r>
    </w:p>
    <w:p w:rsidR="00AC6E38" w:rsidRDefault="00AC6E38" w:rsidP="00AC6E38">
      <w:r>
        <w:br w:type="page"/>
      </w:r>
    </w:p>
    <w:p w:rsidR="00AC6E38" w:rsidRDefault="00AC6E38" w:rsidP="00AC6E38">
      <w:pPr>
        <w:pStyle w:val="PargrafodaLista"/>
        <w:numPr>
          <w:ilvl w:val="0"/>
          <w:numId w:val="15"/>
        </w:numPr>
        <w:spacing w:line="360" w:lineRule="auto"/>
        <w:rPr>
          <w:b/>
        </w:rPr>
      </w:pPr>
      <w:r w:rsidRPr="005F5E5B">
        <w:rPr>
          <w:b/>
        </w:rPr>
        <w:lastRenderedPageBreak/>
        <w:t xml:space="preserve">Análise de liberdade de operação no Brasil </w:t>
      </w:r>
    </w:p>
    <w:p w:rsidR="00AC6E38" w:rsidRPr="005F5E5B" w:rsidRDefault="00AC6E38" w:rsidP="00AC6E38">
      <w:pPr>
        <w:pStyle w:val="PargrafodaLista"/>
        <w:spacing w:line="360" w:lineRule="auto"/>
        <w:rPr>
          <w:b/>
        </w:rPr>
      </w:pPr>
    </w:p>
    <w:p w:rsidR="00AC6E38" w:rsidRDefault="00AC6E38" w:rsidP="00AC6E38">
      <w:pPr>
        <w:spacing w:line="360" w:lineRule="auto"/>
        <w:ind w:firstLine="709"/>
        <w:jc w:val="both"/>
      </w:pPr>
      <w:r>
        <w:t>Com base no cenário apresentado no item 1,</w:t>
      </w:r>
      <w:r w:rsidRPr="00F60F69">
        <w:t xml:space="preserve"> e no status dos pedidos de patente depositados no Brasil apresentado no item</w:t>
      </w:r>
      <w:r>
        <w:t xml:space="preserve"> 2, é possível concluir que</w:t>
      </w:r>
      <w:r w:rsidR="00F91BE8">
        <w:t>,</w:t>
      </w:r>
      <w:r>
        <w:t xml:space="preserve"> de 2</w:t>
      </w:r>
      <w:r w:rsidR="00F91BE8">
        <w:t>.</w:t>
      </w:r>
      <w:r>
        <w:t>064</w:t>
      </w:r>
      <w:r w:rsidRPr="00F60F69">
        <w:t xml:space="preserve"> famílias de documentos de patentes relacionados a </w:t>
      </w:r>
      <w:r w:rsidR="00E97357">
        <w:t xml:space="preserve">fármacos para o tratamento </w:t>
      </w:r>
      <w:r>
        <w:t>doenças hipertensivas</w:t>
      </w:r>
      <w:r w:rsidRPr="00D35FDD">
        <w:t xml:space="preserve">, apenas </w:t>
      </w:r>
      <w:r>
        <w:t xml:space="preserve">212 </w:t>
      </w:r>
      <w:r w:rsidRPr="00D35FDD">
        <w:t>foram depositados no Brasil. Dos</w:t>
      </w:r>
      <w:r>
        <w:t xml:space="preserve"> 212</w:t>
      </w:r>
      <w:r w:rsidRPr="00D35FDD">
        <w:t xml:space="preserve"> pedidos de patente depositados no Brasil</w:t>
      </w:r>
      <w:r w:rsidR="00F91BE8">
        <w:t>,</w:t>
      </w:r>
      <w:r w:rsidRPr="00D35FDD">
        <w:t xml:space="preserve"> </w:t>
      </w:r>
      <w:r>
        <w:t>10</w:t>
      </w:r>
      <w:r w:rsidRPr="00B02A29">
        <w:t>% tratam de tecnologias que estão livres para exploração no Brasil;</w:t>
      </w:r>
      <w:r>
        <w:t xml:space="preserve"> enquanto apenas</w:t>
      </w:r>
      <w:r w:rsidRPr="00D35FDD">
        <w:t xml:space="preserve"> </w:t>
      </w:r>
      <w:r>
        <w:t>1% representa tecnologias protegidas</w:t>
      </w:r>
      <w:r w:rsidR="00F91BE8">
        <w:t xml:space="preserve"> (patentes concedidas)</w:t>
      </w:r>
      <w:r>
        <w:t>.</w:t>
      </w:r>
      <w:r w:rsidR="00E97357" w:rsidRPr="00E97357">
        <w:t xml:space="preserve"> </w:t>
      </w:r>
      <w:r w:rsidR="00E97357">
        <w:t>As patentes concedidas poderiam revelar tecnologias passíveis de licenciamento.</w:t>
      </w:r>
    </w:p>
    <w:p w:rsidR="00AC6E38" w:rsidRDefault="00AC6E38" w:rsidP="00AC6E38">
      <w:pPr>
        <w:spacing w:line="360" w:lineRule="auto"/>
        <w:ind w:firstLine="709"/>
        <w:jc w:val="both"/>
      </w:pPr>
      <w:r>
        <w:t xml:space="preserve">A representação </w:t>
      </w:r>
      <w:r w:rsidR="00BF2BBC">
        <w:t xml:space="preserve">do </w:t>
      </w:r>
      <w:r>
        <w:t>Gráfic</w:t>
      </w:r>
      <w:r w:rsidR="00BF2BBC">
        <w:t xml:space="preserve">o 1, na página anterior, </w:t>
      </w:r>
      <w:r w:rsidR="0018585D">
        <w:t>ilustra estas informações.</w:t>
      </w:r>
    </w:p>
    <w:p w:rsidR="00920A04" w:rsidRDefault="00920A04" w:rsidP="00AC6E38">
      <w:pPr>
        <w:spacing w:line="360" w:lineRule="auto"/>
        <w:ind w:firstLine="709"/>
        <w:jc w:val="both"/>
      </w:pPr>
    </w:p>
    <w:p w:rsidR="00920A04" w:rsidRDefault="00920A04" w:rsidP="00AC6E38">
      <w:pPr>
        <w:ind w:left="360"/>
        <w:jc w:val="both"/>
        <w:rPr>
          <w:b/>
        </w:rPr>
      </w:pPr>
    </w:p>
    <w:p w:rsidR="00AC6E38" w:rsidRDefault="00AC6E38" w:rsidP="00AC6E38">
      <w:pPr>
        <w:pStyle w:val="PargrafodaLista"/>
        <w:numPr>
          <w:ilvl w:val="0"/>
          <w:numId w:val="15"/>
        </w:numPr>
        <w:jc w:val="both"/>
      </w:pPr>
      <w:r w:rsidRPr="00CE0B98">
        <w:rPr>
          <w:b/>
        </w:rPr>
        <w:t>Análise dos principais depositantes</w:t>
      </w:r>
      <w:r w:rsidRPr="00D27E10">
        <w:t xml:space="preserve"> </w:t>
      </w:r>
    </w:p>
    <w:p w:rsidR="00AC6E38" w:rsidRPr="00D27E10" w:rsidRDefault="00AC6E38" w:rsidP="00920A04">
      <w:pPr>
        <w:pStyle w:val="PargrafodaLista"/>
        <w:spacing w:line="360" w:lineRule="auto"/>
        <w:jc w:val="both"/>
      </w:pPr>
    </w:p>
    <w:p w:rsidR="00AC6E38" w:rsidRDefault="00AC6E38" w:rsidP="00AC6E38">
      <w:pPr>
        <w:spacing w:line="360" w:lineRule="auto"/>
        <w:ind w:firstLine="709"/>
        <w:jc w:val="both"/>
      </w:pPr>
      <w:r>
        <w:t>Do número total de famílias de documentos de patentes (inventos), foram identificados</w:t>
      </w:r>
      <w:r w:rsidR="00BF2BBC">
        <w:t>, entre os</w:t>
      </w:r>
      <w:r>
        <w:t xml:space="preserve"> principais depositantes, três empresas orientais, </w:t>
      </w:r>
      <w:proofErr w:type="spellStart"/>
      <w:r>
        <w:t>Daiichi</w:t>
      </w:r>
      <w:proofErr w:type="spellEnd"/>
      <w:r>
        <w:t xml:space="preserve"> </w:t>
      </w:r>
      <w:proofErr w:type="spellStart"/>
      <w:r>
        <w:t>Sankyo</w:t>
      </w:r>
      <w:proofErr w:type="spellEnd"/>
      <w:r>
        <w:t xml:space="preserve">, </w:t>
      </w:r>
      <w:proofErr w:type="spellStart"/>
      <w:r>
        <w:t>Taisho</w:t>
      </w:r>
      <w:proofErr w:type="spellEnd"/>
      <w:r>
        <w:t xml:space="preserve"> Pharma e </w:t>
      </w:r>
      <w:proofErr w:type="spellStart"/>
      <w:r>
        <w:t>Lunan</w:t>
      </w:r>
      <w:proofErr w:type="spellEnd"/>
      <w:r>
        <w:t xml:space="preserve"> </w:t>
      </w:r>
      <w:proofErr w:type="spellStart"/>
      <w:r>
        <w:t>Pharm</w:t>
      </w:r>
      <w:proofErr w:type="spellEnd"/>
      <w:r>
        <w:t xml:space="preserve">, e duas empresas ocidentais: Novartis e Sanofi Aventis. </w:t>
      </w:r>
    </w:p>
    <w:p w:rsidR="00AC6E38" w:rsidRPr="009601F3" w:rsidRDefault="00AC6E38" w:rsidP="00AC6E38">
      <w:pPr>
        <w:spacing w:line="360" w:lineRule="auto"/>
        <w:ind w:firstLine="709"/>
        <w:jc w:val="both"/>
      </w:pPr>
      <w:r>
        <w:t xml:space="preserve">Dos principais </w:t>
      </w:r>
      <w:r w:rsidRPr="009601F3">
        <w:t xml:space="preserve">depositantes, a Novartis tem maior interesse em proteger seus inventos no Brasil. O </w:t>
      </w:r>
      <w:r w:rsidR="00981C88">
        <w:t>G</w:t>
      </w:r>
      <w:r w:rsidRPr="009601F3">
        <w:t>ráfico</w:t>
      </w:r>
      <w:r w:rsidR="00BF2BBC" w:rsidRPr="009601F3">
        <w:t xml:space="preserve"> 2</w:t>
      </w:r>
      <w:r w:rsidRPr="009601F3">
        <w:t xml:space="preserve">, a seguir, indica os cinco principais </w:t>
      </w:r>
      <w:proofErr w:type="gramStart"/>
      <w:r w:rsidRPr="009601F3">
        <w:t>depositantes</w:t>
      </w:r>
      <w:proofErr w:type="gramEnd"/>
      <w:r w:rsidRPr="009601F3">
        <w:t>, bem como o número de pedidos depositados no Brasil</w:t>
      </w:r>
      <w:r w:rsidR="00E97357" w:rsidRPr="009601F3">
        <w:t xml:space="preserve"> versus o número total de pedidos de patentes</w:t>
      </w:r>
      <w:r w:rsidRPr="009601F3">
        <w:t>.</w:t>
      </w:r>
    </w:p>
    <w:p w:rsidR="000B5A09" w:rsidRDefault="000B5A09" w:rsidP="00AC6E38">
      <w:pPr>
        <w:spacing w:line="360" w:lineRule="auto"/>
        <w:ind w:firstLine="709"/>
        <w:jc w:val="both"/>
      </w:pPr>
    </w:p>
    <w:p w:rsidR="00AC6E38" w:rsidRDefault="00AC6E38" w:rsidP="000B5A09">
      <w:pPr>
        <w:jc w:val="center"/>
      </w:pPr>
      <w:r>
        <w:rPr>
          <w:noProof/>
          <w:lang w:eastAsia="pt-BR"/>
        </w:rPr>
        <w:drawing>
          <wp:inline distT="0" distB="0" distL="0" distR="0" wp14:anchorId="6E607E6E" wp14:editId="06DF3D72">
            <wp:extent cx="5593080" cy="2515169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0173D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"/>
                    <a:stretch/>
                  </pic:blipFill>
                  <pic:spPr bwMode="auto">
                    <a:xfrm>
                      <a:off x="0" y="0"/>
                      <a:ext cx="5593080" cy="251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A09" w:rsidRDefault="000B5A09" w:rsidP="00AC6E38">
      <w:pPr>
        <w:jc w:val="center"/>
        <w:rPr>
          <w:b/>
        </w:rPr>
      </w:pPr>
    </w:p>
    <w:p w:rsidR="000B5A09" w:rsidRDefault="000B5A09" w:rsidP="00AC6E38">
      <w:pPr>
        <w:jc w:val="center"/>
        <w:rPr>
          <w:b/>
        </w:rPr>
      </w:pPr>
    </w:p>
    <w:p w:rsidR="00AC6E38" w:rsidRDefault="00AC6E38" w:rsidP="00AC6E38">
      <w:pPr>
        <w:jc w:val="center"/>
      </w:pPr>
      <w:r>
        <w:rPr>
          <w:b/>
        </w:rPr>
        <w:t>Gráfico</w:t>
      </w:r>
      <w:r w:rsidRPr="004034F4">
        <w:rPr>
          <w:b/>
        </w:rPr>
        <w:t xml:space="preserve"> 2:</w:t>
      </w:r>
      <w:r>
        <w:rPr>
          <w:b/>
        </w:rPr>
        <w:t xml:space="preserve"> Principais depositantes de pedidos de patente</w:t>
      </w:r>
    </w:p>
    <w:p w:rsidR="00AC6E38" w:rsidRDefault="00AC6E38" w:rsidP="00AC6E38"/>
    <w:p w:rsidR="00AC6E38" w:rsidRDefault="00AC6E38" w:rsidP="00AC6E38">
      <w:pPr>
        <w:pStyle w:val="PargrafodaLista"/>
        <w:numPr>
          <w:ilvl w:val="0"/>
          <w:numId w:val="16"/>
        </w:numPr>
        <w:ind w:left="360"/>
        <w:jc w:val="both"/>
        <w:rPr>
          <w:b/>
        </w:rPr>
      </w:pPr>
      <w:r w:rsidRPr="005F5E5B">
        <w:rPr>
          <w:b/>
        </w:rPr>
        <w:t xml:space="preserve">Áreas Tecnológicas </w:t>
      </w:r>
    </w:p>
    <w:p w:rsidR="00AC6E38" w:rsidRDefault="00AC6E38" w:rsidP="00920A04">
      <w:pPr>
        <w:pStyle w:val="PargrafodaLista"/>
        <w:spacing w:line="360" w:lineRule="auto"/>
        <w:ind w:left="360"/>
        <w:jc w:val="both"/>
        <w:rPr>
          <w:b/>
        </w:rPr>
      </w:pPr>
    </w:p>
    <w:p w:rsidR="00AC6E38" w:rsidRDefault="00AC6E38" w:rsidP="00AC6E38">
      <w:pPr>
        <w:spacing w:line="360" w:lineRule="auto"/>
        <w:ind w:firstLine="709"/>
        <w:jc w:val="both"/>
      </w:pPr>
      <w:r>
        <w:t>Com base nas CIP mais recorrentes nessa amostra de 2.064 documentos de patente acerca de tecnologias</w:t>
      </w:r>
      <w:r w:rsidR="005A4623">
        <w:t xml:space="preserve"> relacionadas a fármacos </w:t>
      </w:r>
      <w:r>
        <w:t xml:space="preserve">para </w:t>
      </w:r>
      <w:r w:rsidR="005A4623">
        <w:t xml:space="preserve">as </w:t>
      </w:r>
      <w:r>
        <w:t xml:space="preserve">doenças hipertensivas, foram criadas categorias de aplicação (medicamentos, alimentos e investigação e diagnóstico), conforme exposto na </w:t>
      </w:r>
      <w:r w:rsidR="00981C88">
        <w:t>T</w:t>
      </w:r>
      <w:r>
        <w:t>abela 1.</w:t>
      </w:r>
    </w:p>
    <w:p w:rsidR="00AC6E38" w:rsidRDefault="00AC6E38" w:rsidP="00AC6E38">
      <w:pPr>
        <w:spacing w:line="360" w:lineRule="auto"/>
        <w:ind w:firstLine="709"/>
        <w:jc w:val="both"/>
      </w:pPr>
    </w:p>
    <w:p w:rsidR="00AC6E38" w:rsidRDefault="00AC6E38" w:rsidP="00AC6E38">
      <w:pPr>
        <w:spacing w:line="360" w:lineRule="auto"/>
        <w:ind w:firstLine="709"/>
        <w:jc w:val="both"/>
      </w:pPr>
    </w:p>
    <w:p w:rsidR="00AC6E38" w:rsidRPr="00194C5E" w:rsidRDefault="00AC6E38" w:rsidP="00AC6E38">
      <w:pPr>
        <w:tabs>
          <w:tab w:val="left" w:pos="8024"/>
        </w:tabs>
        <w:jc w:val="center"/>
        <w:rPr>
          <w:b/>
        </w:rPr>
      </w:pPr>
      <w:r w:rsidRPr="00194C5E">
        <w:rPr>
          <w:b/>
        </w:rPr>
        <w:t>Tabela 1:</w:t>
      </w:r>
      <w:r>
        <w:rPr>
          <w:b/>
        </w:rPr>
        <w:t xml:space="preserve"> Classificação Internacional de Patentes, seu significado, categoria de aplicação e número de inventos no período 2009-2013</w:t>
      </w:r>
    </w:p>
    <w:p w:rsidR="00AC6E38" w:rsidRPr="0066664D" w:rsidRDefault="00AC6E38" w:rsidP="00AC6E38">
      <w:pPr>
        <w:jc w:val="both"/>
      </w:pPr>
    </w:p>
    <w:tbl>
      <w:tblPr>
        <w:tblW w:w="8888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4811"/>
        <w:gridCol w:w="1864"/>
        <w:gridCol w:w="1312"/>
      </w:tblGrid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F2F2F2" w:themeFill="background1" w:themeFillShade="F2"/>
            <w:noWrap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CIP</w:t>
            </w:r>
          </w:p>
        </w:tc>
        <w:tc>
          <w:tcPr>
            <w:tcW w:w="4811" w:type="dxa"/>
            <w:shd w:val="clear" w:color="auto" w:fill="F2F2F2" w:themeFill="background1" w:themeFillShade="F2"/>
            <w:noWrap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Significado do código da CIP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Categoria de produto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Quantidade de inventos (famílias)</w:t>
            </w:r>
          </w:p>
        </w:tc>
      </w:tr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A21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both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Cozedura ao forno; equipamento para preparo ou processamento de massas; massas para cozedura ao forno</w:t>
            </w:r>
          </w:p>
        </w:tc>
        <w:tc>
          <w:tcPr>
            <w:tcW w:w="1864" w:type="dxa"/>
            <w:vMerge w:val="restart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Alimentos</w:t>
            </w:r>
          </w:p>
        </w:tc>
        <w:tc>
          <w:tcPr>
            <w:tcW w:w="1312" w:type="dxa"/>
            <w:vMerge w:val="restart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248</w:t>
            </w:r>
          </w:p>
        </w:tc>
      </w:tr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A22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both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Matança de animais; beneficiamento da carne; processamento de aves domésticas ou peixes</w:t>
            </w:r>
          </w:p>
        </w:tc>
        <w:tc>
          <w:tcPr>
            <w:tcW w:w="1864" w:type="dxa"/>
            <w:vMerge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</w:p>
        </w:tc>
      </w:tr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A23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both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Alimentos ou produtos alimentícios; seu beneficiamento, não abrangido por outras classes</w:t>
            </w:r>
          </w:p>
        </w:tc>
        <w:tc>
          <w:tcPr>
            <w:tcW w:w="1864" w:type="dxa"/>
            <w:vMerge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</w:p>
        </w:tc>
      </w:tr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G01N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both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Investigação ou análise dos materiais pela determinação de suas propriedades químicas ou físicas</w:t>
            </w:r>
          </w:p>
        </w:tc>
        <w:tc>
          <w:tcPr>
            <w:tcW w:w="1864" w:type="dxa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Investigação ou análise</w:t>
            </w:r>
          </w:p>
        </w:tc>
        <w:tc>
          <w:tcPr>
            <w:tcW w:w="1312" w:type="dxa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46</w:t>
            </w:r>
          </w:p>
        </w:tc>
      </w:tr>
      <w:tr w:rsidR="00AC6E38" w:rsidRPr="00407072" w:rsidTr="00920A04">
        <w:trPr>
          <w:trHeight w:val="288"/>
          <w:jc w:val="center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/>
                <w:bCs/>
                <w:sz w:val="20"/>
                <w:szCs w:val="16"/>
              </w:rPr>
            </w:pPr>
            <w:r w:rsidRPr="0066664D">
              <w:rPr>
                <w:b/>
                <w:bCs/>
                <w:sz w:val="20"/>
                <w:szCs w:val="16"/>
              </w:rPr>
              <w:t>A61P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AC6E38" w:rsidRPr="0066664D" w:rsidRDefault="00AC6E38" w:rsidP="0066664D">
            <w:pPr>
              <w:spacing w:line="360" w:lineRule="auto"/>
              <w:jc w:val="both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Atividade terapêutica de compostos químicos ou de preparações medicinais</w:t>
            </w:r>
          </w:p>
        </w:tc>
        <w:tc>
          <w:tcPr>
            <w:tcW w:w="1864" w:type="dxa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Medicamentos</w:t>
            </w:r>
          </w:p>
        </w:tc>
        <w:tc>
          <w:tcPr>
            <w:tcW w:w="1312" w:type="dxa"/>
            <w:vAlign w:val="center"/>
          </w:tcPr>
          <w:p w:rsidR="00AC6E38" w:rsidRPr="0066664D" w:rsidRDefault="00AC6E38" w:rsidP="0066664D">
            <w:pPr>
              <w:spacing w:line="360" w:lineRule="auto"/>
              <w:jc w:val="center"/>
              <w:rPr>
                <w:bCs/>
                <w:sz w:val="20"/>
                <w:szCs w:val="16"/>
              </w:rPr>
            </w:pPr>
            <w:r w:rsidRPr="0066664D">
              <w:rPr>
                <w:bCs/>
                <w:sz w:val="20"/>
                <w:szCs w:val="16"/>
              </w:rPr>
              <w:t>2.064</w:t>
            </w:r>
          </w:p>
        </w:tc>
      </w:tr>
    </w:tbl>
    <w:p w:rsidR="00AC6E38" w:rsidRPr="00407072" w:rsidRDefault="00AC6E38" w:rsidP="00AC6E38">
      <w:pPr>
        <w:tabs>
          <w:tab w:val="left" w:pos="8024"/>
        </w:tabs>
        <w:jc w:val="both"/>
      </w:pPr>
    </w:p>
    <w:p w:rsidR="005A4623" w:rsidRDefault="005A4623" w:rsidP="005A4623">
      <w:pPr>
        <w:spacing w:line="360" w:lineRule="auto"/>
        <w:ind w:firstLine="709"/>
        <w:jc w:val="both"/>
      </w:pPr>
      <w:r>
        <w:t>Um documento de patente pode apresentar mais de uma classificação que representa a invenção descrita. Isso justifica que o</w:t>
      </w:r>
      <w:r w:rsidRPr="00E8170E">
        <w:t xml:space="preserve"> somatório (número total de </w:t>
      </w:r>
      <w:r>
        <w:t>famílias de documentos) apresentado</w:t>
      </w:r>
      <w:r w:rsidRPr="00E8170E">
        <w:t xml:space="preserve"> n</w:t>
      </w:r>
      <w:r>
        <w:t xml:space="preserve">a </w:t>
      </w:r>
      <w:r w:rsidRPr="00E8170E">
        <w:t>tabela</w:t>
      </w:r>
      <w:r>
        <w:t xml:space="preserve"> 1, ou seja, 2.358,</w:t>
      </w:r>
      <w:r w:rsidRPr="00E8170E">
        <w:t xml:space="preserve"> é maior que o número de documentos da amostra </w:t>
      </w:r>
      <w:r>
        <w:t xml:space="preserve">considerada neste Radar Tecnológico, conforme apresentado no </w:t>
      </w:r>
      <w:r w:rsidR="00981C88">
        <w:t>G</w:t>
      </w:r>
      <w:r>
        <w:t xml:space="preserve">ráfico 1 </w:t>
      </w:r>
      <w:r w:rsidRPr="00E8170E">
        <w:t>(</w:t>
      </w:r>
      <w:r>
        <w:t>2.064 famílias</w:t>
      </w:r>
      <w:r w:rsidRPr="00E8170E">
        <w:t>)</w:t>
      </w:r>
      <w:r>
        <w:t xml:space="preserve">. </w:t>
      </w:r>
    </w:p>
    <w:p w:rsidR="00AC6E38" w:rsidRDefault="00AC6E38" w:rsidP="00AC6E38">
      <w:pPr>
        <w:spacing w:line="360" w:lineRule="auto"/>
        <w:ind w:firstLine="709"/>
        <w:jc w:val="both"/>
      </w:pPr>
    </w:p>
    <w:p w:rsidR="00920A04" w:rsidRDefault="00920A04" w:rsidP="00AC6E38">
      <w:pPr>
        <w:spacing w:line="360" w:lineRule="auto"/>
        <w:ind w:firstLine="709"/>
        <w:jc w:val="both"/>
      </w:pPr>
    </w:p>
    <w:p w:rsidR="00801D3F" w:rsidRDefault="00801D3F" w:rsidP="00AC6E38">
      <w:pPr>
        <w:spacing w:line="360" w:lineRule="auto"/>
        <w:ind w:firstLine="709"/>
        <w:jc w:val="both"/>
      </w:pPr>
    </w:p>
    <w:p w:rsidR="00801D3F" w:rsidRDefault="00801D3F" w:rsidP="00AC6E38">
      <w:pPr>
        <w:spacing w:line="360" w:lineRule="auto"/>
        <w:ind w:firstLine="709"/>
        <w:jc w:val="both"/>
      </w:pPr>
    </w:p>
    <w:p w:rsidR="00801D3F" w:rsidRDefault="00801D3F" w:rsidP="00AC6E38">
      <w:pPr>
        <w:spacing w:line="360" w:lineRule="auto"/>
        <w:ind w:firstLine="709"/>
        <w:jc w:val="both"/>
      </w:pPr>
    </w:p>
    <w:p w:rsidR="00801D3F" w:rsidRPr="0066664D" w:rsidRDefault="00801D3F" w:rsidP="00AC6E38">
      <w:pPr>
        <w:spacing w:line="360" w:lineRule="auto"/>
        <w:ind w:firstLine="709"/>
        <w:jc w:val="both"/>
      </w:pPr>
    </w:p>
    <w:p w:rsidR="00AC6E38" w:rsidRDefault="00AC6E38" w:rsidP="00AC6E38">
      <w:pPr>
        <w:pStyle w:val="PargrafodaLista"/>
        <w:numPr>
          <w:ilvl w:val="0"/>
          <w:numId w:val="16"/>
        </w:numPr>
        <w:ind w:left="360"/>
        <w:jc w:val="both"/>
        <w:rPr>
          <w:b/>
        </w:rPr>
      </w:pPr>
      <w:r>
        <w:rPr>
          <w:b/>
        </w:rPr>
        <w:lastRenderedPageBreak/>
        <w:t>Nuvem de palavras</w:t>
      </w:r>
    </w:p>
    <w:p w:rsidR="00AC6E38" w:rsidRDefault="00AC6E38" w:rsidP="00920A04">
      <w:pPr>
        <w:spacing w:line="360" w:lineRule="auto"/>
        <w:jc w:val="both"/>
        <w:rPr>
          <w:b/>
        </w:rPr>
      </w:pPr>
    </w:p>
    <w:p w:rsidR="00AC6E38" w:rsidRDefault="00AC6E38" w:rsidP="00AC6E38">
      <w:pPr>
        <w:spacing w:line="360" w:lineRule="auto"/>
        <w:ind w:firstLine="709"/>
        <w:jc w:val="both"/>
      </w:pPr>
      <w:r>
        <w:t>Com base nos títulos dos documentos de patentes resgatados com a estratégia de busca proposta para esse Radar Tecnológico, foi elaborada uma nuvem de palavras com as 100 palavras mais recorrentes. O tamanho da palavra nessa nuvem está relacionado com a frequência com que ela aparece nos títulos dos documentos. Assim, palavras maiores são palavras mais recorrentes.</w:t>
      </w:r>
    </w:p>
    <w:p w:rsidR="00AC6E38" w:rsidRPr="0066664D" w:rsidRDefault="00AC6E38" w:rsidP="00AC6E38">
      <w:pPr>
        <w:spacing w:line="360" w:lineRule="auto"/>
        <w:rPr>
          <w:b/>
        </w:rPr>
      </w:pPr>
    </w:p>
    <w:p w:rsidR="0066664D" w:rsidRPr="0066664D" w:rsidRDefault="0066664D" w:rsidP="00AC6E38">
      <w:pPr>
        <w:spacing w:line="360" w:lineRule="auto"/>
        <w:rPr>
          <w:b/>
        </w:rPr>
      </w:pPr>
    </w:p>
    <w:p w:rsidR="00AC6E38" w:rsidRDefault="00AC6E38" w:rsidP="00981C88">
      <w:pPr>
        <w:spacing w:line="360" w:lineRule="auto"/>
        <w:jc w:val="center"/>
        <w:rPr>
          <w:b/>
        </w:rPr>
      </w:pPr>
      <w:r w:rsidRPr="00847035">
        <w:rPr>
          <w:b/>
          <w:noProof/>
          <w:lang w:eastAsia="pt-BR"/>
        </w:rPr>
        <w:drawing>
          <wp:inline distT="0" distB="0" distL="0" distR="0" wp14:anchorId="00FF8637" wp14:editId="65CC8D2C">
            <wp:extent cx="5615354" cy="1369848"/>
            <wp:effectExtent l="0" t="0" r="4445" b="1905"/>
            <wp:docPr id="166" name="Imagem 165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m 165" descr="Recorte de Tela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30993"/>
                    <a:stretch/>
                  </pic:blipFill>
                  <pic:spPr>
                    <a:xfrm>
                      <a:off x="0" y="0"/>
                      <a:ext cx="5628620" cy="13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09" w:rsidRPr="00920A04" w:rsidRDefault="000B5A09" w:rsidP="00AC6E38">
      <w:pPr>
        <w:spacing w:line="360" w:lineRule="auto"/>
        <w:rPr>
          <w:b/>
        </w:rPr>
      </w:pPr>
    </w:p>
    <w:p w:rsidR="00AC6E38" w:rsidRDefault="00AC6E38" w:rsidP="00AC6E38">
      <w:pPr>
        <w:jc w:val="center"/>
        <w:rPr>
          <w:b/>
        </w:rPr>
      </w:pPr>
      <w:r>
        <w:rPr>
          <w:b/>
        </w:rPr>
        <w:t>Figura</w:t>
      </w:r>
      <w:r w:rsidRPr="004034F4">
        <w:rPr>
          <w:b/>
        </w:rPr>
        <w:t xml:space="preserve"> </w:t>
      </w:r>
      <w:r>
        <w:rPr>
          <w:b/>
        </w:rPr>
        <w:t>1</w:t>
      </w:r>
      <w:r w:rsidRPr="004034F4">
        <w:rPr>
          <w:b/>
        </w:rPr>
        <w:t>:</w:t>
      </w:r>
      <w:r>
        <w:rPr>
          <w:b/>
        </w:rPr>
        <w:t xml:space="preserve"> Nuvem das 100 palavras mais recorrentes nos títulos dos documentos de patente</w:t>
      </w:r>
    </w:p>
    <w:p w:rsidR="00AC6E38" w:rsidRDefault="00AC6E38" w:rsidP="00AC6E38">
      <w:pPr>
        <w:spacing w:line="360" w:lineRule="auto"/>
        <w:rPr>
          <w:b/>
        </w:rPr>
      </w:pPr>
    </w:p>
    <w:p w:rsidR="00981C88" w:rsidRDefault="00981C88" w:rsidP="00AC6E38">
      <w:pPr>
        <w:spacing w:line="360" w:lineRule="auto"/>
        <w:rPr>
          <w:b/>
        </w:rPr>
      </w:pPr>
    </w:p>
    <w:p w:rsidR="00AC6E38" w:rsidRDefault="00AC6E38" w:rsidP="00AC6E38">
      <w:pPr>
        <w:pStyle w:val="PargrafodaLista"/>
        <w:numPr>
          <w:ilvl w:val="0"/>
          <w:numId w:val="16"/>
        </w:numPr>
        <w:ind w:left="360"/>
        <w:jc w:val="both"/>
        <w:rPr>
          <w:b/>
        </w:rPr>
      </w:pPr>
      <w:r>
        <w:rPr>
          <w:b/>
        </w:rPr>
        <w:t>Origem das tecnologias para doenças hipertensivas:</w:t>
      </w:r>
    </w:p>
    <w:p w:rsidR="00AC6E38" w:rsidRDefault="00AC6E38" w:rsidP="00920A04">
      <w:pPr>
        <w:spacing w:line="360" w:lineRule="auto"/>
        <w:jc w:val="both"/>
        <w:rPr>
          <w:b/>
        </w:rPr>
      </w:pPr>
    </w:p>
    <w:p w:rsidR="00AC6E38" w:rsidRDefault="00AC6E38" w:rsidP="00AC6E38">
      <w:pPr>
        <w:spacing w:line="360" w:lineRule="auto"/>
        <w:ind w:firstLine="709"/>
        <w:jc w:val="both"/>
      </w:pPr>
      <w:r>
        <w:t>A identificação do país de origem da tecnologia constitui-se averiguar o local onde ocorreu o primeiro depósito do pedido de patente. Em outras palavras, extrai-se a informação do país de origem de uma tecnologia através do pedido prioritário mais antigo de cada família de patente.</w:t>
      </w:r>
    </w:p>
    <w:p w:rsidR="00AC6E38" w:rsidRDefault="00AC6E38" w:rsidP="00AC6E38">
      <w:pPr>
        <w:jc w:val="both"/>
        <w:rPr>
          <w:b/>
        </w:rPr>
      </w:pPr>
    </w:p>
    <w:p w:rsidR="00AC6E38" w:rsidRDefault="00AC6E38" w:rsidP="00AC6E38">
      <w:pPr>
        <w:jc w:val="both"/>
        <w:rPr>
          <w:b/>
        </w:rPr>
      </w:pPr>
    </w:p>
    <w:p w:rsidR="00AC6E38" w:rsidRDefault="00AC6E38" w:rsidP="00AC6E38">
      <w:pPr>
        <w:jc w:val="both"/>
        <w:rPr>
          <w:b/>
        </w:rPr>
      </w:pPr>
    </w:p>
    <w:p w:rsidR="000B5A09" w:rsidRPr="00350853" w:rsidRDefault="00981C88" w:rsidP="00AC6E38">
      <w:pPr>
        <w:jc w:val="both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3B42F329">
            <wp:extent cx="5515708" cy="2936273"/>
            <wp:effectExtent l="0" t="0" r="889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05" cy="293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64D" w:rsidRDefault="0066664D" w:rsidP="00AC6E38">
      <w:pPr>
        <w:jc w:val="center"/>
        <w:rPr>
          <w:b/>
        </w:rPr>
      </w:pPr>
    </w:p>
    <w:p w:rsidR="00AC6E38" w:rsidRDefault="00AC6E38" w:rsidP="00AC6E38">
      <w:pPr>
        <w:jc w:val="center"/>
        <w:rPr>
          <w:b/>
        </w:rPr>
      </w:pPr>
      <w:r>
        <w:rPr>
          <w:b/>
        </w:rPr>
        <w:t>Figura</w:t>
      </w:r>
      <w:r w:rsidRPr="004034F4">
        <w:rPr>
          <w:b/>
        </w:rPr>
        <w:t xml:space="preserve"> </w:t>
      </w:r>
      <w:r>
        <w:rPr>
          <w:b/>
        </w:rPr>
        <w:t>2</w:t>
      </w:r>
      <w:r w:rsidRPr="004034F4">
        <w:rPr>
          <w:b/>
        </w:rPr>
        <w:t>:</w:t>
      </w:r>
      <w:r>
        <w:rPr>
          <w:b/>
        </w:rPr>
        <w:t xml:space="preserve"> Origem das tecnologias para doenças hipertensivas no período de 2009 a 2013</w:t>
      </w:r>
    </w:p>
    <w:p w:rsidR="00AC6E38" w:rsidRDefault="00AC6E38" w:rsidP="00AC6E38">
      <w:pPr>
        <w:rPr>
          <w:b/>
        </w:rPr>
      </w:pPr>
      <w:r>
        <w:rPr>
          <w:b/>
        </w:rPr>
        <w:br w:type="page"/>
      </w:r>
    </w:p>
    <w:p w:rsidR="00AC6E38" w:rsidRDefault="00AC6E38" w:rsidP="00AC6E38">
      <w:pPr>
        <w:spacing w:line="360" w:lineRule="auto"/>
        <w:rPr>
          <w:b/>
        </w:rPr>
      </w:pPr>
      <w:r w:rsidRPr="009306D3">
        <w:rPr>
          <w:b/>
        </w:rPr>
        <w:lastRenderedPageBreak/>
        <w:t>Considerações Finais</w:t>
      </w:r>
    </w:p>
    <w:p w:rsidR="00AC6E38" w:rsidRPr="00140B7A" w:rsidRDefault="00AC6E38" w:rsidP="00AC6E38">
      <w:pPr>
        <w:spacing w:line="360" w:lineRule="auto"/>
        <w:rPr>
          <w:b/>
        </w:rPr>
      </w:pPr>
    </w:p>
    <w:p w:rsidR="006A4404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>
        <w:t>Caso os dados apresentados neste Radar Tecnológico despertem interesse para fins de licenciamento de tecnologias, recomenda-se que o(s) depositante (s) da (s) patente (s) em questão seja (m) contatado (s).</w:t>
      </w:r>
    </w:p>
    <w:p w:rsidR="006A4404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>
        <w:t>A atuação do INPI, nesse âmbito, se dá por meio da averbação de contratos de exploração de patentes, de acordo com as cláusulas estabelecidas entre as partes (depositante da patente e interessado no seu licenciamento).</w:t>
      </w:r>
      <w:r w:rsidRPr="00A50D3B">
        <w:t xml:space="preserve"> </w:t>
      </w:r>
      <w:r>
        <w:t xml:space="preserve">Para </w:t>
      </w:r>
      <w:r w:rsidRPr="006C2476">
        <w:t xml:space="preserve">mais informações: </w:t>
      </w:r>
      <w:r>
        <w:t>&lt;</w:t>
      </w:r>
      <w:hyperlink r:id="rId17" w:history="1">
        <w:r w:rsidRPr="002861FD">
          <w:rPr>
            <w:rStyle w:val="Hyperlink"/>
          </w:rPr>
          <w:t>http://www.inpi.gov.br/portal/artigo/guia_basico_contratos_de_tecnologia</w:t>
        </w:r>
      </w:hyperlink>
      <w:r>
        <w:t>&gt;</w:t>
      </w:r>
    </w:p>
    <w:p w:rsidR="006A4404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>
        <w:t xml:space="preserve">Quando há interesse por parte do titular (depositante), a patente pode ser ofertada para licenciamento. Recomenda-se que seja utilizado o instrumento “oferta de licença”, uma publicação que se dá na Revista da Propriedade Industrial (RPI). Tal artifício está estabelecido </w:t>
      </w:r>
      <w:r w:rsidRPr="006C2476">
        <w:t>na Lei nº 9279/96</w:t>
      </w:r>
      <w:r>
        <w:t xml:space="preserve"> (</w:t>
      </w:r>
      <w:proofErr w:type="spellStart"/>
      <w:r>
        <w:t>Arts</w:t>
      </w:r>
      <w:proofErr w:type="spellEnd"/>
      <w:r>
        <w:t>. 64-67). Para mais informações: &lt;</w:t>
      </w:r>
      <w:hyperlink r:id="rId18" w:history="1">
        <w:r w:rsidRPr="002861FD">
          <w:rPr>
            <w:rStyle w:val="Hyperlink"/>
          </w:rPr>
          <w:t>http://www.planalto.gov.br/ccivil_03/leis/l9279.htm</w:t>
        </w:r>
      </w:hyperlink>
      <w:r>
        <w:t xml:space="preserve">&gt; </w:t>
      </w:r>
    </w:p>
    <w:p w:rsidR="006A4404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 w:rsidRPr="0049066B">
        <w:t>Caso haja</w:t>
      </w:r>
      <w:r>
        <w:t xml:space="preserve"> outros</w:t>
      </w:r>
      <w:r w:rsidRPr="0049066B">
        <w:t xml:space="preserve"> interesse</w:t>
      </w:r>
      <w:r>
        <w:t>s</w:t>
      </w:r>
      <w:r w:rsidRPr="0049066B">
        <w:t xml:space="preserve"> específico</w:t>
      </w:r>
      <w:r>
        <w:t>s em relação aos documentos de patente</w:t>
      </w:r>
      <w:r w:rsidRPr="0049066B">
        <w:t xml:space="preserve">, é possível </w:t>
      </w:r>
      <w:r>
        <w:t>fazer buscas gratuitas em bases de dados disponíveis na internet, como no Portal do INPI (</w:t>
      </w:r>
      <w:r w:rsidRPr="00EC6D70">
        <w:t>www.inpi.gov.br</w:t>
      </w:r>
      <w:r>
        <w:t>) ou no Escritório Europeu de Patentes (</w:t>
      </w:r>
      <w:proofErr w:type="spellStart"/>
      <w:r>
        <w:t>Espacenet</w:t>
      </w:r>
      <w:proofErr w:type="spellEnd"/>
      <w:r>
        <w:t xml:space="preserve">), disponível em: </w:t>
      </w:r>
      <w:r w:rsidR="00F16AE1">
        <w:t>&lt;</w:t>
      </w:r>
      <w:hyperlink r:id="rId19" w:history="1">
        <w:r w:rsidR="00F16AE1" w:rsidRPr="006D4142">
          <w:rPr>
            <w:rStyle w:val="Hyperlink"/>
          </w:rPr>
          <w:t>http://worldwide.espacenet.com</w:t>
        </w:r>
      </w:hyperlink>
      <w:r w:rsidR="00F16AE1">
        <w:t xml:space="preserve">&gt; </w:t>
      </w:r>
      <w:r>
        <w:t>. Para auxiliar nestes casos, o INPI disponibilizou um Manual Básico de Buscas em seu Portal: &lt;</w:t>
      </w:r>
      <w:hyperlink r:id="rId20" w:history="1">
        <w:r w:rsidRPr="002861FD">
          <w:rPr>
            <w:rStyle w:val="Hyperlink"/>
          </w:rPr>
          <w:t>http://www.inpi.gov.br/portal/artigo/guia_pratico_para_buscas_de_patentes</w:t>
        </w:r>
      </w:hyperlink>
      <w:r>
        <w:t>&gt;</w:t>
      </w:r>
    </w:p>
    <w:p w:rsidR="006A4404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>
        <w:t>O INPI também disponibiliza um serviço de buscas ao público, mediante pagamento, cujas informações estão disponíveis em &lt;</w:t>
      </w:r>
      <w:hyperlink r:id="rId21" w:history="1">
        <w:r w:rsidRPr="002861FD">
          <w:rPr>
            <w:rStyle w:val="Hyperlink"/>
          </w:rPr>
          <w:t>http://www.inpi.gov.br/portal/artigo/busca_de_patentes</w:t>
        </w:r>
      </w:hyperlink>
      <w:r>
        <w:t>&gt;.</w:t>
      </w:r>
    </w:p>
    <w:p w:rsidR="006A4404" w:rsidRPr="008F4AD6" w:rsidRDefault="006A4404" w:rsidP="006A4404">
      <w:pPr>
        <w:pStyle w:val="PargrafodaLista"/>
        <w:numPr>
          <w:ilvl w:val="0"/>
          <w:numId w:val="17"/>
        </w:numPr>
        <w:spacing w:line="360" w:lineRule="auto"/>
        <w:jc w:val="both"/>
      </w:pPr>
      <w:r w:rsidRPr="008F4AD6">
        <w:t xml:space="preserve">Uma planilha com dados bibliográficos de pelo menos um dos membros de cada uma das </w:t>
      </w:r>
      <w:r w:rsidR="00F16AE1">
        <w:t>2.064</w:t>
      </w:r>
      <w:r w:rsidRPr="008F4AD6">
        <w:t xml:space="preserve"> famílias de documentos</w:t>
      </w:r>
      <w:r>
        <w:t xml:space="preserve"> de patentes está disponível no Portal. </w:t>
      </w:r>
      <w:r w:rsidRPr="00D73431">
        <w:rPr>
          <w:highlight w:val="yellow"/>
        </w:rPr>
        <w:t>Clique aqui.</w:t>
      </w:r>
    </w:p>
    <w:p w:rsidR="00AC6E38" w:rsidRDefault="00AC6E38" w:rsidP="00920A04">
      <w:pPr>
        <w:spacing w:line="360" w:lineRule="auto"/>
        <w:jc w:val="both"/>
      </w:pPr>
    </w:p>
    <w:sectPr w:rsidR="00AC6E38" w:rsidSect="00920A04">
      <w:footerReference w:type="default" r:id="rId22"/>
      <w:pgSz w:w="11907" w:h="16839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9F" w:rsidRDefault="0089619F" w:rsidP="00577DDB">
      <w:r>
        <w:separator/>
      </w:r>
    </w:p>
  </w:endnote>
  <w:endnote w:type="continuationSeparator" w:id="0">
    <w:p w:rsidR="0089619F" w:rsidRDefault="0089619F" w:rsidP="00577DDB">
      <w:r>
        <w:continuationSeparator/>
      </w:r>
    </w:p>
  </w:endnote>
  <w:endnote w:type="continuationNotice" w:id="1">
    <w:p w:rsidR="0089619F" w:rsidRDefault="00896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29890"/>
      <w:docPartObj>
        <w:docPartGallery w:val="Page Numbers (Bottom of Page)"/>
        <w:docPartUnique/>
      </w:docPartObj>
    </w:sdtPr>
    <w:sdtEndPr/>
    <w:sdtContent>
      <w:p w:rsidR="000B5A09" w:rsidRDefault="000B5A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C7">
          <w:rPr>
            <w:noProof/>
          </w:rPr>
          <w:t>i</w:t>
        </w:r>
        <w:r>
          <w:fldChar w:fldCharType="end"/>
        </w:r>
      </w:p>
    </w:sdtContent>
  </w:sdt>
  <w:p w:rsidR="000B5A09" w:rsidRDefault="0066664D">
    <w:pPr>
      <w:pStyle w:val="Rodap"/>
    </w:pPr>
    <w:r>
      <w:rPr>
        <w:noProof/>
        <w:lang w:eastAsia="pt-BR"/>
      </w:rPr>
      <w:drawing>
        <wp:inline distT="0" distB="0" distL="0" distR="0" wp14:anchorId="604A5D66" wp14:editId="1FEDECDF">
          <wp:extent cx="5612130" cy="504825"/>
          <wp:effectExtent l="0" t="0" r="762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ED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D4" w:rsidRDefault="00B56DD4" w:rsidP="00920A04">
    <w:pPr>
      <w:pStyle w:val="Rodap"/>
      <w:jc w:val="right"/>
    </w:pPr>
    <w:r w:rsidRPr="00B56DD4">
      <w:rPr>
        <w:noProof/>
        <w:lang w:eastAsia="pt-BR"/>
      </w:rPr>
      <w:drawing>
        <wp:inline distT="0" distB="0" distL="0" distR="0" wp14:anchorId="05A4E030" wp14:editId="21393541">
          <wp:extent cx="1810050" cy="540000"/>
          <wp:effectExtent l="0" t="0" r="0" b="0"/>
          <wp:docPr id="1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05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49268"/>
      <w:docPartObj>
        <w:docPartGallery w:val="Page Numbers (Bottom of Page)"/>
        <w:docPartUnique/>
      </w:docPartObj>
    </w:sdtPr>
    <w:sdtEndPr/>
    <w:sdtContent>
      <w:p w:rsidR="000B5A09" w:rsidRDefault="000B5A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C7">
          <w:rPr>
            <w:noProof/>
          </w:rPr>
          <w:t>1</w:t>
        </w:r>
        <w:r>
          <w:fldChar w:fldCharType="end"/>
        </w:r>
      </w:p>
    </w:sdtContent>
  </w:sdt>
  <w:p w:rsidR="00C43942" w:rsidRDefault="0066664D">
    <w:pPr>
      <w:pStyle w:val="Rodap"/>
    </w:pPr>
    <w:r>
      <w:rPr>
        <w:noProof/>
        <w:lang w:eastAsia="pt-BR"/>
      </w:rPr>
      <w:drawing>
        <wp:inline distT="0" distB="0" distL="0" distR="0" wp14:anchorId="669CCD00" wp14:editId="28717203">
          <wp:extent cx="5612130" cy="504825"/>
          <wp:effectExtent l="0" t="0" r="762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ED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9F" w:rsidRDefault="0089619F" w:rsidP="00577DDB">
      <w:r>
        <w:separator/>
      </w:r>
    </w:p>
  </w:footnote>
  <w:footnote w:type="continuationSeparator" w:id="0">
    <w:p w:rsidR="0089619F" w:rsidRDefault="0089619F" w:rsidP="00577DDB">
      <w:r>
        <w:continuationSeparator/>
      </w:r>
    </w:p>
  </w:footnote>
  <w:footnote w:type="continuationNotice" w:id="1">
    <w:p w:rsidR="0089619F" w:rsidRDefault="0089619F"/>
  </w:footnote>
  <w:footnote w:id="2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A Classificação Internacional de Patentes (CIP) é uma forma de indexação dos documentos de patente, ou seja, uma maneira de r</w:t>
      </w:r>
      <w:r w:rsidRPr="009D2389">
        <w:t xml:space="preserve">eferenciá-los </w:t>
      </w:r>
      <w:r w:rsidR="002A6440">
        <w:t>de modo a facilitar sua</w:t>
      </w:r>
      <w:r w:rsidRPr="009D2389">
        <w:t xml:space="preserve"> recuperação</w:t>
      </w:r>
      <w:r>
        <w:t>. Esta classificação foi estabelecida pela Convenção de Estrasburgo em 1971, no âmbito da Organização Mundial da Propriedade Intelectual – WIPO/OMPI e está disponível, em português, no site do INPI &lt;</w:t>
      </w:r>
      <w:hyperlink r:id="rId1" w:history="1">
        <w:r w:rsidRPr="00D05922">
          <w:rPr>
            <w:rStyle w:val="Hyperlink"/>
          </w:rPr>
          <w:t>http://ipc.inpi.gov.br/ipcpub</w:t>
        </w:r>
      </w:hyperlink>
      <w:r>
        <w:t xml:space="preserve">&gt; </w:t>
      </w:r>
    </w:p>
  </w:footnote>
  <w:footnote w:id="3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Nenhum tratamento adicional, tal como leitura de títulos e resumos, foi aplicado aos resultad</w:t>
      </w:r>
      <w:r w:rsidR="002A6440">
        <w:t>os obtido. P</w:t>
      </w:r>
      <w:r>
        <w:t xml:space="preserve">ortanto, os resultados refletem os documentos de patentes recuperados utilizando </w:t>
      </w:r>
      <w:r w:rsidR="002A6440">
        <w:t xml:space="preserve">somente </w:t>
      </w:r>
      <w:r>
        <w:t>a estratégia previamente descrita.</w:t>
      </w:r>
    </w:p>
  </w:footnote>
  <w:footnote w:id="4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O Escritório Europeu de Patentes (EPO) apresenta as seguintes interfaces para disponibilização do acervo de documentos de patente: </w:t>
      </w:r>
      <w:proofErr w:type="spellStart"/>
      <w:r>
        <w:t>Espacenet</w:t>
      </w:r>
      <w:proofErr w:type="spellEnd"/>
      <w:r>
        <w:t xml:space="preserve"> (&lt;</w:t>
      </w:r>
      <w:hyperlink r:id="rId2" w:history="1">
        <w:r w:rsidRPr="00D05922">
          <w:rPr>
            <w:rStyle w:val="Hyperlink"/>
          </w:rPr>
          <w:t>http://worldwide.espacenet.com</w:t>
        </w:r>
      </w:hyperlink>
      <w:r w:rsidRPr="00F82D0F">
        <w:t>&gt;</w:t>
      </w:r>
      <w:r>
        <w:t xml:space="preserve">), EPOQUE e Global </w:t>
      </w:r>
      <w:proofErr w:type="spellStart"/>
      <w:r>
        <w:t>Patent</w:t>
      </w:r>
      <w:proofErr w:type="spellEnd"/>
      <w:r>
        <w:t xml:space="preserve"> Index (GPI).</w:t>
      </w:r>
    </w:p>
  </w:footnote>
  <w:footnote w:id="5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Para mais informações: &lt;</w:t>
      </w:r>
      <w:hyperlink r:id="rId3" w:history="1">
        <w:r w:rsidRPr="00D05922">
          <w:rPr>
            <w:rStyle w:val="Hyperlink"/>
          </w:rPr>
          <w:t>http://www.wipo.int/pct/pt/</w:t>
        </w:r>
      </w:hyperlink>
      <w:r w:rsidRPr="00F82D0F">
        <w:t>&gt;</w:t>
      </w:r>
    </w:p>
  </w:footnote>
  <w:footnote w:id="6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B94983">
        <w:t xml:space="preserve"> Revista da Propriedade Industrial (RPI)</w:t>
      </w:r>
      <w:r>
        <w:t>, disponível em: &lt;</w:t>
      </w:r>
      <w:hyperlink r:id="rId4" w:history="1">
        <w:r w:rsidRPr="00D05922">
          <w:rPr>
            <w:rStyle w:val="Hyperlink"/>
          </w:rPr>
          <w:t>http://revistas.inpi.gov.br</w:t>
        </w:r>
      </w:hyperlink>
      <w:r>
        <w:t>&gt;</w:t>
      </w:r>
      <w:r w:rsidR="00F91BE8">
        <w:t>,</w:t>
      </w:r>
      <w:r>
        <w:t xml:space="preserve"> é o canal oficial do INPI para veicular as decisões referentes aos pedidos de patente depositados no Brasil. Somente a publicação na RPI </w:t>
      </w:r>
      <w:r w:rsidRPr="00B94983">
        <w:t>tem validade para a contagem de prazos</w:t>
      </w:r>
      <w:r>
        <w:t xml:space="preserve"> estabelecidos na Lei nº 9279/1996</w:t>
      </w:r>
      <w:r w:rsidRPr="00B94983">
        <w:t xml:space="preserve">. </w:t>
      </w:r>
      <w:r>
        <w:t>Os d</w:t>
      </w:r>
      <w:r w:rsidRPr="00EE0F52">
        <w:t>ados</w:t>
      </w:r>
      <w:r>
        <w:t xml:space="preserve"> utilizados para este Radar Tecnológico estão</w:t>
      </w:r>
      <w:r w:rsidRPr="00EE0F52">
        <w:t xml:space="preserve"> atualizados </w:t>
      </w:r>
      <w:r>
        <w:t>até 31</w:t>
      </w:r>
      <w:r w:rsidRPr="00CA7E2B">
        <w:t>/</w:t>
      </w:r>
      <w:r>
        <w:t>12</w:t>
      </w:r>
      <w:r w:rsidRPr="00CA7E2B">
        <w:t>/201</w:t>
      </w:r>
      <w:r>
        <w:t>3</w:t>
      </w:r>
      <w:r w:rsidRPr="00CA7E2B">
        <w:t xml:space="preserve"> </w:t>
      </w:r>
      <w:r w:rsidRPr="00EE0F52">
        <w:t>- Nº da RPI: 22</w:t>
      </w:r>
      <w:r>
        <w:t>43.</w:t>
      </w:r>
    </w:p>
  </w:footnote>
  <w:footnote w:id="7">
    <w:p w:rsidR="00AC6E38" w:rsidRDefault="00AC6E38" w:rsidP="00AC6E38">
      <w:pPr>
        <w:pStyle w:val="Textodenotaderodap"/>
      </w:pPr>
      <w:r>
        <w:rPr>
          <w:rStyle w:val="Refdenotaderodap"/>
        </w:rPr>
        <w:footnoteRef/>
      </w:r>
      <w:r>
        <w:t xml:space="preserve"> S</w:t>
      </w:r>
      <w:r w:rsidRPr="0067348B">
        <w:t>omente após pagamento da expedição de carta patente</w:t>
      </w:r>
      <w:r>
        <w:t xml:space="preserve"> é que</w:t>
      </w:r>
      <w:r w:rsidRPr="0067348B">
        <w:t xml:space="preserve"> </w:t>
      </w:r>
      <w:r>
        <w:t>o</w:t>
      </w:r>
      <w:r w:rsidRPr="0067348B">
        <w:t xml:space="preserve"> status </w:t>
      </w:r>
      <w:r>
        <w:t xml:space="preserve">de patente concedida </w:t>
      </w:r>
      <w:r w:rsidRPr="0067348B">
        <w:t>é</w:t>
      </w:r>
      <w:r>
        <w:t xml:space="preserve"> considerado</w:t>
      </w:r>
      <w:r w:rsidRPr="0067348B">
        <w:t xml:space="preserve"> definitivo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4D" w:rsidRPr="00920A04" w:rsidRDefault="0066664D" w:rsidP="00920A04">
    <w:pPr>
      <w:pStyle w:val="Cabealho"/>
      <w:rPr>
        <w:sz w:val="20"/>
        <w:szCs w:val="16"/>
      </w:rPr>
    </w:pPr>
    <w:r w:rsidRPr="00920A04">
      <w:rPr>
        <w:sz w:val="20"/>
        <w:szCs w:val="16"/>
      </w:rPr>
      <w:t xml:space="preserve">Centro de Disseminação da Informação Tecnológica - </w:t>
    </w:r>
    <w:proofErr w:type="spellStart"/>
    <w:r w:rsidRPr="00920A04">
      <w:rPr>
        <w:sz w:val="20"/>
        <w:szCs w:val="16"/>
      </w:rPr>
      <w:t>Cedin</w:t>
    </w:r>
    <w:proofErr w:type="spellEnd"/>
  </w:p>
  <w:p w:rsidR="0066664D" w:rsidRPr="00920A04" w:rsidRDefault="0066664D" w:rsidP="00920A04">
    <w:pPr>
      <w:rPr>
        <w:sz w:val="20"/>
        <w:szCs w:val="16"/>
      </w:rPr>
    </w:pPr>
    <w:r w:rsidRPr="00920A04">
      <w:rPr>
        <w:sz w:val="20"/>
        <w:szCs w:val="16"/>
      </w:rPr>
      <w:t xml:space="preserve">Radar </w:t>
    </w:r>
    <w:proofErr w:type="gramStart"/>
    <w:r w:rsidRPr="00920A04">
      <w:rPr>
        <w:sz w:val="20"/>
        <w:szCs w:val="16"/>
      </w:rPr>
      <w:t>Tecnológico - Patentes</w:t>
    </w:r>
    <w:proofErr w:type="gramEnd"/>
  </w:p>
  <w:p w:rsidR="0066664D" w:rsidRPr="00920A04" w:rsidRDefault="0066664D" w:rsidP="00920A04">
    <w:pPr>
      <w:rPr>
        <w:sz w:val="20"/>
        <w:szCs w:val="16"/>
      </w:rPr>
    </w:pPr>
    <w:r w:rsidRPr="00920A04">
      <w:rPr>
        <w:sz w:val="20"/>
        <w:szCs w:val="16"/>
      </w:rPr>
      <w:t>Tecnologias para doenças hipertensivas</w:t>
    </w:r>
  </w:p>
  <w:p w:rsidR="0066664D" w:rsidRDefault="0066664D" w:rsidP="006666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0CA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65B1F"/>
    <w:multiLevelType w:val="hybridMultilevel"/>
    <w:tmpl w:val="B164FB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4E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EFB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388"/>
    <w:multiLevelType w:val="hybridMultilevel"/>
    <w:tmpl w:val="60CE13F8"/>
    <w:lvl w:ilvl="0" w:tplc="7BCE1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09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E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69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A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D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0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83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45A30"/>
    <w:multiLevelType w:val="hybridMultilevel"/>
    <w:tmpl w:val="2926E7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2CF6"/>
    <w:multiLevelType w:val="hybridMultilevel"/>
    <w:tmpl w:val="8DB01F88"/>
    <w:lvl w:ilvl="0" w:tplc="2A7A0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 w:themeColor="accent2" w:themeShade="8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F5794"/>
    <w:multiLevelType w:val="hybridMultilevel"/>
    <w:tmpl w:val="409E60CE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3466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37AFE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A22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1E98"/>
    <w:multiLevelType w:val="hybridMultilevel"/>
    <w:tmpl w:val="C102F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76918"/>
    <w:multiLevelType w:val="hybridMultilevel"/>
    <w:tmpl w:val="3FF4C7E6"/>
    <w:lvl w:ilvl="0" w:tplc="53B83888">
      <w:start w:val="1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010F0"/>
    <w:multiLevelType w:val="hybridMultilevel"/>
    <w:tmpl w:val="0AE698DC"/>
    <w:lvl w:ilvl="0" w:tplc="C38EC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46E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67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A40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D3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2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2A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20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04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42E2E"/>
    <w:multiLevelType w:val="hybridMultilevel"/>
    <w:tmpl w:val="A380EA5A"/>
    <w:lvl w:ilvl="0" w:tplc="1B34D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CC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84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5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4B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CBE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EA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EE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8A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D28F2"/>
    <w:multiLevelType w:val="hybridMultilevel"/>
    <w:tmpl w:val="1520C5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04389"/>
    <w:multiLevelType w:val="hybridMultilevel"/>
    <w:tmpl w:val="C5668936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2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5"/>
  </w:num>
  <w:num w:numId="14">
    <w:abstractNumId w:val="16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F"/>
    <w:rsid w:val="00000ACB"/>
    <w:rsid w:val="00007FE6"/>
    <w:rsid w:val="00011B62"/>
    <w:rsid w:val="000151F1"/>
    <w:rsid w:val="00017E31"/>
    <w:rsid w:val="0003590F"/>
    <w:rsid w:val="00060276"/>
    <w:rsid w:val="0006098A"/>
    <w:rsid w:val="00061DF9"/>
    <w:rsid w:val="000650BC"/>
    <w:rsid w:val="00067884"/>
    <w:rsid w:val="00074859"/>
    <w:rsid w:val="00086C83"/>
    <w:rsid w:val="00091468"/>
    <w:rsid w:val="000A338B"/>
    <w:rsid w:val="000B5A09"/>
    <w:rsid w:val="000B6501"/>
    <w:rsid w:val="000C23A6"/>
    <w:rsid w:val="000D3B59"/>
    <w:rsid w:val="000E5763"/>
    <w:rsid w:val="00100782"/>
    <w:rsid w:val="00100991"/>
    <w:rsid w:val="001066AF"/>
    <w:rsid w:val="00124F32"/>
    <w:rsid w:val="00127B16"/>
    <w:rsid w:val="00140B7A"/>
    <w:rsid w:val="00160659"/>
    <w:rsid w:val="00166FA2"/>
    <w:rsid w:val="001700B7"/>
    <w:rsid w:val="00176935"/>
    <w:rsid w:val="0018585D"/>
    <w:rsid w:val="00190FD4"/>
    <w:rsid w:val="00194C5E"/>
    <w:rsid w:val="001C4024"/>
    <w:rsid w:val="001C53CD"/>
    <w:rsid w:val="001C62DC"/>
    <w:rsid w:val="001C6406"/>
    <w:rsid w:val="001D5670"/>
    <w:rsid w:val="001E78D0"/>
    <w:rsid w:val="001F7CD2"/>
    <w:rsid w:val="00204167"/>
    <w:rsid w:val="00204757"/>
    <w:rsid w:val="002120A7"/>
    <w:rsid w:val="002168D0"/>
    <w:rsid w:val="00235565"/>
    <w:rsid w:val="00240DC7"/>
    <w:rsid w:val="002418FF"/>
    <w:rsid w:val="00243CCF"/>
    <w:rsid w:val="002522F5"/>
    <w:rsid w:val="00261DED"/>
    <w:rsid w:val="00273E27"/>
    <w:rsid w:val="00283EDD"/>
    <w:rsid w:val="002A6440"/>
    <w:rsid w:val="002B217D"/>
    <w:rsid w:val="002B3F1D"/>
    <w:rsid w:val="002B49EA"/>
    <w:rsid w:val="002C74AD"/>
    <w:rsid w:val="002D5EB7"/>
    <w:rsid w:val="002E5E9F"/>
    <w:rsid w:val="002F4687"/>
    <w:rsid w:val="00300979"/>
    <w:rsid w:val="00300D32"/>
    <w:rsid w:val="003026D4"/>
    <w:rsid w:val="00302CBC"/>
    <w:rsid w:val="003107D6"/>
    <w:rsid w:val="00311413"/>
    <w:rsid w:val="00316EBE"/>
    <w:rsid w:val="00323FE3"/>
    <w:rsid w:val="00324D08"/>
    <w:rsid w:val="00342253"/>
    <w:rsid w:val="00342DDD"/>
    <w:rsid w:val="003432FE"/>
    <w:rsid w:val="003471B0"/>
    <w:rsid w:val="00354943"/>
    <w:rsid w:val="00356B09"/>
    <w:rsid w:val="003745CF"/>
    <w:rsid w:val="003817D5"/>
    <w:rsid w:val="003A3C76"/>
    <w:rsid w:val="003A4B30"/>
    <w:rsid w:val="003C0787"/>
    <w:rsid w:val="003D4386"/>
    <w:rsid w:val="003D64EE"/>
    <w:rsid w:val="003E2C4A"/>
    <w:rsid w:val="003F7F6F"/>
    <w:rsid w:val="004034F4"/>
    <w:rsid w:val="00407072"/>
    <w:rsid w:val="00413103"/>
    <w:rsid w:val="00421123"/>
    <w:rsid w:val="00427455"/>
    <w:rsid w:val="00440D2E"/>
    <w:rsid w:val="00446DE3"/>
    <w:rsid w:val="00455D94"/>
    <w:rsid w:val="00456DD5"/>
    <w:rsid w:val="0046129C"/>
    <w:rsid w:val="0046266A"/>
    <w:rsid w:val="00477661"/>
    <w:rsid w:val="004813E8"/>
    <w:rsid w:val="004827D1"/>
    <w:rsid w:val="0049066B"/>
    <w:rsid w:val="00493B84"/>
    <w:rsid w:val="0049512B"/>
    <w:rsid w:val="004A4D1E"/>
    <w:rsid w:val="004A61D7"/>
    <w:rsid w:val="004A6AAE"/>
    <w:rsid w:val="004C7FC6"/>
    <w:rsid w:val="004E237D"/>
    <w:rsid w:val="004E25E6"/>
    <w:rsid w:val="004E5253"/>
    <w:rsid w:val="0050156C"/>
    <w:rsid w:val="0051069F"/>
    <w:rsid w:val="00521DE2"/>
    <w:rsid w:val="00531C65"/>
    <w:rsid w:val="00534668"/>
    <w:rsid w:val="005359AD"/>
    <w:rsid w:val="00535B16"/>
    <w:rsid w:val="0054017D"/>
    <w:rsid w:val="00540F8B"/>
    <w:rsid w:val="0054762C"/>
    <w:rsid w:val="00547938"/>
    <w:rsid w:val="00554E09"/>
    <w:rsid w:val="00562C8D"/>
    <w:rsid w:val="005662CC"/>
    <w:rsid w:val="00566C21"/>
    <w:rsid w:val="00567F2C"/>
    <w:rsid w:val="00570A15"/>
    <w:rsid w:val="00577DDB"/>
    <w:rsid w:val="005819D1"/>
    <w:rsid w:val="005829BF"/>
    <w:rsid w:val="00586518"/>
    <w:rsid w:val="005A1439"/>
    <w:rsid w:val="005A211F"/>
    <w:rsid w:val="005A4623"/>
    <w:rsid w:val="005B2C60"/>
    <w:rsid w:val="005E005F"/>
    <w:rsid w:val="005E11FA"/>
    <w:rsid w:val="005F108A"/>
    <w:rsid w:val="005F2D31"/>
    <w:rsid w:val="005F5E5B"/>
    <w:rsid w:val="00605048"/>
    <w:rsid w:val="00607D08"/>
    <w:rsid w:val="00616CE6"/>
    <w:rsid w:val="006179E6"/>
    <w:rsid w:val="00634477"/>
    <w:rsid w:val="00635DD7"/>
    <w:rsid w:val="006477D2"/>
    <w:rsid w:val="00652278"/>
    <w:rsid w:val="00655843"/>
    <w:rsid w:val="00661937"/>
    <w:rsid w:val="00662B8E"/>
    <w:rsid w:val="0066664D"/>
    <w:rsid w:val="00671F33"/>
    <w:rsid w:val="0067348B"/>
    <w:rsid w:val="00684DD5"/>
    <w:rsid w:val="006863D0"/>
    <w:rsid w:val="006872CA"/>
    <w:rsid w:val="006A1505"/>
    <w:rsid w:val="006A3A18"/>
    <w:rsid w:val="006A4404"/>
    <w:rsid w:val="006C2476"/>
    <w:rsid w:val="006C55B4"/>
    <w:rsid w:val="006D21F7"/>
    <w:rsid w:val="006D7400"/>
    <w:rsid w:val="006F07E9"/>
    <w:rsid w:val="006F4F21"/>
    <w:rsid w:val="007040E1"/>
    <w:rsid w:val="00704310"/>
    <w:rsid w:val="007067DC"/>
    <w:rsid w:val="00706A2C"/>
    <w:rsid w:val="00706CBB"/>
    <w:rsid w:val="007134AC"/>
    <w:rsid w:val="00713797"/>
    <w:rsid w:val="00717079"/>
    <w:rsid w:val="00725271"/>
    <w:rsid w:val="007511E5"/>
    <w:rsid w:val="0075289B"/>
    <w:rsid w:val="00757121"/>
    <w:rsid w:val="00760A1B"/>
    <w:rsid w:val="00765F1D"/>
    <w:rsid w:val="007719BC"/>
    <w:rsid w:val="007815B9"/>
    <w:rsid w:val="00781B66"/>
    <w:rsid w:val="007C2BEC"/>
    <w:rsid w:val="007C7474"/>
    <w:rsid w:val="007D0562"/>
    <w:rsid w:val="007D2D67"/>
    <w:rsid w:val="007D4049"/>
    <w:rsid w:val="007E7C97"/>
    <w:rsid w:val="008017CD"/>
    <w:rsid w:val="00801D3F"/>
    <w:rsid w:val="00806428"/>
    <w:rsid w:val="00815E66"/>
    <w:rsid w:val="00822702"/>
    <w:rsid w:val="00830DFA"/>
    <w:rsid w:val="00833760"/>
    <w:rsid w:val="00835A78"/>
    <w:rsid w:val="00835FB8"/>
    <w:rsid w:val="00852DAE"/>
    <w:rsid w:val="00857F3B"/>
    <w:rsid w:val="00861BE7"/>
    <w:rsid w:val="0086244D"/>
    <w:rsid w:val="0089321E"/>
    <w:rsid w:val="0089619F"/>
    <w:rsid w:val="008C3056"/>
    <w:rsid w:val="008E4BC4"/>
    <w:rsid w:val="008F2E85"/>
    <w:rsid w:val="00906597"/>
    <w:rsid w:val="009076D3"/>
    <w:rsid w:val="00914BC9"/>
    <w:rsid w:val="00920A04"/>
    <w:rsid w:val="0093038B"/>
    <w:rsid w:val="009306D3"/>
    <w:rsid w:val="00933A0D"/>
    <w:rsid w:val="00945D2A"/>
    <w:rsid w:val="00946796"/>
    <w:rsid w:val="00950C36"/>
    <w:rsid w:val="009526F8"/>
    <w:rsid w:val="00956144"/>
    <w:rsid w:val="009601F3"/>
    <w:rsid w:val="00961AAD"/>
    <w:rsid w:val="009639CA"/>
    <w:rsid w:val="0097178A"/>
    <w:rsid w:val="0097541A"/>
    <w:rsid w:val="00981C88"/>
    <w:rsid w:val="0098585D"/>
    <w:rsid w:val="009878FF"/>
    <w:rsid w:val="009A670B"/>
    <w:rsid w:val="009A70A7"/>
    <w:rsid w:val="009B134C"/>
    <w:rsid w:val="009B6DF4"/>
    <w:rsid w:val="009C6F70"/>
    <w:rsid w:val="009C7CBD"/>
    <w:rsid w:val="009D2389"/>
    <w:rsid w:val="009D72D9"/>
    <w:rsid w:val="00A04BFC"/>
    <w:rsid w:val="00A05953"/>
    <w:rsid w:val="00A06619"/>
    <w:rsid w:val="00A13C39"/>
    <w:rsid w:val="00A159AF"/>
    <w:rsid w:val="00A2554D"/>
    <w:rsid w:val="00A3175F"/>
    <w:rsid w:val="00A35983"/>
    <w:rsid w:val="00A374A2"/>
    <w:rsid w:val="00A44918"/>
    <w:rsid w:val="00A50D3B"/>
    <w:rsid w:val="00A54686"/>
    <w:rsid w:val="00A548A4"/>
    <w:rsid w:val="00A55151"/>
    <w:rsid w:val="00A64DCA"/>
    <w:rsid w:val="00A72A09"/>
    <w:rsid w:val="00A734EB"/>
    <w:rsid w:val="00A86CC7"/>
    <w:rsid w:val="00A878CC"/>
    <w:rsid w:val="00A914E2"/>
    <w:rsid w:val="00A971E8"/>
    <w:rsid w:val="00A977FB"/>
    <w:rsid w:val="00AA06A2"/>
    <w:rsid w:val="00AA714B"/>
    <w:rsid w:val="00AB201D"/>
    <w:rsid w:val="00AB480D"/>
    <w:rsid w:val="00AB55DA"/>
    <w:rsid w:val="00AC1E12"/>
    <w:rsid w:val="00AC3FD1"/>
    <w:rsid w:val="00AC4448"/>
    <w:rsid w:val="00AC6E38"/>
    <w:rsid w:val="00AD5AD6"/>
    <w:rsid w:val="00AE440E"/>
    <w:rsid w:val="00AF1F8F"/>
    <w:rsid w:val="00B02A29"/>
    <w:rsid w:val="00B03497"/>
    <w:rsid w:val="00B0602F"/>
    <w:rsid w:val="00B07BB4"/>
    <w:rsid w:val="00B26F85"/>
    <w:rsid w:val="00B27E19"/>
    <w:rsid w:val="00B32AAD"/>
    <w:rsid w:val="00B33156"/>
    <w:rsid w:val="00B33255"/>
    <w:rsid w:val="00B351FA"/>
    <w:rsid w:val="00B4086B"/>
    <w:rsid w:val="00B54131"/>
    <w:rsid w:val="00B5433C"/>
    <w:rsid w:val="00B56DD4"/>
    <w:rsid w:val="00B60E72"/>
    <w:rsid w:val="00B63187"/>
    <w:rsid w:val="00B7098C"/>
    <w:rsid w:val="00B71B0F"/>
    <w:rsid w:val="00B76B24"/>
    <w:rsid w:val="00B81772"/>
    <w:rsid w:val="00B8357F"/>
    <w:rsid w:val="00B849EC"/>
    <w:rsid w:val="00B8786A"/>
    <w:rsid w:val="00B9124E"/>
    <w:rsid w:val="00B94983"/>
    <w:rsid w:val="00B97539"/>
    <w:rsid w:val="00BB1F1B"/>
    <w:rsid w:val="00BB7183"/>
    <w:rsid w:val="00BC0165"/>
    <w:rsid w:val="00BC7B43"/>
    <w:rsid w:val="00BC7E52"/>
    <w:rsid w:val="00BD1E2D"/>
    <w:rsid w:val="00BE6B24"/>
    <w:rsid w:val="00BF2BBC"/>
    <w:rsid w:val="00BF3195"/>
    <w:rsid w:val="00BF725B"/>
    <w:rsid w:val="00BF7AD2"/>
    <w:rsid w:val="00C01A5A"/>
    <w:rsid w:val="00C04B4C"/>
    <w:rsid w:val="00C07B26"/>
    <w:rsid w:val="00C10A5D"/>
    <w:rsid w:val="00C12CA6"/>
    <w:rsid w:val="00C25D0B"/>
    <w:rsid w:val="00C43942"/>
    <w:rsid w:val="00C44487"/>
    <w:rsid w:val="00C44FDB"/>
    <w:rsid w:val="00C548B7"/>
    <w:rsid w:val="00C61927"/>
    <w:rsid w:val="00C62F21"/>
    <w:rsid w:val="00C65A67"/>
    <w:rsid w:val="00C75551"/>
    <w:rsid w:val="00C84060"/>
    <w:rsid w:val="00CA2A1B"/>
    <w:rsid w:val="00CA33BD"/>
    <w:rsid w:val="00CA7E2B"/>
    <w:rsid w:val="00CC4A53"/>
    <w:rsid w:val="00CD2B43"/>
    <w:rsid w:val="00CE0B98"/>
    <w:rsid w:val="00CF20EB"/>
    <w:rsid w:val="00CF3B58"/>
    <w:rsid w:val="00CF70F6"/>
    <w:rsid w:val="00D00C91"/>
    <w:rsid w:val="00D05D7B"/>
    <w:rsid w:val="00D132C5"/>
    <w:rsid w:val="00D22162"/>
    <w:rsid w:val="00D26C3E"/>
    <w:rsid w:val="00D27E10"/>
    <w:rsid w:val="00D30D3E"/>
    <w:rsid w:val="00D31A02"/>
    <w:rsid w:val="00D35FDD"/>
    <w:rsid w:val="00D36BEA"/>
    <w:rsid w:val="00D45252"/>
    <w:rsid w:val="00D46277"/>
    <w:rsid w:val="00D5653C"/>
    <w:rsid w:val="00D700BB"/>
    <w:rsid w:val="00D722B2"/>
    <w:rsid w:val="00D854BA"/>
    <w:rsid w:val="00D85900"/>
    <w:rsid w:val="00D9720A"/>
    <w:rsid w:val="00DC1744"/>
    <w:rsid w:val="00DC55EF"/>
    <w:rsid w:val="00DD4AC2"/>
    <w:rsid w:val="00DE202D"/>
    <w:rsid w:val="00DE3ADD"/>
    <w:rsid w:val="00DE4851"/>
    <w:rsid w:val="00DE52BA"/>
    <w:rsid w:val="00DE63BB"/>
    <w:rsid w:val="00DF19A4"/>
    <w:rsid w:val="00DF2CD7"/>
    <w:rsid w:val="00E07563"/>
    <w:rsid w:val="00E1275A"/>
    <w:rsid w:val="00E14DF4"/>
    <w:rsid w:val="00E21ECB"/>
    <w:rsid w:val="00E33810"/>
    <w:rsid w:val="00E42BE7"/>
    <w:rsid w:val="00E56B87"/>
    <w:rsid w:val="00E70E5F"/>
    <w:rsid w:val="00E716DA"/>
    <w:rsid w:val="00E74BE6"/>
    <w:rsid w:val="00E8170E"/>
    <w:rsid w:val="00E81967"/>
    <w:rsid w:val="00E82C21"/>
    <w:rsid w:val="00E84E65"/>
    <w:rsid w:val="00E97357"/>
    <w:rsid w:val="00E97DE1"/>
    <w:rsid w:val="00EB1476"/>
    <w:rsid w:val="00EB394B"/>
    <w:rsid w:val="00EB4FBA"/>
    <w:rsid w:val="00EB528E"/>
    <w:rsid w:val="00EC6D70"/>
    <w:rsid w:val="00ED2AE5"/>
    <w:rsid w:val="00ED49A8"/>
    <w:rsid w:val="00EE0F52"/>
    <w:rsid w:val="00EE537E"/>
    <w:rsid w:val="00F11C54"/>
    <w:rsid w:val="00F16AE1"/>
    <w:rsid w:val="00F2164A"/>
    <w:rsid w:val="00F25D6E"/>
    <w:rsid w:val="00F336B0"/>
    <w:rsid w:val="00F3531D"/>
    <w:rsid w:val="00F47258"/>
    <w:rsid w:val="00F54F43"/>
    <w:rsid w:val="00F60F69"/>
    <w:rsid w:val="00F611DF"/>
    <w:rsid w:val="00F620F2"/>
    <w:rsid w:val="00F646D3"/>
    <w:rsid w:val="00F650B9"/>
    <w:rsid w:val="00F662A6"/>
    <w:rsid w:val="00F73F50"/>
    <w:rsid w:val="00F807DC"/>
    <w:rsid w:val="00F82D0F"/>
    <w:rsid w:val="00F91BE8"/>
    <w:rsid w:val="00F9567C"/>
    <w:rsid w:val="00FA5710"/>
    <w:rsid w:val="00FA7470"/>
    <w:rsid w:val="00FB4627"/>
    <w:rsid w:val="00FB5CC1"/>
    <w:rsid w:val="00FC3192"/>
    <w:rsid w:val="00FD3943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character" w:customStyle="1" w:styleId="Ttulo1">
    <w:name w:val="Título1"/>
    <w:basedOn w:val="Fontepargpadro"/>
    <w:rsid w:val="00635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character" w:customStyle="1" w:styleId="Ttulo1">
    <w:name w:val="Título1"/>
    <w:basedOn w:val="Fontepargpadro"/>
    <w:rsid w:val="0063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8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8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6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planalto.gov.br/ccivil_03/leis/l927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pi.gov.br/portal/artigo/busca_de_patente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npi.gov.br/portal/artigo/guia_basico_contratos_de_tecnologi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inpi.gov.br/portal/artigo/guia_pratico_para_buscas_de_patent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tmp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orldwide.espace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tmp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pct/pt/" TargetMode="External"/><Relationship Id="rId2" Type="http://schemas.openxmlformats.org/officeDocument/2006/relationships/hyperlink" Target="http://worldwide.espacenet.com" TargetMode="External"/><Relationship Id="rId1" Type="http://schemas.openxmlformats.org/officeDocument/2006/relationships/hyperlink" Target="http://ipc.inpi.gov.br/ipcpub" TargetMode="External"/><Relationship Id="rId4" Type="http://schemas.openxmlformats.org/officeDocument/2006/relationships/hyperlink" Target="http://revistas.inpi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69FE-9935-4C18-AFAF-77BBC5E6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2014-05-29T12:35:00Z</cp:lastPrinted>
  <dcterms:created xsi:type="dcterms:W3CDTF">2015-05-19T11:57:00Z</dcterms:created>
  <dcterms:modified xsi:type="dcterms:W3CDTF">2015-05-19T12:53:00Z</dcterms:modified>
</cp:coreProperties>
</file>