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F" w:rsidRDefault="000D216F">
      <w:pPr>
        <w:rPr>
          <w:b/>
        </w:rPr>
      </w:pPr>
    </w:p>
    <w:p w:rsidR="000D216F" w:rsidRDefault="000D216F" w:rsidP="00CD135A">
      <w:pPr>
        <w:jc w:val="center"/>
        <w:rPr>
          <w:b/>
        </w:rPr>
      </w:pPr>
    </w:p>
    <w:p w:rsidR="000D216F" w:rsidRPr="00AB78BA" w:rsidRDefault="002C1D82" w:rsidP="00AB78BA">
      <w:pPr>
        <w:autoSpaceDE w:val="0"/>
        <w:adjustRightInd w:val="0"/>
        <w:jc w:val="center"/>
        <w:rPr>
          <w:color w:val="FF0000"/>
        </w:rPr>
      </w:pPr>
      <w:r>
        <w:rPr>
          <w:b/>
        </w:rPr>
        <w:t xml:space="preserve">[ </w:t>
      </w:r>
      <w:r w:rsidR="00894BCD">
        <w:rPr>
          <w:b/>
        </w:rPr>
        <w:t xml:space="preserve">TEMPLATE DO </w:t>
      </w:r>
      <w:r w:rsidR="000F7913" w:rsidRPr="00894BCD">
        <w:rPr>
          <w:b/>
        </w:rPr>
        <w:t>M</w:t>
      </w:r>
      <w:r w:rsidR="000F7913">
        <w:rPr>
          <w:b/>
        </w:rPr>
        <w:t>ODELO</w:t>
      </w:r>
      <w:r w:rsidR="000F7913" w:rsidRPr="002A2360">
        <w:rPr>
          <w:color w:val="FF0000"/>
        </w:rPr>
        <w:t xml:space="preserve"> </w:t>
      </w:r>
      <w:r w:rsidR="000F7913" w:rsidRPr="00AB78BA">
        <w:rPr>
          <w:b/>
        </w:rPr>
        <w:t xml:space="preserve">DE </w:t>
      </w:r>
      <w:r w:rsidR="000F7913" w:rsidRPr="000F7913">
        <w:rPr>
          <w:b/>
        </w:rPr>
        <w:t>PLANO DE GESTÃO DE PESSOAS</w:t>
      </w:r>
      <w:r>
        <w:rPr>
          <w:b/>
        </w:rPr>
        <w:t>]</w:t>
      </w:r>
    </w:p>
    <w:p w:rsidR="000D216F" w:rsidRDefault="000D216F" w:rsidP="00CD135A">
      <w:pPr>
        <w:jc w:val="center"/>
        <w:rPr>
          <w:b/>
        </w:rPr>
      </w:pPr>
    </w:p>
    <w:p w:rsidR="00CD135A" w:rsidRDefault="00CD135A" w:rsidP="00CD135A">
      <w:pPr>
        <w:jc w:val="center"/>
        <w:rPr>
          <w:b/>
        </w:rPr>
      </w:pPr>
      <w:r>
        <w:rPr>
          <w:b/>
        </w:rPr>
        <w:t>Objetivo</w:t>
      </w:r>
    </w:p>
    <w:p w:rsidR="00CD135A" w:rsidRDefault="00CD135A" w:rsidP="00CD135A">
      <w:pPr>
        <w:jc w:val="center"/>
        <w:rPr>
          <w:b/>
        </w:rPr>
      </w:pPr>
    </w:p>
    <w:p w:rsidR="009B16F5" w:rsidRPr="00D56C29" w:rsidRDefault="009B16F5" w:rsidP="009B16F5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  <w:r w:rsidRPr="00D56C29">
        <w:rPr>
          <w:rFonts w:eastAsia="SimSun"/>
        </w:rPr>
        <w:t xml:space="preserve">O objetivo do Plano de </w:t>
      </w:r>
      <w:r>
        <w:rPr>
          <w:rFonts w:eastAsia="SimSun"/>
        </w:rPr>
        <w:t xml:space="preserve">Gestão de </w:t>
      </w:r>
      <w:r w:rsidRPr="00D56C29">
        <w:rPr>
          <w:rFonts w:eastAsia="SimSun"/>
        </w:rPr>
        <w:t>Pessoas é relacionar, diante das metas e ações do PDTI, as necessidades</w:t>
      </w:r>
      <w:r w:rsidR="00F31D19">
        <w:rPr>
          <w:rFonts w:eastAsia="SimSun"/>
        </w:rPr>
        <w:t xml:space="preserve"> de pessoal</w:t>
      </w:r>
      <w:r w:rsidRPr="00D56C29">
        <w:rPr>
          <w:rFonts w:eastAsia="SimSun"/>
        </w:rPr>
        <w:t xml:space="preserve"> especificamente relacionadas aos temas: serviços, sistemas, infraestrutura, governança de TI, segurança, pessoal e capacitação. </w:t>
      </w:r>
    </w:p>
    <w:p w:rsidR="00CD135A" w:rsidRDefault="00CD135A" w:rsidP="00CD135A">
      <w:pPr>
        <w:jc w:val="both"/>
        <w:rPr>
          <w:sz w:val="20"/>
          <w:szCs w:val="20"/>
          <w:highlight w:val="white"/>
        </w:rPr>
      </w:pPr>
    </w:p>
    <w:p w:rsidR="00E759AD" w:rsidRDefault="005B357B" w:rsidP="009E5FE9">
      <w:pPr>
        <w:jc w:val="center"/>
        <w:rPr>
          <w:b/>
        </w:rPr>
      </w:pPr>
      <w:r>
        <w:rPr>
          <w:b/>
        </w:rPr>
        <w:t>Vigência do Plano Diretor TIC</w:t>
      </w:r>
    </w:p>
    <w:p w:rsidR="005B357B" w:rsidRDefault="005B357B" w:rsidP="00CD135A">
      <w:pPr>
        <w:jc w:val="both"/>
      </w:pPr>
    </w:p>
    <w:p w:rsidR="00E759AD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período de vigência do Plano Diretor de TIC &gt;</w:t>
      </w:r>
    </w:p>
    <w:p w:rsidR="009E5FE9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9E5FE9" w:rsidRPr="009E5FE9" w:rsidRDefault="009E5FE9" w:rsidP="009E5FE9">
      <w:pPr>
        <w:jc w:val="center"/>
        <w:rPr>
          <w:b/>
        </w:rPr>
      </w:pPr>
      <w:r w:rsidRPr="009E5FE9">
        <w:rPr>
          <w:b/>
        </w:rPr>
        <w:t>Elaborado por:</w:t>
      </w:r>
    </w:p>
    <w:p w:rsidR="009E5FE9" w:rsidRDefault="009E5FE9" w:rsidP="00CD135A">
      <w:pPr>
        <w:jc w:val="both"/>
      </w:pPr>
    </w:p>
    <w:p w:rsidR="009E5FE9" w:rsidRDefault="009E5FE9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pela elaboração do </w:t>
      </w:r>
      <w:r w:rsidR="00311881">
        <w:rPr>
          <w:rFonts w:ascii="Verdana" w:eastAsia="Verdana" w:hAnsi="Verdana" w:cs="Verdana"/>
          <w:b/>
          <w:color w:val="0000FF"/>
          <w:sz w:val="20"/>
          <w:szCs w:val="20"/>
        </w:rPr>
        <w:t>P</w:t>
      </w: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lano de </w:t>
      </w:r>
      <w:r w:rsidR="00311881">
        <w:rPr>
          <w:rFonts w:ascii="Verdana" w:eastAsia="Verdana" w:hAnsi="Verdana" w:cs="Verdana"/>
          <w:b/>
          <w:color w:val="0000FF"/>
          <w:sz w:val="20"/>
          <w:szCs w:val="20"/>
        </w:rPr>
        <w:t>Gestão de Pessoas</w:t>
      </w:r>
      <w:r w:rsidRPr="009E5FE9">
        <w:rPr>
          <w:rFonts w:ascii="Verdana" w:eastAsia="Verdana" w:hAnsi="Verdana" w:cs="Verdana"/>
          <w:b/>
          <w:color w:val="0000FF"/>
          <w:sz w:val="20"/>
          <w:szCs w:val="20"/>
        </w:rPr>
        <w:t>&gt;</w:t>
      </w:r>
    </w:p>
    <w:p w:rsidR="00A42772" w:rsidRPr="00A42772" w:rsidRDefault="00E638AB" w:rsidP="00A42772">
      <w:pPr>
        <w:jc w:val="center"/>
        <w:rPr>
          <w:b/>
        </w:rPr>
      </w:pPr>
      <w:r w:rsidRPr="00A42772">
        <w:rPr>
          <w:b/>
        </w:rPr>
        <w:t>Revisado por</w:t>
      </w:r>
      <w:r w:rsidR="00A42772" w:rsidRPr="00A42772">
        <w:rPr>
          <w:b/>
        </w:rPr>
        <w:t>:</w:t>
      </w:r>
    </w:p>
    <w:p w:rsidR="00A42772" w:rsidRDefault="00A42772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A42772" w:rsidRPr="004A1A5B" w:rsidRDefault="00903D19" w:rsidP="00A42772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A42772">
        <w:rPr>
          <w:rFonts w:ascii="Verdana" w:eastAsia="Times New Roman" w:hAnsi="Verdana"/>
          <w:i/>
          <w:iCs/>
          <w:color w:val="0000FF"/>
          <w:sz w:val="20"/>
          <w:szCs w:val="20"/>
        </w:rPr>
        <w:t>&lt;</w:t>
      </w:r>
      <w:proofErr w:type="gramStart"/>
      <w:r w:rsidRPr="004A1A5B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="00A42772" w:rsidRP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 o responsável ou equipe responsável pela revisão do </w:t>
      </w:r>
      <w:r w:rsidR="00311881">
        <w:rPr>
          <w:rFonts w:ascii="Verdana" w:eastAsia="Verdana" w:hAnsi="Verdana" w:cs="Verdana"/>
          <w:b/>
          <w:color w:val="0000FF"/>
          <w:sz w:val="20"/>
          <w:szCs w:val="20"/>
        </w:rPr>
        <w:t>P</w:t>
      </w:r>
      <w:r w:rsidR="00311881"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lano de </w:t>
      </w:r>
      <w:r w:rsidR="00311881">
        <w:rPr>
          <w:rFonts w:ascii="Verdana" w:eastAsia="Verdana" w:hAnsi="Verdana" w:cs="Verdana"/>
          <w:b/>
          <w:color w:val="0000FF"/>
          <w:sz w:val="20"/>
          <w:szCs w:val="20"/>
        </w:rPr>
        <w:t>Gestão de Pessoas</w:t>
      </w:r>
      <w:r w:rsidR="00311881" w:rsidRP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 </w:t>
      </w:r>
      <w:r w:rsidR="00A42772" w:rsidRPr="004A1A5B">
        <w:rPr>
          <w:rFonts w:ascii="Verdana" w:eastAsia="Verdana" w:hAnsi="Verdana" w:cs="Verdana"/>
          <w:b/>
          <w:color w:val="0000FF"/>
          <w:sz w:val="20"/>
          <w:szCs w:val="20"/>
        </w:rPr>
        <w:t>&gt;</w:t>
      </w:r>
    </w:p>
    <w:p w:rsidR="00A42772" w:rsidRPr="009E5FE9" w:rsidRDefault="00A42772" w:rsidP="00CD135A">
      <w:pPr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:rsidR="000F326E" w:rsidRDefault="00311881" w:rsidP="00D477AB">
      <w:pPr>
        <w:jc w:val="center"/>
        <w:rPr>
          <w:b/>
        </w:rPr>
      </w:pPr>
      <w:r>
        <w:rPr>
          <w:b/>
        </w:rPr>
        <w:t xml:space="preserve">Plano de Gestão de Pessoas </w:t>
      </w:r>
    </w:p>
    <w:p w:rsidR="000D66BC" w:rsidRDefault="000D66BC">
      <w:pPr>
        <w:rPr>
          <w:b/>
        </w:rPr>
      </w:pPr>
    </w:p>
    <w:p w:rsidR="004A1A5B" w:rsidRPr="004A1A5B" w:rsidRDefault="00903D19" w:rsidP="004A1A5B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</w:rPr>
      </w:pPr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&lt;</w:t>
      </w:r>
      <w:proofErr w:type="gramStart"/>
      <w:r w:rsidRPr="000D66BC">
        <w:rPr>
          <w:rFonts w:ascii="Verdana" w:eastAsia="Verdana" w:hAnsi="Verdana" w:cs="Verdana"/>
          <w:b/>
          <w:color w:val="0000FF"/>
          <w:sz w:val="20"/>
          <w:szCs w:val="20"/>
        </w:rPr>
        <w:t>inserir</w:t>
      </w:r>
      <w:proofErr w:type="gramEnd"/>
      <w:r w:rsidR="004A1A5B" w:rsidRPr="000D66BC">
        <w:rPr>
          <w:rFonts w:ascii="Verdana" w:eastAsia="Verdana" w:hAnsi="Verdana" w:cs="Verdana"/>
          <w:b/>
          <w:color w:val="0000FF"/>
          <w:sz w:val="20"/>
          <w:szCs w:val="20"/>
        </w:rPr>
        <w:t xml:space="preserve"> </w:t>
      </w:r>
      <w:r w:rsid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a tabela </w:t>
      </w:r>
      <w:r w:rsidR="00311881">
        <w:rPr>
          <w:rFonts w:ascii="Verdana" w:eastAsia="Verdana" w:hAnsi="Verdana" w:cs="Verdana"/>
          <w:b/>
          <w:color w:val="0000FF"/>
          <w:sz w:val="20"/>
          <w:szCs w:val="20"/>
        </w:rPr>
        <w:t>com o P</w:t>
      </w:r>
      <w:r w:rsidR="00311881" w:rsidRPr="009E5FE9">
        <w:rPr>
          <w:rFonts w:ascii="Verdana" w:eastAsia="Verdana" w:hAnsi="Verdana" w:cs="Verdana"/>
          <w:b/>
          <w:color w:val="0000FF"/>
          <w:sz w:val="20"/>
          <w:szCs w:val="20"/>
        </w:rPr>
        <w:t xml:space="preserve">lano de </w:t>
      </w:r>
      <w:r w:rsidR="00311881">
        <w:rPr>
          <w:rFonts w:ascii="Verdana" w:eastAsia="Verdana" w:hAnsi="Verdana" w:cs="Verdana"/>
          <w:b/>
          <w:color w:val="0000FF"/>
          <w:sz w:val="20"/>
          <w:szCs w:val="20"/>
        </w:rPr>
        <w:t>Gestão de Pessoas</w:t>
      </w:r>
      <w:r w:rsidR="004A1A5B">
        <w:rPr>
          <w:rFonts w:ascii="Verdana" w:eastAsia="Verdana" w:hAnsi="Verdana" w:cs="Verdana"/>
          <w:b/>
          <w:color w:val="0000FF"/>
          <w:sz w:val="20"/>
          <w:szCs w:val="20"/>
        </w:rPr>
        <w:t xml:space="preserve">&gt; </w:t>
      </w:r>
    </w:p>
    <w:p w:rsidR="004A1A5B" w:rsidRDefault="004A1A5B">
      <w:pPr>
        <w:rPr>
          <w:b/>
        </w:rPr>
      </w:pPr>
    </w:p>
    <w:p w:rsidR="000F326E" w:rsidRDefault="000F326E">
      <w:pPr>
        <w:rPr>
          <w:b/>
        </w:rPr>
      </w:pPr>
    </w:p>
    <w:p w:rsidR="000D216F" w:rsidRDefault="000D216F"/>
    <w:p w:rsidR="00AE7DB3" w:rsidRDefault="002C1D82" w:rsidP="00AE7DB3">
      <w:pPr>
        <w:pStyle w:val="Standard"/>
        <w:jc w:val="center"/>
        <w:rPr>
          <w:color w:val="0000FF"/>
        </w:rPr>
      </w:pPr>
      <w:r>
        <w:rPr>
          <w:color w:val="0000FF"/>
        </w:rPr>
        <w:t xml:space="preserve">                                                                </w:t>
      </w:r>
      <w:r w:rsidR="00AE7DB3">
        <w:rPr>
          <w:color w:val="0000FF"/>
        </w:rPr>
        <w:t>&lt;Nome completo do Presidente do Comitê de TI &gt;</w:t>
      </w:r>
    </w:p>
    <w:p w:rsidR="008A5C84" w:rsidRDefault="008A5C84" w:rsidP="00AE7DB3">
      <w:pPr>
        <w:pStyle w:val="Standard"/>
        <w:spacing w:after="120"/>
        <w:ind w:left="2880" w:firstLine="720"/>
        <w:jc w:val="center"/>
        <w:rPr>
          <w:color w:val="0000FF"/>
        </w:rPr>
      </w:pPr>
    </w:p>
    <w:p w:rsidR="00AE7DB3" w:rsidRDefault="00AE7DB3" w:rsidP="00AE7DB3">
      <w:pPr>
        <w:pStyle w:val="Standard"/>
        <w:spacing w:after="120"/>
        <w:ind w:left="2880" w:firstLine="720"/>
        <w:jc w:val="center"/>
        <w:rPr>
          <w:color w:val="0000FF"/>
        </w:rPr>
      </w:pPr>
      <w:r>
        <w:rPr>
          <w:color w:val="0000FF"/>
        </w:rPr>
        <w:t>&lt;Cargo do Presidente do Comitê de TI da Estatal &gt;</w:t>
      </w:r>
    </w:p>
    <w:p w:rsidR="000D216F" w:rsidRDefault="000D216F"/>
    <w:p w:rsidR="00EA684B" w:rsidRDefault="00EA684B"/>
    <w:p w:rsidR="00A43685" w:rsidRDefault="00A43685"/>
    <w:p w:rsidR="00A43685" w:rsidRDefault="00A43685"/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17164A" w:rsidRDefault="0017164A" w:rsidP="00C51EF0">
      <w:pPr>
        <w:pStyle w:val="Rodap"/>
        <w:jc w:val="both"/>
        <w:rPr>
          <w:b/>
        </w:rPr>
      </w:pPr>
    </w:p>
    <w:p w:rsidR="00C51EF0" w:rsidRDefault="00C51EF0" w:rsidP="00C51EF0">
      <w:pPr>
        <w:pStyle w:val="Rodap"/>
        <w:jc w:val="both"/>
      </w:pPr>
      <w:r>
        <w:rPr>
          <w:b/>
        </w:rPr>
        <w:lastRenderedPageBreak/>
        <w:t>Observações:</w:t>
      </w:r>
      <w:r>
        <w:t xml:space="preserve"> </w:t>
      </w:r>
    </w:p>
    <w:p w:rsidR="00B6111D" w:rsidRDefault="00B6111D" w:rsidP="00B6111D">
      <w:pPr>
        <w:spacing w:line="240" w:lineRule="auto"/>
        <w:jc w:val="both"/>
        <w:rPr>
          <w:rFonts w:ascii="Verdana" w:eastAsia="Times New Roman" w:hAnsi="Verdana"/>
          <w:b/>
          <w:bCs/>
          <w:sz w:val="28"/>
          <w:szCs w:val="28"/>
        </w:rPr>
      </w:pPr>
    </w:p>
    <w:p w:rsidR="00EB4ECE" w:rsidRDefault="00EB4ECE" w:rsidP="0034296A">
      <w:pPr>
        <w:autoSpaceDE w:val="0"/>
        <w:autoSpaceDN w:val="0"/>
        <w:adjustRightInd w:val="0"/>
        <w:spacing w:line="240" w:lineRule="auto"/>
        <w:jc w:val="both"/>
      </w:pPr>
      <w:r>
        <w:t xml:space="preserve">Descrição das Tarefas: Identificar as necessidades de pessoal em processos de TIC para atender as necessidades de informações, serviços e infraestrutura de TIC. </w:t>
      </w:r>
    </w:p>
    <w:p w:rsidR="00312602" w:rsidRDefault="00EB4ECE" w:rsidP="0034296A">
      <w:pPr>
        <w:autoSpaceDE w:val="0"/>
        <w:autoSpaceDN w:val="0"/>
        <w:adjustRightInd w:val="0"/>
        <w:spacing w:line="240" w:lineRule="auto"/>
        <w:jc w:val="both"/>
      </w:pPr>
      <w:r>
        <w:t xml:space="preserve">Solicitar documentos e entrevistar </w:t>
      </w:r>
      <w:r>
        <w:t>pessoas chave</w:t>
      </w:r>
      <w:r>
        <w:t xml:space="preserve"> para avaliar se: </w:t>
      </w:r>
      <w:r>
        <w:t xml:space="preserve"> </w:t>
      </w:r>
      <w:r>
        <w:t>A política e os processos de pessoal de TIC existem, são formalizados, mensurados, avaliados e melhorados; O mapeamento de competências existe, é formalizado, acompanhado e define adequadamente as necessidades de recursos humanos e de capacitação da TIC; Há necessidades de aumento, redução ou realocação de pessoal de TIC, em função dos processos de TIC, e segundo os estudos das respectivas áreas; As tarefas de gestão da TIC são realizadas por terceiros. Identificar problemas e oportunidades decorrentes das necessidades de pessoal de TIC e registrar.</w:t>
      </w:r>
    </w:p>
    <w:p w:rsidR="00312602" w:rsidRDefault="00312602" w:rsidP="0034296A">
      <w:pPr>
        <w:autoSpaceDE w:val="0"/>
        <w:autoSpaceDN w:val="0"/>
        <w:adjustRightInd w:val="0"/>
        <w:spacing w:line="240" w:lineRule="auto"/>
        <w:jc w:val="both"/>
      </w:pPr>
    </w:p>
    <w:p w:rsidR="00EB4ECE" w:rsidRDefault="00312602" w:rsidP="0034296A">
      <w:pPr>
        <w:autoSpaceDE w:val="0"/>
        <w:autoSpaceDN w:val="0"/>
        <w:adjustRightInd w:val="0"/>
        <w:spacing w:line="240" w:lineRule="auto"/>
        <w:jc w:val="both"/>
      </w:pPr>
      <w:r>
        <w:t>Para identificar as necessidades de pessoal de TIC sugere-se utilizar o Método de Dimensionamento de Quadro de Pessoal de TIC do SISP (MQP-SISP). Outra possibilidade é a utilização da técnica da gestão por competências. Por esse sistema de gestão, definem-se as competências necessárias para o alcance dos objetivos estratégicos da unidade de TIC, e confrontam-nas com as competências já existentes (mapeamento de competências). A diferença entre as competências necessárias e as existentes dá-se o nome de gaps (lacunas) de competências.</w:t>
      </w:r>
      <w:r w:rsidR="00EB4ECE">
        <w:t xml:space="preserve"> </w:t>
      </w:r>
    </w:p>
    <w:p w:rsidR="00312602" w:rsidRDefault="00312602" w:rsidP="0034296A">
      <w:pPr>
        <w:autoSpaceDE w:val="0"/>
        <w:autoSpaceDN w:val="0"/>
        <w:adjustRightInd w:val="0"/>
        <w:spacing w:line="240" w:lineRule="auto"/>
        <w:jc w:val="both"/>
      </w:pPr>
    </w:p>
    <w:p w:rsidR="00312602" w:rsidRDefault="00312602" w:rsidP="0034296A">
      <w:pPr>
        <w:autoSpaceDE w:val="0"/>
        <w:autoSpaceDN w:val="0"/>
        <w:adjustRightInd w:val="0"/>
        <w:spacing w:line="240" w:lineRule="auto"/>
        <w:jc w:val="both"/>
      </w:pPr>
      <w:r>
        <w:t xml:space="preserve">Caso não exista o mapeamento das competências, a sua elaboração poderá ser incluída no inventário </w:t>
      </w:r>
      <w:r>
        <w:t xml:space="preserve">de necessidades. </w:t>
      </w:r>
      <w:r>
        <w:t xml:space="preserve">Se as informações disponíveis não forem suficientes para a identificação das necessidades de pessoal de TIC, incluir esse problema </w:t>
      </w:r>
      <w:r>
        <w:t xml:space="preserve">no Inventário de Necessidades. </w:t>
      </w:r>
      <w:r>
        <w:t>Neste momento, são identificadas as necessidades de pessoal apenas com base nos processos de TIC e, caso exista, no mapeamento de competências. No subprocesso de planejamento, haverá um detalhamento com o planejamento de pessoal para atendimento às ações previstas no plano de metas/ações.</w:t>
      </w:r>
    </w:p>
    <w:p w:rsidR="00EB4ECE" w:rsidRDefault="00EB4ECE" w:rsidP="0034296A">
      <w:pPr>
        <w:autoSpaceDE w:val="0"/>
        <w:autoSpaceDN w:val="0"/>
        <w:adjustRightInd w:val="0"/>
        <w:spacing w:line="240" w:lineRule="auto"/>
        <w:jc w:val="both"/>
      </w:pPr>
    </w:p>
    <w:p w:rsidR="0034296A" w:rsidRDefault="00312602" w:rsidP="0034296A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  <w:r>
        <w:rPr>
          <w:rFonts w:eastAsia="SimSun"/>
        </w:rPr>
        <w:t>Outra alternativa p</w:t>
      </w:r>
      <w:r w:rsidR="0034296A" w:rsidRPr="00D56C29">
        <w:rPr>
          <w:rFonts w:eastAsia="SimSun"/>
        </w:rPr>
        <w:t xml:space="preserve">ara estimar o quadro de pessoal permanente e a força de trabalho mínima para a área de tecnologia da informação, </w:t>
      </w:r>
      <w:r>
        <w:rPr>
          <w:rFonts w:eastAsia="SimSun"/>
        </w:rPr>
        <w:t xml:space="preserve">é </w:t>
      </w:r>
      <w:r w:rsidR="000A2467">
        <w:rPr>
          <w:rFonts w:eastAsia="SimSun"/>
        </w:rPr>
        <w:t xml:space="preserve">a </w:t>
      </w:r>
      <w:r w:rsidR="0034296A" w:rsidRPr="00D56C29">
        <w:rPr>
          <w:rFonts w:eastAsia="SimSun"/>
        </w:rPr>
        <w:t>metodologia proposta pelo Conselho Nacional de Justiça – CNJ, publicada por meio da Resolução 90 de 29 de setembro de 2009. Essa metodologia alcança apenas os órgãos do poder judiciário, porém</w:t>
      </w:r>
      <w:r w:rsidR="000A2467">
        <w:rPr>
          <w:rFonts w:eastAsia="SimSun"/>
        </w:rPr>
        <w:t xml:space="preserve"> pode ser </w:t>
      </w:r>
      <w:r w:rsidR="0034296A" w:rsidRPr="00D56C29">
        <w:rPr>
          <w:rFonts w:eastAsia="SimSun"/>
        </w:rPr>
        <w:t xml:space="preserve">utilizada em função da inexistência de outro estudo que se aplique especificamente </w:t>
      </w:r>
      <w:r w:rsidR="000A2467">
        <w:rPr>
          <w:rFonts w:eastAsia="SimSun"/>
        </w:rPr>
        <w:t>as estatais.</w:t>
      </w:r>
    </w:p>
    <w:p w:rsidR="0080064B" w:rsidRDefault="0080064B" w:rsidP="0080064B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</w:p>
    <w:p w:rsidR="0080064B" w:rsidRDefault="0034296A" w:rsidP="0080064B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  <w:r w:rsidRPr="00D56C29">
        <w:rPr>
          <w:rFonts w:eastAsia="SimSun"/>
        </w:rPr>
        <w:t xml:space="preserve">O cálculo utilizado na Resolução 90 do CNJ é realizado em função da demanda e do porte da organização. Consideram-se fatores como o número de usuários internos de recursos de TI, o grau de informatização, número de estações de trabalho, entre outros. </w:t>
      </w:r>
    </w:p>
    <w:p w:rsidR="0080064B" w:rsidRDefault="0080064B" w:rsidP="0080064B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</w:p>
    <w:p w:rsidR="0034296A" w:rsidRPr="00D56C29" w:rsidRDefault="0034296A" w:rsidP="0080064B">
      <w:pPr>
        <w:autoSpaceDE w:val="0"/>
        <w:autoSpaceDN w:val="0"/>
        <w:adjustRightInd w:val="0"/>
        <w:spacing w:line="240" w:lineRule="auto"/>
        <w:jc w:val="both"/>
        <w:rPr>
          <w:rFonts w:eastAsia="SimSun"/>
        </w:rPr>
      </w:pPr>
      <w:bookmarkStart w:id="1" w:name="_GoBack"/>
      <w:bookmarkEnd w:id="1"/>
      <w:r w:rsidRPr="00D56C29">
        <w:rPr>
          <w:rFonts w:eastAsia="SimSun"/>
        </w:rPr>
        <w:t xml:space="preserve">De acordo com a metodologia, para um total de 545 usuários seriam necessários 18 profissionais do quadro permanente para área de TI. </w:t>
      </w:r>
    </w:p>
    <w:p w:rsidR="000A2467" w:rsidRDefault="000A2467" w:rsidP="003429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SimSun"/>
        </w:rPr>
      </w:pPr>
    </w:p>
    <w:p w:rsidR="000A2467" w:rsidRDefault="000A2467" w:rsidP="003429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SimSun"/>
        </w:rPr>
      </w:pPr>
      <w:r>
        <w:rPr>
          <w:rFonts w:eastAsia="SimSun"/>
        </w:rPr>
        <w:t>Exemplo de um plano de gestão de pessoas, calculado segundo a portaria:</w:t>
      </w:r>
    </w:p>
    <w:p w:rsidR="0034296A" w:rsidRDefault="0034296A" w:rsidP="0034296A">
      <w:pPr>
        <w:autoSpaceDE w:val="0"/>
        <w:autoSpaceDN w:val="0"/>
        <w:adjustRightInd w:val="0"/>
        <w:spacing w:line="240" w:lineRule="auto"/>
        <w:jc w:val="both"/>
        <w:rPr>
          <w:color w:val="262626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418"/>
        <w:gridCol w:w="1842"/>
      </w:tblGrid>
      <w:tr w:rsidR="0034296A" w:rsidRPr="003A51A3" w:rsidTr="000A2467">
        <w:tc>
          <w:tcPr>
            <w:tcW w:w="817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3A51A3">
              <w:rPr>
                <w:rFonts w:ascii="Arial" w:hAnsi="Arial" w:cs="Arial"/>
                <w:color w:val="262626"/>
                <w:sz w:val="20"/>
                <w:szCs w:val="20"/>
              </w:rPr>
              <w:t>ID</w:t>
            </w:r>
          </w:p>
        </w:tc>
        <w:tc>
          <w:tcPr>
            <w:tcW w:w="5103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3A5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Ação</w:t>
            </w:r>
          </w:p>
        </w:tc>
        <w:tc>
          <w:tcPr>
            <w:tcW w:w="1418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3A5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Quantitativo</w:t>
            </w:r>
            <w:r w:rsidR="000A2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necessário </w:t>
            </w:r>
          </w:p>
        </w:tc>
        <w:tc>
          <w:tcPr>
            <w:tcW w:w="1842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3A5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Qualificação dos recursos humanos</w:t>
            </w:r>
          </w:p>
        </w:tc>
      </w:tr>
      <w:tr w:rsidR="0034296A" w:rsidRPr="003A51A3" w:rsidTr="008D74D7">
        <w:tc>
          <w:tcPr>
            <w:tcW w:w="817" w:type="dxa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t>1</w:t>
            </w:r>
          </w:p>
        </w:tc>
        <w:tc>
          <w:tcPr>
            <w:tcW w:w="5103" w:type="dxa"/>
          </w:tcPr>
          <w:p w:rsidR="0034296A" w:rsidRPr="003A51A3" w:rsidRDefault="0034296A" w:rsidP="008D74D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>Alinhar a TI ao Negócio.</w:t>
            </w:r>
          </w:p>
        </w:tc>
        <w:tc>
          <w:tcPr>
            <w:tcW w:w="1418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3A51A3">
              <w:rPr>
                <w:rFonts w:ascii="Arial" w:hAnsi="Arial" w:cs="Arial"/>
                <w:color w:val="262626"/>
              </w:rPr>
              <w:t>02</w:t>
            </w:r>
          </w:p>
        </w:tc>
        <w:tc>
          <w:tcPr>
            <w:tcW w:w="1842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3A51A3">
              <w:rPr>
                <w:rFonts w:ascii="Arial" w:hAnsi="Arial" w:cs="Arial"/>
                <w:color w:val="262626"/>
              </w:rPr>
              <w:t>Gestão</w:t>
            </w:r>
          </w:p>
        </w:tc>
      </w:tr>
      <w:tr w:rsidR="0034296A" w:rsidRPr="003A51A3" w:rsidTr="008D74D7">
        <w:trPr>
          <w:trHeight w:val="387"/>
        </w:trPr>
        <w:tc>
          <w:tcPr>
            <w:tcW w:w="817" w:type="dxa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lastRenderedPageBreak/>
              <w:t> </w:t>
            </w:r>
          </w:p>
        </w:tc>
        <w:tc>
          <w:tcPr>
            <w:tcW w:w="5103" w:type="dxa"/>
          </w:tcPr>
          <w:p w:rsidR="0034296A" w:rsidRPr="003A51A3" w:rsidRDefault="0034296A" w:rsidP="008D74D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>Publicar a normativa de aquisição e Contratação.</w:t>
            </w:r>
          </w:p>
        </w:tc>
        <w:tc>
          <w:tcPr>
            <w:tcW w:w="1418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02</w:t>
            </w:r>
          </w:p>
        </w:tc>
        <w:tc>
          <w:tcPr>
            <w:tcW w:w="1842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3A51A3">
              <w:rPr>
                <w:rFonts w:ascii="Arial" w:hAnsi="Arial" w:cs="Arial"/>
                <w:color w:val="262626"/>
              </w:rPr>
              <w:t>Gestão</w:t>
            </w:r>
          </w:p>
        </w:tc>
      </w:tr>
      <w:tr w:rsidR="0034296A" w:rsidRPr="003A51A3" w:rsidTr="008D74D7">
        <w:tc>
          <w:tcPr>
            <w:tcW w:w="817" w:type="dxa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</w:p>
        </w:tc>
        <w:tc>
          <w:tcPr>
            <w:tcW w:w="5103" w:type="dxa"/>
          </w:tcPr>
          <w:p w:rsidR="0034296A" w:rsidRPr="003A51A3" w:rsidRDefault="000A2467" w:rsidP="008D74D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>Implementar o</w:t>
            </w:r>
            <w:r w:rsidR="0034296A" w:rsidRPr="003A51A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processo de </w:t>
            </w:r>
            <w:r w:rsidR="0034296A" w:rsidRPr="003A51A3">
              <w:rPr>
                <w:rFonts w:ascii="Arial" w:eastAsia="Times New Roman" w:hAnsi="Arial" w:cs="Arial"/>
              </w:rPr>
              <w:t>Certificação Digital.</w:t>
            </w:r>
          </w:p>
        </w:tc>
        <w:tc>
          <w:tcPr>
            <w:tcW w:w="1418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02</w:t>
            </w:r>
          </w:p>
        </w:tc>
        <w:tc>
          <w:tcPr>
            <w:tcW w:w="1842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Infraestrutura</w:t>
            </w:r>
          </w:p>
        </w:tc>
      </w:tr>
      <w:tr w:rsidR="0034296A" w:rsidRPr="003A51A3" w:rsidTr="008D74D7">
        <w:tc>
          <w:tcPr>
            <w:tcW w:w="817" w:type="dxa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t>4</w:t>
            </w:r>
          </w:p>
        </w:tc>
        <w:tc>
          <w:tcPr>
            <w:tcW w:w="5103" w:type="dxa"/>
          </w:tcPr>
          <w:p w:rsidR="0034296A" w:rsidRPr="003A51A3" w:rsidRDefault="0034296A" w:rsidP="008D74D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 xml:space="preserve">Desenvolver o </w:t>
            </w:r>
            <w:r w:rsidRPr="003A51A3">
              <w:rPr>
                <w:rFonts w:ascii="Arial" w:eastAsia="Times New Roman" w:hAnsi="Arial" w:cs="Arial"/>
              </w:rPr>
              <w:t>Sistema de Controle de Diárias e Passagens.</w:t>
            </w:r>
          </w:p>
        </w:tc>
        <w:tc>
          <w:tcPr>
            <w:tcW w:w="1418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05</w:t>
            </w:r>
          </w:p>
        </w:tc>
        <w:tc>
          <w:tcPr>
            <w:tcW w:w="1842" w:type="dxa"/>
          </w:tcPr>
          <w:p w:rsidR="0034296A" w:rsidRPr="003A51A3" w:rsidRDefault="0034296A" w:rsidP="008D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Analista de Sistemas</w:t>
            </w:r>
          </w:p>
        </w:tc>
      </w:tr>
      <w:tr w:rsidR="0034296A" w:rsidRPr="003A51A3" w:rsidTr="000A2467">
        <w:tc>
          <w:tcPr>
            <w:tcW w:w="817" w:type="dxa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t>1.8</w:t>
            </w:r>
          </w:p>
        </w:tc>
        <w:tc>
          <w:tcPr>
            <w:tcW w:w="5103" w:type="dxa"/>
            <w:vAlign w:val="bottom"/>
          </w:tcPr>
          <w:p w:rsidR="0034296A" w:rsidRPr="003A51A3" w:rsidRDefault="0034296A" w:rsidP="00E900F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</w:rPr>
              <w:t xml:space="preserve">Implantar a solução de </w:t>
            </w:r>
            <w:r w:rsidRPr="003A51A3">
              <w:rPr>
                <w:rFonts w:ascii="Arial" w:hAnsi="Arial" w:cs="Arial"/>
              </w:rPr>
              <w:t>Balanced Scorecard (BSC).</w:t>
            </w:r>
          </w:p>
        </w:tc>
        <w:tc>
          <w:tcPr>
            <w:tcW w:w="1418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02</w:t>
            </w:r>
          </w:p>
        </w:tc>
        <w:tc>
          <w:tcPr>
            <w:tcW w:w="1842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Governança de TI</w:t>
            </w:r>
          </w:p>
        </w:tc>
      </w:tr>
      <w:tr w:rsidR="0034296A" w:rsidRPr="003A51A3" w:rsidTr="000A2467">
        <w:tc>
          <w:tcPr>
            <w:tcW w:w="817" w:type="dxa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t>1.9</w:t>
            </w:r>
          </w:p>
        </w:tc>
        <w:tc>
          <w:tcPr>
            <w:tcW w:w="5103" w:type="dxa"/>
            <w:vAlign w:val="bottom"/>
          </w:tcPr>
          <w:p w:rsidR="0034296A" w:rsidRPr="003A51A3" w:rsidRDefault="0034296A" w:rsidP="00E900F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 xml:space="preserve">Modelar todos os processos de Negócio e </w:t>
            </w:r>
            <w:r w:rsidRPr="003A51A3">
              <w:rPr>
                <w:rFonts w:ascii="Arial" w:eastAsia="Times New Roman" w:hAnsi="Arial" w:cs="Arial"/>
              </w:rPr>
              <w:t xml:space="preserve">Implementar a Maturidade de Processos na </w:t>
            </w:r>
            <w:r w:rsidR="000A2467">
              <w:rPr>
                <w:rFonts w:ascii="Arial" w:eastAsia="Times New Roman" w:hAnsi="Arial" w:cs="Arial"/>
              </w:rPr>
              <w:t>estatal</w:t>
            </w:r>
            <w:r w:rsidRPr="003A51A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8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05</w:t>
            </w:r>
          </w:p>
        </w:tc>
        <w:tc>
          <w:tcPr>
            <w:tcW w:w="1842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Governança de TI e Analista de Negócios.</w:t>
            </w:r>
          </w:p>
        </w:tc>
      </w:tr>
      <w:tr w:rsidR="0034296A" w:rsidRPr="003A51A3" w:rsidTr="000A2467">
        <w:tc>
          <w:tcPr>
            <w:tcW w:w="817" w:type="dxa"/>
            <w:vAlign w:val="bottom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t>1.10</w:t>
            </w:r>
          </w:p>
        </w:tc>
        <w:tc>
          <w:tcPr>
            <w:tcW w:w="5103" w:type="dxa"/>
            <w:vAlign w:val="bottom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51A3">
              <w:rPr>
                <w:rFonts w:ascii="Arial" w:hAnsi="Arial" w:cs="Arial"/>
              </w:rPr>
              <w:t>Solicitar realização de Concurso Público para</w:t>
            </w:r>
          </w:p>
          <w:p w:rsidR="0034296A" w:rsidRPr="003A51A3" w:rsidRDefault="0034296A" w:rsidP="00E900F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hAnsi="Arial" w:cs="Arial"/>
              </w:rPr>
              <w:t>STI.</w:t>
            </w:r>
            <w:r>
              <w:rPr>
                <w:rFonts w:ascii="Arial" w:hAnsi="Arial" w:cs="Arial"/>
              </w:rPr>
              <w:t xml:space="preserve"> </w:t>
            </w:r>
            <w:r w:rsidRPr="003A51A3">
              <w:rPr>
                <w:rFonts w:ascii="Arial" w:hAnsi="Arial" w:cs="Arial"/>
                <w:color w:val="262626"/>
              </w:rPr>
              <w:t xml:space="preserve">Realizar um estudo para verificar o quantitativo adequado de </w:t>
            </w:r>
            <w:r w:rsidR="000A2467">
              <w:rPr>
                <w:rFonts w:ascii="Arial" w:hAnsi="Arial" w:cs="Arial"/>
                <w:color w:val="262626"/>
              </w:rPr>
              <w:t>colaboradores</w:t>
            </w:r>
            <w:r w:rsidRPr="003A51A3">
              <w:rPr>
                <w:rFonts w:ascii="Arial" w:hAnsi="Arial" w:cs="Arial"/>
                <w:color w:val="262626"/>
              </w:rPr>
              <w:t xml:space="preserve"> para a área de TI.</w:t>
            </w:r>
          </w:p>
        </w:tc>
        <w:tc>
          <w:tcPr>
            <w:tcW w:w="1418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02</w:t>
            </w:r>
          </w:p>
        </w:tc>
        <w:tc>
          <w:tcPr>
            <w:tcW w:w="1842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Gestão </w:t>
            </w:r>
          </w:p>
        </w:tc>
      </w:tr>
      <w:tr w:rsidR="0034296A" w:rsidRPr="003A51A3" w:rsidTr="000A2467">
        <w:tc>
          <w:tcPr>
            <w:tcW w:w="817" w:type="dxa"/>
            <w:vAlign w:val="bottom"/>
          </w:tcPr>
          <w:p w:rsidR="0034296A" w:rsidRPr="008D74D7" w:rsidRDefault="0034296A" w:rsidP="008D74D7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  <w:r w:rsidRPr="008D74D7">
              <w:rPr>
                <w:rFonts w:eastAsia="Times New Roman"/>
                <w:lang w:eastAsia="pt-BR"/>
              </w:rPr>
              <w:t>1.11</w:t>
            </w:r>
          </w:p>
        </w:tc>
        <w:tc>
          <w:tcPr>
            <w:tcW w:w="5103" w:type="dxa"/>
            <w:vAlign w:val="bottom"/>
          </w:tcPr>
          <w:p w:rsidR="0034296A" w:rsidRPr="003A51A3" w:rsidRDefault="0034296A" w:rsidP="00E900F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 xml:space="preserve">Definir uma </w:t>
            </w:r>
            <w:r w:rsidRPr="003A51A3">
              <w:rPr>
                <w:rFonts w:ascii="Arial" w:eastAsia="Times New Roman" w:hAnsi="Arial" w:cs="Arial"/>
              </w:rPr>
              <w:t xml:space="preserve">política de Segurança da Informação para a </w:t>
            </w:r>
            <w:r w:rsidR="000A2467">
              <w:rPr>
                <w:rFonts w:ascii="Arial" w:eastAsia="Times New Roman" w:hAnsi="Arial" w:cs="Arial"/>
              </w:rPr>
              <w:t>estatal</w:t>
            </w:r>
            <w:r w:rsidRPr="003A51A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8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02</w:t>
            </w:r>
          </w:p>
        </w:tc>
        <w:tc>
          <w:tcPr>
            <w:tcW w:w="1842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Segurança e Infraestrutura</w:t>
            </w:r>
          </w:p>
        </w:tc>
      </w:tr>
      <w:tr w:rsidR="0034296A" w:rsidRPr="003A51A3" w:rsidTr="000A2467">
        <w:tc>
          <w:tcPr>
            <w:tcW w:w="817" w:type="dxa"/>
            <w:vAlign w:val="bottom"/>
          </w:tcPr>
          <w:p w:rsidR="0034296A" w:rsidRPr="009735AC" w:rsidRDefault="0034296A" w:rsidP="009735AC">
            <w:pPr>
              <w:pStyle w:val="PargrafodaLista"/>
              <w:numPr>
                <w:ilvl w:val="0"/>
                <w:numId w:val="4"/>
              </w:numPr>
              <w:rPr>
                <w:rFonts w:eastAsia="Times New Roman"/>
                <w:lang w:eastAsia="pt-BR"/>
              </w:rPr>
            </w:pPr>
          </w:p>
        </w:tc>
        <w:tc>
          <w:tcPr>
            <w:tcW w:w="5103" w:type="dxa"/>
            <w:vAlign w:val="bottom"/>
          </w:tcPr>
          <w:p w:rsidR="0034296A" w:rsidRPr="003A51A3" w:rsidRDefault="0034296A" w:rsidP="00E900F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51A3">
              <w:rPr>
                <w:rFonts w:ascii="Arial" w:eastAsia="Times New Roman" w:hAnsi="Arial" w:cs="Arial"/>
                <w:color w:val="000000"/>
                <w:lang w:eastAsia="pt-BR"/>
              </w:rPr>
              <w:t xml:space="preserve">Desenvolver um </w:t>
            </w:r>
            <w:r w:rsidRPr="003A51A3">
              <w:rPr>
                <w:rFonts w:ascii="Arial" w:eastAsia="Times New Roman" w:hAnsi="Arial" w:cs="Arial"/>
              </w:rPr>
              <w:t>Sistema para Execução de Composição de Custos.</w:t>
            </w:r>
          </w:p>
        </w:tc>
        <w:tc>
          <w:tcPr>
            <w:tcW w:w="1418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05</w:t>
            </w:r>
          </w:p>
        </w:tc>
        <w:tc>
          <w:tcPr>
            <w:tcW w:w="1842" w:type="dxa"/>
          </w:tcPr>
          <w:p w:rsidR="0034296A" w:rsidRPr="003A51A3" w:rsidRDefault="0034296A" w:rsidP="00E90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Analista de Sistemas</w:t>
            </w:r>
          </w:p>
        </w:tc>
      </w:tr>
    </w:tbl>
    <w:p w:rsidR="0034296A" w:rsidRDefault="0034296A" w:rsidP="00B6111D">
      <w:pPr>
        <w:spacing w:line="240" w:lineRule="auto"/>
        <w:jc w:val="both"/>
        <w:rPr>
          <w:rFonts w:ascii="Verdana" w:eastAsia="Times New Roman" w:hAnsi="Verdana"/>
          <w:b/>
          <w:bCs/>
          <w:sz w:val="28"/>
          <w:szCs w:val="28"/>
        </w:rPr>
      </w:pPr>
    </w:p>
    <w:sectPr w:rsidR="0034296A" w:rsidSect="000D66BC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B6" w:rsidRDefault="00326EB6" w:rsidP="00561D0F">
      <w:pPr>
        <w:spacing w:line="240" w:lineRule="auto"/>
      </w:pPr>
      <w:r>
        <w:separator/>
      </w:r>
    </w:p>
  </w:endnote>
  <w:endnote w:type="continuationSeparator" w:id="0">
    <w:p w:rsidR="00326EB6" w:rsidRDefault="00326EB6" w:rsidP="0056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B6" w:rsidRDefault="00326EB6" w:rsidP="00561D0F">
      <w:pPr>
        <w:spacing w:line="240" w:lineRule="auto"/>
      </w:pPr>
      <w:bookmarkStart w:id="0" w:name="_Hlk485624758"/>
      <w:bookmarkEnd w:id="0"/>
      <w:r>
        <w:separator/>
      </w:r>
    </w:p>
  </w:footnote>
  <w:footnote w:type="continuationSeparator" w:id="0">
    <w:p w:rsidR="00326EB6" w:rsidRDefault="00326EB6" w:rsidP="00561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2" w:rsidRDefault="00A42772" w:rsidP="00561D0F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</w:t>
    </w:r>
  </w:p>
  <w:p w:rsidR="00A42772" w:rsidRDefault="00A42772" w:rsidP="00561D0F">
    <w:pPr>
      <w:pStyle w:val="Cabealho"/>
      <w:rPr>
        <w:rFonts w:ascii="Calibri" w:eastAsia="Times New Roman" w:hAnsi="Calibri" w:cs="Times New Roman"/>
        <w:b/>
        <w:sz w:val="28"/>
      </w:rPr>
    </w:pPr>
  </w:p>
  <w:p w:rsidR="00A42772" w:rsidRDefault="00A42772" w:rsidP="00853F12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68B24AD2" wp14:editId="1AED3D59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42772" w:rsidRDefault="00A42772" w:rsidP="00853F12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A42772" w:rsidRDefault="00A42772" w:rsidP="00853F12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A42772" w:rsidRDefault="00A42772">
    <w:pPr>
      <w:pStyle w:val="Cabealho"/>
    </w:pPr>
  </w:p>
  <w:p w:rsidR="00A42772" w:rsidRDefault="00A42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6"/>
    <w:multiLevelType w:val="hybridMultilevel"/>
    <w:tmpl w:val="141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4A4"/>
    <w:multiLevelType w:val="hybridMultilevel"/>
    <w:tmpl w:val="45100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BDC"/>
    <w:multiLevelType w:val="hybridMultilevel"/>
    <w:tmpl w:val="D046B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529B0"/>
    <w:multiLevelType w:val="hybridMultilevel"/>
    <w:tmpl w:val="0A828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16F"/>
    <w:rsid w:val="000332CC"/>
    <w:rsid w:val="00051DFC"/>
    <w:rsid w:val="00085695"/>
    <w:rsid w:val="000A2467"/>
    <w:rsid w:val="000D216F"/>
    <w:rsid w:val="000D66BC"/>
    <w:rsid w:val="000F326E"/>
    <w:rsid w:val="000F7913"/>
    <w:rsid w:val="00117E23"/>
    <w:rsid w:val="0017164A"/>
    <w:rsid w:val="0019129F"/>
    <w:rsid w:val="00196DAD"/>
    <w:rsid w:val="001B76DF"/>
    <w:rsid w:val="002517DB"/>
    <w:rsid w:val="00291BC3"/>
    <w:rsid w:val="00291BFE"/>
    <w:rsid w:val="002A4BCF"/>
    <w:rsid w:val="002C1D82"/>
    <w:rsid w:val="002D79A1"/>
    <w:rsid w:val="00311881"/>
    <w:rsid w:val="00312602"/>
    <w:rsid w:val="00326EB6"/>
    <w:rsid w:val="0034296A"/>
    <w:rsid w:val="00401653"/>
    <w:rsid w:val="004065D9"/>
    <w:rsid w:val="004450D5"/>
    <w:rsid w:val="004577EB"/>
    <w:rsid w:val="00470421"/>
    <w:rsid w:val="004A1A5B"/>
    <w:rsid w:val="004B0EE7"/>
    <w:rsid w:val="004C75BD"/>
    <w:rsid w:val="00525A06"/>
    <w:rsid w:val="00533F16"/>
    <w:rsid w:val="00561D0F"/>
    <w:rsid w:val="005653BD"/>
    <w:rsid w:val="00570F05"/>
    <w:rsid w:val="0058427C"/>
    <w:rsid w:val="005848C5"/>
    <w:rsid w:val="005B291D"/>
    <w:rsid w:val="005B357B"/>
    <w:rsid w:val="005B3BF3"/>
    <w:rsid w:val="005D6E81"/>
    <w:rsid w:val="005E71A5"/>
    <w:rsid w:val="00600064"/>
    <w:rsid w:val="00652E8E"/>
    <w:rsid w:val="006B5F66"/>
    <w:rsid w:val="006D3C3D"/>
    <w:rsid w:val="006E0574"/>
    <w:rsid w:val="00702E21"/>
    <w:rsid w:val="007127FA"/>
    <w:rsid w:val="0073520B"/>
    <w:rsid w:val="00756D79"/>
    <w:rsid w:val="00762C44"/>
    <w:rsid w:val="00765F34"/>
    <w:rsid w:val="00783E77"/>
    <w:rsid w:val="007951A4"/>
    <w:rsid w:val="007D1681"/>
    <w:rsid w:val="0080064B"/>
    <w:rsid w:val="0081002D"/>
    <w:rsid w:val="00813BEA"/>
    <w:rsid w:val="00836E2A"/>
    <w:rsid w:val="00850900"/>
    <w:rsid w:val="00853F12"/>
    <w:rsid w:val="00894BCD"/>
    <w:rsid w:val="008A4930"/>
    <w:rsid w:val="008A5C84"/>
    <w:rsid w:val="008D74D7"/>
    <w:rsid w:val="008E4320"/>
    <w:rsid w:val="008F4AF4"/>
    <w:rsid w:val="009005FE"/>
    <w:rsid w:val="00903D19"/>
    <w:rsid w:val="009575DA"/>
    <w:rsid w:val="009604C4"/>
    <w:rsid w:val="009617FC"/>
    <w:rsid w:val="00965C1A"/>
    <w:rsid w:val="009735AC"/>
    <w:rsid w:val="009B16F5"/>
    <w:rsid w:val="009E130A"/>
    <w:rsid w:val="009E2646"/>
    <w:rsid w:val="009E5FE9"/>
    <w:rsid w:val="00A177B8"/>
    <w:rsid w:val="00A42772"/>
    <w:rsid w:val="00A43685"/>
    <w:rsid w:val="00A81D4B"/>
    <w:rsid w:val="00A82E9A"/>
    <w:rsid w:val="00AB78BA"/>
    <w:rsid w:val="00AE7DB3"/>
    <w:rsid w:val="00B6111D"/>
    <w:rsid w:val="00BA310A"/>
    <w:rsid w:val="00BB37BB"/>
    <w:rsid w:val="00BF1BCE"/>
    <w:rsid w:val="00BF3501"/>
    <w:rsid w:val="00C51EF0"/>
    <w:rsid w:val="00C612BA"/>
    <w:rsid w:val="00C6358B"/>
    <w:rsid w:val="00C858D7"/>
    <w:rsid w:val="00CC080A"/>
    <w:rsid w:val="00CD0B75"/>
    <w:rsid w:val="00CD135A"/>
    <w:rsid w:val="00D351FE"/>
    <w:rsid w:val="00D477AB"/>
    <w:rsid w:val="00D76FCE"/>
    <w:rsid w:val="00D80BC9"/>
    <w:rsid w:val="00D8526D"/>
    <w:rsid w:val="00DB0506"/>
    <w:rsid w:val="00DD033F"/>
    <w:rsid w:val="00DE0DAA"/>
    <w:rsid w:val="00DE72EF"/>
    <w:rsid w:val="00E06023"/>
    <w:rsid w:val="00E210A2"/>
    <w:rsid w:val="00E21CD4"/>
    <w:rsid w:val="00E3469C"/>
    <w:rsid w:val="00E638AB"/>
    <w:rsid w:val="00E64E40"/>
    <w:rsid w:val="00E759AD"/>
    <w:rsid w:val="00EA684B"/>
    <w:rsid w:val="00EB4ECE"/>
    <w:rsid w:val="00F3144C"/>
    <w:rsid w:val="00F31D19"/>
    <w:rsid w:val="00F663C7"/>
    <w:rsid w:val="00FB30B5"/>
    <w:rsid w:val="00FE0793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0F10"/>
  <w15:docId w15:val="{3FF5AA5F-146B-4406-BAC8-0732336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0F"/>
  </w:style>
  <w:style w:type="paragraph" w:styleId="Rodap">
    <w:name w:val="footer"/>
    <w:basedOn w:val="Normal"/>
    <w:link w:val="RodapChar"/>
    <w:unhideWhenUsed/>
    <w:rsid w:val="00561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0F"/>
  </w:style>
  <w:style w:type="paragraph" w:customStyle="1" w:styleId="Standard">
    <w:name w:val="Standard"/>
    <w:link w:val="StandardChar"/>
    <w:rsid w:val="00AE7DB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33F16"/>
    <w:pPr>
      <w:ind w:left="720"/>
      <w:contextualSpacing/>
    </w:pPr>
  </w:style>
  <w:style w:type="paragraph" w:customStyle="1" w:styleId="Default">
    <w:name w:val="Default"/>
    <w:rsid w:val="006E0574"/>
    <w:pPr>
      <w:autoSpaceDE w:val="0"/>
      <w:autoSpaceDN w:val="0"/>
      <w:adjustRightInd w:val="0"/>
      <w:spacing w:line="240" w:lineRule="auto"/>
    </w:pPr>
    <w:rPr>
      <w:rFonts w:ascii="Calibri" w:eastAsia="SimSun" w:hAnsi="Calibri" w:cs="Calibri"/>
      <w:sz w:val="24"/>
      <w:szCs w:val="24"/>
    </w:rPr>
  </w:style>
  <w:style w:type="character" w:customStyle="1" w:styleId="StandardChar">
    <w:name w:val="Standard Char"/>
    <w:link w:val="Standard"/>
    <w:rsid w:val="00A82E9A"/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34296A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17</cp:revision>
  <dcterms:created xsi:type="dcterms:W3CDTF">2017-06-19T21:09:00Z</dcterms:created>
  <dcterms:modified xsi:type="dcterms:W3CDTF">2017-06-19T22:33:00Z</dcterms:modified>
</cp:coreProperties>
</file>