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47877" w14:textId="2BF01C88" w:rsidR="0095374B" w:rsidRDefault="0095374B" w:rsidP="0095374B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8824D2" wp14:editId="65D30505">
            <wp:simplePos x="0" y="0"/>
            <wp:positionH relativeFrom="column">
              <wp:posOffset>2363543</wp:posOffset>
            </wp:positionH>
            <wp:positionV relativeFrom="paragraph">
              <wp:posOffset>-87580</wp:posOffset>
            </wp:positionV>
            <wp:extent cx="871220" cy="924560"/>
            <wp:effectExtent l="0" t="0" r="5080" b="254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2F822" w14:textId="5896A55F" w:rsidR="0095374B" w:rsidRDefault="0095374B" w:rsidP="0095374B">
      <w:pPr>
        <w:jc w:val="center"/>
        <w:rPr>
          <w:b/>
          <w:sz w:val="24"/>
          <w:szCs w:val="24"/>
        </w:rPr>
      </w:pPr>
    </w:p>
    <w:p w14:paraId="63AD59E6" w14:textId="5C43B127" w:rsidR="0095374B" w:rsidRDefault="0095374B" w:rsidP="0095374B">
      <w:pPr>
        <w:jc w:val="center"/>
        <w:rPr>
          <w:b/>
          <w:sz w:val="24"/>
          <w:szCs w:val="24"/>
        </w:rPr>
      </w:pPr>
    </w:p>
    <w:p w14:paraId="3B53D13F" w14:textId="5879DD50" w:rsidR="00882F15" w:rsidRPr="00A52B1F" w:rsidRDefault="0095374B" w:rsidP="00953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C137E3">
        <w:rPr>
          <w:b/>
          <w:sz w:val="24"/>
          <w:szCs w:val="24"/>
        </w:rPr>
        <w:t xml:space="preserve">INISTERY OF THE ECONOMY </w:t>
      </w:r>
    </w:p>
    <w:p w14:paraId="198F3E66" w14:textId="2AB0EC52" w:rsidR="00882F15" w:rsidRPr="00C137E3" w:rsidRDefault="0095374B" w:rsidP="0095374B">
      <w:pPr>
        <w:ind w:firstLine="708"/>
        <w:jc w:val="center"/>
        <w:rPr>
          <w:b/>
          <w:sz w:val="24"/>
          <w:szCs w:val="24"/>
          <w:lang w:val="en-US"/>
        </w:rPr>
      </w:pPr>
      <w:r w:rsidRPr="00C137E3">
        <w:rPr>
          <w:b/>
          <w:sz w:val="24"/>
          <w:szCs w:val="24"/>
          <w:lang w:val="en-US"/>
        </w:rPr>
        <w:t>Secretaria</w:t>
      </w:r>
      <w:r w:rsidR="00C137E3" w:rsidRPr="00C137E3">
        <w:rPr>
          <w:b/>
          <w:sz w:val="24"/>
          <w:szCs w:val="24"/>
          <w:lang w:val="en-US"/>
        </w:rPr>
        <w:t>t of Evaluation, Planning, Energy and</w:t>
      </w:r>
      <w:r w:rsidR="00C137E3">
        <w:rPr>
          <w:b/>
          <w:sz w:val="24"/>
          <w:szCs w:val="24"/>
          <w:lang w:val="en-US"/>
        </w:rPr>
        <w:t xml:space="preserve"> </w:t>
      </w:r>
      <w:r w:rsidR="00C137E3" w:rsidRPr="00C137E3">
        <w:rPr>
          <w:b/>
          <w:sz w:val="24"/>
          <w:szCs w:val="24"/>
          <w:lang w:val="en-US"/>
        </w:rPr>
        <w:t xml:space="preserve">Lottery </w:t>
      </w:r>
    </w:p>
    <w:p w14:paraId="02C0956D" w14:textId="2C663912" w:rsidR="0095374B" w:rsidRPr="00032945" w:rsidRDefault="00C137E3" w:rsidP="0095374B">
      <w:pPr>
        <w:ind w:firstLine="708"/>
        <w:jc w:val="center"/>
        <w:rPr>
          <w:b/>
          <w:sz w:val="24"/>
          <w:lang w:val="en-US"/>
        </w:rPr>
      </w:pPr>
      <w:r w:rsidRPr="00032945">
        <w:rPr>
          <w:b/>
          <w:sz w:val="24"/>
          <w:lang w:val="en-US"/>
        </w:rPr>
        <w:t xml:space="preserve">Public Consultation </w:t>
      </w:r>
      <w:r w:rsidR="0095374B" w:rsidRPr="00032945">
        <w:rPr>
          <w:b/>
          <w:sz w:val="24"/>
          <w:lang w:val="en-US"/>
        </w:rPr>
        <w:t xml:space="preserve">ME-SECAP </w:t>
      </w:r>
      <w:r w:rsidRPr="00032945">
        <w:rPr>
          <w:b/>
          <w:sz w:val="24"/>
          <w:lang w:val="en-US"/>
        </w:rPr>
        <w:t>0</w:t>
      </w:r>
      <w:r w:rsidR="0095374B" w:rsidRPr="00032945">
        <w:rPr>
          <w:b/>
          <w:sz w:val="24"/>
          <w:lang w:val="en-US"/>
        </w:rPr>
        <w:t>1/2019</w:t>
      </w:r>
      <w:r w:rsidR="00F27BF6" w:rsidRPr="00032945">
        <w:rPr>
          <w:b/>
          <w:sz w:val="24"/>
          <w:lang w:val="en-US"/>
        </w:rPr>
        <w:t xml:space="preserve"> </w:t>
      </w:r>
      <w:r w:rsidR="00120FD7" w:rsidRPr="00032945">
        <w:rPr>
          <w:b/>
          <w:sz w:val="24"/>
          <w:lang w:val="en-US"/>
        </w:rPr>
        <w:t>Template</w:t>
      </w:r>
      <w:r w:rsidR="00F27BF6" w:rsidRPr="00032945">
        <w:rPr>
          <w:b/>
          <w:sz w:val="24"/>
          <w:lang w:val="en-US"/>
        </w:rPr>
        <w:t xml:space="preserve"> </w:t>
      </w:r>
    </w:p>
    <w:tbl>
      <w:tblPr>
        <w:tblStyle w:val="Tabelacomgrade"/>
        <w:tblpPr w:leftFromText="141" w:rightFromText="141" w:vertAnchor="page" w:horzAnchor="margin" w:tblpY="486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59CE" w14:paraId="79D866DF" w14:textId="77777777" w:rsidTr="00956964">
        <w:tc>
          <w:tcPr>
            <w:tcW w:w="9067" w:type="dxa"/>
            <w:shd w:val="clear" w:color="auto" w:fill="E7E6E6" w:themeFill="background2"/>
          </w:tcPr>
          <w:p w14:paraId="2FD78364" w14:textId="701AB6B6" w:rsidR="009959CE" w:rsidRPr="00AD4769" w:rsidRDefault="00F27BF6" w:rsidP="00F27B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>Public Consultation</w:t>
            </w:r>
            <w:r w:rsidR="0095374B">
              <w:rPr>
                <w:b/>
                <w:sz w:val="24"/>
              </w:rPr>
              <w:t xml:space="preserve"> ME-SECAP 01/2019</w:t>
            </w:r>
          </w:p>
        </w:tc>
      </w:tr>
      <w:tr w:rsidR="0095374B" w14:paraId="0C8F7AFF" w14:textId="77777777" w:rsidTr="00956964">
        <w:tc>
          <w:tcPr>
            <w:tcW w:w="9067" w:type="dxa"/>
            <w:shd w:val="clear" w:color="auto" w:fill="E7E6E6" w:themeFill="background2"/>
          </w:tcPr>
          <w:p w14:paraId="53A8C4B7" w14:textId="5C91A32F" w:rsidR="0095374B" w:rsidRPr="00882F15" w:rsidRDefault="00F27BF6" w:rsidP="0095374B">
            <w:pPr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t>Personal Information</w:t>
            </w:r>
          </w:p>
        </w:tc>
      </w:tr>
      <w:tr w:rsidR="009959CE" w14:paraId="645543F8" w14:textId="77777777" w:rsidTr="00956964">
        <w:tc>
          <w:tcPr>
            <w:tcW w:w="9067" w:type="dxa"/>
          </w:tcPr>
          <w:p w14:paraId="7DEF6727" w14:textId="56817F55" w:rsidR="009959CE" w:rsidRPr="00AD4769" w:rsidRDefault="009959CE" w:rsidP="00F27BF6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N</w:t>
            </w:r>
            <w:r w:rsidR="00F27BF6">
              <w:rPr>
                <w:b/>
                <w:sz w:val="26"/>
                <w:szCs w:val="26"/>
              </w:rPr>
              <w:t>a</w:t>
            </w:r>
            <w:r w:rsidRPr="00AD4769">
              <w:rPr>
                <w:b/>
                <w:sz w:val="26"/>
                <w:szCs w:val="26"/>
              </w:rPr>
              <w:t xml:space="preserve">me: </w:t>
            </w:r>
          </w:p>
        </w:tc>
      </w:tr>
      <w:tr w:rsidR="009959CE" w14:paraId="209AC476" w14:textId="77777777" w:rsidTr="00956964">
        <w:tc>
          <w:tcPr>
            <w:tcW w:w="9067" w:type="dxa"/>
          </w:tcPr>
          <w:p w14:paraId="361D643A" w14:textId="06F6BBB8" w:rsidR="009959CE" w:rsidRPr="00AD4769" w:rsidRDefault="009959CE" w:rsidP="00F27BF6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Organiza</w:t>
            </w:r>
            <w:r w:rsidR="00F27BF6">
              <w:rPr>
                <w:b/>
                <w:sz w:val="26"/>
                <w:szCs w:val="26"/>
              </w:rPr>
              <w:t>tion</w:t>
            </w:r>
            <w:r w:rsidRPr="00AD4769">
              <w:rPr>
                <w:b/>
                <w:sz w:val="26"/>
                <w:szCs w:val="26"/>
              </w:rPr>
              <w:t>:</w:t>
            </w:r>
          </w:p>
        </w:tc>
      </w:tr>
      <w:tr w:rsidR="009959CE" w14:paraId="13BE936A" w14:textId="77777777" w:rsidTr="00956964">
        <w:tc>
          <w:tcPr>
            <w:tcW w:w="9067" w:type="dxa"/>
          </w:tcPr>
          <w:p w14:paraId="6C6FAFF7" w14:textId="77777777" w:rsidR="009959CE" w:rsidRPr="00AD4769" w:rsidRDefault="009959CE" w:rsidP="009959CE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E-mail:</w:t>
            </w:r>
          </w:p>
        </w:tc>
      </w:tr>
      <w:tr w:rsidR="009959CE" w14:paraId="144B10AB" w14:textId="77777777" w:rsidTr="00956964">
        <w:tc>
          <w:tcPr>
            <w:tcW w:w="9067" w:type="dxa"/>
          </w:tcPr>
          <w:p w14:paraId="112A0694" w14:textId="6BCFE896" w:rsidR="009959CE" w:rsidRPr="00AD4769" w:rsidRDefault="009959CE" w:rsidP="00F27BF6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Tele</w:t>
            </w:r>
            <w:r w:rsidR="00F27BF6">
              <w:rPr>
                <w:b/>
                <w:sz w:val="26"/>
                <w:szCs w:val="26"/>
              </w:rPr>
              <w:t>phone</w:t>
            </w:r>
            <w:r w:rsidRPr="00AD4769">
              <w:rPr>
                <w:b/>
                <w:sz w:val="26"/>
                <w:szCs w:val="26"/>
              </w:rPr>
              <w:t>:</w:t>
            </w:r>
          </w:p>
        </w:tc>
      </w:tr>
      <w:tr w:rsidR="009959CE" w:rsidRPr="0016086A" w14:paraId="73802679" w14:textId="77777777" w:rsidTr="00956964">
        <w:tc>
          <w:tcPr>
            <w:tcW w:w="9067" w:type="dxa"/>
            <w:shd w:val="clear" w:color="auto" w:fill="E7E6E6" w:themeFill="background2"/>
          </w:tcPr>
          <w:p w14:paraId="71B752AB" w14:textId="6044631D" w:rsidR="0095374B" w:rsidRPr="004C2819" w:rsidRDefault="00F27BF6" w:rsidP="0095374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C2819">
              <w:rPr>
                <w:b/>
                <w:sz w:val="26"/>
                <w:szCs w:val="26"/>
                <w:lang w:val="en-US"/>
              </w:rPr>
              <w:t xml:space="preserve">Questions pertaining to the regulation of sports </w:t>
            </w:r>
            <w:r w:rsidR="00A84C1D">
              <w:rPr>
                <w:b/>
                <w:sz w:val="26"/>
                <w:szCs w:val="26"/>
                <w:lang w:val="en-US"/>
              </w:rPr>
              <w:t>games</w:t>
            </w:r>
            <w:r w:rsidR="0063729D" w:rsidRPr="004C2819">
              <w:rPr>
                <w:b/>
                <w:sz w:val="26"/>
                <w:szCs w:val="26"/>
                <w:lang w:val="en-US"/>
              </w:rPr>
              <w:t xml:space="preserve"> </w:t>
            </w:r>
            <w:r w:rsidR="004C2819">
              <w:rPr>
                <w:b/>
                <w:sz w:val="26"/>
                <w:szCs w:val="26"/>
                <w:lang w:val="en-US"/>
              </w:rPr>
              <w:t xml:space="preserve">- </w:t>
            </w:r>
            <w:r w:rsidR="0063729D" w:rsidRPr="004C2819">
              <w:rPr>
                <w:b/>
                <w:sz w:val="26"/>
                <w:szCs w:val="26"/>
                <w:lang w:val="en-US"/>
              </w:rPr>
              <w:t>fixed odds</w:t>
            </w:r>
            <w:r w:rsidR="00377EC4">
              <w:rPr>
                <w:b/>
                <w:sz w:val="26"/>
                <w:szCs w:val="26"/>
                <w:lang w:val="en-US"/>
              </w:rPr>
              <w:t xml:space="preserve"> in Brazil</w:t>
            </w:r>
            <w:r w:rsidR="00956964" w:rsidRPr="004C2819">
              <w:rPr>
                <w:b/>
                <w:sz w:val="26"/>
                <w:szCs w:val="26"/>
                <w:lang w:val="en-US"/>
              </w:rPr>
              <w:t>.</w:t>
            </w:r>
          </w:p>
          <w:p w14:paraId="1ECB2CBE" w14:textId="2C4FFB2C" w:rsidR="009959CE" w:rsidRPr="0016086A" w:rsidRDefault="0016086A" w:rsidP="00377EC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 is not mandatory to answer all the questions.  </w:t>
            </w:r>
            <w:r w:rsidR="004C2819">
              <w:rPr>
                <w:b/>
                <w:sz w:val="26"/>
                <w:szCs w:val="26"/>
                <w:lang w:val="en-US"/>
              </w:rPr>
              <w:t xml:space="preserve">Please feel free to </w:t>
            </w:r>
            <w:r w:rsidR="00377EC4">
              <w:rPr>
                <w:b/>
                <w:sz w:val="26"/>
                <w:szCs w:val="26"/>
                <w:lang w:val="en-US"/>
              </w:rPr>
              <w:t xml:space="preserve">limit your </w:t>
            </w:r>
            <w:r w:rsidR="004C2819">
              <w:rPr>
                <w:b/>
                <w:sz w:val="26"/>
                <w:szCs w:val="26"/>
                <w:lang w:val="en-US"/>
              </w:rPr>
              <w:t>answer</w:t>
            </w:r>
            <w:r>
              <w:rPr>
                <w:b/>
                <w:sz w:val="26"/>
                <w:szCs w:val="26"/>
                <w:lang w:val="en-US"/>
              </w:rPr>
              <w:t>s</w:t>
            </w:r>
            <w:r w:rsidR="004C2819">
              <w:rPr>
                <w:b/>
                <w:sz w:val="26"/>
                <w:szCs w:val="26"/>
                <w:lang w:val="en-US"/>
              </w:rPr>
              <w:t xml:space="preserve"> </w:t>
            </w:r>
            <w:r w:rsidR="00377EC4">
              <w:rPr>
                <w:b/>
                <w:sz w:val="26"/>
                <w:szCs w:val="26"/>
                <w:lang w:val="en-US"/>
              </w:rPr>
              <w:t xml:space="preserve">to </w:t>
            </w:r>
            <w:r>
              <w:rPr>
                <w:b/>
                <w:sz w:val="26"/>
                <w:szCs w:val="26"/>
                <w:lang w:val="en-US"/>
              </w:rPr>
              <w:t>th</w:t>
            </w:r>
            <w:r w:rsidR="00377EC4">
              <w:rPr>
                <w:b/>
                <w:sz w:val="26"/>
                <w:szCs w:val="26"/>
                <w:lang w:val="en-US"/>
              </w:rPr>
              <w:t>e</w:t>
            </w:r>
            <w:r>
              <w:rPr>
                <w:b/>
                <w:sz w:val="26"/>
                <w:szCs w:val="26"/>
                <w:lang w:val="en-US"/>
              </w:rPr>
              <w:t xml:space="preserve"> que</w:t>
            </w:r>
            <w:r w:rsidR="004C2819">
              <w:rPr>
                <w:b/>
                <w:sz w:val="26"/>
                <w:szCs w:val="26"/>
                <w:lang w:val="en-US"/>
              </w:rPr>
              <w:t xml:space="preserve">stions that are of interest to you.  </w:t>
            </w:r>
          </w:p>
        </w:tc>
      </w:tr>
      <w:tr w:rsidR="009959CE" w:rsidRPr="004E5A9F" w14:paraId="26C03223" w14:textId="77777777" w:rsidTr="00956964">
        <w:tc>
          <w:tcPr>
            <w:tcW w:w="9067" w:type="dxa"/>
          </w:tcPr>
          <w:p w14:paraId="58FC308A" w14:textId="3037EC2D" w:rsidR="0095374B" w:rsidRPr="000424CA" w:rsidRDefault="004C2819" w:rsidP="000424C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Considering the </w:t>
            </w:r>
            <w:r w:rsidR="0016086A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inherent</w:t>
            </w:r>
            <w:r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characteristics of sports </w:t>
            </w:r>
            <w:r w:rsidR="00945281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games</w:t>
            </w:r>
            <w:r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– fixed odds, whether online or </w:t>
            </w:r>
            <w:r w:rsidR="0016086A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retail-</w:t>
            </w:r>
            <w:r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based</w:t>
            </w:r>
            <w:r w:rsidR="0016086A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,</w:t>
            </w:r>
            <w:r w:rsidR="00237923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and the activity´s economic feasibility, do you consider 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adequate </w:t>
            </w:r>
            <w:r w:rsidR="00F8110D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manner in which 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art. 30 of Law 13,756, of December 12, 2018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="0053482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determines the allocation of </w:t>
            </w:r>
            <w:r w:rsidR="0091663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</w:t>
            </w:r>
            <w:r w:rsidR="003D4BB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revenues generated</w:t>
            </w:r>
            <w:r w:rsidR="0091663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by them</w:t>
            </w:r>
            <w:r w:rsidR="00237923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?</w:t>
            </w:r>
            <w:r w:rsidR="00F8110D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 In your view, what would be the </w:t>
            </w:r>
            <w:r w:rsid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best form </w:t>
            </w:r>
            <w:r w:rsidR="003D4BB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of</w:t>
            </w:r>
            <w:r w:rsidR="00F8110D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establish</w:t>
            </w:r>
            <w:r w:rsidR="003D4BB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ing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="00AC6EBF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the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allocation of the revenues </w:t>
            </w:r>
            <w:r w:rsidR="000369C3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generated by 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sports </w:t>
            </w:r>
            <w:r w:rsidR="00945281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games</w:t>
            </w:r>
            <w:r w:rsidR="003D4BB2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– fixed odds</w:t>
            </w:r>
            <w:r w:rsidR="007531E6" w:rsidRPr="000424CA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? Is there any global jurisdiction governing how such revenues should be distributed? </w:t>
            </w:r>
            <w:r w:rsidR="00534822" w:rsidRPr="000424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Please provide supporting evidence of your answer.  </w:t>
            </w:r>
            <w:r w:rsidR="00F8110D" w:rsidRPr="000424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 </w:t>
            </w:r>
            <w:r w:rsidR="00237923" w:rsidRPr="000424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</w:t>
            </w:r>
            <w:r w:rsidR="0016086A" w:rsidRPr="000424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</w:t>
            </w:r>
            <w:r w:rsidRPr="000424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</w:t>
            </w:r>
          </w:p>
          <w:p w14:paraId="5DDF01C9" w14:textId="77777777" w:rsidR="0095374B" w:rsidRPr="00534822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34822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34D025C" w14:textId="4C527925" w:rsidR="003C49CF" w:rsidRPr="00061B77" w:rsidRDefault="003C49CF" w:rsidP="00061B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In what ways can </w:t>
            </w:r>
            <w:r w:rsidR="002C52D5"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</w:t>
            </w:r>
            <w:r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operators </w:t>
            </w:r>
            <w:r w:rsidR="00061B77"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of </w:t>
            </w:r>
            <w:r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sports </w:t>
            </w:r>
            <w:r w:rsidR="009A02C5"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games</w:t>
            </w:r>
            <w:r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– fixed odds </w:t>
            </w:r>
            <w:r w:rsidR="002C52D5" w:rsidRPr="00061B7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share information with regulators in order to enhance the latter´s ability to effectively monitor and supervise the underlying operations.  </w:t>
            </w:r>
            <w:r w:rsidR="002C52D5" w:rsidRPr="00061B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Please provide examples.    </w:t>
            </w:r>
          </w:p>
          <w:p w14:paraId="5009C897" w14:textId="77777777" w:rsidR="003C49CF" w:rsidRPr="002C52D5" w:rsidRDefault="003C49CF" w:rsidP="003C49CF">
            <w:pPr>
              <w:jc w:val="both"/>
              <w:rPr>
                <w:rFonts w:cstheme="minorHAnsi"/>
                <w:color w:val="000000"/>
              </w:rPr>
            </w:pPr>
          </w:p>
          <w:p w14:paraId="74C7440D" w14:textId="77777777" w:rsidR="0095374B" w:rsidRPr="002C52D5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2D5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E75209F" w14:textId="0C0D30AF" w:rsidR="00F04DB8" w:rsidRPr="00061B77" w:rsidRDefault="00F04DB8" w:rsidP="00061B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Which governmental agency responsible for regulating sports </w:t>
            </w:r>
            <w:r w:rsidR="00A84C1D" w:rsidRPr="00061B77">
              <w:rPr>
                <w:rFonts w:asciiTheme="minorHAnsi" w:hAnsiTheme="minorHAnsi" w:cstheme="minorHAnsi"/>
                <w:color w:val="000000"/>
                <w:lang w:val="en-US"/>
              </w:rPr>
              <w:t>games</w:t>
            </w:r>
            <w:r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061B77"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- </w:t>
            </w:r>
            <w:r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fixed odds do you think could serve as </w:t>
            </w:r>
            <w:r w:rsidR="00061B77"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a </w:t>
            </w:r>
            <w:r w:rsidRPr="00061B77">
              <w:rPr>
                <w:rFonts w:asciiTheme="minorHAnsi" w:hAnsiTheme="minorHAnsi" w:cstheme="minorHAnsi"/>
                <w:color w:val="000000"/>
                <w:lang w:val="en-US"/>
              </w:rPr>
              <w:t>benchmark for Brazil</w:t>
            </w:r>
            <w:r w:rsidR="00264A1F"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?  Please provide supporting evidence of your answer.  </w:t>
            </w:r>
            <w:r w:rsidRPr="00061B77">
              <w:rPr>
                <w:rFonts w:asciiTheme="minorHAnsi" w:hAnsiTheme="minorHAnsi" w:cstheme="minorHAnsi"/>
                <w:color w:val="000000"/>
                <w:lang w:val="en-US"/>
              </w:rPr>
              <w:t xml:space="preserve">    </w:t>
            </w:r>
          </w:p>
          <w:p w14:paraId="31102566" w14:textId="77777777" w:rsidR="0095374B" w:rsidRPr="00054D62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54D62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7D4BA044" w14:textId="2BADA6BB" w:rsidR="00054D62" w:rsidRPr="0092498D" w:rsidRDefault="00B0659E" w:rsidP="009249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What are the minimum processes that should be </w:t>
            </w:r>
            <w:r w:rsidR="003463B0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put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in place to </w:t>
            </w:r>
            <w:r w:rsidR="003463B0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enable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>effective control</w:t>
            </w:r>
            <w:r w:rsidR="003463B0" w:rsidRPr="0092498D">
              <w:rPr>
                <w:rFonts w:asciiTheme="minorHAnsi" w:hAnsiTheme="minorHAnsi" w:cstheme="minorHAnsi"/>
                <w:color w:val="000000"/>
                <w:lang w:val="en-US"/>
              </w:rPr>
              <w:t>, inspection and monitoring of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 the sports </w:t>
            </w:r>
            <w:r w:rsidR="00A84C1D" w:rsidRPr="0092498D">
              <w:rPr>
                <w:rFonts w:asciiTheme="minorHAnsi" w:hAnsiTheme="minorHAnsi" w:cstheme="minorHAnsi"/>
                <w:color w:val="000000"/>
                <w:lang w:val="en-US"/>
              </w:rPr>
              <w:t>games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061B77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-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fixed odds market? </w:t>
            </w:r>
            <w:r w:rsidR="00D71A61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How </w:t>
            </w:r>
            <w:r w:rsidR="0047596C" w:rsidRPr="0092498D">
              <w:rPr>
                <w:rFonts w:asciiTheme="minorHAnsi" w:hAnsiTheme="minorHAnsi" w:cstheme="minorHAnsi"/>
                <w:color w:val="000000"/>
                <w:lang w:val="en-US"/>
              </w:rPr>
              <w:t>can</w:t>
            </w:r>
            <w:r w:rsidR="00D71A61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 the market interact with the government?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>Do you identify any changes that should be made to Brazil´s current legislation and regulation</w:t>
            </w:r>
            <w:r w:rsidR="003463B0" w:rsidRPr="0092498D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 to prevent </w:t>
            </w:r>
            <w:r w:rsidR="00974FBA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and punish illegal practices in this market?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  <w:p w14:paraId="2A554DB0" w14:textId="77777777" w:rsidR="0095374B" w:rsidRPr="00B0659E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0659E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5C8E225F" w14:textId="615B2C55" w:rsidR="00C115CC" w:rsidRPr="0092498D" w:rsidRDefault="00C115CC" w:rsidP="009249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Permission or </w:t>
            </w:r>
            <w:r w:rsidR="005E3721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public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concession, which of the two do you consider the most attractive model to be adopted in Brazil?  In the case of a public concession, what would </w:t>
            </w:r>
            <w:r w:rsidR="005E3721"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be </w:t>
            </w:r>
            <w:r w:rsidRPr="0092498D">
              <w:rPr>
                <w:rFonts w:asciiTheme="minorHAnsi" w:hAnsiTheme="minorHAnsi" w:cstheme="minorHAnsi"/>
                <w:color w:val="000000"/>
                <w:lang w:val="en-US"/>
              </w:rPr>
              <w:t xml:space="preserve">the minimum number of companies participating in the market?  Please provide supporting evidence of your answer.  </w:t>
            </w:r>
          </w:p>
          <w:p w14:paraId="733A3EE7" w14:textId="77777777" w:rsidR="0095374B" w:rsidRPr="00C115CC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C115CC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410AE44F" w14:textId="5559E442" w:rsidR="00C115CC" w:rsidRPr="00B63C76" w:rsidRDefault="00AE2FA6" w:rsidP="00B63C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63C76">
              <w:rPr>
                <w:rFonts w:asciiTheme="minorHAnsi" w:hAnsiTheme="minorHAnsi" w:cstheme="minorHAnsi"/>
                <w:color w:val="000000"/>
                <w:lang w:val="en-US"/>
              </w:rPr>
              <w:lastRenderedPageBreak/>
              <w:t>In your view, are there any points in Law 13,756, of December 12, 2018</w:t>
            </w:r>
            <w:r w:rsidR="000E0FB3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worth changing </w:t>
            </w:r>
            <w:r w:rsidR="006018AA" w:rsidRPr="00B63C76">
              <w:rPr>
                <w:rFonts w:asciiTheme="minorHAnsi" w:hAnsiTheme="minorHAnsi" w:cstheme="minorHAnsi"/>
                <w:color w:val="000000"/>
                <w:lang w:val="en-US"/>
              </w:rPr>
              <w:t>in any way?</w:t>
            </w:r>
            <w:r w:rsidR="003D1ACD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 If so, what is your suggestion in terms of improving or promoting </w:t>
            </w:r>
            <w:r w:rsidR="000E0FB3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any </w:t>
            </w:r>
            <w:r w:rsidR="003D1ACD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corrections </w:t>
            </w:r>
            <w:r w:rsidR="000E0FB3" w:rsidRPr="00B63C76">
              <w:rPr>
                <w:rFonts w:asciiTheme="minorHAnsi" w:hAnsiTheme="minorHAnsi" w:cstheme="minorHAnsi"/>
                <w:color w:val="000000"/>
                <w:lang w:val="en-US"/>
              </w:rPr>
              <w:t>to</w:t>
            </w:r>
            <w:r w:rsidR="003D1ACD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th</w:t>
            </w:r>
            <w:r w:rsidR="00C03A2F" w:rsidRPr="00B63C76">
              <w:rPr>
                <w:rFonts w:asciiTheme="minorHAnsi" w:hAnsiTheme="minorHAnsi" w:cstheme="minorHAnsi"/>
                <w:color w:val="000000"/>
                <w:lang w:val="en-US"/>
              </w:rPr>
              <w:t>at</w:t>
            </w:r>
            <w:r w:rsidR="003D1ACD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legal instrument?</w:t>
            </w:r>
            <w:r w:rsidR="005F3A02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  Please be specific and provide supporting evidence of your answer.  </w:t>
            </w:r>
            <w:r w:rsidR="003D1ACD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  <w:r w:rsidR="006018AA" w:rsidRPr="00B63C76"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</w:p>
          <w:p w14:paraId="63C2EB55" w14:textId="77777777" w:rsidR="00C115CC" w:rsidRPr="00AE2FA6" w:rsidRDefault="00C115CC" w:rsidP="00C115CC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  <w:p w14:paraId="47ABA713" w14:textId="77777777" w:rsidR="0095374B" w:rsidRPr="00AE2FA6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E2FA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2B379AC9" w14:textId="14EFDB01" w:rsidR="004E5A9F" w:rsidRPr="004E5A9F" w:rsidRDefault="004E5A9F" w:rsidP="009249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E5A9F">
              <w:rPr>
                <w:rFonts w:asciiTheme="minorHAnsi" w:hAnsiTheme="minorHAnsi" w:cstheme="minorHAnsi"/>
                <w:color w:val="000000"/>
                <w:lang w:val="en-US"/>
              </w:rPr>
              <w:t>Do you identify any fundamental points that should be included in Brazil´s regulation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s of sports </w:t>
            </w:r>
            <w:r w:rsidR="00A84C1D">
              <w:rPr>
                <w:rFonts w:asciiTheme="minorHAnsi" w:hAnsiTheme="minorHAnsi" w:cstheme="minorHAnsi"/>
                <w:color w:val="000000"/>
                <w:lang w:val="en-US"/>
              </w:rPr>
              <w:t>games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096F16">
              <w:rPr>
                <w:rFonts w:asciiTheme="minorHAnsi" w:hAnsiTheme="minorHAnsi" w:cstheme="minorHAnsi"/>
                <w:color w:val="000000"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fixed odds? In your view, what is the ideal regulatory model to be adopted, considering </w:t>
            </w:r>
            <w:r w:rsidR="000050AB">
              <w:rPr>
                <w:rFonts w:asciiTheme="minorHAnsi" w:hAnsiTheme="minorHAnsi" w:cstheme="minorHAnsi"/>
                <w:color w:val="000000"/>
                <w:lang w:val="en-US"/>
              </w:rPr>
              <w:t xml:space="preserve">the legal framework </w:t>
            </w:r>
            <w:r w:rsidR="00096F16">
              <w:rPr>
                <w:rFonts w:asciiTheme="minorHAnsi" w:hAnsiTheme="minorHAnsi" w:cstheme="minorHAnsi"/>
                <w:color w:val="000000"/>
                <w:lang w:val="en-US"/>
              </w:rPr>
              <w:t xml:space="preserve">currently </w:t>
            </w:r>
            <w:r w:rsidR="000050AB">
              <w:rPr>
                <w:rFonts w:asciiTheme="minorHAnsi" w:hAnsiTheme="minorHAnsi" w:cstheme="minorHAnsi"/>
                <w:color w:val="000000"/>
                <w:lang w:val="en-US"/>
              </w:rPr>
              <w:t xml:space="preserve">in place in </w:t>
            </w:r>
            <w:r w:rsidR="00336428">
              <w:rPr>
                <w:rFonts w:asciiTheme="minorHAnsi" w:hAnsiTheme="minorHAnsi" w:cstheme="minorHAnsi"/>
                <w:color w:val="000000"/>
                <w:lang w:val="en-US"/>
              </w:rPr>
              <w:t>Brazil?</w:t>
            </w:r>
            <w:r w:rsidR="000050AB">
              <w:rPr>
                <w:rFonts w:asciiTheme="minorHAnsi" w:hAnsiTheme="minorHAnsi" w:cstheme="minorHAnsi"/>
                <w:color w:val="000000"/>
                <w:lang w:val="en-US"/>
              </w:rPr>
              <w:t xml:space="preserve">  Please provide examples and supporting evidence of your answer. 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</w:p>
          <w:p w14:paraId="2F5A2778" w14:textId="77777777" w:rsidR="008C5582" w:rsidRPr="004E5A9F" w:rsidRDefault="008C5582" w:rsidP="008C5582">
            <w:pPr>
              <w:pStyle w:val="PargrafodaLista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424A6E46" w14:textId="7D3C8234" w:rsidR="004E5A9F" w:rsidRPr="004E5A9F" w:rsidRDefault="004E5A9F" w:rsidP="004E5A9F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  <w:p w14:paraId="010F1F5E" w14:textId="77777777" w:rsidR="0095374B" w:rsidRPr="004E5A9F" w:rsidRDefault="0095374B" w:rsidP="0095374B">
            <w:pPr>
              <w:pStyle w:val="PargrafodaLista"/>
              <w:ind w:hanging="36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5CE3B5BE" w14:textId="77777777" w:rsidR="009959CE" w:rsidRPr="004E5A9F" w:rsidRDefault="009959CE" w:rsidP="0095374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959CE" w:rsidRPr="004E5A9F" w14:paraId="3B506A39" w14:textId="77777777" w:rsidTr="00956964">
        <w:tc>
          <w:tcPr>
            <w:tcW w:w="9067" w:type="dxa"/>
            <w:shd w:val="clear" w:color="auto" w:fill="E7E6E6" w:themeFill="background2"/>
          </w:tcPr>
          <w:p w14:paraId="365022B6" w14:textId="77777777" w:rsidR="009959CE" w:rsidRPr="004E5A9F" w:rsidRDefault="009959CE" w:rsidP="009959C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9959CE" w:rsidRPr="000050AB" w14:paraId="2F48C73B" w14:textId="77777777" w:rsidTr="00956964">
        <w:trPr>
          <w:trHeight w:val="2407"/>
        </w:trPr>
        <w:tc>
          <w:tcPr>
            <w:tcW w:w="9067" w:type="dxa"/>
          </w:tcPr>
          <w:p w14:paraId="1707D8D6" w14:textId="77777777" w:rsidR="009959CE" w:rsidRPr="004E5A9F" w:rsidRDefault="009959CE" w:rsidP="009959CE">
            <w:pPr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23165233" w14:textId="19378760" w:rsidR="009959CE" w:rsidRPr="000050AB" w:rsidRDefault="009959CE" w:rsidP="009959CE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[</w:t>
            </w:r>
            <w:r w:rsidR="004E5A9F"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Please insert </w:t>
            </w:r>
            <w:r w:rsidR="003E073A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the</w:t>
            </w:r>
            <w:r w:rsidR="004E5A9F"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question´s number and </w:t>
            </w:r>
            <w:r w:rsidR="0092498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the</w:t>
            </w:r>
            <w:bookmarkStart w:id="0" w:name="_GoBack"/>
            <w:bookmarkEnd w:id="0"/>
            <w:r w:rsidR="0092498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corresponding</w:t>
            </w:r>
            <w:r w:rsidR="004E5A9F"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answer</w:t>
            </w:r>
            <w:r w:rsidR="00096F16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here</w:t>
            </w:r>
            <w:r w:rsidR="004E5A9F"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.</w:t>
            </w:r>
            <w:r w:rsidR="00E55ECE"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]</w:t>
            </w:r>
            <w:r w:rsidR="004E5A9F" w:rsidRP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</w:t>
            </w:r>
            <w:r w:rsidR="004E5A9F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 </w:t>
            </w:r>
          </w:p>
          <w:p w14:paraId="2A5C3ACE" w14:textId="77777777" w:rsidR="009959CE" w:rsidRPr="000050AB" w:rsidRDefault="009959CE" w:rsidP="009959CE">
            <w:pPr>
              <w:rPr>
                <w:i/>
                <w:sz w:val="26"/>
                <w:szCs w:val="26"/>
                <w:lang w:val="en-US"/>
              </w:rPr>
            </w:pPr>
          </w:p>
        </w:tc>
      </w:tr>
      <w:tr w:rsidR="009959CE" w14:paraId="7B0960BB" w14:textId="77777777" w:rsidTr="00956964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160FE679" w14:textId="21F2E9E4" w:rsidR="009959CE" w:rsidRPr="00AD4769" w:rsidRDefault="004E5A9F" w:rsidP="004E5A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Additional Information </w:t>
            </w:r>
          </w:p>
        </w:tc>
      </w:tr>
      <w:tr w:rsidR="009959CE" w:rsidRPr="00AF516D" w14:paraId="2B899744" w14:textId="77777777" w:rsidTr="00956964">
        <w:trPr>
          <w:trHeight w:val="1975"/>
        </w:trPr>
        <w:tc>
          <w:tcPr>
            <w:tcW w:w="9067" w:type="dxa"/>
          </w:tcPr>
          <w:p w14:paraId="31D0EFA7" w14:textId="77777777" w:rsidR="009959CE" w:rsidRPr="00AD4769" w:rsidRDefault="009959CE" w:rsidP="009959CE">
            <w:pPr>
              <w:jc w:val="center"/>
              <w:rPr>
                <w:b/>
                <w:sz w:val="26"/>
                <w:szCs w:val="26"/>
              </w:rPr>
            </w:pPr>
          </w:p>
          <w:p w14:paraId="3786AE1D" w14:textId="25A66A42" w:rsidR="009959CE" w:rsidRPr="00AF516D" w:rsidRDefault="009959CE" w:rsidP="009959CE">
            <w:pPr>
              <w:jc w:val="center"/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</w:pPr>
            <w:r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[</w:t>
            </w:r>
            <w:r w:rsidR="004E5A9F"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If necessary, please insert </w:t>
            </w:r>
            <w:r w:rsidR="005A7B79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here </w:t>
            </w:r>
            <w:r w:rsidR="004E5A9F"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any addit</w:t>
            </w:r>
            <w:r w:rsid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i</w:t>
            </w:r>
            <w:r w:rsidR="004E5A9F"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 xml:space="preserve">onal information that might enrich </w:t>
            </w:r>
            <w:r w:rsidR="00AF516D"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or clarify the information you provided previously</w:t>
            </w:r>
            <w:r w:rsid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.</w:t>
            </w:r>
            <w:r w:rsidRPr="00AF516D">
              <w:rPr>
                <w:i/>
                <w:color w:val="D0CECE" w:themeColor="background2" w:themeShade="E6"/>
                <w:sz w:val="26"/>
                <w:szCs w:val="26"/>
                <w:lang w:val="en-US"/>
              </w:rPr>
              <w:t>]</w:t>
            </w:r>
          </w:p>
          <w:p w14:paraId="44D25D36" w14:textId="77777777" w:rsidR="009959CE" w:rsidRPr="00AF516D" w:rsidRDefault="009959CE" w:rsidP="009959C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54EAFD1" w14:textId="77777777" w:rsidR="009959CE" w:rsidRPr="00AF516D" w:rsidRDefault="009959CE" w:rsidP="009959C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6BBBE8A" w14:textId="77777777" w:rsidR="009959CE" w:rsidRPr="00AF516D" w:rsidRDefault="009959CE" w:rsidP="009959C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587CCB17" w14:textId="77777777" w:rsidR="009959CE" w:rsidRPr="00AF516D" w:rsidRDefault="009959CE" w:rsidP="009959CE">
      <w:pPr>
        <w:jc w:val="center"/>
        <w:rPr>
          <w:b/>
          <w:sz w:val="24"/>
          <w:lang w:val="en-US"/>
        </w:rPr>
      </w:pPr>
    </w:p>
    <w:sectPr w:rsidR="009959CE" w:rsidRPr="00AF516D" w:rsidSect="0095696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DED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4E35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19FF"/>
    <w:multiLevelType w:val="hybridMultilevel"/>
    <w:tmpl w:val="DF5C5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525F"/>
    <w:multiLevelType w:val="hybridMultilevel"/>
    <w:tmpl w:val="CAB06FD8"/>
    <w:lvl w:ilvl="0" w:tplc="BB7AE6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5"/>
    <w:rsid w:val="000050AB"/>
    <w:rsid w:val="00032945"/>
    <w:rsid w:val="000369C3"/>
    <w:rsid w:val="000424CA"/>
    <w:rsid w:val="00054D62"/>
    <w:rsid w:val="00061B77"/>
    <w:rsid w:val="00096F16"/>
    <w:rsid w:val="000E0FB3"/>
    <w:rsid w:val="000E5D68"/>
    <w:rsid w:val="00120FD7"/>
    <w:rsid w:val="001551F2"/>
    <w:rsid w:val="0016086A"/>
    <w:rsid w:val="00237923"/>
    <w:rsid w:val="00250F6E"/>
    <w:rsid w:val="00264A1F"/>
    <w:rsid w:val="002822BC"/>
    <w:rsid w:val="002C52D5"/>
    <w:rsid w:val="00300D92"/>
    <w:rsid w:val="00336428"/>
    <w:rsid w:val="003463B0"/>
    <w:rsid w:val="00377EC4"/>
    <w:rsid w:val="003C49CF"/>
    <w:rsid w:val="003D1ACD"/>
    <w:rsid w:val="003D4BB2"/>
    <w:rsid w:val="003E073A"/>
    <w:rsid w:val="00420F67"/>
    <w:rsid w:val="0047596C"/>
    <w:rsid w:val="004A702C"/>
    <w:rsid w:val="004C2819"/>
    <w:rsid w:val="004C7057"/>
    <w:rsid w:val="004E5A9F"/>
    <w:rsid w:val="004E5B6D"/>
    <w:rsid w:val="00534822"/>
    <w:rsid w:val="00565BC0"/>
    <w:rsid w:val="005A7B79"/>
    <w:rsid w:val="005D1CA1"/>
    <w:rsid w:val="005E3721"/>
    <w:rsid w:val="005F3A02"/>
    <w:rsid w:val="006018AA"/>
    <w:rsid w:val="0063729D"/>
    <w:rsid w:val="00667887"/>
    <w:rsid w:val="006C7AC2"/>
    <w:rsid w:val="00700BB7"/>
    <w:rsid w:val="00740A0D"/>
    <w:rsid w:val="007531E6"/>
    <w:rsid w:val="00755963"/>
    <w:rsid w:val="008632CE"/>
    <w:rsid w:val="00882F15"/>
    <w:rsid w:val="008905BD"/>
    <w:rsid w:val="008C5582"/>
    <w:rsid w:val="00916632"/>
    <w:rsid w:val="0092498D"/>
    <w:rsid w:val="00945281"/>
    <w:rsid w:val="0095374B"/>
    <w:rsid w:val="00956964"/>
    <w:rsid w:val="00974FBA"/>
    <w:rsid w:val="009959CE"/>
    <w:rsid w:val="009A02C5"/>
    <w:rsid w:val="009C24A5"/>
    <w:rsid w:val="00A133E4"/>
    <w:rsid w:val="00A84C1D"/>
    <w:rsid w:val="00AB78BE"/>
    <w:rsid w:val="00AC6EBF"/>
    <w:rsid w:val="00AD4769"/>
    <w:rsid w:val="00AE2FA6"/>
    <w:rsid w:val="00AE3AEF"/>
    <w:rsid w:val="00AE3B1D"/>
    <w:rsid w:val="00AF516D"/>
    <w:rsid w:val="00B02B25"/>
    <w:rsid w:val="00B0659E"/>
    <w:rsid w:val="00B37348"/>
    <w:rsid w:val="00B63C76"/>
    <w:rsid w:val="00B70457"/>
    <w:rsid w:val="00C03A2F"/>
    <w:rsid w:val="00C115CC"/>
    <w:rsid w:val="00C137E3"/>
    <w:rsid w:val="00D016C1"/>
    <w:rsid w:val="00D71A61"/>
    <w:rsid w:val="00DB6234"/>
    <w:rsid w:val="00E55ECE"/>
    <w:rsid w:val="00E85ED5"/>
    <w:rsid w:val="00EE400D"/>
    <w:rsid w:val="00F04DB8"/>
    <w:rsid w:val="00F27BF6"/>
    <w:rsid w:val="00F535CD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09E"/>
  <w15:chartTrackingRefBased/>
  <w15:docId w15:val="{A1CE5CB1-8524-4F37-BDF9-518BEC51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6964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95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9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5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Augusto Baptista Neto</dc:creator>
  <cp:keywords/>
  <dc:description/>
  <cp:lastModifiedBy>Humberto Carlos Faria Teixeira</cp:lastModifiedBy>
  <cp:revision>7</cp:revision>
  <cp:lastPrinted>2019-07-30T20:13:00Z</cp:lastPrinted>
  <dcterms:created xsi:type="dcterms:W3CDTF">2019-07-30T22:20:00Z</dcterms:created>
  <dcterms:modified xsi:type="dcterms:W3CDTF">2019-07-30T22:32:00Z</dcterms:modified>
</cp:coreProperties>
</file>