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7877" w14:textId="2BF01C88" w:rsidR="0095374B" w:rsidRDefault="0095374B" w:rsidP="0095374B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68824D2" wp14:editId="65D30505">
            <wp:simplePos x="0" y="0"/>
            <wp:positionH relativeFrom="column">
              <wp:posOffset>2363543</wp:posOffset>
            </wp:positionH>
            <wp:positionV relativeFrom="paragraph">
              <wp:posOffset>-87580</wp:posOffset>
            </wp:positionV>
            <wp:extent cx="871220" cy="924560"/>
            <wp:effectExtent l="0" t="0" r="5080" b="254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F822" w14:textId="5896A55F" w:rsidR="0095374B" w:rsidRDefault="0095374B" w:rsidP="0095374B">
      <w:pPr>
        <w:jc w:val="center"/>
        <w:rPr>
          <w:b/>
          <w:sz w:val="24"/>
          <w:szCs w:val="24"/>
        </w:rPr>
      </w:pPr>
    </w:p>
    <w:p w14:paraId="63AD59E6" w14:textId="5C43B127" w:rsidR="0095374B" w:rsidRDefault="0095374B" w:rsidP="0095374B">
      <w:pPr>
        <w:jc w:val="center"/>
        <w:rPr>
          <w:b/>
          <w:sz w:val="24"/>
          <w:szCs w:val="24"/>
        </w:rPr>
      </w:pPr>
    </w:p>
    <w:p w14:paraId="3B53D13F" w14:textId="116B2FFD" w:rsidR="00882F15" w:rsidRPr="00A52B1F" w:rsidRDefault="0095374B" w:rsidP="00953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ECONOMIA</w:t>
      </w:r>
    </w:p>
    <w:p w14:paraId="198F3E66" w14:textId="4157892C" w:rsidR="00882F15" w:rsidRDefault="0095374B" w:rsidP="0095374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Avaliação, Planejamento, Energia e Loteria</w:t>
      </w:r>
    </w:p>
    <w:p w14:paraId="02C0956D" w14:textId="35834E72" w:rsidR="0095374B" w:rsidRPr="0095374B" w:rsidRDefault="0095374B" w:rsidP="0095374B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Formulário para o envio de contribuições para a Consulta Pública ME-SECAP nº 01/2019</w:t>
      </w:r>
    </w:p>
    <w:tbl>
      <w:tblPr>
        <w:tblStyle w:val="Tabelacomgrade"/>
        <w:tblpPr w:leftFromText="141" w:rightFromText="141" w:vertAnchor="page" w:horzAnchor="margin" w:tblpY="486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959CE" w14:paraId="79D866DF" w14:textId="77777777" w:rsidTr="00956964">
        <w:tc>
          <w:tcPr>
            <w:tcW w:w="9067" w:type="dxa"/>
            <w:shd w:val="clear" w:color="auto" w:fill="E7E6E6" w:themeFill="background2"/>
          </w:tcPr>
          <w:p w14:paraId="2FD78364" w14:textId="0B456E3F" w:rsidR="009959CE" w:rsidRPr="00AD4769" w:rsidRDefault="0095374B" w:rsidP="009537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>Consulta Pública ME-SECAP nº 01/2019</w:t>
            </w:r>
          </w:p>
        </w:tc>
      </w:tr>
      <w:tr w:rsidR="0095374B" w14:paraId="0C8F7AFF" w14:textId="77777777" w:rsidTr="00956964">
        <w:tc>
          <w:tcPr>
            <w:tcW w:w="9067" w:type="dxa"/>
            <w:shd w:val="clear" w:color="auto" w:fill="E7E6E6" w:themeFill="background2"/>
          </w:tcPr>
          <w:p w14:paraId="53A8C4B7" w14:textId="39E59902" w:rsidR="0095374B" w:rsidRPr="00882F15" w:rsidRDefault="0095374B" w:rsidP="0095374B">
            <w:pPr>
              <w:jc w:val="center"/>
              <w:rPr>
                <w:b/>
                <w:sz w:val="24"/>
              </w:rPr>
            </w:pPr>
            <w:r w:rsidRPr="00AD4769">
              <w:rPr>
                <w:b/>
                <w:sz w:val="26"/>
                <w:szCs w:val="26"/>
              </w:rPr>
              <w:t>Dados do colaborador</w:t>
            </w:r>
          </w:p>
        </w:tc>
      </w:tr>
      <w:tr w:rsidR="009959CE" w14:paraId="645543F8" w14:textId="77777777" w:rsidTr="00956964">
        <w:tc>
          <w:tcPr>
            <w:tcW w:w="9067" w:type="dxa"/>
          </w:tcPr>
          <w:p w14:paraId="7DEF6727" w14:textId="77777777" w:rsidR="009959CE" w:rsidRPr="00AD4769" w:rsidRDefault="009959CE" w:rsidP="009959CE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 xml:space="preserve">Nome: </w:t>
            </w:r>
          </w:p>
        </w:tc>
      </w:tr>
      <w:tr w:rsidR="009959CE" w14:paraId="209AC476" w14:textId="77777777" w:rsidTr="00956964">
        <w:tc>
          <w:tcPr>
            <w:tcW w:w="9067" w:type="dxa"/>
          </w:tcPr>
          <w:p w14:paraId="361D643A" w14:textId="77777777" w:rsidR="009959CE" w:rsidRPr="00AD4769" w:rsidRDefault="009959CE" w:rsidP="009959CE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Organização:</w:t>
            </w:r>
          </w:p>
        </w:tc>
      </w:tr>
      <w:tr w:rsidR="009959CE" w14:paraId="13BE936A" w14:textId="77777777" w:rsidTr="00956964">
        <w:tc>
          <w:tcPr>
            <w:tcW w:w="9067" w:type="dxa"/>
          </w:tcPr>
          <w:p w14:paraId="6C6FAFF7" w14:textId="77777777" w:rsidR="009959CE" w:rsidRPr="00AD4769" w:rsidRDefault="009959CE" w:rsidP="009959CE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E-mail:</w:t>
            </w:r>
          </w:p>
        </w:tc>
      </w:tr>
      <w:tr w:rsidR="009959CE" w14:paraId="144B10AB" w14:textId="77777777" w:rsidTr="00956964">
        <w:tc>
          <w:tcPr>
            <w:tcW w:w="9067" w:type="dxa"/>
          </w:tcPr>
          <w:p w14:paraId="112A0694" w14:textId="77777777" w:rsidR="009959CE" w:rsidRPr="00AD4769" w:rsidRDefault="009959CE" w:rsidP="009959CE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Telefone:</w:t>
            </w:r>
          </w:p>
        </w:tc>
      </w:tr>
      <w:tr w:rsidR="009959CE" w14:paraId="73802679" w14:textId="77777777" w:rsidTr="00956964">
        <w:tc>
          <w:tcPr>
            <w:tcW w:w="9067" w:type="dxa"/>
            <w:shd w:val="clear" w:color="auto" w:fill="E7E6E6" w:themeFill="background2"/>
          </w:tcPr>
          <w:p w14:paraId="71B752AB" w14:textId="34E1930F" w:rsidR="0095374B" w:rsidRDefault="00956964" w:rsidP="009537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Perguntas relacionadas </w:t>
            </w:r>
            <w:r w:rsidR="00D016C1">
              <w:rPr>
                <w:b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5374B">
              <w:rPr>
                <w:b/>
                <w:sz w:val="26"/>
                <w:szCs w:val="26"/>
              </w:rPr>
              <w:t xml:space="preserve">regulamentação das apostas </w:t>
            </w:r>
            <w:r w:rsidR="00B02B25">
              <w:rPr>
                <w:b/>
                <w:sz w:val="26"/>
                <w:szCs w:val="26"/>
              </w:rPr>
              <w:t xml:space="preserve">esportivas </w:t>
            </w:r>
            <w:r w:rsidR="0095374B">
              <w:rPr>
                <w:b/>
                <w:sz w:val="26"/>
                <w:szCs w:val="26"/>
              </w:rPr>
              <w:t>de quota fixa</w:t>
            </w:r>
            <w:r>
              <w:rPr>
                <w:b/>
                <w:sz w:val="26"/>
                <w:szCs w:val="26"/>
              </w:rPr>
              <w:t>.</w:t>
            </w:r>
          </w:p>
          <w:p w14:paraId="1ECB2CBE" w14:textId="7458AAA5" w:rsidR="009959CE" w:rsidRPr="00AD4769" w:rsidRDefault="00956964" w:rsidP="00EE40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 participante poderá </w:t>
            </w:r>
            <w:r w:rsidR="00250F6E">
              <w:rPr>
                <w:b/>
                <w:sz w:val="26"/>
                <w:szCs w:val="26"/>
              </w:rPr>
              <w:t>abordar apenas os temas de seu interesse</w:t>
            </w:r>
            <w:bookmarkStart w:id="0" w:name="_GoBack"/>
            <w:bookmarkEnd w:id="0"/>
            <w:r w:rsidR="00250F6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959CE" w14:paraId="26C03223" w14:textId="77777777" w:rsidTr="00956964">
        <w:tc>
          <w:tcPr>
            <w:tcW w:w="9067" w:type="dxa"/>
          </w:tcPr>
          <w:p w14:paraId="58FC308A" w14:textId="169CF863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5374B">
              <w:rPr>
                <w:rFonts w:asciiTheme="minorHAnsi" w:hAnsiTheme="minorHAnsi" w:cstheme="minorHAnsi"/>
                <w:color w:val="000000"/>
              </w:rPr>
              <w:t>1) Considerando-se</w:t>
            </w:r>
            <w:proofErr w:type="gramEnd"/>
            <w:r w:rsidRPr="0095374B">
              <w:rPr>
                <w:rFonts w:asciiTheme="minorHAnsi" w:hAnsiTheme="minorHAnsi" w:cstheme="minorHAnsi"/>
                <w:color w:val="000000"/>
              </w:rPr>
              <w:t xml:space="preserve"> as características intrínsecas às apostas </w:t>
            </w:r>
            <w:r w:rsidR="00F535CD">
              <w:rPr>
                <w:rFonts w:asciiTheme="minorHAnsi" w:hAnsiTheme="minorHAnsi" w:cstheme="minorHAnsi"/>
                <w:color w:val="000000"/>
              </w:rPr>
              <w:t xml:space="preserve">esportivas </w:t>
            </w:r>
            <w:r w:rsidRPr="0095374B">
              <w:rPr>
                <w:rFonts w:asciiTheme="minorHAnsi" w:hAnsiTheme="minorHAnsi" w:cstheme="minorHAnsi"/>
                <w:color w:val="000000"/>
              </w:rPr>
              <w:t>de quota fixa, em meios físicos e virtuais, e as questões de viabilidade financeira da operação, entendem-se como adequadas as distribuições da arrecadação, previstas no artigo 30 da</w:t>
            </w:r>
            <w:r w:rsidRPr="0095374B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Lei nº 13.756, de 1</w:t>
            </w:r>
            <w:r w:rsidRPr="0095374B">
              <w:rPr>
                <w:rFonts w:asciiTheme="minorHAnsi" w:hAnsiTheme="minorHAnsi" w:cstheme="minorHAnsi"/>
                <w:color w:val="1F497D"/>
                <w:shd w:val="clear" w:color="auto" w:fill="FFFFFF"/>
              </w:rPr>
              <w:t>2</w:t>
            </w:r>
            <w:r w:rsidRPr="0095374B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 dezembro de 2018? Qua</w:t>
            </w:r>
            <w:r w:rsidRPr="0095374B">
              <w:rPr>
                <w:rFonts w:asciiTheme="minorHAnsi" w:hAnsiTheme="minorHAnsi" w:cstheme="minorHAnsi"/>
                <w:color w:val="1F497D"/>
                <w:shd w:val="clear" w:color="auto" w:fill="FFFFFF"/>
              </w:rPr>
              <w:t>l</w:t>
            </w:r>
            <w:r w:rsidRPr="0095374B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seria a forma mais adequada da previsão legal para essa distribuição? Existe alguma jurisdição global com essa destinação? Justifique sua resposta.</w:t>
            </w:r>
          </w:p>
          <w:p w14:paraId="5DDF01C9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5374B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4F546C30" w14:textId="1EF19993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2) Quais</w:t>
            </w:r>
            <w:proofErr w:type="gramEnd"/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são os meios existentes na operação das apostas </w:t>
            </w:r>
            <w:r w:rsidR="00F535C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esportivas </w:t>
            </w:r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 quota fixa que podem ser compartilhados com o órgão regulador no sentido de prover elementos robustos de fiscalização e controle? Exemplifique.</w:t>
            </w:r>
          </w:p>
          <w:p w14:paraId="74C7440D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5374B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B8AA607" w14:textId="5880CC05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3) Qual</w:t>
            </w:r>
            <w:proofErr w:type="gramEnd"/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agência governamental ou órgão estatal de regulação de apostas</w:t>
            </w:r>
            <w:r w:rsidR="00DB623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DB623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esportivas</w:t>
            </w:r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quota fixa pode servir como</w:t>
            </w:r>
            <w:r w:rsidRPr="0095374B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95374B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benchmark</w:t>
            </w:r>
            <w:r w:rsidRPr="0095374B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953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para a futura operação no Brasil? Justifique sua resposta.</w:t>
            </w:r>
          </w:p>
          <w:p w14:paraId="31102566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5374B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3777F23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5374B">
              <w:rPr>
                <w:rFonts w:asciiTheme="minorHAnsi" w:hAnsiTheme="minorHAnsi" w:cstheme="minorHAnsi"/>
                <w:color w:val="000000"/>
              </w:rPr>
              <w:t>4) Quais são os processos mínimos de fiscalização, controle e acompanhamento do mercado? Como o mercado pode interagir com o governo? Existe alguma medida de alteração na legislação penal ou na regulamentação que posa ajudar a combater o jogo ilegal?</w:t>
            </w:r>
          </w:p>
          <w:p w14:paraId="2A554DB0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5374B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259228F6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5374B">
              <w:rPr>
                <w:rFonts w:asciiTheme="minorHAnsi" w:hAnsiTheme="minorHAnsi" w:cstheme="minorHAnsi"/>
                <w:color w:val="000000"/>
              </w:rPr>
              <w:t>5) O que viabilizaria o processo de maneira mais atrativa</w:t>
            </w:r>
            <w:r w:rsidRPr="0095374B">
              <w:rPr>
                <w:rFonts w:asciiTheme="minorHAnsi" w:hAnsiTheme="minorHAnsi" w:cstheme="minorHAnsi"/>
                <w:color w:val="1F497D"/>
              </w:rPr>
              <w:t>:</w:t>
            </w:r>
            <w:r w:rsidRPr="0095374B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95374B">
              <w:rPr>
                <w:rFonts w:asciiTheme="minorHAnsi" w:hAnsiTheme="minorHAnsi" w:cstheme="minorHAnsi"/>
                <w:color w:val="000000"/>
              </w:rPr>
              <w:t>concessão ou permissão? Se concessão, qual seria o número mínimo de empresas? Justifique sua resposta.</w:t>
            </w:r>
          </w:p>
          <w:p w14:paraId="733A3EE7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5374B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C8C2672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5374B">
              <w:rPr>
                <w:rFonts w:asciiTheme="minorHAnsi" w:hAnsiTheme="minorHAnsi" w:cstheme="minorHAnsi"/>
                <w:color w:val="000000"/>
              </w:rPr>
              <w:t>6) Em sua avaliação, existem pontos na Lei nº 13.756, de 12 de dezembro de 2018, que necessitam de ajuste, melhoria ou correção? Qual a sugestão de alteração desse instrumento legal? Justifique sua resposta.</w:t>
            </w:r>
          </w:p>
          <w:p w14:paraId="47ABA713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5374B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F355E91" w14:textId="1D12E9BD" w:rsid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5374B">
              <w:rPr>
                <w:rFonts w:asciiTheme="minorHAnsi" w:hAnsiTheme="minorHAnsi" w:cstheme="minorHAnsi"/>
                <w:color w:val="000000"/>
              </w:rPr>
              <w:t>7) Existem</w:t>
            </w:r>
            <w:proofErr w:type="gramEnd"/>
            <w:r w:rsidRPr="0095374B">
              <w:rPr>
                <w:rFonts w:asciiTheme="minorHAnsi" w:hAnsiTheme="minorHAnsi" w:cstheme="minorHAnsi"/>
                <w:color w:val="000000"/>
              </w:rPr>
              <w:t xml:space="preserve"> pontos que considera fundamental para constar da futura regulamentação das apostas</w:t>
            </w:r>
            <w:r w:rsidR="00DB623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623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esportivas</w:t>
            </w:r>
            <w:r w:rsidR="00DB6234" w:rsidRPr="0095374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5374B">
              <w:rPr>
                <w:rFonts w:asciiTheme="minorHAnsi" w:hAnsiTheme="minorHAnsi" w:cstheme="minorHAnsi"/>
                <w:color w:val="000000"/>
              </w:rPr>
              <w:t>de quota fixa?</w:t>
            </w:r>
            <w:r w:rsidRPr="0095374B">
              <w:rPr>
                <w:rStyle w:val="apple-converted-space"/>
                <w:rFonts w:asciiTheme="minorHAnsi" w:hAnsiTheme="minorHAnsi" w:cstheme="minorHAnsi"/>
                <w:color w:val="1F497D"/>
              </w:rPr>
              <w:t> </w:t>
            </w:r>
            <w:r w:rsidRPr="0095374B">
              <w:rPr>
                <w:rFonts w:asciiTheme="minorHAnsi" w:hAnsiTheme="minorHAnsi" w:cstheme="minorHAnsi"/>
                <w:color w:val="000000"/>
              </w:rPr>
              <w:t>Qual seria o modelo de regulamentação ideal, considerando o ordenamento jurídico nacional? Comente e exemplifique.</w:t>
            </w:r>
          </w:p>
          <w:p w14:paraId="010F1F5E" w14:textId="77777777" w:rsidR="0095374B" w:rsidRPr="0095374B" w:rsidRDefault="0095374B" w:rsidP="0095374B">
            <w:pPr>
              <w:pStyle w:val="PargrafodaLista"/>
              <w:ind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CE3B5BE" w14:textId="77777777" w:rsidR="009959CE" w:rsidRPr="0095374B" w:rsidRDefault="009959CE" w:rsidP="009537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59CE" w14:paraId="3B506A39" w14:textId="77777777" w:rsidTr="00956964">
        <w:tc>
          <w:tcPr>
            <w:tcW w:w="9067" w:type="dxa"/>
            <w:shd w:val="clear" w:color="auto" w:fill="E7E6E6" w:themeFill="background2"/>
          </w:tcPr>
          <w:p w14:paraId="365022B6" w14:textId="77777777" w:rsidR="009959CE" w:rsidRPr="00AD4769" w:rsidRDefault="009959CE" w:rsidP="009959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59CE" w14:paraId="2F48C73B" w14:textId="77777777" w:rsidTr="00956964">
        <w:trPr>
          <w:trHeight w:val="2407"/>
        </w:trPr>
        <w:tc>
          <w:tcPr>
            <w:tcW w:w="9067" w:type="dxa"/>
          </w:tcPr>
          <w:p w14:paraId="1707D8D6" w14:textId="77777777" w:rsidR="009959CE" w:rsidRPr="00AD4769" w:rsidRDefault="009959CE" w:rsidP="009959CE">
            <w:pPr>
              <w:jc w:val="center"/>
              <w:rPr>
                <w:i/>
                <w:sz w:val="26"/>
                <w:szCs w:val="26"/>
              </w:rPr>
            </w:pPr>
          </w:p>
          <w:p w14:paraId="23165233" w14:textId="77777777" w:rsidR="009959CE" w:rsidRPr="00AD4769" w:rsidRDefault="009959CE" w:rsidP="009959CE">
            <w:pPr>
              <w:jc w:val="center"/>
              <w:rPr>
                <w:i/>
                <w:sz w:val="26"/>
                <w:szCs w:val="26"/>
              </w:rPr>
            </w:pPr>
            <w:r w:rsidRPr="00AD4769">
              <w:rPr>
                <w:i/>
                <w:color w:val="D0CECE" w:themeColor="background2" w:themeShade="E6"/>
                <w:sz w:val="26"/>
                <w:szCs w:val="26"/>
              </w:rPr>
              <w:t xml:space="preserve">[Inserir </w:t>
            </w:r>
            <w:r w:rsidR="00956964">
              <w:rPr>
                <w:i/>
                <w:color w:val="D0CECE" w:themeColor="background2" w:themeShade="E6"/>
                <w:sz w:val="26"/>
                <w:szCs w:val="26"/>
              </w:rPr>
              <w:t>número da pergunta e resposta relacionada]</w:t>
            </w:r>
          </w:p>
          <w:p w14:paraId="2A5C3ACE" w14:textId="77777777" w:rsidR="009959CE" w:rsidRPr="00AD4769" w:rsidRDefault="009959CE" w:rsidP="009959CE">
            <w:pPr>
              <w:rPr>
                <w:i/>
                <w:sz w:val="26"/>
                <w:szCs w:val="26"/>
              </w:rPr>
            </w:pPr>
          </w:p>
        </w:tc>
      </w:tr>
      <w:tr w:rsidR="009959CE" w14:paraId="7B0960BB" w14:textId="77777777" w:rsidTr="00956964">
        <w:trPr>
          <w:trHeight w:val="516"/>
        </w:trPr>
        <w:tc>
          <w:tcPr>
            <w:tcW w:w="9067" w:type="dxa"/>
            <w:shd w:val="clear" w:color="auto" w:fill="E7E6E6" w:themeFill="background2"/>
          </w:tcPr>
          <w:p w14:paraId="160FE679" w14:textId="77777777" w:rsidR="009959CE" w:rsidRPr="00AD4769" w:rsidRDefault="009959CE" w:rsidP="009959CE">
            <w:pPr>
              <w:jc w:val="center"/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Informações adicionais</w:t>
            </w:r>
          </w:p>
        </w:tc>
      </w:tr>
      <w:tr w:rsidR="009959CE" w14:paraId="2B899744" w14:textId="77777777" w:rsidTr="00956964">
        <w:trPr>
          <w:trHeight w:val="1975"/>
        </w:trPr>
        <w:tc>
          <w:tcPr>
            <w:tcW w:w="9067" w:type="dxa"/>
          </w:tcPr>
          <w:p w14:paraId="31D0EFA7" w14:textId="77777777" w:rsidR="009959CE" w:rsidRPr="00AD4769" w:rsidRDefault="009959CE" w:rsidP="009959CE">
            <w:pPr>
              <w:jc w:val="center"/>
              <w:rPr>
                <w:b/>
                <w:sz w:val="26"/>
                <w:szCs w:val="26"/>
              </w:rPr>
            </w:pPr>
          </w:p>
          <w:p w14:paraId="3786AE1D" w14:textId="77777777" w:rsidR="009959CE" w:rsidRPr="00AD4769" w:rsidRDefault="009959CE" w:rsidP="009959CE">
            <w:pPr>
              <w:jc w:val="center"/>
              <w:rPr>
                <w:i/>
                <w:color w:val="D0CECE" w:themeColor="background2" w:themeShade="E6"/>
                <w:sz w:val="26"/>
                <w:szCs w:val="26"/>
              </w:rPr>
            </w:pPr>
            <w:r w:rsidRPr="00AD4769">
              <w:rPr>
                <w:i/>
                <w:color w:val="D0CECE" w:themeColor="background2" w:themeShade="E6"/>
                <w:sz w:val="26"/>
                <w:szCs w:val="26"/>
              </w:rPr>
              <w:t>[Caso seja necessário inserir aqui informações adicionais que auxiliem na análise da contribuição]</w:t>
            </w:r>
          </w:p>
          <w:p w14:paraId="44D25D36" w14:textId="77777777" w:rsidR="009959CE" w:rsidRPr="00AD4769" w:rsidRDefault="009959CE" w:rsidP="009959CE">
            <w:pPr>
              <w:jc w:val="center"/>
              <w:rPr>
                <w:b/>
                <w:sz w:val="26"/>
                <w:szCs w:val="26"/>
              </w:rPr>
            </w:pPr>
          </w:p>
          <w:p w14:paraId="554EAFD1" w14:textId="77777777" w:rsidR="009959CE" w:rsidRPr="00AD4769" w:rsidRDefault="009959CE" w:rsidP="009959CE">
            <w:pPr>
              <w:jc w:val="center"/>
              <w:rPr>
                <w:b/>
                <w:sz w:val="26"/>
                <w:szCs w:val="26"/>
              </w:rPr>
            </w:pPr>
          </w:p>
          <w:p w14:paraId="46BBBE8A" w14:textId="77777777" w:rsidR="009959CE" w:rsidRPr="00AD4769" w:rsidRDefault="009959CE" w:rsidP="009959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87CCB17" w14:textId="77777777" w:rsidR="009959CE" w:rsidRDefault="009959CE" w:rsidP="009959CE">
      <w:pPr>
        <w:jc w:val="center"/>
        <w:rPr>
          <w:b/>
          <w:sz w:val="24"/>
        </w:rPr>
      </w:pPr>
    </w:p>
    <w:sectPr w:rsidR="009959CE" w:rsidSect="0095696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DED"/>
    <w:multiLevelType w:val="hybridMultilevel"/>
    <w:tmpl w:val="D408D6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4E35"/>
    <w:multiLevelType w:val="hybridMultilevel"/>
    <w:tmpl w:val="D408D6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525F"/>
    <w:multiLevelType w:val="hybridMultilevel"/>
    <w:tmpl w:val="CAB06FD8"/>
    <w:lvl w:ilvl="0" w:tplc="BB7AE66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5"/>
    <w:rsid w:val="000E5D68"/>
    <w:rsid w:val="00250F6E"/>
    <w:rsid w:val="002822BC"/>
    <w:rsid w:val="00300D92"/>
    <w:rsid w:val="00420F67"/>
    <w:rsid w:val="005D1CA1"/>
    <w:rsid w:val="008632CE"/>
    <w:rsid w:val="00882F15"/>
    <w:rsid w:val="0095374B"/>
    <w:rsid w:val="00956964"/>
    <w:rsid w:val="009959CE"/>
    <w:rsid w:val="00AD4769"/>
    <w:rsid w:val="00AE3AEF"/>
    <w:rsid w:val="00B02B25"/>
    <w:rsid w:val="00B37348"/>
    <w:rsid w:val="00B70457"/>
    <w:rsid w:val="00D016C1"/>
    <w:rsid w:val="00DB6234"/>
    <w:rsid w:val="00EE400D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09E"/>
  <w15:chartTrackingRefBased/>
  <w15:docId w15:val="{A1CE5CB1-8524-4F37-BDF9-518BEC51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6964"/>
    <w:pPr>
      <w:spacing w:after="0" w:line="240" w:lineRule="auto"/>
      <w:ind w:left="720"/>
    </w:pPr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9569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9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9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9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9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9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5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Augusto Baptista Neto</dc:creator>
  <cp:keywords/>
  <dc:description/>
  <cp:lastModifiedBy>Alexandre de Oliveira Lima Loyo</cp:lastModifiedBy>
  <cp:revision>7</cp:revision>
  <dcterms:created xsi:type="dcterms:W3CDTF">2019-07-26T18:34:00Z</dcterms:created>
  <dcterms:modified xsi:type="dcterms:W3CDTF">2019-07-29T13:50:00Z</dcterms:modified>
</cp:coreProperties>
</file>