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3" w:type="dxa"/>
        <w:tblInd w:w="-289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814"/>
        <w:gridCol w:w="2307"/>
        <w:gridCol w:w="1358"/>
        <w:gridCol w:w="1584"/>
      </w:tblGrid>
      <w:tr w:rsidR="00783E49" w:rsidTr="00957588">
        <w:trPr>
          <w:trHeight w:val="1430"/>
        </w:trPr>
        <w:tc>
          <w:tcPr>
            <w:tcW w:w="5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6" w:firstLine="0"/>
            </w:pPr>
            <w:r w:rsidRPr="007B18F7">
              <w:rPr>
                <w:noProof/>
                <w:color w:val="000000"/>
                <w:sz w:val="24"/>
              </w:rPr>
              <w:drawing>
                <wp:inline distT="0" distB="0" distL="0" distR="0" wp14:anchorId="38578A1D" wp14:editId="115A48B0">
                  <wp:extent cx="1971675" cy="361950"/>
                  <wp:effectExtent l="0" t="0" r="9525" b="0"/>
                  <wp:docPr id="32" name="Imagem 32" descr="C:\Users\samia.lima\Desktop\HU E EBSERH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ia.lima\Desktop\HU E EBSERH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5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do Vale do São Francisco</w:t>
            </w: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5" w:firstLine="0"/>
              <w:jc w:val="center"/>
            </w:pPr>
            <w:r>
              <w:rPr>
                <w:b/>
                <w:color w:val="000000"/>
              </w:rPr>
              <w:t>HU UNIVASF</w:t>
            </w: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Procedimento Operacional</w:t>
            </w:r>
          </w:p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</w:pPr>
            <w:r>
              <w:rPr>
                <w:color w:val="000000"/>
              </w:rPr>
              <w:t>Padrão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4" w:line="259" w:lineRule="auto"/>
              <w:ind w:left="20" w:firstLine="0"/>
              <w:jc w:val="center"/>
            </w:pPr>
            <w:r>
              <w:t xml:space="preserve"> </w:t>
            </w:r>
          </w:p>
          <w:p w:rsidR="00783E49" w:rsidRDefault="00783E49" w:rsidP="00587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" w:firstLine="0"/>
              <w:jc w:val="center"/>
            </w:pPr>
            <w:r>
              <w:t>POP Nº 1</w:t>
            </w:r>
            <w:r w:rsidR="00587CCE">
              <w:t>4</w:t>
            </w:r>
          </w:p>
        </w:tc>
      </w:tr>
      <w:tr w:rsidR="00783E49" w:rsidTr="00957588">
        <w:trPr>
          <w:trHeight w:val="647"/>
        </w:trPr>
        <w:tc>
          <w:tcPr>
            <w:tcW w:w="5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spacing w:after="160" w:line="259" w:lineRule="auto"/>
              <w:ind w:left="0" w:firstLine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587CC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Fluxo de </w:t>
            </w:r>
            <w:r w:rsidR="00587CCE">
              <w:rPr>
                <w:b/>
                <w:bCs/>
                <w:sz w:val="22"/>
                <w:szCs w:val="22"/>
              </w:rPr>
              <w:t>auditoria de notas fiscais de OPME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t xml:space="preserve">Versão: 01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t>Próxima revisão:</w:t>
            </w:r>
          </w:p>
        </w:tc>
      </w:tr>
      <w:tr w:rsidR="00783E49" w:rsidTr="00957588">
        <w:trPr>
          <w:trHeight w:val="262"/>
        </w:trPr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Elaborado por: </w:t>
            </w:r>
            <w:proofErr w:type="spellStart"/>
            <w:r>
              <w:t>Sâmia</w:t>
            </w:r>
            <w:proofErr w:type="spellEnd"/>
            <w:r>
              <w:t xml:space="preserve"> </w:t>
            </w:r>
            <w:r w:rsidR="00587CCE">
              <w:t>Letícia Ribeiro Lima e Rodolfo Araújo da Silva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criação: </w:t>
            </w:r>
            <w:r>
              <w:t>01/1</w:t>
            </w:r>
            <w:r w:rsidR="00587CCE">
              <w:t>0</w:t>
            </w:r>
            <w:r>
              <w:t>/20</w:t>
            </w:r>
            <w:r w:rsidR="00587CCE">
              <w:t>2</w:t>
            </w:r>
            <w:r w:rsidR="00374F43">
              <w:t>1</w:t>
            </w:r>
            <w:r>
              <w:rPr>
                <w:b/>
              </w:rPr>
              <w:t xml:space="preserve"> </w:t>
            </w:r>
          </w:p>
        </w:tc>
      </w:tr>
      <w:tr w:rsidR="00783E49" w:rsidTr="00957588">
        <w:trPr>
          <w:trHeight w:val="264"/>
        </w:trPr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Revisado por: </w:t>
            </w:r>
            <w:r w:rsidRPr="007B18F7">
              <w:t>Saulo Bezerra Xavier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Revisão: </w:t>
            </w:r>
            <w:r w:rsidR="00374F43">
              <w:t>01/10/202</w:t>
            </w:r>
            <w:r w:rsidR="00374F43">
              <w:t>3</w:t>
            </w:r>
          </w:p>
        </w:tc>
      </w:tr>
      <w:tr w:rsidR="00783E49" w:rsidTr="00957588">
        <w:trPr>
          <w:trHeight w:val="262"/>
        </w:trPr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Pr="007B18F7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Aprovado por: </w:t>
            </w:r>
            <w:r>
              <w:t>Kátia Regina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Aprovação: </w:t>
            </w:r>
            <w:r w:rsidR="00374F43" w:rsidRPr="00374F43">
              <w:t>30/10/2023</w:t>
            </w:r>
          </w:p>
        </w:tc>
      </w:tr>
      <w:tr w:rsidR="00783E49" w:rsidTr="00783E49">
        <w:trPr>
          <w:trHeight w:val="264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78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Responsável pelo POP: </w:t>
            </w:r>
            <w:proofErr w:type="spellStart"/>
            <w:r>
              <w:t>Sâmia</w:t>
            </w:r>
            <w:proofErr w:type="spellEnd"/>
            <w:r>
              <w:t xml:space="preserve"> Letícia Ribeiro Lima</w:t>
            </w:r>
          </w:p>
        </w:tc>
      </w:tr>
      <w:tr w:rsidR="00783E49" w:rsidTr="00783E49">
        <w:trPr>
          <w:trHeight w:val="262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49" w:rsidRDefault="00783E49" w:rsidP="00587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Objetivo: </w:t>
            </w:r>
            <w:r w:rsidR="00587CCE">
              <w:t>Aprimorar os controles internos instituídos para fins de mitigar os riscos de erro, diminuir o tempo gasto pelo setor de contas médicas na verificação da veracidade e fidedignidade das notas fiscais relacionadas ao consumo de OPME.</w:t>
            </w:r>
          </w:p>
        </w:tc>
      </w:tr>
      <w:tr w:rsidR="00783E49" w:rsidTr="003C6B83">
        <w:trPr>
          <w:trHeight w:val="10326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CE" w:rsidRDefault="00783E49" w:rsidP="000477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Informações Gerais: </w:t>
            </w:r>
            <w:r w:rsidR="00587CCE" w:rsidRPr="00BE63C5">
              <w:t xml:space="preserve">O fluxograma </w:t>
            </w:r>
            <w:r w:rsidR="00587CCE">
              <w:t>descreve o caminho percorrido pela nota fiscal depois do envio para contas médicas.</w:t>
            </w:r>
          </w:p>
          <w:p w:rsidR="00587CCE" w:rsidRPr="00D42F86" w:rsidRDefault="00587CCE" w:rsidP="00587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24675" cy="3733800"/>
                  <wp:effectExtent l="0" t="0" r="9525" b="0"/>
                  <wp:docPr id="46" name="Imagem 46" descr="C:\Users\samia.lima\AppData\Local\Microsoft\Windows\INetCache\Content.Word\UMA_Auditoria-Página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mia.lima\AppData\Local\Microsoft\Windows\INetCache\Content.Word\UMA_Auditoria-Página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CCE" w:rsidRPr="00EA36D5" w:rsidRDefault="00587CCE" w:rsidP="00783E49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As notas fiscais relacionada ao consumo de OPME são enviadas à Unidade de Monitoramento e Avaliação –</w:t>
            </w:r>
            <w:r w:rsidR="00EA36D5">
              <w:t xml:space="preserve"> c</w:t>
            </w:r>
            <w:r>
              <w:t xml:space="preserve">ontas médicas, através do e-mail </w:t>
            </w:r>
            <w:hyperlink r:id="rId8" w:history="1">
              <w:r w:rsidR="00EA36D5" w:rsidRPr="00943965">
                <w:rPr>
                  <w:rStyle w:val="Hyperlink"/>
                </w:rPr>
                <w:t>contasmedicas.univasf@ebserh.gov.br</w:t>
              </w:r>
            </w:hyperlink>
            <w:r w:rsidR="00152557">
              <w:rPr>
                <w:color w:val="000000" w:themeColor="text1"/>
              </w:rPr>
              <w:t>,</w:t>
            </w:r>
            <w:r w:rsidR="00EA36D5">
              <w:rPr>
                <w:color w:val="000000" w:themeColor="text1"/>
              </w:rPr>
              <w:t xml:space="preserve"> </w:t>
            </w:r>
            <w:r w:rsidR="00152557">
              <w:rPr>
                <w:color w:val="000000" w:themeColor="text1"/>
              </w:rPr>
              <w:t xml:space="preserve">pela Unidade de Abastecimento (UNIAB). </w:t>
            </w:r>
            <w:r w:rsidR="00EA36D5">
              <w:rPr>
                <w:color w:val="000000" w:themeColor="text1"/>
              </w:rPr>
              <w:t>A caixa de entrada do e-mail é verificada diariamente;</w:t>
            </w:r>
          </w:p>
          <w:p w:rsidR="00EA36D5" w:rsidRPr="00EA36D5" w:rsidRDefault="00EA36D5" w:rsidP="00783E49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Após recebimento via e-mail, as notas fiscais são impressas nas contas médicas;</w:t>
            </w:r>
          </w:p>
          <w:p w:rsidR="00EA36D5" w:rsidRPr="00EA36D5" w:rsidRDefault="00EA36D5" w:rsidP="00783E49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 xml:space="preserve">O administrativo responsável pelos prontuários especiais tem um prazo de </w:t>
            </w:r>
            <w:r w:rsidR="00F5234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dias para realização de busca ativa dos prontuários envolvidos no processo;</w:t>
            </w:r>
          </w:p>
          <w:p w:rsidR="00EA36D5" w:rsidRPr="009C2B5C" w:rsidRDefault="00EA36D5" w:rsidP="008A611E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 w:rsidRPr="009C2B5C">
              <w:rPr>
                <w:color w:val="000000" w:themeColor="text1"/>
              </w:rPr>
              <w:t xml:space="preserve">As notas fiscais são anexadas aos seus respectivos prontuários, após conferência de nome completo, </w:t>
            </w:r>
            <w:r w:rsidR="00152557">
              <w:rPr>
                <w:color w:val="000000" w:themeColor="text1"/>
              </w:rPr>
              <w:t xml:space="preserve">número do prontuário e </w:t>
            </w:r>
            <w:r w:rsidRPr="009C2B5C">
              <w:rPr>
                <w:color w:val="000000" w:themeColor="text1"/>
              </w:rPr>
              <w:t>data</w:t>
            </w:r>
            <w:r w:rsidR="00152557">
              <w:rPr>
                <w:color w:val="000000" w:themeColor="text1"/>
              </w:rPr>
              <w:t xml:space="preserve"> da cirurgia;</w:t>
            </w:r>
          </w:p>
          <w:p w:rsidR="009C2B5C" w:rsidRPr="009C2B5C" w:rsidRDefault="009C2B5C" w:rsidP="008A611E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 xml:space="preserve">Após a conferência preliminar, os prontuários são </w:t>
            </w:r>
            <w:r w:rsidR="00152557">
              <w:rPr>
                <w:color w:val="000000" w:themeColor="text1"/>
              </w:rPr>
              <w:t>separados para auditoria médica</w:t>
            </w:r>
            <w:r w:rsidR="00F5234E">
              <w:rPr>
                <w:color w:val="000000" w:themeColor="text1"/>
              </w:rPr>
              <w:t>.</w:t>
            </w:r>
          </w:p>
          <w:p w:rsidR="009C2B5C" w:rsidRPr="009C2B5C" w:rsidRDefault="009C2B5C" w:rsidP="008A611E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Auditoria médica</w:t>
            </w:r>
            <w:r w:rsidR="00152557">
              <w:rPr>
                <w:color w:val="000000" w:themeColor="text1"/>
              </w:rPr>
              <w:t xml:space="preserve"> (prazo 2 dias)</w:t>
            </w:r>
            <w:r>
              <w:rPr>
                <w:color w:val="000000" w:themeColor="text1"/>
              </w:rPr>
              <w:t>:</w:t>
            </w:r>
          </w:p>
          <w:p w:rsidR="009C2B5C" w:rsidRDefault="009C2B5C" w:rsidP="009C2B5C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Conferir nome completo e número do prontuário;</w:t>
            </w:r>
          </w:p>
          <w:p w:rsidR="009C2B5C" w:rsidRDefault="009C2B5C" w:rsidP="009C2B5C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lastRenderedPageBreak/>
              <w:t>Observar se data da utilização da OPME da nota fiscal confere com data da realização do procedimento cirúrgico;</w:t>
            </w:r>
          </w:p>
          <w:p w:rsidR="009C2B5C" w:rsidRDefault="009C2B5C" w:rsidP="009C2B5C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Analisar se há compatibilidade da OPME utilizada com o procedimento realizado;</w:t>
            </w:r>
          </w:p>
          <w:p w:rsidR="00C423E5" w:rsidRDefault="009C2B5C" w:rsidP="008A611E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jc w:val="both"/>
            </w:pPr>
            <w:r>
              <w:t>Verificar se o valor cobrado na nota fiscal é compatível com a tabela SUS – SIGTAP;</w:t>
            </w:r>
          </w:p>
          <w:p w:rsidR="00C423E5" w:rsidRPr="00F5234E" w:rsidRDefault="009C2B5C" w:rsidP="008A611E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jc w:val="both"/>
            </w:pPr>
            <w:r>
              <w:t>Em caso de i</w:t>
            </w:r>
            <w:r w:rsidR="00381857">
              <w:t>ncompatibilidade:</w:t>
            </w:r>
            <w:r w:rsidR="00F5234E">
              <w:t xml:space="preserve"> </w:t>
            </w:r>
            <w:r w:rsidR="00C423E5">
              <w:t xml:space="preserve">a) </w:t>
            </w:r>
            <w:r w:rsidR="00C423E5" w:rsidRPr="00EF60A9">
              <w:rPr>
                <w:b/>
              </w:rPr>
              <w:t>Entre descrição cirúrgica x registro de consumo da sala x descrição do produto cobrado em nota fiscal</w:t>
            </w:r>
            <w:r w:rsidR="00C423E5" w:rsidRPr="00F5234E">
              <w:t>, o prontuário será devolvido a unidade de CME para verificação do registro e retificação do mesmo, quando necessário</w:t>
            </w:r>
            <w:r w:rsidR="00C423E5">
              <w:t>.</w:t>
            </w:r>
            <w:r w:rsidR="00C423E5" w:rsidRPr="00F5234E">
              <w:t xml:space="preserve"> </w:t>
            </w:r>
            <w:r w:rsidR="00C423E5">
              <w:t xml:space="preserve">b) </w:t>
            </w:r>
            <w:r w:rsidR="00C423E5" w:rsidRPr="00EF60A9">
              <w:rPr>
                <w:b/>
              </w:rPr>
              <w:t>Entre descrição/valor do produto cobrado em nota fiscal x tabela SIGTAP ou descrição cirúrgica x descrição do produto cobrado em nota fiscal</w:t>
            </w:r>
            <w:r w:rsidR="00C423E5" w:rsidRPr="00F5234E">
              <w:t xml:space="preserve">, ou qualquer outra inconformidade, a nota fiscal será devolvida a unidade de abastecimento para retificação da mesma. </w:t>
            </w:r>
            <w:r w:rsidR="00C423E5">
              <w:t xml:space="preserve">c) </w:t>
            </w:r>
            <w:r w:rsidR="00C423E5" w:rsidRPr="00EF60A9">
              <w:rPr>
                <w:b/>
              </w:rPr>
              <w:t>Entre a utilização de OPME e o procedimento ou a quantidade utilizada for excedente ao previsto</w:t>
            </w:r>
            <w:r w:rsidR="00C423E5" w:rsidRPr="00F5234E">
              <w:t>, contrariando a tabela de referência, o profissional da Saúde responsável deverá justificar o uso de materiais excedentes ou incompatíveis</w:t>
            </w:r>
            <w:r w:rsidR="00C423E5">
              <w:t>.</w:t>
            </w:r>
          </w:p>
          <w:p w:rsidR="00587CCE" w:rsidRDefault="00381857" w:rsidP="00783E49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 xml:space="preserve">Posteriormente a auditoria médica, </w:t>
            </w:r>
            <w:r w:rsidR="00152557">
              <w:t>um processo é aberto via</w:t>
            </w:r>
            <w:r>
              <w:t xml:space="preserve"> SEI (Sistema Eletrônico de informações</w:t>
            </w:r>
            <w:r w:rsidR="00152557">
              <w:t>), onde as notas fiscais são separadas por empresa prestadora de serviço. Prazo de 01 dia.</w:t>
            </w:r>
          </w:p>
          <w:p w:rsidR="00152557" w:rsidRDefault="00152557" w:rsidP="00783E49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Os processos gerados via SEI são encaminhadas à UNIAB</w:t>
            </w:r>
            <w:r w:rsidR="00F5234E">
              <w:t>.</w:t>
            </w:r>
          </w:p>
          <w:p w:rsidR="00F5234E" w:rsidRDefault="00F5234E" w:rsidP="00783E49">
            <w:pPr>
              <w:pStyle w:val="PargrafodaList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A UNIAB dar prosseguimento ao processo via SEI.</w:t>
            </w:r>
          </w:p>
          <w:p w:rsidR="00C423E5" w:rsidRDefault="00C423E5" w:rsidP="00C42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Observações importantes:</w:t>
            </w:r>
          </w:p>
          <w:p w:rsidR="00C423E5" w:rsidRPr="00C423E5" w:rsidRDefault="00C423E5" w:rsidP="00C423E5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jc w:val="both"/>
            </w:pPr>
            <w:r w:rsidRPr="00C423E5">
              <w:t>Os pacientes que sofrerão intervenções que utilizam OPME deverão ter registro em AIH, contendo a comprovação técnica de sua efetiva necessidade justificada pelo profissional responsável e registrada no prontuário do paciente</w:t>
            </w:r>
            <w:r>
              <w:t>.</w:t>
            </w:r>
          </w:p>
          <w:p w:rsidR="00C423E5" w:rsidRPr="00C423E5" w:rsidRDefault="00C423E5" w:rsidP="00C423E5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jc w:val="both"/>
            </w:pPr>
            <w:r w:rsidRPr="00C423E5">
              <w:t xml:space="preserve">A descrição cirúrgica é responsabilidade do profissional que realiza o procedimento e deve conter o registro detalhado do ato cirúrgico e a relação das OPME utilizadas e, em casos específicos, a justificativa da utilização de material excedente ou incompatível com o </w:t>
            </w:r>
            <w:r w:rsidR="00EF60A9">
              <w:t>SIGTAP</w:t>
            </w:r>
            <w:r w:rsidRPr="00C423E5">
              <w:t>. É obrigatória a fixação, neste documento, da etiqueta de rastreabilidade das OPME utilizadas no procedimento cirúrgico</w:t>
            </w:r>
            <w:r>
              <w:t>.</w:t>
            </w:r>
          </w:p>
          <w:p w:rsidR="00C423E5" w:rsidRDefault="00C423E5" w:rsidP="003C6B8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jc w:val="both"/>
            </w:pPr>
            <w:r w:rsidRPr="00C423E5">
              <w:t>O controle na utilização de OPME é de responsabilidade dos profissionais envolvidos na realização do procedimento, que deverão registrar na descrição cirúrgica, no registro de consumo da sala e no prontuário do paciente todas as informações sobre as OPME utilizadas, tais como: nome do produto, fabricante, tamanho, quantitativo e a descrição do implante realizado.</w:t>
            </w:r>
          </w:p>
        </w:tc>
      </w:tr>
    </w:tbl>
    <w:p w:rsidR="00783E49" w:rsidRDefault="00783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tbl>
      <w:tblPr>
        <w:tblStyle w:val="TableGrid"/>
        <w:tblW w:w="11063" w:type="dxa"/>
        <w:tblInd w:w="-289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259"/>
        <w:gridCol w:w="2565"/>
        <w:gridCol w:w="1387"/>
        <w:gridCol w:w="1852"/>
      </w:tblGrid>
      <w:tr w:rsidR="003C6B83" w:rsidTr="008A611E">
        <w:trPr>
          <w:trHeight w:val="1430"/>
        </w:trPr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6" w:firstLine="0"/>
            </w:pPr>
            <w:r w:rsidRPr="007B18F7">
              <w:rPr>
                <w:noProof/>
                <w:color w:val="000000"/>
                <w:sz w:val="24"/>
              </w:rPr>
              <w:drawing>
                <wp:inline distT="0" distB="0" distL="0" distR="0" wp14:anchorId="7F40F608" wp14:editId="7A2B8B43">
                  <wp:extent cx="1971675" cy="361950"/>
                  <wp:effectExtent l="0" t="0" r="9525" b="0"/>
                  <wp:docPr id="47" name="Imagem 47" descr="C:\Users\samia.lima\Desktop\HU E EBSERH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ia.lima\Desktop\HU E EBSERH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5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do Vale do São Francisco</w:t>
            </w: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5" w:firstLine="0"/>
              <w:jc w:val="center"/>
            </w:pPr>
            <w:r>
              <w:rPr>
                <w:b/>
                <w:color w:val="000000"/>
              </w:rPr>
              <w:t>HU UNIVASF</w:t>
            </w: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Procedimento Operacional</w:t>
            </w:r>
          </w:p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</w:pPr>
            <w:r>
              <w:rPr>
                <w:color w:val="000000"/>
              </w:rPr>
              <w:t>Padrão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4" w:line="259" w:lineRule="auto"/>
              <w:ind w:left="20" w:firstLine="0"/>
              <w:jc w:val="center"/>
            </w:pPr>
            <w:r>
              <w:t xml:space="preserve"> </w:t>
            </w:r>
          </w:p>
          <w:p w:rsidR="003C6B83" w:rsidRDefault="003C6B83" w:rsidP="001B79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" w:firstLine="0"/>
              <w:jc w:val="center"/>
            </w:pPr>
            <w:r>
              <w:t>POP Nº 1</w:t>
            </w:r>
            <w:r w:rsidR="001B799F">
              <w:t>5</w:t>
            </w:r>
          </w:p>
        </w:tc>
      </w:tr>
      <w:tr w:rsidR="003C6B83" w:rsidTr="008A611E">
        <w:trPr>
          <w:trHeight w:val="647"/>
        </w:trPr>
        <w:tc>
          <w:tcPr>
            <w:tcW w:w="5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8A611E">
            <w:pPr>
              <w:spacing w:after="160" w:line="259" w:lineRule="auto"/>
              <w:ind w:left="0" w:firstLine="0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1B799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Fluxo de auditoria de </w:t>
            </w:r>
            <w:r w:rsidR="001B799F">
              <w:rPr>
                <w:b/>
                <w:bCs/>
                <w:sz w:val="22"/>
                <w:szCs w:val="22"/>
              </w:rPr>
              <w:t xml:space="preserve">exames </w:t>
            </w:r>
            <w:proofErr w:type="spellStart"/>
            <w:r w:rsidR="001B799F">
              <w:rPr>
                <w:b/>
                <w:bCs/>
                <w:sz w:val="22"/>
                <w:szCs w:val="22"/>
              </w:rPr>
              <w:t>contratualizados</w:t>
            </w:r>
            <w:proofErr w:type="spellEnd"/>
            <w:r w:rsidR="001B799F">
              <w:rPr>
                <w:b/>
                <w:bCs/>
                <w:sz w:val="22"/>
                <w:szCs w:val="22"/>
              </w:rPr>
              <w:t xml:space="preserve"> (externos)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t xml:space="preserve">Versão: 01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83" w:rsidRDefault="003C6B83" w:rsidP="008A6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t>Próxima revisão:</w:t>
            </w:r>
          </w:p>
        </w:tc>
      </w:tr>
      <w:tr w:rsidR="00374F43" w:rsidTr="008A611E">
        <w:trPr>
          <w:trHeight w:val="262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Elaborado por: </w:t>
            </w:r>
            <w:proofErr w:type="spellStart"/>
            <w:r>
              <w:t>Sâmia</w:t>
            </w:r>
            <w:proofErr w:type="spellEnd"/>
            <w:r>
              <w:t xml:space="preserve"> Letícia Ribeiro Lima e Rodolfo Araújo da Silva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criação: </w:t>
            </w:r>
            <w:r>
              <w:t>01/10/2021</w:t>
            </w:r>
            <w:r>
              <w:rPr>
                <w:b/>
              </w:rPr>
              <w:t xml:space="preserve"> </w:t>
            </w:r>
          </w:p>
        </w:tc>
      </w:tr>
      <w:tr w:rsidR="00374F43" w:rsidTr="008A611E">
        <w:trPr>
          <w:trHeight w:val="264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Revisado por: </w:t>
            </w:r>
            <w:r w:rsidRPr="007B18F7">
              <w:t>Saulo Bezerra Xavier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Revisão: </w:t>
            </w:r>
            <w:r>
              <w:t>01/10/2023</w:t>
            </w:r>
          </w:p>
        </w:tc>
      </w:tr>
      <w:tr w:rsidR="00374F43" w:rsidTr="008A611E">
        <w:trPr>
          <w:trHeight w:val="262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Pr="007B18F7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Aprovado por: </w:t>
            </w:r>
            <w:r>
              <w:t>Kátia Regina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Aprovação: </w:t>
            </w:r>
            <w:r w:rsidRPr="00374F43">
              <w:t>30/10/2023</w:t>
            </w:r>
          </w:p>
        </w:tc>
      </w:tr>
      <w:tr w:rsidR="00374F43" w:rsidTr="008A611E">
        <w:trPr>
          <w:trHeight w:val="264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Responsável pelo POP: </w:t>
            </w:r>
            <w:proofErr w:type="spellStart"/>
            <w:r>
              <w:t>Sâmia</w:t>
            </w:r>
            <w:proofErr w:type="spellEnd"/>
            <w:r>
              <w:t xml:space="preserve"> Letícia Ribeiro Lima</w:t>
            </w:r>
          </w:p>
        </w:tc>
      </w:tr>
      <w:tr w:rsidR="00374F43" w:rsidTr="008A611E">
        <w:trPr>
          <w:trHeight w:val="262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Objetivo: </w:t>
            </w:r>
            <w:r>
              <w:t>Aprimorar os controles internos instituídos para fins de mitigar os riscos de erro e diminuir o tempo gasto pelo setor de contas médicas na verificação da realização dos exames externos.</w:t>
            </w:r>
          </w:p>
        </w:tc>
      </w:tr>
      <w:tr w:rsidR="00374F43" w:rsidTr="0042221E">
        <w:trPr>
          <w:trHeight w:val="2388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Informações Gerais: </w:t>
            </w:r>
            <w:r w:rsidRPr="00BE63C5">
              <w:t xml:space="preserve">O fluxograma </w:t>
            </w:r>
            <w:r>
              <w:t xml:space="preserve">descreve a auditoria dos exames externos </w:t>
            </w:r>
            <w:proofErr w:type="spellStart"/>
            <w:r>
              <w:t>contratualizados</w:t>
            </w:r>
            <w:proofErr w:type="spellEnd"/>
            <w:r>
              <w:t>, são eles: exames de hemodinâmica e exames de ressonância magnética.</w:t>
            </w:r>
          </w:p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</w:p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70B68854" wp14:editId="2598E791">
                  <wp:extent cx="6877050" cy="3171825"/>
                  <wp:effectExtent l="0" t="0" r="0" b="9525"/>
                  <wp:docPr id="48" name="Imagem 48" descr="C:\Users\samia.lima\AppData\Local\Microsoft\Windows\INetCache\Content.Word\UMA_Auditoria- exames erte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mia.lima\AppData\Local\Microsoft\Windows\INetCache\Content.Word\UMA_Auditoria- exames erte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43" w:rsidRPr="00EA36D5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 fiscal de contrato, atualmente o Setor de Apoio Diagnóstico e Terapêutico (SADT), encaminha mensalmente o fechamento de contas dos pacientes envolvidos no processo de exames externos para a Unidade de Monitoramento e avaliação (UMA) – Contas médicas</w:t>
            </w:r>
            <w:r w:rsidRPr="003C6B83">
              <w:rPr>
                <w:color w:val="000000" w:themeColor="text1"/>
              </w:rPr>
              <w:t>;</w:t>
            </w:r>
          </w:p>
          <w:p w:rsidR="00374F43" w:rsidRPr="00EF60A9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Após recebimento do fechamento de contas, o administrativo responsável pelos prontuários especiais tem um prazo de 2 dias para realização de busca ativa dos prontuários envolvidos no processo;</w:t>
            </w:r>
          </w:p>
          <w:p w:rsidR="00374F43" w:rsidRPr="00EF60A9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Após a conferência se a data da realização do exame externo está dentro do internamento do paciente, o fechamento de conta é anexado ao seu respectivo prontuário, deixando-o pronto para auditoria médica;</w:t>
            </w:r>
          </w:p>
          <w:p w:rsidR="00374F43" w:rsidRPr="009C2B5C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Auditoria médica (prazo 2 dias):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Conferir nome completo e número do prontuário;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Buscar no arquivo médico, as evoluções médicas e/ou enfermagem, que comprovem o pedido e realização do exame externo;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lastRenderedPageBreak/>
              <w:t>Conferir se o valor cobrado por cada procedimento é análogo a tabela SUS (SIGTAP);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 xml:space="preserve">Após auditoria médica, o procedimento poderá: a) ser liberado para pagamento, b) ser criticado, podendo ser glosado, c) ser modificado, buscando prezar pela veracidade do que realmente foi realizado no paciente. 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Posteriormente a auditoria médica, os códigos de cada procedimento realizados são colocados manualmente no laudo de AIH para fins de processamento da informação assistencial (faturamento);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Por fim, um processo é aberto via SEI, com todos os exames auditados e conferidos na forma da legislação do SUS, e encaminhado ao fiscal de contrato (SADT);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 fiscal de contrato (SADT) dar prosseguimento ao processo via SEI, para previsão e liberação da nota fiscal do fornecedor.</w:t>
            </w:r>
          </w:p>
        </w:tc>
      </w:tr>
    </w:tbl>
    <w:p w:rsidR="003C6B83" w:rsidRDefault="003C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tbl>
      <w:tblPr>
        <w:tblStyle w:val="TableGrid"/>
        <w:tblW w:w="11063" w:type="dxa"/>
        <w:tblInd w:w="-289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259"/>
        <w:gridCol w:w="2565"/>
        <w:gridCol w:w="1387"/>
        <w:gridCol w:w="1852"/>
      </w:tblGrid>
      <w:tr w:rsidR="000E5D53" w:rsidTr="000E5D53">
        <w:trPr>
          <w:trHeight w:val="1430"/>
        </w:trPr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6" w:firstLine="0"/>
            </w:pPr>
            <w:r w:rsidRPr="007B18F7">
              <w:rPr>
                <w:noProof/>
                <w:color w:val="000000"/>
                <w:sz w:val="24"/>
              </w:rPr>
              <w:drawing>
                <wp:inline distT="0" distB="0" distL="0" distR="0" wp14:anchorId="2FAB935D" wp14:editId="644123E2">
                  <wp:extent cx="1971675" cy="361950"/>
                  <wp:effectExtent l="0" t="0" r="9525" b="0"/>
                  <wp:docPr id="49" name="Imagem 49" descr="C:\Users\samia.lima\Desktop\HU E EBSERH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ia.lima\Desktop\HU E EBSERH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5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do Vale do São Francisco</w:t>
            </w: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5" w:firstLine="0"/>
              <w:jc w:val="center"/>
            </w:pPr>
            <w:r>
              <w:rPr>
                <w:b/>
                <w:color w:val="000000"/>
              </w:rPr>
              <w:t>HU UNIVASF</w:t>
            </w: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Procedimento Operacional</w:t>
            </w: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  <w:jc w:val="center"/>
            </w:pPr>
            <w:r>
              <w:rPr>
                <w:color w:val="000000"/>
              </w:rPr>
              <w:t>Padrão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4" w:line="259" w:lineRule="auto"/>
              <w:ind w:left="20" w:firstLine="0"/>
              <w:jc w:val="center"/>
            </w:pPr>
            <w:r>
              <w:t xml:space="preserve"> </w:t>
            </w:r>
          </w:p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" w:firstLine="0"/>
              <w:jc w:val="center"/>
            </w:pPr>
            <w:r>
              <w:t>POP Nº 16</w:t>
            </w:r>
          </w:p>
        </w:tc>
      </w:tr>
      <w:tr w:rsidR="000E5D53" w:rsidTr="000E5D53">
        <w:trPr>
          <w:trHeight w:val="647"/>
        </w:trPr>
        <w:tc>
          <w:tcPr>
            <w:tcW w:w="5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spacing w:after="160" w:line="259" w:lineRule="auto"/>
              <w:ind w:left="0" w:firstLine="0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Fluxo de auditoria das hemodiálises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t xml:space="preserve">Versão: 01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53" w:rsidRDefault="000E5D53" w:rsidP="000E5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t>Próxima revisão:</w:t>
            </w:r>
          </w:p>
        </w:tc>
      </w:tr>
      <w:tr w:rsidR="00374F43" w:rsidTr="000E5D53">
        <w:trPr>
          <w:trHeight w:val="262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bookmarkStart w:id="0" w:name="_GoBack" w:colFirst="1" w:colLast="1"/>
            <w:r>
              <w:rPr>
                <w:b/>
              </w:rPr>
              <w:t xml:space="preserve">Elaborado por: </w:t>
            </w:r>
            <w:proofErr w:type="spellStart"/>
            <w:r>
              <w:t>Sâmia</w:t>
            </w:r>
            <w:proofErr w:type="spellEnd"/>
            <w:r>
              <w:t xml:space="preserve"> Letícia Ribeiro Lima e Rodolfo Araújo da Silva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criação: </w:t>
            </w:r>
            <w:r>
              <w:t>01/10/2021</w:t>
            </w:r>
            <w:r>
              <w:rPr>
                <w:b/>
              </w:rPr>
              <w:t xml:space="preserve"> </w:t>
            </w:r>
          </w:p>
        </w:tc>
      </w:tr>
      <w:bookmarkEnd w:id="0"/>
      <w:tr w:rsidR="00374F43" w:rsidTr="000E5D53">
        <w:trPr>
          <w:trHeight w:val="264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Revisado por: </w:t>
            </w:r>
            <w:r w:rsidRPr="007B18F7">
              <w:t>Saulo Bezerra Xavier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Revisão: </w:t>
            </w:r>
            <w:r>
              <w:t>01/10/2023</w:t>
            </w:r>
          </w:p>
        </w:tc>
      </w:tr>
      <w:tr w:rsidR="00374F43" w:rsidTr="000E5D53">
        <w:trPr>
          <w:trHeight w:val="262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Pr="007B18F7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Aprovado por: </w:t>
            </w:r>
            <w:r>
              <w:t>Kátia Regina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Data de Aprovação: </w:t>
            </w:r>
            <w:r w:rsidRPr="00374F43">
              <w:t>30/10/2023</w:t>
            </w:r>
          </w:p>
        </w:tc>
      </w:tr>
      <w:tr w:rsidR="00374F43" w:rsidTr="000E5D53">
        <w:trPr>
          <w:trHeight w:val="264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Responsável pelo POP: </w:t>
            </w:r>
            <w:proofErr w:type="spellStart"/>
            <w:r>
              <w:t>Sâmia</w:t>
            </w:r>
            <w:proofErr w:type="spellEnd"/>
            <w:r>
              <w:t xml:space="preserve"> Letícia Ribeiro Lima</w:t>
            </w:r>
          </w:p>
        </w:tc>
      </w:tr>
      <w:tr w:rsidR="00374F43" w:rsidTr="000E5D53">
        <w:trPr>
          <w:trHeight w:val="262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Objetivo: </w:t>
            </w:r>
            <w:r>
              <w:t>Aprimorar os controles internos instituídos para fins de mitigar os riscos de erro e diminuir o tempo gasto pelo setor de contas médicas na verificação da realização dos procedimentos de hemodiálise.</w:t>
            </w:r>
          </w:p>
        </w:tc>
      </w:tr>
      <w:tr w:rsidR="00374F43" w:rsidTr="000E5D53">
        <w:trPr>
          <w:trHeight w:val="2388"/>
        </w:trPr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Informações Gerais: </w:t>
            </w:r>
            <w:r w:rsidRPr="00BE63C5">
              <w:t xml:space="preserve">O fluxograma </w:t>
            </w:r>
            <w:r>
              <w:t>descreve a auditoria dos procedimentos de hemodiálise.</w:t>
            </w:r>
          </w:p>
          <w:p w:rsidR="00374F43" w:rsidRDefault="00374F43" w:rsidP="0037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  <w:ind w:left="0" w:firstLine="0"/>
            </w:pPr>
            <w:r w:rsidRPr="00CD2AC9">
              <w:rPr>
                <w:noProof/>
              </w:rPr>
              <w:drawing>
                <wp:inline distT="0" distB="0" distL="0" distR="0" wp14:anchorId="5605BBB4" wp14:editId="34FEC873">
                  <wp:extent cx="6915150" cy="5026660"/>
                  <wp:effectExtent l="0" t="0" r="0" b="2540"/>
                  <wp:docPr id="39" name="Imagem 39" descr="C:\Users\samia.lima\Desktop\POPS QUALIDADE\fluxo clinefr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ia.lima\Desktop\POPS QUALIDADE\fluxo clinefr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960" cy="506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F43" w:rsidRPr="00EA36D5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 xml:space="preserve">O setor de protocolo do HU – </w:t>
            </w:r>
            <w:proofErr w:type="spellStart"/>
            <w:r>
              <w:t>Univasf</w:t>
            </w:r>
            <w:proofErr w:type="spellEnd"/>
            <w:r>
              <w:t xml:space="preserve"> recebe mensalmente o demonstrativo de produção e todos os documentos relacionados ao fechamento de conta de serviços prestados pela Clínica de Nefrologia de Juazeiro – CLINEFRO e encaminha para a Unidade de Monitoramento e avaliação (UMA) – Contas médicas</w:t>
            </w:r>
            <w:r w:rsidRPr="000E5D53">
              <w:rPr>
                <w:color w:val="000000" w:themeColor="text1"/>
              </w:rPr>
              <w:t>;</w:t>
            </w:r>
          </w:p>
          <w:p w:rsidR="00374F43" w:rsidRPr="00EF60A9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Após recebimento do demonstrativo de produção pelas contas médicas, o administrativo responsável pelos prontuários especiais tem um prazo de 3 dias para realização de busca ativa dos prontuários envolvidos no processo;</w:t>
            </w:r>
          </w:p>
          <w:p w:rsidR="00374F43" w:rsidRPr="00E138A4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lastRenderedPageBreak/>
              <w:t xml:space="preserve">Após a segregação é realizado uma conferência preliminar das etiquetas de hemodiálise nos prontuários envolvidos no processo, buscando conferir se a quantidade de etiquetas é equivalente a quantidade de sessões cobradas nas guias de serviço de cada paciente. </w:t>
            </w:r>
          </w:p>
          <w:p w:rsidR="00374F43" w:rsidRPr="00EF60A9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 xml:space="preserve">Em casos de inconsistências, </w:t>
            </w:r>
            <w:proofErr w:type="spellStart"/>
            <w:r>
              <w:rPr>
                <w:color w:val="000000" w:themeColor="text1"/>
              </w:rPr>
              <w:t>contactar</w:t>
            </w:r>
            <w:proofErr w:type="spellEnd"/>
            <w:r>
              <w:rPr>
                <w:color w:val="000000" w:themeColor="text1"/>
              </w:rPr>
              <w:t xml:space="preserve"> a CLINEFRO e aguardar o encaminhamento de nova documentação comprobatória. Os prontuários são então encaminhados para auditoria médica;</w:t>
            </w:r>
          </w:p>
          <w:p w:rsidR="00374F43" w:rsidRPr="009C2B5C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rPr>
                <w:color w:val="000000" w:themeColor="text1"/>
              </w:rPr>
              <w:t>Auditoria médica (prazo 2 dias):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Conferir nome completo e número do prontuário;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Buscar no arquivo médico as evoluções médicas e parecer do nefrologista indicando a necessidade de diálise;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Conferir etiqueta com prescrição médica de diálise, que deve conter nome do paciente, data, assinatura/carimbo do médico nefrologista, via de acesso, tempo de diálise, uso de heparina, ultra filtração, fluxo sanguíneo, fluxo dialisado e intercorrências;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 xml:space="preserve">Ao término da auditoria médica, as notas fiscais e todos os documentos relacionados ao fechamento de conta de serviços prestados pela CLINEFRO são assinados pelo médico auditor e encaminhadas para o protocolo. Se necessário enviar também relatório de auditoria, relatando inconsistência. 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 setor de protocolo realiza digitalização das notas fiscais e todos os documentos relacionados ao fechamento de conta de serviços prestados pela CLINEFRO, abre processo via SEI e encaminha para UMA.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A UMA acrescenta ofício no processo SEI, referenciando a quantidade de sessões de hemodiálise e o valor total auditado e encaminha o processo para fiscal de contrato com cópia para GAS.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 fiscal de contrato avalia e revisa demonstrativo de produção.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Em casos de divergência entre valor de nota fiscal e valor auditado, ou inconsistências em guias de serviço, o fiscal deverá descrever no processo SEI, e encaminhar para GAS</w:t>
            </w:r>
          </w:p>
          <w:p w:rsidR="00374F43" w:rsidRDefault="00374F43" w:rsidP="00374F43">
            <w:pPr>
              <w:pStyle w:val="Pargrafoda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2" w:line="356" w:lineRule="auto"/>
            </w:pPr>
            <w:r>
              <w:t>O processo é prosseguido pela GAS.</w:t>
            </w:r>
          </w:p>
        </w:tc>
      </w:tr>
    </w:tbl>
    <w:p w:rsidR="000E5D53" w:rsidRDefault="000E5D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</w:p>
    <w:sectPr w:rsidR="000E5D53">
      <w:pgSz w:w="11906" w:h="16838"/>
      <w:pgMar w:top="717" w:right="402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61DE5D"/>
    <w:multiLevelType w:val="hybridMultilevel"/>
    <w:tmpl w:val="B05DDB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812C6"/>
    <w:multiLevelType w:val="hybridMultilevel"/>
    <w:tmpl w:val="CAE679B0"/>
    <w:lvl w:ilvl="0" w:tplc="D28A8348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E57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0311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A0A5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E4C0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0CBA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C5AC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E611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81DA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001566"/>
    <w:multiLevelType w:val="hybridMultilevel"/>
    <w:tmpl w:val="4EDA90EC"/>
    <w:lvl w:ilvl="0" w:tplc="82603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5E3F"/>
    <w:multiLevelType w:val="hybridMultilevel"/>
    <w:tmpl w:val="CA28DB9C"/>
    <w:lvl w:ilvl="0" w:tplc="82403E94">
      <w:start w:val="8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0A3F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04FAC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8301E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0373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693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A133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4AF5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A82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6D5989"/>
    <w:multiLevelType w:val="hybridMultilevel"/>
    <w:tmpl w:val="E79E4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D6082"/>
    <w:multiLevelType w:val="hybridMultilevel"/>
    <w:tmpl w:val="6CEAE0CA"/>
    <w:lvl w:ilvl="0" w:tplc="3D7AF4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E8C4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48E1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618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10868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82CE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61DB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36C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6E2E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91323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035C1"/>
    <w:multiLevelType w:val="hybridMultilevel"/>
    <w:tmpl w:val="18F8424A"/>
    <w:lvl w:ilvl="0" w:tplc="7F22D6E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79D4"/>
    <w:multiLevelType w:val="hybridMultilevel"/>
    <w:tmpl w:val="15408A4A"/>
    <w:lvl w:ilvl="0" w:tplc="A790CFFE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C43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83C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817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27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AAA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05F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ADF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C16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CD6F1B"/>
    <w:multiLevelType w:val="hybridMultilevel"/>
    <w:tmpl w:val="578AE4FA"/>
    <w:lvl w:ilvl="0" w:tplc="D5E660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44EB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46C12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347B8"/>
    <w:multiLevelType w:val="hybridMultilevel"/>
    <w:tmpl w:val="47E0A968"/>
    <w:lvl w:ilvl="0" w:tplc="041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9AC6E34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619F"/>
    <w:multiLevelType w:val="hybridMultilevel"/>
    <w:tmpl w:val="9D1A9DF6"/>
    <w:lvl w:ilvl="0" w:tplc="547C94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23C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CB2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E94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9C2A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C3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6C3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0B0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EE8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5A2CE1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50032"/>
    <w:multiLevelType w:val="hybridMultilevel"/>
    <w:tmpl w:val="442A73D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2170CB"/>
    <w:multiLevelType w:val="hybridMultilevel"/>
    <w:tmpl w:val="B636BF48"/>
    <w:lvl w:ilvl="0" w:tplc="C1C68492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3C6E96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E218374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D9D2CB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2CAC1D9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60CE44D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6BAE71E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8E2A448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696CDF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8" w15:restartNumberingAfterBreak="0">
    <w:nsid w:val="4BA66882"/>
    <w:multiLevelType w:val="hybridMultilevel"/>
    <w:tmpl w:val="2DE6610E"/>
    <w:lvl w:ilvl="0" w:tplc="E954E6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C82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066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2604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ED26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A412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8149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A5DF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39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2735D"/>
    <w:multiLevelType w:val="hybridMultilevel"/>
    <w:tmpl w:val="2ADA437E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5EE1176D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57621"/>
    <w:multiLevelType w:val="hybridMultilevel"/>
    <w:tmpl w:val="25F2FBA6"/>
    <w:lvl w:ilvl="0" w:tplc="D64CDAD8">
      <w:start w:val="9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489E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EAD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0CE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E4A5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9C4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647F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86FC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62EC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88732C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E30FD"/>
    <w:multiLevelType w:val="hybridMultilevel"/>
    <w:tmpl w:val="47C81886"/>
    <w:lvl w:ilvl="0" w:tplc="1ACC4BB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1D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67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A08E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8FC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87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C20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2EF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CB1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B16A9D"/>
    <w:multiLevelType w:val="hybridMultilevel"/>
    <w:tmpl w:val="10FABA6A"/>
    <w:lvl w:ilvl="0" w:tplc="EFA89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87248"/>
    <w:multiLevelType w:val="hybridMultilevel"/>
    <w:tmpl w:val="5F56DCE6"/>
    <w:lvl w:ilvl="0" w:tplc="606690A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14"/>
  </w:num>
  <w:num w:numId="5">
    <w:abstractNumId w:val="18"/>
  </w:num>
  <w:num w:numId="6">
    <w:abstractNumId w:val="17"/>
  </w:num>
  <w:num w:numId="7">
    <w:abstractNumId w:val="5"/>
  </w:num>
  <w:num w:numId="8">
    <w:abstractNumId w:val="1"/>
  </w:num>
  <w:num w:numId="9">
    <w:abstractNumId w:val="21"/>
  </w:num>
  <w:num w:numId="10">
    <w:abstractNumId w:val="2"/>
  </w:num>
  <w:num w:numId="11">
    <w:abstractNumId w:val="10"/>
  </w:num>
  <w:num w:numId="12">
    <w:abstractNumId w:val="22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  <w:num w:numId="17">
    <w:abstractNumId w:val="15"/>
  </w:num>
  <w:num w:numId="18">
    <w:abstractNumId w:val="0"/>
  </w:num>
  <w:num w:numId="19">
    <w:abstractNumId w:val="24"/>
  </w:num>
  <w:num w:numId="20">
    <w:abstractNumId w:val="12"/>
  </w:num>
  <w:num w:numId="21">
    <w:abstractNumId w:val="19"/>
  </w:num>
  <w:num w:numId="22">
    <w:abstractNumId w:val="20"/>
  </w:num>
  <w:num w:numId="23">
    <w:abstractNumId w:val="16"/>
  </w:num>
  <w:num w:numId="24">
    <w:abstractNumId w:val="4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F"/>
    <w:rsid w:val="000477CB"/>
    <w:rsid w:val="00071D88"/>
    <w:rsid w:val="000D358E"/>
    <w:rsid w:val="000E5D53"/>
    <w:rsid w:val="00107E25"/>
    <w:rsid w:val="00117ADF"/>
    <w:rsid w:val="00126272"/>
    <w:rsid w:val="00141D55"/>
    <w:rsid w:val="00147A68"/>
    <w:rsid w:val="00152557"/>
    <w:rsid w:val="001B799F"/>
    <w:rsid w:val="001F393F"/>
    <w:rsid w:val="002237EC"/>
    <w:rsid w:val="0027156D"/>
    <w:rsid w:val="002B64B1"/>
    <w:rsid w:val="002C2BB0"/>
    <w:rsid w:val="002C6112"/>
    <w:rsid w:val="002E79AF"/>
    <w:rsid w:val="00370080"/>
    <w:rsid w:val="00374F43"/>
    <w:rsid w:val="00381857"/>
    <w:rsid w:val="003A02DE"/>
    <w:rsid w:val="003A3398"/>
    <w:rsid w:val="003B354F"/>
    <w:rsid w:val="003C14A3"/>
    <w:rsid w:val="003C6B83"/>
    <w:rsid w:val="0042221E"/>
    <w:rsid w:val="004276EF"/>
    <w:rsid w:val="00442B7D"/>
    <w:rsid w:val="00444A42"/>
    <w:rsid w:val="0046580F"/>
    <w:rsid w:val="0047273E"/>
    <w:rsid w:val="004E06DA"/>
    <w:rsid w:val="00506BA4"/>
    <w:rsid w:val="00520F06"/>
    <w:rsid w:val="00521C42"/>
    <w:rsid w:val="00527864"/>
    <w:rsid w:val="00584A70"/>
    <w:rsid w:val="00587CCE"/>
    <w:rsid w:val="005976D9"/>
    <w:rsid w:val="005C0BB1"/>
    <w:rsid w:val="005E0A96"/>
    <w:rsid w:val="006253C8"/>
    <w:rsid w:val="00644235"/>
    <w:rsid w:val="00685175"/>
    <w:rsid w:val="006A7D44"/>
    <w:rsid w:val="00712415"/>
    <w:rsid w:val="00712993"/>
    <w:rsid w:val="007419EA"/>
    <w:rsid w:val="00762A4E"/>
    <w:rsid w:val="00783E49"/>
    <w:rsid w:val="00790ABC"/>
    <w:rsid w:val="007B18F7"/>
    <w:rsid w:val="007B42C3"/>
    <w:rsid w:val="00824896"/>
    <w:rsid w:val="00827ED8"/>
    <w:rsid w:val="00866B68"/>
    <w:rsid w:val="008A611E"/>
    <w:rsid w:val="008F48C3"/>
    <w:rsid w:val="00957588"/>
    <w:rsid w:val="009A289E"/>
    <w:rsid w:val="009B5F07"/>
    <w:rsid w:val="009C14A6"/>
    <w:rsid w:val="009C2B5C"/>
    <w:rsid w:val="00A900A7"/>
    <w:rsid w:val="00AB3573"/>
    <w:rsid w:val="00AD6552"/>
    <w:rsid w:val="00AF315A"/>
    <w:rsid w:val="00B16EE5"/>
    <w:rsid w:val="00B31ABA"/>
    <w:rsid w:val="00B33F8D"/>
    <w:rsid w:val="00B4129B"/>
    <w:rsid w:val="00B632B0"/>
    <w:rsid w:val="00B9560E"/>
    <w:rsid w:val="00BB284D"/>
    <w:rsid w:val="00BE63C5"/>
    <w:rsid w:val="00BF423C"/>
    <w:rsid w:val="00C001F3"/>
    <w:rsid w:val="00C055F4"/>
    <w:rsid w:val="00C27C24"/>
    <w:rsid w:val="00C423E5"/>
    <w:rsid w:val="00C62BEE"/>
    <w:rsid w:val="00C77338"/>
    <w:rsid w:val="00D27587"/>
    <w:rsid w:val="00D42F86"/>
    <w:rsid w:val="00D926B4"/>
    <w:rsid w:val="00E138A4"/>
    <w:rsid w:val="00E256BB"/>
    <w:rsid w:val="00E32082"/>
    <w:rsid w:val="00E4784A"/>
    <w:rsid w:val="00E57C4A"/>
    <w:rsid w:val="00EA36D5"/>
    <w:rsid w:val="00EF60A9"/>
    <w:rsid w:val="00F5234E"/>
    <w:rsid w:val="00F5448D"/>
    <w:rsid w:val="00F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24D1"/>
  <w15:docId w15:val="{9B16924E-D6F9-4867-BA65-42E82B86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2" w:line="265" w:lineRule="auto"/>
      <w:ind w:left="591" w:hanging="10"/>
    </w:pPr>
    <w:rPr>
      <w:rFonts w:ascii="Times New Roman" w:eastAsia="Times New Roman" w:hAnsi="Times New Roman" w:cs="Times New Roman"/>
      <w:color w:val="222222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4"/>
      <w:ind w:left="10" w:righ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307"/>
      <w:outlineLvl w:val="1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0F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F4"/>
    <w:rPr>
      <w:rFonts w:ascii="Segoe UI" w:eastAsia="Times New Roman" w:hAnsi="Segoe UI" w:cs="Segoe UI"/>
      <w:color w:val="222222"/>
      <w:sz w:val="18"/>
      <w:szCs w:val="18"/>
    </w:rPr>
  </w:style>
  <w:style w:type="paragraph" w:customStyle="1" w:styleId="Default">
    <w:name w:val="Default"/>
    <w:rsid w:val="0007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A3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smedicas.univasf@ebserh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D559-B41A-4FBF-81D2-18FBF301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Ambrosio Costa</dc:creator>
  <cp:keywords/>
  <dc:description/>
  <cp:lastModifiedBy>Laiany Nayara Barros Goncalves</cp:lastModifiedBy>
  <cp:revision>3</cp:revision>
  <cp:lastPrinted>2020-09-18T12:47:00Z</cp:lastPrinted>
  <dcterms:created xsi:type="dcterms:W3CDTF">2023-09-14T18:50:00Z</dcterms:created>
  <dcterms:modified xsi:type="dcterms:W3CDTF">2023-09-14T19:00:00Z</dcterms:modified>
</cp:coreProperties>
</file>