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FC" w:rsidRDefault="001F73FC" w:rsidP="001F73FC">
      <w:pPr>
        <w:spacing w:before="120" w:after="240" w:line="240" w:lineRule="auto"/>
        <w:rPr>
          <w:color w:val="000000"/>
        </w:rPr>
      </w:pPr>
      <w:r>
        <w:rPr>
          <w:color w:val="000000"/>
        </w:rPr>
        <w:t xml:space="preserve">Processo nº </w:t>
      </w:r>
      <w:r w:rsidRPr="001F73FC">
        <w:rPr>
          <w:color w:val="FF0000"/>
        </w:rPr>
        <w:t>XXXXX.XXXXXX/XXXX-XX</w:t>
      </w:r>
    </w:p>
    <w:p w:rsidR="001F73FC" w:rsidRPr="001F73FC" w:rsidRDefault="001F73FC" w:rsidP="001F73FC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1F7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ESTUDO TÉCNICO PRELIMINAR DA CONTRATAÇÃO</w:t>
      </w:r>
      <w:r w:rsidRPr="001F73F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 - Necessidade da contratação:​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 objetivo precípuo desta Autarquia, consoante Lei nº 10.233/2001, a operação e manutenção da infraestrutura do Sistema Federal de Viação, em sua esfera de atuação. Ainda neste sentido, compete ao DNIT, por força do Art. 21 da Lei nº 9.503/1997, a implantação, manutenção e operação do sistema de sinalização, dispositivos e equipamentos de controle viário, bem como a implementação das medidas da Política Nacional de Trânsito.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Ressalta-se que a Política Nacional de Trânsito, estabelecida pela Resolução CONTRAN nº 514/2014, tem como objetivo a promoção da melhoria da segurança viária, além de ser orientada pelas seguintes diretrizes: fomentar projetos destinados à redução de acidentes de trânsito; desenvolver e modernizar a gestão da operação e fiscalização do trânsito viário; e promover a melhoria das condições físicas do sistema viário, inclusive sinalização.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Nesse sentido, o DNIT concebeu e implantou uma série de programas de sinalização rodoviária ao longo dos anos, buscando a melhoria contínua de suas ações.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Programa PROSINAL foi o primeiro programa de sinalização rodoviária do DNIT, criado com o objetivo de manter a sinalização de mais de 40.000 km de rodovias num período inicial de 24 meses. Após sucessivas prorrogações, o Programa permaneceu ativo por 72 meses, sendo concluído em 2012.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Programa PRODEFENSAS, também pioneiro no segmento de dispositivos de segurança no DNIT, previa a reabilitação de 220 km de defensas metálicas existentes e a implantação de 200 km de novas defensas metálicas.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Apesar do pioneirismo dos Programas PROSINAL e PRODEFENSAS, verifica-se uma série de pontos que impactaram de forma negativa na execução dos serviços. A própria Pesquisa de Rodovias da Confederação Nacional do Transporte – CNT, por duas edições consecutivas, em 2011 e 2012, fez duras críticas à sinalização das rodovias federais sob jurisdição desta Autarquia, o que demonstrava a necessidade de evolução nesse segmento.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 fator relevante neste cenário, é o resultado da análise do Anuário Estatístico de Acidentes de Trânsito publicado pelo DNIT, que em 2010 apontava mais de 1.800 segmentos rodoviários concentradores de acidentes de trânsito. O DNIT precisava atuar nessas localidades, buscando tratar os fatores de risco que tornavam estes locais concentradores de acidentes, em que uma das soluções é o adequado tratamento da sinalização rodoviária, indicando ao motorista, sobretudo ao de longa distância, que no trecho em questão a sua atenção deve ser majorada.</w:t>
            </w:r>
          </w:p>
          <w:p w:rsidR="001F73FC" w:rsidRPr="001F73FC" w:rsidRDefault="001F73FC" w:rsidP="001F73FC">
            <w:pPr>
              <w:keepLines/>
              <w:spacing w:before="120" w:after="120" w:line="240" w:lineRule="auto"/>
              <w:ind w:left="11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Assim, a Autarquia concebeu o Programa Nacional de Segurança e Sinalização Rodoviária – BR-LEGAL, consistindo na elaboração de projeto básico e executivo, implantação e manutenção da sinalização horizontal e vertical, e dispositivos de segurança, contemplando ações visando a padronização da sinalização rodoviária em toda a malha rodoviária federal, de acordo com os normativos técnicos e legislação vigente, e considerando as características físicas e operacionais da via, elevando, assim, a qualidade da sinalização nas rodovias federais.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acordo com a CGU (2018), a execução do Programa BR-LEGAL contribuiu efetivamente para melhorar as condições operacionais das rodovias, com a padronização e elevação dos padrões de segurança da malha rodoviária federal e, consequentemente, com a redução do número e da severidade dos acidentes de trânsito, ficando evidenciada sua importância tanto em termos de relevância quanto de materialidade, pois a adequada sinalização das rodovias federais constitui processo sistemático e contínuo com a finalidade de garantir a segurança dos usuários.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Segundo a Pesquisa realizada em 2020 pela Confederação Nacional de Transporte (CNT), o Programa BR-Legal contribuiu de forma significativa para aprimorar a sinalização nas rodovias federais sob jurisdição do DNIT e introduziu o conceito de performance na execução dos serviços. Foi constatado que o Programa "inovou na forma de licitação, na atribuição de responsabilidades às contratadas e na </w:t>
            </w: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metodologia das soluções a serem empregadas. O objetivo era a padronização da sinalização rodoviária na malha federal, independentemente da localização geográfica regional da rodovia."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Pesquisa CNT aponta ainda, que:</w:t>
            </w:r>
          </w:p>
          <w:p w:rsidR="001F73FC" w:rsidRPr="001F73FC" w:rsidRDefault="001F73FC" w:rsidP="001F73FC">
            <w:pPr>
              <w:spacing w:before="80" w:after="80" w:line="240" w:lineRule="auto"/>
              <w:ind w:left="240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"Em sete anos de vigência do BR-Legal, houve nítidos avanços na avaliação geral da sinalização nas rodovias federais públicas. Considerado o período entre o início do programa e o ano de 2019, houve em média uma melhora de 17,8 pontos percentuais nos trechos rodoviários onde houve intervenções do BR-Legal, passando de 39,7% para 57,5% de avaliação positiva. Cabe ressaltar, porém, que ainda há ainda trechos de rodovias que possuem condições inadequadas de sinalização e oferecem riscos aos usuários."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Contudo, considerando que o Brasil está entre os signatários das Décadas de Ação pela Segurança no Trânsito (2011-2020 e 2021-2030), e as conclusões que trazem a última Pesquisa CNT, faz-se necessário, não apenas a continuidade das ações realizadas no âmbito do programa, como também o seu aprimoramento.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Acredita-se que a promoção da melhoria da sinalização do sistema viário, diretriz da Política Nacional de Trânsito, tem um papel fundamental na prevenção de acidentes de trânsito, como aponta a Controladoria-Geral da União (CGU, 2018, p. 32-33), no excerto abaixo:</w:t>
            </w:r>
          </w:p>
          <w:p w:rsidR="001F73FC" w:rsidRPr="001F73FC" w:rsidRDefault="001F73FC" w:rsidP="001F73FC">
            <w:pPr>
              <w:spacing w:before="80" w:after="80" w:line="240" w:lineRule="auto"/>
              <w:ind w:left="240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“É consenso geral que, em uma rodovia sem sinalização alguma ou com sinalização deficiente, aumentam sobremaneira os riscos de acidentes com os usuários das vias, principalmente devido ao fato que a falta de sinalização, em especial a horizontal, ocasiona problemas relacionados à invasão de pista contrária (em caso de pista simples), maior probabilidade de sonolência do motorista na rodovia, falta de informação quanto à possibilidade de ultrapassagem, risco na saída da pista devido à falta de dispositivos de canalização, dentre outras situações, que aumentam em grau de ocorrência, no período noturno e com chuva, visto que a maioria das rodovias é feita em pavimento asfáltico, naturalmente escuro. É importante também mencionar, que em estudos internacionais recentes, constataram a expressiva redução do número de acidentes noturnos com o aumento da retrorrefletividade das pinturas de eixo e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bordo.</w:t>
            </w:r>
            <w:r w:rsidRPr="001F73F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”</w:t>
            </w:r>
            <w:proofErr w:type="gramEnd"/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sinalização viária, portanto, é uma importante medida de engenharia de baixo custo para a redução do número de acidentes, tendo como vantagens, segundo estudos do DNER (1998) a rapidez na elaboração e implantação de projetos; redução imediata de acidentes, diminuindo o número de feridos e vítimas fatais e minimizando danos materiais; ótimos índices de custo/benefício; e a possibilidade de identificação de múltiplos locais que apresentem problemas semelhantes, o que resulta em economia de escala de projeto e de implantação.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implantação da sinalização de trânsito e de dispositivos de segurança possibilita uma maior fluidez do tráfego e desempenha um papel fundamental em relação à prevenção de acidentes de trânsito. Estes elementos, no entanto, possuem uma vida útil e um limite de garantia quanto à sua efetiva funcionalidade, necessitando de manutenção continuada, bem como adequação às características operacionais da via.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Programa BR-LEGAL 2 surge como uma continuação dos aspectos positivos do programa anterior, e seu aperfeiçoamento, com especial atenção na gestão das informações, na sinalização e segurança das obras, e no tratamento prioritário de segmentos críticos através de sinalização ostensiva.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atenção a seu dever legal, mas acima de tudo, de seu compromisso social, o DNIT busca oferecer à sociedade uma rodovia segura, atendendo aos padrões de qualidade e segurança definidos no normativo e legislação vigentes.</w:t>
            </w:r>
          </w:p>
        </w:tc>
      </w:tr>
    </w:tbl>
    <w:p w:rsidR="001F73FC" w:rsidRPr="001F73FC" w:rsidRDefault="001F73FC" w:rsidP="001F7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 - Requisitos da contratação:​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i. Da solução: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Visando a segurança dos usuários e dos executores dos serviços do Programa nas rodovias, previu-se uma seção exclusiva para tratar da sinalização viária operacional, voltada para a segurança nos trabalhos de campo, contemplando o treinamento dos trabalhadores, a gestão da segurança viária, ações de </w:t>
            </w: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comunicação ao usuário, e a sinalização dos trechos em obra por meio de projetos-tipo, adequados a cada intervenção a ser realizada.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atenção ao princípio da eficiência, que rege a Administração Pública, foi estabelecido como critério de implantação das soluções de sinalização e segurança, a prioridade para: (a) trechos com ausência de sinalização; (b) segmentos críticos de acidentes; e (c) segmentos com retrorrefletividade baixa. Visa-se, com isso, investir o recurso público onde há mais urgência. Dessa forma, os custos associados aos acidentes são reduzidos, além do inestimável valor das vidas preservadas.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Ainda nesse sentido, foram criados projetos-tipo de sinalização ostensiva, focados em situações ou características geométricas em que há maior registro de colisões severas, a saber: interseções, curvas acentuadas, travessias urbanas e trechos com proibição de ultrapassagem.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Esta contratação possibilitará a continuidade e melhoria nos aspectos de segurança nas rodovias federais administradas pelo DNIT, bem como o retorno econômico dos recursos públicos investidos, visto que os custos com acidentes de trânsito são reduzidos à medida em que se proporciona um ambiente viário mais seguro. Torna-se, portanto, justificado o interesse público nesta contratação.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</w:t>
            </w:r>
            <w:proofErr w:type="spellEnd"/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 Dos demais requisitos: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 Contínuo: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natureza dos serviços que compõem o objeto desta contratação é caracterizada como contínua, uma vez que visam a conservação do patrimônio público, quais sejam a sinalização e os dispositivos de segurança implantados, além do que a interrupção de sua prestação comprometeria a conservação dos padrões de desempenho mínimos definidos em estudos e normas técnicas para garantir a segurança viária à sociedade.</w:t>
            </w:r>
            <w:r w:rsidR="00DB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B2010" w:rsidRPr="00DB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Nesse sentido, visando a obtenção da vantagem da economia de escala, faz-se necessário que a presente contratação tenha duração inicial de 36 meses ou 1080 dias.</w:t>
            </w:r>
            <w:bookmarkStart w:id="0" w:name="_GoBack"/>
            <w:bookmarkEnd w:id="0"/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 Comum: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serviços que compõem o objeto desta contratação são caracterizados como comuns, visto que apresentam padrões de desempenho e qualidade definidos objetivamente neste Termo de Referência, asseguradas as execuções por meio de especificações técnicas, enquadrando-se no estabelecido pelo Acórdão nº 2.164/2013 – TCU – Plenário e Acórdão nº 1.399/2014 – TCU – Plenário.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Modalidade e Tipo de Licitação: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Considerando tratar-se de serviço comum, a modalidade licitatória adotada é o Pregão na forma eletrônica, conforme determinação expressa no Acórdão nº 1399/2014 – TCU – Plenário. Para julgamento e classificação das propostas, será adotado o critério de Menor Preço.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Orçamento e Cronograma atualizados e aprovados: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presente contratação será realizada por Regime de Empreitada por Preço Unitário, quando se contrata a execução da obra ou do serviço por preço certo de unidades determinadas, considerando-se que os quantitativos a serem executados não podem ser definidos com grande precisão em face da própria natureza imprecisa de serviços de manutenção e conservação rodoviária, que compõem o objeto da contratação.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Período de Contratação: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contratação em questão terá um prazo de vigência de 36 (trinta e seis) meses, podendo ser prorrogado por um período de até 60 (sessenta) meses, por caracterizar-se como serviço contínuo.</w:t>
            </w:r>
          </w:p>
        </w:tc>
      </w:tr>
    </w:tbl>
    <w:p w:rsidR="001F73FC" w:rsidRPr="001F73FC" w:rsidRDefault="001F73FC" w:rsidP="001F7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III - Levantamento de mercado e análise das possíveis soluções: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Foram realizadas duas Audiências Públicas para apresentar as soluções previstas para presente contratação, com ampla divulgação de modo à proporcionar a efetiva participação dos empresas, entidades associativas e sociedade em geral, conforme verifica-se no sítio do DNIT, link:</w:t>
            </w:r>
            <w:hyperlink r:id="rId5" w:tgtFrame="_blank" w:history="1">
              <w:r w:rsidRPr="001F73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https://www.gov.br/dnit/pt-br/assuntos/noticias/audiencia-publica-sobre-o-br-legal-2-aconteceu-nesta-quarta-feira-18-1</w:t>
              </w:r>
            </w:hyperlink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Foram analisados e respondidos todos os questionamentos apresentados, sendo ainda realizadas alterações nos documentos afetos à contratação, para os casos em que foram acatadas as sugestões.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Foram realizadas ainda reuniões com as principais entidades que representam o mercado de modo a discutir a solução definida para o Programa.</w:t>
            </w:r>
          </w:p>
        </w:tc>
      </w:tr>
    </w:tbl>
    <w:p w:rsidR="001F73FC" w:rsidRPr="001F73FC" w:rsidRDefault="001F73FC" w:rsidP="001F7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IV – Descrição da Solução: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solução a ser empregada no novo Programa BR-LEGAL foi dividida em três grupos, sendo eles: Implantação, Manutenção e Segurança Operacional. Os grupos de implantação e manutenção foram segmentados em três famílias, quais sejam, sinalização horizontal, sinalização vertical e dispositivos de segurança.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Todos os materiais empregados, bem como soluções propostas, deverão atender à legislação e normativos técnicos vigentes, observando ainda o contido na Instrução Normativa nº 03/DNIT SEDE de 26 de fevereiro de 2021, que normatiza o BR-LEGAL 2.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serviços de Sinalização Horizontal previstos contemplam demarcações (pinturas de faixa e inscrições no pavimento) e dispositivos auxiliares (tachas e cilindros delimitadores).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 soluções de Sinalização Horizontal foram divididas em três níveis, considerando os Volume Médio Diário de veículos – VMD, conforme tabela abaixo: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Tabela 1: Soluções da Sinalização Horizontal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50EBB10" wp14:editId="628BF923">
                  <wp:extent cx="5966137" cy="18002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7800" cy="1809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serviços de Sinalização Vertical previstos contemplam as placas de regulamentação, advertência, indicativa, atrações turísticas, serviços e institucional, com a definição do tipo de película refletiva a ser empregada, de substrato e suporte. Contemplam ainda os pórticos, semipórticos e braços projetados para placas aéreas.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 soluções adotadas para a sinalização vertical estão descritas na tabela abaixo:</w:t>
            </w:r>
          </w:p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Tabela 2: Soluções da Sinalização Vertical</w:t>
            </w:r>
          </w:p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9ECEDCA" wp14:editId="53CBD248">
                  <wp:extent cx="5939360" cy="2209800"/>
                  <wp:effectExtent l="0" t="0" r="444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946" cy="22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Dispositivos de Segurança podem ser para contenção longitudinal (defensas metálicas) e pontuais (terminais), sendo que os tipos previstos para a contratação em questão estão descritos na tabela abaixo:</w:t>
            </w:r>
          </w:p>
          <w:p w:rsidR="001F73FC" w:rsidRPr="001F73FC" w:rsidRDefault="001F73FC" w:rsidP="001F73FC">
            <w:pPr>
              <w:keepNext/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Tabela 3: Soluções dos Dispositivos de Segurança longitudinais</w:t>
            </w:r>
          </w:p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6EA4B00" wp14:editId="70C91EC8">
                  <wp:extent cx="6367316" cy="174307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820" cy="174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Tabela 4: Soluções dos Dispositivos de Segurança - terminais</w:t>
            </w:r>
          </w:p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499E315" wp14:editId="157EDC22">
                  <wp:extent cx="6321998" cy="1066800"/>
                  <wp:effectExtent l="0" t="0" r="317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6953" cy="107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Além disso, está prevista a solução com Sinalização Ostensiva, a qual foi concebida com o intuito de aumentar a atenção do condutor em pontos específicos, onde o risco de acidentes é maior. Foram desenvolvidos 4 (quatro) Projetos-tipo de Sinalização Ostensiva, voltados para situações críticas identificadas a partir do banco de dados de acidentes da Polícia Rodoviária Federal – PRF, a saber: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Interseção: Aplicado em aproximação em interseções, como: cruzamento de vias, aproximações ou confluências de vias secundárias à esquerda ou à direita, interseções em “T”, bifurcações em “Y”, entroncamentos oblíquos, junções sucessivas contrárias e desrespeito à sinalização de parada obrigatória. Visa alertar o usuário, de forma enfática, sobre a aproximação de uma interseção e a necessidade de se reduzir a velocidade, bem como estar mais atento à possibilidade de fluxos transversais à via, reduzindo, assim, o risco de colisões transversais, laterais, frontais e traseiras.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Travessia urbana: Aplicado em rodovias rurais que atravessam perímetros urbanos e objetiva induzir uma redução de velocidade do motorista na aproximação urbana. A solução visa reduzir colisões traseiras, transversais, frontais e laterais. Deve ser avaliada a supressão do acostamento para utilização do espaço para faixas de aceleração e/ou desaceleração em acessos, ou para aumentar a largura da faixa central (Linha de Fluxo Oposto – LFO) para coibir ultrapassagens proibidas.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Curva: Aplicável em aproximação de curva horizontal, em locais cuja velocidade de aproximação acarrete manobras que possam comprometer a segurança dos usuários.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Ultrapassagem proibida: Indicado para locais onde são registrados acidentes que acarretem impactos frontais devido a ultrapassagem em locais proibidos.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Foram definidos Projetos-tipo de Sinalização Ostensiva, contendo notas, referências técnicas, cotas fundamentais e informações adicionais que devem ser analisadas para maior eficiência do projeto, adaptados a cada local específico de implantação, e compatibilizados com as demais soluções de sinalização vertical, horizontal e dispositivos de segurança previstas na contratação.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V - Estimativa das quantidades, acompanhadas das memórias de cálculo e dos documentos que lhe dão suporte:​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 mesmo modo da divisão das soluções, os quantitativos para esta contratação também foram separados em três grupos, sendo eles: Implantação, Manutenção e Segurança Operacional. Os grupos de implantação e manutenção foram segmentados em três famílias, quais sejam, sinalização horizontal, sinalização vertical e dispositivos de segurança.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Os quantitativos necessários para os serviços de implantação da sinalização rodoviária e dispositivos de segurança foram obtidos das quantidades previstas nos projetos executivos do primeiro Programa BR-Legal, considerando ainda os dados de execução desse programa ao longo da vigência.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quantitativos dos serviços de manutenção foram obtidos pelo quantitativo total de sinalização rodoviária e dispositivos de segurança previstos para o segmento (considerando o existente e os que serão implantados) aplicada taxa de reposição para cada tipo de família.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quantitativos levantados constam dos documentos </w:t>
            </w:r>
            <w:r w:rsidRPr="001F7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Orçamento Referencial_Lote-01 (SEI nº 0000000)</w:t>
            </w: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da contratação.</w:t>
            </w:r>
          </w:p>
        </w:tc>
      </w:tr>
    </w:tbl>
    <w:p w:rsidR="001F73FC" w:rsidRPr="001F73FC" w:rsidRDefault="001F73FC" w:rsidP="001F7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 - Estimativas de preços ou preços referenciais:​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levantamentos dos custos são realizados previamente de forma sistemática através da Tabela de Preços de Consultoria do DNIT, instituída pela Resolução/DNIT nº 11/2020 e com base no Sistema de Custos Referenciais de Obras – SICRO, conforme preceitua o Decreto nº 7.983, de 8 de abril de 2013.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Foi realizada pesquisa mercadológica para obter cotações de preços para os materiais que não estão contemplados na base de dados do SICRO.</w:t>
            </w:r>
          </w:p>
        </w:tc>
      </w:tr>
    </w:tbl>
    <w:p w:rsidR="001F73FC" w:rsidRPr="001F73FC" w:rsidRDefault="001F73FC" w:rsidP="001F7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VII - Justificativas para o parcelamento ou não da solução quando necessária para individualização do objeto:​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Optou-se pelo parcelamento (ou divisão) em lotes, em função do tamanho da malha a ser licitada, a saber 2.189,90 km, ampliando-se a competitividade, uma vez que empresas menores poderiam executar serviços específicos e isolados. Ademais, o parcelamento adotou como premissa a diretriz em que o lote não abarcasse mais de uma Unidade Local desta Autarquia e tivesse extensão de aproximadamente 650,00 km, como forma de facilitar a fiscalização dos serviços.</w:t>
            </w:r>
          </w:p>
        </w:tc>
      </w:tr>
    </w:tbl>
    <w:p w:rsidR="001F73FC" w:rsidRPr="001F73FC" w:rsidRDefault="001F73FC" w:rsidP="001F7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VIII - Contratações correlatas e/ou interdependentes:​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Esta contratação está diretamente ligada à contratação da empresa de supervisão dos serviços das ações de manutenção, na qual consta como um dos produtos a elaboração e/ou atualização dos projetos básico e executivo do Programa BR-LEGAL antecessor.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Há certa interdependência entre os resultados esperados da presente contratação com a atuação dos contratos de supervisão, em execução ou a serem licitados, nas Superintendências Regionais.</w:t>
            </w:r>
          </w:p>
        </w:tc>
      </w:tr>
    </w:tbl>
    <w:p w:rsidR="001F73FC" w:rsidRPr="001F73FC" w:rsidRDefault="001F73FC" w:rsidP="001F7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IX - Referência a outros instrumentos de planejamento do órgão ou entidade:​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contratação em questão está alinhada ao Planejamento Estratégico da Autarquia, sendo listada como uma das iniciativas estratégicas, a qual listamos:</w:t>
            </w:r>
          </w:p>
          <w:p w:rsidR="001F73FC" w:rsidRPr="001F73FC" w:rsidRDefault="001F73FC" w:rsidP="001F73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pt-BR"/>
              </w:rPr>
              <w:t>Coordenação: CGMRR – Coordenação Geral de Manutenção e Restauração Rodoviária </w:t>
            </w: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vertAlign w:val="superscript"/>
                <w:lang w:eastAsia="pt-BR"/>
              </w:rPr>
              <w:t>(1)</w:t>
            </w: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pt-BR"/>
              </w:rPr>
              <w:t>;</w:t>
            </w:r>
          </w:p>
          <w:p w:rsidR="001F73FC" w:rsidRPr="001F73FC" w:rsidRDefault="001F73FC" w:rsidP="001F73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pt-BR"/>
              </w:rPr>
              <w:t>Objetivo Estratégico: Garantir a qualidade das obras e serviços;</w:t>
            </w:r>
          </w:p>
          <w:p w:rsidR="001F73FC" w:rsidRPr="001F73FC" w:rsidRDefault="001F73FC" w:rsidP="001F73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pt-BR"/>
              </w:rPr>
              <w:t>Iniciativa Estratégica: Modelagem da 2ª Etapa das Obras e Serviços de Sinalização e Segurança Viária (BR Legal).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Disponível em: </w:t>
            </w:r>
            <w:hyperlink r:id="rId10" w:tgtFrame="_blank" w:history="1">
              <w:r w:rsidRPr="001F73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https://www.gov.br/dnit/pt-br/assuntos/gestao-estrategica/gestao-estrategica-1/planejamento-estrategico/iniciativas-estrategicas</w:t>
              </w:r>
            </w:hyperlink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contratação em questão também integra o Plano Anual de Contratações - PAC da Autarquia.</w:t>
            </w:r>
          </w:p>
          <w:p w:rsidR="001F73FC" w:rsidRPr="001F73FC" w:rsidRDefault="001F73FC" w:rsidP="001F73F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(1) </w:t>
            </w:r>
            <w:r w:rsidRPr="001F7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 que pese o Objetivo Estratégico e Iniciativa Estratégica estarem designadas à Coordenação-Geral de Operações Rodoviárias - CGPERT no site supracitado, essas ações são afetas à Coordenação de Engenharia de Trânsito, a qual teve sua estrutura regimental alterada, migrando para a Coordenação-Geral de Manutenção e Restauração Rodoviária - CGMRR, conforme Regimento Interno de 2020.</w:t>
            </w:r>
          </w:p>
        </w:tc>
      </w:tr>
    </w:tbl>
    <w:p w:rsidR="001F73FC" w:rsidRPr="001F73FC" w:rsidRDefault="001F73FC" w:rsidP="001F7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 – Resultados Pretendidos: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O resultado precípuo da contratação em questão é a redução dos índices de acidentes de trânsito nas rodovias federias, considerando a redução tanto da quantidade como da severidade desses acidentes.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Destaca-se ainda que o Brasil é um dos signatários das Décadas de Ação pela Segurança no Trânsito (2011-2020 e 2021-2030) da ONU, que tem como meta reduzir em 50% o número de mortes no trânsito.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Considerando que o Brasil não alcançou, até o ano de 2020, a meta pactuada, faz-se necessária a contratação em questão, a qual contribui para a redução desses índices.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XI - Providências para adequação do ambiente do órgão: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 a contratação em questão será necessária a adaptação do ambiente tecnológico da Autarquia de modo que os projetos elaborados ou atualizados, bem como os dados de acompanhamento do Programa sejam recepcionados e analisados na ferramenta computacional de gerenciamento dos programas e produtos do DNIT (Sistema de Supervisão Rodoviária Avançada - SUPRA).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Como alternativa até a efetiva implementação de sistema automatizado, a CGMRR adotará procedimentos utilizando Sistema Eletrônico de Informações existente (SEI) e demais planilhas e documentos modelo disponibilizados.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XII - Possíveis impactos ambientais e respectivas medidas de tratamento: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 essa contratação considerou-se: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Geração de resíduos sólidos: Providenciar a destinação ambientalmente adequada dos resíduos da construção civil originários da contratação, observando as diretrizes, critérios e procedimentos estabelecidos na Resolução CONAMA nº 307/2002 e suas alterações posteriores. Ademais, em nenhuma hipótese a Contratada poderá dispor os resíduos originários da contratação em aterros de resíduos sólidos urbanos, áreas de “bota fora”, encostas, corpos d´água, lotes vagos e áreas protegidas por Lei, bem como em áreas não licenciadas;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Emissão de gases poluentes: Respeitar os limites máximos de emissão de poluentes admitidos na Resolução CONAMA n° 382/2006, e legislação correlata, de acordo com o poluente e o tipo de fonte, no tocante a qualquer instalação, equipamento ou processo utilizado na execução contratual, situado em local fixo, que libere ou emita matéria para a atmosfera, por emissão pontual ou fugitiva;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Emissão de ruídos: Não ultrapassar os níveis de emissão de ruídos considerados aceitáveis pela ABNT NBR 10.151:2019 Versão Corrigida:2020 - Acústica - Medição e avaliação de níveis de pressão sonora em áreas habitadas - Aplicação de uso geral, ou aqueles estabelecidos na ABNT NBR 10.152:2017 - Níveis de Ruído para conforto acústico, nos termos da Resolução CONAMA n° 01/1990, e legislação correlata;</w:t>
            </w:r>
          </w:p>
          <w:p w:rsidR="001F73FC" w:rsidRPr="001F73FC" w:rsidRDefault="001F73FC" w:rsidP="001F73FC">
            <w:pPr>
              <w:spacing w:before="120" w:after="120" w:line="240" w:lineRule="auto"/>
              <w:ind w:left="180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Utilização de produtos químicos: Todo produto químico utilizado no local de trabalho deve ser classificado quanto aos perigos para a segurança e a saúde dos trabalhadores, de acordo com os critérios estabelecidos pelo Sistema Globalmente Harmonizado de Classificação e Rotulagem de Produtos Químicos (GHS).</w:t>
            </w:r>
          </w:p>
          <w:p w:rsidR="001F73FC" w:rsidRPr="001F73FC" w:rsidRDefault="001F73FC" w:rsidP="001F73FC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empresa deverá cumprir a legislação ambiental vigente, as Resoluções do CONAMA, as Normas Técnicas do DNIT, da ABNT, do Ministério do Trabalho e Emprego, e demais legislações pertinentes.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:rsidR="001F73FC" w:rsidRPr="001F73FC" w:rsidRDefault="001F73FC" w:rsidP="001F73FC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XIII - Declaração da viabilidade ou não da contratação:</w:t>
            </w:r>
          </w:p>
        </w:tc>
      </w:tr>
      <w:tr w:rsidR="001F73FC" w:rsidRPr="001F73FC" w:rsidTr="001F73FC">
        <w:trPr>
          <w:tblCellSpacing w:w="7" w:type="dxa"/>
        </w:trPr>
        <w:tc>
          <w:tcPr>
            <w:tcW w:w="4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FC" w:rsidRPr="001F73FC" w:rsidRDefault="001F73FC" w:rsidP="001F73FC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Declaro que a contratação é necessária e viável, considerando a missão institucional do DNIT e sua obrigação legal de manutenção das rodovias, além da viabilidade financeira, uma vez que estão garantidos na </w:t>
            </w:r>
            <w:r w:rsidRPr="001F73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LOA/20XX</w:t>
            </w:r>
            <w:r w:rsidRPr="001F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os recursos necessários.</w:t>
            </w:r>
          </w:p>
        </w:tc>
      </w:tr>
    </w:tbl>
    <w:p w:rsidR="001F73FC" w:rsidRPr="001F73FC" w:rsidRDefault="001F73FC" w:rsidP="001F73FC">
      <w:pPr>
        <w:spacing w:before="240"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7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  <w:r w:rsidRPr="001F73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(</w:t>
      </w:r>
      <w:proofErr w:type="gramStart"/>
      <w:r w:rsidRPr="001F73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assinado</w:t>
      </w:r>
      <w:proofErr w:type="gramEnd"/>
      <w:r w:rsidRPr="001F73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eletronicamente)</w:t>
      </w:r>
    </w:p>
    <w:p w:rsidR="001F73FC" w:rsidRPr="001F73FC" w:rsidRDefault="001F73FC" w:rsidP="001F73FC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73F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t-BR"/>
        </w:rPr>
        <w:t>Nome</w:t>
      </w:r>
    </w:p>
    <w:p w:rsidR="00B229B0" w:rsidRPr="001F73FC" w:rsidRDefault="001F73FC" w:rsidP="001F73FC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F73FC">
        <w:rPr>
          <w:rFonts w:ascii="Times New Roman" w:eastAsia="Times New Roman" w:hAnsi="Times New Roman" w:cs="Times New Roman"/>
          <w:color w:val="FF0000"/>
          <w:sz w:val="27"/>
          <w:szCs w:val="27"/>
          <w:lang w:eastAsia="pt-BR"/>
        </w:rPr>
        <w:t>Cargo</w:t>
      </w:r>
    </w:p>
    <w:sectPr w:rsidR="00B229B0" w:rsidRPr="001F73FC" w:rsidSect="001F7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126"/>
    <w:multiLevelType w:val="multilevel"/>
    <w:tmpl w:val="2E5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FC"/>
    <w:rsid w:val="001F73FC"/>
    <w:rsid w:val="00A851D4"/>
    <w:rsid w:val="00AE3A12"/>
    <w:rsid w:val="00D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9BBF"/>
  <w15:chartTrackingRefBased/>
  <w15:docId w15:val="{75FE9731-B0FF-4F36-948C-372D4E27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tamanho14">
    <w:name w:val="texto_centralizado_tamanho14"/>
    <w:basedOn w:val="Normal"/>
    <w:rsid w:val="001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1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73FC"/>
    <w:rPr>
      <w:b/>
      <w:bCs/>
    </w:rPr>
  </w:style>
  <w:style w:type="paragraph" w:customStyle="1" w:styleId="textoalinhadoesquerda">
    <w:name w:val="texto_alinhado_esquerda"/>
    <w:basedOn w:val="Normal"/>
    <w:rsid w:val="001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1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1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73FC"/>
    <w:rPr>
      <w:color w:val="0000FF"/>
      <w:u w:val="single"/>
    </w:rPr>
  </w:style>
  <w:style w:type="paragraph" w:customStyle="1" w:styleId="textocentralizado">
    <w:name w:val="texto_centralizado"/>
    <w:basedOn w:val="Normal"/>
    <w:rsid w:val="001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10esquerda">
    <w:name w:val="tabela_texto_10_esquerda"/>
    <w:basedOn w:val="Normal"/>
    <w:rsid w:val="001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1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F7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gov.br/dnit/pt-br/assuntos/noticias/audiencia-publica-sobre-o-br-legal-2-aconteceu-nesta-quarta-feira-18-1" TargetMode="External"/><Relationship Id="rId10" Type="http://schemas.openxmlformats.org/officeDocument/2006/relationships/hyperlink" Target="https://www.gov.br/dnit/pt-br/assuntos/gestao-estrategica/gestao-estrategica-1/planejamento-estrategico/iniciativas-estrategic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3688</Words>
  <Characters>19916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DNIT</Company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Cristine Soares Andrade</dc:creator>
  <cp:keywords/>
  <dc:description/>
  <cp:lastModifiedBy>Carla Cristine Soares Andrade</cp:lastModifiedBy>
  <cp:revision>2</cp:revision>
  <dcterms:created xsi:type="dcterms:W3CDTF">2022-05-27T13:29:00Z</dcterms:created>
  <dcterms:modified xsi:type="dcterms:W3CDTF">2022-05-27T13:29:00Z</dcterms:modified>
</cp:coreProperties>
</file>