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E4" w:rsidRDefault="007174E4" w:rsidP="006D228B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174E4">
        <w:rPr>
          <w:rFonts w:asciiTheme="minorHAnsi" w:hAnsiTheme="minorHAnsi" w:cstheme="minorHAnsi"/>
          <w:sz w:val="24"/>
          <w:szCs w:val="24"/>
        </w:rPr>
        <w:t>DIRETRIZ DE OBTENÇÃO CONJUNTA DE PRODUTOS DE DEFESA (PRODE) E DE SISTEMAS DE DEFESA (SD)</w:t>
      </w: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/>
          <w:sz w:val="24"/>
          <w:szCs w:val="24"/>
        </w:rPr>
      </w:pPr>
      <w:r w:rsidRPr="00B21587">
        <w:rPr>
          <w:rFonts w:asciiTheme="minorHAnsi" w:hAnsiTheme="minorHAnsi"/>
          <w:sz w:val="24"/>
          <w:szCs w:val="24"/>
        </w:rPr>
        <w:t>ANEXO B</w:t>
      </w: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/>
          <w:b/>
          <w:sz w:val="24"/>
          <w:szCs w:val="24"/>
        </w:rPr>
      </w:pPr>
      <w:r w:rsidRPr="00B21587">
        <w:rPr>
          <w:rFonts w:asciiTheme="minorHAnsi" w:hAnsiTheme="minorHAnsi"/>
          <w:b/>
          <w:sz w:val="24"/>
          <w:szCs w:val="24"/>
        </w:rPr>
        <w:t>PROCESSO DE OBTENÇÃO</w:t>
      </w: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/>
          <w:b/>
          <w:sz w:val="24"/>
          <w:szCs w:val="24"/>
        </w:rPr>
      </w:pPr>
    </w:p>
    <w:p w:rsidR="00F82DBF" w:rsidRPr="00B21587" w:rsidRDefault="00F82DBF" w:rsidP="00F82DBF">
      <w:pPr>
        <w:pStyle w:val="Cabealho1"/>
        <w:numPr>
          <w:ilvl w:val="0"/>
          <w:numId w:val="16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1" w:name="_Toc77083279"/>
      <w:bookmarkStart w:id="2" w:name="_Toc77083385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PRELIMINARES</w:t>
      </w:r>
      <w:bookmarkEnd w:id="1"/>
      <w:bookmarkEnd w:id="2"/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FINALIDADE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Estabelecer os procedimentos relacionados ao processo analítico conjunto de obtenção de Produtos de Defesa (PRODE) e Sistemas de Defesa (SD) conforme a Diretriz de Obtenção Conjunta de PRODE e SD no âmbito do Ministério da Defesa (MD).</w:t>
      </w:r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OBJETIVO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Orientar e descrever os procedimentos e prazos a serem cumpridos nas atividades de elaboração das documentações relacionadas nesta</w:t>
      </w:r>
      <w:r w:rsidRPr="00B21587">
        <w:rPr>
          <w:rFonts w:asciiTheme="minorHAnsi" w:hAnsiTheme="minorHAnsi" w:cstheme="minorHAnsi"/>
          <w:color w:val="FF0000"/>
          <w:szCs w:val="24"/>
        </w:rPr>
        <w:t xml:space="preserve"> </w:t>
      </w:r>
      <w:r w:rsidRPr="00B21587">
        <w:rPr>
          <w:rFonts w:asciiTheme="minorHAnsi" w:hAnsiTheme="minorHAnsi" w:cstheme="minorHAnsi"/>
          <w:szCs w:val="24"/>
        </w:rPr>
        <w:t>Diretriz, bem como atribuir responsabilidades às AUTORIDADES DECISORAS DE SUBPROCESSO (ADS).</w:t>
      </w:r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ÂMBITO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Estas orientações aplicam-se às Forças Singulares (FS) e aos órgãos subordinados ao MD.</w:t>
      </w:r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REFERÊNCIAS</w:t>
      </w:r>
    </w:p>
    <w:p w:rsidR="00F82DBF" w:rsidRPr="00B21587" w:rsidRDefault="00F82DBF" w:rsidP="00DD04CC">
      <w:pPr>
        <w:pStyle w:val="PargrafodaLista"/>
        <w:numPr>
          <w:ilvl w:val="0"/>
          <w:numId w:val="11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Lei nº 12.598, de 21 de março de 2012 – </w:t>
      </w:r>
      <w:r w:rsidRPr="00B21587">
        <w:rPr>
          <w:rFonts w:asciiTheme="minorHAnsi" w:hAnsiTheme="minorHAnsi" w:cstheme="minorHAnsi"/>
          <w:i/>
          <w:szCs w:val="24"/>
        </w:rPr>
        <w:t>Compras, Contratações e Desenvolvimento de Produtos e de Sistemas de Defesa</w:t>
      </w:r>
      <w:r w:rsidRPr="00B21587">
        <w:rPr>
          <w:rFonts w:asciiTheme="minorHAnsi" w:hAnsiTheme="minorHAnsi" w:cstheme="minorHAnsi"/>
          <w:szCs w:val="24"/>
        </w:rPr>
        <w:t>;</w:t>
      </w:r>
    </w:p>
    <w:p w:rsidR="00F82DBF" w:rsidRPr="00B21587" w:rsidRDefault="00F82DBF" w:rsidP="00DD04CC">
      <w:pPr>
        <w:pStyle w:val="PargrafodaLista"/>
        <w:numPr>
          <w:ilvl w:val="0"/>
          <w:numId w:val="11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Decreto nº 7.970, de 28 de março de 2013 – </w:t>
      </w:r>
      <w:r w:rsidRPr="00B21587">
        <w:rPr>
          <w:rFonts w:asciiTheme="minorHAnsi" w:hAnsiTheme="minorHAnsi" w:cstheme="minorHAnsi"/>
          <w:i/>
          <w:szCs w:val="24"/>
        </w:rPr>
        <w:t xml:space="preserve">Regulamenta </w:t>
      </w:r>
      <w:r w:rsidRPr="00B21587">
        <w:rPr>
          <w:rFonts w:asciiTheme="minorHAnsi" w:hAnsiTheme="minorHAnsi" w:cstheme="minorHAnsi"/>
          <w:szCs w:val="24"/>
        </w:rPr>
        <w:t xml:space="preserve">a </w:t>
      </w:r>
      <w:r w:rsidRPr="00B21587">
        <w:rPr>
          <w:rFonts w:asciiTheme="minorHAnsi" w:hAnsiTheme="minorHAnsi" w:cstheme="minorHAnsi"/>
          <w:i/>
          <w:szCs w:val="24"/>
        </w:rPr>
        <w:t>Lei nº</w:t>
      </w:r>
      <w:r w:rsidRPr="00B21587">
        <w:rPr>
          <w:rFonts w:asciiTheme="minorHAnsi" w:hAnsiTheme="minorHAnsi" w:cstheme="minorHAnsi"/>
          <w:i/>
          <w:color w:val="0070C0"/>
          <w:szCs w:val="24"/>
        </w:rPr>
        <w:t xml:space="preserve"> </w:t>
      </w:r>
      <w:r w:rsidRPr="00B21587">
        <w:rPr>
          <w:rFonts w:asciiTheme="minorHAnsi" w:hAnsiTheme="minorHAnsi" w:cstheme="minorHAnsi"/>
          <w:i/>
          <w:szCs w:val="24"/>
        </w:rPr>
        <w:t>12.598, de 2012;</w:t>
      </w:r>
    </w:p>
    <w:p w:rsidR="00F82DBF" w:rsidRPr="00B21587" w:rsidRDefault="00F82DBF" w:rsidP="00DD04CC">
      <w:pPr>
        <w:pStyle w:val="PargrafodaLista"/>
        <w:numPr>
          <w:ilvl w:val="0"/>
          <w:numId w:val="11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Portaria Normativa nº 15/MD, de 4 de abril de 2018 - Aprova a Política de Obtenção de Produtos de Defesa – POBPRODE para a administração central do Ministério da Defesa e para as Forças Armadas;</w:t>
      </w:r>
    </w:p>
    <w:p w:rsidR="00F82DBF" w:rsidRPr="00B21587" w:rsidRDefault="00F82DBF" w:rsidP="00DD04CC">
      <w:pPr>
        <w:pStyle w:val="PargrafodaLista"/>
        <w:numPr>
          <w:ilvl w:val="0"/>
          <w:numId w:val="11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DCA 400-6 – </w:t>
      </w:r>
      <w:r w:rsidRPr="00B21587">
        <w:rPr>
          <w:rFonts w:asciiTheme="minorHAnsi" w:hAnsiTheme="minorHAnsi" w:cstheme="minorHAnsi"/>
          <w:i/>
          <w:szCs w:val="24"/>
        </w:rPr>
        <w:t>Ciclo de Vida de Sistemas e Materiais da Aeronáutica</w:t>
      </w:r>
      <w:r w:rsidRPr="00B21587">
        <w:rPr>
          <w:rFonts w:asciiTheme="minorHAnsi" w:hAnsiTheme="minorHAnsi" w:cstheme="minorHAnsi"/>
          <w:szCs w:val="24"/>
        </w:rPr>
        <w:t>, 2007;</w:t>
      </w:r>
    </w:p>
    <w:p w:rsidR="00F82DBF" w:rsidRPr="00B21587" w:rsidRDefault="00F82DBF" w:rsidP="00DD04CC">
      <w:pPr>
        <w:pStyle w:val="PargrafodaLista"/>
        <w:numPr>
          <w:ilvl w:val="0"/>
          <w:numId w:val="11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US"/>
        </w:rPr>
      </w:pPr>
      <w:r w:rsidRPr="00B21587">
        <w:rPr>
          <w:rFonts w:asciiTheme="minorHAnsi" w:hAnsiTheme="minorHAnsi" w:cstheme="minorHAnsi"/>
          <w:szCs w:val="24"/>
          <w:lang w:val="en-US"/>
        </w:rPr>
        <w:t xml:space="preserve">DoDI 5000.02, </w:t>
      </w:r>
      <w:r w:rsidRPr="00B21587">
        <w:rPr>
          <w:rFonts w:asciiTheme="minorHAnsi" w:hAnsiTheme="minorHAnsi" w:cstheme="minorHAnsi"/>
          <w:i/>
          <w:szCs w:val="24"/>
          <w:lang w:val="en-US"/>
        </w:rPr>
        <w:t>Operation of the Defense Acquisition System</w:t>
      </w:r>
      <w:r w:rsidRPr="00B21587">
        <w:rPr>
          <w:rFonts w:asciiTheme="minorHAnsi" w:hAnsiTheme="minorHAnsi" w:cstheme="minorHAnsi"/>
          <w:szCs w:val="24"/>
          <w:lang w:val="en-US"/>
        </w:rPr>
        <w:t>, January 7, 2015; e</w:t>
      </w:r>
    </w:p>
    <w:p w:rsidR="00F82DBF" w:rsidRPr="00B21587" w:rsidRDefault="00F82DBF" w:rsidP="00DD04CC">
      <w:pPr>
        <w:pStyle w:val="PargrafodaLista"/>
        <w:numPr>
          <w:ilvl w:val="0"/>
          <w:numId w:val="11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US"/>
        </w:rPr>
      </w:pPr>
      <w:r w:rsidRPr="00B21587">
        <w:rPr>
          <w:rFonts w:asciiTheme="minorHAnsi" w:hAnsiTheme="minorHAnsi" w:cstheme="minorHAnsi"/>
          <w:szCs w:val="24"/>
          <w:lang w:val="en-US"/>
        </w:rPr>
        <w:t xml:space="preserve">DoD Directive 5000.1, </w:t>
      </w:r>
      <w:r w:rsidRPr="00B21587">
        <w:rPr>
          <w:rFonts w:asciiTheme="minorHAnsi" w:hAnsiTheme="minorHAnsi" w:cstheme="minorHAnsi"/>
          <w:i/>
          <w:szCs w:val="24"/>
          <w:lang w:val="en-US"/>
        </w:rPr>
        <w:t>The Defense Acquisition System</w:t>
      </w:r>
      <w:r w:rsidRPr="00B21587">
        <w:rPr>
          <w:rFonts w:asciiTheme="minorHAnsi" w:hAnsiTheme="minorHAnsi" w:cstheme="minorHAnsi"/>
          <w:szCs w:val="24"/>
          <w:lang w:val="en-US"/>
        </w:rPr>
        <w:t>, November, 2007.</w:t>
      </w:r>
    </w:p>
    <w:p w:rsidR="00F82DBF" w:rsidRPr="00B21587" w:rsidRDefault="00F82DBF" w:rsidP="00F82DBF">
      <w:pPr>
        <w:pStyle w:val="Cabealho1"/>
        <w:numPr>
          <w:ilvl w:val="0"/>
          <w:numId w:val="15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3" w:name="_Toc77083280"/>
      <w:bookmarkStart w:id="4" w:name="_Toc77083386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GERAIS</w:t>
      </w:r>
      <w:bookmarkEnd w:id="3"/>
      <w:bookmarkEnd w:id="4"/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VISÃO GERAL DO PROCESSO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PROCESSO DE OBTENÇÃO DE PRODE/SD no âmbito do MD foi formatado em 5 (cinco) Subprocessos e 1 (um) Subprocesso Especial.</w:t>
      </w:r>
    </w:p>
    <w:p w:rsidR="00F82DBF" w:rsidRPr="00B21587" w:rsidRDefault="00F82DBF" w:rsidP="00F82DBF">
      <w:pPr>
        <w:pStyle w:val="PargrafodaLista"/>
        <w:numPr>
          <w:ilvl w:val="0"/>
          <w:numId w:val="1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1º Subprocesso – Concepção e Categorização;</w:t>
      </w:r>
    </w:p>
    <w:p w:rsidR="00F82DBF" w:rsidRPr="00B21587" w:rsidRDefault="00F82DBF" w:rsidP="00F82DBF">
      <w:pPr>
        <w:pStyle w:val="PargrafodaLista"/>
        <w:numPr>
          <w:ilvl w:val="0"/>
          <w:numId w:val="1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2º Subprocesso – Viabilidade da Obtenção Conjunta;</w:t>
      </w:r>
    </w:p>
    <w:p w:rsidR="00F82DBF" w:rsidRPr="00B21587" w:rsidRDefault="00F82DBF" w:rsidP="00F82DBF">
      <w:pPr>
        <w:pStyle w:val="PargrafodaLista"/>
        <w:numPr>
          <w:ilvl w:val="0"/>
          <w:numId w:val="1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3º Subprocesso – Ratificação dos Requisitos Operacionais Conjuntos (ROC);</w:t>
      </w:r>
    </w:p>
    <w:p w:rsidR="00F82DBF" w:rsidRPr="00B21587" w:rsidRDefault="00F82DBF" w:rsidP="00F82DBF">
      <w:pPr>
        <w:pStyle w:val="PargrafodaLista"/>
        <w:numPr>
          <w:ilvl w:val="0"/>
          <w:numId w:val="1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4º Subprocesso – Ratificação da Obtenção Conjunta;</w:t>
      </w:r>
    </w:p>
    <w:p w:rsidR="00F82DBF" w:rsidRPr="00B21587" w:rsidRDefault="00F82DBF" w:rsidP="00F82DBF">
      <w:pPr>
        <w:pStyle w:val="PargrafodaLista"/>
        <w:numPr>
          <w:ilvl w:val="0"/>
          <w:numId w:val="1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5º Subprocesso – Instrução de Obtenção; e</w:t>
      </w:r>
    </w:p>
    <w:p w:rsidR="00F82DBF" w:rsidRPr="00B21587" w:rsidRDefault="00F82DBF" w:rsidP="00F82DBF">
      <w:pPr>
        <w:pStyle w:val="PargrafodaLista"/>
        <w:numPr>
          <w:ilvl w:val="0"/>
          <w:numId w:val="1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Subprocesso Especial – Ratificação da Obtenção Especial.</w:t>
      </w:r>
    </w:p>
    <w:p w:rsidR="00F82DBF" w:rsidRPr="00B21587" w:rsidRDefault="00F82DBF" w:rsidP="00F82DBF">
      <w:pPr>
        <w:spacing w:before="120" w:after="240"/>
        <w:ind w:left="-709"/>
        <w:jc w:val="right"/>
        <w:rPr>
          <w:rFonts w:asciiTheme="minorHAnsi" w:hAnsiTheme="minorHAnsi" w:cstheme="minorHAnsi"/>
          <w:sz w:val="24"/>
          <w:szCs w:val="24"/>
        </w:rPr>
      </w:pPr>
      <w:r w:rsidRPr="00B2158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426679" cy="1129665"/>
            <wp:effectExtent l="19050" t="0" r="1270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B2158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886200" cy="624840"/>
            <wp:effectExtent l="19050" t="0" r="38100" b="2286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587">
        <w:rPr>
          <w:rFonts w:asciiTheme="minorHAnsi" w:hAnsiTheme="minorHAnsi" w:cstheme="minorHAnsi"/>
          <w:b/>
          <w:i/>
          <w:sz w:val="24"/>
          <w:szCs w:val="24"/>
        </w:rPr>
        <w:t>Figura 1: Subprocessos do Processo de Obtenção</w:t>
      </w:r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1º SUBPROCESSO – CONCEPÇÃO E CATEGORIZAÇÃO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primeira fase deste subprocesso inicia-se com a NECESSIDADE OPERACIONAL (NOP), que pode surgir a partir de iniciativa do Estado-Maior Conjunto das Forças Armadas (EMCFA) ou do Estado-Maior (EM) de uma das FORÇAS SINGULARES (FS).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Decorrente dessa NOP, o Estado-Maior (EM) de uma das</w:t>
      </w:r>
      <w:r w:rsidRPr="00B21587">
        <w:rPr>
          <w:rFonts w:asciiTheme="minorHAnsi" w:hAnsiTheme="minorHAnsi" w:cstheme="minorHAnsi"/>
          <w:color w:val="FF0000"/>
          <w:szCs w:val="24"/>
        </w:rPr>
        <w:t xml:space="preserve"> </w:t>
      </w:r>
      <w:r w:rsidRPr="00B21587">
        <w:rPr>
          <w:rFonts w:asciiTheme="minorHAnsi" w:hAnsiTheme="minorHAnsi" w:cstheme="minorHAnsi"/>
          <w:szCs w:val="24"/>
        </w:rPr>
        <w:t>FS, designado pelo EMCFA, ou o EM</w:t>
      </w:r>
      <w:r w:rsidRPr="00B21587">
        <w:rPr>
          <w:rFonts w:asciiTheme="minorHAnsi" w:hAnsiTheme="minorHAnsi" w:cstheme="minorHAnsi"/>
          <w:color w:val="FF0000"/>
          <w:szCs w:val="24"/>
        </w:rPr>
        <w:t xml:space="preserve"> </w:t>
      </w:r>
      <w:r w:rsidRPr="00B21587">
        <w:rPr>
          <w:rFonts w:asciiTheme="minorHAnsi" w:hAnsiTheme="minorHAnsi" w:cstheme="minorHAnsi"/>
          <w:szCs w:val="24"/>
        </w:rPr>
        <w:t>da FS</w:t>
      </w:r>
      <w:r w:rsidRPr="00B21587">
        <w:rPr>
          <w:rFonts w:asciiTheme="minorHAnsi" w:hAnsiTheme="minorHAnsi" w:cstheme="minorHAnsi"/>
          <w:color w:val="FF0000"/>
          <w:szCs w:val="24"/>
        </w:rPr>
        <w:t xml:space="preserve"> </w:t>
      </w:r>
      <w:r w:rsidRPr="00B21587">
        <w:rPr>
          <w:rFonts w:asciiTheme="minorHAnsi" w:hAnsiTheme="minorHAnsi" w:cstheme="minorHAnsi"/>
          <w:szCs w:val="24"/>
        </w:rPr>
        <w:t>que emitiu a NOP, irá elaborar os seguintes documentos:</w:t>
      </w:r>
    </w:p>
    <w:p w:rsidR="00F82DBF" w:rsidRPr="00B21587" w:rsidRDefault="00F82DBF" w:rsidP="00F82DBF">
      <w:pPr>
        <w:pStyle w:val="PargrafodaLista"/>
        <w:numPr>
          <w:ilvl w:val="0"/>
          <w:numId w:val="1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CONCEITO DE OPERAÇÕES (CONOPS) da FS, conforme o Anexo C;</w:t>
      </w:r>
    </w:p>
    <w:p w:rsidR="00F82DBF" w:rsidRPr="00B21587" w:rsidRDefault="00F82DBF" w:rsidP="00F82DBF">
      <w:pPr>
        <w:pStyle w:val="PargrafodaLista"/>
        <w:numPr>
          <w:ilvl w:val="0"/>
          <w:numId w:val="1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os REQUISITOS OPERACIONAIS (ROP), conforme o Anexo D; e</w:t>
      </w:r>
    </w:p>
    <w:p w:rsidR="00F82DBF" w:rsidRPr="00B21587" w:rsidRDefault="00F82DBF" w:rsidP="00F82DBF">
      <w:pPr>
        <w:pStyle w:val="PargrafodaLista"/>
        <w:numPr>
          <w:ilvl w:val="0"/>
          <w:numId w:val="1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ESTUDO DE VIABILIDADE (EV) do Projeto, conforme o Anexo E.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EV apresentará as informações sobre os riscos avaliados, prazos, alternativas, custos e subsídios relacionados ao CICLO DE VIDA do PRODE/SD. Além disso, poderão ser realizados os primeiros contatos formais com as empresas ou Governos interessados (</w:t>
      </w:r>
      <w:r w:rsidRPr="00B21587">
        <w:rPr>
          <w:rFonts w:asciiTheme="minorHAnsi" w:hAnsiTheme="minorHAnsi" w:cstheme="minorHAnsi"/>
          <w:i/>
          <w:szCs w:val="24"/>
        </w:rPr>
        <w:t>Request for Information</w:t>
      </w:r>
      <w:r w:rsidRPr="00B21587">
        <w:rPr>
          <w:rFonts w:asciiTheme="minorHAnsi" w:hAnsiTheme="minorHAnsi" w:cstheme="minorHAnsi"/>
          <w:szCs w:val="24"/>
        </w:rPr>
        <w:t xml:space="preserve"> – RFI).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Após a elaboração dos documentos relacionados, a AUTORIDADE DECISORA DO SUBPROCESSO (ADS) no âmbito da FS deverá observar o art. 3º da Portaria que estabeleceu a Diretriz de Obtenção, encaminhará, em seguida, para o Comandante da Força. Caso contrário, o processo retorna 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>para a sua origem, não precisando, necessariamente, seguir o fluxo estabelecido nesta Diretriz.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Caso este se enquadre no art. 3º da Diretriz de Obtenção, o Comandante da Força, na sua apreciação, decidirá se a obtenção será de caráter de URGÊNCIA ou de EMERGÊNCIA, conforme conceituação constante no Anexo A. Caso não seja, o trâmite do processo seguirá para o EMCFA, </w:t>
      </w:r>
      <w:r w:rsidRPr="00B21587">
        <w:rPr>
          <w:rFonts w:asciiTheme="minorHAnsi" w:hAnsiTheme="minorHAnsi" w:cstheme="minorHAnsi"/>
          <w:szCs w:val="24"/>
        </w:rPr>
        <w:lastRenderedPageBreak/>
        <w:t>o qual dará início ao 2º Subprocesso. No caso da obtenção ser considerada de URGÊNCIA ou de EMERGÊNCIA, o processo será remetido ao EM da FS, que irá coordenar a obtenção de acordo com as orientações do Comandante da Força, e este informará sua decisão ao MD.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prazo para a confecção do CONOPS FS, do ROP e do EV será de até 70 (setenta) dias pelo EM da FS</w:t>
      </w:r>
      <w:r w:rsidRPr="00B21587">
        <w:rPr>
          <w:rFonts w:asciiTheme="minorHAnsi" w:hAnsiTheme="minorHAnsi" w:cstheme="minorHAnsi"/>
          <w:color w:val="FF0000"/>
          <w:szCs w:val="24"/>
        </w:rPr>
        <w:t xml:space="preserve"> </w:t>
      </w:r>
      <w:r w:rsidRPr="00B21587">
        <w:rPr>
          <w:rFonts w:asciiTheme="minorHAnsi" w:hAnsiTheme="minorHAnsi" w:cstheme="minorHAnsi"/>
          <w:szCs w:val="24"/>
        </w:rPr>
        <w:t>designada.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prazo total deste subprocesso, quando originado no EMCFA, não deverá ultrapassar 90 (noventa) dias. A Figura 2 representa o 1º Subprocesso.</w:t>
      </w:r>
    </w:p>
    <w:p w:rsidR="00F82DBF" w:rsidRPr="00B21587" w:rsidRDefault="00F82DBF" w:rsidP="00F82DBF">
      <w:pPr>
        <w:pStyle w:val="PargrafodaLista"/>
        <w:spacing w:before="120" w:after="240"/>
        <w:ind w:left="709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r w:rsidRPr="00B21587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398569" cy="2018805"/>
            <wp:effectExtent l="19050" t="19050" r="12065" b="196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280" cy="2025802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587">
        <w:rPr>
          <w:rFonts w:asciiTheme="minorHAnsi" w:hAnsiTheme="minorHAnsi" w:cstheme="minorHAnsi"/>
          <w:b/>
          <w:i/>
          <w:sz w:val="24"/>
          <w:szCs w:val="24"/>
        </w:rPr>
        <w:t>Figura 2: 1º Subprocesso – Concepção e Categorização</w:t>
      </w:r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2º Subprocesso – Viabilidade da Obtenção Conjunta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Neste subprocesso, o CONOPS FS, o ROP categorizado e o EV recebidos pelo EMCFA seguirão para a CHELOG, que coordenará a continuidade do processo.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CHELOG encaminhará a documentação à Chefia de Operações Conjuntas (CHOC) e solicitará a elaboração do CONOPS MD, que deverá ter um viés do emprego conjunto do PRODE/SD. A CHOC deverá convocar representantes das FS para a elaboração deste documento, cujo prazo será de 20 (vinte) dias.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CONOPS MD embasar-se-á no CONOPS FS, agregando a visão de interoperabilidade do MD e com um viés do emprego conjunto do PRODE/SD.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Na sequência, a CHELOG encaminhará à SEPROD a documentação listada no item 2.3.1, acrescida do CONOPS MD, e solicitará uma ANÁLISE DA BASE INDUSTRIAL DE DEFESA (ABID), que será elaborada sob a ótica da BASE INDUSTRIAL DE DEFESA (BID), considerando os objetivos de nacionalização, conteúdo nacional, plano de desenvolvimento e capacitação industrial, plano de transferência de tecnologia e política de compensação. O prazo para elaboração da ABID será de 80 (oitenta) dias.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szCs w:val="24"/>
        </w:rPr>
        <w:t>Em paralelo, os documentos serão encaminhados ao EM da Força originária do projeto para avaliação da obtenção considerando o CONOPS MD, e para os EM das demais FS para avaliação completa, considerando o âmbito, o escopo, a quantidade e a aplicação do respectivo PRODE/SD. O prazo para resposta ao MD será de 80 (oitenta) dias.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lastRenderedPageBreak/>
        <w:t>A CHELOG, em articulação com as demais Chefias do EMCFA, de posse das avaliações das FS, da ABID e dos demais documentos pertinentes, analisará e decidirá sobre o prosseguimento do PROCESSO DE OBTENÇÃO DE PRODE/SD, segundo uma das alternativas a seguir:</w:t>
      </w:r>
    </w:p>
    <w:p w:rsidR="00F82DBF" w:rsidRPr="00B21587" w:rsidRDefault="00F82DBF" w:rsidP="00F82DBF">
      <w:pPr>
        <w:pStyle w:val="PargrafodaLista"/>
        <w:numPr>
          <w:ilvl w:val="0"/>
          <w:numId w:val="1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se o ROP for enquadrado como um projeto de obtenção de mais de uma FS, o processo será considerado como um PROCESSO DE OBTENÇÃO CONJUNTA e a CHELOG, por meio da Comissão de Logística Militar (COMLOG) e de outros representantes convocados pelo Presidente da COMLOG, coordenará as atividades de elaboração dos ROC; ou</w:t>
      </w:r>
    </w:p>
    <w:p w:rsidR="00F82DBF" w:rsidRPr="00B21587" w:rsidRDefault="00F82DBF" w:rsidP="00F82DBF">
      <w:pPr>
        <w:pStyle w:val="PargrafodaLista"/>
        <w:numPr>
          <w:ilvl w:val="0"/>
          <w:numId w:val="1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se o ROP for enquadrado como um projeto de obtenção de apenas uma FS, o processo retornará àquela Força, a qual desenvolverá ações específicas para sua priorização estratégica, com vistas a posterior obtenção do PRODE ou SD. A FS deverá considerar o CONOPS MD, mesmo sendo uma obtenção singular, e, se for o caso, a critério do poder discricionário da FS, esta poderá ainda solicitar ao MD o estabelecimento de um Grupo de Trabalho, por meio da COMLOG, para o estabelecimento de ROC.</w:t>
      </w:r>
    </w:p>
    <w:p w:rsidR="00F82DBF" w:rsidRPr="00B21587" w:rsidRDefault="00F82DBF" w:rsidP="00F82DBF">
      <w:pPr>
        <w:pStyle w:val="PargrafodaLista"/>
        <w:numPr>
          <w:ilvl w:val="0"/>
          <w:numId w:val="1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caso a FS entenda que o projeto necessite de uma priorização especial, iniciar-se-á o Subprocesso Especial, conforme item 2.7 do presente Anexo. 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prazo total do 2º Subprocesso não deverá ultrapassar 120 (cento e vinte) dias, conforme representado na Figura 3.</w:t>
      </w:r>
    </w:p>
    <w:p w:rsidR="00F82DBF" w:rsidRPr="00B21587" w:rsidRDefault="00F82DBF" w:rsidP="00F82DBF">
      <w:pPr>
        <w:pStyle w:val="PargrafodaLista"/>
        <w:spacing w:before="120" w:after="240"/>
        <w:ind w:left="709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587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379085" cy="2155371"/>
            <wp:effectExtent l="19050" t="19050" r="12065" b="165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192" cy="2163428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587">
        <w:rPr>
          <w:rFonts w:asciiTheme="minorHAnsi" w:hAnsiTheme="minorHAnsi" w:cstheme="minorHAnsi"/>
          <w:b/>
          <w:i/>
          <w:sz w:val="24"/>
          <w:szCs w:val="24"/>
        </w:rPr>
        <w:t>Figura 3: 2º Subprocesso – Viabilidade da Obtenção Conjunta</w:t>
      </w:r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3º Subprocesso – Ratificação do ROC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A COMLOG será responsável pela elaboração do ROC e seu encaminhamento à CHELOG, a qual submeterá os expedientes para a ratificação do Comitê ROC, </w:t>
      </w:r>
      <w:r w:rsidRPr="00B21587">
        <w:rPr>
          <w:rFonts w:asciiTheme="minorHAnsi" w:hAnsiTheme="minorHAnsi" w:cstheme="minorHAnsi"/>
          <w:szCs w:val="24"/>
          <w:shd w:val="clear" w:color="auto" w:fill="FFFFFF" w:themeFill="background1"/>
        </w:rPr>
        <w:t>Comitê este</w:t>
      </w:r>
      <w:r w:rsidRPr="00B21587">
        <w:rPr>
          <w:rFonts w:asciiTheme="minorHAnsi" w:hAnsiTheme="minorHAnsi" w:cstheme="minorHAnsi"/>
          <w:szCs w:val="24"/>
        </w:rPr>
        <w:t xml:space="preserve"> a ser constituído em ato do Ministro de Estado da Defesa que é composto pelo CHELOG e os Vice-Chefes do EMA, EME e EMAER. O CHELOG será o ADS desse subprocesso.</w:t>
      </w:r>
    </w:p>
    <w:p w:rsidR="00F82DBF" w:rsidRPr="00B21587" w:rsidRDefault="00F82DBF" w:rsidP="0025697F">
      <w:pPr>
        <w:pStyle w:val="PargrafodaLista"/>
        <w:numPr>
          <w:ilvl w:val="2"/>
          <w:numId w:val="15"/>
        </w:numPr>
        <w:spacing w:before="120" w:after="12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Com a ratificação do ROC, o processo seguirá para o EMCFA, a fim de dar início ao 4º Subprocesso. Caso contrário, o processo voltará para a COMLOG, com as devidas orientações do Comitê, para revisão. O prazo para elaboração do ROC pela COMLOG será no máximo de 120 (cento e vinte) </w:t>
      </w:r>
      <w:r w:rsidRPr="00B21587">
        <w:rPr>
          <w:rFonts w:asciiTheme="minorHAnsi" w:hAnsiTheme="minorHAnsi" w:cstheme="minorHAnsi"/>
          <w:szCs w:val="24"/>
        </w:rPr>
        <w:lastRenderedPageBreak/>
        <w:t xml:space="preserve">dias e o prazo total deste subprocesso não deverá ultrapassar 150 (cento e cinquenta) dias. A Figura 4 representa o 3º Subprocesso. </w:t>
      </w:r>
    </w:p>
    <w:p w:rsidR="00F82DBF" w:rsidRPr="00B21587" w:rsidRDefault="00F82DBF" w:rsidP="00F82DBF">
      <w:pPr>
        <w:pStyle w:val="PargrafodaLista"/>
        <w:spacing w:before="120" w:after="240"/>
        <w:ind w:left="709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587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400040" cy="1868557"/>
            <wp:effectExtent l="19050" t="19050" r="10160" b="177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159" cy="1868944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587">
        <w:rPr>
          <w:rFonts w:asciiTheme="minorHAnsi" w:hAnsiTheme="minorHAnsi" w:cstheme="minorHAnsi"/>
          <w:b/>
          <w:i/>
          <w:sz w:val="24"/>
          <w:szCs w:val="24"/>
        </w:rPr>
        <w:t>Figura 4: 3º Subprocesso – Ratificação do ROC</w:t>
      </w:r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4º Subprocesso – Ratificação da Obtenção Conjunta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No 4º Subprocesso, o Chefe do EMCFA (CEMCFA) irá presidir o Comitê de Ratificação do Processo de Obtenção Conjunta, a ser constituído em ato do Ministro de Estado de Defesa. Esse Comitê, composto também pelo Secretário Geral (SG) e os Chefes de EM das FS, decidirá sobre a continuidade ou não da obtenção.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Em caso de parecer favorável, o Comitê de Ratificação deliberará, conforme previsto no Manual Técnico do Orçamento, sobre a programação orçamentária que custeará o referido processo, 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>pautada nas estimativas de desembolso anual previstas para o projeto, contidas no EV.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proposta da INSTRUÇÃO DE OBTENÇÃO CONJUNTA (IOC), a ser elaborada pelo EMCFA e pela SG, deverá conter o ROC ratificado, a proposta de priorização estratégica de obtenção do PRODE/SD, a proposta de programação orçamentária (orçamento estimado, esfera orçamentária, Órgão/Unidade orçamentária, Função/Subfunção, Programa e Ação) e a designação da FORÇA LÍDER, além de outras decisões correlatas. As orientações pertinentes à IOC encontram-se no Anexo H.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Na elaboração da proposta de priorização estratégica de aquisição, será utilizada como parâmetro a importância do projeto no contexto das FS, considerando-se as finalidades preceituadas na Estratégia Nacional de Defesa (END).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Em seguida, o processo será encaminhado para o Ministro de Estado da Defesa, com a proposta de IOC, a fim de dar início ao 5º Subprocesso.</w:t>
      </w:r>
    </w:p>
    <w:p w:rsidR="00F82DBF" w:rsidRPr="00B21587" w:rsidRDefault="00F82DBF" w:rsidP="0025697F">
      <w:pPr>
        <w:pStyle w:val="PargrafodaLista"/>
        <w:numPr>
          <w:ilvl w:val="2"/>
          <w:numId w:val="15"/>
        </w:numPr>
        <w:spacing w:before="120" w:after="12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Caso não seja ratificado o PROCESSO DE OBTENÇÃO CONJUNTA, este voltará para o Comitê ROC, com as devidas orientações do Comitê, para revisão. Adicionalmente, a FS interessada será consultada quanto à permanência do projeto no PROCESSO DE OBTENÇÃO CONJUNTA ou o retorno do mesmo para a FS, com vistas à priorização unilateral. O prazo total deste subprocesso não deverá ultrapassar 30 (trinta) dias. A Figura 5 representa o 4º Subprocesso.</w:t>
      </w:r>
    </w:p>
    <w:p w:rsidR="00F82DBF" w:rsidRPr="0025697F" w:rsidRDefault="00F82DBF" w:rsidP="00F82DBF">
      <w:pPr>
        <w:pStyle w:val="PargrafodaLista"/>
        <w:spacing w:before="120" w:after="240"/>
        <w:ind w:left="709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587">
        <w:rPr>
          <w:rFonts w:asciiTheme="minorHAnsi" w:hAnsiTheme="minorHAnsi"/>
          <w:noProof/>
          <w:sz w:val="24"/>
          <w:szCs w:val="24"/>
        </w:rPr>
        <w:lastRenderedPageBreak/>
        <w:drawing>
          <wp:inline distT="0" distB="0" distL="0" distR="0">
            <wp:extent cx="5398241" cy="2011680"/>
            <wp:effectExtent l="19050" t="19050" r="12065" b="2667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043" cy="2017569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587">
        <w:rPr>
          <w:rFonts w:asciiTheme="minorHAnsi" w:hAnsiTheme="minorHAnsi" w:cstheme="minorHAnsi"/>
          <w:b/>
          <w:i/>
          <w:sz w:val="24"/>
          <w:szCs w:val="24"/>
        </w:rPr>
        <w:t>Figura 5: 4º Subprocesso – Ratificação da Obtenção Conjunta</w:t>
      </w:r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5º Subprocesso – Instrução de Obtenção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5º Subprocesso tem início com o recebimento da proposta da IOC pelo Ministro de Estado da Defesa, que decidirá pela sua aprovação ou não.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Decorrente da aprovação e publicação da IOC, o EMCFA, em articulação com as Forças Singulares interessadas no projeto de obtenção conjunta, efetuará o planejamento orçamentário plurianual inerente ao projeto, de acordo com as prioridades do MD. A proposta deverá conter, ainda, informações relativas aos limites orçamentários e financeiros disponíveis ao orçamento do MD, bem como cenários para os próximos exercícios, a serem fornecidos pela Secretaria de Orçamento e Organização Institucional (SEORI). Na sequência, a FORÇA LÍDER dará prosseguimento ao processo de obtenção</w:t>
      </w:r>
      <w:r w:rsidRPr="00B21587">
        <w:rPr>
          <w:rFonts w:asciiTheme="minorHAnsi" w:hAnsiTheme="minorHAnsi"/>
          <w:szCs w:val="24"/>
        </w:rPr>
        <w:t>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No caso da não aprovação pelo Ministro de Estado da Defesa, a proposta da IOC retornará para o EMCFA, a fim de que este leve o assunto ao Comitê de Ratificação do Processo de Obtenção Conjunta, com vistas à futura priorização.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prazo total deste subprocesso não deverá ultrapassar 20 (vinte) dias. A Figura 6 representa o 5º Subprocesso.</w:t>
      </w: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587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397841" cy="1998920"/>
            <wp:effectExtent l="19050" t="19050" r="12700" b="2095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882" cy="2012637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2DBF" w:rsidRDefault="00F82DB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587">
        <w:rPr>
          <w:rFonts w:asciiTheme="minorHAnsi" w:hAnsiTheme="minorHAnsi" w:cstheme="minorHAnsi"/>
          <w:b/>
          <w:i/>
          <w:sz w:val="24"/>
          <w:szCs w:val="24"/>
        </w:rPr>
        <w:t>Figura 6: 5º Subprocesso - Instrução de Obtenção.</w:t>
      </w:r>
    </w:p>
    <w:p w:rsidR="00F8130F" w:rsidRPr="00B21587" w:rsidRDefault="00F8130F" w:rsidP="00F82DBF">
      <w:pPr>
        <w:spacing w:before="120"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F82DBF" w:rsidRPr="00B21587" w:rsidRDefault="00F82DBF" w:rsidP="00F82DBF">
      <w:pPr>
        <w:pStyle w:val="Subttulo"/>
        <w:numPr>
          <w:ilvl w:val="1"/>
          <w:numId w:val="15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bookmarkStart w:id="5" w:name="_Toc471475656"/>
      <w:r w:rsidRPr="00B21587">
        <w:rPr>
          <w:rFonts w:cstheme="minorHAnsi"/>
          <w:caps/>
          <w:color w:val="auto"/>
          <w:sz w:val="24"/>
          <w:szCs w:val="24"/>
          <w:u w:val="single"/>
        </w:rPr>
        <w:lastRenderedPageBreak/>
        <w:t>Subprocesso especial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Subprocesso Especial surge da necessidade estratégica de uma FS de adquirir um PRODE/SD quando um projeto, submetido com sucesso ao Subprocesso de Concepção e Categorização, não for considerado como Obtenção Conjunta.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Conforme mencionado no subitem 2.3.6, alínea “b”, o processo retornará à Força interessada, a qual desenvolverá ações específicas para sua priorização estratégica, por meio de seu EM, com vistas a posterior obtenção do PRODE/SD, utilizando recursos próprios ou por meio de uma priorização especial, a ser viabilizada junto ao MD.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Caso seja definido pela FS que o referido projeto necessite de uma priorização especial, toda a documentação produzida (ROP, CONOPS FS, CONOPS MD, EV e ABID) será submetida à apreciação do Comitê Especial, a ser constituído em ato do Ministro de Estado da Defesa. Este Comitê, presidido pelo CEMCFA, contará com a participação do Secretário Geral (SG) e do Comandante da FS e deliberará sobre a continuidade ou não da obtenção singular. 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Caso não seja ratificado o Processo de Obtenção Especial, este voltará para o EM da FS, com as devidas orientações do Comitê Especial, para revisão ou priorização unilateral da Força interessada.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Em caso de parecer favorável, o Comitê Especial deliberará, conforme previsto no Manual Técnico do Orçamento, sobre a programação orçamentária que custeará o referido processo, 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>pautada nas estimativas de desembolso anual previstas para o projeto, contidas no EV.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proposta de INSTRUÇÃO DE OBTENÇÃO ESPECIAL (IOE) será composta pelo ROP, pela proposta de priorização estratégica de obtenção do PRODE/SD, pela proposta de programação orçamentária (orçamento estimado, esfera orçamentária, Órgão/Unidade orçamentária, Função/Subfunção, Programa e Ação), além de outras decisões correlatas. As orientações pertinentes à IOE encontram-se no Anexo H.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Na elaboração da proposta de priorização estratégica de aquisição, será utilizada como parâmetro a importância do projeto singular no contexto das FS, considerando-se as finalidades preceituadas na END.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Em seguida, o processo será encaminhado para o Ministro de Estado da Defesa, que decidirá pela sua aprovação ou não.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Decorrente da aprovação e publicação da IOE, o EMCFA em conjunto com a Força Singular interessada no projeto de obtenção especial efetuará o planejamento orçamentário plurianual inerente ao projeto, de acordo com as prioridades do MD. A proposta deverá conter, ainda, informações relativas aos limites orçamentários e financeiros disponíveis ao orçamento do MD, bem como cenários para os próximos exercícios, a serem fornecidos pela SEORI. Na sequência, a FS interessada dará prosseguimento ao processo de obtenção.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No caso da não aprovação pelo Ministro de Estado da Defesa, a proposta da IOE seguirá para o EMCFA, a fim de que este leve o assunto ao Comitê de Ratificação do Processo de Obtenção Conjunta, com vistas à futura priorização. Adicionalmente, a FS será consultada quanto à permanência do projeto no Processo de Obtenção Especial ou o seu retorno para a FS, com vistas à priorização unilateral. </w:t>
      </w:r>
    </w:p>
    <w:p w:rsidR="00F82DBF" w:rsidRPr="00B21587" w:rsidRDefault="00F82DBF" w:rsidP="00F82DBF">
      <w:pPr>
        <w:pStyle w:val="PargrafodaLista"/>
        <w:numPr>
          <w:ilvl w:val="2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O prazo total deste subprocesso não deverá ultrapassar 50 (cinquenta) dias. A Figura 7 representa o Subprocesso Especial.</w:t>
      </w:r>
    </w:p>
    <w:p w:rsidR="00F82DBF" w:rsidRPr="00B21587" w:rsidRDefault="00F82DBF" w:rsidP="00F82DBF">
      <w:pPr>
        <w:pStyle w:val="PargrafodaLista"/>
        <w:spacing w:before="120" w:after="240"/>
        <w:contextualSpacing w:val="0"/>
        <w:rPr>
          <w:rFonts w:asciiTheme="minorHAnsi" w:hAnsiTheme="minorHAnsi" w:cstheme="minorHAnsi"/>
          <w:noProof/>
          <w:szCs w:val="24"/>
          <w:lang w:eastAsia="pt-BR"/>
        </w:rPr>
      </w:pPr>
    </w:p>
    <w:p w:rsidR="00F82DBF" w:rsidRPr="00B21587" w:rsidRDefault="00F82DBF" w:rsidP="00F82DBF">
      <w:pPr>
        <w:spacing w:before="120" w:after="240"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B21587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400040" cy="2762250"/>
            <wp:effectExtent l="19050" t="19050" r="10160" b="190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6225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2DBF" w:rsidRPr="00B21587" w:rsidRDefault="00F82DBF" w:rsidP="00F82DBF">
      <w:pPr>
        <w:pStyle w:val="PargrafodaLista"/>
        <w:spacing w:before="120" w:after="240"/>
        <w:contextualSpacing w:val="0"/>
        <w:jc w:val="center"/>
        <w:rPr>
          <w:rFonts w:asciiTheme="minorHAnsi" w:hAnsiTheme="minorHAnsi" w:cstheme="minorHAnsi"/>
          <w:b/>
          <w:i/>
          <w:szCs w:val="24"/>
        </w:rPr>
      </w:pPr>
      <w:r w:rsidRPr="00B21587">
        <w:rPr>
          <w:rFonts w:asciiTheme="minorHAnsi" w:hAnsiTheme="minorHAnsi" w:cstheme="minorHAnsi"/>
          <w:b/>
          <w:i/>
          <w:szCs w:val="24"/>
        </w:rPr>
        <w:t>Figura 7: Subprocesso Especial – Ratificação da Obtenção Especial</w:t>
      </w:r>
    </w:p>
    <w:p w:rsidR="00F82DBF" w:rsidRPr="00B21587" w:rsidRDefault="00F82DBF" w:rsidP="00F82DBF">
      <w:pPr>
        <w:pStyle w:val="Cabealho1"/>
        <w:numPr>
          <w:ilvl w:val="0"/>
          <w:numId w:val="15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6" w:name="_Toc77083281"/>
      <w:bookmarkStart w:id="7" w:name="_Toc77083387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ESPECÍFICAS</w:t>
      </w:r>
      <w:bookmarkEnd w:id="5"/>
      <w:bookmarkEnd w:id="6"/>
      <w:bookmarkEnd w:id="7"/>
    </w:p>
    <w:p w:rsidR="00F82DBF" w:rsidRPr="00B21587" w:rsidRDefault="00F82DBF" w:rsidP="00F82DBF">
      <w:pPr>
        <w:pStyle w:val="PargrafodaLista"/>
        <w:numPr>
          <w:ilvl w:val="1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bookmarkStart w:id="8" w:name="_Toc471475657"/>
      <w:r w:rsidRPr="00B21587">
        <w:rPr>
          <w:rFonts w:asciiTheme="minorHAnsi" w:hAnsiTheme="minorHAnsi" w:cstheme="minorHAnsi"/>
          <w:szCs w:val="24"/>
        </w:rPr>
        <w:t xml:space="preserve">Os processos deverão cumprir os trâmites previstos </w:t>
      </w:r>
      <w:r w:rsidR="00001029">
        <w:rPr>
          <w:rFonts w:asciiTheme="minorHAnsi" w:hAnsiTheme="minorHAnsi" w:cstheme="minorHAnsi"/>
          <w:szCs w:val="24"/>
        </w:rPr>
        <w:t xml:space="preserve">na legislação afeta às compras e contratações da Administração Pública e à Lei </w:t>
      </w:r>
      <w:r w:rsidRPr="00B21587">
        <w:rPr>
          <w:rFonts w:asciiTheme="minorHAnsi" w:hAnsiTheme="minorHAnsi" w:cstheme="minorHAnsi"/>
          <w:szCs w:val="24"/>
        </w:rPr>
        <w:t xml:space="preserve">nº 12.598, de 21 de março de 2012, e </w:t>
      </w:r>
      <w:r w:rsidR="00001029">
        <w:rPr>
          <w:rFonts w:asciiTheme="minorHAnsi" w:hAnsiTheme="minorHAnsi" w:cstheme="minorHAnsi"/>
          <w:szCs w:val="24"/>
        </w:rPr>
        <w:t>normas</w:t>
      </w:r>
      <w:r w:rsidR="00001029" w:rsidRPr="00B21587">
        <w:rPr>
          <w:rFonts w:asciiTheme="minorHAnsi" w:hAnsiTheme="minorHAnsi" w:cstheme="minorHAnsi"/>
          <w:szCs w:val="24"/>
        </w:rPr>
        <w:t xml:space="preserve"> </w:t>
      </w:r>
      <w:r w:rsidRPr="00B21587">
        <w:rPr>
          <w:rFonts w:asciiTheme="minorHAnsi" w:hAnsiTheme="minorHAnsi" w:cstheme="minorHAnsi"/>
          <w:szCs w:val="24"/>
        </w:rPr>
        <w:t>correlatas.</w:t>
      </w:r>
    </w:p>
    <w:p w:rsidR="00F82DBF" w:rsidRPr="00B21587" w:rsidRDefault="00F82DBF" w:rsidP="00F82DBF">
      <w:pPr>
        <w:pStyle w:val="PargrafodaLista"/>
        <w:numPr>
          <w:ilvl w:val="1"/>
          <w:numId w:val="15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No PROCESSO DE OBTENÇÃO CONJUNTA e no PROCESSO DE OBTENÇÃO ESPECIAL, ao final do processo licitatório, a FORÇA LÍDER remeterá ao MD um relatório contendo os dados e as conclusões do referido processo para que o Ministro </w:t>
      </w:r>
      <w:r w:rsidRPr="00B21587">
        <w:rPr>
          <w:rFonts w:asciiTheme="minorHAnsi" w:hAnsiTheme="minorHAnsi" w:cstheme="minorHAnsi"/>
          <w:szCs w:val="24"/>
        </w:rPr>
        <w:t xml:space="preserve">de Estado da 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>Defesa, assessorado pelo EMCFA e SG, autorize a continuidade da contratação.</w:t>
      </w:r>
    </w:p>
    <w:p w:rsidR="00F82DBF" w:rsidRPr="00B21587" w:rsidRDefault="00F82DBF" w:rsidP="00F82DBF">
      <w:pPr>
        <w:pStyle w:val="Cabealho1"/>
        <w:numPr>
          <w:ilvl w:val="0"/>
          <w:numId w:val="15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9" w:name="_Toc77083282"/>
      <w:bookmarkStart w:id="10" w:name="_Toc77083388"/>
      <w:bookmarkEnd w:id="8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FINAIS</w:t>
      </w:r>
      <w:bookmarkEnd w:id="9"/>
      <w:bookmarkEnd w:id="10"/>
    </w:p>
    <w:p w:rsidR="00F82DBF" w:rsidRPr="00B21587" w:rsidRDefault="00F82DBF" w:rsidP="00F82DBF">
      <w:pPr>
        <w:spacing w:before="120" w:after="240"/>
        <w:ind w:left="709"/>
        <w:rPr>
          <w:rFonts w:asciiTheme="minorHAnsi" w:hAnsiTheme="minorHAnsi" w:cstheme="minorHAnsi"/>
          <w:sz w:val="24"/>
          <w:szCs w:val="24"/>
        </w:rPr>
      </w:pPr>
      <w:r w:rsidRPr="00B21587">
        <w:rPr>
          <w:rFonts w:asciiTheme="minorHAnsi" w:hAnsiTheme="minorHAnsi" w:cstheme="minorHAnsi"/>
          <w:sz w:val="24"/>
          <w:szCs w:val="24"/>
        </w:rPr>
        <w:t>Os casos não previstos serão discutidos no âmbito do MD, sob a coordenação do Chefe do Estado-Maior Conjunto das Forças Armadas (CEMCFA).</w:t>
      </w:r>
    </w:p>
    <w:p w:rsidR="00F82DBF" w:rsidRPr="00B21587" w:rsidRDefault="00F82DBF" w:rsidP="00F82DBF">
      <w:pPr>
        <w:spacing w:before="120" w:after="240"/>
        <w:rPr>
          <w:rFonts w:asciiTheme="minorHAnsi" w:hAnsiTheme="minorHAnsi" w:cstheme="minorHAnsi"/>
          <w:sz w:val="24"/>
          <w:szCs w:val="24"/>
        </w:rPr>
      </w:pPr>
      <w:r w:rsidRPr="00B21587">
        <w:rPr>
          <w:rFonts w:asciiTheme="minorHAnsi" w:hAnsiTheme="minorHAnsi" w:cstheme="minorHAnsi"/>
          <w:sz w:val="24"/>
          <w:szCs w:val="24"/>
        </w:rPr>
        <w:br w:type="page"/>
      </w:r>
    </w:p>
    <w:p w:rsidR="00F82DBF" w:rsidRPr="00B21587" w:rsidRDefault="00F82DBF" w:rsidP="00F8130F">
      <w:pPr>
        <w:pStyle w:val="Subttulo"/>
        <w:numPr>
          <w:ilvl w:val="0"/>
          <w:numId w:val="0"/>
        </w:numPr>
        <w:spacing w:before="120" w:after="240"/>
        <w:ind w:right="1133"/>
        <w:jc w:val="center"/>
        <w:rPr>
          <w:sz w:val="24"/>
          <w:szCs w:val="24"/>
        </w:rPr>
      </w:pPr>
      <w:r w:rsidRPr="00B21587">
        <w:rPr>
          <w:rFonts w:cstheme="minorHAnsi"/>
          <w:caps/>
          <w:color w:val="auto"/>
          <w:sz w:val="24"/>
          <w:szCs w:val="24"/>
        </w:rPr>
        <w:lastRenderedPageBreak/>
        <w:t>Apêndice A – DINÂMICA DO PROCESSO DE OBTENÇÃO</w:t>
      </w:r>
    </w:p>
    <w:p w:rsidR="00B21587" w:rsidRPr="00B21587" w:rsidRDefault="00F82DBF" w:rsidP="000F39A1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r w:rsidRPr="00B21587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400040" cy="8368589"/>
            <wp:effectExtent l="19050" t="19050" r="10160" b="139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789" cy="8374399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21587" w:rsidRPr="00B21587" w:rsidSect="000F39A1">
      <w:footerReference w:type="default" r:id="rId25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6C" w:rsidRDefault="00CE536C">
      <w:r>
        <w:separator/>
      </w:r>
    </w:p>
  </w:endnote>
  <w:endnote w:type="continuationSeparator" w:id="0">
    <w:p w:rsidR="00CE536C" w:rsidRDefault="00CE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97F" w:rsidRDefault="002569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6C" w:rsidRDefault="00CE536C">
      <w:r>
        <w:separator/>
      </w:r>
    </w:p>
  </w:footnote>
  <w:footnote w:type="continuationSeparator" w:id="0">
    <w:p w:rsidR="00CE536C" w:rsidRDefault="00CE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48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AD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1B2E"/>
    <w:multiLevelType w:val="multilevel"/>
    <w:tmpl w:val="7BFE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D71B0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0D28"/>
    <w:multiLevelType w:val="multilevel"/>
    <w:tmpl w:val="7CF65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6D055A"/>
    <w:multiLevelType w:val="hybridMultilevel"/>
    <w:tmpl w:val="D83CF31C"/>
    <w:lvl w:ilvl="0" w:tplc="C08E8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660"/>
    <w:multiLevelType w:val="multilevel"/>
    <w:tmpl w:val="8E26B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50071B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F60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A9109FC"/>
    <w:multiLevelType w:val="hybridMultilevel"/>
    <w:tmpl w:val="57ACE4B0"/>
    <w:lvl w:ilvl="0" w:tplc="6D249B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BD10F4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820A6"/>
    <w:multiLevelType w:val="hybridMultilevel"/>
    <w:tmpl w:val="6A861D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A1BF5"/>
    <w:multiLevelType w:val="hybridMultilevel"/>
    <w:tmpl w:val="6092331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614A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8654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D25D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0456391"/>
    <w:multiLevelType w:val="hybridMultilevel"/>
    <w:tmpl w:val="F3FCBD90"/>
    <w:lvl w:ilvl="0" w:tplc="BCA0C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C5CE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231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3957183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77B10A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55A7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86175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BA70EF1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CCC6392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1E09081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F646D"/>
    <w:multiLevelType w:val="hybridMultilevel"/>
    <w:tmpl w:val="F0BC0030"/>
    <w:lvl w:ilvl="0" w:tplc="2ACAF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C69FB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E7FC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20A87A69"/>
    <w:multiLevelType w:val="hybridMultilevel"/>
    <w:tmpl w:val="C76C18A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D1A6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3001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A7E50"/>
    <w:multiLevelType w:val="multilevel"/>
    <w:tmpl w:val="C9A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49A596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C076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FC2D6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5307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5516E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2C723CD0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C9C0E1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D4726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F57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85BB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852BC0"/>
    <w:multiLevelType w:val="hybridMultilevel"/>
    <w:tmpl w:val="D2B61482"/>
    <w:lvl w:ilvl="0" w:tplc="12A21430">
      <w:start w:val="1"/>
      <w:numFmt w:val="lowerLetter"/>
      <w:lvlText w:val="%1)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4D5E3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645888"/>
    <w:multiLevelType w:val="hybridMultilevel"/>
    <w:tmpl w:val="5EBA7450"/>
    <w:lvl w:ilvl="0" w:tplc="318E6D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7B5F0C"/>
    <w:multiLevelType w:val="multilevel"/>
    <w:tmpl w:val="4AF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41420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F7B21"/>
    <w:multiLevelType w:val="hybridMultilevel"/>
    <w:tmpl w:val="DA7C7A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2563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91535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A837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6D215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3362A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BBC51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3205B9"/>
    <w:multiLevelType w:val="hybridMultilevel"/>
    <w:tmpl w:val="8242AA72"/>
    <w:lvl w:ilvl="0" w:tplc="D206E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6D58D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8572ED"/>
    <w:multiLevelType w:val="hybridMultilevel"/>
    <w:tmpl w:val="6ACA41CE"/>
    <w:lvl w:ilvl="0" w:tplc="A2DEA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D2EA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163DC3"/>
    <w:multiLevelType w:val="hybridMultilevel"/>
    <w:tmpl w:val="2188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97D2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472E3"/>
    <w:multiLevelType w:val="hybridMultilevel"/>
    <w:tmpl w:val="6A6AC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84745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A559B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E011C9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5863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C17724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A7515B"/>
    <w:multiLevelType w:val="multilevel"/>
    <w:tmpl w:val="4848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49B4392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821CD8"/>
    <w:multiLevelType w:val="hybridMultilevel"/>
    <w:tmpl w:val="5E80BB26"/>
    <w:lvl w:ilvl="0" w:tplc="3F52A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5B35FE"/>
    <w:multiLevelType w:val="hybridMultilevel"/>
    <w:tmpl w:val="FC04CE80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4BDB43DF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4C36744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4C4C55FC"/>
    <w:multiLevelType w:val="hybridMultilevel"/>
    <w:tmpl w:val="D6809C0A"/>
    <w:lvl w:ilvl="0" w:tplc="AB50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1F72A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B550E9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E6A7A2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F64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C589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7879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F062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C9599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0C5CB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37EA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D13568"/>
    <w:multiLevelType w:val="multilevel"/>
    <w:tmpl w:val="A4A27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5C306148"/>
    <w:multiLevelType w:val="multilevel"/>
    <w:tmpl w:val="03DE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C6B3E3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73F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112FAE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5EB767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45B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FE5DD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97AE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985708"/>
    <w:multiLevelType w:val="multilevel"/>
    <w:tmpl w:val="550AE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61A1377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D457B5"/>
    <w:multiLevelType w:val="multilevel"/>
    <w:tmpl w:val="9BD49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62786087"/>
    <w:multiLevelType w:val="multilevel"/>
    <w:tmpl w:val="16087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454393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66646335"/>
    <w:multiLevelType w:val="hybridMultilevel"/>
    <w:tmpl w:val="88C09D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6320A6"/>
    <w:multiLevelType w:val="multilevel"/>
    <w:tmpl w:val="A54003CC"/>
    <w:lvl w:ilvl="0">
      <w:start w:val="1"/>
      <w:numFmt w:val="decimal"/>
      <w:pStyle w:val="MMTopic1"/>
      <w:suff w:val="space"/>
      <w:lvlText w:val="%1"/>
      <w:lvlJc w:val="left"/>
      <w:rPr>
        <w:rFonts w:cs="Times New Roman" w:hint="default"/>
      </w:rPr>
    </w:lvl>
    <w:lvl w:ilvl="1">
      <w:start w:val="2"/>
      <w:numFmt w:val="decimal"/>
      <w:pStyle w:val="MMTopic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cs="Times New Roman" w:hint="default"/>
      </w:rPr>
    </w:lvl>
  </w:abstractNum>
  <w:abstractNum w:abstractNumId="100" w15:restartNumberingAfterBreak="0">
    <w:nsid w:val="678F17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46E8E"/>
    <w:multiLevelType w:val="hybridMultilevel"/>
    <w:tmpl w:val="391A11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523DE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790B16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CD28B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5" w15:restartNumberingAfterBreak="0">
    <w:nsid w:val="6A9F1DC7"/>
    <w:multiLevelType w:val="hybridMultilevel"/>
    <w:tmpl w:val="DDB8A098"/>
    <w:lvl w:ilvl="0" w:tplc="91D66B42">
      <w:start w:val="1"/>
      <w:numFmt w:val="lowerRoman"/>
      <w:lvlText w:val="%1."/>
      <w:lvlJc w:val="right"/>
      <w:pPr>
        <w:ind w:left="1713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6C0D6A42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6C4F62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6CEB487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1C2B6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0AE14B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CA5349"/>
    <w:multiLevelType w:val="hybridMultilevel"/>
    <w:tmpl w:val="E2E03F8A"/>
    <w:lvl w:ilvl="0" w:tplc="022CD4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B24AAB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3" w15:restartNumberingAfterBreak="0">
    <w:nsid w:val="73CC16E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7E5AC0"/>
    <w:multiLevelType w:val="hybridMultilevel"/>
    <w:tmpl w:val="300C8F8C"/>
    <w:lvl w:ilvl="0" w:tplc="7D18A922">
      <w:start w:val="1"/>
      <w:numFmt w:val="lowerLetter"/>
      <w:pStyle w:val="ROPabcTOPICO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 w15:restartNumberingAfterBreak="0">
    <w:nsid w:val="74F36CE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9203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7" w15:restartNumberingAfterBreak="0">
    <w:nsid w:val="77C81871"/>
    <w:multiLevelType w:val="hybridMultilevel"/>
    <w:tmpl w:val="9F561EB6"/>
    <w:lvl w:ilvl="0" w:tplc="57943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F847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410D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7C6374"/>
    <w:multiLevelType w:val="hybridMultilevel"/>
    <w:tmpl w:val="48D0D6D4"/>
    <w:lvl w:ilvl="0" w:tplc="F080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E14F9F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2" w15:restartNumberingAfterBreak="0">
    <w:nsid w:val="7C5D454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33598"/>
    <w:multiLevelType w:val="multilevel"/>
    <w:tmpl w:val="3E5C9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3"/>
  </w:num>
  <w:num w:numId="2">
    <w:abstractNumId w:val="58"/>
  </w:num>
  <w:num w:numId="3">
    <w:abstractNumId w:val="51"/>
  </w:num>
  <w:num w:numId="4">
    <w:abstractNumId w:val="17"/>
  </w:num>
  <w:num w:numId="5">
    <w:abstractNumId w:val="35"/>
  </w:num>
  <w:num w:numId="6">
    <w:abstractNumId w:val="33"/>
  </w:num>
  <w:num w:numId="7">
    <w:abstractNumId w:val="74"/>
  </w:num>
  <w:num w:numId="8">
    <w:abstractNumId w:val="7"/>
  </w:num>
  <w:num w:numId="9">
    <w:abstractNumId w:val="78"/>
  </w:num>
  <w:num w:numId="10">
    <w:abstractNumId w:val="77"/>
  </w:num>
  <w:num w:numId="11">
    <w:abstractNumId w:val="111"/>
  </w:num>
  <w:num w:numId="12">
    <w:abstractNumId w:val="81"/>
  </w:num>
  <w:num w:numId="13">
    <w:abstractNumId w:val="79"/>
  </w:num>
  <w:num w:numId="14">
    <w:abstractNumId w:val="63"/>
  </w:num>
  <w:num w:numId="15">
    <w:abstractNumId w:val="67"/>
  </w:num>
  <w:num w:numId="16">
    <w:abstractNumId w:val="4"/>
  </w:num>
  <w:num w:numId="17">
    <w:abstractNumId w:val="92"/>
  </w:num>
  <w:num w:numId="18">
    <w:abstractNumId w:val="49"/>
  </w:num>
  <w:num w:numId="19">
    <w:abstractNumId w:val="96"/>
  </w:num>
  <w:num w:numId="20">
    <w:abstractNumId w:val="119"/>
  </w:num>
  <w:num w:numId="21">
    <w:abstractNumId w:val="102"/>
  </w:num>
  <w:num w:numId="22">
    <w:abstractNumId w:val="93"/>
  </w:num>
  <w:num w:numId="23">
    <w:abstractNumId w:val="113"/>
  </w:num>
  <w:num w:numId="24">
    <w:abstractNumId w:val="62"/>
  </w:num>
  <w:num w:numId="25">
    <w:abstractNumId w:val="15"/>
  </w:num>
  <w:num w:numId="26">
    <w:abstractNumId w:val="115"/>
  </w:num>
  <w:num w:numId="27">
    <w:abstractNumId w:val="101"/>
  </w:num>
  <w:num w:numId="28">
    <w:abstractNumId w:val="32"/>
  </w:num>
  <w:num w:numId="29">
    <w:abstractNumId w:val="54"/>
  </w:num>
  <w:num w:numId="30">
    <w:abstractNumId w:val="1"/>
  </w:num>
  <w:num w:numId="31">
    <w:abstractNumId w:val="52"/>
  </w:num>
  <w:num w:numId="32">
    <w:abstractNumId w:val="87"/>
  </w:num>
  <w:num w:numId="33">
    <w:abstractNumId w:val="59"/>
  </w:num>
  <w:num w:numId="34">
    <w:abstractNumId w:val="12"/>
  </w:num>
  <w:num w:numId="35">
    <w:abstractNumId w:val="43"/>
  </w:num>
  <w:num w:numId="36">
    <w:abstractNumId w:val="11"/>
  </w:num>
  <w:num w:numId="37">
    <w:abstractNumId w:val="22"/>
  </w:num>
  <w:num w:numId="38">
    <w:abstractNumId w:val="72"/>
  </w:num>
  <w:num w:numId="39">
    <w:abstractNumId w:val="6"/>
  </w:num>
  <w:num w:numId="40">
    <w:abstractNumId w:val="48"/>
  </w:num>
  <w:num w:numId="41">
    <w:abstractNumId w:val="56"/>
  </w:num>
  <w:num w:numId="42">
    <w:abstractNumId w:val="100"/>
  </w:num>
  <w:num w:numId="43">
    <w:abstractNumId w:val="103"/>
  </w:num>
  <w:num w:numId="44">
    <w:abstractNumId w:val="64"/>
  </w:num>
  <w:num w:numId="45">
    <w:abstractNumId w:val="84"/>
  </w:num>
  <w:num w:numId="46">
    <w:abstractNumId w:val="16"/>
  </w:num>
  <w:num w:numId="47">
    <w:abstractNumId w:val="50"/>
  </w:num>
  <w:num w:numId="48">
    <w:abstractNumId w:val="40"/>
  </w:num>
  <w:num w:numId="49">
    <w:abstractNumId w:val="112"/>
  </w:num>
  <w:num w:numId="50">
    <w:abstractNumId w:val="76"/>
  </w:num>
  <w:num w:numId="51">
    <w:abstractNumId w:val="105"/>
  </w:num>
  <w:num w:numId="52">
    <w:abstractNumId w:val="104"/>
  </w:num>
  <w:num w:numId="53">
    <w:abstractNumId w:val="28"/>
  </w:num>
  <w:num w:numId="54">
    <w:abstractNumId w:val="109"/>
  </w:num>
  <w:num w:numId="55">
    <w:abstractNumId w:val="8"/>
  </w:num>
  <w:num w:numId="56">
    <w:abstractNumId w:val="60"/>
  </w:num>
  <w:num w:numId="57">
    <w:abstractNumId w:val="71"/>
  </w:num>
  <w:num w:numId="58">
    <w:abstractNumId w:val="18"/>
  </w:num>
  <w:num w:numId="59">
    <w:abstractNumId w:val="34"/>
  </w:num>
  <w:num w:numId="60">
    <w:abstractNumId w:val="108"/>
  </w:num>
  <w:num w:numId="61">
    <w:abstractNumId w:val="90"/>
  </w:num>
  <w:num w:numId="62">
    <w:abstractNumId w:val="24"/>
  </w:num>
  <w:num w:numId="63">
    <w:abstractNumId w:val="37"/>
  </w:num>
  <w:num w:numId="64">
    <w:abstractNumId w:val="116"/>
  </w:num>
  <w:num w:numId="65">
    <w:abstractNumId w:val="97"/>
  </w:num>
  <w:num w:numId="66">
    <w:abstractNumId w:val="107"/>
  </w:num>
  <w:num w:numId="67">
    <w:abstractNumId w:val="114"/>
  </w:num>
  <w:num w:numId="68">
    <w:abstractNumId w:val="53"/>
  </w:num>
  <w:num w:numId="69">
    <w:abstractNumId w:val="41"/>
  </w:num>
  <w:num w:numId="70">
    <w:abstractNumId w:val="88"/>
  </w:num>
  <w:num w:numId="71">
    <w:abstractNumId w:val="14"/>
  </w:num>
  <w:num w:numId="72">
    <w:abstractNumId w:val="46"/>
  </w:num>
  <w:num w:numId="73">
    <w:abstractNumId w:val="25"/>
  </w:num>
  <w:num w:numId="74">
    <w:abstractNumId w:val="70"/>
  </w:num>
  <w:num w:numId="75">
    <w:abstractNumId w:val="82"/>
  </w:num>
  <w:num w:numId="76">
    <w:abstractNumId w:val="91"/>
  </w:num>
  <w:num w:numId="77">
    <w:abstractNumId w:val="42"/>
  </w:num>
  <w:num w:numId="78">
    <w:abstractNumId w:val="3"/>
  </w:num>
  <w:num w:numId="79">
    <w:abstractNumId w:val="122"/>
  </w:num>
  <w:num w:numId="80">
    <w:abstractNumId w:val="86"/>
  </w:num>
  <w:num w:numId="81">
    <w:abstractNumId w:val="47"/>
  </w:num>
  <w:num w:numId="82">
    <w:abstractNumId w:val="39"/>
  </w:num>
  <w:num w:numId="83">
    <w:abstractNumId w:val="89"/>
  </w:num>
  <w:num w:numId="84">
    <w:abstractNumId w:val="13"/>
  </w:num>
  <w:num w:numId="85">
    <w:abstractNumId w:val="80"/>
  </w:num>
  <w:num w:numId="86">
    <w:abstractNumId w:val="30"/>
  </w:num>
  <w:num w:numId="87">
    <w:abstractNumId w:val="21"/>
  </w:num>
  <w:num w:numId="88">
    <w:abstractNumId w:val="61"/>
  </w:num>
  <w:num w:numId="89">
    <w:abstractNumId w:val="29"/>
  </w:num>
  <w:num w:numId="90">
    <w:abstractNumId w:val="98"/>
  </w:num>
  <w:num w:numId="91">
    <w:abstractNumId w:val="10"/>
  </w:num>
  <w:num w:numId="92">
    <w:abstractNumId w:val="20"/>
  </w:num>
  <w:num w:numId="93">
    <w:abstractNumId w:val="110"/>
  </w:num>
  <w:num w:numId="94">
    <w:abstractNumId w:val="65"/>
  </w:num>
  <w:num w:numId="95">
    <w:abstractNumId w:val="31"/>
  </w:num>
  <w:num w:numId="96">
    <w:abstractNumId w:val="106"/>
  </w:num>
  <w:num w:numId="97">
    <w:abstractNumId w:val="9"/>
  </w:num>
  <w:num w:numId="98">
    <w:abstractNumId w:val="121"/>
  </w:num>
  <w:num w:numId="99">
    <w:abstractNumId w:val="23"/>
  </w:num>
  <w:num w:numId="100">
    <w:abstractNumId w:val="118"/>
  </w:num>
  <w:num w:numId="101">
    <w:abstractNumId w:val="83"/>
  </w:num>
  <w:num w:numId="102">
    <w:abstractNumId w:val="19"/>
  </w:num>
  <w:num w:numId="103">
    <w:abstractNumId w:val="68"/>
  </w:num>
  <w:num w:numId="104">
    <w:abstractNumId w:val="94"/>
  </w:num>
  <w:num w:numId="105">
    <w:abstractNumId w:val="75"/>
  </w:num>
  <w:num w:numId="106">
    <w:abstractNumId w:val="38"/>
  </w:num>
  <w:num w:numId="107">
    <w:abstractNumId w:val="44"/>
  </w:num>
  <w:num w:numId="108">
    <w:abstractNumId w:val="36"/>
  </w:num>
  <w:num w:numId="109">
    <w:abstractNumId w:val="0"/>
  </w:num>
  <w:num w:numId="110">
    <w:abstractNumId w:val="27"/>
  </w:num>
  <w:num w:numId="111">
    <w:abstractNumId w:val="66"/>
  </w:num>
  <w:num w:numId="112">
    <w:abstractNumId w:val="45"/>
  </w:num>
  <w:num w:numId="113">
    <w:abstractNumId w:val="99"/>
  </w:num>
  <w:num w:numId="114">
    <w:abstractNumId w:val="95"/>
  </w:num>
  <w:num w:numId="115">
    <w:abstractNumId w:val="117"/>
  </w:num>
  <w:num w:numId="116">
    <w:abstractNumId w:val="55"/>
  </w:num>
  <w:num w:numId="117">
    <w:abstractNumId w:val="69"/>
  </w:num>
  <w:num w:numId="118">
    <w:abstractNumId w:val="26"/>
  </w:num>
  <w:num w:numId="119">
    <w:abstractNumId w:val="73"/>
  </w:num>
  <w:num w:numId="120">
    <w:abstractNumId w:val="5"/>
  </w:num>
  <w:num w:numId="121">
    <w:abstractNumId w:val="120"/>
  </w:num>
  <w:num w:numId="122">
    <w:abstractNumId w:val="2"/>
  </w:num>
  <w:num w:numId="123">
    <w:abstractNumId w:val="57"/>
  </w:num>
  <w:num w:numId="124">
    <w:abstractNumId w:val="8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0"/>
    <w:rsid w:val="00001029"/>
    <w:rsid w:val="00021589"/>
    <w:rsid w:val="00027D02"/>
    <w:rsid w:val="00030C00"/>
    <w:rsid w:val="00062B7D"/>
    <w:rsid w:val="000A4C5A"/>
    <w:rsid w:val="000B0FF5"/>
    <w:rsid w:val="000C69F7"/>
    <w:rsid w:val="000D3BBB"/>
    <w:rsid w:val="000E1EF6"/>
    <w:rsid w:val="000F39A1"/>
    <w:rsid w:val="001015C9"/>
    <w:rsid w:val="00114BAE"/>
    <w:rsid w:val="0012531A"/>
    <w:rsid w:val="00134EA5"/>
    <w:rsid w:val="00157AA9"/>
    <w:rsid w:val="001823A3"/>
    <w:rsid w:val="00190C1D"/>
    <w:rsid w:val="00194F80"/>
    <w:rsid w:val="001D4AB4"/>
    <w:rsid w:val="001F1689"/>
    <w:rsid w:val="00211CE7"/>
    <w:rsid w:val="00216F3C"/>
    <w:rsid w:val="00231699"/>
    <w:rsid w:val="0023597E"/>
    <w:rsid w:val="0025697F"/>
    <w:rsid w:val="00264B91"/>
    <w:rsid w:val="00271A52"/>
    <w:rsid w:val="00272CA9"/>
    <w:rsid w:val="0029638A"/>
    <w:rsid w:val="00296C35"/>
    <w:rsid w:val="002C67F9"/>
    <w:rsid w:val="002E338D"/>
    <w:rsid w:val="002F3285"/>
    <w:rsid w:val="0035446A"/>
    <w:rsid w:val="003D4176"/>
    <w:rsid w:val="003E3140"/>
    <w:rsid w:val="00402727"/>
    <w:rsid w:val="00410385"/>
    <w:rsid w:val="00423028"/>
    <w:rsid w:val="00435F2A"/>
    <w:rsid w:val="00464BA2"/>
    <w:rsid w:val="004968BB"/>
    <w:rsid w:val="004A6843"/>
    <w:rsid w:val="004C17D6"/>
    <w:rsid w:val="004E30EF"/>
    <w:rsid w:val="0050622C"/>
    <w:rsid w:val="00514605"/>
    <w:rsid w:val="005152F9"/>
    <w:rsid w:val="00536808"/>
    <w:rsid w:val="00550DFB"/>
    <w:rsid w:val="0056198B"/>
    <w:rsid w:val="00577FCF"/>
    <w:rsid w:val="005852EA"/>
    <w:rsid w:val="00632573"/>
    <w:rsid w:val="006577F3"/>
    <w:rsid w:val="006D228B"/>
    <w:rsid w:val="007174E4"/>
    <w:rsid w:val="00731406"/>
    <w:rsid w:val="00763CDE"/>
    <w:rsid w:val="007759B7"/>
    <w:rsid w:val="007819DA"/>
    <w:rsid w:val="007C0B24"/>
    <w:rsid w:val="00847722"/>
    <w:rsid w:val="008843D9"/>
    <w:rsid w:val="008C521A"/>
    <w:rsid w:val="008C5434"/>
    <w:rsid w:val="008D4224"/>
    <w:rsid w:val="0090621A"/>
    <w:rsid w:val="009236C5"/>
    <w:rsid w:val="00970E54"/>
    <w:rsid w:val="00975F0D"/>
    <w:rsid w:val="009C3151"/>
    <w:rsid w:val="009D2750"/>
    <w:rsid w:val="009E2184"/>
    <w:rsid w:val="00A2758D"/>
    <w:rsid w:val="00AD79DA"/>
    <w:rsid w:val="00AE6B29"/>
    <w:rsid w:val="00B051CB"/>
    <w:rsid w:val="00B21587"/>
    <w:rsid w:val="00B321F0"/>
    <w:rsid w:val="00B644CA"/>
    <w:rsid w:val="00B84EC5"/>
    <w:rsid w:val="00B938A2"/>
    <w:rsid w:val="00BD554A"/>
    <w:rsid w:val="00BF5A24"/>
    <w:rsid w:val="00C12485"/>
    <w:rsid w:val="00C163B7"/>
    <w:rsid w:val="00C455C2"/>
    <w:rsid w:val="00CB460E"/>
    <w:rsid w:val="00CC340F"/>
    <w:rsid w:val="00CE536C"/>
    <w:rsid w:val="00CF1C50"/>
    <w:rsid w:val="00DB423C"/>
    <w:rsid w:val="00DD04CC"/>
    <w:rsid w:val="00DD144E"/>
    <w:rsid w:val="00DF4C4E"/>
    <w:rsid w:val="00E04EC3"/>
    <w:rsid w:val="00E75B68"/>
    <w:rsid w:val="00E8608E"/>
    <w:rsid w:val="00E93982"/>
    <w:rsid w:val="00F0547E"/>
    <w:rsid w:val="00F06B9B"/>
    <w:rsid w:val="00F16690"/>
    <w:rsid w:val="00F517E7"/>
    <w:rsid w:val="00F8130F"/>
    <w:rsid w:val="00F82DBF"/>
    <w:rsid w:val="00F90C70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F6F52-9094-4DF0-A233-EE946D7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6D2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23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423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2"/>
      <w:lang w:eastAsia="en-US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21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230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copre">
    <w:name w:val="acopre"/>
    <w:basedOn w:val="Tipodeletrapredefinidodopargrafo"/>
    <w:rsid w:val="00021589"/>
  </w:style>
  <w:style w:type="character" w:styleId="Hiperligao">
    <w:name w:val="Hyperlink"/>
    <w:basedOn w:val="Tipodeletrapredefinidodopargrafo"/>
    <w:uiPriority w:val="99"/>
    <w:unhideWhenUsed/>
    <w:rsid w:val="004C17D6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1248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12485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12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1248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124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1248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248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Tipodeletrapredefinidodopargrafo"/>
    <w:uiPriority w:val="22"/>
    <w:qFormat/>
    <w:rsid w:val="00550DFB"/>
    <w:rPr>
      <w:b/>
      <w:b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D22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D228B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D22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D228B"/>
    <w:rPr>
      <w:rFonts w:eastAsiaTheme="minorEastAsia"/>
      <w:color w:val="5A5A5A" w:themeColor="text1" w:themeTint="A5"/>
      <w:spacing w:val="15"/>
    </w:rPr>
  </w:style>
  <w:style w:type="paragraph" w:styleId="Rodap">
    <w:name w:val="footer"/>
    <w:basedOn w:val="Normal"/>
    <w:link w:val="RodapCarter"/>
    <w:uiPriority w:val="99"/>
    <w:unhideWhenUsed/>
    <w:rsid w:val="006D228B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D228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82DBF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4230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23028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23028"/>
    <w:rPr>
      <w:rFonts w:ascii="Times New Roman" w:hAnsi="Times New Roman"/>
      <w:sz w:val="24"/>
    </w:rPr>
  </w:style>
  <w:style w:type="table" w:styleId="Tabelacomgrelha">
    <w:name w:val="Table Grid"/>
    <w:basedOn w:val="Tabelanormal"/>
    <w:uiPriority w:val="59"/>
    <w:rsid w:val="0042302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2">
    <w:name w:val="Body Text Indent 2"/>
    <w:basedOn w:val="Normal"/>
    <w:link w:val="Avanodecorpodetexto2Carter"/>
    <w:uiPriority w:val="99"/>
    <w:rsid w:val="00423028"/>
    <w:pPr>
      <w:autoSpaceDE w:val="0"/>
      <w:autoSpaceDN w:val="0"/>
      <w:adjustRightInd w:val="0"/>
      <w:ind w:firstLine="1134"/>
    </w:pPr>
    <w:rPr>
      <w:sz w:val="24"/>
      <w:szCs w:val="24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423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rmal1">
    <w:name w:val="Formal1"/>
    <w:uiPriority w:val="99"/>
    <w:rsid w:val="00423028"/>
    <w:pPr>
      <w:widowControl w:val="0"/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5">
    <w:name w:val="xl25"/>
    <w:basedOn w:val="Normal"/>
    <w:uiPriority w:val="99"/>
    <w:rsid w:val="00423028"/>
    <w:pPr>
      <w:widowControl w:val="0"/>
      <w:suppressAutoHyphens/>
      <w:spacing w:before="100" w:after="100"/>
      <w:jc w:val="center"/>
    </w:pPr>
    <w:rPr>
      <w:rFonts w:ascii="Arial Unicode MS" w:hAnsi="Arial Unicode MS" w:cs="Arial Unicode MS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arter"/>
    <w:uiPriority w:val="10"/>
    <w:qFormat/>
    <w:rsid w:val="004230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30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dice1">
    <w:name w:val="toc 1"/>
    <w:basedOn w:val="Normal"/>
    <w:next w:val="Normal"/>
    <w:uiPriority w:val="39"/>
    <w:rsid w:val="00423028"/>
    <w:pPr>
      <w:widowControl w:val="0"/>
      <w:tabs>
        <w:tab w:val="left" w:pos="400"/>
        <w:tab w:val="left" w:pos="600"/>
        <w:tab w:val="right" w:leader="dot" w:pos="9912"/>
      </w:tabs>
      <w:suppressAutoHyphens/>
      <w:overflowPunct w:val="0"/>
      <w:autoSpaceDE w:val="0"/>
      <w:spacing w:before="80" w:after="80"/>
      <w:textAlignment w:val="baseline"/>
    </w:pPr>
    <w:rPr>
      <w:sz w:val="22"/>
      <w:lang w:eastAsia="ar-SA"/>
    </w:rPr>
  </w:style>
  <w:style w:type="paragraph" w:styleId="ndice3">
    <w:name w:val="toc 3"/>
    <w:basedOn w:val="Normal"/>
    <w:next w:val="Normal"/>
    <w:autoRedefine/>
    <w:uiPriority w:val="39"/>
    <w:rsid w:val="00423028"/>
    <w:pPr>
      <w:ind w:left="480"/>
    </w:pPr>
    <w:rPr>
      <w:sz w:val="24"/>
      <w:szCs w:val="24"/>
    </w:rPr>
  </w:style>
  <w:style w:type="paragraph" w:styleId="Corpodetexto">
    <w:name w:val="Body Text"/>
    <w:basedOn w:val="Normal"/>
    <w:link w:val="CorpodetextoCarter"/>
    <w:unhideWhenUsed/>
    <w:rsid w:val="00423028"/>
    <w:pPr>
      <w:widowControl w:val="0"/>
      <w:adjustRightInd w:val="0"/>
      <w:spacing w:after="120" w:line="360" w:lineRule="atLeast"/>
      <w:jc w:val="both"/>
    </w:pPr>
    <w:rPr>
      <w:rFonts w:ascii="Book Antiqua" w:hAnsi="Book Antiqua"/>
      <w:sz w:val="24"/>
      <w:lang w:val="en-US"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423028"/>
    <w:rPr>
      <w:rFonts w:ascii="Book Antiqua" w:eastAsia="Times New Roman" w:hAnsi="Book Antiqua" w:cs="Times New Roman"/>
      <w:sz w:val="24"/>
      <w:szCs w:val="20"/>
      <w:lang w:val="en-US"/>
    </w:rPr>
  </w:style>
  <w:style w:type="paragraph" w:customStyle="1" w:styleId="SEctionText2">
    <w:name w:val="SEction Text 2"/>
    <w:aliases w:val="st2"/>
    <w:basedOn w:val="Normal"/>
    <w:autoRedefine/>
    <w:rsid w:val="00423028"/>
    <w:pPr>
      <w:tabs>
        <w:tab w:val="left" w:pos="720"/>
      </w:tabs>
      <w:spacing w:before="60"/>
      <w:ind w:left="450"/>
      <w:jc w:val="both"/>
    </w:pPr>
    <w:rPr>
      <w:rFonts w:ascii="Arial" w:hAnsi="Arial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423028"/>
    <w:pPr>
      <w:spacing w:after="0" w:line="240" w:lineRule="auto"/>
    </w:pPr>
    <w:rPr>
      <w:rFonts w:ascii="Times New Roman" w:hAnsi="Times New Roman"/>
      <w:sz w:val="24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23028"/>
    <w:pPr>
      <w:spacing w:line="276" w:lineRule="auto"/>
      <w:outlineLvl w:val="9"/>
    </w:pPr>
    <w:rPr>
      <w:lang w:eastAsia="pt-BR"/>
    </w:rPr>
  </w:style>
  <w:style w:type="paragraph" w:styleId="ndice2">
    <w:name w:val="toc 2"/>
    <w:basedOn w:val="Normal"/>
    <w:next w:val="Normal"/>
    <w:autoRedefine/>
    <w:uiPriority w:val="39"/>
    <w:unhideWhenUsed/>
    <w:rsid w:val="00423028"/>
    <w:pPr>
      <w:tabs>
        <w:tab w:val="left" w:pos="426"/>
        <w:tab w:val="right" w:leader="dot" w:pos="9923"/>
        <w:tab w:val="right" w:leader="dot" w:pos="10194"/>
      </w:tabs>
      <w:spacing w:after="100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ROPabcTOPICO">
    <w:name w:val="ROP abc TOPICO"/>
    <w:next w:val="Normal"/>
    <w:link w:val="ROPabcTOPICOChar"/>
    <w:autoRedefine/>
    <w:qFormat/>
    <w:rsid w:val="00423028"/>
    <w:pPr>
      <w:numPr>
        <w:numId w:val="67"/>
      </w:numPr>
      <w:tabs>
        <w:tab w:val="left" w:pos="198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PabcTOPICOChar">
    <w:name w:val="ROP abc TOPICO Char"/>
    <w:basedOn w:val="Tipodeletrapredefinidodopargrafo"/>
    <w:link w:val="ROPabcTOPICO"/>
    <w:rsid w:val="004230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31">
    <w:name w:val="Corpo de texto 31"/>
    <w:basedOn w:val="Normal"/>
    <w:uiPriority w:val="99"/>
    <w:rsid w:val="00423028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Textoembloco1">
    <w:name w:val="Texto em bloco1"/>
    <w:basedOn w:val="Normal"/>
    <w:uiPriority w:val="99"/>
    <w:rsid w:val="00423028"/>
    <w:pPr>
      <w:suppressAutoHyphens/>
      <w:autoSpaceDE w:val="0"/>
      <w:ind w:left="142" w:right="113" w:firstLine="1276"/>
      <w:jc w:val="both"/>
    </w:pPr>
    <w:rPr>
      <w:rFonts w:ascii="Arial" w:hAnsi="Arial" w:cs="Arial"/>
      <w:sz w:val="22"/>
      <w:szCs w:val="22"/>
      <w:lang w:eastAsia="ar-SA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423028"/>
    <w:pPr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423028"/>
    <w:rPr>
      <w:rFonts w:ascii="Times New Roman" w:hAnsi="Times New Roman"/>
      <w:sz w:val="24"/>
    </w:rPr>
  </w:style>
  <w:style w:type="character" w:styleId="nfase">
    <w:name w:val="Emphasis"/>
    <w:basedOn w:val="Tipodeletrapredefinidodopargrafo"/>
    <w:uiPriority w:val="20"/>
    <w:qFormat/>
    <w:rsid w:val="00423028"/>
    <w:rPr>
      <w:i/>
      <w:iCs/>
    </w:rPr>
  </w:style>
  <w:style w:type="character" w:customStyle="1" w:styleId="apple-converted-space">
    <w:name w:val="apple-converted-space"/>
    <w:basedOn w:val="Tipodeletrapredefinidodopargrafo"/>
    <w:rsid w:val="00423028"/>
  </w:style>
  <w:style w:type="character" w:customStyle="1" w:styleId="x">
    <w:name w:val="x"/>
    <w:basedOn w:val="Tipodeletrapredefinidodopargrafo"/>
    <w:rsid w:val="00423028"/>
  </w:style>
  <w:style w:type="character" w:customStyle="1" w:styleId="x-h">
    <w:name w:val="x-h"/>
    <w:basedOn w:val="Tipodeletrapredefinidodopargrafo"/>
    <w:rsid w:val="00423028"/>
  </w:style>
  <w:style w:type="character" w:customStyle="1" w:styleId="hgkelc">
    <w:name w:val="hgkelc"/>
    <w:basedOn w:val="Tipodeletrapredefinidodopargrafo"/>
    <w:rsid w:val="00423028"/>
  </w:style>
  <w:style w:type="character" w:styleId="Hiperligaovisitada">
    <w:name w:val="FollowedHyperlink"/>
    <w:basedOn w:val="Tipodeletrapredefinidodopargrafo"/>
    <w:uiPriority w:val="99"/>
    <w:semiHidden/>
    <w:unhideWhenUsed/>
    <w:rsid w:val="00423028"/>
    <w:rPr>
      <w:color w:val="954F72" w:themeColor="followedHyperlink"/>
      <w:u w:val="single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2158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Recuodecorpodetexto21">
    <w:name w:val="Recuo de corpo de texto 21"/>
    <w:basedOn w:val="Normal"/>
    <w:rsid w:val="00B21587"/>
    <w:pPr>
      <w:suppressAutoHyphens/>
      <w:autoSpaceDE w:val="0"/>
      <w:ind w:firstLine="1134"/>
    </w:pPr>
    <w:rPr>
      <w:sz w:val="24"/>
      <w:szCs w:val="24"/>
      <w:lang w:eastAsia="zh-CN"/>
    </w:rPr>
  </w:style>
  <w:style w:type="paragraph" w:customStyle="1" w:styleId="MMTopic1">
    <w:name w:val="MM Topic 1"/>
    <w:basedOn w:val="Cabealho1"/>
    <w:link w:val="MMTopic1Char"/>
    <w:uiPriority w:val="99"/>
    <w:qFormat/>
    <w:rsid w:val="00B21587"/>
    <w:pPr>
      <w:numPr>
        <w:numId w:val="113"/>
      </w:numPr>
      <w:spacing w:before="240" w:line="259" w:lineRule="auto"/>
    </w:pPr>
    <w:rPr>
      <w:rFonts w:ascii="Calibri Light" w:eastAsia="Times New Roman" w:hAnsi="Calibri Light" w:cs="Times New Roman"/>
      <w:b w:val="0"/>
      <w:bCs w:val="0"/>
      <w:color w:val="2E74B5"/>
      <w:sz w:val="32"/>
      <w:szCs w:val="20"/>
      <w:lang w:val="en-US"/>
    </w:rPr>
  </w:style>
  <w:style w:type="character" w:customStyle="1" w:styleId="MMTopic1Char">
    <w:name w:val="MM Topic 1 Char"/>
    <w:link w:val="MMTopic1"/>
    <w:uiPriority w:val="99"/>
    <w:qFormat/>
    <w:locked/>
    <w:rsid w:val="00B21587"/>
    <w:rPr>
      <w:rFonts w:ascii="Calibri Light" w:eastAsia="Times New Roman" w:hAnsi="Calibri Light" w:cs="Times New Roman"/>
      <w:color w:val="2E74B5"/>
      <w:sz w:val="32"/>
      <w:szCs w:val="20"/>
      <w:lang w:val="en-US"/>
    </w:rPr>
  </w:style>
  <w:style w:type="paragraph" w:customStyle="1" w:styleId="MMTopic2">
    <w:name w:val="MM Topic 2"/>
    <w:basedOn w:val="Cabealho2"/>
    <w:uiPriority w:val="99"/>
    <w:rsid w:val="00B21587"/>
    <w:pPr>
      <w:numPr>
        <w:ilvl w:val="1"/>
        <w:numId w:val="113"/>
      </w:numPr>
      <w:tabs>
        <w:tab w:val="num" w:pos="360"/>
      </w:tabs>
      <w:spacing w:before="40" w:line="259" w:lineRule="auto"/>
    </w:pPr>
    <w:rPr>
      <w:rFonts w:ascii="Calibri Light" w:eastAsia="Times New Roman" w:hAnsi="Calibri Light" w:cs="Times New Roman"/>
      <w:b w:val="0"/>
      <w:bCs w:val="0"/>
      <w:color w:val="2E74B5"/>
      <w:szCs w:val="20"/>
      <w:lang w:val="en-US"/>
    </w:rPr>
  </w:style>
  <w:style w:type="paragraph" w:customStyle="1" w:styleId="MMTopic3">
    <w:name w:val="MM Topic 3"/>
    <w:basedOn w:val="Cabealho3"/>
    <w:link w:val="MMTopic3Char"/>
    <w:rsid w:val="00B21587"/>
    <w:pPr>
      <w:numPr>
        <w:ilvl w:val="2"/>
        <w:numId w:val="113"/>
      </w:numPr>
      <w:spacing w:before="40" w:line="259" w:lineRule="auto"/>
    </w:pPr>
    <w:rPr>
      <w:rFonts w:ascii="Calibri Light" w:eastAsia="Times New Roman" w:hAnsi="Calibri Light" w:cs="Times New Roman"/>
      <w:b w:val="0"/>
      <w:bCs w:val="0"/>
      <w:color w:val="1F4D78"/>
      <w:szCs w:val="20"/>
    </w:rPr>
  </w:style>
  <w:style w:type="character" w:customStyle="1" w:styleId="MMTopic3Char">
    <w:name w:val="MM Topic 3 Char"/>
    <w:link w:val="MMTopic3"/>
    <w:locked/>
    <w:rsid w:val="00B21587"/>
    <w:rPr>
      <w:rFonts w:ascii="Calibri Light" w:eastAsia="Times New Roman" w:hAnsi="Calibri Light" w:cs="Times New Roman"/>
      <w:color w:val="1F4D78"/>
      <w:sz w:val="24"/>
      <w:szCs w:val="20"/>
    </w:rPr>
  </w:style>
  <w:style w:type="paragraph" w:customStyle="1" w:styleId="MMTopic5">
    <w:name w:val="MM Topic 5"/>
    <w:basedOn w:val="Cabealho5"/>
    <w:link w:val="MMTopic5Char"/>
    <w:rsid w:val="00B21587"/>
    <w:pPr>
      <w:spacing w:line="259" w:lineRule="auto"/>
    </w:pPr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MMTopic5Char">
    <w:name w:val="MM Topic 5 Char"/>
    <w:link w:val="MMTopic5"/>
    <w:locked/>
    <w:rsid w:val="00B21587"/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DD04C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ndice5">
    <w:name w:val="toc 5"/>
    <w:basedOn w:val="Normal"/>
    <w:next w:val="Normal"/>
    <w:autoRedefine/>
    <w:uiPriority w:val="39"/>
    <w:unhideWhenUsed/>
    <w:rsid w:val="00DD04C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ndice6">
    <w:name w:val="toc 6"/>
    <w:basedOn w:val="Normal"/>
    <w:next w:val="Normal"/>
    <w:autoRedefine/>
    <w:uiPriority w:val="39"/>
    <w:unhideWhenUsed/>
    <w:rsid w:val="00DD04C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ndice7">
    <w:name w:val="toc 7"/>
    <w:basedOn w:val="Normal"/>
    <w:next w:val="Normal"/>
    <w:autoRedefine/>
    <w:uiPriority w:val="39"/>
    <w:unhideWhenUsed/>
    <w:rsid w:val="00DD04C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ndice8">
    <w:name w:val="toc 8"/>
    <w:basedOn w:val="Normal"/>
    <w:next w:val="Normal"/>
    <w:autoRedefine/>
    <w:uiPriority w:val="39"/>
    <w:unhideWhenUsed/>
    <w:rsid w:val="00DD04C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ndice9">
    <w:name w:val="toc 9"/>
    <w:basedOn w:val="Normal"/>
    <w:next w:val="Normal"/>
    <w:autoRedefine/>
    <w:uiPriority w:val="39"/>
    <w:unhideWhenUsed/>
    <w:rsid w:val="00DD04C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6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988A5C-03D4-4ED6-80D9-59816CA24FAC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A6CA138D-631D-45EF-B108-0C10AB761E04}">
      <dgm:prSet phldrT="[Texto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pt-BR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1º Subprocesso</a:t>
          </a:r>
        </a:p>
      </dgm:t>
    </dgm:pt>
    <dgm:pt modelId="{E7CD19BD-3BD2-4E2D-B99D-8586452F3CBB}" type="parTrans" cxnId="{A15A5C28-CF85-4812-94B6-EF9B20A4FF67}">
      <dgm:prSet/>
      <dgm:spPr/>
      <dgm:t>
        <a:bodyPr/>
        <a:lstStyle/>
        <a:p>
          <a:pPr algn="ctr"/>
          <a:endParaRPr lang="pt-BR"/>
        </a:p>
      </dgm:t>
    </dgm:pt>
    <dgm:pt modelId="{D9CA6C2C-8D85-48CA-A241-207A65BD9BB8}" type="sibTrans" cxnId="{A15A5C28-CF85-4812-94B6-EF9B20A4FF67}">
      <dgm:prSet/>
      <dgm:spPr/>
      <dgm:t>
        <a:bodyPr/>
        <a:lstStyle/>
        <a:p>
          <a:pPr algn="ctr"/>
          <a:endParaRPr lang="pt-BR"/>
        </a:p>
      </dgm:t>
    </dgm:pt>
    <dgm:pt modelId="{DA72295E-99F5-48D9-B15A-DCBF85C0F3CC}">
      <dgm:prSet phldrT="[Tex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t-BR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2º Subprocesso</a:t>
          </a:r>
        </a:p>
      </dgm:t>
    </dgm:pt>
    <dgm:pt modelId="{D289C05F-5BD7-4B2C-ABD0-74BBF4F9ABDF}" type="parTrans" cxnId="{48188AA9-F87D-4B6F-BD6D-5251D82FE524}">
      <dgm:prSet/>
      <dgm:spPr/>
      <dgm:t>
        <a:bodyPr/>
        <a:lstStyle/>
        <a:p>
          <a:pPr algn="ctr"/>
          <a:endParaRPr lang="pt-BR"/>
        </a:p>
      </dgm:t>
    </dgm:pt>
    <dgm:pt modelId="{92E163A6-AFD9-4690-83D8-DD2F42A89987}" type="sibTrans" cxnId="{48188AA9-F87D-4B6F-BD6D-5251D82FE524}">
      <dgm:prSet/>
      <dgm:spPr/>
      <dgm:t>
        <a:bodyPr/>
        <a:lstStyle/>
        <a:p>
          <a:pPr algn="ctr"/>
          <a:endParaRPr lang="pt-BR"/>
        </a:p>
      </dgm:t>
    </dgm:pt>
    <dgm:pt modelId="{5F0BEB94-077C-49C7-BD90-47BABD120CE0}">
      <dgm:prSet phldrT="[Texto]"/>
      <dgm:spPr>
        <a:solidFill>
          <a:schemeClr val="bg1">
            <a:lumMod val="8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t-BR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3º Subprocesso</a:t>
          </a:r>
        </a:p>
      </dgm:t>
    </dgm:pt>
    <dgm:pt modelId="{3A0A2C17-1A8E-4277-8E92-3EF2F227DD00}" type="parTrans" cxnId="{1C771E57-7435-4EFC-9D9E-113BBFDC71D7}">
      <dgm:prSet/>
      <dgm:spPr/>
      <dgm:t>
        <a:bodyPr/>
        <a:lstStyle/>
        <a:p>
          <a:pPr algn="ctr"/>
          <a:endParaRPr lang="pt-BR"/>
        </a:p>
      </dgm:t>
    </dgm:pt>
    <dgm:pt modelId="{8C7AA050-3129-4517-979A-0B904295C818}" type="sibTrans" cxnId="{1C771E57-7435-4EFC-9D9E-113BBFDC71D7}">
      <dgm:prSet/>
      <dgm:spPr/>
      <dgm:t>
        <a:bodyPr/>
        <a:lstStyle/>
        <a:p>
          <a:pPr algn="ctr"/>
          <a:endParaRPr lang="pt-BR"/>
        </a:p>
      </dgm:t>
    </dgm:pt>
    <dgm:pt modelId="{97E01BCB-92A7-4FF4-85CA-E089FD202854}">
      <dgm:prSet phldrT="[Texto]"/>
      <dgm:spPr>
        <a:solidFill>
          <a:schemeClr val="bg1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t-BR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4º Subprocesso</a:t>
          </a:r>
        </a:p>
      </dgm:t>
    </dgm:pt>
    <dgm:pt modelId="{D1DC2C0F-FC6B-4097-9501-0BF1E1D03F19}" type="parTrans" cxnId="{B3B269FA-34DF-45B4-BB7E-31EA38DEF52F}">
      <dgm:prSet/>
      <dgm:spPr/>
      <dgm:t>
        <a:bodyPr/>
        <a:lstStyle/>
        <a:p>
          <a:pPr algn="ctr"/>
          <a:endParaRPr lang="pt-BR"/>
        </a:p>
      </dgm:t>
    </dgm:pt>
    <dgm:pt modelId="{05EF3644-CFCF-4845-8BC6-AC63123F4AE9}" type="sibTrans" cxnId="{B3B269FA-34DF-45B4-BB7E-31EA38DEF52F}">
      <dgm:prSet/>
      <dgm:spPr/>
      <dgm:t>
        <a:bodyPr/>
        <a:lstStyle/>
        <a:p>
          <a:pPr algn="ctr"/>
          <a:endParaRPr lang="pt-BR"/>
        </a:p>
      </dgm:t>
    </dgm:pt>
    <dgm:pt modelId="{E81B5ED6-1EC1-4B2C-B172-8880C6AD120D}">
      <dgm:prSet phldrT="[Texto]"/>
      <dgm:spPr>
        <a:solidFill>
          <a:schemeClr val="bg1">
            <a:lumMod val="6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t-BR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5º Subprocesso</a:t>
          </a:r>
        </a:p>
      </dgm:t>
    </dgm:pt>
    <dgm:pt modelId="{D728EA87-4463-4B69-82EB-B551A246783A}" type="parTrans" cxnId="{309201D6-C177-41DB-8BFD-F7AB7D665FC3}">
      <dgm:prSet/>
      <dgm:spPr/>
      <dgm:t>
        <a:bodyPr/>
        <a:lstStyle/>
        <a:p>
          <a:pPr algn="ctr"/>
          <a:endParaRPr lang="pt-BR"/>
        </a:p>
      </dgm:t>
    </dgm:pt>
    <dgm:pt modelId="{2376B809-09DC-44BD-8217-869C32E18FC6}" type="sibTrans" cxnId="{309201D6-C177-41DB-8BFD-F7AB7D665FC3}">
      <dgm:prSet/>
      <dgm:spPr/>
      <dgm:t>
        <a:bodyPr/>
        <a:lstStyle/>
        <a:p>
          <a:pPr algn="ctr"/>
          <a:endParaRPr lang="pt-BR"/>
        </a:p>
      </dgm:t>
    </dgm:pt>
    <dgm:pt modelId="{BD893DCC-DE23-4445-B14C-44DA15B39F71}">
      <dgm:prSet phldrT="[Texto]"/>
      <dgm:spPr/>
      <dgm:t>
        <a:bodyPr/>
        <a:lstStyle/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Concepção e Categorização</a:t>
          </a:r>
        </a:p>
      </dgm:t>
    </dgm:pt>
    <dgm:pt modelId="{4112707D-D4C5-4E86-AD5D-F9614C826332}" type="parTrans" cxnId="{CD3B96CD-7AEB-456F-8FF7-A578E2EA00AB}">
      <dgm:prSet/>
      <dgm:spPr/>
      <dgm:t>
        <a:bodyPr/>
        <a:lstStyle/>
        <a:p>
          <a:pPr algn="ctr"/>
          <a:endParaRPr lang="pt-BR"/>
        </a:p>
      </dgm:t>
    </dgm:pt>
    <dgm:pt modelId="{71BDC58C-1827-405E-8A78-EA928F6D1D67}" type="sibTrans" cxnId="{CD3B96CD-7AEB-456F-8FF7-A578E2EA00AB}">
      <dgm:prSet/>
      <dgm:spPr/>
      <dgm:t>
        <a:bodyPr/>
        <a:lstStyle/>
        <a:p>
          <a:pPr algn="ctr"/>
          <a:endParaRPr lang="pt-BR"/>
        </a:p>
      </dgm:t>
    </dgm:pt>
    <dgm:pt modelId="{6759A649-4DA3-4357-B96B-23DD9A57AB0B}">
      <dgm:prSet phldrT="[Texto]"/>
      <dgm:spPr/>
      <dgm:t>
        <a:bodyPr/>
        <a:lstStyle/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Viabilidade da Obtenção Conjunta</a:t>
          </a:r>
        </a:p>
      </dgm:t>
    </dgm:pt>
    <dgm:pt modelId="{73B051CE-89AA-40A2-B516-E78D8CE42151}" type="parTrans" cxnId="{8384B151-8548-434F-A0AA-D1F4E2F81CB8}">
      <dgm:prSet/>
      <dgm:spPr/>
      <dgm:t>
        <a:bodyPr/>
        <a:lstStyle/>
        <a:p>
          <a:pPr algn="ctr"/>
          <a:endParaRPr lang="pt-BR"/>
        </a:p>
      </dgm:t>
    </dgm:pt>
    <dgm:pt modelId="{037F86D5-C88C-4FAB-B8AD-80C969967FDE}" type="sibTrans" cxnId="{8384B151-8548-434F-A0AA-D1F4E2F81CB8}">
      <dgm:prSet/>
      <dgm:spPr/>
      <dgm:t>
        <a:bodyPr/>
        <a:lstStyle/>
        <a:p>
          <a:pPr algn="ctr"/>
          <a:endParaRPr lang="pt-BR"/>
        </a:p>
      </dgm:t>
    </dgm:pt>
    <dgm:pt modelId="{E7AA75A3-91A0-40F6-A96B-1C85C04BD5C9}">
      <dgm:prSet phldrT="[Texto]"/>
      <dgm:spPr/>
      <dgm:t>
        <a:bodyPr/>
        <a:lstStyle/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Ratificação do ROC</a:t>
          </a:r>
        </a:p>
      </dgm:t>
    </dgm:pt>
    <dgm:pt modelId="{FCB53E19-BD0C-473B-81B4-ECE388D1A19F}" type="parTrans" cxnId="{DC3940AD-FECD-4398-B0E0-A172465E1713}">
      <dgm:prSet/>
      <dgm:spPr/>
      <dgm:t>
        <a:bodyPr/>
        <a:lstStyle/>
        <a:p>
          <a:pPr algn="ctr"/>
          <a:endParaRPr lang="pt-BR"/>
        </a:p>
      </dgm:t>
    </dgm:pt>
    <dgm:pt modelId="{E4D4CA0E-D315-4B6A-9173-B425F2859CB5}" type="sibTrans" cxnId="{DC3940AD-FECD-4398-B0E0-A172465E1713}">
      <dgm:prSet/>
      <dgm:spPr/>
      <dgm:t>
        <a:bodyPr/>
        <a:lstStyle/>
        <a:p>
          <a:pPr algn="ctr"/>
          <a:endParaRPr lang="pt-BR"/>
        </a:p>
      </dgm:t>
    </dgm:pt>
    <dgm:pt modelId="{2C39668B-A150-4296-ADF7-E654CA6D010C}">
      <dgm:prSet phldrT="[Texto]"/>
      <dgm:spPr/>
      <dgm:t>
        <a:bodyPr/>
        <a:lstStyle/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Ratificação da Obtenção Conjunta</a:t>
          </a:r>
        </a:p>
      </dgm:t>
    </dgm:pt>
    <dgm:pt modelId="{8C8EF49B-C143-4A0B-87B5-62BEC91E5220}" type="parTrans" cxnId="{D176C7A2-8150-4E84-A066-7724EB89E898}">
      <dgm:prSet/>
      <dgm:spPr/>
      <dgm:t>
        <a:bodyPr/>
        <a:lstStyle/>
        <a:p>
          <a:pPr algn="ctr"/>
          <a:endParaRPr lang="pt-BR"/>
        </a:p>
      </dgm:t>
    </dgm:pt>
    <dgm:pt modelId="{C745E7D2-9C3D-44AC-B7A6-24633C0C3550}" type="sibTrans" cxnId="{D176C7A2-8150-4E84-A066-7724EB89E898}">
      <dgm:prSet/>
      <dgm:spPr/>
      <dgm:t>
        <a:bodyPr/>
        <a:lstStyle/>
        <a:p>
          <a:pPr algn="ctr"/>
          <a:endParaRPr lang="pt-BR"/>
        </a:p>
      </dgm:t>
    </dgm:pt>
    <dgm:pt modelId="{689015C4-BE1A-4807-A2B7-24EAE474393B}">
      <dgm:prSet phldrT="[Texto]"/>
      <dgm:spPr/>
      <dgm:t>
        <a:bodyPr/>
        <a:lstStyle/>
        <a:p>
          <a:pPr algn="ctr"/>
          <a:r>
            <a:rPr lang="pt-BR">
              <a:latin typeface="Times New Roman" panose="02020603050405020304" pitchFamily="18" charset="0"/>
              <a:cs typeface="Times New Roman" panose="02020603050405020304" pitchFamily="18" charset="0"/>
            </a:rPr>
            <a:t>Instrução de Obtenção</a:t>
          </a:r>
        </a:p>
      </dgm:t>
    </dgm:pt>
    <dgm:pt modelId="{AEF78A15-AD54-4DDE-8B0C-3F92ED371951}" type="parTrans" cxnId="{29EFB3BE-AD29-4E50-AECF-EE1C7FC35A4C}">
      <dgm:prSet/>
      <dgm:spPr/>
      <dgm:t>
        <a:bodyPr/>
        <a:lstStyle/>
        <a:p>
          <a:pPr algn="ctr"/>
          <a:endParaRPr lang="pt-BR"/>
        </a:p>
      </dgm:t>
    </dgm:pt>
    <dgm:pt modelId="{62EEC0E9-B13E-4777-B9C8-A1761026966E}" type="sibTrans" cxnId="{29EFB3BE-AD29-4E50-AECF-EE1C7FC35A4C}">
      <dgm:prSet/>
      <dgm:spPr/>
      <dgm:t>
        <a:bodyPr/>
        <a:lstStyle/>
        <a:p>
          <a:pPr algn="ctr"/>
          <a:endParaRPr lang="pt-BR"/>
        </a:p>
      </dgm:t>
    </dgm:pt>
    <dgm:pt modelId="{9EA91473-31BD-4FD3-B640-CA73538B9A19}" type="pres">
      <dgm:prSet presAssocID="{F6988A5C-03D4-4ED6-80D9-59816CA24FAC}" presName="Name0" presStyleCnt="0">
        <dgm:presLayoutVars>
          <dgm:dir/>
          <dgm:animLvl val="lvl"/>
          <dgm:resizeHandles val="exact"/>
        </dgm:presLayoutVars>
      </dgm:prSet>
      <dgm:spPr/>
    </dgm:pt>
    <dgm:pt modelId="{414B0704-FF31-4F83-B46E-AC98DC69C1C5}" type="pres">
      <dgm:prSet presAssocID="{A6CA138D-631D-45EF-B108-0C10AB761E04}" presName="composite" presStyleCnt="0"/>
      <dgm:spPr/>
    </dgm:pt>
    <dgm:pt modelId="{6B13418D-6410-41E3-94F2-11147E1948EB}" type="pres">
      <dgm:prSet presAssocID="{A6CA138D-631D-45EF-B108-0C10AB761E04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EB71036-A8D5-4013-9123-1D47AB9179A5}" type="pres">
      <dgm:prSet presAssocID="{A6CA138D-631D-45EF-B108-0C10AB761E04}" presName="desTx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3A935B9-4623-45FF-B2D4-F660815392A9}" type="pres">
      <dgm:prSet presAssocID="{D9CA6C2C-8D85-48CA-A241-207A65BD9BB8}" presName="space" presStyleCnt="0"/>
      <dgm:spPr/>
    </dgm:pt>
    <dgm:pt modelId="{DA60FCD3-DFE9-495A-B5C2-B623BE609D92}" type="pres">
      <dgm:prSet presAssocID="{DA72295E-99F5-48D9-B15A-DCBF85C0F3CC}" presName="composite" presStyleCnt="0"/>
      <dgm:spPr/>
    </dgm:pt>
    <dgm:pt modelId="{A9B06FC4-A8A5-4593-AD5D-ADD536FF7713}" type="pres">
      <dgm:prSet presAssocID="{DA72295E-99F5-48D9-B15A-DCBF85C0F3CC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AF62EFE-7D66-4C61-B3D1-6B27F3034515}" type="pres">
      <dgm:prSet presAssocID="{DA72295E-99F5-48D9-B15A-DCBF85C0F3CC}" presName="desTx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6C75DAA-E393-40E9-8500-0F542FA1648C}" type="pres">
      <dgm:prSet presAssocID="{92E163A6-AFD9-4690-83D8-DD2F42A89987}" presName="space" presStyleCnt="0"/>
      <dgm:spPr/>
    </dgm:pt>
    <dgm:pt modelId="{C174E8B7-1D87-46F1-B799-A4F7E7DACD82}" type="pres">
      <dgm:prSet presAssocID="{5F0BEB94-077C-49C7-BD90-47BABD120CE0}" presName="composite" presStyleCnt="0"/>
      <dgm:spPr/>
    </dgm:pt>
    <dgm:pt modelId="{81586801-F08E-48ED-8767-CF31CBDA80EE}" type="pres">
      <dgm:prSet presAssocID="{5F0BEB94-077C-49C7-BD90-47BABD120CE0}" presName="par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39E4F08-4313-456F-9678-A529A2E58D10}" type="pres">
      <dgm:prSet presAssocID="{5F0BEB94-077C-49C7-BD90-47BABD120CE0}" presName="desTx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B93DAFB-28F4-4AE2-A887-5CC85A9AA28D}" type="pres">
      <dgm:prSet presAssocID="{8C7AA050-3129-4517-979A-0B904295C818}" presName="space" presStyleCnt="0"/>
      <dgm:spPr/>
    </dgm:pt>
    <dgm:pt modelId="{5339BC8C-E2FB-4C8C-A4DF-CA185B63B529}" type="pres">
      <dgm:prSet presAssocID="{97E01BCB-92A7-4FF4-85CA-E089FD202854}" presName="composite" presStyleCnt="0"/>
      <dgm:spPr/>
    </dgm:pt>
    <dgm:pt modelId="{4E45833C-3B11-4DA5-8831-7A3E227D0462}" type="pres">
      <dgm:prSet presAssocID="{97E01BCB-92A7-4FF4-85CA-E089FD202854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1104595-58D6-4D50-B7B3-7B9FB33536C7}" type="pres">
      <dgm:prSet presAssocID="{97E01BCB-92A7-4FF4-85CA-E089FD202854}" presName="desTx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F748025-AFAE-41C9-B9FE-5FB1F72723EA}" type="pres">
      <dgm:prSet presAssocID="{05EF3644-CFCF-4845-8BC6-AC63123F4AE9}" presName="space" presStyleCnt="0"/>
      <dgm:spPr/>
    </dgm:pt>
    <dgm:pt modelId="{61493462-ADEF-4422-AEAD-3E2F44B6D4C3}" type="pres">
      <dgm:prSet presAssocID="{E81B5ED6-1EC1-4B2C-B172-8880C6AD120D}" presName="composite" presStyleCnt="0"/>
      <dgm:spPr/>
    </dgm:pt>
    <dgm:pt modelId="{6BFB8092-834C-4A6F-8A5A-FD2ABA6C0EB9}" type="pres">
      <dgm:prSet presAssocID="{E81B5ED6-1EC1-4B2C-B172-8880C6AD120D}" presName="parTx" presStyleLbl="node1" presStyleIdx="4" presStyleCnt="5" custLinFactNeighborX="-163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1DF2B31-3869-490C-B940-1E387A2ACE68}" type="pres">
      <dgm:prSet presAssocID="{E81B5ED6-1EC1-4B2C-B172-8880C6AD120D}" presName="desTx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131ADEB1-11C2-4D9A-9E3E-00CD75FE93BF}" type="presOf" srcId="{6759A649-4DA3-4357-B96B-23DD9A57AB0B}" destId="{0AF62EFE-7D66-4C61-B3D1-6B27F3034515}" srcOrd="0" destOrd="0" presId="urn:microsoft.com/office/officeart/2005/8/layout/chevron1"/>
    <dgm:cxn modelId="{B1EF1143-BD09-4200-B014-05F0E7EE2E15}" type="presOf" srcId="{F6988A5C-03D4-4ED6-80D9-59816CA24FAC}" destId="{9EA91473-31BD-4FD3-B640-CA73538B9A19}" srcOrd="0" destOrd="0" presId="urn:microsoft.com/office/officeart/2005/8/layout/chevron1"/>
    <dgm:cxn modelId="{48188AA9-F87D-4B6F-BD6D-5251D82FE524}" srcId="{F6988A5C-03D4-4ED6-80D9-59816CA24FAC}" destId="{DA72295E-99F5-48D9-B15A-DCBF85C0F3CC}" srcOrd="1" destOrd="0" parTransId="{D289C05F-5BD7-4B2C-ABD0-74BBF4F9ABDF}" sibTransId="{92E163A6-AFD9-4690-83D8-DD2F42A89987}"/>
    <dgm:cxn modelId="{A15A5C28-CF85-4812-94B6-EF9B20A4FF67}" srcId="{F6988A5C-03D4-4ED6-80D9-59816CA24FAC}" destId="{A6CA138D-631D-45EF-B108-0C10AB761E04}" srcOrd="0" destOrd="0" parTransId="{E7CD19BD-3BD2-4E2D-B99D-8586452F3CBB}" sibTransId="{D9CA6C2C-8D85-48CA-A241-207A65BD9BB8}"/>
    <dgm:cxn modelId="{D7C3E1FA-D92E-404C-9BF3-6AF08A3D969C}" type="presOf" srcId="{5F0BEB94-077C-49C7-BD90-47BABD120CE0}" destId="{81586801-F08E-48ED-8767-CF31CBDA80EE}" srcOrd="0" destOrd="0" presId="urn:microsoft.com/office/officeart/2005/8/layout/chevron1"/>
    <dgm:cxn modelId="{1C771E57-7435-4EFC-9D9E-113BBFDC71D7}" srcId="{F6988A5C-03D4-4ED6-80D9-59816CA24FAC}" destId="{5F0BEB94-077C-49C7-BD90-47BABD120CE0}" srcOrd="2" destOrd="0" parTransId="{3A0A2C17-1A8E-4277-8E92-3EF2F227DD00}" sibTransId="{8C7AA050-3129-4517-979A-0B904295C818}"/>
    <dgm:cxn modelId="{8384B151-8548-434F-A0AA-D1F4E2F81CB8}" srcId="{DA72295E-99F5-48D9-B15A-DCBF85C0F3CC}" destId="{6759A649-4DA3-4357-B96B-23DD9A57AB0B}" srcOrd="0" destOrd="0" parTransId="{73B051CE-89AA-40A2-B516-E78D8CE42151}" sibTransId="{037F86D5-C88C-4FAB-B8AD-80C969967FDE}"/>
    <dgm:cxn modelId="{256CBCDC-B657-4B59-B10D-6E8605BBECE2}" type="presOf" srcId="{E81B5ED6-1EC1-4B2C-B172-8880C6AD120D}" destId="{6BFB8092-834C-4A6F-8A5A-FD2ABA6C0EB9}" srcOrd="0" destOrd="0" presId="urn:microsoft.com/office/officeart/2005/8/layout/chevron1"/>
    <dgm:cxn modelId="{D8A74921-3BB9-406F-8346-85C90F76DC3E}" type="presOf" srcId="{689015C4-BE1A-4807-A2B7-24EAE474393B}" destId="{51DF2B31-3869-490C-B940-1E387A2ACE68}" srcOrd="0" destOrd="0" presId="urn:microsoft.com/office/officeart/2005/8/layout/chevron1"/>
    <dgm:cxn modelId="{DC3940AD-FECD-4398-B0E0-A172465E1713}" srcId="{5F0BEB94-077C-49C7-BD90-47BABD120CE0}" destId="{E7AA75A3-91A0-40F6-A96B-1C85C04BD5C9}" srcOrd="0" destOrd="0" parTransId="{FCB53E19-BD0C-473B-81B4-ECE388D1A19F}" sibTransId="{E4D4CA0E-D315-4B6A-9173-B425F2859CB5}"/>
    <dgm:cxn modelId="{8BA7B31D-A352-4B45-AC58-B26CCEAD7608}" type="presOf" srcId="{A6CA138D-631D-45EF-B108-0C10AB761E04}" destId="{6B13418D-6410-41E3-94F2-11147E1948EB}" srcOrd="0" destOrd="0" presId="urn:microsoft.com/office/officeart/2005/8/layout/chevron1"/>
    <dgm:cxn modelId="{FBAC0DE1-64B4-4701-8FC4-590AB1AF921A}" type="presOf" srcId="{DA72295E-99F5-48D9-B15A-DCBF85C0F3CC}" destId="{A9B06FC4-A8A5-4593-AD5D-ADD536FF7713}" srcOrd="0" destOrd="0" presId="urn:microsoft.com/office/officeart/2005/8/layout/chevron1"/>
    <dgm:cxn modelId="{29EFB3BE-AD29-4E50-AECF-EE1C7FC35A4C}" srcId="{E81B5ED6-1EC1-4B2C-B172-8880C6AD120D}" destId="{689015C4-BE1A-4807-A2B7-24EAE474393B}" srcOrd="0" destOrd="0" parTransId="{AEF78A15-AD54-4DDE-8B0C-3F92ED371951}" sibTransId="{62EEC0E9-B13E-4777-B9C8-A1761026966E}"/>
    <dgm:cxn modelId="{055E5467-2790-42D1-BA94-CFA8D5A6CF72}" type="presOf" srcId="{E7AA75A3-91A0-40F6-A96B-1C85C04BD5C9}" destId="{E39E4F08-4313-456F-9678-A529A2E58D10}" srcOrd="0" destOrd="0" presId="urn:microsoft.com/office/officeart/2005/8/layout/chevron1"/>
    <dgm:cxn modelId="{F3509E90-8648-4752-914E-52E3F938F28A}" type="presOf" srcId="{97E01BCB-92A7-4FF4-85CA-E089FD202854}" destId="{4E45833C-3B11-4DA5-8831-7A3E227D0462}" srcOrd="0" destOrd="0" presId="urn:microsoft.com/office/officeart/2005/8/layout/chevron1"/>
    <dgm:cxn modelId="{309201D6-C177-41DB-8BFD-F7AB7D665FC3}" srcId="{F6988A5C-03D4-4ED6-80D9-59816CA24FAC}" destId="{E81B5ED6-1EC1-4B2C-B172-8880C6AD120D}" srcOrd="4" destOrd="0" parTransId="{D728EA87-4463-4B69-82EB-B551A246783A}" sibTransId="{2376B809-09DC-44BD-8217-869C32E18FC6}"/>
    <dgm:cxn modelId="{B3B269FA-34DF-45B4-BB7E-31EA38DEF52F}" srcId="{F6988A5C-03D4-4ED6-80D9-59816CA24FAC}" destId="{97E01BCB-92A7-4FF4-85CA-E089FD202854}" srcOrd="3" destOrd="0" parTransId="{D1DC2C0F-FC6B-4097-9501-0BF1E1D03F19}" sibTransId="{05EF3644-CFCF-4845-8BC6-AC63123F4AE9}"/>
    <dgm:cxn modelId="{CD3B96CD-7AEB-456F-8FF7-A578E2EA00AB}" srcId="{A6CA138D-631D-45EF-B108-0C10AB761E04}" destId="{BD893DCC-DE23-4445-B14C-44DA15B39F71}" srcOrd="0" destOrd="0" parTransId="{4112707D-D4C5-4E86-AD5D-F9614C826332}" sibTransId="{71BDC58C-1827-405E-8A78-EA928F6D1D67}"/>
    <dgm:cxn modelId="{D176C7A2-8150-4E84-A066-7724EB89E898}" srcId="{97E01BCB-92A7-4FF4-85CA-E089FD202854}" destId="{2C39668B-A150-4296-ADF7-E654CA6D010C}" srcOrd="0" destOrd="0" parTransId="{8C8EF49B-C143-4A0B-87B5-62BEC91E5220}" sibTransId="{C745E7D2-9C3D-44AC-B7A6-24633C0C3550}"/>
    <dgm:cxn modelId="{7177C34B-BBC1-4847-93F1-4A90CB25BFB1}" type="presOf" srcId="{BD893DCC-DE23-4445-B14C-44DA15B39F71}" destId="{CEB71036-A8D5-4013-9123-1D47AB9179A5}" srcOrd="0" destOrd="0" presId="urn:microsoft.com/office/officeart/2005/8/layout/chevron1"/>
    <dgm:cxn modelId="{80B4E725-D986-488D-A4E1-FFDE44CFA06A}" type="presOf" srcId="{2C39668B-A150-4296-ADF7-E654CA6D010C}" destId="{01104595-58D6-4D50-B7B3-7B9FB33536C7}" srcOrd="0" destOrd="0" presId="urn:microsoft.com/office/officeart/2005/8/layout/chevron1"/>
    <dgm:cxn modelId="{D52ADDA2-37B3-4279-B627-5BE1C5758E4C}" type="presParOf" srcId="{9EA91473-31BD-4FD3-B640-CA73538B9A19}" destId="{414B0704-FF31-4F83-B46E-AC98DC69C1C5}" srcOrd="0" destOrd="0" presId="urn:microsoft.com/office/officeart/2005/8/layout/chevron1"/>
    <dgm:cxn modelId="{8026D9EA-132E-4B4F-BBE8-5EBA05377E54}" type="presParOf" srcId="{414B0704-FF31-4F83-B46E-AC98DC69C1C5}" destId="{6B13418D-6410-41E3-94F2-11147E1948EB}" srcOrd="0" destOrd="0" presId="urn:microsoft.com/office/officeart/2005/8/layout/chevron1"/>
    <dgm:cxn modelId="{47FB73D4-E244-407E-9FE3-8C118BC6E4D2}" type="presParOf" srcId="{414B0704-FF31-4F83-B46E-AC98DC69C1C5}" destId="{CEB71036-A8D5-4013-9123-1D47AB9179A5}" srcOrd="1" destOrd="0" presId="urn:microsoft.com/office/officeart/2005/8/layout/chevron1"/>
    <dgm:cxn modelId="{4EA219A5-1C76-4D61-B3F6-66D4AF9188B7}" type="presParOf" srcId="{9EA91473-31BD-4FD3-B640-CA73538B9A19}" destId="{A3A935B9-4623-45FF-B2D4-F660815392A9}" srcOrd="1" destOrd="0" presId="urn:microsoft.com/office/officeart/2005/8/layout/chevron1"/>
    <dgm:cxn modelId="{F49A9A6F-577E-44AF-AB78-AD71D44DF5FB}" type="presParOf" srcId="{9EA91473-31BD-4FD3-B640-CA73538B9A19}" destId="{DA60FCD3-DFE9-495A-B5C2-B623BE609D92}" srcOrd="2" destOrd="0" presId="urn:microsoft.com/office/officeart/2005/8/layout/chevron1"/>
    <dgm:cxn modelId="{F51DB3EA-01C7-4211-A2F1-ECB4681B318D}" type="presParOf" srcId="{DA60FCD3-DFE9-495A-B5C2-B623BE609D92}" destId="{A9B06FC4-A8A5-4593-AD5D-ADD536FF7713}" srcOrd="0" destOrd="0" presId="urn:microsoft.com/office/officeart/2005/8/layout/chevron1"/>
    <dgm:cxn modelId="{E938FB02-8C64-432B-8B11-14095778375E}" type="presParOf" srcId="{DA60FCD3-DFE9-495A-B5C2-B623BE609D92}" destId="{0AF62EFE-7D66-4C61-B3D1-6B27F3034515}" srcOrd="1" destOrd="0" presId="urn:microsoft.com/office/officeart/2005/8/layout/chevron1"/>
    <dgm:cxn modelId="{AE667225-D971-45F1-9649-950FAD253835}" type="presParOf" srcId="{9EA91473-31BD-4FD3-B640-CA73538B9A19}" destId="{66C75DAA-E393-40E9-8500-0F542FA1648C}" srcOrd="3" destOrd="0" presId="urn:microsoft.com/office/officeart/2005/8/layout/chevron1"/>
    <dgm:cxn modelId="{9375FECC-592B-4DB1-80F9-CC1A403EBFF5}" type="presParOf" srcId="{9EA91473-31BD-4FD3-B640-CA73538B9A19}" destId="{C174E8B7-1D87-46F1-B799-A4F7E7DACD82}" srcOrd="4" destOrd="0" presId="urn:microsoft.com/office/officeart/2005/8/layout/chevron1"/>
    <dgm:cxn modelId="{C3886380-C95B-4A76-8F8A-AF02C126446B}" type="presParOf" srcId="{C174E8B7-1D87-46F1-B799-A4F7E7DACD82}" destId="{81586801-F08E-48ED-8767-CF31CBDA80EE}" srcOrd="0" destOrd="0" presId="urn:microsoft.com/office/officeart/2005/8/layout/chevron1"/>
    <dgm:cxn modelId="{51EC1675-15B1-4931-AA59-96CE16551B5F}" type="presParOf" srcId="{C174E8B7-1D87-46F1-B799-A4F7E7DACD82}" destId="{E39E4F08-4313-456F-9678-A529A2E58D10}" srcOrd="1" destOrd="0" presId="urn:microsoft.com/office/officeart/2005/8/layout/chevron1"/>
    <dgm:cxn modelId="{391B2DCD-9352-4A19-95A8-AB7372733592}" type="presParOf" srcId="{9EA91473-31BD-4FD3-B640-CA73538B9A19}" destId="{2B93DAFB-28F4-4AE2-A887-5CC85A9AA28D}" srcOrd="5" destOrd="0" presId="urn:microsoft.com/office/officeart/2005/8/layout/chevron1"/>
    <dgm:cxn modelId="{1FD93BEF-5D42-4635-9F6F-2A460BAE7AE3}" type="presParOf" srcId="{9EA91473-31BD-4FD3-B640-CA73538B9A19}" destId="{5339BC8C-E2FB-4C8C-A4DF-CA185B63B529}" srcOrd="6" destOrd="0" presId="urn:microsoft.com/office/officeart/2005/8/layout/chevron1"/>
    <dgm:cxn modelId="{EAE9CD4B-35A0-4D82-9948-2A59F59FF3D5}" type="presParOf" srcId="{5339BC8C-E2FB-4C8C-A4DF-CA185B63B529}" destId="{4E45833C-3B11-4DA5-8831-7A3E227D0462}" srcOrd="0" destOrd="0" presId="urn:microsoft.com/office/officeart/2005/8/layout/chevron1"/>
    <dgm:cxn modelId="{AAEBCF9C-1A3E-48B7-8EAF-141C123E9F22}" type="presParOf" srcId="{5339BC8C-E2FB-4C8C-A4DF-CA185B63B529}" destId="{01104595-58D6-4D50-B7B3-7B9FB33536C7}" srcOrd="1" destOrd="0" presId="urn:microsoft.com/office/officeart/2005/8/layout/chevron1"/>
    <dgm:cxn modelId="{FEF397B7-5414-4329-9682-C89F202DA570}" type="presParOf" srcId="{9EA91473-31BD-4FD3-B640-CA73538B9A19}" destId="{DF748025-AFAE-41C9-B9FE-5FB1F72723EA}" srcOrd="7" destOrd="0" presId="urn:microsoft.com/office/officeart/2005/8/layout/chevron1"/>
    <dgm:cxn modelId="{D04C407F-FFA1-422E-ADE2-F4F040C62E47}" type="presParOf" srcId="{9EA91473-31BD-4FD3-B640-CA73538B9A19}" destId="{61493462-ADEF-4422-AEAD-3E2F44B6D4C3}" srcOrd="8" destOrd="0" presId="urn:microsoft.com/office/officeart/2005/8/layout/chevron1"/>
    <dgm:cxn modelId="{0C74FC74-B47F-4FA7-9FA9-C8277B720CCD}" type="presParOf" srcId="{61493462-ADEF-4422-AEAD-3E2F44B6D4C3}" destId="{6BFB8092-834C-4A6F-8A5A-FD2ABA6C0EB9}" srcOrd="0" destOrd="0" presId="urn:microsoft.com/office/officeart/2005/8/layout/chevron1"/>
    <dgm:cxn modelId="{32355831-E8CB-44C1-AC7D-8FF245B8CA24}" type="presParOf" srcId="{61493462-ADEF-4422-AEAD-3E2F44B6D4C3}" destId="{51DF2B31-3869-490C-B940-1E387A2ACE68}" srcOrd="1" destOrd="0" presId="urn:microsoft.com/office/officeart/2005/8/layout/chevron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988A5C-03D4-4ED6-80D9-59816CA24FAC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97E01BCB-92A7-4FF4-85CA-E089FD202854}">
      <dgm:prSet phldrT="[Texto]" custT="1"/>
      <dgm:spPr>
        <a:solidFill>
          <a:schemeClr val="bg1">
            <a:lumMod val="95000"/>
          </a:schemeClr>
        </a:solidFill>
        <a:ln>
          <a:solidFill>
            <a:schemeClr val="tx1"/>
          </a:solidFill>
          <a:prstDash val="sysDot"/>
        </a:ln>
      </dgm:spPr>
      <dgm:t>
        <a:bodyPr/>
        <a:lstStyle/>
        <a:p>
          <a:pPr algn="ctr"/>
          <a:r>
            <a:rPr lang="pt-BR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Subprocesso Especial</a:t>
          </a:r>
        </a:p>
      </dgm:t>
    </dgm:pt>
    <dgm:pt modelId="{D1DC2C0F-FC6B-4097-9501-0BF1E1D03F19}" type="parTrans" cxnId="{B3B269FA-34DF-45B4-BB7E-31EA38DEF52F}">
      <dgm:prSet/>
      <dgm:spPr/>
      <dgm:t>
        <a:bodyPr/>
        <a:lstStyle/>
        <a:p>
          <a:pPr algn="ctr"/>
          <a:endParaRPr lang="pt-BR"/>
        </a:p>
      </dgm:t>
    </dgm:pt>
    <dgm:pt modelId="{05EF3644-CFCF-4845-8BC6-AC63123F4AE9}" type="sibTrans" cxnId="{B3B269FA-34DF-45B4-BB7E-31EA38DEF52F}">
      <dgm:prSet/>
      <dgm:spPr/>
      <dgm:t>
        <a:bodyPr/>
        <a:lstStyle/>
        <a:p>
          <a:pPr algn="ctr"/>
          <a:endParaRPr lang="pt-BR"/>
        </a:p>
      </dgm:t>
    </dgm:pt>
    <dgm:pt modelId="{2C39668B-A150-4296-ADF7-E654CA6D010C}">
      <dgm:prSet phldrT="[Texto]" custT="1"/>
      <dgm:spPr/>
      <dgm:t>
        <a:bodyPr/>
        <a:lstStyle/>
        <a:p>
          <a:pPr algn="ctr"/>
          <a:r>
            <a:rPr lang="pt-BR" sz="1100">
              <a:latin typeface="Times New Roman" panose="02020603050405020304" pitchFamily="18" charset="0"/>
              <a:cs typeface="Times New Roman" panose="02020603050405020304" pitchFamily="18" charset="0"/>
            </a:rPr>
            <a:t>Ratificação da Obtenção Especial</a:t>
          </a:r>
        </a:p>
      </dgm:t>
    </dgm:pt>
    <dgm:pt modelId="{8C8EF49B-C143-4A0B-87B5-62BEC91E5220}" type="parTrans" cxnId="{D176C7A2-8150-4E84-A066-7724EB89E898}">
      <dgm:prSet/>
      <dgm:spPr/>
      <dgm:t>
        <a:bodyPr/>
        <a:lstStyle/>
        <a:p>
          <a:pPr algn="ctr"/>
          <a:endParaRPr lang="pt-BR"/>
        </a:p>
      </dgm:t>
    </dgm:pt>
    <dgm:pt modelId="{C745E7D2-9C3D-44AC-B7A6-24633C0C3550}" type="sibTrans" cxnId="{D176C7A2-8150-4E84-A066-7724EB89E898}">
      <dgm:prSet/>
      <dgm:spPr/>
      <dgm:t>
        <a:bodyPr/>
        <a:lstStyle/>
        <a:p>
          <a:pPr algn="ctr"/>
          <a:endParaRPr lang="pt-BR"/>
        </a:p>
      </dgm:t>
    </dgm:pt>
    <dgm:pt modelId="{9EA91473-31BD-4FD3-B640-CA73538B9A19}" type="pres">
      <dgm:prSet presAssocID="{F6988A5C-03D4-4ED6-80D9-59816CA24FAC}" presName="Name0" presStyleCnt="0">
        <dgm:presLayoutVars>
          <dgm:dir/>
          <dgm:animLvl val="lvl"/>
          <dgm:resizeHandles val="exact"/>
        </dgm:presLayoutVars>
      </dgm:prSet>
      <dgm:spPr/>
    </dgm:pt>
    <dgm:pt modelId="{5339BC8C-E2FB-4C8C-A4DF-CA185B63B529}" type="pres">
      <dgm:prSet presAssocID="{97E01BCB-92A7-4FF4-85CA-E089FD202854}" presName="composite" presStyleCnt="0"/>
      <dgm:spPr/>
    </dgm:pt>
    <dgm:pt modelId="{4E45833C-3B11-4DA5-8831-7A3E227D0462}" type="pres">
      <dgm:prSet presAssocID="{97E01BCB-92A7-4FF4-85CA-E089FD202854}" presName="parTx" presStyleLbl="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1104595-58D6-4D50-B7B3-7B9FB33536C7}" type="pres">
      <dgm:prSet presAssocID="{97E01BCB-92A7-4FF4-85CA-E089FD202854}" presName="desTx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B3B269FA-34DF-45B4-BB7E-31EA38DEF52F}" srcId="{F6988A5C-03D4-4ED6-80D9-59816CA24FAC}" destId="{97E01BCB-92A7-4FF4-85CA-E089FD202854}" srcOrd="0" destOrd="0" parTransId="{D1DC2C0F-FC6B-4097-9501-0BF1E1D03F19}" sibTransId="{05EF3644-CFCF-4845-8BC6-AC63123F4AE9}"/>
    <dgm:cxn modelId="{1B301BEA-890E-4C54-84AE-30FDE412464F}" type="presOf" srcId="{2C39668B-A150-4296-ADF7-E654CA6D010C}" destId="{01104595-58D6-4D50-B7B3-7B9FB33536C7}" srcOrd="0" destOrd="0" presId="urn:microsoft.com/office/officeart/2005/8/layout/chevron1"/>
    <dgm:cxn modelId="{D176C7A2-8150-4E84-A066-7724EB89E898}" srcId="{97E01BCB-92A7-4FF4-85CA-E089FD202854}" destId="{2C39668B-A150-4296-ADF7-E654CA6D010C}" srcOrd="0" destOrd="0" parTransId="{8C8EF49B-C143-4A0B-87B5-62BEC91E5220}" sibTransId="{C745E7D2-9C3D-44AC-B7A6-24633C0C3550}"/>
    <dgm:cxn modelId="{DE32A937-29F5-483C-B773-3B71E367C815}" type="presOf" srcId="{97E01BCB-92A7-4FF4-85CA-E089FD202854}" destId="{4E45833C-3B11-4DA5-8831-7A3E227D0462}" srcOrd="0" destOrd="0" presId="urn:microsoft.com/office/officeart/2005/8/layout/chevron1"/>
    <dgm:cxn modelId="{F0030146-885A-4FD3-8D46-5A38AEF057C9}" type="presOf" srcId="{F6988A5C-03D4-4ED6-80D9-59816CA24FAC}" destId="{9EA91473-31BD-4FD3-B640-CA73538B9A19}" srcOrd="0" destOrd="0" presId="urn:microsoft.com/office/officeart/2005/8/layout/chevron1"/>
    <dgm:cxn modelId="{FA356485-1BAE-4F8D-9D76-C9D807318FA7}" type="presParOf" srcId="{9EA91473-31BD-4FD3-B640-CA73538B9A19}" destId="{5339BC8C-E2FB-4C8C-A4DF-CA185B63B529}" srcOrd="0" destOrd="0" presId="urn:microsoft.com/office/officeart/2005/8/layout/chevron1"/>
    <dgm:cxn modelId="{4132ABA3-C58D-4CBC-9912-E97E24022C21}" type="presParOf" srcId="{5339BC8C-E2FB-4C8C-A4DF-CA185B63B529}" destId="{4E45833C-3B11-4DA5-8831-7A3E227D0462}" srcOrd="0" destOrd="0" presId="urn:microsoft.com/office/officeart/2005/8/layout/chevron1"/>
    <dgm:cxn modelId="{EA0AA1FA-B5C0-4D5E-A6BB-3CB50DF3E178}" type="presParOf" srcId="{5339BC8C-E2FB-4C8C-A4DF-CA185B63B529}" destId="{01104595-58D6-4D50-B7B3-7B9FB33536C7}" srcOrd="1" destOrd="0" presId="urn:microsoft.com/office/officeart/2005/8/layout/chevron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13418D-6410-41E3-94F2-11147E1948EB}">
      <dsp:nvSpPr>
        <dsp:cNvPr id="0" name=""/>
        <dsp:cNvSpPr/>
      </dsp:nvSpPr>
      <dsp:spPr>
        <a:xfrm>
          <a:off x="1305" y="91463"/>
          <a:ext cx="1457613" cy="583045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1º Subprocesso</a:t>
          </a:r>
        </a:p>
      </dsp:txBody>
      <dsp:txXfrm>
        <a:off x="292828" y="91463"/>
        <a:ext cx="874568" cy="583045"/>
      </dsp:txXfrm>
    </dsp:sp>
    <dsp:sp modelId="{CEB71036-A8D5-4013-9123-1D47AB9179A5}">
      <dsp:nvSpPr>
        <dsp:cNvPr id="0" name=""/>
        <dsp:cNvSpPr/>
      </dsp:nvSpPr>
      <dsp:spPr>
        <a:xfrm>
          <a:off x="1305" y="747389"/>
          <a:ext cx="1166090" cy="2908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Concepção e Categorização</a:t>
          </a:r>
        </a:p>
      </dsp:txBody>
      <dsp:txXfrm>
        <a:off x="1305" y="747389"/>
        <a:ext cx="1166090" cy="290812"/>
      </dsp:txXfrm>
    </dsp:sp>
    <dsp:sp modelId="{A9B06FC4-A8A5-4593-AD5D-ADD536FF7713}">
      <dsp:nvSpPr>
        <dsp:cNvPr id="0" name=""/>
        <dsp:cNvSpPr/>
      </dsp:nvSpPr>
      <dsp:spPr>
        <a:xfrm>
          <a:off x="1242919" y="91463"/>
          <a:ext cx="1457613" cy="583045"/>
        </a:xfrm>
        <a:prstGeom prst="chevron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2º Subprocesso</a:t>
          </a:r>
        </a:p>
      </dsp:txBody>
      <dsp:txXfrm>
        <a:off x="1534442" y="91463"/>
        <a:ext cx="874568" cy="583045"/>
      </dsp:txXfrm>
    </dsp:sp>
    <dsp:sp modelId="{0AF62EFE-7D66-4C61-B3D1-6B27F3034515}">
      <dsp:nvSpPr>
        <dsp:cNvPr id="0" name=""/>
        <dsp:cNvSpPr/>
      </dsp:nvSpPr>
      <dsp:spPr>
        <a:xfrm>
          <a:off x="1242919" y="747389"/>
          <a:ext cx="1166090" cy="2908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Viabilidade da Obtenção Conjunta</a:t>
          </a:r>
        </a:p>
      </dsp:txBody>
      <dsp:txXfrm>
        <a:off x="1242919" y="747389"/>
        <a:ext cx="1166090" cy="290812"/>
      </dsp:txXfrm>
    </dsp:sp>
    <dsp:sp modelId="{81586801-F08E-48ED-8767-CF31CBDA80EE}">
      <dsp:nvSpPr>
        <dsp:cNvPr id="0" name=""/>
        <dsp:cNvSpPr/>
      </dsp:nvSpPr>
      <dsp:spPr>
        <a:xfrm>
          <a:off x="2484532" y="91463"/>
          <a:ext cx="1457613" cy="583045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3º Subprocesso</a:t>
          </a:r>
        </a:p>
      </dsp:txBody>
      <dsp:txXfrm>
        <a:off x="2776055" y="91463"/>
        <a:ext cx="874568" cy="583045"/>
      </dsp:txXfrm>
    </dsp:sp>
    <dsp:sp modelId="{E39E4F08-4313-456F-9678-A529A2E58D10}">
      <dsp:nvSpPr>
        <dsp:cNvPr id="0" name=""/>
        <dsp:cNvSpPr/>
      </dsp:nvSpPr>
      <dsp:spPr>
        <a:xfrm>
          <a:off x="2484532" y="747389"/>
          <a:ext cx="1166090" cy="2908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Ratificação do ROC</a:t>
          </a:r>
        </a:p>
      </dsp:txBody>
      <dsp:txXfrm>
        <a:off x="2484532" y="747389"/>
        <a:ext cx="1166090" cy="290812"/>
      </dsp:txXfrm>
    </dsp:sp>
    <dsp:sp modelId="{4E45833C-3B11-4DA5-8831-7A3E227D0462}">
      <dsp:nvSpPr>
        <dsp:cNvPr id="0" name=""/>
        <dsp:cNvSpPr/>
      </dsp:nvSpPr>
      <dsp:spPr>
        <a:xfrm>
          <a:off x="3726146" y="91463"/>
          <a:ext cx="1457613" cy="583045"/>
        </a:xfrm>
        <a:prstGeom prst="chevron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4º Subprocesso</a:t>
          </a:r>
        </a:p>
      </dsp:txBody>
      <dsp:txXfrm>
        <a:off x="4017669" y="91463"/>
        <a:ext cx="874568" cy="583045"/>
      </dsp:txXfrm>
    </dsp:sp>
    <dsp:sp modelId="{01104595-58D6-4D50-B7B3-7B9FB33536C7}">
      <dsp:nvSpPr>
        <dsp:cNvPr id="0" name=""/>
        <dsp:cNvSpPr/>
      </dsp:nvSpPr>
      <dsp:spPr>
        <a:xfrm>
          <a:off x="3726146" y="747389"/>
          <a:ext cx="1166090" cy="2908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Ratificação da Obtenção Conjunta</a:t>
          </a:r>
        </a:p>
      </dsp:txBody>
      <dsp:txXfrm>
        <a:off x="3726146" y="747389"/>
        <a:ext cx="1166090" cy="290812"/>
      </dsp:txXfrm>
    </dsp:sp>
    <dsp:sp modelId="{6BFB8092-834C-4A6F-8A5A-FD2ABA6C0EB9}">
      <dsp:nvSpPr>
        <dsp:cNvPr id="0" name=""/>
        <dsp:cNvSpPr/>
      </dsp:nvSpPr>
      <dsp:spPr>
        <a:xfrm>
          <a:off x="4943927" y="91463"/>
          <a:ext cx="1457613" cy="583045"/>
        </a:xfrm>
        <a:prstGeom prst="chevron">
          <a:avLst/>
        </a:prstGeom>
        <a:solidFill>
          <a:schemeClr val="bg1">
            <a:lumMod val="6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5º Subprocesso</a:t>
          </a:r>
        </a:p>
      </dsp:txBody>
      <dsp:txXfrm>
        <a:off x="5235450" y="91463"/>
        <a:ext cx="874568" cy="583045"/>
      </dsp:txXfrm>
    </dsp:sp>
    <dsp:sp modelId="{51DF2B31-3869-490C-B940-1E387A2ACE68}">
      <dsp:nvSpPr>
        <dsp:cNvPr id="0" name=""/>
        <dsp:cNvSpPr/>
      </dsp:nvSpPr>
      <dsp:spPr>
        <a:xfrm>
          <a:off x="4967759" y="747389"/>
          <a:ext cx="1166090" cy="2908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Instrução de Obtenção</a:t>
          </a:r>
        </a:p>
      </dsp:txBody>
      <dsp:txXfrm>
        <a:off x="4967759" y="747389"/>
        <a:ext cx="1166090" cy="2908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45833C-3B11-4DA5-8831-7A3E227D0462}">
      <dsp:nvSpPr>
        <dsp:cNvPr id="0" name=""/>
        <dsp:cNvSpPr/>
      </dsp:nvSpPr>
      <dsp:spPr>
        <a:xfrm>
          <a:off x="0" y="26951"/>
          <a:ext cx="3886200" cy="378000"/>
        </a:xfrm>
        <a:prstGeom prst="chevron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hemeClr val="tx1"/>
          </a:solidFill>
          <a:prstDash val="sysDot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Subprocesso Especial</a:t>
          </a:r>
        </a:p>
      </dsp:txBody>
      <dsp:txXfrm>
        <a:off x="189000" y="26951"/>
        <a:ext cx="3508200" cy="378000"/>
      </dsp:txXfrm>
    </dsp:sp>
    <dsp:sp modelId="{01104595-58D6-4D50-B7B3-7B9FB33536C7}">
      <dsp:nvSpPr>
        <dsp:cNvPr id="0" name=""/>
        <dsp:cNvSpPr/>
      </dsp:nvSpPr>
      <dsp:spPr>
        <a:xfrm>
          <a:off x="0" y="452201"/>
          <a:ext cx="3108960" cy="1456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Ratificação da Obtenção Especial</a:t>
          </a:r>
        </a:p>
      </dsp:txBody>
      <dsp:txXfrm>
        <a:off x="0" y="452201"/>
        <a:ext cx="3108960" cy="1456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3EC98-F528-4758-B10D-20A59514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2292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Jacirene Maria Apolinário</dc:creator>
  <cp:lastModifiedBy>Hayla</cp:lastModifiedBy>
  <cp:revision>2</cp:revision>
  <dcterms:created xsi:type="dcterms:W3CDTF">2021-10-19T17:44:00Z</dcterms:created>
  <dcterms:modified xsi:type="dcterms:W3CDTF">2021-10-19T17:44:00Z</dcterms:modified>
</cp:coreProperties>
</file>