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84C" w:rsidRPr="007E0CB5" w:rsidRDefault="005607BA">
      <w:pPr>
        <w:pStyle w:val="CorpoA"/>
        <w:spacing w:after="0" w:line="312" w:lineRule="auto"/>
        <w:ind w:firstLine="709"/>
        <w:jc w:val="center"/>
        <w:rPr>
          <w:rFonts w:ascii="Times New Roman" w:eastAsia="Times New Roman" w:hAnsi="Times New Roman" w:cs="Times New Roman"/>
          <w:b/>
          <w:sz w:val="24"/>
          <w:szCs w:val="24"/>
        </w:rPr>
      </w:pPr>
      <w:r w:rsidRPr="007E0CB5">
        <w:rPr>
          <w:rFonts w:ascii="Times New Roman" w:hAnsi="Times New Roman" w:cs="Times New Roman"/>
          <w:b/>
          <w:sz w:val="24"/>
          <w:szCs w:val="24"/>
        </w:rPr>
        <w:t xml:space="preserve">RELATÓRIO DE ANÁLISE </w:t>
      </w:r>
    </w:p>
    <w:p w:rsidR="00D9084C" w:rsidRPr="00CC6E99" w:rsidRDefault="005607BA">
      <w:pPr>
        <w:pStyle w:val="SDMTtulo2"/>
        <w:spacing w:line="312" w:lineRule="auto"/>
        <w:ind w:firstLine="709"/>
        <w:jc w:val="center"/>
        <w:rPr>
          <w:rFonts w:hAnsi="Times New Roman" w:cs="Times New Roman"/>
          <w:b w:val="0"/>
          <w:bCs w:val="0"/>
        </w:rPr>
      </w:pPr>
      <w:r w:rsidRPr="00CC6E99">
        <w:rPr>
          <w:rFonts w:hAnsi="Times New Roman" w:cs="Times New Roman"/>
        </w:rPr>
        <w:t>Audiência Pública SDM nº 12/14 – Processo CVM nº RJ-2008-9075</w:t>
      </w:r>
    </w:p>
    <w:p w:rsidR="00D9084C" w:rsidRPr="00CC6E99" w:rsidRDefault="00D9084C">
      <w:pPr>
        <w:pStyle w:val="CorpoA"/>
        <w:spacing w:after="0" w:line="312" w:lineRule="auto"/>
        <w:jc w:val="both"/>
        <w:rPr>
          <w:rFonts w:ascii="Times New Roman" w:eastAsia="Times New Roman" w:hAnsi="Times New Roman" w:cs="Times New Roman"/>
          <w:b/>
          <w:bCs/>
          <w:sz w:val="24"/>
          <w:szCs w:val="24"/>
        </w:rPr>
      </w:pPr>
    </w:p>
    <w:p w:rsidR="00D9084C" w:rsidRPr="00CC6E99" w:rsidRDefault="005607BA">
      <w:pPr>
        <w:pStyle w:val="CorpoA"/>
        <w:spacing w:after="0" w:line="312" w:lineRule="auto"/>
        <w:jc w:val="both"/>
        <w:rPr>
          <w:rFonts w:ascii="Times New Roman" w:eastAsia="Times New Roman" w:hAnsi="Times New Roman" w:cs="Times New Roman"/>
          <w:sz w:val="24"/>
          <w:szCs w:val="24"/>
        </w:rPr>
      </w:pPr>
      <w:r w:rsidRPr="00CC6E99">
        <w:rPr>
          <w:rFonts w:ascii="Times New Roman" w:hAnsi="Times New Roman" w:cs="Times New Roman"/>
          <w:b/>
          <w:bCs/>
          <w:sz w:val="24"/>
          <w:szCs w:val="24"/>
          <w:lang w:val="es-ES_tradnl"/>
        </w:rPr>
        <w:t>Objeto</w:t>
      </w:r>
      <w:r w:rsidRPr="00CC6E99">
        <w:rPr>
          <w:rFonts w:ascii="Times New Roman" w:hAnsi="Times New Roman" w:cs="Times New Roman"/>
          <w:sz w:val="24"/>
          <w:szCs w:val="24"/>
        </w:rPr>
        <w:t>: Minuta de Instrução sobre o registro, as operações e a divulgaçã</w:t>
      </w:r>
      <w:r w:rsidRPr="00CC6E99">
        <w:rPr>
          <w:rFonts w:ascii="Times New Roman" w:hAnsi="Times New Roman" w:cs="Times New Roman"/>
          <w:sz w:val="24"/>
          <w:szCs w:val="24"/>
          <w:lang w:val="es-ES_tradnl"/>
        </w:rPr>
        <w:t>o de informa</w:t>
      </w:r>
      <w:r w:rsidRPr="00CC6E99">
        <w:rPr>
          <w:rFonts w:ascii="Times New Roman" w:hAnsi="Times New Roman" w:cs="Times New Roman"/>
          <w:sz w:val="24"/>
          <w:szCs w:val="24"/>
        </w:rPr>
        <w:t>çõ</w:t>
      </w:r>
      <w:r w:rsidRPr="00CC6E99">
        <w:rPr>
          <w:rFonts w:ascii="Times New Roman" w:hAnsi="Times New Roman" w:cs="Times New Roman"/>
          <w:sz w:val="24"/>
          <w:szCs w:val="24"/>
          <w:lang w:val="es-ES_tradnl"/>
        </w:rPr>
        <w:t xml:space="preserve">es de </w:t>
      </w:r>
      <w:proofErr w:type="spellStart"/>
      <w:r w:rsidRPr="00CC6E99">
        <w:rPr>
          <w:rFonts w:ascii="Times New Roman" w:hAnsi="Times New Roman" w:cs="Times New Roman"/>
          <w:sz w:val="24"/>
          <w:szCs w:val="24"/>
          <w:lang w:val="es-ES_tradnl"/>
        </w:rPr>
        <w:t>investidor</w:t>
      </w:r>
      <w:proofErr w:type="spellEnd"/>
      <w:r w:rsidRPr="00CC6E99">
        <w:rPr>
          <w:rFonts w:ascii="Times New Roman" w:hAnsi="Times New Roman" w:cs="Times New Roman"/>
          <w:sz w:val="24"/>
          <w:szCs w:val="24"/>
          <w:lang w:val="es-ES_tradnl"/>
        </w:rPr>
        <w:t xml:space="preserve"> n</w:t>
      </w:r>
      <w:r w:rsidRPr="00CC6E99">
        <w:rPr>
          <w:rFonts w:ascii="Times New Roman" w:hAnsi="Times New Roman" w:cs="Times New Roman"/>
          <w:sz w:val="24"/>
          <w:szCs w:val="24"/>
        </w:rPr>
        <w:t>ão residente.</w:t>
      </w:r>
    </w:p>
    <w:p w:rsidR="00D9084C" w:rsidRPr="00CC6E99" w:rsidRDefault="00D9084C">
      <w:pPr>
        <w:pStyle w:val="Ttulo1"/>
        <w:tabs>
          <w:tab w:val="clear" w:pos="851"/>
        </w:tabs>
        <w:spacing w:before="0" w:line="312" w:lineRule="auto"/>
      </w:pPr>
    </w:p>
    <w:p w:rsidR="00D9084C" w:rsidRPr="00CC6E99" w:rsidRDefault="005607BA">
      <w:pPr>
        <w:pStyle w:val="Ttulo1"/>
        <w:tabs>
          <w:tab w:val="clear" w:pos="851"/>
        </w:tabs>
        <w:spacing w:before="0" w:line="312" w:lineRule="auto"/>
      </w:pPr>
      <w:r w:rsidRPr="00CC6E99">
        <w:t>1.</w:t>
      </w:r>
      <w:r w:rsidRPr="00CC6E99">
        <w:tab/>
        <w:t>Introdução</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O presente relatório é resultado da Audiê</w:t>
      </w:r>
      <w:proofErr w:type="spellStart"/>
      <w:r w:rsidRPr="00CC6E99">
        <w:rPr>
          <w:rFonts w:ascii="Times New Roman" w:hAnsi="Times New Roman" w:cs="Times New Roman"/>
          <w:sz w:val="24"/>
          <w:szCs w:val="24"/>
          <w:lang w:val="es-ES_tradnl"/>
        </w:rPr>
        <w:t>ncia</w:t>
      </w:r>
      <w:proofErr w:type="spellEnd"/>
      <w:r w:rsidRPr="00CC6E99">
        <w:rPr>
          <w:rFonts w:ascii="Times New Roman" w:hAnsi="Times New Roman" w:cs="Times New Roman"/>
          <w:sz w:val="24"/>
          <w:szCs w:val="24"/>
          <w:lang w:val="es-ES_tradnl"/>
        </w:rPr>
        <w:t xml:space="preserve"> P</w:t>
      </w:r>
      <w:r w:rsidRPr="00CC6E99">
        <w:rPr>
          <w:rFonts w:ascii="Times New Roman" w:hAnsi="Times New Roman" w:cs="Times New Roman"/>
          <w:sz w:val="24"/>
          <w:szCs w:val="24"/>
        </w:rPr>
        <w:t>ública SDM nº 12/2014, que recebeu comentários do público entre os dias 11 de novembro de 2014 e 23 de janeiro de 2015. A referida audiência decorreu da edição da Resolução do Conselho Monetá</w:t>
      </w:r>
      <w:r w:rsidRPr="00CC6E99">
        <w:rPr>
          <w:rFonts w:ascii="Times New Roman" w:hAnsi="Times New Roman" w:cs="Times New Roman"/>
          <w:sz w:val="24"/>
          <w:szCs w:val="24"/>
          <w:lang w:val="es-ES_tradnl"/>
        </w:rPr>
        <w:t xml:space="preserve">rio Nacional </w:t>
      </w:r>
      <w:r w:rsidRPr="00CC6E99">
        <w:rPr>
          <w:rFonts w:ascii="Times New Roman" w:hAnsi="Times New Roman" w:cs="Times New Roman"/>
          <w:sz w:val="24"/>
          <w:szCs w:val="24"/>
        </w:rPr>
        <w:t>– CMN nº 4.373, de 29 de setembro de 2014, e busca atualizar os dispositivos sobre o registro, as operações e a divulgaçã</w:t>
      </w:r>
      <w:r w:rsidRPr="00CC6E99">
        <w:rPr>
          <w:rFonts w:ascii="Times New Roman" w:hAnsi="Times New Roman" w:cs="Times New Roman"/>
          <w:sz w:val="24"/>
          <w:szCs w:val="24"/>
          <w:lang w:val="es-ES_tradnl"/>
        </w:rPr>
        <w:t>o de informa</w:t>
      </w:r>
      <w:r w:rsidRPr="00CC6E99">
        <w:rPr>
          <w:rFonts w:ascii="Times New Roman" w:hAnsi="Times New Roman" w:cs="Times New Roman"/>
          <w:sz w:val="24"/>
          <w:szCs w:val="24"/>
        </w:rPr>
        <w:t>çõ</w:t>
      </w:r>
      <w:r w:rsidRPr="00CC6E99">
        <w:rPr>
          <w:rFonts w:ascii="Times New Roman" w:hAnsi="Times New Roman" w:cs="Times New Roman"/>
          <w:sz w:val="24"/>
          <w:szCs w:val="24"/>
          <w:lang w:val="es-ES_tradnl"/>
        </w:rPr>
        <w:t xml:space="preserve">es de </w:t>
      </w:r>
      <w:proofErr w:type="spellStart"/>
      <w:r w:rsidRPr="00CC6E99">
        <w:rPr>
          <w:rFonts w:ascii="Times New Roman" w:hAnsi="Times New Roman" w:cs="Times New Roman"/>
          <w:sz w:val="24"/>
          <w:szCs w:val="24"/>
          <w:lang w:val="es-ES_tradnl"/>
        </w:rPr>
        <w:t>investidor</w:t>
      </w:r>
      <w:proofErr w:type="spellEnd"/>
      <w:r w:rsidRPr="00CC6E99">
        <w:rPr>
          <w:rFonts w:ascii="Times New Roman" w:hAnsi="Times New Roman" w:cs="Times New Roman"/>
          <w:sz w:val="24"/>
          <w:szCs w:val="24"/>
          <w:lang w:val="es-ES_tradnl"/>
        </w:rPr>
        <w:t xml:space="preserve"> n</w:t>
      </w:r>
      <w:r w:rsidRPr="00CC6E99">
        <w:rPr>
          <w:rFonts w:ascii="Times New Roman" w:hAnsi="Times New Roman" w:cs="Times New Roman"/>
          <w:sz w:val="24"/>
          <w:szCs w:val="24"/>
        </w:rPr>
        <w:t>ão residente, substituindo a Instrução CVM nº 325, de 27 de janeiro de 2000.</w:t>
      </w: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 xml:space="preserve"> </w:t>
      </w: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Para melhor descrever e comentar as manifestações dos participantes, este relatório é dividido da seguinte forma: (i) introduçã</w:t>
      </w:r>
      <w:r w:rsidRPr="00CC6E99">
        <w:rPr>
          <w:rFonts w:ascii="Times New Roman" w:hAnsi="Times New Roman" w:cs="Times New Roman"/>
          <w:sz w:val="24"/>
          <w:szCs w:val="24"/>
          <w:lang w:val="es-ES_tradnl"/>
        </w:rPr>
        <w:t>o; (</w:t>
      </w:r>
      <w:proofErr w:type="spellStart"/>
      <w:r w:rsidRPr="00CC6E99">
        <w:rPr>
          <w:rFonts w:ascii="Times New Roman" w:hAnsi="Times New Roman" w:cs="Times New Roman"/>
          <w:sz w:val="24"/>
          <w:szCs w:val="24"/>
          <w:lang w:val="es-ES_tradnl"/>
        </w:rPr>
        <w:t>ii</w:t>
      </w:r>
      <w:proofErr w:type="spellEnd"/>
      <w:r w:rsidRPr="00CC6E99">
        <w:rPr>
          <w:rFonts w:ascii="Times New Roman" w:hAnsi="Times New Roman" w:cs="Times New Roman"/>
          <w:sz w:val="24"/>
          <w:szCs w:val="24"/>
          <w:lang w:val="es-ES_tradnl"/>
        </w:rPr>
        <w:t>) participantes; (</w:t>
      </w:r>
      <w:proofErr w:type="spellStart"/>
      <w:r w:rsidRPr="00CC6E99">
        <w:rPr>
          <w:rFonts w:ascii="Times New Roman" w:hAnsi="Times New Roman" w:cs="Times New Roman"/>
          <w:sz w:val="24"/>
          <w:szCs w:val="24"/>
          <w:lang w:val="es-ES_tradnl"/>
        </w:rPr>
        <w:t>iii</w:t>
      </w:r>
      <w:proofErr w:type="spellEnd"/>
      <w:r w:rsidRPr="00CC6E99">
        <w:rPr>
          <w:rFonts w:ascii="Times New Roman" w:hAnsi="Times New Roman" w:cs="Times New Roman"/>
          <w:sz w:val="24"/>
          <w:szCs w:val="24"/>
          <w:lang w:val="es-ES_tradnl"/>
        </w:rPr>
        <w:t xml:space="preserve">) </w:t>
      </w:r>
      <w:proofErr w:type="spellStart"/>
      <w:r w:rsidRPr="00CC6E99">
        <w:rPr>
          <w:rFonts w:ascii="Times New Roman" w:hAnsi="Times New Roman" w:cs="Times New Roman"/>
          <w:sz w:val="24"/>
          <w:szCs w:val="24"/>
          <w:lang w:val="es-ES_tradnl"/>
        </w:rPr>
        <w:t>coment</w:t>
      </w:r>
      <w:proofErr w:type="spellEnd"/>
      <w:r w:rsidRPr="00CC6E99">
        <w:rPr>
          <w:rFonts w:ascii="Times New Roman" w:hAnsi="Times New Roman" w:cs="Times New Roman"/>
          <w:sz w:val="24"/>
          <w:szCs w:val="24"/>
        </w:rPr>
        <w:t>ários; e (iv) proposta definitiva de instrução.</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Como as manifestações recebidas pela CVM durante o processo de audiê</w:t>
      </w:r>
      <w:proofErr w:type="spellStart"/>
      <w:r w:rsidRPr="00CC6E99">
        <w:rPr>
          <w:rFonts w:ascii="Times New Roman" w:hAnsi="Times New Roman" w:cs="Times New Roman"/>
          <w:sz w:val="24"/>
          <w:szCs w:val="24"/>
          <w:lang w:val="es-ES_tradnl"/>
        </w:rPr>
        <w:t>ncia</w:t>
      </w:r>
      <w:proofErr w:type="spellEnd"/>
      <w:r w:rsidRPr="00CC6E99">
        <w:rPr>
          <w:rFonts w:ascii="Times New Roman" w:hAnsi="Times New Roman" w:cs="Times New Roman"/>
          <w:sz w:val="24"/>
          <w:szCs w:val="24"/>
          <w:lang w:val="es-ES_tradnl"/>
        </w:rPr>
        <w:t xml:space="preserve"> p</w:t>
      </w:r>
      <w:r w:rsidRPr="00CC6E99">
        <w:rPr>
          <w:rFonts w:ascii="Times New Roman" w:hAnsi="Times New Roman" w:cs="Times New Roman"/>
          <w:sz w:val="24"/>
          <w:szCs w:val="24"/>
        </w:rPr>
        <w:t>ública se encontram disponíveis na íntegra na sua página na rede mundial de computadores</w:t>
      </w:r>
      <w:r w:rsidRPr="00CC6E99">
        <w:rPr>
          <w:rFonts w:ascii="Times New Roman" w:eastAsia="Times New Roman" w:hAnsi="Times New Roman" w:cs="Times New Roman"/>
          <w:sz w:val="24"/>
          <w:szCs w:val="24"/>
          <w:vertAlign w:val="superscript"/>
        </w:rPr>
        <w:footnoteReference w:id="2"/>
      </w:r>
      <w:r w:rsidRPr="00CC6E99">
        <w:rPr>
          <w:rFonts w:ascii="Times New Roman" w:hAnsi="Times New Roman" w:cs="Times New Roman"/>
          <w:sz w:val="24"/>
          <w:szCs w:val="24"/>
        </w:rPr>
        <w:t>, todos os comentários e sugestões enviados tempestivamente são citados neste relatório de forma resumida.</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Este relatório foi elaborado pela Superintendência de Desenvolvimento de Mercado – SDM, com o objetivo de apresentar ao Colegiado da CVM as sugestões recebidas na Audiê</w:t>
      </w:r>
      <w:proofErr w:type="spellStart"/>
      <w:r w:rsidRPr="00CC6E99">
        <w:rPr>
          <w:rFonts w:ascii="Times New Roman" w:hAnsi="Times New Roman" w:cs="Times New Roman"/>
          <w:sz w:val="24"/>
          <w:szCs w:val="24"/>
          <w:lang w:val="es-ES_tradnl"/>
        </w:rPr>
        <w:t>ncia</w:t>
      </w:r>
      <w:proofErr w:type="spellEnd"/>
      <w:r w:rsidRPr="00CC6E99">
        <w:rPr>
          <w:rFonts w:ascii="Times New Roman" w:hAnsi="Times New Roman" w:cs="Times New Roman"/>
          <w:sz w:val="24"/>
          <w:szCs w:val="24"/>
          <w:lang w:val="es-ES_tradnl"/>
        </w:rPr>
        <w:t xml:space="preserve"> P</w:t>
      </w:r>
      <w:r w:rsidRPr="00CC6E99">
        <w:rPr>
          <w:rFonts w:ascii="Times New Roman" w:hAnsi="Times New Roman" w:cs="Times New Roman"/>
          <w:sz w:val="24"/>
          <w:szCs w:val="24"/>
        </w:rPr>
        <w:t>ública nº 12/2014.</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Ttulo1"/>
        <w:tabs>
          <w:tab w:val="clear" w:pos="851"/>
        </w:tabs>
        <w:spacing w:before="0" w:line="312" w:lineRule="auto"/>
        <w:rPr>
          <w:b w:val="0"/>
          <w:bCs w:val="0"/>
        </w:rPr>
      </w:pPr>
      <w:r w:rsidRPr="00CC6E99">
        <w:t>2.</w:t>
      </w:r>
      <w:r w:rsidRPr="00CC6E99">
        <w:rPr>
          <w:b w:val="0"/>
          <w:bCs w:val="0"/>
        </w:rPr>
        <w:tab/>
      </w:r>
      <w:r w:rsidRPr="00CC6E99">
        <w:t>Participantes</w:t>
      </w:r>
      <w:r w:rsidRPr="00CC6E99">
        <w:br/>
      </w:r>
    </w:p>
    <w:p w:rsidR="00D9084C" w:rsidRPr="00CC6E99" w:rsidRDefault="005607BA">
      <w:pPr>
        <w:pStyle w:val="Default"/>
        <w:numPr>
          <w:ilvl w:val="0"/>
          <w:numId w:val="3"/>
        </w:numPr>
        <w:spacing w:line="312" w:lineRule="auto"/>
        <w:jc w:val="both"/>
        <w:rPr>
          <w:rFonts w:hAnsi="Times New Roman" w:cs="Times New Roman"/>
        </w:rPr>
      </w:pPr>
      <w:r w:rsidRPr="00CC6E99">
        <w:rPr>
          <w:rFonts w:hAnsi="Times New Roman" w:cs="Times New Roman"/>
        </w:rPr>
        <w:t>ABBI – Associação Brasileira de Bancos Internacionais;</w:t>
      </w:r>
    </w:p>
    <w:p w:rsidR="00D9084C" w:rsidRPr="00CC6E99" w:rsidRDefault="00D9084C">
      <w:pPr>
        <w:pStyle w:val="Default"/>
        <w:tabs>
          <w:tab w:val="left" w:pos="709"/>
        </w:tabs>
        <w:spacing w:line="312" w:lineRule="auto"/>
        <w:jc w:val="both"/>
        <w:rPr>
          <w:rFonts w:hAnsi="Times New Roman" w:cs="Times New Roman"/>
        </w:rPr>
      </w:pPr>
    </w:p>
    <w:p w:rsidR="00D9084C" w:rsidRPr="00CC6E99" w:rsidRDefault="005607BA">
      <w:pPr>
        <w:pStyle w:val="Default"/>
        <w:numPr>
          <w:ilvl w:val="0"/>
          <w:numId w:val="3"/>
        </w:numPr>
        <w:spacing w:line="312" w:lineRule="auto"/>
        <w:jc w:val="both"/>
        <w:rPr>
          <w:rFonts w:hAnsi="Times New Roman" w:cs="Times New Roman"/>
        </w:rPr>
      </w:pPr>
      <w:r w:rsidRPr="00CC6E99">
        <w:rPr>
          <w:rFonts w:hAnsi="Times New Roman" w:cs="Times New Roman"/>
        </w:rPr>
        <w:t>ANBIMA – Associação Brasileira das Entidades dos Mercados Financeiro e de Capitais;</w:t>
      </w:r>
    </w:p>
    <w:p w:rsidR="00D9084C" w:rsidRPr="00CC6E99" w:rsidRDefault="00D9084C">
      <w:pPr>
        <w:pStyle w:val="Default"/>
        <w:tabs>
          <w:tab w:val="left" w:pos="709"/>
        </w:tabs>
        <w:spacing w:line="312" w:lineRule="auto"/>
        <w:jc w:val="both"/>
        <w:rPr>
          <w:rFonts w:hAnsi="Times New Roman" w:cs="Times New Roman"/>
        </w:rPr>
      </w:pPr>
    </w:p>
    <w:p w:rsidR="00D9084C" w:rsidRPr="00CC6E99" w:rsidRDefault="005607BA">
      <w:pPr>
        <w:pStyle w:val="Default"/>
        <w:numPr>
          <w:ilvl w:val="0"/>
          <w:numId w:val="3"/>
        </w:numPr>
        <w:spacing w:line="312" w:lineRule="auto"/>
        <w:jc w:val="both"/>
        <w:rPr>
          <w:rFonts w:hAnsi="Times New Roman" w:cs="Times New Roman"/>
        </w:rPr>
      </w:pPr>
      <w:r w:rsidRPr="00CC6E99">
        <w:rPr>
          <w:rFonts w:hAnsi="Times New Roman" w:cs="Times New Roman"/>
        </w:rPr>
        <w:t>BM&amp;FBOVESPA S.A. - Bolsa de Valores, Mercadorias e Futuros;</w:t>
      </w:r>
    </w:p>
    <w:p w:rsidR="00D9084C" w:rsidRPr="00CC6E99" w:rsidRDefault="00D9084C">
      <w:pPr>
        <w:pStyle w:val="Default"/>
        <w:tabs>
          <w:tab w:val="left" w:pos="709"/>
        </w:tabs>
        <w:spacing w:line="312" w:lineRule="auto"/>
        <w:jc w:val="both"/>
        <w:rPr>
          <w:rFonts w:hAnsi="Times New Roman" w:cs="Times New Roman"/>
        </w:rPr>
      </w:pPr>
    </w:p>
    <w:p w:rsidR="00D9084C" w:rsidRPr="00CC6E99" w:rsidRDefault="005607BA">
      <w:pPr>
        <w:pStyle w:val="CorpoA"/>
        <w:numPr>
          <w:ilvl w:val="0"/>
          <w:numId w:val="6"/>
        </w:numPr>
        <w:tabs>
          <w:tab w:val="num" w:pos="596"/>
          <w:tab w:val="left" w:pos="650"/>
          <w:tab w:val="left" w:pos="709"/>
          <w:tab w:val="left" w:pos="851"/>
        </w:tabs>
        <w:spacing w:after="0" w:line="312" w:lineRule="auto"/>
        <w:ind w:left="596" w:hanging="596"/>
        <w:jc w:val="both"/>
        <w:rPr>
          <w:rFonts w:ascii="Times New Roman" w:eastAsia="Times New Roman" w:hAnsi="Times New Roman" w:cs="Times New Roman"/>
          <w:sz w:val="24"/>
          <w:szCs w:val="24"/>
        </w:rPr>
      </w:pPr>
      <w:r w:rsidRPr="00CC6E99">
        <w:rPr>
          <w:rFonts w:ascii="Times New Roman" w:hAnsi="Times New Roman" w:cs="Times New Roman"/>
          <w:sz w:val="24"/>
          <w:szCs w:val="24"/>
        </w:rPr>
        <w:t>Lanna Ribeiro, Carneiro de Souza &amp; Fragoso Pires Advogados (“LCCF Advogados”);</w:t>
      </w:r>
    </w:p>
    <w:p w:rsidR="00D9084C" w:rsidRPr="00CC6E99" w:rsidRDefault="00D9084C">
      <w:pPr>
        <w:pStyle w:val="Default"/>
        <w:tabs>
          <w:tab w:val="left" w:pos="709"/>
        </w:tabs>
        <w:spacing w:line="312" w:lineRule="auto"/>
        <w:jc w:val="both"/>
        <w:rPr>
          <w:rFonts w:hAnsi="Times New Roman" w:cs="Times New Roman"/>
        </w:rPr>
      </w:pPr>
    </w:p>
    <w:p w:rsidR="00D9084C" w:rsidRPr="00CC6E99" w:rsidRDefault="005607BA">
      <w:pPr>
        <w:pStyle w:val="Default"/>
        <w:numPr>
          <w:ilvl w:val="0"/>
          <w:numId w:val="9"/>
        </w:numPr>
        <w:spacing w:line="312" w:lineRule="auto"/>
        <w:jc w:val="both"/>
        <w:rPr>
          <w:rFonts w:hAnsi="Times New Roman" w:cs="Times New Roman"/>
        </w:rPr>
      </w:pPr>
      <w:r w:rsidRPr="00CC6E99">
        <w:rPr>
          <w:rFonts w:hAnsi="Times New Roman" w:cs="Times New Roman"/>
        </w:rPr>
        <w:lastRenderedPageBreak/>
        <w:t>Mauro Salvo; e</w:t>
      </w:r>
    </w:p>
    <w:p w:rsidR="00D9084C" w:rsidRPr="00CC6E99" w:rsidRDefault="00D9084C">
      <w:pPr>
        <w:pStyle w:val="Default"/>
        <w:tabs>
          <w:tab w:val="left" w:pos="709"/>
        </w:tabs>
        <w:spacing w:line="312" w:lineRule="auto"/>
        <w:jc w:val="both"/>
        <w:rPr>
          <w:rFonts w:hAnsi="Times New Roman" w:cs="Times New Roman"/>
        </w:rPr>
      </w:pPr>
    </w:p>
    <w:p w:rsidR="00D9084C" w:rsidRPr="00CC6E99" w:rsidRDefault="005607BA">
      <w:pPr>
        <w:pStyle w:val="Default"/>
        <w:numPr>
          <w:ilvl w:val="0"/>
          <w:numId w:val="9"/>
        </w:numPr>
        <w:spacing w:line="312" w:lineRule="auto"/>
        <w:jc w:val="both"/>
        <w:rPr>
          <w:rFonts w:hAnsi="Times New Roman" w:cs="Times New Roman"/>
        </w:rPr>
      </w:pPr>
      <w:r w:rsidRPr="00CC6E99">
        <w:rPr>
          <w:rFonts w:hAnsi="Times New Roman" w:cs="Times New Roman"/>
        </w:rPr>
        <w:t>Ulhôa Canto, Rezende e Guerra Advogados (“Ulhôa Canto”).</w:t>
      </w:r>
    </w:p>
    <w:p w:rsidR="00D9084C" w:rsidRPr="00CC6E99" w:rsidRDefault="00D9084C">
      <w:pPr>
        <w:pStyle w:val="Ttulo2"/>
      </w:pPr>
    </w:p>
    <w:p w:rsidR="00D9084C" w:rsidRPr="00CC6E99" w:rsidRDefault="005607BA">
      <w:pPr>
        <w:pStyle w:val="Ttulo1"/>
        <w:spacing w:before="0" w:line="312" w:lineRule="auto"/>
      </w:pPr>
      <w:r w:rsidRPr="00CC6E99">
        <w:t>3.</w:t>
      </w:r>
      <w:r w:rsidRPr="00CC6E99">
        <w:tab/>
        <w:t>Comentários</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Ttulo2"/>
        <w:spacing w:before="0" w:line="312" w:lineRule="auto"/>
      </w:pPr>
      <w:r w:rsidRPr="00CC6E99">
        <w:t>3.1.</w:t>
      </w:r>
      <w:r w:rsidRPr="00CC6E99">
        <w:tab/>
        <w:t>Comentários à Minuta</w:t>
      </w:r>
    </w:p>
    <w:p w:rsidR="00D9084C" w:rsidRPr="00CC6E99" w:rsidRDefault="00D9084C">
      <w:pPr>
        <w:pStyle w:val="CorpoA"/>
        <w:rPr>
          <w:rFonts w:ascii="Times New Roman" w:eastAsia="Times New Roman" w:hAnsi="Times New Roman" w:cs="Times New Roman"/>
          <w:sz w:val="24"/>
          <w:szCs w:val="24"/>
        </w:rPr>
      </w:pPr>
    </w:p>
    <w:p w:rsidR="00D9084C" w:rsidRPr="00CC6E99" w:rsidRDefault="005607BA">
      <w:pPr>
        <w:pStyle w:val="CorpoA"/>
        <w:rPr>
          <w:rFonts w:ascii="Times New Roman" w:eastAsia="Times New Roman" w:hAnsi="Times New Roman" w:cs="Times New Roman"/>
          <w:b/>
          <w:bCs/>
          <w:sz w:val="24"/>
          <w:szCs w:val="24"/>
        </w:rPr>
      </w:pPr>
      <w:r w:rsidRPr="00CC6E99">
        <w:rPr>
          <w:rFonts w:ascii="Times New Roman" w:hAnsi="Times New Roman" w:cs="Times New Roman"/>
          <w:b/>
          <w:bCs/>
          <w:sz w:val="24"/>
          <w:szCs w:val="24"/>
        </w:rPr>
        <w:t>3.1.1. Inclusão de referência à Resolução CMN nº 4.373, de 2014</w:t>
      </w:r>
      <w:r w:rsidR="00E64E6C" w:rsidRPr="00CC6E99">
        <w:rPr>
          <w:rFonts w:ascii="Times New Roman" w:hAnsi="Times New Roman" w:cs="Times New Roman"/>
          <w:b/>
          <w:bCs/>
          <w:sz w:val="24"/>
          <w:szCs w:val="24"/>
        </w:rPr>
        <w:t xml:space="preserve"> - a</w:t>
      </w:r>
      <w:r w:rsidRPr="00CC6E99">
        <w:rPr>
          <w:rFonts w:ascii="Times New Roman" w:hAnsi="Times New Roman" w:cs="Times New Roman"/>
          <w:b/>
          <w:bCs/>
          <w:sz w:val="24"/>
          <w:szCs w:val="24"/>
        </w:rPr>
        <w:t>rt. 1º</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LCCF Advogados propõe que seja feita referência à Resolução CMN nº 4.373, de 2014, no art. 1º para esclarecer a que “operações” o dispositivo faz referência, uma vez que não é toda e qualquer operação que obriga o investidor estrangeiro à obtençã</w:t>
      </w:r>
      <w:r w:rsidRPr="00CC6E99">
        <w:rPr>
          <w:rFonts w:ascii="Times New Roman" w:hAnsi="Times New Roman" w:cs="Times New Roman"/>
          <w:sz w:val="24"/>
          <w:szCs w:val="24"/>
          <w:lang w:val="es-ES_tradnl"/>
        </w:rPr>
        <w:t xml:space="preserve">o de </w:t>
      </w:r>
      <w:proofErr w:type="spellStart"/>
      <w:r w:rsidRPr="00CC6E99">
        <w:rPr>
          <w:rFonts w:ascii="Times New Roman" w:hAnsi="Times New Roman" w:cs="Times New Roman"/>
          <w:sz w:val="24"/>
          <w:szCs w:val="24"/>
          <w:lang w:val="es-ES_tradnl"/>
        </w:rPr>
        <w:t>pr</w:t>
      </w:r>
      <w:proofErr w:type="spellEnd"/>
      <w:r w:rsidRPr="00CC6E99">
        <w:rPr>
          <w:rFonts w:ascii="Times New Roman" w:hAnsi="Times New Roman" w:cs="Times New Roman"/>
          <w:sz w:val="24"/>
          <w:szCs w:val="24"/>
        </w:rPr>
        <w:t>évio registro na CVM.</w:t>
      </w:r>
    </w:p>
    <w:p w:rsidR="00D9084C" w:rsidRPr="00CC6E99" w:rsidRDefault="00D9084C">
      <w:pPr>
        <w:pStyle w:val="CorpoA"/>
        <w:widowControl w:val="0"/>
        <w:spacing w:after="0" w:line="312" w:lineRule="auto"/>
        <w:ind w:firstLine="709"/>
        <w:jc w:val="both"/>
        <w:rPr>
          <w:rFonts w:ascii="Times New Roman" w:eastAsia="Times New Roman" w:hAnsi="Times New Roman" w:cs="Times New Roman"/>
          <w:i/>
          <w:iCs/>
          <w:sz w:val="24"/>
          <w:szCs w:val="24"/>
        </w:rPr>
      </w:pPr>
    </w:p>
    <w:tbl>
      <w:tblPr>
        <w:tblStyle w:val="TableNormal"/>
        <w:tblW w:w="103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D9084C" w:rsidRPr="00AF4AA5">
        <w:trPr>
          <w:trHeight w:val="687"/>
        </w:trPr>
        <w:tc>
          <w:tcPr>
            <w:tcW w:w="10314" w:type="dxa"/>
            <w:tcBorders>
              <w:top w:val="single" w:sz="2" w:space="0" w:color="000000"/>
              <w:left w:val="single" w:sz="2" w:space="0" w:color="000000"/>
              <w:bottom w:val="single" w:sz="2" w:space="0" w:color="000000"/>
              <w:right w:val="single" w:sz="2" w:space="0" w:color="000000"/>
            </w:tcBorders>
            <w:shd w:val="clear" w:color="auto" w:fill="F2F2F2"/>
            <w:tcMar>
              <w:top w:w="80" w:type="dxa"/>
              <w:left w:w="80" w:type="dxa"/>
              <w:bottom w:w="80" w:type="dxa"/>
              <w:right w:w="80" w:type="dxa"/>
            </w:tcMar>
          </w:tcPr>
          <w:p w:rsidR="00D9084C" w:rsidRPr="00CC6E99" w:rsidRDefault="005607BA">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rPr>
              <w:t>A alteração não foi considerada necessária, dado que o preâmbulo da norma faz referência expressa à Resolução CMN nº 4.373, de 2014.</w:t>
            </w:r>
          </w:p>
        </w:tc>
      </w:tr>
    </w:tbl>
    <w:p w:rsidR="00D9084C" w:rsidRPr="00CC6E99" w:rsidRDefault="00D9084C" w:rsidP="006D249F">
      <w:pPr>
        <w:pStyle w:val="CorpoA"/>
        <w:rPr>
          <w:rFonts w:ascii="Times New Roman" w:eastAsia="Times New Roman" w:hAnsi="Times New Roman" w:cs="Times New Roman"/>
          <w:i/>
          <w:iCs/>
          <w:sz w:val="24"/>
          <w:szCs w:val="24"/>
        </w:rPr>
      </w:pPr>
    </w:p>
    <w:p w:rsidR="00D9084C" w:rsidRPr="00CC6E99" w:rsidRDefault="005607BA">
      <w:pPr>
        <w:pStyle w:val="CorpoA"/>
        <w:rPr>
          <w:rFonts w:ascii="Times New Roman" w:eastAsia="Times New Roman" w:hAnsi="Times New Roman" w:cs="Times New Roman"/>
          <w:b/>
          <w:bCs/>
          <w:sz w:val="24"/>
          <w:szCs w:val="24"/>
        </w:rPr>
      </w:pPr>
      <w:r w:rsidRPr="00CC6E99">
        <w:rPr>
          <w:rFonts w:ascii="Times New Roman" w:hAnsi="Times New Roman" w:cs="Times New Roman"/>
          <w:b/>
          <w:bCs/>
          <w:sz w:val="24"/>
          <w:szCs w:val="24"/>
        </w:rPr>
        <w:t>3.1.2. Registro automá</w:t>
      </w:r>
      <w:r w:rsidR="008848C0" w:rsidRPr="00CC6E99">
        <w:rPr>
          <w:rFonts w:ascii="Times New Roman" w:hAnsi="Times New Roman" w:cs="Times New Roman"/>
          <w:b/>
          <w:bCs/>
          <w:sz w:val="24"/>
          <w:szCs w:val="24"/>
        </w:rPr>
        <w:t xml:space="preserve">tico - </w:t>
      </w:r>
      <w:r w:rsidRPr="00CC6E99">
        <w:rPr>
          <w:rFonts w:ascii="Times New Roman" w:hAnsi="Times New Roman" w:cs="Times New Roman"/>
          <w:b/>
          <w:bCs/>
          <w:sz w:val="24"/>
          <w:szCs w:val="24"/>
        </w:rPr>
        <w:t>arts. 6º e 8º</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A BM&amp;FBOVESPA propõe a exclusão da palavra “pedido” do título da Seçã</w:t>
      </w:r>
      <w:r w:rsidRPr="00CC6E99">
        <w:rPr>
          <w:rFonts w:ascii="Times New Roman" w:hAnsi="Times New Roman" w:cs="Times New Roman"/>
          <w:sz w:val="24"/>
          <w:szCs w:val="24"/>
          <w:lang w:val="it-IT"/>
        </w:rPr>
        <w:t>o II</w:t>
      </w:r>
      <w:r w:rsidRPr="00CC6E99">
        <w:rPr>
          <w:rFonts w:ascii="Times New Roman" w:hAnsi="Times New Roman" w:cs="Times New Roman"/>
          <w:sz w:val="24"/>
          <w:szCs w:val="24"/>
        </w:rPr>
        <w:t xml:space="preserve"> e a ANBIMA faz sugestões em relação aos arts. 6º e 8º, com o objetivo de esclarecer que o registro será concedido automaticamente:</w:t>
      </w: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 xml:space="preserve"> </w:t>
      </w:r>
    </w:p>
    <w:p w:rsidR="00D9084C" w:rsidRPr="00CC6E99" w:rsidRDefault="005607BA">
      <w:pPr>
        <w:pStyle w:val="CorpoA"/>
        <w:spacing w:after="0" w:line="312" w:lineRule="auto"/>
        <w:ind w:left="709"/>
        <w:jc w:val="both"/>
        <w:rPr>
          <w:rFonts w:ascii="Times New Roman" w:eastAsia="Times New Roman" w:hAnsi="Times New Roman" w:cs="Times New Roman"/>
          <w:i/>
          <w:iCs/>
          <w:sz w:val="24"/>
          <w:szCs w:val="24"/>
        </w:rPr>
      </w:pPr>
      <w:r w:rsidRPr="00CC6E99">
        <w:rPr>
          <w:rFonts w:ascii="Times New Roman" w:hAnsi="Times New Roman" w:cs="Times New Roman"/>
          <w:i/>
          <w:iCs/>
          <w:sz w:val="24"/>
          <w:szCs w:val="24"/>
        </w:rPr>
        <w:t xml:space="preserve">“Art. 6º O </w:t>
      </w:r>
      <w:r w:rsidRPr="00CC6E99">
        <w:rPr>
          <w:rFonts w:ascii="Times New Roman" w:hAnsi="Times New Roman" w:cs="Times New Roman"/>
          <w:i/>
          <w:iCs/>
          <w:strike/>
          <w:sz w:val="24"/>
          <w:szCs w:val="24"/>
          <w:lang w:val="es-ES_tradnl"/>
        </w:rPr>
        <w:t>pedido de</w:t>
      </w:r>
      <w:r w:rsidRPr="00CC6E99">
        <w:rPr>
          <w:rFonts w:ascii="Times New Roman" w:hAnsi="Times New Roman" w:cs="Times New Roman"/>
          <w:i/>
          <w:iCs/>
          <w:sz w:val="24"/>
          <w:szCs w:val="24"/>
          <w:lang w:val="es-ES_tradnl"/>
        </w:rPr>
        <w:t xml:space="preserve"> registro de </w:t>
      </w:r>
      <w:proofErr w:type="spellStart"/>
      <w:r w:rsidRPr="00CC6E99">
        <w:rPr>
          <w:rFonts w:ascii="Times New Roman" w:hAnsi="Times New Roman" w:cs="Times New Roman"/>
          <w:i/>
          <w:iCs/>
          <w:sz w:val="24"/>
          <w:szCs w:val="24"/>
          <w:lang w:val="es-ES_tradnl"/>
        </w:rPr>
        <w:t>investidor</w:t>
      </w:r>
      <w:proofErr w:type="spellEnd"/>
      <w:r w:rsidRPr="00CC6E99">
        <w:rPr>
          <w:rFonts w:ascii="Times New Roman" w:hAnsi="Times New Roman" w:cs="Times New Roman"/>
          <w:i/>
          <w:iCs/>
          <w:sz w:val="24"/>
          <w:szCs w:val="24"/>
          <w:lang w:val="es-ES_tradnl"/>
        </w:rPr>
        <w:t xml:space="preserve"> n</w:t>
      </w:r>
      <w:r w:rsidRPr="00CC6E99">
        <w:rPr>
          <w:rFonts w:ascii="Times New Roman" w:hAnsi="Times New Roman" w:cs="Times New Roman"/>
          <w:i/>
          <w:iCs/>
          <w:sz w:val="24"/>
          <w:szCs w:val="24"/>
        </w:rPr>
        <w:t xml:space="preserve">ão residente </w:t>
      </w:r>
      <w:proofErr w:type="spellStart"/>
      <w:r w:rsidRPr="00CC6E99">
        <w:rPr>
          <w:rFonts w:ascii="Times New Roman" w:hAnsi="Times New Roman" w:cs="Times New Roman"/>
          <w:i/>
          <w:iCs/>
          <w:sz w:val="24"/>
          <w:szCs w:val="24"/>
          <w:u w:val="single"/>
          <w:lang w:val="es-ES_tradnl"/>
        </w:rPr>
        <w:t>perante</w:t>
      </w:r>
      <w:proofErr w:type="spellEnd"/>
      <w:r w:rsidRPr="00CC6E99">
        <w:rPr>
          <w:rFonts w:ascii="Times New Roman" w:hAnsi="Times New Roman" w:cs="Times New Roman"/>
          <w:i/>
          <w:iCs/>
          <w:sz w:val="24"/>
          <w:szCs w:val="24"/>
          <w:u w:val="single"/>
          <w:lang w:val="es-ES_tradnl"/>
        </w:rPr>
        <w:t xml:space="preserve"> a CVM</w:t>
      </w:r>
      <w:r w:rsidRPr="00CC6E99">
        <w:rPr>
          <w:rFonts w:ascii="Times New Roman" w:hAnsi="Times New Roman" w:cs="Times New Roman"/>
          <w:i/>
          <w:iCs/>
          <w:sz w:val="24"/>
          <w:szCs w:val="24"/>
        </w:rPr>
        <w:t xml:space="preserve"> será concedido automaticamente</w:t>
      </w:r>
      <w:r w:rsidRPr="00CC6E99">
        <w:rPr>
          <w:rFonts w:ascii="Times New Roman" w:hAnsi="Times New Roman" w:cs="Times New Roman"/>
          <w:i/>
          <w:iCs/>
          <w:sz w:val="24"/>
          <w:szCs w:val="24"/>
          <w:u w:val="single"/>
        </w:rPr>
        <w:t>, nos termos do procedimento estabelecido nesta Seção</w:t>
      </w:r>
      <w:r w:rsidRPr="00CC6E99">
        <w:rPr>
          <w:rFonts w:ascii="Times New Roman" w:hAnsi="Times New Roman" w:cs="Times New Roman"/>
          <w:i/>
          <w:iCs/>
          <w:sz w:val="24"/>
          <w:szCs w:val="24"/>
        </w:rPr>
        <w:t xml:space="preserve">.” </w:t>
      </w:r>
    </w:p>
    <w:p w:rsidR="00D9084C" w:rsidRPr="00CC6E99" w:rsidRDefault="00D9084C">
      <w:pPr>
        <w:pStyle w:val="CorpoA"/>
        <w:spacing w:after="0" w:line="312" w:lineRule="auto"/>
        <w:ind w:left="709"/>
        <w:jc w:val="both"/>
        <w:rPr>
          <w:rFonts w:ascii="Times New Roman" w:eastAsia="Times New Roman" w:hAnsi="Times New Roman" w:cs="Times New Roman"/>
          <w:i/>
          <w:iCs/>
          <w:sz w:val="24"/>
          <w:szCs w:val="24"/>
        </w:rPr>
      </w:pPr>
    </w:p>
    <w:p w:rsidR="00D9084C" w:rsidRPr="00CC6E99" w:rsidRDefault="005607BA">
      <w:pPr>
        <w:pStyle w:val="CorpoA"/>
        <w:spacing w:after="0" w:line="312" w:lineRule="auto"/>
        <w:ind w:left="709"/>
        <w:jc w:val="both"/>
        <w:rPr>
          <w:rFonts w:ascii="Times New Roman" w:eastAsia="Times New Roman" w:hAnsi="Times New Roman" w:cs="Times New Roman"/>
          <w:i/>
          <w:iCs/>
          <w:sz w:val="24"/>
          <w:szCs w:val="24"/>
        </w:rPr>
      </w:pPr>
      <w:r w:rsidRPr="00CC6E99">
        <w:rPr>
          <w:rFonts w:ascii="Times New Roman" w:hAnsi="Times New Roman" w:cs="Times New Roman"/>
          <w:i/>
          <w:iCs/>
          <w:sz w:val="24"/>
          <w:szCs w:val="24"/>
        </w:rPr>
        <w:t xml:space="preserve">“Art. 8º O </w:t>
      </w:r>
      <w:r w:rsidRPr="00CC6E99">
        <w:rPr>
          <w:rFonts w:ascii="Times New Roman" w:hAnsi="Times New Roman" w:cs="Times New Roman"/>
          <w:i/>
          <w:iCs/>
          <w:strike/>
          <w:sz w:val="24"/>
          <w:szCs w:val="24"/>
          <w:lang w:val="es-ES_tradnl"/>
        </w:rPr>
        <w:t>pedido de</w:t>
      </w:r>
      <w:r w:rsidRPr="00CC6E99">
        <w:rPr>
          <w:rFonts w:ascii="Times New Roman" w:hAnsi="Times New Roman" w:cs="Times New Roman"/>
          <w:i/>
          <w:iCs/>
          <w:sz w:val="24"/>
          <w:szCs w:val="24"/>
          <w:lang w:val="it-IT"/>
        </w:rPr>
        <w:t xml:space="preserve"> registro </w:t>
      </w:r>
      <w:r w:rsidRPr="00CC6E99">
        <w:rPr>
          <w:rFonts w:ascii="Times New Roman" w:hAnsi="Times New Roman" w:cs="Times New Roman"/>
          <w:i/>
          <w:iCs/>
          <w:sz w:val="24"/>
          <w:szCs w:val="24"/>
          <w:u w:val="single"/>
        </w:rPr>
        <w:t>do investidor não residente na CVM</w:t>
      </w:r>
      <w:r w:rsidRPr="00CC6E99">
        <w:rPr>
          <w:rFonts w:ascii="Times New Roman" w:hAnsi="Times New Roman" w:cs="Times New Roman"/>
          <w:i/>
          <w:iCs/>
          <w:sz w:val="24"/>
          <w:szCs w:val="24"/>
        </w:rPr>
        <w:t xml:space="preserve"> produzirá efeitos decorrido 1 (um) dia útil da data de recebimento das informações previstas no Anexo 1.”</w:t>
      </w:r>
    </w:p>
    <w:p w:rsidR="00D9084C" w:rsidRPr="00CC6E99" w:rsidRDefault="00D9084C">
      <w:pPr>
        <w:pStyle w:val="CorpoA"/>
        <w:widowControl w:val="0"/>
        <w:spacing w:after="0" w:line="312" w:lineRule="auto"/>
        <w:ind w:firstLine="709"/>
        <w:jc w:val="both"/>
        <w:rPr>
          <w:rFonts w:ascii="Times New Roman" w:eastAsia="Times New Roman" w:hAnsi="Times New Roman" w:cs="Times New Roman"/>
          <w:sz w:val="24"/>
          <w:szCs w:val="24"/>
        </w:rPr>
      </w:pPr>
    </w:p>
    <w:tbl>
      <w:tblPr>
        <w:tblStyle w:val="TableNormal"/>
        <w:tblW w:w="103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D9084C" w:rsidRPr="00CC6E99">
        <w:trPr>
          <w:trHeight w:val="697"/>
        </w:trPr>
        <w:tc>
          <w:tcPr>
            <w:tcW w:w="1031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D9084C" w:rsidRPr="00CC6E99" w:rsidRDefault="005607BA" w:rsidP="00890957">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rPr>
              <w:t>A</w:t>
            </w:r>
            <w:r w:rsidR="00890957" w:rsidRPr="00CC6E99">
              <w:rPr>
                <w:rFonts w:ascii="Times New Roman" w:hAnsi="Times New Roman" w:cs="Times New Roman"/>
                <w:sz w:val="24"/>
                <w:szCs w:val="24"/>
              </w:rPr>
              <w:t>s</w:t>
            </w:r>
            <w:r w:rsidR="002069B7" w:rsidRPr="00CC6E99">
              <w:rPr>
                <w:rFonts w:ascii="Times New Roman" w:hAnsi="Times New Roman" w:cs="Times New Roman"/>
                <w:sz w:val="24"/>
                <w:szCs w:val="24"/>
              </w:rPr>
              <w:t xml:space="preserve"> sugest</w:t>
            </w:r>
            <w:r w:rsidR="00890957" w:rsidRPr="00CC6E99">
              <w:rPr>
                <w:rFonts w:ascii="Times New Roman" w:hAnsi="Times New Roman" w:cs="Times New Roman"/>
                <w:sz w:val="24"/>
                <w:szCs w:val="24"/>
              </w:rPr>
              <w:t>ões</w:t>
            </w:r>
            <w:r w:rsidR="002069B7" w:rsidRPr="00CC6E99">
              <w:rPr>
                <w:rFonts w:ascii="Times New Roman" w:hAnsi="Times New Roman" w:cs="Times New Roman"/>
                <w:sz w:val="24"/>
                <w:szCs w:val="24"/>
              </w:rPr>
              <w:t xml:space="preserve"> </w:t>
            </w:r>
            <w:r w:rsidR="00890957" w:rsidRPr="00CC6E99">
              <w:rPr>
                <w:rFonts w:ascii="Times New Roman" w:hAnsi="Times New Roman" w:cs="Times New Roman"/>
                <w:sz w:val="24"/>
                <w:szCs w:val="24"/>
              </w:rPr>
              <w:t>referentes</w:t>
            </w:r>
            <w:r w:rsidR="002069B7" w:rsidRPr="00CC6E99">
              <w:rPr>
                <w:rFonts w:ascii="Times New Roman" w:hAnsi="Times New Roman" w:cs="Times New Roman"/>
                <w:sz w:val="24"/>
                <w:szCs w:val="24"/>
              </w:rPr>
              <w:t xml:space="preserve"> </w:t>
            </w:r>
            <w:r w:rsidR="00890957" w:rsidRPr="00CC6E99">
              <w:rPr>
                <w:rFonts w:ascii="Times New Roman" w:hAnsi="Times New Roman" w:cs="Times New Roman"/>
                <w:sz w:val="24"/>
                <w:szCs w:val="24"/>
              </w:rPr>
              <w:t xml:space="preserve">à </w:t>
            </w:r>
            <w:r w:rsidR="002069B7" w:rsidRPr="00CC6E99">
              <w:rPr>
                <w:rFonts w:ascii="Times New Roman" w:hAnsi="Times New Roman" w:cs="Times New Roman"/>
                <w:sz w:val="24"/>
                <w:szCs w:val="24"/>
              </w:rPr>
              <w:t>exclu</w:t>
            </w:r>
            <w:r w:rsidR="00890957" w:rsidRPr="00CC6E99">
              <w:rPr>
                <w:rFonts w:ascii="Times New Roman" w:hAnsi="Times New Roman" w:cs="Times New Roman"/>
                <w:sz w:val="24"/>
                <w:szCs w:val="24"/>
              </w:rPr>
              <w:t>são</w:t>
            </w:r>
            <w:r w:rsidR="002069B7" w:rsidRPr="00CC6E99">
              <w:rPr>
                <w:rFonts w:ascii="Times New Roman" w:hAnsi="Times New Roman" w:cs="Times New Roman"/>
                <w:sz w:val="24"/>
                <w:szCs w:val="24"/>
              </w:rPr>
              <w:t xml:space="preserve"> </w:t>
            </w:r>
            <w:r w:rsidR="00890957" w:rsidRPr="00CC6E99">
              <w:rPr>
                <w:rFonts w:ascii="Times New Roman" w:hAnsi="Times New Roman" w:cs="Times New Roman"/>
                <w:sz w:val="24"/>
                <w:szCs w:val="24"/>
              </w:rPr>
              <w:t>do termo “pedido”</w:t>
            </w:r>
            <w:r w:rsidR="002069B7" w:rsidRPr="00CC6E99">
              <w:rPr>
                <w:rFonts w:ascii="Times New Roman" w:hAnsi="Times New Roman" w:cs="Times New Roman"/>
                <w:sz w:val="24"/>
                <w:szCs w:val="24"/>
              </w:rPr>
              <w:t xml:space="preserve"> </w:t>
            </w:r>
            <w:r w:rsidRPr="00CC6E99">
              <w:rPr>
                <w:rFonts w:ascii="Times New Roman" w:hAnsi="Times New Roman" w:cs="Times New Roman"/>
                <w:sz w:val="24"/>
                <w:szCs w:val="24"/>
              </w:rPr>
              <w:t>fo</w:t>
            </w:r>
            <w:r w:rsidR="002069B7" w:rsidRPr="00CC6E99">
              <w:rPr>
                <w:rFonts w:ascii="Times New Roman" w:hAnsi="Times New Roman" w:cs="Times New Roman"/>
                <w:sz w:val="24"/>
                <w:szCs w:val="24"/>
              </w:rPr>
              <w:t>i</w:t>
            </w:r>
            <w:r w:rsidRPr="00CC6E99">
              <w:rPr>
                <w:rFonts w:ascii="Times New Roman" w:hAnsi="Times New Roman" w:cs="Times New Roman"/>
                <w:sz w:val="24"/>
                <w:szCs w:val="24"/>
              </w:rPr>
              <w:t xml:space="preserve"> acatada</w:t>
            </w:r>
            <w:r w:rsidR="002069B7" w:rsidRPr="00CC6E99">
              <w:rPr>
                <w:rFonts w:ascii="Times New Roman" w:hAnsi="Times New Roman" w:cs="Times New Roman"/>
                <w:sz w:val="24"/>
                <w:szCs w:val="24"/>
              </w:rPr>
              <w:t xml:space="preserve">. As demais alterações não foram consideradas </w:t>
            </w:r>
            <w:r w:rsidRPr="00CC6E99">
              <w:rPr>
                <w:rFonts w:ascii="Times New Roman" w:hAnsi="Times New Roman" w:cs="Times New Roman"/>
                <w:sz w:val="24"/>
                <w:szCs w:val="24"/>
              </w:rPr>
              <w:t>necessária</w:t>
            </w:r>
            <w:r w:rsidR="002069B7" w:rsidRPr="00CC6E99">
              <w:rPr>
                <w:rFonts w:ascii="Times New Roman" w:hAnsi="Times New Roman" w:cs="Times New Roman"/>
                <w:sz w:val="24"/>
                <w:szCs w:val="24"/>
              </w:rPr>
              <w:t>s</w:t>
            </w:r>
            <w:r w:rsidRPr="00CC6E99">
              <w:rPr>
                <w:rFonts w:ascii="Times New Roman" w:hAnsi="Times New Roman" w:cs="Times New Roman"/>
                <w:sz w:val="24"/>
                <w:szCs w:val="24"/>
              </w:rPr>
              <w:t>.</w:t>
            </w:r>
          </w:p>
        </w:tc>
      </w:tr>
    </w:tbl>
    <w:p w:rsidR="00D9084C" w:rsidRPr="00CC6E99" w:rsidRDefault="00D9084C" w:rsidP="004108F5">
      <w:pPr>
        <w:pStyle w:val="CorpoA"/>
        <w:spacing w:after="0" w:line="312" w:lineRule="auto"/>
        <w:ind w:firstLine="709"/>
        <w:jc w:val="both"/>
        <w:rPr>
          <w:rFonts w:ascii="Times New Roman" w:eastAsia="Times New Roman" w:hAnsi="Times New Roman" w:cs="Times New Roman"/>
          <w:sz w:val="24"/>
          <w:szCs w:val="24"/>
        </w:rPr>
      </w:pPr>
    </w:p>
    <w:p w:rsidR="004108F5" w:rsidRPr="00CC6E99" w:rsidRDefault="004108F5" w:rsidP="004108F5">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Ttulo3"/>
        <w:spacing w:before="0"/>
        <w:rPr>
          <w:rFonts w:hAnsi="Times New Roman" w:cs="Times New Roman"/>
        </w:rPr>
      </w:pPr>
      <w:r w:rsidRPr="00CC6E99">
        <w:rPr>
          <w:rFonts w:hAnsi="Times New Roman" w:cs="Times New Roman"/>
        </w:rPr>
        <w:lastRenderedPageBreak/>
        <w:t>3.1.3. Término do contrato de custódia sem indicaçã</w:t>
      </w:r>
      <w:r w:rsidR="008848C0" w:rsidRPr="00CC6E99">
        <w:rPr>
          <w:rFonts w:hAnsi="Times New Roman" w:cs="Times New Roman"/>
        </w:rPr>
        <w:t xml:space="preserve">o de outro custodiante (atuais </w:t>
      </w:r>
      <w:r w:rsidRPr="00CC6E99">
        <w:rPr>
          <w:rFonts w:hAnsi="Times New Roman" w:cs="Times New Roman"/>
        </w:rPr>
        <w:t xml:space="preserve">arts. 9º </w:t>
      </w:r>
      <w:r w:rsidR="008848C0" w:rsidRPr="00CC6E99">
        <w:rPr>
          <w:rFonts w:hAnsi="Times New Roman" w:cs="Times New Roman"/>
        </w:rPr>
        <w:t>e 16)</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A ANBIMA indica que a Minuta aborda a comunicação à CVM do cancelamento do contrato de representação, mas não trata do encerramento do contrato de custódia, sem que o investidor tenha realizado a indicação do novo custodiante.</w:t>
      </w: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 xml:space="preserve"> </w:t>
      </w:r>
    </w:p>
    <w:p w:rsidR="00D9084C" w:rsidRPr="00CC6E99" w:rsidRDefault="0047503B">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C</w:t>
      </w:r>
      <w:r w:rsidR="005607BA" w:rsidRPr="00CC6E99">
        <w:rPr>
          <w:rFonts w:ascii="Times New Roman" w:hAnsi="Times New Roman" w:cs="Times New Roman"/>
          <w:sz w:val="24"/>
          <w:szCs w:val="24"/>
        </w:rPr>
        <w:t xml:space="preserve">om o encerramento do contrato de custódia, </w:t>
      </w:r>
      <w:r w:rsidR="008848C0" w:rsidRPr="00CC6E99">
        <w:rPr>
          <w:rFonts w:ascii="Times New Roman" w:hAnsi="Times New Roman" w:cs="Times New Roman"/>
          <w:sz w:val="24"/>
          <w:szCs w:val="24"/>
        </w:rPr>
        <w:t>deveria</w:t>
      </w:r>
      <w:r w:rsidR="005607BA" w:rsidRPr="00CC6E99">
        <w:rPr>
          <w:rFonts w:ascii="Times New Roman" w:hAnsi="Times New Roman" w:cs="Times New Roman"/>
          <w:sz w:val="24"/>
          <w:szCs w:val="24"/>
        </w:rPr>
        <w:t xml:space="preserve"> </w:t>
      </w:r>
      <w:r w:rsidR="008848C0" w:rsidRPr="00CC6E99">
        <w:rPr>
          <w:rFonts w:ascii="Times New Roman" w:hAnsi="Times New Roman" w:cs="Times New Roman"/>
          <w:sz w:val="24"/>
          <w:szCs w:val="24"/>
        </w:rPr>
        <w:t xml:space="preserve">ser considerado que o custodiante está </w:t>
      </w:r>
      <w:r w:rsidR="005607BA" w:rsidRPr="00CC6E99">
        <w:rPr>
          <w:rFonts w:ascii="Times New Roman" w:hAnsi="Times New Roman" w:cs="Times New Roman"/>
          <w:sz w:val="24"/>
          <w:szCs w:val="24"/>
        </w:rPr>
        <w:t>desvinculado de suas obrigações contratuais, não podendo permanecer vinculado em decorrê</w:t>
      </w:r>
      <w:proofErr w:type="spellStart"/>
      <w:r w:rsidR="005607BA" w:rsidRPr="00CC6E99">
        <w:rPr>
          <w:rFonts w:ascii="Times New Roman" w:hAnsi="Times New Roman" w:cs="Times New Roman"/>
          <w:sz w:val="24"/>
          <w:szCs w:val="24"/>
          <w:lang w:val="es-ES_tradnl"/>
        </w:rPr>
        <w:t>ncia</w:t>
      </w:r>
      <w:proofErr w:type="spellEnd"/>
      <w:r w:rsidR="005607BA" w:rsidRPr="00CC6E99">
        <w:rPr>
          <w:rFonts w:ascii="Times New Roman" w:hAnsi="Times New Roman" w:cs="Times New Roman"/>
          <w:sz w:val="24"/>
          <w:szCs w:val="24"/>
          <w:lang w:val="es-ES_tradnl"/>
        </w:rPr>
        <w:t xml:space="preserve"> de eventual in</w:t>
      </w:r>
      <w:r w:rsidR="005607BA" w:rsidRPr="00CC6E99">
        <w:rPr>
          <w:rFonts w:ascii="Times New Roman" w:hAnsi="Times New Roman" w:cs="Times New Roman"/>
          <w:sz w:val="24"/>
          <w:szCs w:val="24"/>
        </w:rPr>
        <w:t xml:space="preserve">ércia do investidor </w:t>
      </w:r>
      <w:r w:rsidR="008848C0" w:rsidRPr="00CC6E99">
        <w:rPr>
          <w:rFonts w:ascii="Times New Roman" w:hAnsi="Times New Roman" w:cs="Times New Roman"/>
          <w:sz w:val="24"/>
          <w:szCs w:val="24"/>
        </w:rPr>
        <w:t xml:space="preserve">não residente </w:t>
      </w:r>
      <w:r w:rsidR="005607BA" w:rsidRPr="00CC6E99">
        <w:rPr>
          <w:rFonts w:ascii="Times New Roman" w:hAnsi="Times New Roman" w:cs="Times New Roman"/>
          <w:sz w:val="24"/>
          <w:szCs w:val="24"/>
        </w:rPr>
        <w:t xml:space="preserve">na indicação de novo prestador de serviço. </w:t>
      </w:r>
    </w:p>
    <w:p w:rsidR="00D9084C" w:rsidRPr="00CC6E99" w:rsidRDefault="00D9084C">
      <w:pPr>
        <w:pStyle w:val="CorpoA"/>
        <w:spacing w:after="0" w:line="240" w:lineRule="auto"/>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A regulamentação, no entanto, seja a Instrução CVM nº 542, de 2013, que trata da custódia de valores mobiliários em termos amplos, seja a atual Instrução CVM nº 325, de 2000, ou a Minuta</w:t>
      </w:r>
      <w:r w:rsidRPr="00CC6E99">
        <w:rPr>
          <w:rFonts w:ascii="Times New Roman" w:hAnsi="Times New Roman" w:cs="Times New Roman"/>
          <w:sz w:val="24"/>
          <w:szCs w:val="24"/>
          <w:lang w:val="es-ES_tradnl"/>
        </w:rPr>
        <w:t>, n</w:t>
      </w:r>
      <w:r w:rsidRPr="00CC6E99">
        <w:rPr>
          <w:rFonts w:ascii="Times New Roman" w:hAnsi="Times New Roman" w:cs="Times New Roman"/>
          <w:sz w:val="24"/>
          <w:szCs w:val="24"/>
        </w:rPr>
        <w:t>ão aborda explicitamente, ou esclarece, o tratamento da situação específica do encerramento do contrato sem indicação de novo custodiante. O §</w:t>
      </w:r>
      <w:r w:rsidRPr="00CC6E99">
        <w:rPr>
          <w:rFonts w:ascii="Times New Roman" w:hAnsi="Times New Roman" w:cs="Times New Roman"/>
          <w:sz w:val="24"/>
          <w:szCs w:val="24"/>
          <w:lang w:val="it-IT"/>
        </w:rPr>
        <w:t>1</w:t>
      </w:r>
      <w:r w:rsidRPr="00CC6E99">
        <w:rPr>
          <w:rFonts w:ascii="Times New Roman" w:hAnsi="Times New Roman" w:cs="Times New Roman"/>
          <w:sz w:val="24"/>
          <w:szCs w:val="24"/>
        </w:rPr>
        <w:t xml:space="preserve">º do art. 10 da Instrução CVM nº </w:t>
      </w:r>
      <w:r w:rsidRPr="00CC6E99">
        <w:rPr>
          <w:rFonts w:ascii="Times New Roman" w:hAnsi="Times New Roman" w:cs="Times New Roman"/>
          <w:sz w:val="24"/>
          <w:szCs w:val="24"/>
          <w:lang w:val="es-ES_tradnl"/>
        </w:rPr>
        <w:t xml:space="preserve">542, de 2013, </w:t>
      </w:r>
      <w:proofErr w:type="spellStart"/>
      <w:r w:rsidRPr="00CC6E99">
        <w:rPr>
          <w:rFonts w:ascii="Times New Roman" w:hAnsi="Times New Roman" w:cs="Times New Roman"/>
          <w:sz w:val="24"/>
          <w:szCs w:val="24"/>
          <w:lang w:val="es-ES_tradnl"/>
        </w:rPr>
        <w:t>disp</w:t>
      </w:r>
      <w:proofErr w:type="spellEnd"/>
      <w:r w:rsidRPr="00CC6E99">
        <w:rPr>
          <w:rFonts w:ascii="Times New Roman" w:hAnsi="Times New Roman" w:cs="Times New Roman"/>
          <w:sz w:val="24"/>
          <w:szCs w:val="24"/>
        </w:rPr>
        <w:t>õe somente que o custodiante deve realizar a transferência dos valores mobiliários ao custodiante indicado pelo investidor.</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 xml:space="preserve">Nesse sentido, </w:t>
      </w:r>
      <w:r w:rsidR="00807DD0" w:rsidRPr="00CC6E99">
        <w:rPr>
          <w:rFonts w:ascii="Times New Roman" w:hAnsi="Times New Roman" w:cs="Times New Roman"/>
          <w:sz w:val="24"/>
          <w:szCs w:val="24"/>
        </w:rPr>
        <w:t xml:space="preserve">a ANBIMA </w:t>
      </w:r>
      <w:r w:rsidRPr="00CC6E99">
        <w:rPr>
          <w:rFonts w:ascii="Times New Roman" w:hAnsi="Times New Roman" w:cs="Times New Roman"/>
          <w:sz w:val="24"/>
          <w:szCs w:val="24"/>
        </w:rPr>
        <w:t>sugere a inclusão de regras para prever que a extinção ou cancelamento de contrato de custódia sem a designação de novo custodiante deve ser comunicada pelo representante do investidor não residente à CVM, bem como aos depositários centrais, escrituradores e demais entidades envolvidas, ficando o custodiante responsável pelas obrigações previstas na norma específica que trata da atividade de custódia até que essa comunicação seja realizada. Sugere também que a norma preveja o dever do custodiante manter todos os documentos e informações relativas à atividade de custódia pelo prazo de 5 anos contados do término do contrato.</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Default="005607BA">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rPr>
        <w:t>A participante indica que o problema envolve o serviço de custódia de forma geral, não sendo restrito ao caso dos investidores não residentes. Assim, uma abordagem alternativa seria</w:t>
      </w:r>
      <w:r w:rsidRPr="00CC6E99">
        <w:rPr>
          <w:rFonts w:ascii="Times New Roman" w:hAnsi="Times New Roman" w:cs="Times New Roman"/>
          <w:sz w:val="24"/>
          <w:szCs w:val="24"/>
          <w:lang w:val="es-ES_tradnl"/>
        </w:rPr>
        <w:t xml:space="preserve"> trata</w:t>
      </w:r>
      <w:r w:rsidRPr="00CC6E99">
        <w:rPr>
          <w:rFonts w:ascii="Times New Roman" w:hAnsi="Times New Roman" w:cs="Times New Roman"/>
          <w:sz w:val="24"/>
          <w:szCs w:val="24"/>
        </w:rPr>
        <w:t>r o tema na regulamentação específica da atividade de custódia de valores mobiliá</w:t>
      </w:r>
      <w:proofErr w:type="spellStart"/>
      <w:r w:rsidRPr="00CC6E99">
        <w:rPr>
          <w:rFonts w:ascii="Times New Roman" w:hAnsi="Times New Roman" w:cs="Times New Roman"/>
          <w:sz w:val="24"/>
          <w:szCs w:val="24"/>
          <w:lang w:val="es-ES_tradnl"/>
        </w:rPr>
        <w:t>rios</w:t>
      </w:r>
      <w:proofErr w:type="spellEnd"/>
      <w:r w:rsidRPr="00CC6E99">
        <w:rPr>
          <w:rFonts w:ascii="Times New Roman" w:hAnsi="Times New Roman" w:cs="Times New Roman"/>
          <w:sz w:val="24"/>
          <w:szCs w:val="24"/>
          <w:lang w:val="es-ES_tradnl"/>
        </w:rPr>
        <w:t xml:space="preserve"> (</w:t>
      </w:r>
      <w:proofErr w:type="spellStart"/>
      <w:r w:rsidRPr="00CC6E99">
        <w:rPr>
          <w:rFonts w:ascii="Times New Roman" w:hAnsi="Times New Roman" w:cs="Times New Roman"/>
          <w:sz w:val="24"/>
          <w:szCs w:val="24"/>
          <w:lang w:val="es-ES_tradnl"/>
        </w:rPr>
        <w:t>Instru</w:t>
      </w:r>
      <w:proofErr w:type="spellEnd"/>
      <w:r w:rsidRPr="00CC6E99">
        <w:rPr>
          <w:rFonts w:ascii="Times New Roman" w:hAnsi="Times New Roman" w:cs="Times New Roman"/>
          <w:sz w:val="24"/>
          <w:szCs w:val="24"/>
        </w:rPr>
        <w:t>ção CVM nº 542, de 2013), com eventuais reflexos nas demais normas reguladoras da infraestrutura do mercado de capitais, em particular a Instrução nº 541, de 2013, da CVM.</w:t>
      </w:r>
    </w:p>
    <w:tbl>
      <w:tblPr>
        <w:tblStyle w:val="TableNormal"/>
        <w:tblpPr w:leftFromText="141" w:rightFromText="141" w:vertAnchor="text" w:horzAnchor="margin" w:tblpY="249"/>
        <w:tblW w:w="103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796B1C" w:rsidRPr="00AF4AA5" w:rsidTr="00DF32E3">
        <w:trPr>
          <w:trHeight w:val="697"/>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796B1C" w:rsidRPr="00CC6E99" w:rsidRDefault="00796B1C" w:rsidP="00796B1C">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 xml:space="preserve">A sugestão foi considerada parcialmente procedente. A CVM entende que não há necessidade de alteração da </w:t>
            </w:r>
            <w:proofErr w:type="spellStart"/>
            <w:r w:rsidRPr="00CC6E99">
              <w:rPr>
                <w:rFonts w:ascii="Times New Roman" w:hAnsi="Times New Roman" w:cs="Times New Roman"/>
                <w:sz w:val="24"/>
                <w:szCs w:val="24"/>
                <w:lang w:val="es-ES_tradnl"/>
              </w:rPr>
              <w:t>Instru</w:t>
            </w:r>
            <w:proofErr w:type="spellEnd"/>
            <w:r w:rsidRPr="00CC6E99">
              <w:rPr>
                <w:rFonts w:ascii="Times New Roman" w:hAnsi="Times New Roman" w:cs="Times New Roman"/>
                <w:sz w:val="24"/>
                <w:szCs w:val="24"/>
              </w:rPr>
              <w:t>ção CVM nº 542, de 2013, no momento</w:t>
            </w:r>
            <w:r w:rsidR="00DF32E3">
              <w:rPr>
                <w:rFonts w:ascii="Times New Roman" w:hAnsi="Times New Roman" w:cs="Times New Roman"/>
                <w:sz w:val="24"/>
                <w:szCs w:val="24"/>
              </w:rPr>
              <w:t xml:space="preserve"> e que d</w:t>
            </w:r>
            <w:r w:rsidRPr="00CC6E99">
              <w:rPr>
                <w:rFonts w:ascii="Times New Roman" w:hAnsi="Times New Roman" w:cs="Times New Roman"/>
                <w:sz w:val="24"/>
                <w:szCs w:val="24"/>
              </w:rPr>
              <w:t xml:space="preserve">eve ser aplicada à </w:t>
            </w:r>
            <w:r w:rsidR="00DF32E3">
              <w:rPr>
                <w:rFonts w:ascii="Times New Roman" w:hAnsi="Times New Roman" w:cs="Times New Roman"/>
                <w:sz w:val="24"/>
                <w:szCs w:val="24"/>
              </w:rPr>
              <w:t xml:space="preserve">essa </w:t>
            </w:r>
            <w:r w:rsidRPr="00CC6E99">
              <w:rPr>
                <w:rFonts w:ascii="Times New Roman" w:hAnsi="Times New Roman" w:cs="Times New Roman"/>
                <w:sz w:val="24"/>
                <w:szCs w:val="24"/>
              </w:rPr>
              <w:t>situação o mesmo tratamento que foi previsto nessa Instrução, para os casos de cancelamento da autorização para a prestação de serviços de custódia por decisão da CVM ou em virtude da decretação de falência, liquidação judicial ou extrajudicial ou dissolução do custodiante.</w:t>
            </w:r>
          </w:p>
          <w:p w:rsidR="00796B1C" w:rsidRPr="00CC6E99" w:rsidRDefault="00796B1C" w:rsidP="00796B1C">
            <w:pPr>
              <w:pStyle w:val="CorpoA"/>
              <w:spacing w:after="0" w:line="312" w:lineRule="auto"/>
              <w:ind w:firstLine="709"/>
              <w:jc w:val="both"/>
              <w:rPr>
                <w:rFonts w:ascii="Times New Roman" w:eastAsia="Times New Roman" w:hAnsi="Times New Roman" w:cs="Times New Roman"/>
                <w:sz w:val="24"/>
                <w:szCs w:val="24"/>
              </w:rPr>
            </w:pPr>
          </w:p>
          <w:p w:rsidR="00796B1C" w:rsidRPr="00CC6E99" w:rsidRDefault="00796B1C" w:rsidP="00796B1C">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 xml:space="preserve">Nesses casos, a </w:t>
            </w:r>
            <w:proofErr w:type="spellStart"/>
            <w:r w:rsidRPr="00CC6E99">
              <w:rPr>
                <w:rFonts w:ascii="Times New Roman" w:hAnsi="Times New Roman" w:cs="Times New Roman"/>
                <w:sz w:val="24"/>
                <w:szCs w:val="24"/>
                <w:lang w:val="es-ES_tradnl"/>
              </w:rPr>
              <w:t>Instru</w:t>
            </w:r>
            <w:proofErr w:type="spellEnd"/>
            <w:r w:rsidRPr="00CC6E99">
              <w:rPr>
                <w:rFonts w:ascii="Times New Roman" w:hAnsi="Times New Roman" w:cs="Times New Roman"/>
                <w:sz w:val="24"/>
                <w:szCs w:val="24"/>
              </w:rPr>
              <w:t xml:space="preserve">ção CVM nº 542, de 2013, prevê que o custodiante deve transferir ao </w:t>
            </w:r>
            <w:r w:rsidRPr="00CC6E99">
              <w:rPr>
                <w:rFonts w:ascii="Times New Roman" w:hAnsi="Times New Roman" w:cs="Times New Roman"/>
                <w:sz w:val="24"/>
                <w:szCs w:val="24"/>
              </w:rPr>
              <w:lastRenderedPageBreak/>
              <w:t>investidor, ou à pessoa por ele indicada, os valores mobiliários, os dados e os documentos relacionados com os serviços prestados até o momento do cancelamento. Deve ainda informar às centrais depositárias que prestem serviço de depósito centralizado de valores mobiliários custodiados a ocorrência do cancelamento.</w:t>
            </w:r>
          </w:p>
          <w:p w:rsidR="00796B1C" w:rsidRPr="00CC6E99" w:rsidRDefault="00796B1C" w:rsidP="00796B1C">
            <w:pPr>
              <w:pStyle w:val="CorpoA"/>
              <w:spacing w:after="0" w:line="312" w:lineRule="auto"/>
              <w:ind w:firstLine="709"/>
              <w:jc w:val="both"/>
              <w:rPr>
                <w:rFonts w:ascii="Times New Roman" w:eastAsia="Times New Roman" w:hAnsi="Times New Roman" w:cs="Times New Roman"/>
                <w:sz w:val="24"/>
                <w:szCs w:val="24"/>
              </w:rPr>
            </w:pPr>
          </w:p>
          <w:p w:rsidR="00796B1C" w:rsidRPr="00CC6E99" w:rsidRDefault="00796B1C" w:rsidP="00796B1C">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 xml:space="preserve">As observações da participante, de qualquer modo, geraram duas alterações na norma. A atuação do investidor não residente está sujeita a regras específicas. O art. 2º, III, do Regulamento Anexo I deixa claro que, além da obtenção de registro na CVM e da constituição de representante local, a contratação de custodiante é um requisito essencial para que esse investidor possa operar de forma regular nos mercados financeiro e de capitais no Brasil. </w:t>
            </w:r>
          </w:p>
          <w:p w:rsidR="00796B1C" w:rsidRPr="00CC6E99" w:rsidRDefault="00796B1C" w:rsidP="00796B1C">
            <w:pPr>
              <w:pStyle w:val="CorpoA"/>
              <w:spacing w:after="0" w:line="312" w:lineRule="auto"/>
              <w:ind w:firstLine="709"/>
              <w:jc w:val="both"/>
              <w:rPr>
                <w:rFonts w:ascii="Times New Roman" w:eastAsia="Times New Roman" w:hAnsi="Times New Roman" w:cs="Times New Roman"/>
                <w:sz w:val="24"/>
                <w:szCs w:val="24"/>
              </w:rPr>
            </w:pPr>
          </w:p>
          <w:p w:rsidR="00796B1C" w:rsidRPr="00CC6E99" w:rsidRDefault="00796B1C" w:rsidP="00796B1C">
            <w:pPr>
              <w:pStyle w:val="CorpoA"/>
              <w:spacing w:after="0" w:line="312" w:lineRule="auto"/>
              <w:ind w:firstLine="709"/>
              <w:jc w:val="both"/>
              <w:rPr>
                <w:rFonts w:ascii="Times New Roman" w:hAnsi="Times New Roman" w:cs="Times New Roman"/>
                <w:color w:val="0D0D0D"/>
                <w:sz w:val="24"/>
                <w:szCs w:val="24"/>
                <w:u w:color="0D0D0D"/>
              </w:rPr>
            </w:pPr>
            <w:r w:rsidRPr="00CC6E99">
              <w:rPr>
                <w:rFonts w:ascii="Times New Roman" w:hAnsi="Times New Roman" w:cs="Times New Roman"/>
                <w:sz w:val="24"/>
                <w:szCs w:val="24"/>
              </w:rPr>
              <w:t xml:space="preserve">Por conta disso, a CVM optou por incluir dois novos artigos </w:t>
            </w:r>
            <w:r w:rsidRPr="00CC6E99">
              <w:rPr>
                <w:rFonts w:ascii="Times New Roman" w:hAnsi="Times New Roman" w:cs="Times New Roman"/>
                <w:color w:val="0D0D0D"/>
                <w:sz w:val="24"/>
                <w:szCs w:val="24"/>
                <w:u w:color="0D0D0D"/>
              </w:rPr>
              <w:t xml:space="preserve">na norma (atuais arts. 9º e 16) para prever que: </w:t>
            </w:r>
          </w:p>
          <w:p w:rsidR="00796B1C" w:rsidRPr="00CC6E99" w:rsidRDefault="00796B1C" w:rsidP="00796B1C">
            <w:pPr>
              <w:pStyle w:val="CorpoA"/>
              <w:spacing w:after="0" w:line="312" w:lineRule="auto"/>
              <w:ind w:firstLine="709"/>
              <w:jc w:val="both"/>
              <w:rPr>
                <w:rFonts w:ascii="Times New Roman" w:hAnsi="Times New Roman" w:cs="Times New Roman"/>
                <w:color w:val="0D0D0D"/>
                <w:sz w:val="24"/>
                <w:szCs w:val="24"/>
                <w:u w:color="0D0D0D"/>
              </w:rPr>
            </w:pPr>
          </w:p>
          <w:p w:rsidR="00796B1C" w:rsidRPr="00CC6E99" w:rsidRDefault="00796B1C" w:rsidP="00796B1C">
            <w:pPr>
              <w:pStyle w:val="CorpoA"/>
              <w:spacing w:after="0" w:line="312" w:lineRule="auto"/>
              <w:ind w:firstLine="709"/>
              <w:jc w:val="both"/>
              <w:rPr>
                <w:rFonts w:ascii="Times New Roman" w:hAnsi="Times New Roman" w:cs="Times New Roman"/>
                <w:color w:val="0D0D0D"/>
                <w:sz w:val="24"/>
                <w:szCs w:val="24"/>
                <w:u w:color="0D0D0D"/>
              </w:rPr>
            </w:pPr>
            <w:r w:rsidRPr="00CC6E99">
              <w:rPr>
                <w:rFonts w:ascii="Times New Roman" w:hAnsi="Times New Roman" w:cs="Times New Roman"/>
                <w:color w:val="0D0D0D"/>
                <w:sz w:val="24"/>
                <w:szCs w:val="24"/>
                <w:u w:color="0D0D0D"/>
              </w:rPr>
              <w:t>a) a extinção ou o cancelamento de contrato de custódia sem a indicação pelo</w:t>
            </w:r>
            <w:r w:rsidRPr="00CC6E99">
              <w:rPr>
                <w:rFonts w:ascii="Times New Roman" w:hAnsi="Times New Roman" w:cs="Times New Roman"/>
                <w:color w:val="0D0D0D"/>
                <w:sz w:val="24"/>
                <w:szCs w:val="24"/>
                <w:u w:color="0D0D0D"/>
                <w:lang w:val="es-ES_tradnl"/>
              </w:rPr>
              <w:t xml:space="preserve"> </w:t>
            </w:r>
            <w:proofErr w:type="spellStart"/>
            <w:r w:rsidRPr="00CC6E99">
              <w:rPr>
                <w:rFonts w:ascii="Times New Roman" w:hAnsi="Times New Roman" w:cs="Times New Roman"/>
                <w:color w:val="0D0D0D"/>
                <w:sz w:val="24"/>
                <w:szCs w:val="24"/>
                <w:u w:color="0D0D0D"/>
                <w:lang w:val="es-ES_tradnl"/>
              </w:rPr>
              <w:t>investidor</w:t>
            </w:r>
            <w:proofErr w:type="spellEnd"/>
            <w:r w:rsidRPr="00CC6E99">
              <w:rPr>
                <w:rFonts w:ascii="Times New Roman" w:hAnsi="Times New Roman" w:cs="Times New Roman"/>
                <w:color w:val="0D0D0D"/>
                <w:sz w:val="24"/>
                <w:szCs w:val="24"/>
                <w:u w:color="0D0D0D"/>
                <w:lang w:val="es-ES_tradnl"/>
              </w:rPr>
              <w:t xml:space="preserve"> n</w:t>
            </w:r>
            <w:r w:rsidRPr="00CC6E99">
              <w:rPr>
                <w:rFonts w:ascii="Times New Roman" w:hAnsi="Times New Roman" w:cs="Times New Roman"/>
                <w:color w:val="0D0D0D"/>
                <w:sz w:val="24"/>
                <w:szCs w:val="24"/>
                <w:u w:color="0D0D0D"/>
              </w:rPr>
              <w:t xml:space="preserve">ão residente de novo custodiante deve ser comunicada de imediato pelo custodiante à SIN; e </w:t>
            </w:r>
          </w:p>
          <w:p w:rsidR="00796B1C" w:rsidRPr="00CC6E99" w:rsidRDefault="00796B1C" w:rsidP="00796B1C">
            <w:pPr>
              <w:pStyle w:val="CorpoA"/>
              <w:spacing w:after="0" w:line="312" w:lineRule="auto"/>
              <w:ind w:firstLine="709"/>
              <w:jc w:val="both"/>
              <w:rPr>
                <w:rFonts w:ascii="Times New Roman" w:hAnsi="Times New Roman" w:cs="Times New Roman"/>
                <w:color w:val="0D0D0D"/>
                <w:sz w:val="24"/>
                <w:szCs w:val="24"/>
                <w:u w:color="0D0D0D"/>
              </w:rPr>
            </w:pPr>
          </w:p>
          <w:p w:rsidR="00796B1C" w:rsidRPr="00CC6E99" w:rsidRDefault="00796B1C" w:rsidP="0065291D">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color w:val="0D0D0D"/>
                <w:sz w:val="24"/>
                <w:szCs w:val="24"/>
                <w:u w:color="0D0D0D"/>
              </w:rPr>
              <w:t xml:space="preserve">b) a SIN deve </w:t>
            </w:r>
            <w:r w:rsidR="0065291D">
              <w:rPr>
                <w:rFonts w:ascii="Times New Roman" w:hAnsi="Times New Roman" w:cs="Times New Roman"/>
                <w:color w:val="0D0D0D"/>
                <w:sz w:val="24"/>
                <w:szCs w:val="24"/>
                <w:u w:color="0D0D0D"/>
              </w:rPr>
              <w:t>suspender</w:t>
            </w:r>
            <w:r w:rsidR="0065291D" w:rsidRPr="00CC6E99">
              <w:rPr>
                <w:rFonts w:ascii="Times New Roman" w:hAnsi="Times New Roman" w:cs="Times New Roman"/>
                <w:color w:val="0D0D0D"/>
                <w:sz w:val="24"/>
                <w:szCs w:val="24"/>
                <w:u w:color="0D0D0D"/>
              </w:rPr>
              <w:t xml:space="preserve"> </w:t>
            </w:r>
            <w:r w:rsidRPr="00CC6E99">
              <w:rPr>
                <w:rFonts w:ascii="Times New Roman" w:hAnsi="Times New Roman" w:cs="Times New Roman"/>
                <w:color w:val="0D0D0D"/>
                <w:sz w:val="24"/>
                <w:szCs w:val="24"/>
                <w:u w:color="0D0D0D"/>
              </w:rPr>
              <w:t>o registro de investidor não residente que deixe de atender a qualquer um dos requisitos prévios estabelecidos na Resolução do CMN nº 4.373, de 2014, para o início de suas operações nos mercados financeiro e de capitais no País, o que, na redação atual dessa norma, abrange as hipóteses em que o investidor residente não tenha representante ou custodiante constituídos.</w:t>
            </w:r>
          </w:p>
        </w:tc>
      </w:tr>
    </w:tbl>
    <w:p w:rsidR="00D9084C" w:rsidRPr="00CC6E99" w:rsidRDefault="00D9084C" w:rsidP="00CB3B28">
      <w:pPr>
        <w:pStyle w:val="Ttulo3"/>
        <w:spacing w:before="120"/>
        <w:rPr>
          <w:rFonts w:eastAsia="Times New Roman" w:hAnsi="Times New Roman" w:cs="Times New Roman"/>
        </w:rPr>
      </w:pPr>
    </w:p>
    <w:p w:rsidR="00D9084C" w:rsidRPr="00CC6E99" w:rsidRDefault="005607BA" w:rsidP="006D249F">
      <w:pPr>
        <w:pStyle w:val="CorpoA"/>
        <w:spacing w:line="240" w:lineRule="auto"/>
        <w:rPr>
          <w:rFonts w:ascii="Times New Roman" w:eastAsia="Times New Roman" w:hAnsi="Times New Roman" w:cs="Times New Roman"/>
          <w:b/>
          <w:bCs/>
          <w:sz w:val="24"/>
          <w:szCs w:val="24"/>
        </w:rPr>
      </w:pPr>
      <w:r w:rsidRPr="00CC6E99">
        <w:rPr>
          <w:rFonts w:ascii="Times New Roman" w:hAnsi="Times New Roman" w:cs="Times New Roman"/>
          <w:b/>
          <w:bCs/>
          <w:sz w:val="24"/>
          <w:szCs w:val="24"/>
        </w:rPr>
        <w:t>3.1.4.  Cancelamento do contrato de representação</w:t>
      </w:r>
      <w:r w:rsidR="000B78DE" w:rsidRPr="00CC6E99">
        <w:rPr>
          <w:rFonts w:ascii="Times New Roman" w:hAnsi="Times New Roman" w:cs="Times New Roman"/>
          <w:b/>
          <w:bCs/>
          <w:sz w:val="24"/>
          <w:szCs w:val="24"/>
        </w:rPr>
        <w:t xml:space="preserve"> – art. 11, V</w:t>
      </w:r>
      <w:r w:rsidRPr="00CC6E99">
        <w:rPr>
          <w:rFonts w:ascii="Times New Roman" w:hAnsi="Times New Roman" w:cs="Times New Roman"/>
          <w:b/>
          <w:bCs/>
          <w:sz w:val="24"/>
          <w:szCs w:val="24"/>
        </w:rPr>
        <w:t xml:space="preserve"> (</w:t>
      </w:r>
      <w:r w:rsidR="000B78DE" w:rsidRPr="00CC6E99">
        <w:rPr>
          <w:rFonts w:ascii="Times New Roman" w:hAnsi="Times New Roman" w:cs="Times New Roman"/>
          <w:b/>
          <w:bCs/>
          <w:sz w:val="24"/>
          <w:szCs w:val="24"/>
        </w:rPr>
        <w:t>atual a</w:t>
      </w:r>
      <w:r w:rsidRPr="00CC6E99">
        <w:rPr>
          <w:rFonts w:ascii="Times New Roman" w:hAnsi="Times New Roman" w:cs="Times New Roman"/>
          <w:b/>
          <w:bCs/>
          <w:sz w:val="24"/>
          <w:szCs w:val="24"/>
        </w:rPr>
        <w:t>rt. 12, V)</w:t>
      </w:r>
    </w:p>
    <w:p w:rsidR="00D9084C" w:rsidRPr="00CC6E99" w:rsidRDefault="00D9084C" w:rsidP="006D249F">
      <w:pPr>
        <w:pStyle w:val="Ttulo3"/>
        <w:spacing w:before="0"/>
        <w:rPr>
          <w:rFonts w:hAnsi="Times New Roman" w:cs="Times New Roman"/>
        </w:rPr>
      </w:pPr>
    </w:p>
    <w:p w:rsidR="00D9084C" w:rsidRPr="00CC6E99" w:rsidRDefault="005607BA" w:rsidP="006D249F">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 xml:space="preserve">ANBIMA e BM&amp;FBOVESPA propõem alterações na redação </w:t>
      </w:r>
      <w:r w:rsidR="000B78DE" w:rsidRPr="00CC6E99">
        <w:rPr>
          <w:rFonts w:ascii="Times New Roman" w:hAnsi="Times New Roman" w:cs="Times New Roman"/>
          <w:sz w:val="24"/>
          <w:szCs w:val="24"/>
        </w:rPr>
        <w:t>do inciso</w:t>
      </w:r>
      <w:r w:rsidRPr="00CC6E99">
        <w:rPr>
          <w:rFonts w:ascii="Times New Roman" w:hAnsi="Times New Roman" w:cs="Times New Roman"/>
          <w:sz w:val="24"/>
          <w:szCs w:val="24"/>
        </w:rPr>
        <w:t xml:space="preserve"> que trata da comunicação de cancelamento do contrato de representação. A ANBIMA sugere </w:t>
      </w:r>
      <w:r w:rsidRPr="00CC6E99">
        <w:rPr>
          <w:rFonts w:ascii="Times New Roman" w:hAnsi="Times New Roman" w:cs="Times New Roman"/>
          <w:sz w:val="24"/>
          <w:szCs w:val="24"/>
          <w:lang w:val="it-IT"/>
        </w:rPr>
        <w:t>a substitui</w:t>
      </w:r>
      <w:r w:rsidRPr="00CC6E99">
        <w:rPr>
          <w:rFonts w:ascii="Times New Roman" w:hAnsi="Times New Roman" w:cs="Times New Roman"/>
          <w:sz w:val="24"/>
          <w:szCs w:val="24"/>
        </w:rPr>
        <w:t>ção do termo “</w:t>
      </w:r>
      <w:r w:rsidRPr="00CC6E99">
        <w:rPr>
          <w:rFonts w:ascii="Times New Roman" w:hAnsi="Times New Roman" w:cs="Times New Roman"/>
          <w:sz w:val="24"/>
          <w:szCs w:val="24"/>
          <w:lang w:val="it-IT"/>
        </w:rPr>
        <w:t>previamente</w:t>
      </w:r>
      <w:r w:rsidRPr="00CC6E99">
        <w:rPr>
          <w:rFonts w:ascii="Times New Roman" w:hAnsi="Times New Roman" w:cs="Times New Roman"/>
          <w:sz w:val="24"/>
          <w:szCs w:val="24"/>
        </w:rPr>
        <w:t xml:space="preserve">” </w:t>
      </w:r>
      <w:r w:rsidRPr="00CC6E99">
        <w:rPr>
          <w:rFonts w:ascii="Times New Roman" w:hAnsi="Times New Roman" w:cs="Times New Roman"/>
          <w:sz w:val="24"/>
          <w:szCs w:val="24"/>
          <w:lang w:val="es-ES_tradnl"/>
        </w:rPr>
        <w:t xml:space="preserve">por </w:t>
      </w:r>
      <w:r w:rsidRPr="00CC6E99">
        <w:rPr>
          <w:rFonts w:ascii="Times New Roman" w:hAnsi="Times New Roman" w:cs="Times New Roman"/>
          <w:sz w:val="24"/>
          <w:szCs w:val="24"/>
        </w:rPr>
        <w:t>“</w:t>
      </w:r>
      <w:r w:rsidRPr="00CC6E99">
        <w:rPr>
          <w:rFonts w:ascii="Times New Roman" w:hAnsi="Times New Roman" w:cs="Times New Roman"/>
          <w:sz w:val="24"/>
          <w:szCs w:val="24"/>
          <w:lang w:val="it-IT"/>
        </w:rPr>
        <w:t>imediatamente</w:t>
      </w:r>
      <w:r w:rsidRPr="00CC6E99">
        <w:rPr>
          <w:rFonts w:ascii="Times New Roman" w:hAnsi="Times New Roman" w:cs="Times New Roman"/>
          <w:sz w:val="24"/>
          <w:szCs w:val="24"/>
        </w:rPr>
        <w:t xml:space="preserve">” para uniformização com a terminologia utilizada no art. 3º, III da Resolução CMN nº </w:t>
      </w:r>
      <w:r w:rsidRPr="00CC6E99">
        <w:rPr>
          <w:rFonts w:ascii="Times New Roman" w:hAnsi="Times New Roman" w:cs="Times New Roman"/>
          <w:sz w:val="24"/>
          <w:szCs w:val="24"/>
          <w:lang w:val="es-ES_tradnl"/>
        </w:rPr>
        <w:t>4.373, de 2014</w:t>
      </w:r>
      <w:r w:rsidRPr="00CC6E99">
        <w:rPr>
          <w:rFonts w:ascii="Times New Roman" w:hAnsi="Times New Roman" w:cs="Times New Roman"/>
          <w:sz w:val="24"/>
          <w:szCs w:val="24"/>
        </w:rPr>
        <w:t xml:space="preserve">.  </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 xml:space="preserve">A BM&amp;FBOVESPA propõe a mesma substituição, além de sugerir que se troque a expressão “cancelamento” </w:t>
      </w:r>
      <w:r w:rsidRPr="00CC6E99">
        <w:rPr>
          <w:rFonts w:ascii="Times New Roman" w:hAnsi="Times New Roman" w:cs="Times New Roman"/>
          <w:sz w:val="24"/>
          <w:szCs w:val="24"/>
          <w:lang w:val="es-ES_tradnl"/>
        </w:rPr>
        <w:t xml:space="preserve">por </w:t>
      </w:r>
      <w:r w:rsidRPr="00CC6E99">
        <w:rPr>
          <w:rFonts w:ascii="Times New Roman" w:hAnsi="Times New Roman" w:cs="Times New Roman"/>
          <w:sz w:val="24"/>
          <w:szCs w:val="24"/>
        </w:rPr>
        <w:t>“extinção”.</w:t>
      </w:r>
    </w:p>
    <w:p w:rsidR="00D9084C" w:rsidRPr="00CC6E99" w:rsidRDefault="00D9084C">
      <w:pPr>
        <w:pStyle w:val="CorpoA"/>
        <w:widowControl w:val="0"/>
        <w:spacing w:after="0" w:line="312" w:lineRule="auto"/>
        <w:ind w:firstLine="709"/>
        <w:jc w:val="both"/>
        <w:rPr>
          <w:rFonts w:ascii="Times New Roman" w:eastAsia="Times New Roman" w:hAnsi="Times New Roman" w:cs="Times New Roman"/>
          <w:sz w:val="24"/>
          <w:szCs w:val="24"/>
        </w:rPr>
      </w:pPr>
    </w:p>
    <w:tbl>
      <w:tblPr>
        <w:tblStyle w:val="TableNormal"/>
        <w:tblW w:w="103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D9084C" w:rsidRPr="00AF4AA5">
        <w:trPr>
          <w:trHeight w:val="330"/>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D9084C" w:rsidRPr="00CC6E99" w:rsidRDefault="005607BA" w:rsidP="00601704">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rPr>
              <w:t xml:space="preserve">As sugestões foram </w:t>
            </w:r>
            <w:r w:rsidR="00601704" w:rsidRPr="00CC6E99">
              <w:rPr>
                <w:rFonts w:ascii="Times New Roman" w:hAnsi="Times New Roman" w:cs="Times New Roman"/>
                <w:sz w:val="24"/>
                <w:szCs w:val="24"/>
              </w:rPr>
              <w:t>consideradas procedentes e a redação final da norma foi aprimorada</w:t>
            </w:r>
            <w:r w:rsidRPr="00CC6E99">
              <w:rPr>
                <w:rFonts w:ascii="Times New Roman" w:hAnsi="Times New Roman" w:cs="Times New Roman"/>
                <w:sz w:val="24"/>
                <w:szCs w:val="24"/>
              </w:rPr>
              <w:t>.</w:t>
            </w:r>
          </w:p>
        </w:tc>
      </w:tr>
    </w:tbl>
    <w:p w:rsidR="00D9084C" w:rsidRPr="00CC6E99" w:rsidRDefault="00D9084C" w:rsidP="006D249F">
      <w:pPr>
        <w:pStyle w:val="CorpoA"/>
        <w:rPr>
          <w:rFonts w:ascii="Times New Roman" w:hAnsi="Times New Roman" w:cs="Times New Roman"/>
          <w:sz w:val="24"/>
          <w:szCs w:val="24"/>
        </w:rPr>
      </w:pPr>
    </w:p>
    <w:p w:rsidR="00D9084C" w:rsidRPr="00CC6E99" w:rsidRDefault="005607BA" w:rsidP="006D249F">
      <w:pPr>
        <w:pStyle w:val="Ttulo3"/>
        <w:spacing w:before="120"/>
        <w:rPr>
          <w:rFonts w:hAnsi="Times New Roman" w:cs="Times New Roman"/>
        </w:rPr>
      </w:pPr>
      <w:r w:rsidRPr="00CC6E99">
        <w:rPr>
          <w:rFonts w:hAnsi="Times New Roman" w:cs="Times New Roman"/>
        </w:rPr>
        <w:lastRenderedPageBreak/>
        <w:t>3.1.5.  Prazo de envio do informe mensal por titular</w:t>
      </w:r>
      <w:r w:rsidR="000B78DE" w:rsidRPr="00CC6E99">
        <w:rPr>
          <w:rFonts w:hAnsi="Times New Roman" w:cs="Times New Roman"/>
        </w:rPr>
        <w:t xml:space="preserve"> – art. 13, I</w:t>
      </w:r>
      <w:r w:rsidRPr="00CC6E99">
        <w:rPr>
          <w:rFonts w:hAnsi="Times New Roman" w:cs="Times New Roman"/>
        </w:rPr>
        <w:t xml:space="preserve"> (</w:t>
      </w:r>
      <w:r w:rsidR="000B78DE" w:rsidRPr="00CC6E99">
        <w:rPr>
          <w:rFonts w:hAnsi="Times New Roman" w:cs="Times New Roman"/>
        </w:rPr>
        <w:t xml:space="preserve">atual </w:t>
      </w:r>
      <w:r w:rsidRPr="00CC6E99">
        <w:rPr>
          <w:rFonts w:hAnsi="Times New Roman" w:cs="Times New Roman"/>
        </w:rPr>
        <w:t>art. 14, I)</w:t>
      </w:r>
    </w:p>
    <w:p w:rsidR="004108F5" w:rsidRPr="00CC6E99" w:rsidRDefault="004108F5">
      <w:pPr>
        <w:pStyle w:val="CorpoA"/>
        <w:spacing w:after="0" w:line="312" w:lineRule="auto"/>
        <w:ind w:firstLine="709"/>
        <w:jc w:val="both"/>
        <w:rPr>
          <w:rFonts w:ascii="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A ANBIMA sugere a alteração do prazo para o envio do informe mensal de 5 para 10 dias úteis de modo que o representante tenha tempo hábil para a coleta das informações e preparo do informe.</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 xml:space="preserve">Nos casos em que a precificação de determinados ativos depende de informações fornecidas por outras instituições do mercado (i.e. administradores de fundos de investimento), o prazo previsto não </w:t>
      </w:r>
      <w:r w:rsidR="00B332B1" w:rsidRPr="00CC6E99">
        <w:rPr>
          <w:rFonts w:ascii="Times New Roman" w:hAnsi="Times New Roman" w:cs="Times New Roman"/>
          <w:sz w:val="24"/>
          <w:szCs w:val="24"/>
        </w:rPr>
        <w:t>é</w:t>
      </w:r>
      <w:r w:rsidRPr="00CC6E99">
        <w:rPr>
          <w:rFonts w:ascii="Times New Roman" w:hAnsi="Times New Roman" w:cs="Times New Roman"/>
          <w:sz w:val="24"/>
          <w:szCs w:val="24"/>
        </w:rPr>
        <w:t xml:space="preserve"> suficiente para o representante realizar a coleta das informações e preparo do informe, o que, na prática, muitas vezes culmina com a solicitação de prazo adicional pelo representante à CVM, sendo costumeiramente atendido pela Autarquia. A extensão do prazo corrigiria o problema processual mencionado acima, sem prejuízo da celeridade da disponibilizaçã</w:t>
      </w:r>
      <w:r w:rsidRPr="00CC6E99">
        <w:rPr>
          <w:rFonts w:ascii="Times New Roman" w:hAnsi="Times New Roman" w:cs="Times New Roman"/>
          <w:sz w:val="24"/>
          <w:szCs w:val="24"/>
          <w:lang w:val="es-ES_tradnl"/>
        </w:rPr>
        <w:t>o de informa</w:t>
      </w:r>
      <w:r w:rsidRPr="00CC6E99">
        <w:rPr>
          <w:rFonts w:ascii="Times New Roman" w:hAnsi="Times New Roman" w:cs="Times New Roman"/>
          <w:sz w:val="24"/>
          <w:szCs w:val="24"/>
        </w:rPr>
        <w:t>ções.</w:t>
      </w:r>
    </w:p>
    <w:p w:rsidR="00D9084C" w:rsidRPr="00CC6E99" w:rsidRDefault="005607BA">
      <w:pPr>
        <w:pStyle w:val="CorpoA"/>
        <w:widowControl w:val="0"/>
        <w:spacing w:after="0" w:line="312" w:lineRule="auto"/>
        <w:jc w:val="both"/>
        <w:rPr>
          <w:rFonts w:ascii="Times New Roman" w:eastAsia="Times New Roman" w:hAnsi="Times New Roman" w:cs="Times New Roman"/>
          <w:sz w:val="24"/>
          <w:szCs w:val="24"/>
        </w:rPr>
      </w:pPr>
      <w:r w:rsidRPr="00CC6E99">
        <w:rPr>
          <w:rFonts w:ascii="Times New Roman" w:hAnsi="Times New Roman" w:cs="Times New Roman"/>
          <w:sz w:val="24"/>
          <w:szCs w:val="24"/>
        </w:rPr>
        <w:t xml:space="preserve"> </w:t>
      </w:r>
    </w:p>
    <w:tbl>
      <w:tblPr>
        <w:tblStyle w:val="TableNormal"/>
        <w:tblW w:w="103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D9084C" w:rsidRPr="00AF4AA5">
        <w:trPr>
          <w:trHeight w:val="687"/>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D9084C" w:rsidRPr="00CC6E99" w:rsidRDefault="005607BA">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rPr>
              <w:t>A sugestão foi considerada válida e o prazo limite para o envio do informe mensal passou a ser fixado em 10 dias úteis após o encerramento de cada mês.</w:t>
            </w:r>
          </w:p>
        </w:tc>
      </w:tr>
    </w:tbl>
    <w:p w:rsidR="00D9084C" w:rsidRPr="00CC6E99" w:rsidRDefault="00D9084C" w:rsidP="004108F5">
      <w:pPr>
        <w:pStyle w:val="CorpoA"/>
        <w:spacing w:before="120" w:after="0" w:line="312" w:lineRule="auto"/>
        <w:ind w:firstLine="709"/>
        <w:jc w:val="both"/>
        <w:rPr>
          <w:rFonts w:ascii="Times New Roman" w:eastAsia="Times New Roman" w:hAnsi="Times New Roman" w:cs="Times New Roman"/>
          <w:sz w:val="24"/>
          <w:szCs w:val="24"/>
        </w:rPr>
      </w:pPr>
    </w:p>
    <w:p w:rsidR="00D9084C" w:rsidRPr="00CC6E99" w:rsidRDefault="005607BA">
      <w:pPr>
        <w:pStyle w:val="Ttulo3"/>
        <w:spacing w:before="0"/>
        <w:rPr>
          <w:rFonts w:hAnsi="Times New Roman" w:cs="Times New Roman"/>
        </w:rPr>
      </w:pPr>
      <w:r w:rsidRPr="00CC6E99">
        <w:rPr>
          <w:rFonts w:hAnsi="Times New Roman" w:cs="Times New Roman"/>
        </w:rPr>
        <w:t>3.1.6.</w:t>
      </w:r>
      <w:r w:rsidRPr="00CC6E99">
        <w:rPr>
          <w:rFonts w:hAnsi="Times New Roman" w:cs="Times New Roman"/>
        </w:rPr>
        <w:tab/>
        <w:t>Coleta de informações para elaboração dos informes mensal e semestral (</w:t>
      </w:r>
      <w:r w:rsidR="00834E5C" w:rsidRPr="00CC6E99">
        <w:rPr>
          <w:rFonts w:hAnsi="Times New Roman" w:cs="Times New Roman"/>
        </w:rPr>
        <w:t xml:space="preserve">atual </w:t>
      </w:r>
      <w:r w:rsidRPr="00CC6E99">
        <w:rPr>
          <w:rFonts w:hAnsi="Times New Roman" w:cs="Times New Roman"/>
        </w:rPr>
        <w:t>art. 14, §§ 1º e 2º)</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A ANBIMA sugere, dado o dever de prestaçã</w:t>
      </w:r>
      <w:r w:rsidRPr="00CC6E99">
        <w:rPr>
          <w:rFonts w:ascii="Times New Roman" w:hAnsi="Times New Roman" w:cs="Times New Roman"/>
          <w:sz w:val="24"/>
          <w:szCs w:val="24"/>
          <w:lang w:val="es-ES_tradnl"/>
        </w:rPr>
        <w:t>o de informa</w:t>
      </w:r>
      <w:r w:rsidRPr="00CC6E99">
        <w:rPr>
          <w:rFonts w:ascii="Times New Roman" w:hAnsi="Times New Roman" w:cs="Times New Roman"/>
          <w:sz w:val="24"/>
          <w:szCs w:val="24"/>
        </w:rPr>
        <w:t>ções, a inclusão de dispositivo prevendo que o representante tem legitimidade para solicitar e receber informações da carteira do investidor não residente de depositários centrais, entidades administradoras de mercado organizado, entidades registradoras, sistemas de liquidação, escrituradores, administradores de fundos de investimento e demais entidades e pessoas responsáveis pelo fornecimento de informações aos investidores.</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A disposição também permitiria afastar qualquer possí</w:t>
      </w:r>
      <w:proofErr w:type="spellStart"/>
      <w:r w:rsidRPr="00CC6E99">
        <w:rPr>
          <w:rFonts w:ascii="Times New Roman" w:hAnsi="Times New Roman" w:cs="Times New Roman"/>
          <w:sz w:val="24"/>
          <w:szCs w:val="24"/>
          <w:lang w:val="es-ES_tradnl"/>
        </w:rPr>
        <w:t>vel</w:t>
      </w:r>
      <w:proofErr w:type="spellEnd"/>
      <w:r w:rsidRPr="00CC6E99">
        <w:rPr>
          <w:rFonts w:ascii="Times New Roman" w:hAnsi="Times New Roman" w:cs="Times New Roman"/>
          <w:sz w:val="24"/>
          <w:szCs w:val="24"/>
          <w:lang w:val="es-ES_tradnl"/>
        </w:rPr>
        <w:t xml:space="preserve"> preocupa</w:t>
      </w:r>
      <w:r w:rsidRPr="00CC6E99">
        <w:rPr>
          <w:rFonts w:ascii="Times New Roman" w:hAnsi="Times New Roman" w:cs="Times New Roman"/>
          <w:sz w:val="24"/>
          <w:szCs w:val="24"/>
        </w:rPr>
        <w:t xml:space="preserve">ção por parte de entidades e participantes do mercado com relação à confidencialidade das informações </w:t>
      </w:r>
      <w:r w:rsidR="00B332B1" w:rsidRPr="00CC6E99">
        <w:rPr>
          <w:rFonts w:ascii="Times New Roman" w:hAnsi="Times New Roman" w:cs="Times New Roman"/>
          <w:sz w:val="24"/>
          <w:szCs w:val="24"/>
        </w:rPr>
        <w:t>sobre</w:t>
      </w:r>
      <w:r w:rsidRPr="00CC6E99">
        <w:rPr>
          <w:rFonts w:ascii="Times New Roman" w:hAnsi="Times New Roman" w:cs="Times New Roman"/>
          <w:sz w:val="24"/>
          <w:szCs w:val="24"/>
        </w:rPr>
        <w:t xml:space="preserve"> ativos e valores mobiliários de titularidade dos investidores não residentes.</w:t>
      </w:r>
    </w:p>
    <w:p w:rsidR="00D9084C" w:rsidRPr="00CC6E99" w:rsidRDefault="00D9084C">
      <w:pPr>
        <w:pStyle w:val="CorpoA"/>
        <w:keepNext/>
        <w:widowControl w:val="0"/>
        <w:spacing w:after="0" w:line="312" w:lineRule="auto"/>
        <w:ind w:firstLine="709"/>
        <w:jc w:val="both"/>
        <w:rPr>
          <w:rFonts w:ascii="Times New Roman" w:eastAsia="Times New Roman" w:hAnsi="Times New Roman" w:cs="Times New Roman"/>
          <w:sz w:val="24"/>
          <w:szCs w:val="24"/>
        </w:rPr>
      </w:pPr>
    </w:p>
    <w:tbl>
      <w:tblPr>
        <w:tblStyle w:val="TableNormal"/>
        <w:tblW w:w="103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D9084C" w:rsidRPr="00AF4AA5">
        <w:trPr>
          <w:trHeight w:val="1461"/>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D9084C" w:rsidRPr="00CC6E99" w:rsidRDefault="005607BA" w:rsidP="00B332B1">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rPr>
              <w:t xml:space="preserve">A sugestão é pertinente e foi incorporada à norma. Também foi feita alteração para estabelecer que a previsão sobre o fornecimento de informações pelos depositários centrais, custodiantes e demais entidades não afasta a responsabilidade do representante pelo envio das informações previstas </w:t>
            </w:r>
            <w:r w:rsidR="00B332B1" w:rsidRPr="00CC6E99">
              <w:rPr>
                <w:rFonts w:ascii="Times New Roman" w:hAnsi="Times New Roman" w:cs="Times New Roman"/>
                <w:sz w:val="24"/>
                <w:szCs w:val="24"/>
              </w:rPr>
              <w:t>na norma</w:t>
            </w:r>
            <w:r w:rsidRPr="00CC6E99">
              <w:rPr>
                <w:rFonts w:ascii="Times New Roman" w:hAnsi="Times New Roman" w:cs="Times New Roman"/>
                <w:sz w:val="24"/>
                <w:szCs w:val="24"/>
              </w:rPr>
              <w:t>, nos prazos estabelecidos.</w:t>
            </w:r>
          </w:p>
        </w:tc>
      </w:tr>
    </w:tbl>
    <w:p w:rsidR="00796B1C" w:rsidRDefault="00796B1C" w:rsidP="004108F5">
      <w:pPr>
        <w:pStyle w:val="CorpoA"/>
        <w:spacing w:before="120" w:after="0" w:line="312" w:lineRule="auto"/>
        <w:ind w:firstLine="709"/>
        <w:jc w:val="both"/>
        <w:rPr>
          <w:rFonts w:ascii="Times New Roman" w:eastAsia="Times New Roman" w:hAnsi="Times New Roman" w:cs="Times New Roman"/>
          <w:sz w:val="24"/>
          <w:szCs w:val="24"/>
        </w:rPr>
      </w:pPr>
    </w:p>
    <w:p w:rsidR="0021198D" w:rsidRDefault="0021198D" w:rsidP="004108F5">
      <w:pPr>
        <w:pStyle w:val="CorpoA"/>
        <w:spacing w:before="120" w:after="0" w:line="312" w:lineRule="auto"/>
        <w:ind w:firstLine="709"/>
        <w:jc w:val="both"/>
        <w:rPr>
          <w:rFonts w:ascii="Times New Roman" w:eastAsia="Times New Roman" w:hAnsi="Times New Roman" w:cs="Times New Roman"/>
          <w:sz w:val="24"/>
          <w:szCs w:val="24"/>
        </w:rPr>
      </w:pPr>
    </w:p>
    <w:p w:rsidR="00796B1C" w:rsidRPr="00CC6E99" w:rsidRDefault="00796B1C" w:rsidP="004108F5">
      <w:pPr>
        <w:pStyle w:val="CorpoA"/>
        <w:spacing w:before="120"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jc w:val="both"/>
        <w:rPr>
          <w:rFonts w:ascii="Times New Roman" w:eastAsia="Times New Roman" w:hAnsi="Times New Roman" w:cs="Times New Roman"/>
          <w:b/>
          <w:bCs/>
          <w:sz w:val="24"/>
          <w:szCs w:val="24"/>
        </w:rPr>
      </w:pPr>
      <w:r w:rsidRPr="00CC6E99">
        <w:rPr>
          <w:rFonts w:ascii="Times New Roman" w:hAnsi="Times New Roman" w:cs="Times New Roman"/>
          <w:b/>
          <w:bCs/>
          <w:sz w:val="24"/>
          <w:szCs w:val="24"/>
        </w:rPr>
        <w:t>3.1.7.</w:t>
      </w:r>
      <w:r w:rsidRPr="00CC6E99">
        <w:rPr>
          <w:rFonts w:ascii="Times New Roman" w:hAnsi="Times New Roman" w:cs="Times New Roman"/>
          <w:b/>
          <w:bCs/>
          <w:sz w:val="24"/>
          <w:szCs w:val="24"/>
        </w:rPr>
        <w:tab/>
      </w:r>
      <w:r w:rsidRPr="00CC6E99">
        <w:rPr>
          <w:rFonts w:ascii="Times New Roman" w:hAnsi="Times New Roman" w:cs="Times New Roman"/>
          <w:b/>
          <w:bCs/>
          <w:sz w:val="24"/>
          <w:szCs w:val="24"/>
          <w:lang w:val="it-IT"/>
        </w:rPr>
        <w:t>Constitui</w:t>
      </w:r>
      <w:r w:rsidRPr="00CC6E99">
        <w:rPr>
          <w:rFonts w:ascii="Times New Roman" w:hAnsi="Times New Roman" w:cs="Times New Roman"/>
          <w:b/>
          <w:bCs/>
          <w:sz w:val="24"/>
          <w:szCs w:val="24"/>
        </w:rPr>
        <w:t>ção e excussão de garantias</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 xml:space="preserve">ANBIMA e ABBI indicam que os investidores não residentes que sejam credores ou devedores de obrigações podem ter interesse em receber ou conceder garantias que tenham por objeto ativos negociáveis em mercado organizado. </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 xml:space="preserve">A ABBI alega que a Resolução CMN nº </w:t>
      </w:r>
      <w:r w:rsidRPr="00CC6E99">
        <w:rPr>
          <w:rFonts w:ascii="Times New Roman" w:hAnsi="Times New Roman" w:cs="Times New Roman"/>
          <w:sz w:val="24"/>
          <w:szCs w:val="24"/>
          <w:lang w:val="es-ES_tradnl"/>
        </w:rPr>
        <w:t>4.373, de 2014</w:t>
      </w:r>
      <w:r w:rsidRPr="00CC6E99">
        <w:rPr>
          <w:rFonts w:ascii="Times New Roman" w:hAnsi="Times New Roman" w:cs="Times New Roman"/>
          <w:sz w:val="24"/>
          <w:szCs w:val="24"/>
        </w:rPr>
        <w:t xml:space="preserve">, não é clara com relação à possibilidade de utilização da conta </w:t>
      </w:r>
      <w:r w:rsidR="000C207E" w:rsidRPr="00CC6E99">
        <w:rPr>
          <w:rFonts w:ascii="Times New Roman" w:hAnsi="Times New Roman" w:cs="Times New Roman"/>
          <w:sz w:val="24"/>
          <w:szCs w:val="24"/>
        </w:rPr>
        <w:t>vincula</w:t>
      </w:r>
      <w:r w:rsidRPr="00CC6E99">
        <w:rPr>
          <w:rFonts w:ascii="Times New Roman" w:hAnsi="Times New Roman" w:cs="Times New Roman"/>
          <w:sz w:val="24"/>
          <w:szCs w:val="24"/>
        </w:rPr>
        <w:t>da</w:t>
      </w:r>
      <w:r w:rsidR="000C207E" w:rsidRPr="00CC6E99">
        <w:rPr>
          <w:rFonts w:ascii="Times New Roman" w:hAnsi="Times New Roman" w:cs="Times New Roman"/>
          <w:sz w:val="24"/>
          <w:szCs w:val="24"/>
        </w:rPr>
        <w:t xml:space="preserve"> à</w:t>
      </w:r>
      <w:r w:rsidRPr="00CC6E99">
        <w:rPr>
          <w:rFonts w:ascii="Times New Roman" w:hAnsi="Times New Roman" w:cs="Times New Roman"/>
          <w:sz w:val="24"/>
          <w:szCs w:val="24"/>
        </w:rPr>
        <w:t xml:space="preserve"> Resolução para constituição e excussão de garantias lastreadas em ativos transacionados no mercado financeiro e de capitais brasileiro, quando oferecidas a investidores não residentes ou quando oferecidas pelos investidores não residentes.</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 xml:space="preserve">A ANBIMA manifesta que, no cenário regulatório atual, transferências relativas à </w:t>
      </w:r>
      <w:proofErr w:type="spellStart"/>
      <w:r w:rsidRPr="00CC6E99">
        <w:rPr>
          <w:rFonts w:ascii="Times New Roman" w:hAnsi="Times New Roman" w:cs="Times New Roman"/>
          <w:sz w:val="24"/>
          <w:szCs w:val="24"/>
          <w:lang w:val="es-ES_tradnl"/>
        </w:rPr>
        <w:t>concess</w:t>
      </w:r>
      <w:proofErr w:type="spellEnd"/>
      <w:r w:rsidRPr="00CC6E99">
        <w:rPr>
          <w:rFonts w:ascii="Times New Roman" w:hAnsi="Times New Roman" w:cs="Times New Roman"/>
          <w:sz w:val="24"/>
          <w:szCs w:val="24"/>
        </w:rPr>
        <w:t>ão, recebimento ou execução dessas garantias poderiam eventualmente, conforme o caso, ser consideradas em desacordo com os arts. 5º ou 7º do Regulamento Anexo I à Resolução CMN nº 4.373, de 2014, na medida em que caracterizem aquisição, alienação ou transferência de valores mobiliários fora do mercado organizado ou transferê</w:t>
      </w:r>
      <w:proofErr w:type="spellStart"/>
      <w:r w:rsidRPr="00CC6E99">
        <w:rPr>
          <w:rFonts w:ascii="Times New Roman" w:hAnsi="Times New Roman" w:cs="Times New Roman"/>
          <w:sz w:val="24"/>
          <w:szCs w:val="24"/>
          <w:lang w:val="es-ES_tradnl"/>
        </w:rPr>
        <w:t>ncias</w:t>
      </w:r>
      <w:proofErr w:type="spellEnd"/>
      <w:r w:rsidRPr="00CC6E99">
        <w:rPr>
          <w:rFonts w:ascii="Times New Roman" w:hAnsi="Times New Roman" w:cs="Times New Roman"/>
          <w:sz w:val="24"/>
          <w:szCs w:val="24"/>
          <w:lang w:val="es-ES_tradnl"/>
        </w:rPr>
        <w:t xml:space="preserve"> n</w:t>
      </w:r>
      <w:r w:rsidRPr="00CC6E99">
        <w:rPr>
          <w:rFonts w:ascii="Times New Roman" w:hAnsi="Times New Roman" w:cs="Times New Roman"/>
          <w:sz w:val="24"/>
          <w:szCs w:val="24"/>
        </w:rPr>
        <w:t>ão previstas na regulamentação do Banco Central ou da CVM.</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833B89">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Assim,</w:t>
      </w:r>
      <w:r w:rsidR="005607BA" w:rsidRPr="00CC6E99">
        <w:rPr>
          <w:rFonts w:ascii="Times New Roman" w:hAnsi="Times New Roman" w:cs="Times New Roman"/>
          <w:sz w:val="24"/>
          <w:szCs w:val="24"/>
        </w:rPr>
        <w:t xml:space="preserve"> </w:t>
      </w:r>
      <w:r w:rsidRPr="00CC6E99">
        <w:rPr>
          <w:rFonts w:ascii="Times New Roman" w:hAnsi="Times New Roman" w:cs="Times New Roman"/>
          <w:sz w:val="24"/>
          <w:szCs w:val="24"/>
        </w:rPr>
        <w:t xml:space="preserve">a participante </w:t>
      </w:r>
      <w:r w:rsidR="005607BA" w:rsidRPr="00CC6E99">
        <w:rPr>
          <w:rFonts w:ascii="Times New Roman" w:hAnsi="Times New Roman" w:cs="Times New Roman"/>
          <w:sz w:val="24"/>
          <w:szCs w:val="24"/>
        </w:rPr>
        <w:t>gostaria de apresentar e aprofundar es</w:t>
      </w:r>
      <w:r w:rsidR="00A812FD">
        <w:rPr>
          <w:rFonts w:ascii="Times New Roman" w:hAnsi="Times New Roman" w:cs="Times New Roman"/>
          <w:sz w:val="24"/>
          <w:szCs w:val="24"/>
        </w:rPr>
        <w:t>s</w:t>
      </w:r>
      <w:r w:rsidR="005607BA" w:rsidRPr="00CC6E99">
        <w:rPr>
          <w:rFonts w:ascii="Times New Roman" w:hAnsi="Times New Roman" w:cs="Times New Roman"/>
          <w:sz w:val="24"/>
          <w:szCs w:val="24"/>
        </w:rPr>
        <w:t>a questã</w:t>
      </w:r>
      <w:r w:rsidR="005607BA" w:rsidRPr="00CC6E99">
        <w:rPr>
          <w:rFonts w:ascii="Times New Roman" w:hAnsi="Times New Roman" w:cs="Times New Roman"/>
          <w:sz w:val="24"/>
          <w:szCs w:val="24"/>
          <w:lang w:val="es-ES_tradnl"/>
        </w:rPr>
        <w:t xml:space="preserve">o, junto </w:t>
      </w:r>
      <w:r w:rsidR="005607BA" w:rsidRPr="00CC6E99">
        <w:rPr>
          <w:rFonts w:ascii="Times New Roman" w:hAnsi="Times New Roman" w:cs="Times New Roman"/>
          <w:sz w:val="24"/>
          <w:szCs w:val="24"/>
        </w:rPr>
        <w:t>à CVM, sob a ótica do investidor não residente, particularmente no contexto de ativos objeto de depósito centralizado.</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Já a ABBI propõe alterações nos arts. 14 e 17 da Minuta para dar tratamento ao assunto</w:t>
      </w:r>
      <w:r w:rsidR="0065291D">
        <w:rPr>
          <w:rFonts w:ascii="Times New Roman" w:hAnsi="Times New Roman" w:cs="Times New Roman"/>
          <w:sz w:val="24"/>
          <w:szCs w:val="24"/>
        </w:rPr>
        <w:t>.</w:t>
      </w:r>
    </w:p>
    <w:p w:rsidR="00F2798B" w:rsidRDefault="005607BA" w:rsidP="00F2798B">
      <w:pPr>
        <w:pStyle w:val="CorpoA"/>
        <w:spacing w:after="0" w:line="312" w:lineRule="auto"/>
        <w:ind w:left="709"/>
        <w:jc w:val="both"/>
        <w:rPr>
          <w:rFonts w:ascii="Times New Roman" w:eastAsia="Times New Roman" w:hAnsi="Times New Roman" w:cs="Times New Roman"/>
          <w:sz w:val="24"/>
          <w:szCs w:val="24"/>
        </w:rPr>
      </w:pPr>
      <w:r w:rsidRPr="00CC6E99">
        <w:rPr>
          <w:rFonts w:ascii="Times New Roman" w:hAnsi="Times New Roman" w:cs="Times New Roman"/>
          <w:sz w:val="24"/>
          <w:szCs w:val="24"/>
        </w:rPr>
        <w:t xml:space="preserve"> </w:t>
      </w:r>
    </w:p>
    <w:tbl>
      <w:tblPr>
        <w:tblStyle w:val="TableNormal"/>
        <w:tblW w:w="103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D9084C" w:rsidRPr="00AF4AA5" w:rsidTr="00796B1C">
        <w:trPr>
          <w:trHeight w:val="194"/>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565011" w:rsidRPr="00CC6E99" w:rsidRDefault="00565011" w:rsidP="00511926">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rPr>
              <w:t xml:space="preserve">A questão colocada pelas participantes </w:t>
            </w:r>
            <w:r w:rsidR="00640AFE" w:rsidRPr="00CC6E99">
              <w:rPr>
                <w:rFonts w:ascii="Times New Roman" w:hAnsi="Times New Roman" w:cs="Times New Roman"/>
                <w:sz w:val="24"/>
                <w:szCs w:val="24"/>
              </w:rPr>
              <w:t>demanda análise aprofundada,</w:t>
            </w:r>
            <w:r w:rsidR="0065291D">
              <w:rPr>
                <w:rFonts w:ascii="Times New Roman" w:hAnsi="Times New Roman" w:cs="Times New Roman"/>
                <w:sz w:val="24"/>
                <w:szCs w:val="24"/>
              </w:rPr>
              <w:t xml:space="preserve"> considerando as diferentes modalidades de garantia e operações envolvidas</w:t>
            </w:r>
            <w:r w:rsidR="00640AFE" w:rsidRPr="00CC6E99">
              <w:rPr>
                <w:rFonts w:ascii="Times New Roman" w:hAnsi="Times New Roman" w:cs="Times New Roman"/>
                <w:sz w:val="24"/>
                <w:szCs w:val="24"/>
              </w:rPr>
              <w:t>, sendo mais conveniente que seja examinad</w:t>
            </w:r>
            <w:r w:rsidR="00A812FD">
              <w:rPr>
                <w:rFonts w:ascii="Times New Roman" w:hAnsi="Times New Roman" w:cs="Times New Roman"/>
                <w:sz w:val="24"/>
                <w:szCs w:val="24"/>
              </w:rPr>
              <w:t>a</w:t>
            </w:r>
            <w:r w:rsidR="00640AFE" w:rsidRPr="00CC6E99">
              <w:rPr>
                <w:rFonts w:ascii="Times New Roman" w:hAnsi="Times New Roman" w:cs="Times New Roman"/>
                <w:sz w:val="24"/>
                <w:szCs w:val="24"/>
              </w:rPr>
              <w:t xml:space="preserve"> </w:t>
            </w:r>
            <w:r w:rsidR="00A812FD">
              <w:rPr>
                <w:rFonts w:ascii="Times New Roman" w:hAnsi="Times New Roman" w:cs="Times New Roman"/>
                <w:sz w:val="24"/>
                <w:szCs w:val="24"/>
              </w:rPr>
              <w:t>em outra oportunidade</w:t>
            </w:r>
            <w:r w:rsidR="00640AFE" w:rsidRPr="00CC6E99">
              <w:rPr>
                <w:rFonts w:ascii="Times New Roman" w:hAnsi="Times New Roman" w:cs="Times New Roman"/>
                <w:sz w:val="24"/>
                <w:szCs w:val="24"/>
              </w:rPr>
              <w:t>.</w:t>
            </w:r>
          </w:p>
        </w:tc>
      </w:tr>
    </w:tbl>
    <w:p w:rsidR="00D9084C" w:rsidRPr="00CC6E99" w:rsidRDefault="00D9084C" w:rsidP="004108F5">
      <w:pPr>
        <w:pStyle w:val="CorpoA"/>
        <w:widowControl w:val="0"/>
        <w:spacing w:before="120" w:after="0" w:line="240"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jc w:val="both"/>
        <w:rPr>
          <w:rFonts w:ascii="Times New Roman" w:eastAsia="Times New Roman" w:hAnsi="Times New Roman" w:cs="Times New Roman"/>
          <w:b/>
          <w:bCs/>
          <w:sz w:val="24"/>
          <w:szCs w:val="24"/>
        </w:rPr>
      </w:pPr>
      <w:r w:rsidRPr="00CC6E99">
        <w:rPr>
          <w:rFonts w:ascii="Times New Roman" w:hAnsi="Times New Roman" w:cs="Times New Roman"/>
          <w:b/>
          <w:bCs/>
          <w:sz w:val="24"/>
          <w:szCs w:val="24"/>
        </w:rPr>
        <w:t>3.1.8. Tratamento de operações envolvendo valores mobiliários escriturados (</w:t>
      </w:r>
      <w:r w:rsidR="001C5706" w:rsidRPr="00CC6E99">
        <w:rPr>
          <w:rFonts w:ascii="Times New Roman" w:hAnsi="Times New Roman" w:cs="Times New Roman"/>
          <w:b/>
          <w:bCs/>
          <w:sz w:val="24"/>
          <w:szCs w:val="24"/>
        </w:rPr>
        <w:t>atua</w:t>
      </w:r>
      <w:r w:rsidR="00C62139">
        <w:rPr>
          <w:rFonts w:ascii="Times New Roman" w:hAnsi="Times New Roman" w:cs="Times New Roman"/>
          <w:b/>
          <w:bCs/>
          <w:sz w:val="24"/>
          <w:szCs w:val="24"/>
        </w:rPr>
        <w:t>l</w:t>
      </w:r>
      <w:r w:rsidR="001C5706" w:rsidRPr="00CC6E99">
        <w:rPr>
          <w:rFonts w:ascii="Times New Roman" w:hAnsi="Times New Roman" w:cs="Times New Roman"/>
          <w:b/>
          <w:bCs/>
          <w:sz w:val="24"/>
          <w:szCs w:val="24"/>
        </w:rPr>
        <w:t xml:space="preserve"> </w:t>
      </w:r>
      <w:r w:rsidRPr="00CC6E99">
        <w:rPr>
          <w:rFonts w:ascii="Times New Roman" w:hAnsi="Times New Roman" w:cs="Times New Roman"/>
          <w:b/>
          <w:bCs/>
          <w:sz w:val="24"/>
          <w:szCs w:val="24"/>
        </w:rPr>
        <w:t>art</w:t>
      </w:r>
      <w:r w:rsidR="00C62139">
        <w:rPr>
          <w:rFonts w:ascii="Times New Roman" w:hAnsi="Times New Roman" w:cs="Times New Roman"/>
          <w:b/>
          <w:bCs/>
          <w:sz w:val="24"/>
          <w:szCs w:val="24"/>
        </w:rPr>
        <w:t xml:space="preserve">. </w:t>
      </w:r>
      <w:r w:rsidRPr="00CC6E99">
        <w:rPr>
          <w:rFonts w:ascii="Times New Roman" w:hAnsi="Times New Roman" w:cs="Times New Roman"/>
          <w:b/>
          <w:bCs/>
          <w:sz w:val="24"/>
          <w:szCs w:val="24"/>
        </w:rPr>
        <w:t>19, §3º)</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 xml:space="preserve">A ANBIMA ressalta que a antiga Resolução CMN nº 2.689, de 2000, previa que os ativos financeiros e os valores mobiliários negociados, bem como as demais modalidades de operações financeiras realizadas por investidor não residente sujeitos a seu regime, deveriam observar ao menos um dos requisitos previstos nos incisos I ou II do art. 6º da Resolução, quais sejam, serem registrados, </w:t>
      </w:r>
      <w:r w:rsidRPr="00CC6E99">
        <w:rPr>
          <w:rFonts w:ascii="Times New Roman" w:hAnsi="Times New Roman" w:cs="Times New Roman"/>
          <w:sz w:val="24"/>
          <w:szCs w:val="24"/>
        </w:rPr>
        <w:lastRenderedPageBreak/>
        <w:t>custodiados ou mantidos em conta de depósito ou estarem devidamente registrados em sistemas de registro, liquidaçã</w:t>
      </w:r>
      <w:r w:rsidRPr="00CC6E99">
        <w:rPr>
          <w:rFonts w:ascii="Times New Roman" w:hAnsi="Times New Roman" w:cs="Times New Roman"/>
          <w:sz w:val="24"/>
          <w:szCs w:val="24"/>
          <w:lang w:val="it-IT"/>
        </w:rPr>
        <w:t>o e cust</w:t>
      </w:r>
      <w:r w:rsidRPr="00CC6E99">
        <w:rPr>
          <w:rFonts w:ascii="Times New Roman" w:hAnsi="Times New Roman" w:cs="Times New Roman"/>
          <w:sz w:val="24"/>
          <w:szCs w:val="24"/>
        </w:rPr>
        <w:t>ódia</w:t>
      </w:r>
      <w:r w:rsidRPr="00CC6E99">
        <w:rPr>
          <w:rFonts w:ascii="Times New Roman" w:eastAsia="Times New Roman" w:hAnsi="Times New Roman" w:cs="Times New Roman"/>
          <w:sz w:val="24"/>
          <w:szCs w:val="24"/>
          <w:vertAlign w:val="superscript"/>
        </w:rPr>
        <w:footnoteReference w:id="3"/>
      </w:r>
      <w:r w:rsidRPr="00CC6E99">
        <w:rPr>
          <w:rFonts w:ascii="Times New Roman" w:hAnsi="Times New Roman" w:cs="Times New Roman"/>
          <w:sz w:val="24"/>
          <w:szCs w:val="24"/>
        </w:rPr>
        <w:t xml:space="preserve">. </w:t>
      </w:r>
    </w:p>
    <w:p w:rsidR="00D9084C" w:rsidRPr="00CC6E99" w:rsidRDefault="00D9084C">
      <w:pPr>
        <w:pStyle w:val="CorpoA"/>
        <w:spacing w:after="0" w:line="240" w:lineRule="auto"/>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 xml:space="preserve">A Resolução CMN nº </w:t>
      </w:r>
      <w:r w:rsidRPr="00CC6E99">
        <w:rPr>
          <w:rFonts w:ascii="Times New Roman" w:hAnsi="Times New Roman" w:cs="Times New Roman"/>
          <w:sz w:val="24"/>
          <w:szCs w:val="24"/>
          <w:lang w:val="es-ES_tradnl"/>
        </w:rPr>
        <w:t>4.373, de 2014, al</w:t>
      </w:r>
      <w:r w:rsidRPr="00CC6E99">
        <w:rPr>
          <w:rFonts w:ascii="Times New Roman" w:hAnsi="Times New Roman" w:cs="Times New Roman"/>
          <w:sz w:val="24"/>
          <w:szCs w:val="24"/>
        </w:rPr>
        <w:t>ém de manter os requisitos já previstos, inovou e dispôs expressamente, no art. 4º de seu Regulamento Anexo I, que a escrituração dos ativos perante instituição autorizada à prestação dos serviç</w:t>
      </w:r>
      <w:r w:rsidRPr="00CC6E99">
        <w:rPr>
          <w:rFonts w:ascii="Times New Roman" w:hAnsi="Times New Roman" w:cs="Times New Roman"/>
          <w:sz w:val="24"/>
          <w:szCs w:val="24"/>
          <w:lang w:val="es-ES_tradnl"/>
        </w:rPr>
        <w:t>os de escritura</w:t>
      </w:r>
      <w:r w:rsidRPr="00CC6E99">
        <w:rPr>
          <w:rFonts w:ascii="Times New Roman" w:hAnsi="Times New Roman" w:cs="Times New Roman"/>
          <w:sz w:val="24"/>
          <w:szCs w:val="24"/>
        </w:rPr>
        <w:t>ção seria suficiente para preencher os requisitos necessá</w:t>
      </w:r>
      <w:proofErr w:type="spellStart"/>
      <w:r w:rsidRPr="00CC6E99">
        <w:rPr>
          <w:rFonts w:ascii="Times New Roman" w:hAnsi="Times New Roman" w:cs="Times New Roman"/>
          <w:sz w:val="24"/>
          <w:szCs w:val="24"/>
          <w:lang w:val="es-ES_tradnl"/>
        </w:rPr>
        <w:t>rios</w:t>
      </w:r>
      <w:proofErr w:type="spellEnd"/>
      <w:r w:rsidRPr="00CC6E99">
        <w:rPr>
          <w:rFonts w:ascii="Times New Roman" w:hAnsi="Times New Roman" w:cs="Times New Roman"/>
          <w:sz w:val="24"/>
          <w:szCs w:val="24"/>
          <w:lang w:val="es-ES_tradnl"/>
        </w:rPr>
        <w:t xml:space="preserve"> </w:t>
      </w:r>
      <w:r w:rsidRPr="00CC6E99">
        <w:rPr>
          <w:rFonts w:ascii="Times New Roman" w:hAnsi="Times New Roman" w:cs="Times New Roman"/>
          <w:sz w:val="24"/>
          <w:szCs w:val="24"/>
        </w:rPr>
        <w:t>à negociação dos ativos ao amparo do referido Regulamento.</w:t>
      </w: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 xml:space="preserve"> </w:t>
      </w: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Enquanto nas operações realizadas fora de mercado organizado que envolvam ativos e valores mobiliá</w:t>
      </w:r>
      <w:proofErr w:type="spellStart"/>
      <w:r w:rsidRPr="00CC6E99">
        <w:rPr>
          <w:rFonts w:ascii="Times New Roman" w:hAnsi="Times New Roman" w:cs="Times New Roman"/>
          <w:sz w:val="24"/>
          <w:szCs w:val="24"/>
          <w:lang w:val="es-ES_tradnl"/>
        </w:rPr>
        <w:t>rios</w:t>
      </w:r>
      <w:proofErr w:type="spellEnd"/>
      <w:r w:rsidRPr="00CC6E99">
        <w:rPr>
          <w:rFonts w:ascii="Times New Roman" w:hAnsi="Times New Roman" w:cs="Times New Roman"/>
          <w:sz w:val="24"/>
          <w:szCs w:val="24"/>
          <w:lang w:val="es-ES_tradnl"/>
        </w:rPr>
        <w:t xml:space="preserve"> que </w:t>
      </w:r>
      <w:proofErr w:type="spellStart"/>
      <w:r w:rsidRPr="00CC6E99">
        <w:rPr>
          <w:rFonts w:ascii="Times New Roman" w:hAnsi="Times New Roman" w:cs="Times New Roman"/>
          <w:sz w:val="24"/>
          <w:szCs w:val="24"/>
          <w:lang w:val="es-ES_tradnl"/>
        </w:rPr>
        <w:t>est</w:t>
      </w:r>
      <w:proofErr w:type="spellEnd"/>
      <w:r w:rsidRPr="00CC6E99">
        <w:rPr>
          <w:rFonts w:ascii="Times New Roman" w:hAnsi="Times New Roman" w:cs="Times New Roman"/>
          <w:sz w:val="24"/>
          <w:szCs w:val="24"/>
        </w:rPr>
        <w:t>ão registrados perante entidades registradoras ou sejam objeto de depósito centralizado é</w:t>
      </w:r>
      <w:r w:rsidRPr="00CC6E99">
        <w:rPr>
          <w:rFonts w:ascii="Times New Roman" w:hAnsi="Times New Roman" w:cs="Times New Roman"/>
          <w:sz w:val="24"/>
          <w:szCs w:val="24"/>
          <w:lang w:val="it-IT"/>
        </w:rPr>
        <w:t xml:space="preserve"> poss</w:t>
      </w:r>
      <w:r w:rsidRPr="00CC6E99">
        <w:rPr>
          <w:rFonts w:ascii="Times New Roman" w:hAnsi="Times New Roman" w:cs="Times New Roman"/>
          <w:sz w:val="24"/>
          <w:szCs w:val="24"/>
        </w:rPr>
        <w:t>ível ao custodiante e representante de investidores não residentes buscar assegurar que tais operações só ocorram nas hipó</w:t>
      </w:r>
      <w:r w:rsidRPr="00CC6E99">
        <w:rPr>
          <w:rFonts w:ascii="Times New Roman" w:hAnsi="Times New Roman" w:cs="Times New Roman"/>
          <w:sz w:val="24"/>
          <w:szCs w:val="24"/>
          <w:lang w:val="es-ES_tradnl"/>
        </w:rPr>
        <w:t xml:space="preserve">teses de </w:t>
      </w:r>
      <w:proofErr w:type="spellStart"/>
      <w:r w:rsidRPr="00CC6E99">
        <w:rPr>
          <w:rFonts w:ascii="Times New Roman" w:hAnsi="Times New Roman" w:cs="Times New Roman"/>
          <w:sz w:val="24"/>
          <w:szCs w:val="24"/>
          <w:lang w:val="es-ES_tradnl"/>
        </w:rPr>
        <w:t>exce</w:t>
      </w:r>
      <w:proofErr w:type="spellEnd"/>
      <w:r w:rsidRPr="00CC6E99">
        <w:rPr>
          <w:rFonts w:ascii="Times New Roman" w:hAnsi="Times New Roman" w:cs="Times New Roman"/>
          <w:sz w:val="24"/>
          <w:szCs w:val="24"/>
        </w:rPr>
        <w:t>ção previstas na norma, o mesmo não acontece quando os valores mobiliá</w:t>
      </w:r>
      <w:proofErr w:type="spellStart"/>
      <w:r w:rsidRPr="00CC6E99">
        <w:rPr>
          <w:rFonts w:ascii="Times New Roman" w:hAnsi="Times New Roman" w:cs="Times New Roman"/>
          <w:sz w:val="24"/>
          <w:szCs w:val="24"/>
          <w:lang w:val="es-ES_tradnl"/>
        </w:rPr>
        <w:t>rios</w:t>
      </w:r>
      <w:proofErr w:type="spellEnd"/>
      <w:r w:rsidRPr="00CC6E99">
        <w:rPr>
          <w:rFonts w:ascii="Times New Roman" w:hAnsi="Times New Roman" w:cs="Times New Roman"/>
          <w:sz w:val="24"/>
          <w:szCs w:val="24"/>
          <w:lang w:val="es-ES_tradnl"/>
        </w:rPr>
        <w:t xml:space="preserve"> </w:t>
      </w:r>
      <w:proofErr w:type="spellStart"/>
      <w:r w:rsidRPr="00CC6E99">
        <w:rPr>
          <w:rFonts w:ascii="Times New Roman" w:hAnsi="Times New Roman" w:cs="Times New Roman"/>
          <w:sz w:val="24"/>
          <w:szCs w:val="24"/>
          <w:lang w:val="es-ES_tradnl"/>
        </w:rPr>
        <w:t>est</w:t>
      </w:r>
      <w:proofErr w:type="spellEnd"/>
      <w:r w:rsidRPr="00CC6E99">
        <w:rPr>
          <w:rFonts w:ascii="Times New Roman" w:hAnsi="Times New Roman" w:cs="Times New Roman"/>
          <w:sz w:val="24"/>
          <w:szCs w:val="24"/>
        </w:rPr>
        <w:t xml:space="preserve">ão registrados apenas perante os escrituradores. </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Desta forma, poderia ocorrer a movimentação de valores mobiliá</w:t>
      </w:r>
      <w:proofErr w:type="spellStart"/>
      <w:r w:rsidRPr="00CC6E99">
        <w:rPr>
          <w:rFonts w:ascii="Times New Roman" w:hAnsi="Times New Roman" w:cs="Times New Roman"/>
          <w:sz w:val="24"/>
          <w:szCs w:val="24"/>
          <w:lang w:val="es-ES_tradnl"/>
        </w:rPr>
        <w:t>rios</w:t>
      </w:r>
      <w:proofErr w:type="spellEnd"/>
      <w:r w:rsidRPr="00CC6E99">
        <w:rPr>
          <w:rFonts w:ascii="Times New Roman" w:hAnsi="Times New Roman" w:cs="Times New Roman"/>
          <w:sz w:val="24"/>
          <w:szCs w:val="24"/>
          <w:lang w:val="es-ES_tradnl"/>
        </w:rPr>
        <w:t xml:space="preserve"> por parte de </w:t>
      </w:r>
      <w:proofErr w:type="spellStart"/>
      <w:r w:rsidRPr="00CC6E99">
        <w:rPr>
          <w:rFonts w:ascii="Times New Roman" w:hAnsi="Times New Roman" w:cs="Times New Roman"/>
          <w:sz w:val="24"/>
          <w:szCs w:val="24"/>
          <w:lang w:val="es-ES_tradnl"/>
        </w:rPr>
        <w:t>investidores</w:t>
      </w:r>
      <w:proofErr w:type="spellEnd"/>
      <w:r w:rsidRPr="00CC6E99">
        <w:rPr>
          <w:rFonts w:ascii="Times New Roman" w:hAnsi="Times New Roman" w:cs="Times New Roman"/>
          <w:sz w:val="24"/>
          <w:szCs w:val="24"/>
          <w:lang w:val="es-ES_tradnl"/>
        </w:rPr>
        <w:t xml:space="preserve"> n</w:t>
      </w:r>
      <w:r w:rsidRPr="00CC6E99">
        <w:rPr>
          <w:rFonts w:ascii="Times New Roman" w:hAnsi="Times New Roman" w:cs="Times New Roman"/>
          <w:sz w:val="24"/>
          <w:szCs w:val="24"/>
        </w:rPr>
        <w:t>ão residentes fora de mercado organizado, em desacordo com as disposições da Minuta, e à revelia de seu custodiante ou representante, o que criaria uma situaçã</w:t>
      </w:r>
      <w:r w:rsidRPr="00CC6E99">
        <w:rPr>
          <w:rFonts w:ascii="Times New Roman" w:hAnsi="Times New Roman" w:cs="Times New Roman"/>
          <w:sz w:val="24"/>
          <w:szCs w:val="24"/>
          <w:lang w:val="es-ES_tradnl"/>
        </w:rPr>
        <w:t xml:space="preserve">o aparentemente </w:t>
      </w:r>
      <w:proofErr w:type="spellStart"/>
      <w:r w:rsidRPr="00CC6E99">
        <w:rPr>
          <w:rFonts w:ascii="Times New Roman" w:hAnsi="Times New Roman" w:cs="Times New Roman"/>
          <w:sz w:val="24"/>
          <w:szCs w:val="24"/>
          <w:lang w:val="es-ES_tradnl"/>
        </w:rPr>
        <w:t>contradit</w:t>
      </w:r>
      <w:proofErr w:type="spellEnd"/>
      <w:r w:rsidRPr="00CC6E99">
        <w:rPr>
          <w:rFonts w:ascii="Times New Roman" w:hAnsi="Times New Roman" w:cs="Times New Roman"/>
          <w:sz w:val="24"/>
          <w:szCs w:val="24"/>
        </w:rPr>
        <w:t>ória e indesejá</w:t>
      </w:r>
      <w:r w:rsidRPr="00CC6E99">
        <w:rPr>
          <w:rFonts w:ascii="Times New Roman" w:hAnsi="Times New Roman" w:cs="Times New Roman"/>
          <w:sz w:val="24"/>
          <w:szCs w:val="24"/>
          <w:lang w:val="it-IT"/>
        </w:rPr>
        <w:t>vel, na qual: (i) o custodiante n</w:t>
      </w:r>
      <w:r w:rsidRPr="00CC6E99">
        <w:rPr>
          <w:rFonts w:ascii="Times New Roman" w:hAnsi="Times New Roman" w:cs="Times New Roman"/>
          <w:sz w:val="24"/>
          <w:szCs w:val="24"/>
        </w:rPr>
        <w:t>ão tem controle de movimentação dos ativos que, em teoria, seriam objeto de sua custódia; e (ii) o representante legal nã</w:t>
      </w:r>
      <w:r w:rsidRPr="00CC6E99">
        <w:rPr>
          <w:rFonts w:ascii="Times New Roman" w:hAnsi="Times New Roman" w:cs="Times New Roman"/>
          <w:sz w:val="24"/>
          <w:szCs w:val="24"/>
          <w:lang w:val="it-IT"/>
        </w:rPr>
        <w:t>o necessariamente ter</w:t>
      </w:r>
      <w:r w:rsidRPr="00CC6E99">
        <w:rPr>
          <w:rFonts w:ascii="Times New Roman" w:hAnsi="Times New Roman" w:cs="Times New Roman"/>
          <w:sz w:val="24"/>
          <w:szCs w:val="24"/>
        </w:rPr>
        <w:t xml:space="preserve">á ciência (ao menos tempestiva) das movimentações realizadas pelo investidor não residente. </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lang w:val="es-ES_tradnl"/>
        </w:rPr>
        <w:t xml:space="preserve">Para evitar a </w:t>
      </w:r>
      <w:proofErr w:type="spellStart"/>
      <w:r w:rsidRPr="00CC6E99">
        <w:rPr>
          <w:rFonts w:ascii="Times New Roman" w:hAnsi="Times New Roman" w:cs="Times New Roman"/>
          <w:sz w:val="24"/>
          <w:szCs w:val="24"/>
          <w:lang w:val="es-ES_tradnl"/>
        </w:rPr>
        <w:t>situa</w:t>
      </w:r>
      <w:proofErr w:type="spellEnd"/>
      <w:r w:rsidRPr="00CC6E99">
        <w:rPr>
          <w:rFonts w:ascii="Times New Roman" w:hAnsi="Times New Roman" w:cs="Times New Roman"/>
          <w:sz w:val="24"/>
          <w:szCs w:val="24"/>
        </w:rPr>
        <w:t>ção</w:t>
      </w:r>
      <w:r w:rsidRPr="00CC6E99">
        <w:rPr>
          <w:rFonts w:ascii="Times New Roman" w:hAnsi="Times New Roman" w:cs="Times New Roman"/>
          <w:sz w:val="24"/>
          <w:szCs w:val="24"/>
          <w:lang w:val="es-ES_tradnl"/>
        </w:rPr>
        <w:t xml:space="preserve"> descrita, </w:t>
      </w:r>
      <w:r w:rsidRPr="00CC6E99">
        <w:rPr>
          <w:rFonts w:ascii="Times New Roman" w:hAnsi="Times New Roman" w:cs="Times New Roman"/>
          <w:sz w:val="24"/>
          <w:szCs w:val="24"/>
        </w:rPr>
        <w:t xml:space="preserve">a ANBIMA sugere a inclusão de dispositivos na Minuta, conforme segue: </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left="851"/>
        <w:jc w:val="both"/>
        <w:rPr>
          <w:rFonts w:ascii="Times New Roman" w:eastAsia="Times New Roman" w:hAnsi="Times New Roman" w:cs="Times New Roman"/>
          <w:i/>
          <w:iCs/>
          <w:sz w:val="24"/>
          <w:szCs w:val="24"/>
        </w:rPr>
      </w:pPr>
      <w:r w:rsidRPr="00CC6E99">
        <w:rPr>
          <w:rFonts w:ascii="Times New Roman" w:hAnsi="Times New Roman" w:cs="Times New Roman"/>
          <w:i/>
          <w:iCs/>
          <w:sz w:val="24"/>
          <w:szCs w:val="24"/>
        </w:rPr>
        <w:t xml:space="preserve">“Art. 15. O número do registro atribuído pela CVM deve constar de todas as operações realizadas em nome de cada investidor participante de conta coletiva ou titular de conta própria, a fim de permitir a identificação dos comitentes finais nas operações realizadas e assegurar a segregação entre as ordens do titular e de cada um dos participantes da conta. </w:t>
      </w:r>
    </w:p>
    <w:p w:rsidR="00D9084C" w:rsidRPr="00CC6E99" w:rsidRDefault="00D9084C">
      <w:pPr>
        <w:pStyle w:val="CorpoA"/>
        <w:spacing w:after="0" w:line="312" w:lineRule="auto"/>
        <w:ind w:left="851"/>
        <w:jc w:val="both"/>
        <w:rPr>
          <w:rFonts w:ascii="Times New Roman" w:eastAsia="Times New Roman" w:hAnsi="Times New Roman" w:cs="Times New Roman"/>
          <w:i/>
          <w:iCs/>
          <w:sz w:val="24"/>
          <w:szCs w:val="24"/>
        </w:rPr>
      </w:pPr>
    </w:p>
    <w:p w:rsidR="00D9084C" w:rsidRPr="00CC6E99" w:rsidRDefault="005607BA">
      <w:pPr>
        <w:pStyle w:val="CorpoA"/>
        <w:spacing w:after="0" w:line="312" w:lineRule="auto"/>
        <w:ind w:left="851"/>
        <w:jc w:val="both"/>
        <w:rPr>
          <w:rFonts w:ascii="Times New Roman" w:eastAsia="Times New Roman" w:hAnsi="Times New Roman" w:cs="Times New Roman"/>
          <w:i/>
          <w:iCs/>
          <w:sz w:val="24"/>
          <w:szCs w:val="24"/>
          <w:u w:val="single"/>
        </w:rPr>
      </w:pPr>
      <w:r w:rsidRPr="00CC6E99">
        <w:rPr>
          <w:rFonts w:ascii="Times New Roman" w:hAnsi="Times New Roman" w:cs="Times New Roman"/>
          <w:i/>
          <w:iCs/>
          <w:sz w:val="24"/>
          <w:szCs w:val="24"/>
          <w:u w:val="single"/>
        </w:rPr>
        <w:lastRenderedPageBreak/>
        <w:t>Pará</w:t>
      </w:r>
      <w:r w:rsidRPr="00CC6E99">
        <w:rPr>
          <w:rFonts w:ascii="Times New Roman" w:hAnsi="Times New Roman" w:cs="Times New Roman"/>
          <w:i/>
          <w:iCs/>
          <w:sz w:val="24"/>
          <w:szCs w:val="24"/>
          <w:u w:val="single"/>
          <w:lang w:val="it-IT"/>
        </w:rPr>
        <w:t xml:space="preserve">grafo </w:t>
      </w:r>
      <w:r w:rsidRPr="00CC6E99">
        <w:rPr>
          <w:rFonts w:ascii="Times New Roman" w:hAnsi="Times New Roman" w:cs="Times New Roman"/>
          <w:i/>
          <w:iCs/>
          <w:sz w:val="24"/>
          <w:szCs w:val="24"/>
          <w:u w:val="single"/>
        </w:rPr>
        <w:t>único. Nos casos em que o investidor não residente detenha valores mobiliários registrados apenas perante instituições autorizadas à prestaçã</w:t>
      </w:r>
      <w:r w:rsidRPr="00CC6E99">
        <w:rPr>
          <w:rFonts w:ascii="Times New Roman" w:hAnsi="Times New Roman" w:cs="Times New Roman"/>
          <w:i/>
          <w:iCs/>
          <w:sz w:val="24"/>
          <w:szCs w:val="24"/>
          <w:u w:val="single"/>
          <w:lang w:val="es-ES_tradnl"/>
        </w:rPr>
        <w:t xml:space="preserve">o de </w:t>
      </w:r>
      <w:proofErr w:type="spellStart"/>
      <w:r w:rsidRPr="00CC6E99">
        <w:rPr>
          <w:rFonts w:ascii="Times New Roman" w:hAnsi="Times New Roman" w:cs="Times New Roman"/>
          <w:i/>
          <w:iCs/>
          <w:sz w:val="24"/>
          <w:szCs w:val="24"/>
          <w:u w:val="single"/>
          <w:lang w:val="es-ES_tradnl"/>
        </w:rPr>
        <w:t>servi</w:t>
      </w:r>
      <w:proofErr w:type="spellEnd"/>
      <w:r w:rsidRPr="00CC6E99">
        <w:rPr>
          <w:rFonts w:ascii="Times New Roman" w:hAnsi="Times New Roman" w:cs="Times New Roman"/>
          <w:i/>
          <w:iCs/>
          <w:sz w:val="24"/>
          <w:szCs w:val="24"/>
          <w:u w:val="single"/>
        </w:rPr>
        <w:t>ç</w:t>
      </w:r>
      <w:r w:rsidRPr="00CC6E99">
        <w:rPr>
          <w:rFonts w:ascii="Times New Roman" w:hAnsi="Times New Roman" w:cs="Times New Roman"/>
          <w:i/>
          <w:iCs/>
          <w:sz w:val="24"/>
          <w:szCs w:val="24"/>
          <w:u w:val="single"/>
          <w:lang w:val="es-ES_tradnl"/>
        </w:rPr>
        <w:t>os de escritura</w:t>
      </w:r>
      <w:r w:rsidRPr="00CC6E99">
        <w:rPr>
          <w:rFonts w:ascii="Times New Roman" w:hAnsi="Times New Roman" w:cs="Times New Roman"/>
          <w:i/>
          <w:iCs/>
          <w:sz w:val="24"/>
          <w:szCs w:val="24"/>
          <w:u w:val="single"/>
        </w:rPr>
        <w:t>ção, o representante deverá informar ao escriturador que os valores mobiliá</w:t>
      </w:r>
      <w:proofErr w:type="spellStart"/>
      <w:r w:rsidRPr="00CC6E99">
        <w:rPr>
          <w:rFonts w:ascii="Times New Roman" w:hAnsi="Times New Roman" w:cs="Times New Roman"/>
          <w:i/>
          <w:iCs/>
          <w:sz w:val="24"/>
          <w:szCs w:val="24"/>
          <w:u w:val="single"/>
          <w:lang w:val="es-ES_tradnl"/>
        </w:rPr>
        <w:t>rios</w:t>
      </w:r>
      <w:proofErr w:type="spellEnd"/>
      <w:r w:rsidRPr="00CC6E99">
        <w:rPr>
          <w:rFonts w:ascii="Times New Roman" w:hAnsi="Times New Roman" w:cs="Times New Roman"/>
          <w:i/>
          <w:iCs/>
          <w:sz w:val="24"/>
          <w:szCs w:val="24"/>
          <w:u w:val="single"/>
          <w:lang w:val="es-ES_tradnl"/>
        </w:rPr>
        <w:t xml:space="preserve"> </w:t>
      </w:r>
      <w:proofErr w:type="spellStart"/>
      <w:r w:rsidRPr="00CC6E99">
        <w:rPr>
          <w:rFonts w:ascii="Times New Roman" w:hAnsi="Times New Roman" w:cs="Times New Roman"/>
          <w:i/>
          <w:iCs/>
          <w:sz w:val="24"/>
          <w:szCs w:val="24"/>
          <w:u w:val="single"/>
          <w:lang w:val="es-ES_tradnl"/>
        </w:rPr>
        <w:t>est</w:t>
      </w:r>
      <w:proofErr w:type="spellEnd"/>
      <w:r w:rsidRPr="00CC6E99">
        <w:rPr>
          <w:rFonts w:ascii="Times New Roman" w:hAnsi="Times New Roman" w:cs="Times New Roman"/>
          <w:i/>
          <w:iCs/>
          <w:sz w:val="24"/>
          <w:szCs w:val="24"/>
          <w:u w:val="single"/>
        </w:rPr>
        <w:t>ão sujeitos ao regime do Regulamento Anexo I da Resolução nº 4.373 do Conselho Monetá</w:t>
      </w:r>
      <w:r w:rsidRPr="00CC6E99">
        <w:rPr>
          <w:rFonts w:ascii="Times New Roman" w:hAnsi="Times New Roman" w:cs="Times New Roman"/>
          <w:i/>
          <w:iCs/>
          <w:sz w:val="24"/>
          <w:szCs w:val="24"/>
          <w:u w:val="single"/>
          <w:lang w:val="es-ES_tradnl"/>
        </w:rPr>
        <w:t xml:space="preserve">rio Nacional </w:t>
      </w:r>
      <w:r w:rsidRPr="00CC6E99">
        <w:rPr>
          <w:rFonts w:ascii="Times New Roman" w:hAnsi="Times New Roman" w:cs="Times New Roman"/>
          <w:i/>
          <w:iCs/>
          <w:sz w:val="24"/>
          <w:szCs w:val="24"/>
          <w:u w:val="single"/>
        </w:rPr>
        <w:t>– CMN.”</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left="851"/>
        <w:jc w:val="both"/>
        <w:rPr>
          <w:rFonts w:ascii="Times New Roman" w:eastAsia="Times New Roman" w:hAnsi="Times New Roman" w:cs="Times New Roman"/>
          <w:i/>
          <w:iCs/>
          <w:sz w:val="24"/>
          <w:szCs w:val="24"/>
        </w:rPr>
      </w:pPr>
      <w:r w:rsidRPr="00CC6E99">
        <w:rPr>
          <w:rFonts w:ascii="Times New Roman" w:hAnsi="Times New Roman" w:cs="Times New Roman"/>
          <w:i/>
          <w:iCs/>
          <w:sz w:val="24"/>
          <w:szCs w:val="24"/>
        </w:rPr>
        <w:t>“</w:t>
      </w:r>
      <w:r w:rsidRPr="00CC6E99">
        <w:rPr>
          <w:rFonts w:ascii="Times New Roman" w:hAnsi="Times New Roman" w:cs="Times New Roman"/>
          <w:i/>
          <w:iCs/>
          <w:sz w:val="24"/>
          <w:szCs w:val="24"/>
          <w:lang w:val="es-ES_tradnl"/>
        </w:rPr>
        <w:t xml:space="preserve">Art. 17. A </w:t>
      </w:r>
      <w:proofErr w:type="spellStart"/>
      <w:r w:rsidRPr="00CC6E99">
        <w:rPr>
          <w:rFonts w:ascii="Times New Roman" w:hAnsi="Times New Roman" w:cs="Times New Roman"/>
          <w:i/>
          <w:iCs/>
          <w:sz w:val="24"/>
          <w:szCs w:val="24"/>
          <w:lang w:val="es-ES_tradnl"/>
        </w:rPr>
        <w:t>aquisi</w:t>
      </w:r>
      <w:proofErr w:type="spellEnd"/>
      <w:r w:rsidRPr="00CC6E99">
        <w:rPr>
          <w:rFonts w:ascii="Times New Roman" w:hAnsi="Times New Roman" w:cs="Times New Roman"/>
          <w:i/>
          <w:iCs/>
          <w:sz w:val="24"/>
          <w:szCs w:val="24"/>
        </w:rPr>
        <w:t>ção ou alienação de valores mobiliários fora de mercado organizado é permitida nas hipó</w:t>
      </w:r>
      <w:r w:rsidRPr="00CC6E99">
        <w:rPr>
          <w:rFonts w:ascii="Times New Roman" w:hAnsi="Times New Roman" w:cs="Times New Roman"/>
          <w:i/>
          <w:iCs/>
          <w:sz w:val="24"/>
          <w:szCs w:val="24"/>
          <w:lang w:val="es-ES_tradnl"/>
        </w:rPr>
        <w:t>teses de:</w:t>
      </w:r>
    </w:p>
    <w:p w:rsidR="00D9084C" w:rsidRPr="00CC6E99" w:rsidRDefault="005607BA">
      <w:pPr>
        <w:pStyle w:val="CorpoA"/>
        <w:spacing w:after="0" w:line="312" w:lineRule="auto"/>
        <w:ind w:left="851"/>
        <w:jc w:val="both"/>
        <w:rPr>
          <w:rFonts w:ascii="Times New Roman" w:eastAsia="Times New Roman" w:hAnsi="Times New Roman" w:cs="Times New Roman"/>
          <w:i/>
          <w:iCs/>
          <w:sz w:val="24"/>
          <w:szCs w:val="24"/>
        </w:rPr>
      </w:pPr>
      <w:r w:rsidRPr="00CC6E99">
        <w:rPr>
          <w:rFonts w:ascii="Times New Roman" w:hAnsi="Times New Roman" w:cs="Times New Roman"/>
          <w:i/>
          <w:iCs/>
          <w:sz w:val="24"/>
          <w:szCs w:val="24"/>
        </w:rPr>
        <w:t xml:space="preserve">(...) </w:t>
      </w:r>
    </w:p>
    <w:p w:rsidR="00D9084C" w:rsidRPr="00CC6E99" w:rsidRDefault="005607BA">
      <w:pPr>
        <w:pStyle w:val="CorpoA"/>
        <w:spacing w:after="0" w:line="312" w:lineRule="auto"/>
        <w:ind w:left="851"/>
        <w:jc w:val="both"/>
        <w:rPr>
          <w:rFonts w:ascii="Times New Roman" w:eastAsia="Times New Roman" w:hAnsi="Times New Roman" w:cs="Times New Roman"/>
          <w:i/>
          <w:iCs/>
          <w:sz w:val="24"/>
          <w:szCs w:val="24"/>
          <w:u w:val="single"/>
        </w:rPr>
      </w:pPr>
      <w:r w:rsidRPr="00CC6E99">
        <w:rPr>
          <w:rFonts w:ascii="Times New Roman" w:hAnsi="Times New Roman" w:cs="Times New Roman"/>
          <w:i/>
          <w:iCs/>
          <w:sz w:val="24"/>
          <w:szCs w:val="24"/>
          <w:u w:val="single"/>
        </w:rPr>
        <w:t>§4º Exceto nos casos de ordem judicial, a instituição autorizada à prestaçã</w:t>
      </w:r>
      <w:r w:rsidRPr="00CC6E99">
        <w:rPr>
          <w:rFonts w:ascii="Times New Roman" w:hAnsi="Times New Roman" w:cs="Times New Roman"/>
          <w:i/>
          <w:iCs/>
          <w:sz w:val="24"/>
          <w:szCs w:val="24"/>
          <w:u w:val="single"/>
          <w:lang w:val="es-ES_tradnl"/>
        </w:rPr>
        <w:t xml:space="preserve">o de </w:t>
      </w:r>
      <w:proofErr w:type="spellStart"/>
      <w:r w:rsidRPr="00CC6E99">
        <w:rPr>
          <w:rFonts w:ascii="Times New Roman" w:hAnsi="Times New Roman" w:cs="Times New Roman"/>
          <w:i/>
          <w:iCs/>
          <w:sz w:val="24"/>
          <w:szCs w:val="24"/>
          <w:u w:val="single"/>
          <w:lang w:val="es-ES_tradnl"/>
        </w:rPr>
        <w:t>servi</w:t>
      </w:r>
      <w:proofErr w:type="spellEnd"/>
      <w:r w:rsidRPr="00CC6E99">
        <w:rPr>
          <w:rFonts w:ascii="Times New Roman" w:hAnsi="Times New Roman" w:cs="Times New Roman"/>
          <w:i/>
          <w:iCs/>
          <w:sz w:val="24"/>
          <w:szCs w:val="24"/>
          <w:u w:val="single"/>
        </w:rPr>
        <w:t>ç</w:t>
      </w:r>
      <w:r w:rsidRPr="00CC6E99">
        <w:rPr>
          <w:rFonts w:ascii="Times New Roman" w:hAnsi="Times New Roman" w:cs="Times New Roman"/>
          <w:i/>
          <w:iCs/>
          <w:sz w:val="24"/>
          <w:szCs w:val="24"/>
          <w:u w:val="single"/>
          <w:lang w:val="es-ES_tradnl"/>
        </w:rPr>
        <w:t>os de escritura</w:t>
      </w:r>
      <w:r w:rsidRPr="00CC6E99">
        <w:rPr>
          <w:rFonts w:ascii="Times New Roman" w:hAnsi="Times New Roman" w:cs="Times New Roman"/>
          <w:i/>
          <w:iCs/>
          <w:sz w:val="24"/>
          <w:szCs w:val="24"/>
          <w:u w:val="single"/>
        </w:rPr>
        <w:t>ção só deverá registrar a alienação de valores mobiliários escriturados em nome do investidor não residente mediante ordem ou anuência do representante, a quem caberá avaliar a conformidade da movimentação pretendida com as disposiçõ</w:t>
      </w:r>
      <w:r w:rsidRPr="00CC6E99">
        <w:rPr>
          <w:rFonts w:ascii="Times New Roman" w:hAnsi="Times New Roman" w:cs="Times New Roman"/>
          <w:i/>
          <w:iCs/>
          <w:sz w:val="24"/>
          <w:szCs w:val="24"/>
          <w:u w:val="single"/>
          <w:lang w:val="es-ES_tradnl"/>
        </w:rPr>
        <w:t xml:space="preserve">es </w:t>
      </w:r>
      <w:proofErr w:type="spellStart"/>
      <w:r w:rsidRPr="00CC6E99">
        <w:rPr>
          <w:rFonts w:ascii="Times New Roman" w:hAnsi="Times New Roman" w:cs="Times New Roman"/>
          <w:i/>
          <w:iCs/>
          <w:sz w:val="24"/>
          <w:szCs w:val="24"/>
          <w:u w:val="single"/>
          <w:lang w:val="es-ES_tradnl"/>
        </w:rPr>
        <w:t>desta</w:t>
      </w:r>
      <w:proofErr w:type="spellEnd"/>
      <w:r w:rsidRPr="00CC6E99">
        <w:rPr>
          <w:rFonts w:ascii="Times New Roman" w:hAnsi="Times New Roman" w:cs="Times New Roman"/>
          <w:i/>
          <w:iCs/>
          <w:sz w:val="24"/>
          <w:szCs w:val="24"/>
          <w:u w:val="single"/>
          <w:lang w:val="es-ES_tradnl"/>
        </w:rPr>
        <w:t xml:space="preserve"> </w:t>
      </w:r>
      <w:proofErr w:type="spellStart"/>
      <w:r w:rsidRPr="00CC6E99">
        <w:rPr>
          <w:rFonts w:ascii="Times New Roman" w:hAnsi="Times New Roman" w:cs="Times New Roman"/>
          <w:i/>
          <w:iCs/>
          <w:sz w:val="24"/>
          <w:szCs w:val="24"/>
          <w:u w:val="single"/>
          <w:lang w:val="es-ES_tradnl"/>
        </w:rPr>
        <w:t>Instru</w:t>
      </w:r>
      <w:proofErr w:type="spellEnd"/>
      <w:r w:rsidRPr="00CC6E99">
        <w:rPr>
          <w:rFonts w:ascii="Times New Roman" w:hAnsi="Times New Roman" w:cs="Times New Roman"/>
          <w:i/>
          <w:iCs/>
          <w:sz w:val="24"/>
          <w:szCs w:val="24"/>
          <w:u w:val="single"/>
        </w:rPr>
        <w:t>ção.”</w:t>
      </w:r>
    </w:p>
    <w:p w:rsidR="00D9084C" w:rsidRPr="00CC6E99" w:rsidRDefault="00D9084C">
      <w:pPr>
        <w:pStyle w:val="CorpoA"/>
        <w:widowControl w:val="0"/>
        <w:spacing w:after="0" w:line="312" w:lineRule="auto"/>
        <w:ind w:firstLine="709"/>
        <w:jc w:val="both"/>
        <w:rPr>
          <w:rFonts w:ascii="Times New Roman" w:eastAsia="Times New Roman" w:hAnsi="Times New Roman" w:cs="Times New Roman"/>
          <w:sz w:val="24"/>
          <w:szCs w:val="24"/>
        </w:rPr>
      </w:pPr>
    </w:p>
    <w:tbl>
      <w:tblPr>
        <w:tblStyle w:val="TableNormal"/>
        <w:tblW w:w="103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D9084C" w:rsidRPr="00AF4AA5">
        <w:trPr>
          <w:trHeight w:val="1104"/>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B6284C" w:rsidRDefault="003537DA" w:rsidP="00B6284C">
            <w:pPr>
              <w:pStyle w:val="CorpoA"/>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sugestão foi considerada parcialmente pertinente. A CVM não entendeu necessário </w:t>
            </w:r>
            <w:r w:rsidR="00B6284C">
              <w:rPr>
                <w:rFonts w:ascii="Times New Roman" w:hAnsi="Times New Roman" w:cs="Times New Roman"/>
                <w:sz w:val="24"/>
                <w:szCs w:val="24"/>
              </w:rPr>
              <w:t>que a</w:t>
            </w:r>
            <w:r>
              <w:rPr>
                <w:rFonts w:ascii="Times New Roman" w:hAnsi="Times New Roman" w:cs="Times New Roman"/>
                <w:sz w:val="24"/>
                <w:szCs w:val="24"/>
              </w:rPr>
              <w:t xml:space="preserve"> instituiç</w:t>
            </w:r>
            <w:r w:rsidR="00B6284C">
              <w:rPr>
                <w:rFonts w:ascii="Times New Roman" w:hAnsi="Times New Roman" w:cs="Times New Roman"/>
                <w:sz w:val="24"/>
                <w:szCs w:val="24"/>
              </w:rPr>
              <w:t>ão prestadora</w:t>
            </w:r>
            <w:r>
              <w:rPr>
                <w:rFonts w:ascii="Times New Roman" w:hAnsi="Times New Roman" w:cs="Times New Roman"/>
                <w:sz w:val="24"/>
                <w:szCs w:val="24"/>
              </w:rPr>
              <w:t xml:space="preserve"> de serviç</w:t>
            </w:r>
            <w:r w:rsidR="00B6284C">
              <w:rPr>
                <w:rFonts w:ascii="Times New Roman" w:hAnsi="Times New Roman" w:cs="Times New Roman"/>
                <w:sz w:val="24"/>
                <w:szCs w:val="24"/>
              </w:rPr>
              <w:t>o</w:t>
            </w:r>
            <w:r>
              <w:rPr>
                <w:rFonts w:ascii="Times New Roman" w:hAnsi="Times New Roman" w:cs="Times New Roman"/>
                <w:sz w:val="24"/>
                <w:szCs w:val="24"/>
              </w:rPr>
              <w:t xml:space="preserve"> de escrituração </w:t>
            </w:r>
            <w:r w:rsidR="00B6284C">
              <w:rPr>
                <w:rFonts w:ascii="Times New Roman" w:hAnsi="Times New Roman" w:cs="Times New Roman"/>
                <w:sz w:val="24"/>
                <w:szCs w:val="24"/>
              </w:rPr>
              <w:t>seja comunicada sobre a submissão das operações de</w:t>
            </w:r>
            <w:r>
              <w:rPr>
                <w:rFonts w:ascii="Times New Roman" w:hAnsi="Times New Roman" w:cs="Times New Roman"/>
                <w:sz w:val="24"/>
                <w:szCs w:val="24"/>
              </w:rPr>
              <w:t xml:space="preserve"> investidores não residentes às normas da Resolução CMN nº 4.373, de 2014, e da CVM, uma vez que </w:t>
            </w:r>
            <w:r w:rsidR="00B6284C">
              <w:rPr>
                <w:rFonts w:ascii="Times New Roman" w:hAnsi="Times New Roman" w:cs="Times New Roman"/>
                <w:sz w:val="24"/>
                <w:szCs w:val="24"/>
              </w:rPr>
              <w:t>o inciso I do art. 15 da</w:t>
            </w:r>
            <w:r>
              <w:rPr>
                <w:rFonts w:ascii="Times New Roman" w:hAnsi="Times New Roman" w:cs="Times New Roman"/>
                <w:sz w:val="24"/>
                <w:szCs w:val="24"/>
              </w:rPr>
              <w:t xml:space="preserve"> Instrução CVM nº 543,</w:t>
            </w:r>
            <w:r w:rsidR="00B6284C">
              <w:rPr>
                <w:rFonts w:ascii="Times New Roman" w:hAnsi="Times New Roman" w:cs="Times New Roman"/>
                <w:sz w:val="24"/>
                <w:szCs w:val="24"/>
              </w:rPr>
              <w:t xml:space="preserve"> de 20 de dezembro de 2013, prevê que as </w:t>
            </w:r>
            <w:r w:rsidR="00B6284C" w:rsidRPr="00B6284C">
              <w:rPr>
                <w:rFonts w:ascii="Times New Roman" w:hAnsi="Times New Roman" w:cs="Times New Roman"/>
                <w:sz w:val="24"/>
                <w:szCs w:val="24"/>
              </w:rPr>
              <w:t>contas de valores mobiliários mantidas pelo escriturador devem conter a identificação, qualificação, natureza jurídica, domicílio e regime tributário do titular do valor mobiliário.</w:t>
            </w:r>
          </w:p>
          <w:p w:rsidR="00B6284C" w:rsidRDefault="00B6284C" w:rsidP="00B6284C">
            <w:pPr>
              <w:pStyle w:val="CorpoA"/>
              <w:spacing w:after="0" w:line="312" w:lineRule="auto"/>
              <w:ind w:firstLine="709"/>
              <w:jc w:val="both"/>
              <w:rPr>
                <w:rFonts w:ascii="Times New Roman" w:hAnsi="Times New Roman" w:cs="Times New Roman"/>
                <w:sz w:val="24"/>
                <w:szCs w:val="24"/>
              </w:rPr>
            </w:pPr>
          </w:p>
          <w:p w:rsidR="00D9084C" w:rsidRPr="00CC6E99" w:rsidRDefault="00181C21" w:rsidP="00C62139">
            <w:pPr>
              <w:pStyle w:val="CorpoA"/>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Por outro lado, a sugestão relativa à necessidade de</w:t>
            </w:r>
            <w:r w:rsidR="00CE037D">
              <w:rPr>
                <w:rFonts w:ascii="Times New Roman" w:hAnsi="Times New Roman" w:cs="Times New Roman"/>
                <w:sz w:val="24"/>
                <w:szCs w:val="24"/>
              </w:rPr>
              <w:t xml:space="preserve"> obtenção, pela</w:t>
            </w:r>
            <w:r>
              <w:rPr>
                <w:rFonts w:ascii="Times New Roman" w:hAnsi="Times New Roman" w:cs="Times New Roman"/>
                <w:sz w:val="24"/>
                <w:szCs w:val="24"/>
              </w:rPr>
              <w:t xml:space="preserve"> instituição prestadora de serviço de escrituração, da anuência do representante previamente ao registro de alienação de valor mobiliário por investidor não residente foi considerada válida e está refletida na versão final da</w:t>
            </w:r>
            <w:r w:rsidR="005607BA" w:rsidRPr="00CC6E99">
              <w:rPr>
                <w:rFonts w:ascii="Times New Roman" w:hAnsi="Times New Roman" w:cs="Times New Roman"/>
                <w:sz w:val="24"/>
                <w:szCs w:val="24"/>
              </w:rPr>
              <w:t xml:space="preserve"> norma, com modificações na redação</w:t>
            </w:r>
            <w:r w:rsidR="003132FB">
              <w:rPr>
                <w:rFonts w:ascii="Times New Roman" w:hAnsi="Times New Roman" w:cs="Times New Roman"/>
                <w:sz w:val="24"/>
                <w:szCs w:val="24"/>
              </w:rPr>
              <w:t xml:space="preserve"> (§</w:t>
            </w:r>
            <w:r w:rsidR="00C62139">
              <w:rPr>
                <w:rFonts w:ascii="Times New Roman" w:hAnsi="Times New Roman" w:cs="Times New Roman"/>
                <w:sz w:val="24"/>
                <w:szCs w:val="24"/>
              </w:rPr>
              <w:t xml:space="preserve">3º </w:t>
            </w:r>
            <w:r w:rsidR="003132FB">
              <w:rPr>
                <w:rFonts w:ascii="Times New Roman" w:hAnsi="Times New Roman" w:cs="Times New Roman"/>
                <w:sz w:val="24"/>
                <w:szCs w:val="24"/>
              </w:rPr>
              <w:t>do art. 19)</w:t>
            </w:r>
            <w:r w:rsidR="005607BA" w:rsidRPr="00CC6E99">
              <w:rPr>
                <w:rFonts w:ascii="Times New Roman" w:hAnsi="Times New Roman" w:cs="Times New Roman"/>
                <w:sz w:val="24"/>
                <w:szCs w:val="24"/>
              </w:rPr>
              <w:t xml:space="preserve">. </w:t>
            </w:r>
          </w:p>
        </w:tc>
      </w:tr>
    </w:tbl>
    <w:p w:rsidR="00B77BBD" w:rsidRDefault="00B77BBD" w:rsidP="00B77BBD">
      <w:pPr>
        <w:pStyle w:val="Ttulo3"/>
        <w:spacing w:before="120"/>
        <w:rPr>
          <w:rFonts w:hAnsi="Times New Roman" w:cs="Times New Roman"/>
        </w:rPr>
      </w:pPr>
    </w:p>
    <w:p w:rsidR="00D9084C" w:rsidRPr="00CC6E99" w:rsidRDefault="005607BA">
      <w:pPr>
        <w:pStyle w:val="Ttulo3"/>
        <w:spacing w:before="0"/>
        <w:rPr>
          <w:rFonts w:hAnsi="Times New Roman" w:cs="Times New Roman"/>
        </w:rPr>
      </w:pPr>
      <w:r w:rsidRPr="00CC6E99">
        <w:rPr>
          <w:rFonts w:hAnsi="Times New Roman" w:cs="Times New Roman"/>
        </w:rPr>
        <w:t>3.1.9.</w:t>
      </w:r>
      <w:r w:rsidRPr="00CC6E99">
        <w:rPr>
          <w:rFonts w:hAnsi="Times New Roman" w:cs="Times New Roman"/>
        </w:rPr>
        <w:tab/>
        <w:t xml:space="preserve"> Cadastro simplificado</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 xml:space="preserve">A BM&amp;FBOVESPA sugere a inclusão </w:t>
      </w:r>
      <w:r w:rsidR="009A04B2" w:rsidRPr="00CC6E99">
        <w:rPr>
          <w:rFonts w:ascii="Times New Roman" w:hAnsi="Times New Roman" w:cs="Times New Roman"/>
          <w:sz w:val="24"/>
          <w:szCs w:val="24"/>
        </w:rPr>
        <w:t xml:space="preserve">de novo dispositivo </w:t>
      </w:r>
      <w:r w:rsidRPr="00CC6E99">
        <w:rPr>
          <w:rFonts w:ascii="Times New Roman" w:hAnsi="Times New Roman" w:cs="Times New Roman"/>
          <w:sz w:val="24"/>
          <w:szCs w:val="24"/>
        </w:rPr>
        <w:t>para estender aos custodiantes a possibilidade de realização de cadastro simplificado de investidor não residente cliente de instituiçã</w:t>
      </w:r>
      <w:r w:rsidRPr="00CC6E99">
        <w:rPr>
          <w:rFonts w:ascii="Times New Roman" w:hAnsi="Times New Roman" w:cs="Times New Roman"/>
          <w:sz w:val="24"/>
          <w:szCs w:val="24"/>
          <w:lang w:val="es-ES_tradnl"/>
        </w:rPr>
        <w:t xml:space="preserve">o </w:t>
      </w:r>
      <w:proofErr w:type="spellStart"/>
      <w:r w:rsidRPr="00CC6E99">
        <w:rPr>
          <w:rFonts w:ascii="Times New Roman" w:hAnsi="Times New Roman" w:cs="Times New Roman"/>
          <w:sz w:val="24"/>
          <w:szCs w:val="24"/>
          <w:lang w:val="es-ES_tradnl"/>
        </w:rPr>
        <w:t>intermedi</w:t>
      </w:r>
      <w:proofErr w:type="spellEnd"/>
      <w:r w:rsidRPr="00CC6E99">
        <w:rPr>
          <w:rFonts w:ascii="Times New Roman" w:hAnsi="Times New Roman" w:cs="Times New Roman"/>
          <w:sz w:val="24"/>
          <w:szCs w:val="24"/>
        </w:rPr>
        <w:t>ária estrangeira, nas mesmas condições previstas na Instrução CVM nº 505, de 27 de setembro de 2011. Para a bolsa, o alinhamento regulatório entre os custodiantes e os intermediá</w:t>
      </w:r>
      <w:proofErr w:type="spellStart"/>
      <w:r w:rsidRPr="00CC6E99">
        <w:rPr>
          <w:rFonts w:ascii="Times New Roman" w:hAnsi="Times New Roman" w:cs="Times New Roman"/>
          <w:sz w:val="24"/>
          <w:szCs w:val="24"/>
          <w:lang w:val="es-ES_tradnl"/>
        </w:rPr>
        <w:t>rios</w:t>
      </w:r>
      <w:proofErr w:type="spellEnd"/>
      <w:r w:rsidRPr="00CC6E99">
        <w:rPr>
          <w:rFonts w:ascii="Times New Roman" w:hAnsi="Times New Roman" w:cs="Times New Roman"/>
          <w:sz w:val="24"/>
          <w:szCs w:val="24"/>
          <w:lang w:val="es-ES_tradnl"/>
        </w:rPr>
        <w:t xml:space="preserve"> de opera</w:t>
      </w:r>
      <w:r w:rsidRPr="00CC6E99">
        <w:rPr>
          <w:rFonts w:ascii="Times New Roman" w:hAnsi="Times New Roman" w:cs="Times New Roman"/>
          <w:sz w:val="24"/>
          <w:szCs w:val="24"/>
        </w:rPr>
        <w:t>ções com valores mobiliários traz segurança e transparência para o mercado, alé</w:t>
      </w:r>
      <w:r w:rsidRPr="00DF32E3">
        <w:rPr>
          <w:rFonts w:ascii="Times New Roman" w:hAnsi="Times New Roman" w:cs="Times New Roman"/>
          <w:sz w:val="24"/>
          <w:szCs w:val="24"/>
          <w:lang w:val="pt-BR"/>
        </w:rPr>
        <w:t xml:space="preserve">m de mitigar </w:t>
      </w:r>
      <w:proofErr w:type="spellStart"/>
      <w:r w:rsidRPr="00DF32E3">
        <w:rPr>
          <w:rFonts w:ascii="Times New Roman" w:hAnsi="Times New Roman" w:cs="Times New Roman"/>
          <w:sz w:val="24"/>
          <w:szCs w:val="24"/>
          <w:lang w:val="pt-BR"/>
        </w:rPr>
        <w:t>poss</w:t>
      </w:r>
      <w:proofErr w:type="spellEnd"/>
      <w:r w:rsidRPr="00CC6E99">
        <w:rPr>
          <w:rFonts w:ascii="Times New Roman" w:hAnsi="Times New Roman" w:cs="Times New Roman"/>
          <w:sz w:val="24"/>
          <w:szCs w:val="24"/>
        </w:rPr>
        <w:t>íveis assimetrias no tratamento de tais investidores.</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lastRenderedPageBreak/>
        <w:t xml:space="preserve">Se a referida sugestão for acatada, a participante indica que o Anexo I da Instrução CVM n° 301, de 16 de abril de 1999, deveria ser alterado em relação às informações exigidas pelos custodiantes para os participantes de contas coletivas. </w:t>
      </w:r>
    </w:p>
    <w:p w:rsidR="00D9084C" w:rsidRPr="00CC6E99" w:rsidRDefault="00D9084C">
      <w:pPr>
        <w:pStyle w:val="CorpoA"/>
        <w:widowControl w:val="0"/>
        <w:spacing w:after="0" w:line="312" w:lineRule="auto"/>
        <w:ind w:firstLine="709"/>
        <w:jc w:val="both"/>
        <w:rPr>
          <w:rFonts w:ascii="Times New Roman" w:eastAsia="Times New Roman" w:hAnsi="Times New Roman" w:cs="Times New Roman"/>
          <w:sz w:val="24"/>
          <w:szCs w:val="24"/>
        </w:rPr>
      </w:pPr>
    </w:p>
    <w:tbl>
      <w:tblPr>
        <w:tblStyle w:val="TableNormal"/>
        <w:tblW w:w="103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D9084C" w:rsidRPr="00AF4AA5" w:rsidTr="0026478B">
        <w:trPr>
          <w:trHeight w:val="768"/>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D9084C" w:rsidRPr="00CC6E99" w:rsidRDefault="005607BA" w:rsidP="00A35490">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rPr>
              <w:t>A questão trazida pela participante extrapola a questão das operações do investidor não residente, que é o objeto específico da norma em discussão, sendo mais conven</w:t>
            </w:r>
            <w:r w:rsidR="00C23D6E">
              <w:rPr>
                <w:rFonts w:ascii="Times New Roman" w:hAnsi="Times New Roman" w:cs="Times New Roman"/>
                <w:sz w:val="24"/>
                <w:szCs w:val="24"/>
              </w:rPr>
              <w:t>iente que seja examinada em outra oportunidade</w:t>
            </w:r>
            <w:r w:rsidRPr="00CC6E99">
              <w:rPr>
                <w:rFonts w:ascii="Times New Roman" w:hAnsi="Times New Roman" w:cs="Times New Roman"/>
                <w:sz w:val="24"/>
                <w:szCs w:val="24"/>
              </w:rPr>
              <w:t>.</w:t>
            </w:r>
          </w:p>
        </w:tc>
      </w:tr>
    </w:tbl>
    <w:p w:rsidR="00D9084C" w:rsidRPr="00CC6E99" w:rsidRDefault="00D9084C" w:rsidP="0026478B">
      <w:pPr>
        <w:pStyle w:val="CorpoA"/>
        <w:spacing w:after="0" w:line="240" w:lineRule="auto"/>
        <w:jc w:val="both"/>
        <w:rPr>
          <w:rFonts w:ascii="Times New Roman" w:eastAsia="Times New Roman" w:hAnsi="Times New Roman" w:cs="Times New Roman"/>
          <w:sz w:val="24"/>
          <w:szCs w:val="24"/>
        </w:rPr>
      </w:pPr>
    </w:p>
    <w:p w:rsidR="009E55CF" w:rsidRPr="00CC6E99" w:rsidRDefault="009E55CF" w:rsidP="0026478B">
      <w:pPr>
        <w:pStyle w:val="CorpoA"/>
        <w:spacing w:after="0" w:line="240" w:lineRule="auto"/>
        <w:jc w:val="both"/>
        <w:rPr>
          <w:rFonts w:ascii="Times New Roman" w:eastAsia="Times New Roman" w:hAnsi="Times New Roman" w:cs="Times New Roman"/>
          <w:sz w:val="24"/>
          <w:szCs w:val="24"/>
        </w:rPr>
      </w:pPr>
    </w:p>
    <w:p w:rsidR="00D9084C" w:rsidRPr="00CC6E99" w:rsidRDefault="005607BA" w:rsidP="0026478B">
      <w:pPr>
        <w:pStyle w:val="Ttulo3"/>
        <w:spacing w:before="0"/>
        <w:rPr>
          <w:rFonts w:hAnsi="Times New Roman" w:cs="Times New Roman"/>
        </w:rPr>
      </w:pPr>
      <w:r w:rsidRPr="00CC6E99">
        <w:rPr>
          <w:rFonts w:hAnsi="Times New Roman" w:cs="Times New Roman"/>
        </w:rPr>
        <w:t xml:space="preserve">3.1.10.  Operações Fora de Mercado Organizado </w:t>
      </w:r>
      <w:r w:rsidR="0026478B" w:rsidRPr="00CC6E99">
        <w:rPr>
          <w:rFonts w:hAnsi="Times New Roman" w:cs="Times New Roman"/>
        </w:rPr>
        <w:t>– art. 17</w:t>
      </w:r>
      <w:r w:rsidR="0026478B" w:rsidRPr="00CC6E99">
        <w:rPr>
          <w:rFonts w:hAnsi="Times New Roman" w:cs="Times New Roman"/>
          <w:b w:val="0"/>
          <w:bCs w:val="0"/>
        </w:rPr>
        <w:t xml:space="preserve"> </w:t>
      </w:r>
      <w:r w:rsidRPr="00CC6E99">
        <w:rPr>
          <w:rFonts w:hAnsi="Times New Roman" w:cs="Times New Roman"/>
        </w:rPr>
        <w:t>(</w:t>
      </w:r>
      <w:r w:rsidR="0026478B" w:rsidRPr="00CC6E99">
        <w:rPr>
          <w:rFonts w:hAnsi="Times New Roman" w:cs="Times New Roman"/>
        </w:rPr>
        <w:t xml:space="preserve">atual </w:t>
      </w:r>
      <w:r w:rsidRPr="00CC6E99">
        <w:rPr>
          <w:rFonts w:hAnsi="Times New Roman" w:cs="Times New Roman"/>
        </w:rPr>
        <w:t>art. 19)</w:t>
      </w:r>
    </w:p>
    <w:p w:rsidR="00D9084C" w:rsidRPr="00CC6E99" w:rsidRDefault="00D9084C" w:rsidP="0026478B">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rsidP="0026478B">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 xml:space="preserve">A BM&amp;FBOVESPA indica a necessidade de ajuste na redação do </w:t>
      </w:r>
      <w:r w:rsidRPr="00CC6E99">
        <w:rPr>
          <w:rFonts w:ascii="Times New Roman" w:hAnsi="Times New Roman" w:cs="Times New Roman"/>
          <w:b/>
          <w:bCs/>
          <w:sz w:val="24"/>
          <w:szCs w:val="24"/>
        </w:rPr>
        <w:t>caput</w:t>
      </w:r>
      <w:r w:rsidRPr="00CC6E99">
        <w:rPr>
          <w:rFonts w:ascii="Times New Roman" w:hAnsi="Times New Roman" w:cs="Times New Roman"/>
          <w:sz w:val="24"/>
          <w:szCs w:val="24"/>
        </w:rPr>
        <w:t>, com a inclusã</w:t>
      </w:r>
      <w:r w:rsidRPr="00CC6E99">
        <w:rPr>
          <w:rFonts w:ascii="Times New Roman" w:hAnsi="Times New Roman" w:cs="Times New Roman"/>
          <w:sz w:val="24"/>
          <w:szCs w:val="24"/>
          <w:lang w:val="es-ES_tradnl"/>
        </w:rPr>
        <w:t xml:space="preserve">o de </w:t>
      </w:r>
      <w:r w:rsidRPr="00CC6E99">
        <w:rPr>
          <w:rFonts w:ascii="Times New Roman" w:hAnsi="Times New Roman" w:cs="Times New Roman"/>
          <w:sz w:val="24"/>
          <w:szCs w:val="24"/>
        </w:rPr>
        <w:t>“de” após a palavra “alienação”.  Sugere também que, no §2º desse artigo, a redação seja modificada de “</w:t>
      </w:r>
      <w:r w:rsidRPr="00CC6E99">
        <w:rPr>
          <w:rFonts w:ascii="Times New Roman" w:hAnsi="Times New Roman" w:cs="Times New Roman"/>
          <w:i/>
          <w:iCs/>
          <w:sz w:val="24"/>
          <w:szCs w:val="24"/>
        </w:rPr>
        <w:t xml:space="preserve">a permissão independe se </w:t>
      </w:r>
      <w:r w:rsidRPr="00CC6E99">
        <w:rPr>
          <w:rFonts w:ascii="Times New Roman" w:hAnsi="Times New Roman" w:cs="Times New Roman"/>
          <w:i/>
          <w:iCs/>
          <w:strike/>
          <w:sz w:val="24"/>
          <w:szCs w:val="24"/>
        </w:rPr>
        <w:t>for</w:t>
      </w:r>
      <w:r w:rsidRPr="00CC6E99">
        <w:rPr>
          <w:rFonts w:ascii="Times New Roman" w:hAnsi="Times New Roman" w:cs="Times New Roman"/>
          <w:i/>
          <w:iCs/>
          <w:sz w:val="24"/>
          <w:szCs w:val="24"/>
        </w:rPr>
        <w:t xml:space="preserve"> em decorrê</w:t>
      </w:r>
      <w:proofErr w:type="spellStart"/>
      <w:r w:rsidRPr="00CC6E99">
        <w:rPr>
          <w:rFonts w:ascii="Times New Roman" w:hAnsi="Times New Roman" w:cs="Times New Roman"/>
          <w:i/>
          <w:iCs/>
          <w:sz w:val="24"/>
          <w:szCs w:val="24"/>
          <w:lang w:val="es-ES_tradnl"/>
        </w:rPr>
        <w:t>ncia</w:t>
      </w:r>
      <w:proofErr w:type="spellEnd"/>
      <w:r w:rsidRPr="00CC6E99">
        <w:rPr>
          <w:rFonts w:ascii="Times New Roman" w:hAnsi="Times New Roman" w:cs="Times New Roman"/>
          <w:i/>
          <w:iCs/>
          <w:sz w:val="24"/>
          <w:szCs w:val="24"/>
          <w:lang w:val="es-ES_tradnl"/>
        </w:rPr>
        <w:t>(...)</w:t>
      </w:r>
      <w:r w:rsidRPr="00CC6E99">
        <w:rPr>
          <w:rFonts w:ascii="Times New Roman" w:hAnsi="Times New Roman" w:cs="Times New Roman"/>
          <w:i/>
          <w:iCs/>
          <w:sz w:val="24"/>
          <w:szCs w:val="24"/>
        </w:rPr>
        <w:t xml:space="preserve">” </w:t>
      </w:r>
      <w:r w:rsidRPr="00CC6E99">
        <w:rPr>
          <w:rFonts w:ascii="Times New Roman" w:hAnsi="Times New Roman" w:cs="Times New Roman"/>
          <w:sz w:val="24"/>
          <w:szCs w:val="24"/>
        </w:rPr>
        <w:t>para</w:t>
      </w:r>
      <w:r w:rsidRPr="00CC6E99">
        <w:rPr>
          <w:rFonts w:ascii="Times New Roman" w:hAnsi="Times New Roman" w:cs="Times New Roman"/>
          <w:i/>
          <w:iCs/>
          <w:sz w:val="24"/>
          <w:szCs w:val="24"/>
        </w:rPr>
        <w:t xml:space="preserve"> “(...) a permissão independe se </w:t>
      </w:r>
      <w:r w:rsidRPr="00DF32E3">
        <w:rPr>
          <w:rFonts w:ascii="Times New Roman" w:hAnsi="Times New Roman" w:cs="Times New Roman"/>
          <w:i/>
          <w:iCs/>
          <w:sz w:val="24"/>
          <w:szCs w:val="24"/>
          <w:u w:val="single"/>
          <w:lang w:val="pt-BR"/>
        </w:rPr>
        <w:t xml:space="preserve">a </w:t>
      </w:r>
      <w:proofErr w:type="spellStart"/>
      <w:r w:rsidRPr="00DF32E3">
        <w:rPr>
          <w:rFonts w:ascii="Times New Roman" w:hAnsi="Times New Roman" w:cs="Times New Roman"/>
          <w:i/>
          <w:iCs/>
          <w:sz w:val="24"/>
          <w:szCs w:val="24"/>
          <w:u w:val="single"/>
          <w:lang w:val="pt-BR"/>
        </w:rPr>
        <w:t>subscri</w:t>
      </w:r>
      <w:proofErr w:type="spellEnd"/>
      <w:r w:rsidRPr="00CC6E99">
        <w:rPr>
          <w:rFonts w:ascii="Times New Roman" w:hAnsi="Times New Roman" w:cs="Times New Roman"/>
          <w:i/>
          <w:iCs/>
          <w:sz w:val="24"/>
          <w:szCs w:val="24"/>
          <w:u w:val="single"/>
        </w:rPr>
        <w:t>ção ocorrer</w:t>
      </w:r>
      <w:r w:rsidRPr="00CC6E99">
        <w:rPr>
          <w:rFonts w:ascii="Times New Roman" w:hAnsi="Times New Roman" w:cs="Times New Roman"/>
          <w:i/>
          <w:iCs/>
          <w:sz w:val="24"/>
          <w:szCs w:val="24"/>
        </w:rPr>
        <w:t xml:space="preserve"> em decorrê</w:t>
      </w:r>
      <w:proofErr w:type="spellStart"/>
      <w:r w:rsidRPr="00CC6E99">
        <w:rPr>
          <w:rFonts w:ascii="Times New Roman" w:hAnsi="Times New Roman" w:cs="Times New Roman"/>
          <w:i/>
          <w:iCs/>
          <w:sz w:val="24"/>
          <w:szCs w:val="24"/>
          <w:lang w:val="es-ES_tradnl"/>
        </w:rPr>
        <w:t>ncia</w:t>
      </w:r>
      <w:proofErr w:type="spellEnd"/>
      <w:r w:rsidRPr="00CC6E99">
        <w:rPr>
          <w:rFonts w:ascii="Times New Roman" w:hAnsi="Times New Roman" w:cs="Times New Roman"/>
          <w:i/>
          <w:iCs/>
          <w:sz w:val="24"/>
          <w:szCs w:val="24"/>
          <w:lang w:val="es-ES_tradnl"/>
        </w:rPr>
        <w:t xml:space="preserve"> (</w:t>
      </w:r>
      <w:r w:rsidRPr="00CC6E99">
        <w:rPr>
          <w:rFonts w:ascii="Times New Roman" w:hAnsi="Times New Roman" w:cs="Times New Roman"/>
          <w:i/>
          <w:iCs/>
          <w:sz w:val="24"/>
          <w:szCs w:val="24"/>
        </w:rPr>
        <w:t>…)”</w:t>
      </w:r>
      <w:r w:rsidRPr="00CC6E99">
        <w:rPr>
          <w:rFonts w:ascii="Times New Roman" w:hAnsi="Times New Roman" w:cs="Times New Roman"/>
          <w:sz w:val="24"/>
          <w:szCs w:val="24"/>
        </w:rPr>
        <w:t>.</w:t>
      </w:r>
    </w:p>
    <w:p w:rsidR="00D9084C" w:rsidRPr="00CC6E99" w:rsidRDefault="00D9084C" w:rsidP="0026478B">
      <w:pPr>
        <w:pStyle w:val="CorpoA"/>
        <w:widowControl w:val="0"/>
        <w:spacing w:after="0" w:line="312" w:lineRule="auto"/>
        <w:ind w:firstLine="709"/>
        <w:jc w:val="both"/>
        <w:rPr>
          <w:rFonts w:ascii="Times New Roman" w:eastAsia="Times New Roman" w:hAnsi="Times New Roman" w:cs="Times New Roman"/>
          <w:sz w:val="24"/>
          <w:szCs w:val="24"/>
        </w:rPr>
      </w:pPr>
    </w:p>
    <w:tbl>
      <w:tblPr>
        <w:tblStyle w:val="TableNormal"/>
        <w:tblW w:w="103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D9084C" w:rsidRPr="00AF4AA5" w:rsidTr="0026478B">
        <w:trPr>
          <w:trHeight w:val="135"/>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D9084C" w:rsidRPr="00CC6E99" w:rsidRDefault="009C73A3" w:rsidP="009C73A3">
            <w:pPr>
              <w:pStyle w:val="CorpoA"/>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5607BA" w:rsidRPr="00CC6E99">
              <w:rPr>
                <w:rFonts w:ascii="Times New Roman" w:hAnsi="Times New Roman" w:cs="Times New Roman"/>
                <w:sz w:val="24"/>
                <w:szCs w:val="24"/>
              </w:rPr>
              <w:t xml:space="preserve"> sugest</w:t>
            </w:r>
            <w:r>
              <w:rPr>
                <w:rFonts w:ascii="Times New Roman" w:hAnsi="Times New Roman" w:cs="Times New Roman"/>
                <w:sz w:val="24"/>
                <w:szCs w:val="24"/>
              </w:rPr>
              <w:t xml:space="preserve">ão relativa ao </w:t>
            </w:r>
            <w:r w:rsidRPr="009C73A3">
              <w:rPr>
                <w:rFonts w:ascii="Times New Roman" w:hAnsi="Times New Roman" w:cs="Times New Roman"/>
                <w:b/>
                <w:sz w:val="24"/>
                <w:szCs w:val="24"/>
              </w:rPr>
              <w:t>caput</w:t>
            </w:r>
            <w:r w:rsidR="005607BA" w:rsidRPr="00CC6E99">
              <w:rPr>
                <w:rFonts w:ascii="Times New Roman" w:hAnsi="Times New Roman" w:cs="Times New Roman"/>
                <w:sz w:val="24"/>
                <w:szCs w:val="24"/>
              </w:rPr>
              <w:t xml:space="preserve"> fo</w:t>
            </w:r>
            <w:r>
              <w:rPr>
                <w:rFonts w:ascii="Times New Roman" w:hAnsi="Times New Roman" w:cs="Times New Roman"/>
                <w:sz w:val="24"/>
                <w:szCs w:val="24"/>
              </w:rPr>
              <w:t>i acatada</w:t>
            </w:r>
            <w:r w:rsidR="005607BA" w:rsidRPr="00CC6E99">
              <w:rPr>
                <w:rFonts w:ascii="Times New Roman" w:hAnsi="Times New Roman" w:cs="Times New Roman"/>
                <w:sz w:val="24"/>
                <w:szCs w:val="24"/>
              </w:rPr>
              <w:t>.</w:t>
            </w:r>
            <w:r>
              <w:rPr>
                <w:rFonts w:ascii="Times New Roman" w:hAnsi="Times New Roman" w:cs="Times New Roman"/>
                <w:sz w:val="24"/>
                <w:szCs w:val="24"/>
              </w:rPr>
              <w:t xml:space="preserve"> A CVM optou por realizar outros aperfeiçoamentos na redação final do §2º do art. 17 (atual art. 19).</w:t>
            </w:r>
          </w:p>
        </w:tc>
      </w:tr>
    </w:tbl>
    <w:p w:rsidR="00D9084C" w:rsidRPr="00CC6E99" w:rsidRDefault="00D9084C" w:rsidP="00CB3B28">
      <w:pPr>
        <w:pStyle w:val="CorpoA"/>
        <w:widowControl w:val="0"/>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 xml:space="preserve">LCCF Advogados solicita que a redação dos incisos I, II e III seja alterada para que fique expresso que, nos casos de subscrição, bonificação e conversão de debêntures ou outros títulos de dívida em ações, a realização de operações fora de mercado organizado é permitida, desde que os valores mobiliários subscritos ou resultantes da conversão sejam registrados para negociação em mercado organizado. </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 xml:space="preserve">Sugere também a alteração do §1º para indicar expressamente que a faculdade da CVM de autorizar a utilização de recursos em outras operações fora de mercado organizado, mediante pedido prévio, refere-se aos recursos ingressados no País objeto da Resolução CMN nº </w:t>
      </w:r>
      <w:r w:rsidRPr="00CC6E99">
        <w:rPr>
          <w:rFonts w:ascii="Times New Roman" w:hAnsi="Times New Roman" w:cs="Times New Roman"/>
          <w:sz w:val="24"/>
          <w:szCs w:val="24"/>
          <w:lang w:val="es-ES_tradnl"/>
        </w:rPr>
        <w:t>4.373, de 2014.</w:t>
      </w:r>
    </w:p>
    <w:p w:rsidR="00D9084C" w:rsidRPr="00CC6E99" w:rsidRDefault="00D9084C">
      <w:pPr>
        <w:pStyle w:val="CorpoA"/>
        <w:widowControl w:val="0"/>
        <w:spacing w:after="0" w:line="240" w:lineRule="auto"/>
        <w:rPr>
          <w:rFonts w:ascii="Times New Roman" w:eastAsia="Times New Roman" w:hAnsi="Times New Roman" w:cs="Times New Roman"/>
          <w:i/>
          <w:iCs/>
          <w:sz w:val="24"/>
          <w:szCs w:val="24"/>
        </w:rPr>
      </w:pPr>
    </w:p>
    <w:tbl>
      <w:tblPr>
        <w:tblStyle w:val="TableNormal"/>
        <w:tblW w:w="1019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199"/>
      </w:tblGrid>
      <w:tr w:rsidR="00D9084C" w:rsidRPr="00AF4AA5" w:rsidTr="001D57C9">
        <w:trPr>
          <w:trHeight w:val="336"/>
        </w:trPr>
        <w:tc>
          <w:tcPr>
            <w:tcW w:w="10199"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D9084C" w:rsidRDefault="005607BA" w:rsidP="00654A7C">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rPr>
              <w:t>Não se entendeu necessário realizar as alterações sugeridas. As hipóteses envolvendo subscrição, bonificação e conversão de debêntures ou outros títulos de dívida em ações referem-se ao exercício pelo investidor não residente de direitos relacionados aos valores mobiliários de que seja titular, nos termos da Resolução CMN nº 4.373, de 2014, conforme o art. 19, §2º, indica.</w:t>
            </w:r>
            <w:r w:rsidR="00654A7C">
              <w:rPr>
                <w:rFonts w:ascii="Times New Roman" w:hAnsi="Times New Roman" w:cs="Times New Roman"/>
                <w:sz w:val="24"/>
                <w:szCs w:val="24"/>
              </w:rPr>
              <w:t xml:space="preserve"> </w:t>
            </w:r>
            <w:r w:rsidRPr="00CC6E99">
              <w:rPr>
                <w:rFonts w:ascii="Times New Roman" w:hAnsi="Times New Roman" w:cs="Times New Roman"/>
                <w:sz w:val="24"/>
                <w:szCs w:val="24"/>
              </w:rPr>
              <w:t>Além disso, o preâmbulo da norma já faz referência expressa à Resolução CMN nº 4.373, de 2014.</w:t>
            </w:r>
          </w:p>
          <w:p w:rsidR="00654A7C" w:rsidRDefault="00654A7C">
            <w:pPr>
              <w:pStyle w:val="CorpoA"/>
              <w:spacing w:after="0" w:line="312" w:lineRule="auto"/>
              <w:ind w:firstLine="709"/>
              <w:jc w:val="both"/>
              <w:rPr>
                <w:rFonts w:ascii="Times New Roman" w:hAnsi="Times New Roman" w:cs="Times New Roman"/>
                <w:sz w:val="24"/>
                <w:szCs w:val="24"/>
              </w:rPr>
            </w:pPr>
          </w:p>
          <w:p w:rsidR="00654A7C" w:rsidRPr="00CC6E99" w:rsidRDefault="00654A7C" w:rsidP="00E73324">
            <w:pPr>
              <w:pStyle w:val="CorpoA"/>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A redação do</w:t>
            </w:r>
            <w:r w:rsidR="001B08D9">
              <w:rPr>
                <w:rFonts w:ascii="Times New Roman" w:hAnsi="Times New Roman" w:cs="Times New Roman"/>
                <w:sz w:val="24"/>
                <w:szCs w:val="24"/>
              </w:rPr>
              <w:t>s</w:t>
            </w:r>
            <w:r>
              <w:rPr>
                <w:rFonts w:ascii="Times New Roman" w:hAnsi="Times New Roman" w:cs="Times New Roman"/>
                <w:sz w:val="24"/>
                <w:szCs w:val="24"/>
              </w:rPr>
              <w:t xml:space="preserve"> inciso</w:t>
            </w:r>
            <w:r w:rsidR="001B08D9">
              <w:rPr>
                <w:rFonts w:ascii="Times New Roman" w:hAnsi="Times New Roman" w:cs="Times New Roman"/>
                <w:sz w:val="24"/>
                <w:szCs w:val="24"/>
              </w:rPr>
              <w:t>s</w:t>
            </w:r>
            <w:r>
              <w:rPr>
                <w:rFonts w:ascii="Times New Roman" w:hAnsi="Times New Roman" w:cs="Times New Roman"/>
                <w:sz w:val="24"/>
                <w:szCs w:val="24"/>
              </w:rPr>
              <w:t xml:space="preserve"> III</w:t>
            </w:r>
            <w:r w:rsidR="001B08D9">
              <w:rPr>
                <w:rFonts w:ascii="Times New Roman" w:hAnsi="Times New Roman" w:cs="Times New Roman"/>
                <w:sz w:val="24"/>
                <w:szCs w:val="24"/>
              </w:rPr>
              <w:t xml:space="preserve"> e IV</w:t>
            </w:r>
            <w:r>
              <w:rPr>
                <w:rFonts w:ascii="Times New Roman" w:hAnsi="Times New Roman" w:cs="Times New Roman"/>
                <w:sz w:val="24"/>
                <w:szCs w:val="24"/>
              </w:rPr>
              <w:t>, no entanto, foi alterada para</w:t>
            </w:r>
            <w:r w:rsidR="004D201C">
              <w:rPr>
                <w:rFonts w:ascii="Times New Roman" w:hAnsi="Times New Roman" w:cs="Times New Roman"/>
                <w:sz w:val="24"/>
                <w:szCs w:val="24"/>
              </w:rPr>
              <w:t>, respectivamente: (a)</w:t>
            </w:r>
            <w:r w:rsidR="00E73324">
              <w:rPr>
                <w:rFonts w:ascii="Times New Roman" w:hAnsi="Times New Roman" w:cs="Times New Roman"/>
                <w:sz w:val="24"/>
                <w:szCs w:val="24"/>
              </w:rPr>
              <w:t>prever a possibilidade de conversão de outros tipos de títulos em ações</w:t>
            </w:r>
            <w:r w:rsidR="00E73324" w:rsidDel="00E73324">
              <w:rPr>
                <w:rFonts w:ascii="Times New Roman" w:hAnsi="Times New Roman" w:cs="Times New Roman"/>
                <w:sz w:val="24"/>
                <w:szCs w:val="24"/>
              </w:rPr>
              <w:t xml:space="preserve"> </w:t>
            </w:r>
            <w:r w:rsidR="004D201C">
              <w:rPr>
                <w:rFonts w:ascii="Times New Roman" w:hAnsi="Times New Roman" w:cs="Times New Roman"/>
                <w:sz w:val="24"/>
                <w:szCs w:val="24"/>
              </w:rPr>
              <w:t>;</w:t>
            </w:r>
            <w:r w:rsidR="001B08D9">
              <w:rPr>
                <w:rFonts w:ascii="Times New Roman" w:hAnsi="Times New Roman" w:cs="Times New Roman"/>
                <w:sz w:val="24"/>
                <w:szCs w:val="24"/>
              </w:rPr>
              <w:t xml:space="preserve"> e</w:t>
            </w:r>
            <w:r>
              <w:rPr>
                <w:rFonts w:ascii="Times New Roman" w:hAnsi="Times New Roman" w:cs="Times New Roman"/>
                <w:sz w:val="24"/>
                <w:szCs w:val="24"/>
              </w:rPr>
              <w:t xml:space="preserve"> </w:t>
            </w:r>
            <w:r w:rsidR="004D201C">
              <w:rPr>
                <w:rFonts w:ascii="Times New Roman" w:hAnsi="Times New Roman" w:cs="Times New Roman"/>
                <w:sz w:val="24"/>
                <w:szCs w:val="24"/>
              </w:rPr>
              <w:t xml:space="preserve">(b) </w:t>
            </w:r>
            <w:r w:rsidR="00E73324">
              <w:rPr>
                <w:rFonts w:ascii="Times New Roman" w:hAnsi="Times New Roman" w:cs="Times New Roman"/>
                <w:sz w:val="24"/>
                <w:szCs w:val="24"/>
              </w:rPr>
              <w:t xml:space="preserve">incluir a hipótese relativa ao </w:t>
            </w:r>
            <w:r w:rsidR="00E73324">
              <w:rPr>
                <w:rFonts w:ascii="Times New Roman" w:hAnsi="Times New Roman" w:cs="Times New Roman"/>
                <w:sz w:val="24"/>
                <w:szCs w:val="24"/>
              </w:rPr>
              <w:lastRenderedPageBreak/>
              <w:t>resgate</w:t>
            </w:r>
            <w:r>
              <w:rPr>
                <w:rFonts w:ascii="Times New Roman" w:hAnsi="Times New Roman" w:cs="Times New Roman"/>
                <w:sz w:val="24"/>
                <w:szCs w:val="24"/>
              </w:rPr>
              <w:t>.</w:t>
            </w:r>
          </w:p>
        </w:tc>
      </w:tr>
    </w:tbl>
    <w:p w:rsidR="00D9084C" w:rsidRPr="00CC6E99" w:rsidRDefault="00D9084C" w:rsidP="001D57C9">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rsidP="001D57C9">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 xml:space="preserve">Ulhôa Canto sugere a inclusão </w:t>
      </w:r>
      <w:r w:rsidR="00E6191A" w:rsidRPr="00CC6E99">
        <w:rPr>
          <w:rFonts w:ascii="Times New Roman" w:hAnsi="Times New Roman" w:cs="Times New Roman"/>
          <w:sz w:val="24"/>
          <w:szCs w:val="24"/>
        </w:rPr>
        <w:t>da hipótese de</w:t>
      </w:r>
      <w:r w:rsidRPr="00CC6E99">
        <w:rPr>
          <w:rFonts w:ascii="Times New Roman" w:hAnsi="Times New Roman" w:cs="Times New Roman"/>
          <w:sz w:val="24"/>
          <w:szCs w:val="24"/>
        </w:rPr>
        <w:t xml:space="preserve"> incorporação, redução de capital com entrega de ativos e em outros casos de aquisição ou alienação passiva. Sugere também que seja incorporada a hipótese de pagamento de dividendos em valores mobiliários e de exercício de plano de outorga de opções, que também representa o exercí</w:t>
      </w:r>
      <w:r w:rsidRPr="00CC6E99">
        <w:rPr>
          <w:rFonts w:ascii="Times New Roman" w:hAnsi="Times New Roman" w:cs="Times New Roman"/>
          <w:sz w:val="24"/>
          <w:szCs w:val="24"/>
          <w:lang w:val="it-IT"/>
        </w:rPr>
        <w:t>cio leg</w:t>
      </w:r>
      <w:r w:rsidRPr="00CC6E99">
        <w:rPr>
          <w:rFonts w:ascii="Times New Roman" w:hAnsi="Times New Roman" w:cs="Times New Roman"/>
          <w:sz w:val="24"/>
          <w:szCs w:val="24"/>
        </w:rPr>
        <w:t xml:space="preserve">ítimo de direitos previamente estabelecidos. </w:t>
      </w:r>
    </w:p>
    <w:p w:rsidR="00D9084C" w:rsidRPr="00CC6E99" w:rsidRDefault="00D9084C" w:rsidP="001D57C9">
      <w:pPr>
        <w:pStyle w:val="CorpoA"/>
        <w:widowControl w:val="0"/>
        <w:spacing w:after="0" w:line="312" w:lineRule="auto"/>
        <w:jc w:val="both"/>
        <w:rPr>
          <w:rFonts w:ascii="Times New Roman" w:eastAsia="Times New Roman" w:hAnsi="Times New Roman" w:cs="Times New Roman"/>
          <w:sz w:val="24"/>
          <w:szCs w:val="24"/>
        </w:rPr>
      </w:pPr>
    </w:p>
    <w:tbl>
      <w:tblPr>
        <w:tblStyle w:val="TableNormal"/>
        <w:tblW w:w="1019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199"/>
      </w:tblGrid>
      <w:tr w:rsidR="00D9084C" w:rsidRPr="00AF4AA5" w:rsidTr="00E6191A">
        <w:trPr>
          <w:trHeight w:val="23"/>
        </w:trPr>
        <w:tc>
          <w:tcPr>
            <w:tcW w:w="10199"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 xml:space="preserve">A inclusão de permissão para qualquer caso de aquisição e alienação passiva estenderia muito o alcance da permissão, não sendo conveniente para os fins a que a norma se destina. Deve-se observar que a CVM pode autorizar a realização de operações fora de mercado organizado em outros casos não expressamente previstos, mediante pedido prévio fundamentado. </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7061B9" w:rsidRPr="00CC6E99" w:rsidRDefault="005607BA" w:rsidP="007061B9">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rPr>
              <w:t xml:space="preserve">O exercício de opção vinculada a plano de outorga de opções envolvendo investidor não residente não é uma prática comum, sendo </w:t>
            </w:r>
            <w:r w:rsidR="007061B9" w:rsidRPr="00CC6E99">
              <w:rPr>
                <w:rFonts w:ascii="Times New Roman" w:hAnsi="Times New Roman" w:cs="Times New Roman"/>
                <w:sz w:val="24"/>
                <w:szCs w:val="24"/>
              </w:rPr>
              <w:t xml:space="preserve">também </w:t>
            </w:r>
            <w:r w:rsidRPr="00CC6E99">
              <w:rPr>
                <w:rFonts w:ascii="Times New Roman" w:hAnsi="Times New Roman" w:cs="Times New Roman"/>
                <w:sz w:val="24"/>
                <w:szCs w:val="24"/>
              </w:rPr>
              <w:t xml:space="preserve">conveniente que fique sujeita ao procedimento de pedido prévio. </w:t>
            </w:r>
          </w:p>
          <w:p w:rsidR="007061B9" w:rsidRPr="00CC6E99" w:rsidRDefault="007061B9" w:rsidP="007061B9">
            <w:pPr>
              <w:pStyle w:val="CorpoA"/>
              <w:spacing w:after="0" w:line="312" w:lineRule="auto"/>
              <w:ind w:firstLine="709"/>
              <w:jc w:val="both"/>
              <w:rPr>
                <w:rFonts w:ascii="Times New Roman" w:hAnsi="Times New Roman" w:cs="Times New Roman"/>
                <w:sz w:val="24"/>
                <w:szCs w:val="24"/>
              </w:rPr>
            </w:pPr>
          </w:p>
          <w:p w:rsidR="0058548F" w:rsidRPr="00CC6E99" w:rsidRDefault="007061B9" w:rsidP="007061B9">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rPr>
              <w:t xml:space="preserve">Também não foi considerado necessário acatar a sugestão relativa à incorporação, dado que as operações de cisão, fusão, incorporação e incorporação de ações não correspondem propriamente a uma negociação fora de mercado organizado. A possibilidade de participação de investidores não residentes nessas operaçõs nunca foi objeto de dúvida ou controvérsia no mercado e sua previsão na norma poderia introduzir uma aparente sobreposição entre a </w:t>
            </w:r>
            <w:r w:rsidR="00E6191A" w:rsidRPr="00CC6E99">
              <w:rPr>
                <w:rFonts w:ascii="Times New Roman" w:hAnsi="Times New Roman" w:cs="Times New Roman"/>
                <w:sz w:val="24"/>
                <w:szCs w:val="24"/>
              </w:rPr>
              <w:t>norma</w:t>
            </w:r>
            <w:r w:rsidRPr="00CC6E99">
              <w:rPr>
                <w:rFonts w:ascii="Times New Roman" w:hAnsi="Times New Roman" w:cs="Times New Roman"/>
                <w:sz w:val="24"/>
                <w:szCs w:val="24"/>
              </w:rPr>
              <w:t xml:space="preserve"> emitida pela CVM e as disposições</w:t>
            </w:r>
            <w:r w:rsidR="00747398" w:rsidRPr="00CC6E99">
              <w:rPr>
                <w:rFonts w:ascii="Times New Roman" w:hAnsi="Times New Roman" w:cs="Times New Roman"/>
                <w:sz w:val="24"/>
                <w:szCs w:val="24"/>
              </w:rPr>
              <w:t xml:space="preserve"> do art. 7º do Regulamento Anexo I da Resolução CMN nº 3.844, de 23 de março de 2010</w:t>
            </w:r>
            <w:r w:rsidRPr="00CC6E99">
              <w:rPr>
                <w:rFonts w:ascii="Times New Roman" w:hAnsi="Times New Roman" w:cs="Times New Roman"/>
                <w:sz w:val="24"/>
                <w:szCs w:val="24"/>
              </w:rPr>
              <w:t xml:space="preserve">. </w:t>
            </w:r>
          </w:p>
          <w:p w:rsidR="0058548F" w:rsidRPr="00CC6E99" w:rsidRDefault="0058548F" w:rsidP="007061B9">
            <w:pPr>
              <w:pStyle w:val="CorpoA"/>
              <w:spacing w:after="0" w:line="312" w:lineRule="auto"/>
              <w:ind w:firstLine="709"/>
              <w:jc w:val="both"/>
              <w:rPr>
                <w:rFonts w:ascii="Times New Roman" w:hAnsi="Times New Roman" w:cs="Times New Roman"/>
                <w:sz w:val="24"/>
                <w:szCs w:val="24"/>
              </w:rPr>
            </w:pPr>
          </w:p>
          <w:p w:rsidR="007061B9" w:rsidRPr="00CC6E99" w:rsidRDefault="0058548F" w:rsidP="007061B9">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 xml:space="preserve">Com o mesmo objetivo de evitar uma aparente sobreposição </w:t>
            </w:r>
            <w:r w:rsidR="00E6191A" w:rsidRPr="00CC6E99">
              <w:rPr>
                <w:rFonts w:ascii="Times New Roman" w:hAnsi="Times New Roman" w:cs="Times New Roman"/>
                <w:sz w:val="24"/>
                <w:szCs w:val="24"/>
              </w:rPr>
              <w:t>entre</w:t>
            </w:r>
            <w:r w:rsidRPr="00CC6E99">
              <w:rPr>
                <w:rFonts w:ascii="Times New Roman" w:hAnsi="Times New Roman" w:cs="Times New Roman"/>
                <w:sz w:val="24"/>
                <w:szCs w:val="24"/>
              </w:rPr>
              <w:t xml:space="preserve"> norma em discussão </w:t>
            </w:r>
            <w:r w:rsidR="00E6191A" w:rsidRPr="00CC6E99">
              <w:rPr>
                <w:rFonts w:ascii="Times New Roman" w:hAnsi="Times New Roman" w:cs="Times New Roman"/>
                <w:sz w:val="24"/>
                <w:szCs w:val="24"/>
              </w:rPr>
              <w:t xml:space="preserve">e </w:t>
            </w:r>
            <w:r w:rsidRPr="00CC6E99">
              <w:rPr>
                <w:rFonts w:ascii="Times New Roman" w:hAnsi="Times New Roman" w:cs="Times New Roman"/>
                <w:sz w:val="24"/>
                <w:szCs w:val="24"/>
              </w:rPr>
              <w:t>as disposições constantes no Regulamento Anexo I da Resolução CMN nº 3.844, de 2010, não foi acatada a sugestão de incorporar a hipótese relativa à redução do capital social com entrega de ativos</w:t>
            </w:r>
            <w:r w:rsidR="00E6191A" w:rsidRPr="00CC6E99">
              <w:rPr>
                <w:rFonts w:ascii="Times New Roman" w:hAnsi="Times New Roman" w:cs="Times New Roman"/>
                <w:sz w:val="24"/>
                <w:szCs w:val="24"/>
              </w:rPr>
              <w:t>, tendo em vista, por exemplo, o disposto no art. 5º daquele regulamento.</w:t>
            </w:r>
            <w:r w:rsidRPr="00CC6E99">
              <w:rPr>
                <w:rFonts w:ascii="Times New Roman" w:hAnsi="Times New Roman" w:cs="Times New Roman"/>
                <w:sz w:val="24"/>
                <w:szCs w:val="24"/>
              </w:rPr>
              <w:t xml:space="preserve"> </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7061B9" w:rsidP="0058548F">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Por outro lado, a</w:t>
            </w:r>
            <w:r w:rsidR="005607BA" w:rsidRPr="00CC6E99">
              <w:rPr>
                <w:rFonts w:ascii="Times New Roman" w:hAnsi="Times New Roman" w:cs="Times New Roman"/>
                <w:sz w:val="24"/>
                <w:szCs w:val="24"/>
              </w:rPr>
              <w:t xml:space="preserve"> sugest</w:t>
            </w:r>
            <w:r w:rsidR="0058548F" w:rsidRPr="00CC6E99">
              <w:rPr>
                <w:rFonts w:ascii="Times New Roman" w:hAnsi="Times New Roman" w:cs="Times New Roman"/>
                <w:sz w:val="24"/>
                <w:szCs w:val="24"/>
              </w:rPr>
              <w:t>ão relativa</w:t>
            </w:r>
            <w:r w:rsidR="005607BA" w:rsidRPr="00CC6E99">
              <w:rPr>
                <w:rFonts w:ascii="Times New Roman" w:hAnsi="Times New Roman" w:cs="Times New Roman"/>
                <w:sz w:val="24"/>
                <w:szCs w:val="24"/>
              </w:rPr>
              <w:t xml:space="preserve"> ao pagamento de dividendos em valores mobiliários fo</w:t>
            </w:r>
            <w:r w:rsidR="0058548F" w:rsidRPr="00CC6E99">
              <w:rPr>
                <w:rFonts w:ascii="Times New Roman" w:hAnsi="Times New Roman" w:cs="Times New Roman"/>
                <w:sz w:val="24"/>
                <w:szCs w:val="24"/>
              </w:rPr>
              <w:t>i incorporada</w:t>
            </w:r>
            <w:r w:rsidR="005607BA" w:rsidRPr="00CC6E99">
              <w:rPr>
                <w:rFonts w:ascii="Times New Roman" w:hAnsi="Times New Roman" w:cs="Times New Roman"/>
                <w:sz w:val="24"/>
                <w:szCs w:val="24"/>
              </w:rPr>
              <w:t xml:space="preserve"> à norma.</w:t>
            </w:r>
          </w:p>
        </w:tc>
      </w:tr>
    </w:tbl>
    <w:p w:rsidR="00D9084C" w:rsidRPr="00CC6E99" w:rsidRDefault="00D9084C" w:rsidP="00E6191A">
      <w:pPr>
        <w:pStyle w:val="CorpoA"/>
        <w:widowControl w:val="0"/>
        <w:spacing w:after="0" w:line="240" w:lineRule="auto"/>
        <w:jc w:val="both"/>
        <w:rPr>
          <w:rFonts w:ascii="Times New Roman" w:eastAsia="Times New Roman" w:hAnsi="Times New Roman" w:cs="Times New Roman"/>
          <w:sz w:val="24"/>
          <w:szCs w:val="24"/>
        </w:rPr>
      </w:pPr>
    </w:p>
    <w:p w:rsidR="00D9084C" w:rsidRPr="00CC6E99" w:rsidRDefault="00D9084C" w:rsidP="00E6191A">
      <w:pPr>
        <w:pStyle w:val="CorpoA"/>
        <w:widowControl w:val="0"/>
        <w:spacing w:after="0" w:line="240" w:lineRule="auto"/>
        <w:jc w:val="both"/>
        <w:rPr>
          <w:rFonts w:ascii="Times New Roman" w:eastAsia="Times New Roman" w:hAnsi="Times New Roman" w:cs="Times New Roman"/>
          <w:sz w:val="24"/>
          <w:szCs w:val="24"/>
        </w:rPr>
      </w:pPr>
    </w:p>
    <w:p w:rsidR="00D9084C" w:rsidRPr="00CC6E99" w:rsidRDefault="005607BA" w:rsidP="00E6191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 xml:space="preserve">No que se refere às cotas de fundos de investimento, a ANBIMA sugere a exclusão do termo “alienação”, no inciso </w:t>
      </w:r>
      <w:r w:rsidR="00647AD7">
        <w:rPr>
          <w:rFonts w:ascii="Times New Roman" w:hAnsi="Times New Roman" w:cs="Times New Roman"/>
          <w:sz w:val="24"/>
          <w:szCs w:val="24"/>
        </w:rPr>
        <w:t>I</w:t>
      </w:r>
      <w:r w:rsidRPr="00CC6E99">
        <w:rPr>
          <w:rFonts w:ascii="Times New Roman" w:hAnsi="Times New Roman" w:cs="Times New Roman"/>
          <w:sz w:val="24"/>
          <w:szCs w:val="24"/>
        </w:rPr>
        <w:t xml:space="preserve">V, correspondente às operações com cotas de fundos de investimento regulados pela CVM. </w:t>
      </w:r>
    </w:p>
    <w:p w:rsidR="00D9084C" w:rsidRPr="00CC6E99" w:rsidRDefault="005607BA" w:rsidP="00E6191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 xml:space="preserve"> </w:t>
      </w: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lastRenderedPageBreak/>
        <w:t xml:space="preserve">A ANBIMA manifesta ainda entender que o inciso </w:t>
      </w:r>
      <w:r w:rsidR="00E46141">
        <w:rPr>
          <w:rFonts w:ascii="Times New Roman" w:hAnsi="Times New Roman" w:cs="Times New Roman"/>
          <w:sz w:val="24"/>
          <w:szCs w:val="24"/>
        </w:rPr>
        <w:t>V</w:t>
      </w:r>
      <w:r w:rsidRPr="00CC6E99">
        <w:rPr>
          <w:rFonts w:ascii="Times New Roman" w:hAnsi="Times New Roman" w:cs="Times New Roman"/>
          <w:sz w:val="24"/>
          <w:szCs w:val="24"/>
        </w:rPr>
        <w:t xml:space="preserve"> </w:t>
      </w:r>
      <w:r w:rsidR="00E46141">
        <w:rPr>
          <w:rFonts w:ascii="Times New Roman" w:hAnsi="Times New Roman" w:cs="Times New Roman"/>
          <w:sz w:val="24"/>
          <w:szCs w:val="24"/>
        </w:rPr>
        <w:t xml:space="preserve">(atual VII) </w:t>
      </w:r>
      <w:r w:rsidRPr="00CC6E99">
        <w:rPr>
          <w:rFonts w:ascii="Times New Roman" w:hAnsi="Times New Roman" w:cs="Times New Roman"/>
          <w:sz w:val="24"/>
          <w:szCs w:val="24"/>
        </w:rPr>
        <w:t xml:space="preserve">se refere a fundos de investimento abertos (i.e. fundos de investimento constituídos sob forma de condomínio aberto) regulados pela CVM e o inciso </w:t>
      </w:r>
      <w:r w:rsidR="008433DC">
        <w:rPr>
          <w:rFonts w:ascii="Times New Roman" w:hAnsi="Times New Roman" w:cs="Times New Roman"/>
          <w:sz w:val="24"/>
          <w:szCs w:val="24"/>
        </w:rPr>
        <w:t>IV</w:t>
      </w:r>
      <w:r w:rsidR="00E46141">
        <w:rPr>
          <w:rFonts w:ascii="Times New Roman" w:hAnsi="Times New Roman" w:cs="Times New Roman"/>
          <w:sz w:val="24"/>
          <w:szCs w:val="24"/>
        </w:rPr>
        <w:t xml:space="preserve"> (atual VI)</w:t>
      </w:r>
      <w:r w:rsidRPr="00CC6E99">
        <w:rPr>
          <w:rFonts w:ascii="Times New Roman" w:hAnsi="Times New Roman" w:cs="Times New Roman"/>
          <w:sz w:val="24"/>
          <w:szCs w:val="24"/>
        </w:rPr>
        <w:t xml:space="preserve"> se refere a fundos de investimento regulados pela CVM e passíveis, mediante a constituição de depósito centralizado, de negociação (secundária) em mercado organizado, notadamente, os fundos de investimento constituídos sob forma de condomínio fechado e os fundos de índice (ETFs).</w:t>
      </w:r>
    </w:p>
    <w:tbl>
      <w:tblPr>
        <w:tblStyle w:val="TableNormal"/>
        <w:tblpPr w:leftFromText="141" w:rightFromText="141" w:vertAnchor="text" w:horzAnchor="margin" w:tblpY="225"/>
        <w:tblW w:w="101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199"/>
      </w:tblGrid>
      <w:tr w:rsidR="0021198D" w:rsidRPr="00AF4AA5" w:rsidTr="0021198D">
        <w:trPr>
          <w:trHeight w:val="23"/>
        </w:trPr>
        <w:tc>
          <w:tcPr>
            <w:tcW w:w="10199"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21198D" w:rsidRPr="00CC6E99" w:rsidRDefault="0021198D" w:rsidP="0021198D">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 xml:space="preserve">A interpretação da ANBIMA está correta. A hipótese do inciso </w:t>
            </w:r>
            <w:r>
              <w:rPr>
                <w:rFonts w:ascii="Times New Roman" w:hAnsi="Times New Roman" w:cs="Times New Roman"/>
                <w:sz w:val="24"/>
                <w:szCs w:val="24"/>
              </w:rPr>
              <w:t>V (atual VII)</w:t>
            </w:r>
            <w:r w:rsidRPr="00CC6E99">
              <w:rPr>
                <w:rFonts w:ascii="Times New Roman" w:hAnsi="Times New Roman" w:cs="Times New Roman"/>
                <w:sz w:val="24"/>
                <w:szCs w:val="24"/>
              </w:rPr>
              <w:t xml:space="preserve"> do art. 19 corresponde à norma prevista no art. 12 da Instrução CVM nº 409, de 18 de agosto de 2004, e no art. 13 da Instrução CVM nº 555, de 17 de dezembro de 2014, e trata de cota de fundo aberto. Já a hipótese prevista no inciso </w:t>
            </w:r>
            <w:r w:rsidR="00647AD7">
              <w:rPr>
                <w:rFonts w:ascii="Times New Roman" w:hAnsi="Times New Roman" w:cs="Times New Roman"/>
                <w:sz w:val="24"/>
                <w:szCs w:val="24"/>
              </w:rPr>
              <w:t>I</w:t>
            </w:r>
            <w:r>
              <w:rPr>
                <w:rFonts w:ascii="Times New Roman" w:hAnsi="Times New Roman" w:cs="Times New Roman"/>
                <w:sz w:val="24"/>
                <w:szCs w:val="24"/>
              </w:rPr>
              <w:t xml:space="preserve">V (atual </w:t>
            </w:r>
            <w:r w:rsidRPr="00CC6E99">
              <w:rPr>
                <w:rFonts w:ascii="Times New Roman" w:hAnsi="Times New Roman" w:cs="Times New Roman"/>
                <w:sz w:val="24"/>
                <w:szCs w:val="24"/>
              </w:rPr>
              <w:t>VI</w:t>
            </w:r>
            <w:r>
              <w:rPr>
                <w:rFonts w:ascii="Times New Roman" w:hAnsi="Times New Roman" w:cs="Times New Roman"/>
                <w:sz w:val="24"/>
                <w:szCs w:val="24"/>
              </w:rPr>
              <w:t>)</w:t>
            </w:r>
            <w:r w:rsidRPr="00CC6E99">
              <w:rPr>
                <w:rFonts w:ascii="Times New Roman" w:hAnsi="Times New Roman" w:cs="Times New Roman"/>
                <w:sz w:val="24"/>
                <w:szCs w:val="24"/>
              </w:rPr>
              <w:t xml:space="preserve"> do art. 19 se refere a fundos abertos e fechados, uma vez que a subscrição e a amortização se aplicam a fundos abertos e fechados, e o resgate, somente a fundo aberto. </w:t>
            </w:r>
          </w:p>
          <w:p w:rsidR="0021198D" w:rsidRPr="00CC6E99" w:rsidRDefault="0021198D" w:rsidP="0021198D">
            <w:pPr>
              <w:pStyle w:val="CorpoA"/>
              <w:spacing w:after="0" w:line="312" w:lineRule="auto"/>
              <w:ind w:firstLine="709"/>
              <w:jc w:val="both"/>
              <w:rPr>
                <w:rFonts w:ascii="Times New Roman" w:eastAsia="Times New Roman" w:hAnsi="Times New Roman" w:cs="Times New Roman"/>
                <w:sz w:val="24"/>
                <w:szCs w:val="24"/>
              </w:rPr>
            </w:pPr>
          </w:p>
          <w:p w:rsidR="008433DC" w:rsidRDefault="0021198D" w:rsidP="008433DC">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 xml:space="preserve">A sugestão de exclusão da expressão “alienação” do inciso </w:t>
            </w:r>
            <w:r w:rsidR="00015D5A">
              <w:rPr>
                <w:rFonts w:ascii="Times New Roman" w:hAnsi="Times New Roman" w:cs="Times New Roman"/>
                <w:sz w:val="24"/>
                <w:szCs w:val="24"/>
              </w:rPr>
              <w:t>I</w:t>
            </w:r>
            <w:r w:rsidRPr="00CC6E99">
              <w:rPr>
                <w:rFonts w:ascii="Times New Roman" w:hAnsi="Times New Roman" w:cs="Times New Roman"/>
                <w:sz w:val="24"/>
                <w:szCs w:val="24"/>
              </w:rPr>
              <w:t>V</w:t>
            </w:r>
            <w:r w:rsidR="00015D5A">
              <w:rPr>
                <w:rFonts w:ascii="Times New Roman" w:hAnsi="Times New Roman" w:cs="Times New Roman"/>
                <w:sz w:val="24"/>
                <w:szCs w:val="24"/>
              </w:rPr>
              <w:t xml:space="preserve"> (atual inciso</w:t>
            </w:r>
            <w:r w:rsidRPr="00CC6E99">
              <w:rPr>
                <w:rFonts w:ascii="Times New Roman" w:hAnsi="Times New Roman" w:cs="Times New Roman"/>
                <w:sz w:val="24"/>
                <w:szCs w:val="24"/>
              </w:rPr>
              <w:t xml:space="preserve"> </w:t>
            </w:r>
            <w:r w:rsidR="00015D5A">
              <w:rPr>
                <w:rFonts w:ascii="Times New Roman" w:hAnsi="Times New Roman" w:cs="Times New Roman"/>
                <w:sz w:val="24"/>
                <w:szCs w:val="24"/>
              </w:rPr>
              <w:t xml:space="preserve">VI) </w:t>
            </w:r>
            <w:r w:rsidRPr="00CC6E99">
              <w:rPr>
                <w:rFonts w:ascii="Times New Roman" w:hAnsi="Times New Roman" w:cs="Times New Roman"/>
                <w:sz w:val="24"/>
                <w:szCs w:val="24"/>
              </w:rPr>
              <w:t>do art. 19 é pertinente e foi acatada na versão final da norma.</w:t>
            </w:r>
          </w:p>
        </w:tc>
      </w:tr>
    </w:tbl>
    <w:p w:rsidR="00D9084C" w:rsidRPr="00CC6E99" w:rsidRDefault="00D9084C">
      <w:pPr>
        <w:pStyle w:val="CorpoA"/>
        <w:spacing w:after="0" w:line="312" w:lineRule="auto"/>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A ANBIMA sugere a inclusão de duas outras exceções.</w:t>
      </w:r>
      <w:r w:rsidR="00D91666" w:rsidRPr="00CC6E99">
        <w:rPr>
          <w:rFonts w:ascii="Times New Roman" w:hAnsi="Times New Roman" w:cs="Times New Roman"/>
          <w:sz w:val="24"/>
          <w:szCs w:val="24"/>
        </w:rPr>
        <w:t xml:space="preserve"> </w:t>
      </w:r>
      <w:r w:rsidRPr="00CC6E99">
        <w:rPr>
          <w:rFonts w:ascii="Times New Roman" w:hAnsi="Times New Roman" w:cs="Times New Roman"/>
          <w:sz w:val="24"/>
          <w:szCs w:val="24"/>
        </w:rPr>
        <w:t>A primeira é a cessão gratuita ou onerosa de proventos (ex. dividendos e juros sobre capital próprio) devidos e ainda não pagos a investidor não residente que vise ao encerramento de conta de custódia. No cená</w:t>
      </w:r>
      <w:r w:rsidRPr="00CC6E99">
        <w:rPr>
          <w:rFonts w:ascii="Times New Roman" w:hAnsi="Times New Roman" w:cs="Times New Roman"/>
          <w:sz w:val="24"/>
          <w:szCs w:val="24"/>
          <w:lang w:val="es-ES_tradnl"/>
        </w:rPr>
        <w:t xml:space="preserve">rio de </w:t>
      </w:r>
      <w:proofErr w:type="spellStart"/>
      <w:r w:rsidRPr="00CC6E99">
        <w:rPr>
          <w:rFonts w:ascii="Times New Roman" w:hAnsi="Times New Roman" w:cs="Times New Roman"/>
          <w:sz w:val="24"/>
          <w:szCs w:val="24"/>
          <w:lang w:val="es-ES_tradnl"/>
        </w:rPr>
        <w:t>encerramento</w:t>
      </w:r>
      <w:proofErr w:type="spellEnd"/>
      <w:r w:rsidRPr="00CC6E99">
        <w:rPr>
          <w:rFonts w:ascii="Times New Roman" w:hAnsi="Times New Roman" w:cs="Times New Roman"/>
          <w:sz w:val="24"/>
          <w:szCs w:val="24"/>
          <w:lang w:val="es-ES_tradnl"/>
        </w:rPr>
        <w:t xml:space="preserve"> de </w:t>
      </w:r>
      <w:proofErr w:type="spellStart"/>
      <w:r w:rsidRPr="00CC6E99">
        <w:rPr>
          <w:rFonts w:ascii="Times New Roman" w:hAnsi="Times New Roman" w:cs="Times New Roman"/>
          <w:sz w:val="24"/>
          <w:szCs w:val="24"/>
          <w:lang w:val="es-ES_tradnl"/>
        </w:rPr>
        <w:t>conta</w:t>
      </w:r>
      <w:proofErr w:type="spellEnd"/>
      <w:r w:rsidRPr="00CC6E99">
        <w:rPr>
          <w:rFonts w:ascii="Times New Roman" w:hAnsi="Times New Roman" w:cs="Times New Roman"/>
          <w:sz w:val="24"/>
          <w:szCs w:val="24"/>
          <w:lang w:val="es-ES_tradnl"/>
        </w:rPr>
        <w:t xml:space="preserve"> de </w:t>
      </w:r>
      <w:proofErr w:type="spellStart"/>
      <w:r w:rsidRPr="00CC6E99">
        <w:rPr>
          <w:rFonts w:ascii="Times New Roman" w:hAnsi="Times New Roman" w:cs="Times New Roman"/>
          <w:sz w:val="24"/>
          <w:szCs w:val="24"/>
          <w:lang w:val="es-ES_tradnl"/>
        </w:rPr>
        <w:t>cust</w:t>
      </w:r>
      <w:proofErr w:type="spellEnd"/>
      <w:r w:rsidRPr="00CC6E99">
        <w:rPr>
          <w:rFonts w:ascii="Times New Roman" w:hAnsi="Times New Roman" w:cs="Times New Roman"/>
          <w:sz w:val="24"/>
          <w:szCs w:val="24"/>
        </w:rPr>
        <w:t>ódia, a manutenção da conta até o recebimento de tais proventos pode não ser de interesse do investidor não residente, por exemplo, na medida em que não justifique o custo de manutenção da conta ou em que a entidade no exterior que mantém a conta de custódia tenha a intenção de ser liquidada.</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A segunda é a cessã</w:t>
      </w:r>
      <w:r w:rsidRPr="00CC6E99">
        <w:rPr>
          <w:rFonts w:ascii="Times New Roman" w:hAnsi="Times New Roman" w:cs="Times New Roman"/>
          <w:sz w:val="24"/>
          <w:szCs w:val="24"/>
          <w:lang w:val="es-ES_tradnl"/>
        </w:rPr>
        <w:t xml:space="preserve">o gratuita de recibos de </w:t>
      </w:r>
      <w:proofErr w:type="spellStart"/>
      <w:r w:rsidRPr="00CC6E99">
        <w:rPr>
          <w:rFonts w:ascii="Times New Roman" w:hAnsi="Times New Roman" w:cs="Times New Roman"/>
          <w:sz w:val="24"/>
          <w:szCs w:val="24"/>
          <w:lang w:val="es-ES_tradnl"/>
        </w:rPr>
        <w:t>subscri</w:t>
      </w:r>
      <w:proofErr w:type="spellEnd"/>
      <w:r w:rsidRPr="00CC6E99">
        <w:rPr>
          <w:rFonts w:ascii="Times New Roman" w:hAnsi="Times New Roman" w:cs="Times New Roman"/>
          <w:sz w:val="24"/>
          <w:szCs w:val="24"/>
        </w:rPr>
        <w:t>ção, operação já autorizada no Ofí</w:t>
      </w:r>
      <w:r w:rsidRPr="00CC6E99">
        <w:rPr>
          <w:rFonts w:ascii="Times New Roman" w:hAnsi="Times New Roman" w:cs="Times New Roman"/>
          <w:sz w:val="24"/>
          <w:szCs w:val="24"/>
          <w:lang w:val="es-ES_tradnl"/>
        </w:rPr>
        <w:t>cio-Circular/CVM/SIN/n</w:t>
      </w:r>
      <w:r w:rsidRPr="00CC6E99">
        <w:rPr>
          <w:rFonts w:ascii="Times New Roman" w:hAnsi="Times New Roman" w:cs="Times New Roman"/>
          <w:sz w:val="24"/>
          <w:szCs w:val="24"/>
        </w:rPr>
        <w:t>º5/2014 (item 3.3), em linha com a decisão do Colegiado da CVM proferida no Processo CVM nº RJ-2009-5699.</w:t>
      </w:r>
    </w:p>
    <w:p w:rsidR="00D9084C" w:rsidRPr="00CC6E99" w:rsidRDefault="00D9084C">
      <w:pPr>
        <w:pStyle w:val="CorpoA"/>
        <w:widowControl w:val="0"/>
        <w:spacing w:after="0" w:line="312" w:lineRule="auto"/>
        <w:jc w:val="both"/>
        <w:rPr>
          <w:rFonts w:ascii="Times New Roman" w:eastAsia="Times New Roman" w:hAnsi="Times New Roman" w:cs="Times New Roman"/>
          <w:sz w:val="24"/>
          <w:szCs w:val="24"/>
        </w:rPr>
      </w:pPr>
    </w:p>
    <w:tbl>
      <w:tblPr>
        <w:tblStyle w:val="TableNormal"/>
        <w:tblW w:w="103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D9084C" w:rsidRPr="00AF4AA5">
        <w:trPr>
          <w:trHeight w:val="330"/>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D9084C" w:rsidRPr="00CC6E99" w:rsidRDefault="005607BA">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rPr>
              <w:t>As sugestões são pertinentes e foram acolhidas.</w:t>
            </w:r>
          </w:p>
        </w:tc>
      </w:tr>
    </w:tbl>
    <w:p w:rsidR="00D9084C" w:rsidRPr="00CC6E99" w:rsidRDefault="00D9084C" w:rsidP="00784B56">
      <w:pPr>
        <w:pStyle w:val="CorpoA"/>
        <w:widowControl w:val="0"/>
        <w:spacing w:after="0" w:line="312" w:lineRule="auto"/>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A BM&amp;FBOVESPA sugere que alé</w:t>
      </w:r>
      <w:r w:rsidRPr="00DF32E3">
        <w:rPr>
          <w:rFonts w:ascii="Times New Roman" w:hAnsi="Times New Roman" w:cs="Times New Roman"/>
          <w:sz w:val="24"/>
          <w:szCs w:val="24"/>
          <w:lang w:val="pt-BR"/>
        </w:rPr>
        <w:t>m das hip</w:t>
      </w:r>
      <w:r w:rsidRPr="00CC6E99">
        <w:rPr>
          <w:rFonts w:ascii="Times New Roman" w:hAnsi="Times New Roman" w:cs="Times New Roman"/>
          <w:sz w:val="24"/>
          <w:szCs w:val="24"/>
        </w:rPr>
        <w:t>óteses de transação judicial, decisão judicial ou arbitral, o art. 19 preveja também a realizaçã</w:t>
      </w:r>
      <w:r w:rsidRPr="00CC6E99">
        <w:rPr>
          <w:rFonts w:ascii="Times New Roman" w:hAnsi="Times New Roman" w:cs="Times New Roman"/>
          <w:sz w:val="24"/>
          <w:szCs w:val="24"/>
          <w:lang w:val="es-ES_tradnl"/>
        </w:rPr>
        <w:t>o de opera</w:t>
      </w:r>
      <w:r w:rsidRPr="00CC6E99">
        <w:rPr>
          <w:rFonts w:ascii="Times New Roman" w:hAnsi="Times New Roman" w:cs="Times New Roman"/>
          <w:sz w:val="24"/>
          <w:szCs w:val="24"/>
        </w:rPr>
        <w:t>ções fora de mercado organizado em funçã</w:t>
      </w:r>
      <w:r w:rsidRPr="00CC6E99">
        <w:rPr>
          <w:rFonts w:ascii="Times New Roman" w:hAnsi="Times New Roman" w:cs="Times New Roman"/>
          <w:sz w:val="24"/>
          <w:szCs w:val="24"/>
          <w:lang w:val="es-ES_tradnl"/>
        </w:rPr>
        <w:t xml:space="preserve">o de </w:t>
      </w:r>
      <w:proofErr w:type="spellStart"/>
      <w:r w:rsidRPr="00CC6E99">
        <w:rPr>
          <w:rFonts w:ascii="Times New Roman" w:hAnsi="Times New Roman" w:cs="Times New Roman"/>
          <w:sz w:val="24"/>
          <w:szCs w:val="24"/>
          <w:lang w:val="es-ES_tradnl"/>
        </w:rPr>
        <w:t>decis</w:t>
      </w:r>
      <w:proofErr w:type="spellEnd"/>
      <w:r w:rsidRPr="00CC6E99">
        <w:rPr>
          <w:rFonts w:ascii="Times New Roman" w:hAnsi="Times New Roman" w:cs="Times New Roman"/>
          <w:sz w:val="24"/>
          <w:szCs w:val="24"/>
        </w:rPr>
        <w:t xml:space="preserve">ão administrativa proferida, por exemplo, pelo </w:t>
      </w:r>
      <w:r w:rsidR="00BC6346" w:rsidRPr="00CC6E99">
        <w:rPr>
          <w:rFonts w:ascii="Times New Roman" w:hAnsi="Times New Roman" w:cs="Times New Roman"/>
          <w:sz w:val="24"/>
          <w:szCs w:val="24"/>
        </w:rPr>
        <w:t>BCB</w:t>
      </w:r>
      <w:r w:rsidRPr="00CC6E99">
        <w:rPr>
          <w:rFonts w:ascii="Times New Roman" w:hAnsi="Times New Roman" w:cs="Times New Roman"/>
          <w:sz w:val="24"/>
          <w:szCs w:val="24"/>
        </w:rPr>
        <w:t>, pela Casa Civil ou pelas agências reguladoras, como por exemplo, a ANAC - Agê</w:t>
      </w:r>
      <w:proofErr w:type="spellStart"/>
      <w:r w:rsidRPr="00CC6E99">
        <w:rPr>
          <w:rFonts w:ascii="Times New Roman" w:hAnsi="Times New Roman" w:cs="Times New Roman"/>
          <w:sz w:val="24"/>
          <w:szCs w:val="24"/>
          <w:lang w:val="es-ES_tradnl"/>
        </w:rPr>
        <w:t>ncia</w:t>
      </w:r>
      <w:proofErr w:type="spellEnd"/>
      <w:r w:rsidRPr="00CC6E99">
        <w:rPr>
          <w:rFonts w:ascii="Times New Roman" w:hAnsi="Times New Roman" w:cs="Times New Roman"/>
          <w:sz w:val="24"/>
          <w:szCs w:val="24"/>
          <w:lang w:val="es-ES_tradnl"/>
        </w:rPr>
        <w:t xml:space="preserve"> Nacional de </w:t>
      </w:r>
      <w:proofErr w:type="spellStart"/>
      <w:r w:rsidRPr="00CC6E99">
        <w:rPr>
          <w:rFonts w:ascii="Times New Roman" w:hAnsi="Times New Roman" w:cs="Times New Roman"/>
          <w:sz w:val="24"/>
          <w:szCs w:val="24"/>
          <w:lang w:val="es-ES_tradnl"/>
        </w:rPr>
        <w:t>Avia</w:t>
      </w:r>
      <w:proofErr w:type="spellEnd"/>
      <w:r w:rsidRPr="00CC6E99">
        <w:rPr>
          <w:rFonts w:ascii="Times New Roman" w:hAnsi="Times New Roman" w:cs="Times New Roman"/>
          <w:sz w:val="24"/>
          <w:szCs w:val="24"/>
        </w:rPr>
        <w:t>ção Civil.</w:t>
      </w:r>
    </w:p>
    <w:p w:rsidR="00D9084C" w:rsidRPr="00CC6E99" w:rsidRDefault="00D9084C">
      <w:pPr>
        <w:pStyle w:val="CorpoA"/>
        <w:spacing w:after="0" w:line="312" w:lineRule="auto"/>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Sugere também a inclusão da hipó</w:t>
      </w:r>
      <w:r w:rsidRPr="00CC6E99">
        <w:rPr>
          <w:rFonts w:ascii="Times New Roman" w:hAnsi="Times New Roman" w:cs="Times New Roman"/>
          <w:sz w:val="24"/>
          <w:szCs w:val="24"/>
          <w:lang w:val="it-IT"/>
        </w:rPr>
        <w:t xml:space="preserve">tese de </w:t>
      </w:r>
      <w:r w:rsidRPr="00CC6E99">
        <w:rPr>
          <w:rFonts w:ascii="Times New Roman" w:hAnsi="Times New Roman" w:cs="Times New Roman"/>
          <w:sz w:val="24"/>
          <w:szCs w:val="24"/>
        </w:rPr>
        <w:t xml:space="preserve">“exercício do direito de retirada, nos casos previstos em lei” para </w:t>
      </w:r>
      <w:r w:rsidR="009328DC" w:rsidRPr="00CC6E99">
        <w:rPr>
          <w:rFonts w:ascii="Times New Roman" w:hAnsi="Times New Roman" w:cs="Times New Roman"/>
          <w:sz w:val="24"/>
          <w:szCs w:val="24"/>
        </w:rPr>
        <w:t>possibilitar a</w:t>
      </w:r>
      <w:r w:rsidRPr="00CC6E99">
        <w:rPr>
          <w:rFonts w:ascii="Times New Roman" w:hAnsi="Times New Roman" w:cs="Times New Roman"/>
          <w:sz w:val="24"/>
          <w:szCs w:val="24"/>
        </w:rPr>
        <w:t xml:space="preserve"> alienação pelo investidor não residente nos casos de recesso. </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A BM&amp;FBOVESPA propõe ainda a inclusão de hipótese relativa a “oferta pública de distribuição de valores mobiliários” para prever a possibilidade de subscrição de valores mobiliários pelos investidores não residentes em ofertas públicas de distribuição de valores mobiliários regidas pela Instrução CVM n° 400, de 29 de dezembro de 2003, e pela Instrução CVM n° 476, de 16 de janeiro de 2009.</w:t>
      </w:r>
    </w:p>
    <w:p w:rsidR="00D9084C" w:rsidRPr="00CC6E99" w:rsidRDefault="00D9084C" w:rsidP="00784B56">
      <w:pPr>
        <w:pStyle w:val="CorpoA"/>
        <w:widowControl w:val="0"/>
        <w:spacing w:after="0" w:line="312" w:lineRule="auto"/>
        <w:jc w:val="both"/>
        <w:rPr>
          <w:rFonts w:ascii="Times New Roman" w:eastAsia="Times New Roman" w:hAnsi="Times New Roman" w:cs="Times New Roman"/>
          <w:sz w:val="24"/>
          <w:szCs w:val="24"/>
        </w:rPr>
      </w:pPr>
    </w:p>
    <w:tbl>
      <w:tblPr>
        <w:tblStyle w:val="TableNormal"/>
        <w:tblW w:w="103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D9084C" w:rsidRPr="00AF4AA5">
        <w:trPr>
          <w:trHeight w:val="330"/>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D9084C" w:rsidRPr="00CC6E99" w:rsidRDefault="005607BA">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rPr>
              <w:t>As sugestões foram incorporadas na norma.</w:t>
            </w:r>
          </w:p>
        </w:tc>
      </w:tr>
    </w:tbl>
    <w:p w:rsidR="00D9084C" w:rsidRPr="00CC6E99" w:rsidRDefault="00D9084C" w:rsidP="00784B56">
      <w:pPr>
        <w:pStyle w:val="CorpoA"/>
        <w:widowControl w:val="0"/>
        <w:spacing w:after="0" w:line="312" w:lineRule="auto"/>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A BM&amp;FBOVESPA defende que as Ofertas Públicas de Aquisiçã</w:t>
      </w:r>
      <w:r w:rsidRPr="00CC6E99">
        <w:rPr>
          <w:rFonts w:ascii="Times New Roman" w:hAnsi="Times New Roman" w:cs="Times New Roman"/>
          <w:sz w:val="24"/>
          <w:szCs w:val="24"/>
          <w:lang w:val="es-ES_tradnl"/>
        </w:rPr>
        <w:t>o de A</w:t>
      </w:r>
      <w:r w:rsidRPr="00CC6E99">
        <w:rPr>
          <w:rFonts w:ascii="Times New Roman" w:hAnsi="Times New Roman" w:cs="Times New Roman"/>
          <w:sz w:val="24"/>
          <w:szCs w:val="24"/>
        </w:rPr>
        <w:t>ções (OPA), embora se iniciem e sejam liquidadas de forma distinta das operações regularmente cursadas nos mercados organizado</w:t>
      </w:r>
      <w:r w:rsidR="00784B56" w:rsidRPr="00CC6E99">
        <w:rPr>
          <w:rFonts w:ascii="Times New Roman" w:hAnsi="Times New Roman" w:cs="Times New Roman"/>
          <w:sz w:val="24"/>
          <w:szCs w:val="24"/>
        </w:rPr>
        <w:t>s</w:t>
      </w:r>
      <w:r w:rsidRPr="00CC6E99">
        <w:rPr>
          <w:rFonts w:ascii="Times New Roman" w:hAnsi="Times New Roman" w:cs="Times New Roman"/>
          <w:sz w:val="24"/>
          <w:szCs w:val="24"/>
        </w:rPr>
        <w:t xml:space="preserve">, são efetivadas por meio de procedimentos especiais realizados nesses ambientes de negociação, conforme disposto no art. 12 da Instrução CVM nº 361, 5 de março de 2002. Por tal motivo, entende que </w:t>
      </w:r>
      <w:r w:rsidR="00BE4888" w:rsidRPr="00CC6E99">
        <w:rPr>
          <w:rFonts w:ascii="Times New Roman" w:hAnsi="Times New Roman" w:cs="Times New Roman"/>
          <w:sz w:val="24"/>
          <w:szCs w:val="24"/>
        </w:rPr>
        <w:t>essas</w:t>
      </w:r>
      <w:r w:rsidRPr="00CC6E99">
        <w:rPr>
          <w:rFonts w:ascii="Times New Roman" w:hAnsi="Times New Roman" w:cs="Times New Roman"/>
          <w:sz w:val="24"/>
          <w:szCs w:val="24"/>
        </w:rPr>
        <w:t xml:space="preserve"> operações devem constar da regulamentação como procedimentos especiais de negociação realizados em mercados organizados, uma vez que a formaçã</w:t>
      </w:r>
      <w:r w:rsidRPr="00CC6E99">
        <w:rPr>
          <w:rFonts w:ascii="Times New Roman" w:hAnsi="Times New Roman" w:cs="Times New Roman"/>
          <w:sz w:val="24"/>
          <w:szCs w:val="24"/>
          <w:lang w:val="es-ES_tradnl"/>
        </w:rPr>
        <w:t>o de pre</w:t>
      </w:r>
      <w:r w:rsidRPr="00CC6E99">
        <w:rPr>
          <w:rFonts w:ascii="Times New Roman" w:hAnsi="Times New Roman" w:cs="Times New Roman"/>
          <w:sz w:val="24"/>
          <w:szCs w:val="24"/>
        </w:rPr>
        <w:t>ço se ultima nesses mercados.</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As OPAs são efetivadas por meio de procedimentos especiais de negociação realizados em mercado de bolsa ou mercado de balcão organizado, com características que se amoldam aos conceitos constantes na Instrução CVM nº 461, de 23 de outubro de 2007, tais como:  (i) possibilidade de interação entre as ofertas de venda e de compra das ações objeto da OPA no decorrer do procedimento especial de negociação; (ii) divulgação pública das ofertas e negócios, tendo em vista que a cotação das açõ</w:t>
      </w:r>
      <w:r w:rsidRPr="00CC6E99">
        <w:rPr>
          <w:rFonts w:ascii="Times New Roman" w:hAnsi="Times New Roman" w:cs="Times New Roman"/>
          <w:sz w:val="24"/>
          <w:szCs w:val="24"/>
          <w:lang w:val="es-ES_tradnl"/>
        </w:rPr>
        <w:t xml:space="preserve">es objeto de OPA </w:t>
      </w:r>
      <w:r w:rsidRPr="00CC6E99">
        <w:rPr>
          <w:rFonts w:ascii="Times New Roman" w:hAnsi="Times New Roman" w:cs="Times New Roman"/>
          <w:sz w:val="24"/>
          <w:szCs w:val="24"/>
        </w:rPr>
        <w:t>é divulgada em conjunto com o sinal de informações de mercado transmitido pela BM&amp;FBOVESPA; e (iii) necessidade de os acionistas vendedores transmitirem a ordem por meio de corretora habilitada.</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 xml:space="preserve">Em vista disso, a bolsa entende que o art. 2º, §3º, da Instrução CVM nº 361, de 2002, ao se referir à </w:t>
      </w:r>
      <w:r w:rsidRPr="00CC6E99">
        <w:rPr>
          <w:rFonts w:ascii="Times New Roman" w:hAnsi="Times New Roman" w:cs="Times New Roman"/>
          <w:sz w:val="24"/>
          <w:szCs w:val="24"/>
          <w:lang w:val="es-ES_tradnl"/>
        </w:rPr>
        <w:t xml:space="preserve">OPA como </w:t>
      </w:r>
      <w:r w:rsidRPr="00CC6E99">
        <w:rPr>
          <w:rFonts w:ascii="Times New Roman" w:hAnsi="Times New Roman" w:cs="Times New Roman"/>
          <w:sz w:val="24"/>
          <w:szCs w:val="24"/>
        </w:rPr>
        <w:t>“a oferta pública efetuada fora de bolsa de valores ou de entidade de mercado de balcão organizado”, faz menção</w:t>
      </w:r>
      <w:r w:rsidR="00CF0E3F" w:rsidRPr="00CC6E99">
        <w:rPr>
          <w:rFonts w:ascii="Times New Roman" w:hAnsi="Times New Roman" w:cs="Times New Roman"/>
          <w:sz w:val="24"/>
          <w:szCs w:val="24"/>
        </w:rPr>
        <w:t xml:space="preserve"> unicamente ao fato que enseja</w:t>
      </w:r>
      <w:r w:rsidRPr="00CC6E99">
        <w:rPr>
          <w:rFonts w:ascii="Times New Roman" w:hAnsi="Times New Roman" w:cs="Times New Roman"/>
          <w:sz w:val="24"/>
          <w:szCs w:val="24"/>
        </w:rPr>
        <w:t xml:space="preserve"> sua realização, e não à sua efetivaçã</w:t>
      </w:r>
      <w:r w:rsidRPr="00CC6E99">
        <w:rPr>
          <w:rFonts w:ascii="Times New Roman" w:hAnsi="Times New Roman" w:cs="Times New Roman"/>
          <w:sz w:val="24"/>
          <w:szCs w:val="24"/>
          <w:lang w:val="es-ES_tradnl"/>
        </w:rPr>
        <w:t>o, que se d</w:t>
      </w:r>
      <w:r w:rsidRPr="00CC6E99">
        <w:rPr>
          <w:rFonts w:ascii="Times New Roman" w:hAnsi="Times New Roman" w:cs="Times New Roman"/>
          <w:sz w:val="24"/>
          <w:szCs w:val="24"/>
        </w:rPr>
        <w:t>á por meio dos procedimentos especiais realizados em mercado de bolsa ou em mercado de balcão organizado.</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rPr>
        <w:t>Assim, sugere a transposição das hipóteses relativas à participação em OPA e ao exercí</w:t>
      </w:r>
      <w:r w:rsidRPr="00CC6E99">
        <w:rPr>
          <w:rFonts w:ascii="Times New Roman" w:hAnsi="Times New Roman" w:cs="Times New Roman"/>
          <w:sz w:val="24"/>
          <w:szCs w:val="24"/>
          <w:lang w:val="es-ES_tradnl"/>
        </w:rPr>
        <w:t xml:space="preserve">cio de </w:t>
      </w:r>
      <w:proofErr w:type="spellStart"/>
      <w:r w:rsidRPr="00CC6E99">
        <w:rPr>
          <w:rFonts w:ascii="Times New Roman" w:hAnsi="Times New Roman" w:cs="Times New Roman"/>
          <w:sz w:val="24"/>
          <w:szCs w:val="24"/>
          <w:lang w:val="es-ES_tradnl"/>
        </w:rPr>
        <w:t>op</w:t>
      </w:r>
      <w:proofErr w:type="spellEnd"/>
      <w:r w:rsidRPr="00CC6E99">
        <w:rPr>
          <w:rFonts w:ascii="Times New Roman" w:hAnsi="Times New Roman" w:cs="Times New Roman"/>
          <w:sz w:val="24"/>
          <w:szCs w:val="24"/>
        </w:rPr>
        <w:t>ção de venda para acionistas remanescentes de OPA, para nova seçã</w:t>
      </w:r>
      <w:r w:rsidRPr="00CC6E99">
        <w:rPr>
          <w:rFonts w:ascii="Times New Roman" w:hAnsi="Times New Roman" w:cs="Times New Roman"/>
          <w:sz w:val="24"/>
          <w:szCs w:val="24"/>
          <w:lang w:val="es-ES_tradnl"/>
        </w:rPr>
        <w:t xml:space="preserve">o a ser denominada </w:t>
      </w:r>
      <w:r w:rsidRPr="00CC6E99">
        <w:rPr>
          <w:rFonts w:ascii="Times New Roman" w:hAnsi="Times New Roman" w:cs="Times New Roman"/>
          <w:sz w:val="24"/>
          <w:szCs w:val="24"/>
        </w:rPr>
        <w:t>“Operações realizadas em mercados organizados de valores mobiliá</w:t>
      </w:r>
      <w:proofErr w:type="spellStart"/>
      <w:r w:rsidRPr="00CC6E99">
        <w:rPr>
          <w:rFonts w:ascii="Times New Roman" w:hAnsi="Times New Roman" w:cs="Times New Roman"/>
          <w:sz w:val="24"/>
          <w:szCs w:val="24"/>
          <w:lang w:val="es-ES_tradnl"/>
        </w:rPr>
        <w:t>rios</w:t>
      </w:r>
      <w:proofErr w:type="spellEnd"/>
      <w:r w:rsidRPr="00CC6E99">
        <w:rPr>
          <w:rFonts w:ascii="Times New Roman" w:hAnsi="Times New Roman" w:cs="Times New Roman"/>
          <w:sz w:val="24"/>
          <w:szCs w:val="24"/>
        </w:rPr>
        <w:t xml:space="preserve">” que definiria os mercados e os sistemas de registro nos quais o investidor não residente pode realizar operações com valores mobiliários ou registrar </w:t>
      </w:r>
      <w:r w:rsidRPr="00CC6E99">
        <w:rPr>
          <w:rFonts w:ascii="Times New Roman" w:hAnsi="Times New Roman" w:cs="Times New Roman"/>
          <w:sz w:val="24"/>
          <w:szCs w:val="24"/>
        </w:rPr>
        <w:lastRenderedPageBreak/>
        <w:t xml:space="preserve">ativos, o que facilitaria também a compreensão das operações que podem ser realizadas em mercados organizados, bem como as operações que, excepcionalmente, podem ser realizadas fora de mercados organizados. </w:t>
      </w:r>
    </w:p>
    <w:tbl>
      <w:tblPr>
        <w:tblStyle w:val="TableNormal"/>
        <w:tblpPr w:leftFromText="141" w:rightFromText="141" w:vertAnchor="text" w:horzAnchor="margin" w:tblpY="249"/>
        <w:tblW w:w="103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0154A4" w:rsidRPr="00AF4AA5" w:rsidTr="000154A4">
        <w:trPr>
          <w:trHeight w:val="697"/>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0154A4" w:rsidRPr="00CC6E99" w:rsidRDefault="000154A4" w:rsidP="000154A4">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rPr>
              <w:t xml:space="preserve">As sugestões foram consideradas parcialmente pertinentes. </w:t>
            </w:r>
          </w:p>
          <w:p w:rsidR="000154A4" w:rsidRPr="00CC6E99" w:rsidRDefault="000154A4" w:rsidP="000154A4">
            <w:pPr>
              <w:pStyle w:val="CorpoA"/>
              <w:spacing w:after="0" w:line="312" w:lineRule="auto"/>
              <w:ind w:firstLine="709"/>
              <w:jc w:val="both"/>
              <w:rPr>
                <w:rFonts w:ascii="Times New Roman" w:hAnsi="Times New Roman" w:cs="Times New Roman"/>
                <w:sz w:val="24"/>
                <w:szCs w:val="24"/>
              </w:rPr>
            </w:pPr>
          </w:p>
          <w:p w:rsidR="000154A4" w:rsidRPr="00CC6E99" w:rsidRDefault="000154A4" w:rsidP="000154A4">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rPr>
              <w:t>O exercício de opção de venda por acionista remanescente de OPA é uma operação realizada fora de mercado organizado. Da mesma forma, embora a OPA seja, regra geral, efetivada em mercado organizado (embora fora do ambiente de negociação do mercado secundário), a CVM pode autorizar sua realização por procedimento diverso, nos termos do art. 4º, VII, da Instrução CVM nº 361, de 2002.</w:t>
            </w:r>
          </w:p>
          <w:p w:rsidR="000154A4" w:rsidRPr="00CC6E99" w:rsidRDefault="000154A4" w:rsidP="000154A4">
            <w:pPr>
              <w:pStyle w:val="CorpoA"/>
              <w:spacing w:after="0" w:line="312" w:lineRule="auto"/>
              <w:ind w:firstLine="709"/>
              <w:jc w:val="both"/>
              <w:rPr>
                <w:rFonts w:ascii="Times New Roman" w:hAnsi="Times New Roman" w:cs="Times New Roman"/>
                <w:sz w:val="24"/>
                <w:szCs w:val="24"/>
              </w:rPr>
            </w:pPr>
          </w:p>
          <w:p w:rsidR="000154A4" w:rsidRPr="00CC6E99" w:rsidRDefault="000154A4" w:rsidP="00511926">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rPr>
              <w:t xml:space="preserve">Assim, optou-se por </w:t>
            </w:r>
            <w:r w:rsidR="008C6298">
              <w:rPr>
                <w:rFonts w:ascii="Times New Roman" w:hAnsi="Times New Roman" w:cs="Times New Roman"/>
                <w:sz w:val="24"/>
                <w:szCs w:val="24"/>
              </w:rPr>
              <w:t>alterar a redação do</w:t>
            </w:r>
            <w:r w:rsidR="00512C34">
              <w:rPr>
                <w:rFonts w:ascii="Times New Roman" w:hAnsi="Times New Roman" w:cs="Times New Roman"/>
                <w:sz w:val="24"/>
                <w:szCs w:val="24"/>
              </w:rPr>
              <w:t xml:space="preserve"> inciso IX do art. 17 da </w:t>
            </w:r>
            <w:r w:rsidR="00113864">
              <w:rPr>
                <w:rFonts w:ascii="Times New Roman" w:hAnsi="Times New Roman" w:cs="Times New Roman"/>
                <w:sz w:val="24"/>
                <w:szCs w:val="24"/>
              </w:rPr>
              <w:t xml:space="preserve">Minuta </w:t>
            </w:r>
            <w:r w:rsidR="00512C34">
              <w:rPr>
                <w:rFonts w:ascii="Times New Roman" w:hAnsi="Times New Roman" w:cs="Times New Roman"/>
                <w:sz w:val="24"/>
                <w:szCs w:val="24"/>
              </w:rPr>
              <w:t>(</w:t>
            </w:r>
            <w:r w:rsidR="00026048">
              <w:rPr>
                <w:rFonts w:ascii="Times New Roman" w:hAnsi="Times New Roman" w:cs="Times New Roman"/>
                <w:sz w:val="24"/>
                <w:szCs w:val="24"/>
              </w:rPr>
              <w:t>atual  inciso XIV do art. 19</w:t>
            </w:r>
            <w:r w:rsidR="00512C34">
              <w:rPr>
                <w:rFonts w:ascii="Times New Roman" w:hAnsi="Times New Roman" w:cs="Times New Roman"/>
                <w:sz w:val="24"/>
                <w:szCs w:val="24"/>
              </w:rPr>
              <w:t>)</w:t>
            </w:r>
            <w:r w:rsidR="00026048">
              <w:rPr>
                <w:rFonts w:ascii="Times New Roman" w:hAnsi="Times New Roman" w:cs="Times New Roman"/>
                <w:sz w:val="24"/>
                <w:szCs w:val="24"/>
              </w:rPr>
              <w:t xml:space="preserve"> </w:t>
            </w:r>
            <w:r w:rsidR="008C6298">
              <w:rPr>
                <w:rFonts w:ascii="Times New Roman" w:hAnsi="Times New Roman" w:cs="Times New Roman"/>
                <w:sz w:val="24"/>
                <w:szCs w:val="24"/>
              </w:rPr>
              <w:t xml:space="preserve">para prever </w:t>
            </w:r>
            <w:r w:rsidRPr="00CC6E99">
              <w:rPr>
                <w:rFonts w:ascii="Times New Roman" w:hAnsi="Times New Roman" w:cs="Times New Roman"/>
                <w:sz w:val="24"/>
                <w:szCs w:val="24"/>
              </w:rPr>
              <w:t>que o investidor não residente está autorizado a</w:t>
            </w:r>
            <w:r w:rsidR="008C6298">
              <w:rPr>
                <w:rFonts w:ascii="Times New Roman" w:hAnsi="Times New Roman" w:cs="Times New Roman"/>
                <w:sz w:val="24"/>
                <w:szCs w:val="24"/>
              </w:rPr>
              <w:t xml:space="preserve"> </w:t>
            </w:r>
            <w:r w:rsidRPr="00CC6E99">
              <w:rPr>
                <w:rFonts w:ascii="Times New Roman" w:hAnsi="Times New Roman" w:cs="Times New Roman"/>
                <w:sz w:val="24"/>
                <w:szCs w:val="24"/>
              </w:rPr>
              <w:t xml:space="preserve">participar de oferta pública de aquisição de ações – OPA, </w:t>
            </w:r>
            <w:r w:rsidR="00511926">
              <w:rPr>
                <w:rFonts w:ascii="Times New Roman" w:hAnsi="Times New Roman" w:cs="Times New Roman"/>
                <w:sz w:val="24"/>
                <w:szCs w:val="24"/>
              </w:rPr>
              <w:t xml:space="preserve">mesmo </w:t>
            </w:r>
            <w:r w:rsidRPr="00CC6E99">
              <w:rPr>
                <w:rFonts w:ascii="Times New Roman" w:hAnsi="Times New Roman" w:cs="Times New Roman"/>
                <w:sz w:val="24"/>
                <w:szCs w:val="24"/>
              </w:rPr>
              <w:t xml:space="preserve">nos casos em que a </w:t>
            </w:r>
            <w:r w:rsidR="008C6298">
              <w:rPr>
                <w:rFonts w:ascii="Times New Roman" w:hAnsi="Times New Roman" w:cs="Times New Roman"/>
                <w:sz w:val="24"/>
                <w:szCs w:val="24"/>
              </w:rPr>
              <w:t xml:space="preserve">CVM autorize que </w:t>
            </w:r>
            <w:r w:rsidRPr="00CC6E99">
              <w:rPr>
                <w:rFonts w:ascii="Times New Roman" w:hAnsi="Times New Roman" w:cs="Times New Roman"/>
                <w:sz w:val="24"/>
                <w:szCs w:val="24"/>
              </w:rPr>
              <w:t xml:space="preserve">oferta se realize por procedimento diverso do leilão em mercado organizado, nos termos da regulamentação específica </w:t>
            </w:r>
          </w:p>
        </w:tc>
      </w:tr>
    </w:tbl>
    <w:p w:rsidR="000154A4" w:rsidRPr="00CC6E99" w:rsidRDefault="000154A4">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 xml:space="preserve">A ANBIMA também sugere que a norma preveja a possibilidade de excluir da carteira do investidor não residente os ativos de empresas que tiveram sua falência decretada, quando objeto de alienação, abandono ou renúncia por tal investidor, mediante notificação à CVM. A </w:t>
      </w:r>
      <w:r w:rsidR="00CF0E3F" w:rsidRPr="00CC6E99">
        <w:rPr>
          <w:rFonts w:ascii="Times New Roman" w:hAnsi="Times New Roman" w:cs="Times New Roman"/>
          <w:sz w:val="24"/>
          <w:szCs w:val="24"/>
        </w:rPr>
        <w:t xml:space="preserve">redação </w:t>
      </w:r>
      <w:r w:rsidRPr="00CC6E99">
        <w:rPr>
          <w:rFonts w:ascii="Times New Roman" w:hAnsi="Times New Roman" w:cs="Times New Roman"/>
          <w:sz w:val="24"/>
          <w:szCs w:val="24"/>
        </w:rPr>
        <w:t>suge</w:t>
      </w:r>
      <w:r w:rsidR="00CF0E3F" w:rsidRPr="00CC6E99">
        <w:rPr>
          <w:rFonts w:ascii="Times New Roman" w:hAnsi="Times New Roman" w:cs="Times New Roman"/>
          <w:sz w:val="24"/>
          <w:szCs w:val="24"/>
        </w:rPr>
        <w:t>rida</w:t>
      </w:r>
      <w:r w:rsidRPr="00CC6E99">
        <w:rPr>
          <w:rFonts w:ascii="Times New Roman" w:hAnsi="Times New Roman" w:cs="Times New Roman"/>
          <w:sz w:val="24"/>
          <w:szCs w:val="24"/>
        </w:rPr>
        <w:t xml:space="preserve"> </w:t>
      </w:r>
      <w:r w:rsidR="000154A4" w:rsidRPr="00CC6E99">
        <w:rPr>
          <w:rFonts w:ascii="Times New Roman" w:hAnsi="Times New Roman" w:cs="Times New Roman"/>
          <w:sz w:val="24"/>
          <w:szCs w:val="24"/>
        </w:rPr>
        <w:t>deixa aberta a possibilidade de outros casos, para também</w:t>
      </w:r>
      <w:r w:rsidRPr="00CC6E99">
        <w:rPr>
          <w:rFonts w:ascii="Times New Roman" w:hAnsi="Times New Roman" w:cs="Times New Roman"/>
          <w:sz w:val="24"/>
          <w:szCs w:val="24"/>
        </w:rPr>
        <w:t xml:space="preserve"> incluir a situação em que o investidor nã</w:t>
      </w:r>
      <w:r w:rsidR="000154A4" w:rsidRPr="00CC6E99">
        <w:rPr>
          <w:rFonts w:ascii="Times New Roman" w:hAnsi="Times New Roman" w:cs="Times New Roman"/>
          <w:sz w:val="24"/>
          <w:szCs w:val="24"/>
        </w:rPr>
        <w:t>o residente deseja</w:t>
      </w:r>
      <w:r w:rsidRPr="00CC6E99">
        <w:rPr>
          <w:rFonts w:ascii="Times New Roman" w:hAnsi="Times New Roman" w:cs="Times New Roman"/>
          <w:sz w:val="24"/>
          <w:szCs w:val="24"/>
        </w:rPr>
        <w:t xml:space="preserve"> retirar o ativo da carteira sujeita ao Regulamento Anexo I à Resolução CMN nº 4.373, de 2014, </w:t>
      </w:r>
      <w:r w:rsidR="000154A4" w:rsidRPr="00CC6E99">
        <w:rPr>
          <w:rFonts w:ascii="Times New Roman" w:hAnsi="Times New Roman" w:cs="Times New Roman"/>
          <w:sz w:val="24"/>
          <w:szCs w:val="24"/>
        </w:rPr>
        <w:t>mas mantendo, por outro lado, sua propriedade</w:t>
      </w:r>
      <w:r w:rsidRPr="00CC6E99">
        <w:rPr>
          <w:rFonts w:ascii="Times New Roman" w:hAnsi="Times New Roman" w:cs="Times New Roman"/>
          <w:sz w:val="24"/>
          <w:szCs w:val="24"/>
        </w:rPr>
        <w:t xml:space="preserve">. </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0154A4">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A</w:t>
      </w:r>
      <w:r w:rsidR="005607BA" w:rsidRPr="00CC6E99">
        <w:rPr>
          <w:rFonts w:ascii="Times New Roman" w:hAnsi="Times New Roman" w:cs="Times New Roman"/>
          <w:sz w:val="24"/>
          <w:szCs w:val="24"/>
        </w:rPr>
        <w:t xml:space="preserve"> exceçã</w:t>
      </w:r>
      <w:r w:rsidR="005607BA" w:rsidRPr="00CC6E99">
        <w:rPr>
          <w:rFonts w:ascii="Times New Roman" w:hAnsi="Times New Roman" w:cs="Times New Roman"/>
          <w:sz w:val="24"/>
          <w:szCs w:val="24"/>
          <w:lang w:val="es-ES_tradnl"/>
        </w:rPr>
        <w:t xml:space="preserve">o </w:t>
      </w:r>
      <w:proofErr w:type="spellStart"/>
      <w:r w:rsidRPr="00CC6E99">
        <w:rPr>
          <w:rFonts w:ascii="Times New Roman" w:hAnsi="Times New Roman" w:cs="Times New Roman"/>
          <w:sz w:val="24"/>
          <w:szCs w:val="24"/>
          <w:lang w:val="es-ES_tradnl"/>
        </w:rPr>
        <w:t>também</w:t>
      </w:r>
      <w:proofErr w:type="spellEnd"/>
      <w:r w:rsidRPr="00CC6E99">
        <w:rPr>
          <w:rFonts w:ascii="Times New Roman" w:hAnsi="Times New Roman" w:cs="Times New Roman"/>
          <w:sz w:val="24"/>
          <w:szCs w:val="24"/>
          <w:lang w:val="es-ES_tradnl"/>
        </w:rPr>
        <w:t xml:space="preserve"> </w:t>
      </w:r>
      <w:proofErr w:type="spellStart"/>
      <w:r w:rsidRPr="00CC6E99">
        <w:rPr>
          <w:rFonts w:ascii="Times New Roman" w:hAnsi="Times New Roman" w:cs="Times New Roman"/>
          <w:sz w:val="24"/>
          <w:szCs w:val="24"/>
          <w:lang w:val="es-ES_tradnl"/>
        </w:rPr>
        <w:t>deveria</w:t>
      </w:r>
      <w:proofErr w:type="spellEnd"/>
      <w:r w:rsidRPr="00CC6E99">
        <w:rPr>
          <w:rFonts w:ascii="Times New Roman" w:hAnsi="Times New Roman" w:cs="Times New Roman"/>
          <w:sz w:val="24"/>
          <w:szCs w:val="24"/>
          <w:lang w:val="es-ES_tradnl"/>
        </w:rPr>
        <w:t xml:space="preserve"> ser</w:t>
      </w:r>
      <w:r w:rsidR="005607BA" w:rsidRPr="00CC6E99">
        <w:rPr>
          <w:rFonts w:ascii="Times New Roman" w:hAnsi="Times New Roman" w:cs="Times New Roman"/>
          <w:sz w:val="24"/>
          <w:szCs w:val="24"/>
          <w:lang w:val="es-ES_tradnl"/>
        </w:rPr>
        <w:t xml:space="preserve"> aplicada</w:t>
      </w:r>
      <w:r w:rsidRPr="00CC6E99">
        <w:rPr>
          <w:rFonts w:ascii="Times New Roman" w:hAnsi="Times New Roman" w:cs="Times New Roman"/>
          <w:sz w:val="24"/>
          <w:szCs w:val="24"/>
          <w:lang w:val="es-ES_tradnl"/>
        </w:rPr>
        <w:t xml:space="preserve"> </w:t>
      </w:r>
      <w:proofErr w:type="spellStart"/>
      <w:r w:rsidRPr="00CC6E99">
        <w:rPr>
          <w:rFonts w:ascii="Times New Roman" w:hAnsi="Times New Roman" w:cs="Times New Roman"/>
          <w:sz w:val="24"/>
          <w:szCs w:val="24"/>
          <w:lang w:val="es-ES_tradnl"/>
        </w:rPr>
        <w:t>em</w:t>
      </w:r>
      <w:proofErr w:type="spellEnd"/>
      <w:r w:rsidRPr="00CC6E99">
        <w:rPr>
          <w:rFonts w:ascii="Times New Roman" w:hAnsi="Times New Roman" w:cs="Times New Roman"/>
          <w:sz w:val="24"/>
          <w:szCs w:val="24"/>
          <w:lang w:val="es-ES_tradnl"/>
        </w:rPr>
        <w:t xml:space="preserve"> </w:t>
      </w:r>
      <w:proofErr w:type="spellStart"/>
      <w:r w:rsidRPr="00CC6E99">
        <w:rPr>
          <w:rFonts w:ascii="Times New Roman" w:hAnsi="Times New Roman" w:cs="Times New Roman"/>
          <w:sz w:val="24"/>
          <w:szCs w:val="24"/>
          <w:lang w:val="es-ES_tradnl"/>
        </w:rPr>
        <w:t>outros</w:t>
      </w:r>
      <w:proofErr w:type="spellEnd"/>
      <w:r w:rsidR="005607BA" w:rsidRPr="00CC6E99">
        <w:rPr>
          <w:rFonts w:ascii="Times New Roman" w:hAnsi="Times New Roman" w:cs="Times New Roman"/>
          <w:sz w:val="24"/>
          <w:szCs w:val="24"/>
        </w:rPr>
        <w:t xml:space="preserve"> procedimento</w:t>
      </w:r>
      <w:r w:rsidRPr="00CC6E99">
        <w:rPr>
          <w:rFonts w:ascii="Times New Roman" w:hAnsi="Times New Roman" w:cs="Times New Roman"/>
          <w:sz w:val="24"/>
          <w:szCs w:val="24"/>
        </w:rPr>
        <w:t>s</w:t>
      </w:r>
      <w:r w:rsidR="005607BA" w:rsidRPr="00CC6E99">
        <w:rPr>
          <w:rFonts w:ascii="Times New Roman" w:hAnsi="Times New Roman" w:cs="Times New Roman"/>
          <w:sz w:val="24"/>
          <w:szCs w:val="24"/>
        </w:rPr>
        <w:t xml:space="preserve"> similar</w:t>
      </w:r>
      <w:r w:rsidRPr="00CC6E99">
        <w:rPr>
          <w:rFonts w:ascii="Times New Roman" w:hAnsi="Times New Roman" w:cs="Times New Roman"/>
          <w:sz w:val="24"/>
          <w:szCs w:val="24"/>
        </w:rPr>
        <w:t>es</w:t>
      </w:r>
      <w:r w:rsidR="005607BA" w:rsidRPr="00CC6E99">
        <w:rPr>
          <w:rFonts w:ascii="Times New Roman" w:hAnsi="Times New Roman" w:cs="Times New Roman"/>
          <w:sz w:val="24"/>
          <w:szCs w:val="24"/>
        </w:rPr>
        <w:t xml:space="preserve">, </w:t>
      </w:r>
      <w:r w:rsidRPr="00CC6E99">
        <w:rPr>
          <w:rFonts w:ascii="Times New Roman" w:hAnsi="Times New Roman" w:cs="Times New Roman"/>
          <w:sz w:val="24"/>
          <w:szCs w:val="24"/>
        </w:rPr>
        <w:t>tais como a liquidação extrajudicial e a</w:t>
      </w:r>
      <w:r w:rsidR="005607BA" w:rsidRPr="00CC6E99">
        <w:rPr>
          <w:rFonts w:ascii="Times New Roman" w:hAnsi="Times New Roman" w:cs="Times New Roman"/>
          <w:sz w:val="24"/>
          <w:szCs w:val="24"/>
        </w:rPr>
        <w:t xml:space="preserve"> recuperação judicial, hipótese em que a negociação dos ativos em mercados organizados é </w:t>
      </w:r>
      <w:proofErr w:type="spellStart"/>
      <w:r w:rsidR="005607BA" w:rsidRPr="00CC6E99">
        <w:rPr>
          <w:rFonts w:ascii="Times New Roman" w:hAnsi="Times New Roman" w:cs="Times New Roman"/>
          <w:sz w:val="24"/>
          <w:szCs w:val="24"/>
          <w:lang w:val="es-ES_tradnl"/>
        </w:rPr>
        <w:t>tip</w:t>
      </w:r>
      <w:r w:rsidR="006D249F" w:rsidRPr="00CC6E99">
        <w:rPr>
          <w:rFonts w:ascii="Times New Roman" w:hAnsi="Times New Roman" w:cs="Times New Roman"/>
          <w:sz w:val="24"/>
          <w:szCs w:val="24"/>
          <w:lang w:val="es-ES_tradnl"/>
        </w:rPr>
        <w:t>i</w:t>
      </w:r>
      <w:r w:rsidR="005607BA" w:rsidRPr="00CC6E99">
        <w:rPr>
          <w:rFonts w:ascii="Times New Roman" w:hAnsi="Times New Roman" w:cs="Times New Roman"/>
          <w:sz w:val="24"/>
          <w:szCs w:val="24"/>
          <w:lang w:val="es-ES_tradnl"/>
        </w:rPr>
        <w:t>camente</w:t>
      </w:r>
      <w:proofErr w:type="spellEnd"/>
      <w:r w:rsidR="005607BA" w:rsidRPr="00CC6E99">
        <w:rPr>
          <w:rFonts w:ascii="Times New Roman" w:hAnsi="Times New Roman" w:cs="Times New Roman"/>
          <w:sz w:val="24"/>
          <w:szCs w:val="24"/>
          <w:lang w:val="es-ES_tradnl"/>
        </w:rPr>
        <w:t xml:space="preserve"> suspensa.</w:t>
      </w:r>
    </w:p>
    <w:p w:rsidR="00D9084C" w:rsidRPr="00CC6E99" w:rsidRDefault="00D9084C">
      <w:pPr>
        <w:pStyle w:val="CorpoA"/>
        <w:spacing w:after="0" w:line="240" w:lineRule="auto"/>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 xml:space="preserve">O investidor que porventura viesse a recuperar valores relativos </w:t>
      </w:r>
      <w:r w:rsidR="00B708F9" w:rsidRPr="00CC6E99">
        <w:rPr>
          <w:rFonts w:ascii="Times New Roman" w:hAnsi="Times New Roman" w:cs="Times New Roman"/>
          <w:sz w:val="24"/>
          <w:szCs w:val="24"/>
        </w:rPr>
        <w:t xml:space="preserve">aos títulos retirados da carteira </w:t>
      </w:r>
      <w:r w:rsidRPr="00CC6E99">
        <w:rPr>
          <w:rFonts w:ascii="Times New Roman" w:hAnsi="Times New Roman" w:cs="Times New Roman"/>
          <w:sz w:val="24"/>
          <w:szCs w:val="24"/>
        </w:rPr>
        <w:t xml:space="preserve">não mais disporia do canal de remessa correspondente ao regime do Regulamento Anexo I à Resolução CMN nº 4.373, de 2014. </w:t>
      </w:r>
      <w:r w:rsidR="00B708F9" w:rsidRPr="00CC6E99">
        <w:rPr>
          <w:rFonts w:ascii="Times New Roman" w:hAnsi="Times New Roman" w:cs="Times New Roman"/>
          <w:sz w:val="24"/>
          <w:szCs w:val="24"/>
        </w:rPr>
        <w:t>As remessas</w:t>
      </w:r>
      <w:r w:rsidRPr="00CC6E99">
        <w:rPr>
          <w:rFonts w:ascii="Times New Roman" w:hAnsi="Times New Roman" w:cs="Times New Roman"/>
          <w:sz w:val="24"/>
          <w:szCs w:val="24"/>
        </w:rPr>
        <w:t xml:space="preserve"> somente poderiam ocorrer na medida em que outra permissão na regulamentaçã</w:t>
      </w:r>
      <w:r w:rsidRPr="00CC6E99">
        <w:rPr>
          <w:rFonts w:ascii="Times New Roman" w:hAnsi="Times New Roman" w:cs="Times New Roman"/>
          <w:sz w:val="24"/>
          <w:szCs w:val="24"/>
          <w:lang w:val="es-ES_tradnl"/>
        </w:rPr>
        <w:t xml:space="preserve">o cambial </w:t>
      </w:r>
      <w:proofErr w:type="spellStart"/>
      <w:r w:rsidRPr="00CC6E99">
        <w:rPr>
          <w:rFonts w:ascii="Times New Roman" w:hAnsi="Times New Roman" w:cs="Times New Roman"/>
          <w:sz w:val="24"/>
          <w:szCs w:val="24"/>
          <w:lang w:val="es-ES_tradnl"/>
        </w:rPr>
        <w:t>esteja</w:t>
      </w:r>
      <w:proofErr w:type="spellEnd"/>
      <w:r w:rsidRPr="00CC6E99">
        <w:rPr>
          <w:rFonts w:ascii="Times New Roman" w:hAnsi="Times New Roman" w:cs="Times New Roman"/>
          <w:sz w:val="24"/>
          <w:szCs w:val="24"/>
          <w:lang w:val="es-ES_tradnl"/>
        </w:rPr>
        <w:t xml:space="preserve"> </w:t>
      </w:r>
      <w:proofErr w:type="spellStart"/>
      <w:r w:rsidRPr="00CC6E99">
        <w:rPr>
          <w:rFonts w:ascii="Times New Roman" w:hAnsi="Times New Roman" w:cs="Times New Roman"/>
          <w:sz w:val="24"/>
          <w:szCs w:val="24"/>
          <w:lang w:val="es-ES_tradnl"/>
        </w:rPr>
        <w:t>dispon</w:t>
      </w:r>
      <w:proofErr w:type="spellEnd"/>
      <w:r w:rsidRPr="00CC6E99">
        <w:rPr>
          <w:rFonts w:ascii="Times New Roman" w:hAnsi="Times New Roman" w:cs="Times New Roman"/>
          <w:sz w:val="24"/>
          <w:szCs w:val="24"/>
        </w:rPr>
        <w:t xml:space="preserve">ível para o investidor, ou </w:t>
      </w:r>
      <w:r w:rsidR="00B708F9" w:rsidRPr="00CC6E99">
        <w:rPr>
          <w:rFonts w:ascii="Times New Roman" w:hAnsi="Times New Roman" w:cs="Times New Roman"/>
          <w:sz w:val="24"/>
          <w:szCs w:val="24"/>
        </w:rPr>
        <w:t xml:space="preserve">em </w:t>
      </w:r>
      <w:r w:rsidRPr="00CC6E99">
        <w:rPr>
          <w:rFonts w:ascii="Times New Roman" w:hAnsi="Times New Roman" w:cs="Times New Roman"/>
          <w:sz w:val="24"/>
          <w:szCs w:val="24"/>
        </w:rPr>
        <w:t xml:space="preserve">que seja obtida autorização específica pela autoridade competente. </w:t>
      </w:r>
    </w:p>
    <w:p w:rsidR="00D9084C" w:rsidRPr="00CC6E99" w:rsidRDefault="00D9084C">
      <w:pPr>
        <w:pStyle w:val="CorpoA"/>
        <w:widowControl w:val="0"/>
        <w:spacing w:after="0" w:line="312" w:lineRule="auto"/>
        <w:ind w:firstLine="709"/>
        <w:jc w:val="both"/>
        <w:rPr>
          <w:rFonts w:ascii="Times New Roman" w:eastAsia="Times New Roman" w:hAnsi="Times New Roman" w:cs="Times New Roman"/>
          <w:sz w:val="24"/>
          <w:szCs w:val="24"/>
        </w:rPr>
      </w:pPr>
    </w:p>
    <w:tbl>
      <w:tblPr>
        <w:tblStyle w:val="TableNormal"/>
        <w:tblW w:w="103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D9084C" w:rsidRPr="00AF4AA5" w:rsidTr="00C81D4B">
        <w:trPr>
          <w:trHeight w:val="194"/>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463827" w:rsidRPr="00CC6E99" w:rsidRDefault="00C81D4B" w:rsidP="00111601">
            <w:pPr>
              <w:pStyle w:val="CorpoA"/>
              <w:spacing w:after="0" w:line="312" w:lineRule="auto"/>
              <w:ind w:firstLine="601"/>
              <w:jc w:val="both"/>
              <w:rPr>
                <w:rFonts w:ascii="Times New Roman" w:hAnsi="Times New Roman" w:cs="Times New Roman"/>
                <w:sz w:val="24"/>
                <w:szCs w:val="24"/>
              </w:rPr>
            </w:pPr>
            <w:r>
              <w:rPr>
                <w:rFonts w:ascii="Times New Roman" w:hAnsi="Times New Roman" w:cs="Times New Roman"/>
                <w:sz w:val="24"/>
                <w:szCs w:val="24"/>
              </w:rPr>
              <w:t>A proposta não foi considerada pertinente</w:t>
            </w:r>
            <w:r w:rsidR="00287BB5">
              <w:rPr>
                <w:rFonts w:ascii="Times New Roman" w:hAnsi="Times New Roman" w:cs="Times New Roman"/>
                <w:sz w:val="24"/>
                <w:szCs w:val="24"/>
              </w:rPr>
              <w:t xml:space="preserve">, pois a CVM considerou que </w:t>
            </w:r>
            <w:r w:rsidR="00C62139">
              <w:rPr>
                <w:rFonts w:ascii="Times New Roman" w:hAnsi="Times New Roman" w:cs="Times New Roman"/>
                <w:sz w:val="24"/>
                <w:szCs w:val="24"/>
              </w:rPr>
              <w:t>a</w:t>
            </w:r>
            <w:r w:rsidR="00111601">
              <w:rPr>
                <w:rFonts w:ascii="Times New Roman" w:hAnsi="Times New Roman" w:cs="Times New Roman"/>
                <w:sz w:val="24"/>
                <w:szCs w:val="24"/>
              </w:rPr>
              <w:t>s</w:t>
            </w:r>
            <w:r w:rsidR="00C62139">
              <w:rPr>
                <w:rFonts w:ascii="Times New Roman" w:hAnsi="Times New Roman" w:cs="Times New Roman"/>
                <w:sz w:val="24"/>
                <w:szCs w:val="24"/>
              </w:rPr>
              <w:t xml:space="preserve"> </w:t>
            </w:r>
            <w:r w:rsidR="006F5AB7">
              <w:rPr>
                <w:rFonts w:ascii="Times New Roman" w:hAnsi="Times New Roman" w:cs="Times New Roman"/>
                <w:sz w:val="24"/>
                <w:szCs w:val="24"/>
              </w:rPr>
              <w:t xml:space="preserve">situações </w:t>
            </w:r>
            <w:r w:rsidR="00C62139">
              <w:rPr>
                <w:rFonts w:ascii="Times New Roman" w:hAnsi="Times New Roman" w:cs="Times New Roman"/>
                <w:sz w:val="24"/>
                <w:szCs w:val="24"/>
              </w:rPr>
              <w:t>citadas</w:t>
            </w:r>
            <w:r>
              <w:rPr>
                <w:rFonts w:ascii="Times New Roman" w:hAnsi="Times New Roman" w:cs="Times New Roman"/>
                <w:sz w:val="24"/>
                <w:szCs w:val="24"/>
              </w:rPr>
              <w:t xml:space="preserve"> </w:t>
            </w:r>
            <w:r w:rsidR="00C62139">
              <w:rPr>
                <w:rFonts w:ascii="Times New Roman" w:hAnsi="Times New Roman" w:cs="Times New Roman"/>
                <w:sz w:val="24"/>
                <w:szCs w:val="24"/>
              </w:rPr>
              <w:t>n</w:t>
            </w:r>
            <w:r>
              <w:rPr>
                <w:rFonts w:ascii="Times New Roman" w:hAnsi="Times New Roman" w:cs="Times New Roman"/>
                <w:sz w:val="24"/>
                <w:szCs w:val="24"/>
              </w:rPr>
              <w:t>a proposta da</w:t>
            </w:r>
            <w:r w:rsidR="006F5AB7">
              <w:rPr>
                <w:rFonts w:ascii="Times New Roman" w:hAnsi="Times New Roman" w:cs="Times New Roman"/>
                <w:sz w:val="24"/>
                <w:szCs w:val="24"/>
              </w:rPr>
              <w:t xml:space="preserve"> participante poderão ser objeto de análise, caso a caso, mediante o procedimento de pedido prévio fundamentado </w:t>
            </w:r>
            <w:r w:rsidR="00111601">
              <w:rPr>
                <w:rFonts w:ascii="Times New Roman" w:hAnsi="Times New Roman" w:cs="Times New Roman"/>
                <w:sz w:val="24"/>
                <w:szCs w:val="24"/>
              </w:rPr>
              <w:t>previsto no atual §1º do art. 19</w:t>
            </w:r>
            <w:r w:rsidR="006F5AB7">
              <w:rPr>
                <w:rFonts w:ascii="Times New Roman" w:hAnsi="Times New Roman" w:cs="Times New Roman"/>
                <w:sz w:val="24"/>
                <w:szCs w:val="24"/>
              </w:rPr>
              <w:t>.</w:t>
            </w:r>
            <w:r w:rsidR="00135BD0" w:rsidRPr="00CC6E99">
              <w:rPr>
                <w:rFonts w:ascii="Times New Roman" w:hAnsi="Times New Roman" w:cs="Times New Roman"/>
                <w:sz w:val="24"/>
                <w:szCs w:val="24"/>
              </w:rPr>
              <w:t xml:space="preserve"> </w:t>
            </w:r>
          </w:p>
        </w:tc>
      </w:tr>
    </w:tbl>
    <w:p w:rsidR="00D9084C" w:rsidRPr="00CC6E99" w:rsidRDefault="00D9084C" w:rsidP="004108F5">
      <w:pPr>
        <w:pStyle w:val="CorpoA"/>
        <w:widowControl w:val="0"/>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 xml:space="preserve">Ulhôa Canto também sugere incorporar os casos de doação e sucessão </w:t>
      </w:r>
      <w:r w:rsidRPr="00CC6E99">
        <w:rPr>
          <w:rFonts w:ascii="Times New Roman" w:hAnsi="Times New Roman" w:cs="Times New Roman"/>
          <w:b/>
          <w:bCs/>
          <w:sz w:val="24"/>
          <w:szCs w:val="24"/>
          <w:lang w:val="it-IT"/>
        </w:rPr>
        <w:t>causa mortis</w:t>
      </w:r>
      <w:r w:rsidRPr="00CC6E99">
        <w:rPr>
          <w:rFonts w:ascii="Times New Roman" w:hAnsi="Times New Roman" w:cs="Times New Roman"/>
          <w:sz w:val="24"/>
          <w:szCs w:val="24"/>
        </w:rPr>
        <w:t>, e menciona que, nessas hipó</w:t>
      </w:r>
      <w:r w:rsidRPr="00CC6E99">
        <w:rPr>
          <w:rFonts w:ascii="Times New Roman" w:hAnsi="Times New Roman" w:cs="Times New Roman"/>
          <w:sz w:val="24"/>
          <w:szCs w:val="24"/>
          <w:lang w:val="es-ES_tradnl"/>
        </w:rPr>
        <w:t>teses, n</w:t>
      </w:r>
      <w:r w:rsidRPr="00CC6E99">
        <w:rPr>
          <w:rFonts w:ascii="Times New Roman" w:hAnsi="Times New Roman" w:cs="Times New Roman"/>
          <w:sz w:val="24"/>
          <w:szCs w:val="24"/>
        </w:rPr>
        <w:t xml:space="preserve">ão se vislumbra propriamente negociação, com preço, comprador e vendedor, passível de ser efetuada em mercados organizados. Por fim, no que diz respeito à </w:t>
      </w:r>
      <w:r w:rsidRPr="00CC6E99">
        <w:rPr>
          <w:rFonts w:ascii="Times New Roman" w:hAnsi="Times New Roman" w:cs="Times New Roman"/>
          <w:sz w:val="24"/>
          <w:szCs w:val="24"/>
          <w:lang w:val="es-ES_tradnl"/>
        </w:rPr>
        <w:t>realiza</w:t>
      </w:r>
      <w:r w:rsidRPr="00CC6E99">
        <w:rPr>
          <w:rFonts w:ascii="Times New Roman" w:hAnsi="Times New Roman" w:cs="Times New Roman"/>
          <w:sz w:val="24"/>
          <w:szCs w:val="24"/>
        </w:rPr>
        <w:t>çã</w:t>
      </w:r>
      <w:r w:rsidRPr="00CC6E99">
        <w:rPr>
          <w:rFonts w:ascii="Times New Roman" w:hAnsi="Times New Roman" w:cs="Times New Roman"/>
          <w:sz w:val="24"/>
          <w:szCs w:val="24"/>
          <w:lang w:val="es-ES_tradnl"/>
        </w:rPr>
        <w:t xml:space="preserve">o de </w:t>
      </w:r>
      <w:proofErr w:type="spellStart"/>
      <w:r w:rsidRPr="00CC6E99">
        <w:rPr>
          <w:rFonts w:ascii="Times New Roman" w:hAnsi="Times New Roman" w:cs="Times New Roman"/>
          <w:sz w:val="24"/>
          <w:szCs w:val="24"/>
          <w:lang w:val="es-ES_tradnl"/>
        </w:rPr>
        <w:t>neg</w:t>
      </w:r>
      <w:proofErr w:type="spellEnd"/>
      <w:r w:rsidRPr="00CC6E99">
        <w:rPr>
          <w:rFonts w:ascii="Times New Roman" w:hAnsi="Times New Roman" w:cs="Times New Roman"/>
          <w:sz w:val="24"/>
          <w:szCs w:val="24"/>
        </w:rPr>
        <w:t>ócios com índices referenciados em valores mobiliá</w:t>
      </w:r>
      <w:proofErr w:type="spellStart"/>
      <w:r w:rsidRPr="00CC6E99">
        <w:rPr>
          <w:rFonts w:ascii="Times New Roman" w:hAnsi="Times New Roman" w:cs="Times New Roman"/>
          <w:sz w:val="24"/>
          <w:szCs w:val="24"/>
          <w:lang w:val="es-ES_tradnl"/>
        </w:rPr>
        <w:t>rios</w:t>
      </w:r>
      <w:proofErr w:type="spellEnd"/>
      <w:r w:rsidRPr="00CC6E99">
        <w:rPr>
          <w:rFonts w:ascii="Times New Roman" w:hAnsi="Times New Roman" w:cs="Times New Roman"/>
          <w:sz w:val="24"/>
          <w:szCs w:val="24"/>
          <w:lang w:val="es-ES_tradnl"/>
        </w:rPr>
        <w:t xml:space="preserve">, </w:t>
      </w:r>
      <w:proofErr w:type="spellStart"/>
      <w:r w:rsidRPr="00CC6E99">
        <w:rPr>
          <w:rFonts w:ascii="Times New Roman" w:hAnsi="Times New Roman" w:cs="Times New Roman"/>
          <w:sz w:val="24"/>
          <w:szCs w:val="24"/>
          <w:lang w:val="es-ES_tradnl"/>
        </w:rPr>
        <w:t>lembra</w:t>
      </w:r>
      <w:proofErr w:type="spellEnd"/>
      <w:r w:rsidRPr="00CC6E99">
        <w:rPr>
          <w:rFonts w:ascii="Times New Roman" w:hAnsi="Times New Roman" w:cs="Times New Roman"/>
          <w:sz w:val="24"/>
          <w:szCs w:val="24"/>
          <w:lang w:val="es-ES_tradnl"/>
        </w:rPr>
        <w:t xml:space="preserve"> que tal hip</w:t>
      </w:r>
      <w:r w:rsidRPr="00CC6E99">
        <w:rPr>
          <w:rFonts w:ascii="Times New Roman" w:hAnsi="Times New Roman" w:cs="Times New Roman"/>
          <w:sz w:val="24"/>
          <w:szCs w:val="24"/>
        </w:rPr>
        <w:t xml:space="preserve">ótese já constava do rol de exceções da atual Resolução CMN nº </w:t>
      </w:r>
      <w:r w:rsidRPr="00CC6E99">
        <w:rPr>
          <w:rFonts w:ascii="Times New Roman" w:hAnsi="Times New Roman" w:cs="Times New Roman"/>
          <w:sz w:val="24"/>
          <w:szCs w:val="24"/>
          <w:lang w:val="es-ES_tradnl"/>
        </w:rPr>
        <w:t>2.689, de 2000, (art. 8</w:t>
      </w:r>
      <w:r w:rsidRPr="00CC6E99">
        <w:rPr>
          <w:rFonts w:ascii="Times New Roman" w:hAnsi="Times New Roman" w:cs="Times New Roman"/>
          <w:sz w:val="24"/>
          <w:szCs w:val="24"/>
        </w:rPr>
        <w:t xml:space="preserve">º, §1º) e sugere que </w:t>
      </w:r>
      <w:r w:rsidR="008737DF" w:rsidRPr="00CC6E99">
        <w:rPr>
          <w:rFonts w:ascii="Times New Roman" w:hAnsi="Times New Roman" w:cs="Times New Roman"/>
          <w:sz w:val="24"/>
          <w:szCs w:val="24"/>
        </w:rPr>
        <w:t>ela seja</w:t>
      </w:r>
      <w:r w:rsidRPr="00CC6E99">
        <w:rPr>
          <w:rFonts w:ascii="Times New Roman" w:hAnsi="Times New Roman" w:cs="Times New Roman"/>
          <w:sz w:val="24"/>
          <w:szCs w:val="24"/>
        </w:rPr>
        <w:t xml:space="preserve"> replicada na nova Instrução.</w:t>
      </w:r>
    </w:p>
    <w:p w:rsidR="00D9084C" w:rsidRPr="00CC6E99" w:rsidRDefault="00D9084C">
      <w:pPr>
        <w:pStyle w:val="CorpoA"/>
        <w:widowControl w:val="0"/>
        <w:spacing w:after="0" w:line="312" w:lineRule="auto"/>
        <w:ind w:firstLine="709"/>
        <w:jc w:val="both"/>
        <w:rPr>
          <w:rFonts w:ascii="Times New Roman" w:eastAsia="Times New Roman" w:hAnsi="Times New Roman" w:cs="Times New Roman"/>
          <w:sz w:val="24"/>
          <w:szCs w:val="24"/>
        </w:rPr>
      </w:pPr>
    </w:p>
    <w:tbl>
      <w:tblPr>
        <w:tblStyle w:val="TableNormal"/>
        <w:tblW w:w="1019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199"/>
      </w:tblGrid>
      <w:tr w:rsidR="00D9084C" w:rsidRPr="00AF4AA5" w:rsidTr="00C62139">
        <w:trPr>
          <w:trHeight w:val="2164"/>
        </w:trPr>
        <w:tc>
          <w:tcPr>
            <w:tcW w:w="10199"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 xml:space="preserve">A doação é um evento excepcional, </w:t>
            </w:r>
            <w:r w:rsidR="008737DF" w:rsidRPr="00CC6E99">
              <w:rPr>
                <w:rFonts w:ascii="Times New Roman" w:hAnsi="Times New Roman" w:cs="Times New Roman"/>
                <w:sz w:val="24"/>
                <w:szCs w:val="24"/>
              </w:rPr>
              <w:t xml:space="preserve">não recorrente, </w:t>
            </w:r>
            <w:r w:rsidRPr="00CC6E99">
              <w:rPr>
                <w:rFonts w:ascii="Times New Roman" w:hAnsi="Times New Roman" w:cs="Times New Roman"/>
                <w:sz w:val="24"/>
                <w:szCs w:val="24"/>
              </w:rPr>
              <w:t xml:space="preserve">sendo mais conveniente que seja analisado mediante pedido prévio. O caso da sucessão causa mortis </w:t>
            </w:r>
            <w:r w:rsidR="00C62139">
              <w:rPr>
                <w:rFonts w:ascii="Times New Roman" w:hAnsi="Times New Roman" w:cs="Times New Roman"/>
                <w:sz w:val="24"/>
                <w:szCs w:val="24"/>
              </w:rPr>
              <w:t xml:space="preserve">já está tratado </w:t>
            </w:r>
            <w:r w:rsidR="00111601">
              <w:rPr>
                <w:rFonts w:ascii="Times New Roman" w:hAnsi="Times New Roman" w:cs="Times New Roman"/>
                <w:sz w:val="24"/>
                <w:szCs w:val="24"/>
              </w:rPr>
              <w:t>no atual inciso I do art. 2</w:t>
            </w:r>
            <w:r w:rsidR="004C2774">
              <w:rPr>
                <w:rFonts w:ascii="Times New Roman" w:hAnsi="Times New Roman" w:cs="Times New Roman"/>
                <w:sz w:val="24"/>
                <w:szCs w:val="24"/>
              </w:rPr>
              <w:t>0</w:t>
            </w:r>
            <w:r w:rsidR="00111601">
              <w:rPr>
                <w:rFonts w:ascii="Times New Roman" w:hAnsi="Times New Roman" w:cs="Times New Roman"/>
                <w:sz w:val="24"/>
                <w:szCs w:val="24"/>
              </w:rPr>
              <w:t xml:space="preserve"> da norma</w:t>
            </w:r>
            <w:r w:rsidRPr="00CC6E99">
              <w:rPr>
                <w:rFonts w:ascii="Times New Roman" w:hAnsi="Times New Roman" w:cs="Times New Roman"/>
                <w:sz w:val="24"/>
                <w:szCs w:val="24"/>
              </w:rPr>
              <w:t>.</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rPr>
              <w:t>A hipótese relativa à negociação com índices referenciados em valores mobiliários existente na Resolução CMN nº 2689, de 2000, não foi incorporada, pois esses índices, embora utilizados como referência em alguns ativos, não são sujeitos à negociação.</w:t>
            </w:r>
          </w:p>
        </w:tc>
      </w:tr>
    </w:tbl>
    <w:p w:rsidR="00D9084C" w:rsidRPr="00CC6E99" w:rsidRDefault="00D9084C" w:rsidP="00CB3B28">
      <w:pPr>
        <w:pStyle w:val="CorpoA"/>
        <w:widowControl w:val="0"/>
        <w:spacing w:before="120" w:after="0" w:line="240" w:lineRule="auto"/>
        <w:ind w:firstLine="709"/>
        <w:jc w:val="both"/>
        <w:rPr>
          <w:rFonts w:ascii="Times New Roman" w:eastAsia="Times New Roman" w:hAnsi="Times New Roman" w:cs="Times New Roman"/>
          <w:sz w:val="24"/>
          <w:szCs w:val="24"/>
        </w:rPr>
      </w:pPr>
    </w:p>
    <w:p w:rsidR="00D9084C" w:rsidRPr="00CC6E99" w:rsidRDefault="005607BA">
      <w:pPr>
        <w:pStyle w:val="Ttulo3"/>
        <w:spacing w:before="0"/>
        <w:rPr>
          <w:rFonts w:hAnsi="Times New Roman" w:cs="Times New Roman"/>
        </w:rPr>
      </w:pPr>
      <w:r w:rsidRPr="00CC6E99">
        <w:rPr>
          <w:rFonts w:hAnsi="Times New Roman" w:cs="Times New Roman"/>
        </w:rPr>
        <w:t>3.1.</w:t>
      </w:r>
      <w:r w:rsidR="004C2774">
        <w:rPr>
          <w:rFonts w:hAnsi="Times New Roman" w:cs="Times New Roman"/>
        </w:rPr>
        <w:t>11</w:t>
      </w:r>
      <w:r w:rsidR="009C73A3">
        <w:rPr>
          <w:rFonts w:hAnsi="Times New Roman" w:cs="Times New Roman"/>
        </w:rPr>
        <w:t>.</w:t>
      </w:r>
      <w:r w:rsidRPr="00CC6E99">
        <w:rPr>
          <w:rFonts w:hAnsi="Times New Roman" w:cs="Times New Roman"/>
        </w:rPr>
        <w:tab/>
        <w:t>Transferências entre Investidores Não Residentes</w:t>
      </w:r>
      <w:r w:rsidR="005C6B00" w:rsidRPr="00CC6E99">
        <w:rPr>
          <w:rFonts w:hAnsi="Times New Roman" w:cs="Times New Roman"/>
        </w:rPr>
        <w:t xml:space="preserve"> – art. 19</w:t>
      </w:r>
      <w:r w:rsidRPr="00CC6E99">
        <w:rPr>
          <w:rFonts w:hAnsi="Times New Roman" w:cs="Times New Roman"/>
        </w:rPr>
        <w:t xml:space="preserve"> (</w:t>
      </w:r>
      <w:r w:rsidR="005C6B00" w:rsidRPr="00CC6E99">
        <w:rPr>
          <w:rFonts w:hAnsi="Times New Roman" w:cs="Times New Roman"/>
        </w:rPr>
        <w:t xml:space="preserve">atual </w:t>
      </w:r>
      <w:r w:rsidRPr="00CC6E99">
        <w:rPr>
          <w:rFonts w:hAnsi="Times New Roman" w:cs="Times New Roman"/>
        </w:rPr>
        <w:t>art. 2</w:t>
      </w:r>
      <w:r w:rsidR="004C2774">
        <w:rPr>
          <w:rFonts w:hAnsi="Times New Roman" w:cs="Times New Roman"/>
        </w:rPr>
        <w:t>0</w:t>
      </w:r>
      <w:r w:rsidRPr="00CC6E99">
        <w:rPr>
          <w:rFonts w:hAnsi="Times New Roman" w:cs="Times New Roman"/>
        </w:rPr>
        <w:t>)</w:t>
      </w:r>
    </w:p>
    <w:p w:rsidR="00CB3B28" w:rsidRPr="00CC6E99" w:rsidRDefault="00CB3B28">
      <w:pPr>
        <w:pStyle w:val="CorpoA"/>
        <w:spacing w:after="0" w:line="312" w:lineRule="auto"/>
        <w:ind w:firstLine="709"/>
        <w:jc w:val="both"/>
        <w:rPr>
          <w:rFonts w:ascii="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A ANBIMA propõe a exclusã</w:t>
      </w:r>
      <w:r w:rsidRPr="00CC6E99">
        <w:rPr>
          <w:rFonts w:ascii="Times New Roman" w:hAnsi="Times New Roman" w:cs="Times New Roman"/>
          <w:sz w:val="24"/>
          <w:szCs w:val="24"/>
          <w:lang w:val="es-ES_tradnl"/>
        </w:rPr>
        <w:t xml:space="preserve">o da </w:t>
      </w:r>
      <w:proofErr w:type="spellStart"/>
      <w:r w:rsidRPr="00CC6E99">
        <w:rPr>
          <w:rFonts w:ascii="Times New Roman" w:hAnsi="Times New Roman" w:cs="Times New Roman"/>
          <w:sz w:val="24"/>
          <w:szCs w:val="24"/>
          <w:lang w:val="es-ES_tradnl"/>
        </w:rPr>
        <w:t>expressão</w:t>
      </w:r>
      <w:proofErr w:type="spellEnd"/>
      <w:r w:rsidRPr="00CC6E99">
        <w:rPr>
          <w:rFonts w:ascii="Times New Roman" w:hAnsi="Times New Roman" w:cs="Times New Roman"/>
          <w:sz w:val="24"/>
          <w:szCs w:val="24"/>
          <w:lang w:val="es-ES_tradnl"/>
        </w:rPr>
        <w:t xml:space="preserve"> </w:t>
      </w:r>
      <w:r w:rsidRPr="00CC6E99">
        <w:rPr>
          <w:rFonts w:ascii="Times New Roman" w:hAnsi="Times New Roman" w:cs="Times New Roman"/>
          <w:sz w:val="24"/>
          <w:szCs w:val="24"/>
        </w:rPr>
        <w:t>“</w:t>
      </w:r>
      <w:r w:rsidRPr="00CC6E99">
        <w:rPr>
          <w:rFonts w:ascii="Times New Roman" w:hAnsi="Times New Roman" w:cs="Times New Roman"/>
          <w:sz w:val="24"/>
          <w:szCs w:val="24"/>
          <w:lang w:val="es-ES_tradnl"/>
        </w:rPr>
        <w:t>excepcionalmente</w:t>
      </w:r>
      <w:r w:rsidRPr="00CC6E99">
        <w:rPr>
          <w:rFonts w:ascii="Times New Roman" w:hAnsi="Times New Roman" w:cs="Times New Roman"/>
          <w:sz w:val="24"/>
          <w:szCs w:val="24"/>
        </w:rPr>
        <w:t xml:space="preserve">” na redação do </w:t>
      </w:r>
      <w:r w:rsidRPr="00CC6E99">
        <w:rPr>
          <w:rFonts w:ascii="Times New Roman" w:hAnsi="Times New Roman" w:cs="Times New Roman"/>
          <w:b/>
          <w:bCs/>
          <w:sz w:val="24"/>
          <w:szCs w:val="24"/>
        </w:rPr>
        <w:t>caput</w:t>
      </w:r>
      <w:r w:rsidRPr="00CC6E99">
        <w:rPr>
          <w:rFonts w:ascii="Times New Roman" w:hAnsi="Times New Roman" w:cs="Times New Roman"/>
          <w:sz w:val="24"/>
          <w:szCs w:val="24"/>
        </w:rPr>
        <w:t xml:space="preserve"> por entender desnecessária. Ademai</w:t>
      </w:r>
      <w:r w:rsidR="00CE6D40" w:rsidRPr="00CC6E99">
        <w:rPr>
          <w:rFonts w:ascii="Times New Roman" w:hAnsi="Times New Roman" w:cs="Times New Roman"/>
          <w:sz w:val="24"/>
          <w:szCs w:val="24"/>
        </w:rPr>
        <w:t>s, sugere a supressão da menção</w:t>
      </w:r>
      <w:r w:rsidRPr="00CC6E99">
        <w:rPr>
          <w:rFonts w:ascii="Times New Roman" w:hAnsi="Times New Roman" w:cs="Times New Roman"/>
          <w:sz w:val="24"/>
          <w:szCs w:val="24"/>
        </w:rPr>
        <w:t xml:space="preserve"> à custódia no mesmo artigo para que a redaçã</w:t>
      </w:r>
      <w:r w:rsidRPr="00CC6E99">
        <w:rPr>
          <w:rFonts w:ascii="Times New Roman" w:hAnsi="Times New Roman" w:cs="Times New Roman"/>
          <w:sz w:val="24"/>
          <w:szCs w:val="24"/>
          <w:lang w:val="it-IT"/>
        </w:rPr>
        <w:t>o permane</w:t>
      </w:r>
      <w:r w:rsidRPr="00CC6E99">
        <w:rPr>
          <w:rFonts w:ascii="Times New Roman" w:hAnsi="Times New Roman" w:cs="Times New Roman"/>
          <w:sz w:val="24"/>
          <w:szCs w:val="24"/>
        </w:rPr>
        <w:t>ça genérica, uma vez que podem ser admitidas transferê</w:t>
      </w:r>
      <w:proofErr w:type="spellStart"/>
      <w:r w:rsidRPr="00CC6E99">
        <w:rPr>
          <w:rFonts w:ascii="Times New Roman" w:hAnsi="Times New Roman" w:cs="Times New Roman"/>
          <w:sz w:val="24"/>
          <w:szCs w:val="24"/>
          <w:lang w:val="es-ES_tradnl"/>
        </w:rPr>
        <w:t>ncias</w:t>
      </w:r>
      <w:proofErr w:type="spellEnd"/>
      <w:r w:rsidRPr="00CC6E99">
        <w:rPr>
          <w:rFonts w:ascii="Times New Roman" w:hAnsi="Times New Roman" w:cs="Times New Roman"/>
          <w:sz w:val="24"/>
          <w:szCs w:val="24"/>
          <w:lang w:val="es-ES_tradnl"/>
        </w:rPr>
        <w:t xml:space="preserve"> de </w:t>
      </w:r>
      <w:proofErr w:type="spellStart"/>
      <w:r w:rsidRPr="00CC6E99">
        <w:rPr>
          <w:rFonts w:ascii="Times New Roman" w:hAnsi="Times New Roman" w:cs="Times New Roman"/>
          <w:sz w:val="24"/>
          <w:szCs w:val="24"/>
          <w:lang w:val="es-ES_tradnl"/>
        </w:rPr>
        <w:t>posi</w:t>
      </w:r>
      <w:proofErr w:type="spellEnd"/>
      <w:r w:rsidRPr="00CC6E99">
        <w:rPr>
          <w:rFonts w:ascii="Times New Roman" w:hAnsi="Times New Roman" w:cs="Times New Roman"/>
          <w:sz w:val="24"/>
          <w:szCs w:val="24"/>
        </w:rPr>
        <w:t>ção perante representantes, além de posiçã</w:t>
      </w:r>
      <w:r w:rsidRPr="00CC6E99">
        <w:rPr>
          <w:rFonts w:ascii="Times New Roman" w:hAnsi="Times New Roman" w:cs="Times New Roman"/>
          <w:sz w:val="24"/>
          <w:szCs w:val="24"/>
          <w:lang w:val="es-ES_tradnl"/>
        </w:rPr>
        <w:t xml:space="preserve">o de </w:t>
      </w:r>
      <w:proofErr w:type="spellStart"/>
      <w:r w:rsidRPr="00CC6E99">
        <w:rPr>
          <w:rFonts w:ascii="Times New Roman" w:hAnsi="Times New Roman" w:cs="Times New Roman"/>
          <w:sz w:val="24"/>
          <w:szCs w:val="24"/>
          <w:lang w:val="es-ES_tradnl"/>
        </w:rPr>
        <w:t>cust</w:t>
      </w:r>
      <w:proofErr w:type="spellEnd"/>
      <w:r w:rsidRPr="00CC6E99">
        <w:rPr>
          <w:rFonts w:ascii="Times New Roman" w:hAnsi="Times New Roman" w:cs="Times New Roman"/>
          <w:sz w:val="24"/>
          <w:szCs w:val="24"/>
        </w:rPr>
        <w:t>ódia.</w:t>
      </w:r>
    </w:p>
    <w:p w:rsidR="00D9084C" w:rsidRPr="00CC6E99" w:rsidRDefault="005607BA">
      <w:pPr>
        <w:pStyle w:val="CorpoA"/>
        <w:spacing w:after="0" w:line="312" w:lineRule="auto"/>
        <w:ind w:left="709"/>
        <w:jc w:val="both"/>
        <w:rPr>
          <w:rFonts w:ascii="Times New Roman" w:eastAsia="Times New Roman" w:hAnsi="Times New Roman" w:cs="Times New Roman"/>
          <w:sz w:val="24"/>
          <w:szCs w:val="24"/>
        </w:rPr>
      </w:pPr>
      <w:r w:rsidRPr="00CC6E99">
        <w:rPr>
          <w:rFonts w:ascii="Times New Roman" w:hAnsi="Times New Roman" w:cs="Times New Roman"/>
          <w:i/>
          <w:iCs/>
          <w:sz w:val="24"/>
          <w:szCs w:val="24"/>
        </w:rPr>
        <w:t xml:space="preserve"> </w:t>
      </w: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561468">
        <w:rPr>
          <w:rFonts w:ascii="Times New Roman" w:hAnsi="Times New Roman" w:cs="Times New Roman"/>
          <w:sz w:val="24"/>
          <w:szCs w:val="24"/>
        </w:rPr>
        <w:t>A BM&amp;FBOVESPA, por sua vez, sugere substituir o termo “</w:t>
      </w:r>
      <w:r w:rsidRPr="00561468">
        <w:rPr>
          <w:rFonts w:ascii="Times New Roman" w:hAnsi="Times New Roman" w:cs="Times New Roman"/>
          <w:sz w:val="24"/>
          <w:szCs w:val="24"/>
          <w:lang w:val="es-ES_tradnl"/>
        </w:rPr>
        <w:t>excepcionalmente</w:t>
      </w:r>
      <w:r w:rsidRPr="00561468">
        <w:rPr>
          <w:rFonts w:ascii="Times New Roman" w:hAnsi="Times New Roman" w:cs="Times New Roman"/>
          <w:sz w:val="24"/>
          <w:szCs w:val="24"/>
        </w:rPr>
        <w:t>” pela expressão “sem prejuí</w:t>
      </w:r>
      <w:r w:rsidRPr="00561468">
        <w:rPr>
          <w:rFonts w:ascii="Times New Roman" w:hAnsi="Times New Roman" w:cs="Times New Roman"/>
          <w:sz w:val="24"/>
          <w:szCs w:val="24"/>
          <w:lang w:val="it-IT"/>
        </w:rPr>
        <w:t>zo da concess</w:t>
      </w:r>
      <w:r w:rsidRPr="00561468">
        <w:rPr>
          <w:rFonts w:ascii="Times New Roman" w:hAnsi="Times New Roman" w:cs="Times New Roman"/>
          <w:sz w:val="24"/>
          <w:szCs w:val="24"/>
        </w:rPr>
        <w:t>ão de novo registro de investidor não residente” tendo em vista que as transferê</w:t>
      </w:r>
      <w:proofErr w:type="spellStart"/>
      <w:r w:rsidRPr="00561468">
        <w:rPr>
          <w:rFonts w:ascii="Times New Roman" w:hAnsi="Times New Roman" w:cs="Times New Roman"/>
          <w:sz w:val="24"/>
          <w:szCs w:val="24"/>
          <w:lang w:val="es-ES_tradnl"/>
        </w:rPr>
        <w:t>ncias</w:t>
      </w:r>
      <w:proofErr w:type="spellEnd"/>
      <w:r w:rsidRPr="00561468">
        <w:rPr>
          <w:rFonts w:ascii="Times New Roman" w:hAnsi="Times New Roman" w:cs="Times New Roman"/>
          <w:sz w:val="24"/>
          <w:szCs w:val="24"/>
          <w:lang w:val="es-ES_tradnl"/>
        </w:rPr>
        <w:t xml:space="preserve"> de </w:t>
      </w:r>
      <w:proofErr w:type="spellStart"/>
      <w:r w:rsidRPr="00561468">
        <w:rPr>
          <w:rFonts w:ascii="Times New Roman" w:hAnsi="Times New Roman" w:cs="Times New Roman"/>
          <w:sz w:val="24"/>
          <w:szCs w:val="24"/>
          <w:lang w:val="es-ES_tradnl"/>
        </w:rPr>
        <w:t>posi</w:t>
      </w:r>
      <w:proofErr w:type="spellEnd"/>
      <w:r w:rsidRPr="00561468">
        <w:rPr>
          <w:rFonts w:ascii="Times New Roman" w:hAnsi="Times New Roman" w:cs="Times New Roman"/>
          <w:sz w:val="24"/>
          <w:szCs w:val="24"/>
        </w:rPr>
        <w:t>çõ</w:t>
      </w:r>
      <w:r w:rsidRPr="00561468">
        <w:rPr>
          <w:rFonts w:ascii="Times New Roman" w:hAnsi="Times New Roman" w:cs="Times New Roman"/>
          <w:sz w:val="24"/>
          <w:szCs w:val="24"/>
          <w:lang w:val="es-ES_tradnl"/>
        </w:rPr>
        <w:t xml:space="preserve">es de </w:t>
      </w:r>
      <w:proofErr w:type="spellStart"/>
      <w:r w:rsidRPr="00561468">
        <w:rPr>
          <w:rFonts w:ascii="Times New Roman" w:hAnsi="Times New Roman" w:cs="Times New Roman"/>
          <w:sz w:val="24"/>
          <w:szCs w:val="24"/>
          <w:lang w:val="es-ES_tradnl"/>
        </w:rPr>
        <w:t>cust</w:t>
      </w:r>
      <w:proofErr w:type="spellEnd"/>
      <w:r w:rsidRPr="00561468">
        <w:rPr>
          <w:rFonts w:ascii="Times New Roman" w:hAnsi="Times New Roman" w:cs="Times New Roman"/>
          <w:sz w:val="24"/>
          <w:szCs w:val="24"/>
        </w:rPr>
        <w:t>ó</w:t>
      </w:r>
      <w:proofErr w:type="spellStart"/>
      <w:r w:rsidRPr="00561468">
        <w:rPr>
          <w:rFonts w:ascii="Times New Roman" w:hAnsi="Times New Roman" w:cs="Times New Roman"/>
          <w:sz w:val="24"/>
          <w:szCs w:val="24"/>
          <w:lang w:val="es-ES_tradnl"/>
        </w:rPr>
        <w:t>dia</w:t>
      </w:r>
      <w:proofErr w:type="spellEnd"/>
      <w:r w:rsidRPr="00561468">
        <w:rPr>
          <w:rFonts w:ascii="Times New Roman" w:hAnsi="Times New Roman" w:cs="Times New Roman"/>
          <w:sz w:val="24"/>
          <w:szCs w:val="24"/>
          <w:lang w:val="es-ES_tradnl"/>
        </w:rPr>
        <w:t xml:space="preserve"> entre </w:t>
      </w:r>
      <w:proofErr w:type="spellStart"/>
      <w:r w:rsidRPr="00561468">
        <w:rPr>
          <w:rFonts w:ascii="Times New Roman" w:hAnsi="Times New Roman" w:cs="Times New Roman"/>
          <w:sz w:val="24"/>
          <w:szCs w:val="24"/>
          <w:lang w:val="es-ES_tradnl"/>
        </w:rPr>
        <w:t>investidores</w:t>
      </w:r>
      <w:proofErr w:type="spellEnd"/>
      <w:r w:rsidRPr="00561468">
        <w:rPr>
          <w:rFonts w:ascii="Times New Roman" w:hAnsi="Times New Roman" w:cs="Times New Roman"/>
          <w:sz w:val="24"/>
          <w:szCs w:val="24"/>
          <w:lang w:val="es-ES_tradnl"/>
        </w:rPr>
        <w:t xml:space="preserve"> n</w:t>
      </w:r>
      <w:r w:rsidRPr="00561468">
        <w:rPr>
          <w:rFonts w:ascii="Times New Roman" w:hAnsi="Times New Roman" w:cs="Times New Roman"/>
          <w:sz w:val="24"/>
          <w:szCs w:val="24"/>
        </w:rPr>
        <w:t>ão residentes decorrentes de fusão, cisã</w:t>
      </w:r>
      <w:r w:rsidRPr="00561468">
        <w:rPr>
          <w:rFonts w:ascii="Times New Roman" w:hAnsi="Times New Roman" w:cs="Times New Roman"/>
          <w:sz w:val="24"/>
          <w:szCs w:val="24"/>
          <w:lang w:val="fr-FR"/>
        </w:rPr>
        <w:t>o, incorpora</w:t>
      </w:r>
      <w:r w:rsidRPr="00561468">
        <w:rPr>
          <w:rFonts w:ascii="Times New Roman" w:hAnsi="Times New Roman" w:cs="Times New Roman"/>
          <w:sz w:val="24"/>
          <w:szCs w:val="24"/>
        </w:rPr>
        <w:t>ção entre outras podem acarretar na alteração da titularidade da conta do investidor não residente, sendo necessá</w:t>
      </w:r>
      <w:proofErr w:type="spellStart"/>
      <w:r w:rsidRPr="00561468">
        <w:rPr>
          <w:rFonts w:ascii="Times New Roman" w:hAnsi="Times New Roman" w:cs="Times New Roman"/>
          <w:sz w:val="24"/>
          <w:szCs w:val="24"/>
          <w:lang w:val="es-ES_tradnl"/>
        </w:rPr>
        <w:t>ria</w:t>
      </w:r>
      <w:proofErr w:type="spellEnd"/>
      <w:r w:rsidRPr="00561468">
        <w:rPr>
          <w:rFonts w:ascii="Times New Roman" w:hAnsi="Times New Roman" w:cs="Times New Roman"/>
          <w:sz w:val="24"/>
          <w:szCs w:val="24"/>
          <w:lang w:val="es-ES_tradnl"/>
        </w:rPr>
        <w:t xml:space="preserve"> a </w:t>
      </w:r>
      <w:proofErr w:type="spellStart"/>
      <w:r w:rsidRPr="00561468">
        <w:rPr>
          <w:rFonts w:ascii="Times New Roman" w:hAnsi="Times New Roman" w:cs="Times New Roman"/>
          <w:sz w:val="24"/>
          <w:szCs w:val="24"/>
          <w:lang w:val="es-ES_tradnl"/>
        </w:rPr>
        <w:t>concess</w:t>
      </w:r>
      <w:proofErr w:type="spellEnd"/>
      <w:r w:rsidRPr="00561468">
        <w:rPr>
          <w:rFonts w:ascii="Times New Roman" w:hAnsi="Times New Roman" w:cs="Times New Roman"/>
          <w:sz w:val="24"/>
          <w:szCs w:val="24"/>
        </w:rPr>
        <w:t>ão de novo registro. Ademais sugere substituir a expressão “ocorridas no exterior”, por “oriundas do exterior” e a expressão “alterações societárias”, por “operações societárias”.</w:t>
      </w:r>
    </w:p>
    <w:p w:rsidR="00D9084C" w:rsidRPr="00CC6E99" w:rsidRDefault="005607BA">
      <w:pPr>
        <w:pStyle w:val="CorpoA"/>
        <w:widowControl w:val="0"/>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 xml:space="preserve"> </w:t>
      </w:r>
    </w:p>
    <w:tbl>
      <w:tblPr>
        <w:tblStyle w:val="TableNormal"/>
        <w:tblW w:w="103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D9084C" w:rsidRPr="00AF4AA5">
        <w:trPr>
          <w:trHeight w:val="717"/>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D9084C" w:rsidRPr="00CC6E99" w:rsidRDefault="005607BA" w:rsidP="00E50CDF">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rPr>
              <w:t xml:space="preserve">As sugestões de alteração na redação foram acatadas, com exceção da sugestão referente à menção à concessão de novo registro, que </w:t>
            </w:r>
            <w:r w:rsidR="00E50CDF">
              <w:rPr>
                <w:rFonts w:ascii="Times New Roman" w:hAnsi="Times New Roman" w:cs="Times New Roman"/>
                <w:sz w:val="24"/>
                <w:szCs w:val="24"/>
              </w:rPr>
              <w:t>não</w:t>
            </w:r>
            <w:r w:rsidRPr="00CC6E99">
              <w:rPr>
                <w:rFonts w:ascii="Times New Roman" w:hAnsi="Times New Roman" w:cs="Times New Roman"/>
                <w:sz w:val="24"/>
                <w:szCs w:val="24"/>
              </w:rPr>
              <w:t xml:space="preserve"> </w:t>
            </w:r>
            <w:r w:rsidR="00E50CDF">
              <w:rPr>
                <w:rFonts w:ascii="Times New Roman" w:hAnsi="Times New Roman" w:cs="Times New Roman"/>
                <w:sz w:val="24"/>
                <w:szCs w:val="24"/>
              </w:rPr>
              <w:t xml:space="preserve">foi </w:t>
            </w:r>
            <w:r w:rsidRPr="00CC6E99">
              <w:rPr>
                <w:rFonts w:ascii="Times New Roman" w:hAnsi="Times New Roman" w:cs="Times New Roman"/>
                <w:sz w:val="24"/>
                <w:szCs w:val="24"/>
              </w:rPr>
              <w:t xml:space="preserve">entendida </w:t>
            </w:r>
            <w:r w:rsidR="00E50CDF">
              <w:rPr>
                <w:rFonts w:ascii="Times New Roman" w:hAnsi="Times New Roman" w:cs="Times New Roman"/>
                <w:sz w:val="24"/>
                <w:szCs w:val="24"/>
              </w:rPr>
              <w:t xml:space="preserve">como </w:t>
            </w:r>
            <w:r w:rsidRPr="00CC6E99">
              <w:rPr>
                <w:rFonts w:ascii="Times New Roman" w:hAnsi="Times New Roman" w:cs="Times New Roman"/>
                <w:sz w:val="24"/>
                <w:szCs w:val="24"/>
              </w:rPr>
              <w:t>necessária.</w:t>
            </w:r>
          </w:p>
        </w:tc>
      </w:tr>
    </w:tbl>
    <w:p w:rsidR="00D9084C" w:rsidRPr="00CC6E99" w:rsidRDefault="00D9084C" w:rsidP="00CB3B28">
      <w:pPr>
        <w:pStyle w:val="CorpoA"/>
        <w:widowControl w:val="0"/>
        <w:spacing w:before="120" w:after="0" w:line="240"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Ulhôa Canto propõe que o inciso I faça referência</w:t>
      </w:r>
      <w:r w:rsidR="00D23AE3" w:rsidRPr="00CC6E99">
        <w:rPr>
          <w:rFonts w:ascii="Times New Roman" w:hAnsi="Times New Roman" w:cs="Times New Roman"/>
          <w:sz w:val="24"/>
          <w:szCs w:val="24"/>
        </w:rPr>
        <w:t xml:space="preserve"> a</w:t>
      </w:r>
      <w:r w:rsidRPr="00CC6E99">
        <w:rPr>
          <w:rFonts w:ascii="Times New Roman" w:hAnsi="Times New Roman" w:cs="Times New Roman"/>
          <w:sz w:val="24"/>
          <w:szCs w:val="24"/>
        </w:rPr>
        <w:t xml:space="preserve"> “f</w:t>
      </w:r>
      <w:r w:rsidRPr="00CC6E99">
        <w:rPr>
          <w:rFonts w:ascii="Times New Roman" w:hAnsi="Times New Roman" w:cs="Times New Roman"/>
          <w:i/>
          <w:iCs/>
          <w:sz w:val="24"/>
          <w:szCs w:val="24"/>
        </w:rPr>
        <w:t>usão, cisã</w:t>
      </w:r>
      <w:r w:rsidRPr="00CC6E99">
        <w:rPr>
          <w:rFonts w:ascii="Times New Roman" w:hAnsi="Times New Roman" w:cs="Times New Roman"/>
          <w:i/>
          <w:iCs/>
          <w:sz w:val="24"/>
          <w:szCs w:val="24"/>
          <w:lang w:val="fr-FR"/>
        </w:rPr>
        <w:t>o, incorpora</w:t>
      </w:r>
      <w:r w:rsidRPr="00CC6E99">
        <w:rPr>
          <w:rFonts w:ascii="Times New Roman" w:hAnsi="Times New Roman" w:cs="Times New Roman"/>
          <w:i/>
          <w:iCs/>
          <w:sz w:val="24"/>
          <w:szCs w:val="24"/>
        </w:rPr>
        <w:t>çã</w:t>
      </w:r>
      <w:r w:rsidRPr="00CC6E99">
        <w:rPr>
          <w:rFonts w:ascii="Times New Roman" w:hAnsi="Times New Roman" w:cs="Times New Roman"/>
          <w:i/>
          <w:iCs/>
          <w:sz w:val="24"/>
          <w:szCs w:val="24"/>
          <w:lang w:val="es-ES_tradnl"/>
        </w:rPr>
        <w:t>o de a</w:t>
      </w:r>
      <w:r w:rsidRPr="00CC6E99">
        <w:rPr>
          <w:rFonts w:ascii="Times New Roman" w:hAnsi="Times New Roman" w:cs="Times New Roman"/>
          <w:i/>
          <w:iCs/>
          <w:sz w:val="24"/>
          <w:szCs w:val="24"/>
        </w:rPr>
        <w:t xml:space="preserve">ções </w:t>
      </w:r>
      <w:r w:rsidRPr="00CC6E99">
        <w:rPr>
          <w:rFonts w:ascii="Times New Roman" w:hAnsi="Times New Roman" w:cs="Times New Roman"/>
          <w:i/>
          <w:iCs/>
          <w:sz w:val="24"/>
          <w:szCs w:val="24"/>
          <w:u w:val="single"/>
        </w:rPr>
        <w:t>e demais reorganizaçõ</w:t>
      </w:r>
      <w:r w:rsidRPr="00CC6E99">
        <w:rPr>
          <w:rFonts w:ascii="Times New Roman" w:hAnsi="Times New Roman" w:cs="Times New Roman"/>
          <w:i/>
          <w:iCs/>
          <w:sz w:val="24"/>
          <w:szCs w:val="24"/>
          <w:u w:val="single"/>
          <w:lang w:val="fr-FR"/>
        </w:rPr>
        <w:t>es societ</w:t>
      </w:r>
      <w:r w:rsidRPr="00CC6E99">
        <w:rPr>
          <w:rFonts w:ascii="Times New Roman" w:hAnsi="Times New Roman" w:cs="Times New Roman"/>
          <w:i/>
          <w:iCs/>
          <w:sz w:val="24"/>
          <w:szCs w:val="24"/>
          <w:u w:val="single"/>
        </w:rPr>
        <w:t>á</w:t>
      </w:r>
      <w:proofErr w:type="spellStart"/>
      <w:r w:rsidRPr="00CC6E99">
        <w:rPr>
          <w:rFonts w:ascii="Times New Roman" w:hAnsi="Times New Roman" w:cs="Times New Roman"/>
          <w:i/>
          <w:iCs/>
          <w:sz w:val="24"/>
          <w:szCs w:val="24"/>
          <w:u w:val="single"/>
          <w:lang w:val="es-ES_tradnl"/>
        </w:rPr>
        <w:t>rias</w:t>
      </w:r>
      <w:proofErr w:type="spellEnd"/>
      <w:r w:rsidRPr="00CC6E99">
        <w:rPr>
          <w:rFonts w:ascii="Times New Roman" w:hAnsi="Times New Roman" w:cs="Times New Roman"/>
          <w:sz w:val="24"/>
          <w:szCs w:val="24"/>
        </w:rPr>
        <w:t xml:space="preserve">” para dar mais flexibilidade e evitar que transferências decorrentes de </w:t>
      </w:r>
      <w:r w:rsidRPr="00CC6E99">
        <w:rPr>
          <w:rFonts w:ascii="Times New Roman" w:hAnsi="Times New Roman" w:cs="Times New Roman"/>
          <w:sz w:val="24"/>
          <w:szCs w:val="24"/>
        </w:rPr>
        <w:lastRenderedPageBreak/>
        <w:t xml:space="preserve">operações legitimamente realizadas no exterior, mas que por ventura acarretem modificação no total de ativos detidos pelos envolvidos, sejam vedadas ou dependam de autorização da CVM. </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Sugere também que a hipótese de doação seja inserida na norma, já que, assim como na hipó</w:t>
      </w:r>
      <w:r w:rsidRPr="00CC6E99">
        <w:rPr>
          <w:rFonts w:ascii="Times New Roman" w:hAnsi="Times New Roman" w:cs="Times New Roman"/>
          <w:sz w:val="24"/>
          <w:szCs w:val="24"/>
          <w:lang w:val="it-IT"/>
        </w:rPr>
        <w:t>tese de transfer</w:t>
      </w:r>
      <w:r w:rsidRPr="00CC6E99">
        <w:rPr>
          <w:rFonts w:ascii="Times New Roman" w:hAnsi="Times New Roman" w:cs="Times New Roman"/>
          <w:sz w:val="24"/>
          <w:szCs w:val="24"/>
        </w:rPr>
        <w:t xml:space="preserve">ência por sucessão </w:t>
      </w:r>
      <w:r w:rsidRPr="00CC6E99">
        <w:rPr>
          <w:rFonts w:ascii="Times New Roman" w:hAnsi="Times New Roman" w:cs="Times New Roman"/>
          <w:b/>
          <w:bCs/>
          <w:sz w:val="24"/>
          <w:szCs w:val="24"/>
          <w:lang w:val="it-IT"/>
        </w:rPr>
        <w:t>causa mortis</w:t>
      </w:r>
      <w:r w:rsidRPr="00CC6E99">
        <w:rPr>
          <w:rFonts w:ascii="Times New Roman" w:hAnsi="Times New Roman" w:cs="Times New Roman"/>
          <w:sz w:val="24"/>
          <w:szCs w:val="24"/>
        </w:rPr>
        <w:t>, não se vislumbra nesses casos propriamente uma negociação, com preço, comprador e vendedor.</w:t>
      </w:r>
    </w:p>
    <w:p w:rsidR="006D249F" w:rsidRPr="00CC6E99" w:rsidRDefault="006D249F" w:rsidP="006D249F">
      <w:pPr>
        <w:pStyle w:val="CorpoA"/>
        <w:widowControl w:val="0"/>
        <w:spacing w:after="0" w:line="312" w:lineRule="auto"/>
        <w:ind w:firstLine="709"/>
        <w:jc w:val="both"/>
        <w:rPr>
          <w:rFonts w:ascii="Times New Roman" w:eastAsia="Times New Roman" w:hAnsi="Times New Roman" w:cs="Times New Roman"/>
          <w:sz w:val="24"/>
          <w:szCs w:val="24"/>
        </w:rPr>
      </w:pPr>
    </w:p>
    <w:tbl>
      <w:tblPr>
        <w:tblStyle w:val="TableNormal"/>
        <w:tblW w:w="1019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199"/>
      </w:tblGrid>
      <w:tr w:rsidR="006D249F" w:rsidRPr="00AF4AA5" w:rsidTr="00D23AE3">
        <w:trPr>
          <w:trHeight w:val="1314"/>
        </w:trPr>
        <w:tc>
          <w:tcPr>
            <w:tcW w:w="10199"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6D249F" w:rsidRPr="00CC6E99" w:rsidRDefault="006D249F" w:rsidP="00ED68CE">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rPr>
              <w:t>A permissão para transferências entre investidores não residentes decorrentes de qualquer operação societária ampliaria em demasia os limites da autorização, não sendo conveniente para os fins a que a norma se destina. A hipótese de doação é um evento excepcional, não recorrente, sendo mais conveniente que seja analisado mediante pedido prévio.</w:t>
            </w:r>
          </w:p>
        </w:tc>
      </w:tr>
    </w:tbl>
    <w:p w:rsidR="00D9084C" w:rsidRPr="00CC6E99" w:rsidRDefault="00D9084C" w:rsidP="00D23AE3">
      <w:pPr>
        <w:pStyle w:val="CorpoA"/>
        <w:widowControl w:val="0"/>
        <w:spacing w:after="0" w:line="312" w:lineRule="auto"/>
        <w:ind w:firstLine="709"/>
        <w:jc w:val="both"/>
        <w:rPr>
          <w:rFonts w:ascii="Times New Roman" w:eastAsia="Times New Roman" w:hAnsi="Times New Roman" w:cs="Times New Roman"/>
          <w:sz w:val="24"/>
          <w:szCs w:val="24"/>
        </w:rPr>
      </w:pPr>
    </w:p>
    <w:p w:rsidR="00695FCA" w:rsidRDefault="005607BA" w:rsidP="00695FCA">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rPr>
        <w:t>A ANBIMA argumenta que a hipótese do inciso II, que remete a situações objeto da Deliberação CVM nº 532, de 29 de janeiro de 2008, parece ser suficientemente ampla para gerar insegurança nos prestadores de serviço, sobretudo no caso de alteraçõ</w:t>
      </w:r>
      <w:r w:rsidRPr="00CC6E99">
        <w:rPr>
          <w:rFonts w:ascii="Times New Roman" w:hAnsi="Times New Roman" w:cs="Times New Roman"/>
          <w:sz w:val="24"/>
          <w:szCs w:val="24"/>
          <w:lang w:val="fr-FR"/>
        </w:rPr>
        <w:t>es societ</w:t>
      </w:r>
      <w:r w:rsidRPr="00CC6E99">
        <w:rPr>
          <w:rFonts w:ascii="Times New Roman" w:hAnsi="Times New Roman" w:cs="Times New Roman"/>
          <w:sz w:val="24"/>
          <w:szCs w:val="24"/>
        </w:rPr>
        <w:t>á</w:t>
      </w:r>
      <w:proofErr w:type="spellStart"/>
      <w:r w:rsidRPr="00CC6E99">
        <w:rPr>
          <w:rFonts w:ascii="Times New Roman" w:hAnsi="Times New Roman" w:cs="Times New Roman"/>
          <w:sz w:val="24"/>
          <w:szCs w:val="24"/>
          <w:lang w:val="es-ES_tradnl"/>
        </w:rPr>
        <w:t>rias</w:t>
      </w:r>
      <w:proofErr w:type="spellEnd"/>
      <w:r w:rsidRPr="00CC6E99">
        <w:rPr>
          <w:rFonts w:ascii="Times New Roman" w:hAnsi="Times New Roman" w:cs="Times New Roman"/>
          <w:sz w:val="24"/>
          <w:szCs w:val="24"/>
          <w:lang w:val="es-ES_tradnl"/>
        </w:rPr>
        <w:t xml:space="preserve"> que n</w:t>
      </w:r>
      <w:r w:rsidRPr="00CC6E99">
        <w:rPr>
          <w:rFonts w:ascii="Times New Roman" w:hAnsi="Times New Roman" w:cs="Times New Roman"/>
          <w:sz w:val="24"/>
          <w:szCs w:val="24"/>
        </w:rPr>
        <w:t>ão são comumente realizadas e são regidas por leis estrangeiras. Para evitar questionamentos posteriores e as consequências de eventual revogação da transferê</w:t>
      </w:r>
      <w:proofErr w:type="spellStart"/>
      <w:r w:rsidRPr="00CC6E99">
        <w:rPr>
          <w:rFonts w:ascii="Times New Roman" w:hAnsi="Times New Roman" w:cs="Times New Roman"/>
          <w:sz w:val="24"/>
          <w:szCs w:val="24"/>
          <w:lang w:val="es-ES_tradnl"/>
        </w:rPr>
        <w:t>ncia</w:t>
      </w:r>
      <w:proofErr w:type="spellEnd"/>
      <w:r w:rsidRPr="00CC6E99">
        <w:rPr>
          <w:rFonts w:ascii="Times New Roman" w:hAnsi="Times New Roman" w:cs="Times New Roman"/>
          <w:sz w:val="24"/>
          <w:szCs w:val="24"/>
          <w:lang w:val="es-ES_tradnl"/>
        </w:rPr>
        <w:t xml:space="preserve"> </w:t>
      </w:r>
      <w:proofErr w:type="spellStart"/>
      <w:r w:rsidRPr="00CC6E99">
        <w:rPr>
          <w:rFonts w:ascii="Times New Roman" w:hAnsi="Times New Roman" w:cs="Times New Roman"/>
          <w:sz w:val="24"/>
          <w:szCs w:val="24"/>
          <w:lang w:val="es-ES_tradnl"/>
        </w:rPr>
        <w:t>ap</w:t>
      </w:r>
      <w:proofErr w:type="spellEnd"/>
      <w:r w:rsidRPr="00CC6E99">
        <w:rPr>
          <w:rFonts w:ascii="Times New Roman" w:hAnsi="Times New Roman" w:cs="Times New Roman"/>
          <w:sz w:val="24"/>
          <w:szCs w:val="24"/>
        </w:rPr>
        <w:t xml:space="preserve">ós a negociação dos ativos pelo cessionário, a participante sugere, nestes casos, que se mantenha a prévia autorização da CVM. </w:t>
      </w:r>
    </w:p>
    <w:p w:rsidR="00695FCA" w:rsidRDefault="00695FCA" w:rsidP="00695FCA">
      <w:pPr>
        <w:pStyle w:val="CorpoA"/>
        <w:spacing w:after="0" w:line="312" w:lineRule="auto"/>
        <w:ind w:firstLine="709"/>
        <w:jc w:val="both"/>
        <w:rPr>
          <w:rFonts w:ascii="Times New Roman" w:hAnsi="Times New Roman" w:cs="Times New Roman"/>
          <w:sz w:val="24"/>
          <w:szCs w:val="24"/>
        </w:rPr>
      </w:pPr>
    </w:p>
    <w:p w:rsidR="00695FCA" w:rsidRPr="00CC6E99" w:rsidRDefault="00695FCA" w:rsidP="00695FCA">
      <w:pPr>
        <w:pStyle w:val="CorpoA"/>
        <w:spacing w:after="0" w:line="312" w:lineRule="auto"/>
        <w:ind w:firstLine="709"/>
        <w:jc w:val="both"/>
        <w:rPr>
          <w:rFonts w:ascii="Times New Roman" w:eastAsia="Times New Roman" w:hAnsi="Times New Roman" w:cs="Times New Roman"/>
          <w:sz w:val="24"/>
          <w:szCs w:val="24"/>
        </w:rPr>
      </w:pPr>
      <w:proofErr w:type="spellStart"/>
      <w:r w:rsidRPr="00CC6E99">
        <w:rPr>
          <w:rFonts w:ascii="Times New Roman" w:hAnsi="Times New Roman" w:cs="Times New Roman"/>
          <w:sz w:val="24"/>
          <w:szCs w:val="24"/>
          <w:lang w:val="es-ES_tradnl"/>
        </w:rPr>
        <w:t>Tamb</w:t>
      </w:r>
      <w:proofErr w:type="spellEnd"/>
      <w:r w:rsidRPr="00CC6E99">
        <w:rPr>
          <w:rFonts w:ascii="Times New Roman" w:hAnsi="Times New Roman" w:cs="Times New Roman"/>
          <w:sz w:val="24"/>
          <w:szCs w:val="24"/>
        </w:rPr>
        <w:t>ém com o objetivo de proporcionar segurança com relação à regularidade e à legitimidade das transferências realizadas ao amparo da disposição, a ANBIMA sugere a inclusão de novo parágrafo que disponha que o representante pode solicitar aos investidores documentos adicionais sobre a transferê</w:t>
      </w:r>
      <w:proofErr w:type="spellStart"/>
      <w:r w:rsidRPr="00CC6E99">
        <w:rPr>
          <w:rFonts w:ascii="Times New Roman" w:hAnsi="Times New Roman" w:cs="Times New Roman"/>
          <w:sz w:val="24"/>
          <w:szCs w:val="24"/>
          <w:lang w:val="es-ES_tradnl"/>
        </w:rPr>
        <w:t>ncia</w:t>
      </w:r>
      <w:proofErr w:type="spellEnd"/>
      <w:r w:rsidRPr="00CC6E99">
        <w:rPr>
          <w:rFonts w:ascii="Times New Roman" w:hAnsi="Times New Roman" w:cs="Times New Roman"/>
          <w:sz w:val="24"/>
          <w:szCs w:val="24"/>
          <w:lang w:val="es-ES_tradnl"/>
        </w:rPr>
        <w:t xml:space="preserve">, inclusive </w:t>
      </w:r>
      <w:proofErr w:type="spellStart"/>
      <w:r w:rsidRPr="00CC6E99">
        <w:rPr>
          <w:rFonts w:ascii="Times New Roman" w:hAnsi="Times New Roman" w:cs="Times New Roman"/>
          <w:sz w:val="24"/>
          <w:szCs w:val="24"/>
          <w:lang w:val="es-ES_tradnl"/>
        </w:rPr>
        <w:t>opini</w:t>
      </w:r>
      <w:proofErr w:type="spellEnd"/>
      <w:r w:rsidRPr="00CC6E99">
        <w:rPr>
          <w:rFonts w:ascii="Times New Roman" w:hAnsi="Times New Roman" w:cs="Times New Roman"/>
          <w:sz w:val="24"/>
          <w:szCs w:val="24"/>
        </w:rPr>
        <w:t>ões legais, que sejam necessários para aferir a conformidade das transferências com as hipóteses autorizadas na norma.</w:t>
      </w:r>
    </w:p>
    <w:p w:rsidR="00D9084C" w:rsidRPr="00CC6E99" w:rsidRDefault="00D9084C" w:rsidP="00D23AE3">
      <w:pPr>
        <w:pStyle w:val="CorpoA"/>
        <w:widowControl w:val="0"/>
        <w:spacing w:after="0" w:line="312" w:lineRule="auto"/>
        <w:ind w:firstLine="709"/>
        <w:jc w:val="both"/>
        <w:rPr>
          <w:rFonts w:ascii="Times New Roman" w:eastAsia="Times New Roman" w:hAnsi="Times New Roman" w:cs="Times New Roman"/>
          <w:sz w:val="24"/>
          <w:szCs w:val="24"/>
        </w:rPr>
      </w:pPr>
    </w:p>
    <w:tbl>
      <w:tblPr>
        <w:tblStyle w:val="TableNormal"/>
        <w:tblW w:w="1019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199"/>
      </w:tblGrid>
      <w:tr w:rsidR="00D9084C" w:rsidRPr="00AF4AA5" w:rsidTr="00CE3E58">
        <w:trPr>
          <w:trHeight w:val="17"/>
        </w:trPr>
        <w:tc>
          <w:tcPr>
            <w:tcW w:w="10199"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695FCA" w:rsidRDefault="00456F3B" w:rsidP="00796B1C">
            <w:pPr>
              <w:pStyle w:val="CorpoA"/>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As sugestões não foram consideradas válidas. </w:t>
            </w:r>
            <w:r w:rsidR="00714958">
              <w:rPr>
                <w:rFonts w:ascii="Times New Roman" w:hAnsi="Times New Roman" w:cs="Times New Roman"/>
                <w:sz w:val="24"/>
                <w:szCs w:val="24"/>
              </w:rPr>
              <w:t>O atual</w:t>
            </w:r>
            <w:r w:rsidR="008254EB">
              <w:rPr>
                <w:rFonts w:ascii="Times New Roman" w:hAnsi="Times New Roman" w:cs="Times New Roman"/>
                <w:sz w:val="24"/>
                <w:szCs w:val="24"/>
              </w:rPr>
              <w:t xml:space="preserve"> inciso</w:t>
            </w:r>
            <w:r w:rsidR="00E94B2A">
              <w:rPr>
                <w:rFonts w:ascii="Times New Roman" w:hAnsi="Times New Roman" w:cs="Times New Roman"/>
                <w:sz w:val="24"/>
                <w:szCs w:val="24"/>
              </w:rPr>
              <w:t xml:space="preserve"> II do art</w:t>
            </w:r>
            <w:r w:rsidR="00714958">
              <w:rPr>
                <w:rFonts w:ascii="Times New Roman" w:hAnsi="Times New Roman" w:cs="Times New Roman"/>
                <w:sz w:val="24"/>
                <w:szCs w:val="24"/>
              </w:rPr>
              <w:t>.</w:t>
            </w:r>
            <w:r w:rsidR="00E94B2A">
              <w:rPr>
                <w:rFonts w:ascii="Times New Roman" w:hAnsi="Times New Roman" w:cs="Times New Roman"/>
                <w:sz w:val="24"/>
                <w:szCs w:val="24"/>
              </w:rPr>
              <w:t xml:space="preserve"> 2</w:t>
            </w:r>
            <w:r w:rsidR="00AF4AA5">
              <w:rPr>
                <w:rFonts w:ascii="Times New Roman" w:hAnsi="Times New Roman" w:cs="Times New Roman"/>
                <w:sz w:val="24"/>
                <w:szCs w:val="24"/>
              </w:rPr>
              <w:t>0</w:t>
            </w:r>
            <w:r w:rsidR="00E94B2A">
              <w:rPr>
                <w:rFonts w:ascii="Times New Roman" w:hAnsi="Times New Roman" w:cs="Times New Roman"/>
                <w:sz w:val="24"/>
                <w:szCs w:val="24"/>
              </w:rPr>
              <w:t xml:space="preserve"> abrange as situações que já eram objeto da delegação </w:t>
            </w:r>
            <w:r w:rsidR="00714958">
              <w:rPr>
                <w:rFonts w:ascii="Times New Roman" w:hAnsi="Times New Roman" w:cs="Times New Roman"/>
                <w:sz w:val="24"/>
                <w:szCs w:val="24"/>
              </w:rPr>
              <w:t xml:space="preserve">do Colegiado </w:t>
            </w:r>
            <w:r w:rsidR="00E94B2A">
              <w:rPr>
                <w:rFonts w:ascii="Times New Roman" w:hAnsi="Times New Roman" w:cs="Times New Roman"/>
                <w:sz w:val="24"/>
                <w:szCs w:val="24"/>
              </w:rPr>
              <w:t xml:space="preserve">prevista na </w:t>
            </w:r>
            <w:r w:rsidR="00E94B2A" w:rsidRPr="00CC6E99">
              <w:rPr>
                <w:rFonts w:ascii="Times New Roman" w:hAnsi="Times New Roman" w:cs="Times New Roman"/>
                <w:sz w:val="24"/>
                <w:szCs w:val="24"/>
              </w:rPr>
              <w:t>Deliberação CVM nº 532, de 29 de janeiro de 2008</w:t>
            </w:r>
            <w:r w:rsidR="008254EB">
              <w:rPr>
                <w:rFonts w:ascii="Times New Roman" w:hAnsi="Times New Roman" w:cs="Times New Roman"/>
                <w:sz w:val="24"/>
                <w:szCs w:val="24"/>
              </w:rPr>
              <w:t>.</w:t>
            </w:r>
            <w:r w:rsidR="00E94B2A">
              <w:rPr>
                <w:rFonts w:ascii="Times New Roman" w:hAnsi="Times New Roman" w:cs="Times New Roman"/>
                <w:sz w:val="24"/>
                <w:szCs w:val="24"/>
              </w:rPr>
              <w:t xml:space="preserve"> </w:t>
            </w:r>
            <w:r w:rsidR="00714958">
              <w:rPr>
                <w:rFonts w:ascii="Times New Roman" w:hAnsi="Times New Roman" w:cs="Times New Roman"/>
                <w:sz w:val="24"/>
                <w:szCs w:val="24"/>
              </w:rPr>
              <w:t xml:space="preserve">A </w:t>
            </w:r>
            <w:r w:rsidR="008254EB">
              <w:rPr>
                <w:rFonts w:ascii="Times New Roman" w:hAnsi="Times New Roman" w:cs="Times New Roman"/>
                <w:sz w:val="24"/>
                <w:szCs w:val="24"/>
              </w:rPr>
              <w:t>CVM aperfeiçou a redação do dispositivo e entende que a redação final fornece parâmetros adequados e suficientes e para orientar a análise a ser realizada pelos representantes.</w:t>
            </w:r>
          </w:p>
          <w:p w:rsidR="008254EB" w:rsidRDefault="008254EB" w:rsidP="00796B1C">
            <w:pPr>
              <w:pStyle w:val="CorpoA"/>
              <w:spacing w:after="0" w:line="312" w:lineRule="auto"/>
              <w:ind w:firstLine="709"/>
              <w:jc w:val="both"/>
              <w:rPr>
                <w:rFonts w:ascii="Times New Roman" w:hAnsi="Times New Roman" w:cs="Times New Roman"/>
                <w:sz w:val="24"/>
                <w:szCs w:val="24"/>
              </w:rPr>
            </w:pPr>
          </w:p>
          <w:p w:rsidR="00796B1C" w:rsidRPr="00CC6E99" w:rsidRDefault="00714958" w:rsidP="004C2774">
            <w:pPr>
              <w:pStyle w:val="CorpoA"/>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Também não foi considerado necessário incluir regra dispondo</w:t>
            </w:r>
            <w:r w:rsidRPr="00CC6E99">
              <w:rPr>
                <w:rFonts w:ascii="Times New Roman" w:hAnsi="Times New Roman" w:cs="Times New Roman"/>
                <w:sz w:val="24"/>
                <w:szCs w:val="24"/>
              </w:rPr>
              <w:t xml:space="preserve"> que o representante pode solicitar aos investidores documentos adicionais </w:t>
            </w:r>
            <w:r>
              <w:rPr>
                <w:rFonts w:ascii="Times New Roman" w:hAnsi="Times New Roman" w:cs="Times New Roman"/>
                <w:sz w:val="24"/>
                <w:szCs w:val="24"/>
              </w:rPr>
              <w:t>e</w:t>
            </w:r>
            <w:r w:rsidRPr="00CC6E99">
              <w:rPr>
                <w:rFonts w:ascii="Times New Roman" w:hAnsi="Times New Roman" w:cs="Times New Roman"/>
                <w:sz w:val="24"/>
                <w:szCs w:val="24"/>
                <w:lang w:val="es-ES_tradnl"/>
              </w:rPr>
              <w:t xml:space="preserve"> </w:t>
            </w:r>
            <w:proofErr w:type="spellStart"/>
            <w:r w:rsidRPr="00CC6E99">
              <w:rPr>
                <w:rFonts w:ascii="Times New Roman" w:hAnsi="Times New Roman" w:cs="Times New Roman"/>
                <w:sz w:val="24"/>
                <w:szCs w:val="24"/>
                <w:lang w:val="es-ES_tradnl"/>
              </w:rPr>
              <w:t>opini</w:t>
            </w:r>
            <w:proofErr w:type="spellEnd"/>
            <w:r w:rsidRPr="00CC6E99">
              <w:rPr>
                <w:rFonts w:ascii="Times New Roman" w:hAnsi="Times New Roman" w:cs="Times New Roman"/>
                <w:sz w:val="24"/>
                <w:szCs w:val="24"/>
              </w:rPr>
              <w:t xml:space="preserve">ões legais </w:t>
            </w:r>
            <w:r>
              <w:rPr>
                <w:rFonts w:ascii="Times New Roman" w:hAnsi="Times New Roman" w:cs="Times New Roman"/>
                <w:sz w:val="24"/>
                <w:szCs w:val="24"/>
              </w:rPr>
              <w:t>para certificar da</w:t>
            </w:r>
            <w:r w:rsidRPr="00CC6E99">
              <w:rPr>
                <w:rFonts w:ascii="Times New Roman" w:hAnsi="Times New Roman" w:cs="Times New Roman"/>
                <w:sz w:val="24"/>
                <w:szCs w:val="24"/>
              </w:rPr>
              <w:t xml:space="preserve"> </w:t>
            </w:r>
            <w:r>
              <w:rPr>
                <w:rFonts w:ascii="Times New Roman" w:hAnsi="Times New Roman" w:cs="Times New Roman"/>
                <w:sz w:val="24"/>
                <w:szCs w:val="24"/>
              </w:rPr>
              <w:t>aderência</w:t>
            </w:r>
            <w:r w:rsidRPr="00CC6E99">
              <w:rPr>
                <w:rFonts w:ascii="Times New Roman" w:hAnsi="Times New Roman" w:cs="Times New Roman"/>
                <w:sz w:val="24"/>
                <w:szCs w:val="24"/>
              </w:rPr>
              <w:t xml:space="preserve"> das transferências </w:t>
            </w:r>
            <w:r>
              <w:rPr>
                <w:rFonts w:ascii="Times New Roman" w:hAnsi="Times New Roman" w:cs="Times New Roman"/>
                <w:sz w:val="24"/>
                <w:szCs w:val="24"/>
              </w:rPr>
              <w:t>às</w:t>
            </w:r>
            <w:r w:rsidRPr="00CC6E99">
              <w:rPr>
                <w:rFonts w:ascii="Times New Roman" w:hAnsi="Times New Roman" w:cs="Times New Roman"/>
                <w:sz w:val="24"/>
                <w:szCs w:val="24"/>
              </w:rPr>
              <w:t xml:space="preserve"> hipóteses </w:t>
            </w:r>
            <w:r>
              <w:rPr>
                <w:rFonts w:ascii="Times New Roman" w:hAnsi="Times New Roman" w:cs="Times New Roman"/>
                <w:sz w:val="24"/>
                <w:szCs w:val="24"/>
              </w:rPr>
              <w:t>previstas</w:t>
            </w:r>
            <w:r w:rsidRPr="00CC6E99">
              <w:rPr>
                <w:rFonts w:ascii="Times New Roman" w:hAnsi="Times New Roman" w:cs="Times New Roman"/>
                <w:sz w:val="24"/>
                <w:szCs w:val="24"/>
              </w:rPr>
              <w:t xml:space="preserve"> na norma</w:t>
            </w:r>
            <w:r>
              <w:rPr>
                <w:rFonts w:ascii="Times New Roman" w:hAnsi="Times New Roman" w:cs="Times New Roman"/>
                <w:sz w:val="24"/>
                <w:szCs w:val="24"/>
              </w:rPr>
              <w:t xml:space="preserve"> por se entender que o representante já pode</w:t>
            </w:r>
            <w:r w:rsidR="007F44AF">
              <w:rPr>
                <w:rFonts w:ascii="Times New Roman" w:hAnsi="Times New Roman" w:cs="Times New Roman"/>
                <w:sz w:val="24"/>
                <w:szCs w:val="24"/>
              </w:rPr>
              <w:t xml:space="preserve"> prever tais obrigações em sua relação contratual com o investidor não residente</w:t>
            </w:r>
            <w:r>
              <w:rPr>
                <w:rFonts w:ascii="Times New Roman" w:hAnsi="Times New Roman" w:cs="Times New Roman"/>
                <w:sz w:val="24"/>
                <w:szCs w:val="24"/>
              </w:rPr>
              <w:t>.</w:t>
            </w:r>
            <w:r w:rsidDel="00714958">
              <w:rPr>
                <w:rFonts w:ascii="Times New Roman" w:hAnsi="Times New Roman" w:cs="Times New Roman"/>
                <w:sz w:val="24"/>
                <w:szCs w:val="24"/>
              </w:rPr>
              <w:t xml:space="preserve"> </w:t>
            </w:r>
          </w:p>
        </w:tc>
      </w:tr>
    </w:tbl>
    <w:p w:rsidR="00000000" w:rsidRDefault="005F5D85">
      <w:pPr>
        <w:pStyle w:val="CorpoA"/>
        <w:spacing w:after="0" w:line="312" w:lineRule="auto"/>
        <w:jc w:val="both"/>
        <w:rPr>
          <w:rFonts w:ascii="Times New Roman" w:hAnsi="Times New Roman" w:cs="Times New Roman"/>
          <w:b/>
          <w:bCs/>
          <w:sz w:val="24"/>
          <w:szCs w:val="24"/>
          <w:lang w:val="pt-BR"/>
        </w:rPr>
      </w:pPr>
    </w:p>
    <w:p w:rsidR="00000000" w:rsidRDefault="005F5D85">
      <w:pPr>
        <w:pStyle w:val="CorpoA"/>
        <w:spacing w:after="0" w:line="312" w:lineRule="auto"/>
        <w:jc w:val="both"/>
        <w:rPr>
          <w:rFonts w:ascii="Times New Roman" w:hAnsi="Times New Roman" w:cs="Times New Roman"/>
          <w:b/>
          <w:bCs/>
          <w:sz w:val="24"/>
          <w:szCs w:val="24"/>
        </w:rPr>
      </w:pPr>
    </w:p>
    <w:p w:rsidR="00000000" w:rsidRDefault="005607BA">
      <w:pPr>
        <w:pStyle w:val="CorpoA"/>
        <w:tabs>
          <w:tab w:val="left" w:pos="851"/>
        </w:tabs>
        <w:spacing w:after="0" w:line="312" w:lineRule="auto"/>
        <w:jc w:val="both"/>
        <w:rPr>
          <w:rFonts w:ascii="Times New Roman" w:eastAsia="Times New Roman" w:hAnsi="Times New Roman" w:cs="Times New Roman"/>
          <w:b/>
          <w:bCs/>
          <w:sz w:val="24"/>
          <w:szCs w:val="24"/>
        </w:rPr>
      </w:pPr>
      <w:r w:rsidRPr="00CC6E99">
        <w:rPr>
          <w:rFonts w:ascii="Times New Roman" w:hAnsi="Times New Roman" w:cs="Times New Roman"/>
          <w:b/>
          <w:bCs/>
          <w:sz w:val="24"/>
          <w:szCs w:val="24"/>
        </w:rPr>
        <w:lastRenderedPageBreak/>
        <w:t>3.1.</w:t>
      </w:r>
      <w:r w:rsidR="00477CC3">
        <w:rPr>
          <w:rFonts w:ascii="Times New Roman" w:hAnsi="Times New Roman" w:cs="Times New Roman"/>
          <w:b/>
          <w:bCs/>
          <w:sz w:val="24"/>
          <w:szCs w:val="24"/>
        </w:rPr>
        <w:t>12</w:t>
      </w:r>
      <w:r w:rsidR="009C73A3">
        <w:rPr>
          <w:rFonts w:ascii="Times New Roman" w:hAnsi="Times New Roman" w:cs="Times New Roman"/>
          <w:b/>
          <w:bCs/>
          <w:sz w:val="24"/>
          <w:szCs w:val="24"/>
        </w:rPr>
        <w:t>.</w:t>
      </w:r>
      <w:r w:rsidRPr="00CC6E99">
        <w:rPr>
          <w:rFonts w:ascii="Times New Roman" w:hAnsi="Times New Roman" w:cs="Times New Roman"/>
          <w:b/>
          <w:bCs/>
          <w:sz w:val="24"/>
          <w:szCs w:val="24"/>
        </w:rPr>
        <w:tab/>
        <w:t>Comunicação da realizaçã</w:t>
      </w:r>
      <w:r w:rsidRPr="00CC6E99">
        <w:rPr>
          <w:rFonts w:ascii="Times New Roman" w:hAnsi="Times New Roman" w:cs="Times New Roman"/>
          <w:b/>
          <w:bCs/>
          <w:sz w:val="24"/>
          <w:szCs w:val="24"/>
          <w:lang w:val="es-ES_tradnl"/>
        </w:rPr>
        <w:t>o de opera</w:t>
      </w:r>
      <w:r w:rsidRPr="00CC6E99">
        <w:rPr>
          <w:rFonts w:ascii="Times New Roman" w:hAnsi="Times New Roman" w:cs="Times New Roman"/>
          <w:b/>
          <w:bCs/>
          <w:sz w:val="24"/>
          <w:szCs w:val="24"/>
        </w:rPr>
        <w:t xml:space="preserve">ções fora de mercado organizado </w:t>
      </w:r>
      <w:r w:rsidR="00965B69" w:rsidRPr="00CC6E99">
        <w:rPr>
          <w:rFonts w:ascii="Times New Roman" w:hAnsi="Times New Roman" w:cs="Times New Roman"/>
          <w:b/>
          <w:bCs/>
          <w:sz w:val="24"/>
          <w:szCs w:val="24"/>
        </w:rPr>
        <w:t xml:space="preserve">– arts. 18 e 20 </w:t>
      </w:r>
      <w:r w:rsidRPr="00CC6E99">
        <w:rPr>
          <w:rFonts w:ascii="Times New Roman" w:hAnsi="Times New Roman" w:cs="Times New Roman"/>
          <w:b/>
          <w:bCs/>
          <w:sz w:val="24"/>
          <w:szCs w:val="24"/>
        </w:rPr>
        <w:t>(</w:t>
      </w:r>
      <w:r w:rsidR="00965B69" w:rsidRPr="00CC6E99">
        <w:rPr>
          <w:rFonts w:ascii="Times New Roman" w:hAnsi="Times New Roman" w:cs="Times New Roman"/>
          <w:b/>
          <w:bCs/>
          <w:sz w:val="24"/>
          <w:szCs w:val="24"/>
        </w:rPr>
        <w:t xml:space="preserve">atual </w:t>
      </w:r>
      <w:r w:rsidRPr="00CC6E99">
        <w:rPr>
          <w:rFonts w:ascii="Times New Roman" w:hAnsi="Times New Roman" w:cs="Times New Roman"/>
          <w:b/>
          <w:bCs/>
          <w:sz w:val="24"/>
          <w:szCs w:val="24"/>
        </w:rPr>
        <w:t xml:space="preserve">art. </w:t>
      </w:r>
      <w:r w:rsidRPr="00CC6E99">
        <w:rPr>
          <w:rFonts w:ascii="Times New Roman" w:hAnsi="Times New Roman" w:cs="Times New Roman"/>
          <w:b/>
          <w:bCs/>
          <w:sz w:val="24"/>
          <w:szCs w:val="24"/>
          <w:lang w:val="it-IT"/>
        </w:rPr>
        <w:t>2</w:t>
      </w:r>
      <w:r w:rsidR="00477CC3">
        <w:rPr>
          <w:rFonts w:ascii="Times New Roman" w:hAnsi="Times New Roman" w:cs="Times New Roman"/>
          <w:b/>
          <w:bCs/>
          <w:sz w:val="24"/>
          <w:szCs w:val="24"/>
        </w:rPr>
        <w:t>1</w:t>
      </w:r>
      <w:r w:rsidRPr="00CC6E99">
        <w:rPr>
          <w:rFonts w:ascii="Times New Roman" w:hAnsi="Times New Roman" w:cs="Times New Roman"/>
          <w:b/>
          <w:bCs/>
          <w:sz w:val="24"/>
          <w:szCs w:val="24"/>
        </w:rPr>
        <w:t>)</w:t>
      </w:r>
    </w:p>
    <w:p w:rsidR="00000000" w:rsidRDefault="005F5D85">
      <w:pPr>
        <w:pStyle w:val="CorpoA"/>
        <w:spacing w:after="0" w:line="312" w:lineRule="auto"/>
        <w:ind w:firstLine="709"/>
        <w:jc w:val="both"/>
        <w:rPr>
          <w:rFonts w:ascii="Times New Roman" w:eastAsia="Times New Roman" w:hAnsi="Times New Roman" w:cs="Times New Roman"/>
          <w:sz w:val="24"/>
          <w:szCs w:val="24"/>
        </w:rPr>
      </w:pPr>
    </w:p>
    <w:p w:rsidR="00000000" w:rsidRDefault="005607BA">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rPr>
        <w:t xml:space="preserve">A ANBIMA relata que </w:t>
      </w:r>
      <w:r w:rsidR="00965B69" w:rsidRPr="00CC6E99">
        <w:rPr>
          <w:rFonts w:ascii="Times New Roman" w:hAnsi="Times New Roman" w:cs="Times New Roman"/>
          <w:sz w:val="24"/>
          <w:szCs w:val="24"/>
        </w:rPr>
        <w:t>o art. 1</w:t>
      </w:r>
      <w:r w:rsidR="00477CC3">
        <w:rPr>
          <w:rFonts w:ascii="Times New Roman" w:hAnsi="Times New Roman" w:cs="Times New Roman"/>
          <w:sz w:val="24"/>
          <w:szCs w:val="24"/>
        </w:rPr>
        <w:t>8</w:t>
      </w:r>
      <w:r w:rsidR="00965B69" w:rsidRPr="00CC6E99">
        <w:rPr>
          <w:rFonts w:ascii="Times New Roman" w:hAnsi="Times New Roman" w:cs="Times New Roman"/>
          <w:sz w:val="24"/>
          <w:szCs w:val="24"/>
        </w:rPr>
        <w:t xml:space="preserve"> da</w:t>
      </w:r>
      <w:r w:rsidRPr="00CC6E99">
        <w:rPr>
          <w:rFonts w:ascii="Times New Roman" w:hAnsi="Times New Roman" w:cs="Times New Roman"/>
          <w:sz w:val="24"/>
          <w:szCs w:val="24"/>
        </w:rPr>
        <w:t xml:space="preserve"> Minuta prevê </w:t>
      </w:r>
      <w:r w:rsidRPr="00CC6E99">
        <w:rPr>
          <w:rFonts w:ascii="Times New Roman" w:hAnsi="Times New Roman" w:cs="Times New Roman"/>
          <w:sz w:val="24"/>
          <w:szCs w:val="24"/>
          <w:lang w:val="es-ES_tradnl"/>
        </w:rPr>
        <w:t>que</w:t>
      </w:r>
      <w:r w:rsidRPr="00CC6E99">
        <w:rPr>
          <w:rFonts w:ascii="Times New Roman" w:hAnsi="Times New Roman" w:cs="Times New Roman"/>
          <w:sz w:val="24"/>
          <w:szCs w:val="24"/>
        </w:rPr>
        <w:t xml:space="preserve"> a realização </w:t>
      </w:r>
      <w:r w:rsidR="00965B69" w:rsidRPr="00CC6E99">
        <w:rPr>
          <w:rFonts w:ascii="Times New Roman" w:hAnsi="Times New Roman" w:cs="Times New Roman"/>
          <w:sz w:val="24"/>
          <w:szCs w:val="24"/>
        </w:rPr>
        <w:t xml:space="preserve">de </w:t>
      </w:r>
      <w:r w:rsidRPr="00CC6E99">
        <w:rPr>
          <w:rFonts w:ascii="Times New Roman" w:hAnsi="Times New Roman" w:cs="Times New Roman"/>
          <w:sz w:val="24"/>
          <w:szCs w:val="24"/>
        </w:rPr>
        <w:t xml:space="preserve">operações autorizadas </w:t>
      </w:r>
      <w:r w:rsidR="00965B69" w:rsidRPr="00CC6E99">
        <w:rPr>
          <w:rFonts w:ascii="Times New Roman" w:hAnsi="Times New Roman" w:cs="Times New Roman"/>
          <w:sz w:val="24"/>
          <w:szCs w:val="24"/>
        </w:rPr>
        <w:t>fora de mercado organizado</w:t>
      </w:r>
      <w:r w:rsidRPr="00CC6E99">
        <w:rPr>
          <w:rFonts w:ascii="Times New Roman" w:hAnsi="Times New Roman" w:cs="Times New Roman"/>
          <w:sz w:val="24"/>
          <w:szCs w:val="24"/>
        </w:rPr>
        <w:t xml:space="preserve"> deve ser informada à SIN, embora não </w:t>
      </w:r>
      <w:r w:rsidR="00965B69" w:rsidRPr="00CC6E99">
        <w:rPr>
          <w:rFonts w:ascii="Times New Roman" w:hAnsi="Times New Roman" w:cs="Times New Roman"/>
          <w:sz w:val="24"/>
          <w:szCs w:val="24"/>
        </w:rPr>
        <w:t xml:space="preserve">seja </w:t>
      </w:r>
      <w:r w:rsidRPr="00CC6E99">
        <w:rPr>
          <w:rFonts w:ascii="Times New Roman" w:hAnsi="Times New Roman" w:cs="Times New Roman"/>
          <w:sz w:val="24"/>
          <w:szCs w:val="24"/>
        </w:rPr>
        <w:t>mais necessária solicitação de autorização pré</w:t>
      </w:r>
      <w:r w:rsidR="00965B69" w:rsidRPr="00CC6E99">
        <w:rPr>
          <w:rFonts w:ascii="Times New Roman" w:hAnsi="Times New Roman" w:cs="Times New Roman"/>
          <w:sz w:val="24"/>
          <w:szCs w:val="24"/>
        </w:rPr>
        <w:t>via da CVM nos casos tratados</w:t>
      </w:r>
      <w:r w:rsidRPr="00CC6E99">
        <w:rPr>
          <w:rFonts w:ascii="Times New Roman" w:hAnsi="Times New Roman" w:cs="Times New Roman"/>
          <w:sz w:val="24"/>
          <w:szCs w:val="24"/>
        </w:rPr>
        <w:t xml:space="preserve">. </w:t>
      </w:r>
    </w:p>
    <w:p w:rsidR="00000000" w:rsidRDefault="005F5D85">
      <w:pPr>
        <w:pStyle w:val="CorpoA"/>
        <w:spacing w:after="0" w:line="312" w:lineRule="auto"/>
        <w:ind w:firstLine="709"/>
        <w:jc w:val="both"/>
        <w:rPr>
          <w:rFonts w:ascii="Times New Roman" w:eastAsia="Times New Roman" w:hAnsi="Times New Roman" w:cs="Times New Roman"/>
          <w:sz w:val="24"/>
          <w:szCs w:val="24"/>
        </w:rPr>
      </w:pPr>
    </w:p>
    <w:p w:rsidR="00000000"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A obrigaçã</w:t>
      </w:r>
      <w:r w:rsidRPr="00CC6E99">
        <w:rPr>
          <w:rFonts w:ascii="Times New Roman" w:hAnsi="Times New Roman" w:cs="Times New Roman"/>
          <w:sz w:val="24"/>
          <w:szCs w:val="24"/>
          <w:lang w:val="es-ES_tradnl"/>
        </w:rPr>
        <w:t xml:space="preserve">o de informar </w:t>
      </w:r>
      <w:r w:rsidRPr="00CC6E99">
        <w:rPr>
          <w:rFonts w:ascii="Times New Roman" w:hAnsi="Times New Roman" w:cs="Times New Roman"/>
          <w:sz w:val="24"/>
          <w:szCs w:val="24"/>
        </w:rPr>
        <w:t>à CVM qualquer operação que recaia em uma das exceções previstas, inclusive as que já eram permitidas pela regulamentação anterior (Resolução CMN nº 2.689, de 2000), introduziria ônus excessivo, aumentando o custo de observância da norma, sem benefí</w:t>
      </w:r>
      <w:r w:rsidRPr="00CC6E99">
        <w:rPr>
          <w:rFonts w:ascii="Times New Roman" w:hAnsi="Times New Roman" w:cs="Times New Roman"/>
          <w:sz w:val="24"/>
          <w:szCs w:val="24"/>
          <w:lang w:val="es-ES_tradnl"/>
        </w:rPr>
        <w:t xml:space="preserve">cio aparente. </w:t>
      </w:r>
    </w:p>
    <w:p w:rsidR="00000000" w:rsidRDefault="005F5D85">
      <w:pPr>
        <w:pStyle w:val="CorpoA"/>
        <w:spacing w:after="0" w:line="312" w:lineRule="auto"/>
        <w:jc w:val="both"/>
        <w:rPr>
          <w:rFonts w:ascii="Times New Roman" w:eastAsia="Times New Roman" w:hAnsi="Times New Roman" w:cs="Times New Roman"/>
          <w:sz w:val="24"/>
          <w:szCs w:val="24"/>
        </w:rPr>
      </w:pPr>
    </w:p>
    <w:p w:rsidR="00000000"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lang w:val="it-IT"/>
        </w:rPr>
        <w:t>Assim, prop</w:t>
      </w:r>
      <w:r w:rsidRPr="00CC6E99">
        <w:rPr>
          <w:rFonts w:ascii="Times New Roman" w:hAnsi="Times New Roman" w:cs="Times New Roman"/>
          <w:sz w:val="24"/>
          <w:szCs w:val="24"/>
        </w:rPr>
        <w:t>õe que</w:t>
      </w:r>
      <w:r w:rsidR="00454804" w:rsidRPr="00CC6E99">
        <w:rPr>
          <w:rFonts w:ascii="Times New Roman" w:hAnsi="Times New Roman" w:cs="Times New Roman"/>
          <w:sz w:val="24"/>
          <w:szCs w:val="24"/>
        </w:rPr>
        <w:t>,</w:t>
      </w:r>
      <w:r w:rsidRPr="00CC6E99">
        <w:rPr>
          <w:rFonts w:ascii="Times New Roman" w:hAnsi="Times New Roman" w:cs="Times New Roman"/>
          <w:sz w:val="24"/>
          <w:szCs w:val="24"/>
        </w:rPr>
        <w:t xml:space="preserve"> </w:t>
      </w:r>
      <w:r w:rsidR="00454804" w:rsidRPr="00CC6E99">
        <w:rPr>
          <w:rFonts w:ascii="Times New Roman" w:hAnsi="Times New Roman" w:cs="Times New Roman"/>
          <w:sz w:val="24"/>
          <w:szCs w:val="24"/>
        </w:rPr>
        <w:t xml:space="preserve">no caso das operações fora de mercado organizado, a </w:t>
      </w:r>
      <w:r w:rsidRPr="00CC6E99">
        <w:rPr>
          <w:rFonts w:ascii="Times New Roman" w:hAnsi="Times New Roman" w:cs="Times New Roman"/>
          <w:sz w:val="24"/>
          <w:szCs w:val="24"/>
        </w:rPr>
        <w:t>comunicação se restrinja às operações previstas nos incisos VI, VII e VIII do art. 1</w:t>
      </w:r>
      <w:r w:rsidR="00477CC3">
        <w:rPr>
          <w:rFonts w:ascii="Times New Roman" w:hAnsi="Times New Roman" w:cs="Times New Roman"/>
          <w:sz w:val="24"/>
          <w:szCs w:val="24"/>
        </w:rPr>
        <w:t>7</w:t>
      </w:r>
      <w:r w:rsidRPr="00CC6E99">
        <w:rPr>
          <w:rFonts w:ascii="Times New Roman" w:hAnsi="Times New Roman" w:cs="Times New Roman"/>
          <w:sz w:val="24"/>
          <w:szCs w:val="24"/>
        </w:rPr>
        <w:t xml:space="preserve"> da Minuta, que, na regra da Resolução CMN nº </w:t>
      </w:r>
      <w:r w:rsidR="00965B69" w:rsidRPr="00CC6E99">
        <w:rPr>
          <w:rFonts w:ascii="Times New Roman" w:hAnsi="Times New Roman" w:cs="Times New Roman"/>
          <w:sz w:val="24"/>
          <w:szCs w:val="24"/>
        </w:rPr>
        <w:t>2.689, de 2000,</w:t>
      </w:r>
      <w:r w:rsidRPr="00CC6E99">
        <w:rPr>
          <w:rFonts w:ascii="Times New Roman" w:hAnsi="Times New Roman" w:cs="Times New Roman"/>
          <w:sz w:val="24"/>
          <w:szCs w:val="24"/>
        </w:rPr>
        <w:t xml:space="preserve"> requeriam ciência da CVM.</w:t>
      </w:r>
    </w:p>
    <w:p w:rsidR="00000000" w:rsidRDefault="005F5D85">
      <w:pPr>
        <w:pStyle w:val="CorpoA"/>
        <w:spacing w:after="0" w:line="312" w:lineRule="auto"/>
        <w:ind w:firstLine="709"/>
        <w:jc w:val="both"/>
        <w:rPr>
          <w:rFonts w:ascii="Times New Roman" w:eastAsia="Times New Roman" w:hAnsi="Times New Roman" w:cs="Times New Roman"/>
          <w:sz w:val="24"/>
          <w:szCs w:val="24"/>
        </w:rPr>
      </w:pPr>
    </w:p>
    <w:p w:rsidR="00000000"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Propõe ainda que as obrigaçõ</w:t>
      </w:r>
      <w:r w:rsidRPr="00CC6E99">
        <w:rPr>
          <w:rFonts w:ascii="Times New Roman" w:hAnsi="Times New Roman" w:cs="Times New Roman"/>
          <w:sz w:val="24"/>
          <w:szCs w:val="24"/>
          <w:lang w:val="es-ES_tradnl"/>
        </w:rPr>
        <w:t>es de comunica</w:t>
      </w:r>
      <w:r w:rsidRPr="00CC6E99">
        <w:rPr>
          <w:rFonts w:ascii="Times New Roman" w:hAnsi="Times New Roman" w:cs="Times New Roman"/>
          <w:sz w:val="24"/>
          <w:szCs w:val="24"/>
        </w:rPr>
        <w:t>ção dos arts. 1</w:t>
      </w:r>
      <w:r w:rsidR="00477CC3">
        <w:rPr>
          <w:rFonts w:ascii="Times New Roman" w:hAnsi="Times New Roman" w:cs="Times New Roman"/>
          <w:sz w:val="24"/>
          <w:szCs w:val="24"/>
        </w:rPr>
        <w:t>8</w:t>
      </w:r>
      <w:r w:rsidRPr="00CC6E99">
        <w:rPr>
          <w:rFonts w:ascii="Times New Roman" w:hAnsi="Times New Roman" w:cs="Times New Roman"/>
          <w:sz w:val="24"/>
          <w:szCs w:val="24"/>
          <w:lang w:val="it-IT"/>
        </w:rPr>
        <w:t xml:space="preserve"> e 2</w:t>
      </w:r>
      <w:r w:rsidR="00477CC3">
        <w:rPr>
          <w:rFonts w:ascii="Times New Roman" w:hAnsi="Times New Roman" w:cs="Times New Roman"/>
          <w:sz w:val="24"/>
          <w:szCs w:val="24"/>
        </w:rPr>
        <w:t>0</w:t>
      </w:r>
      <w:r w:rsidRPr="00CC6E99">
        <w:rPr>
          <w:rFonts w:ascii="Times New Roman" w:hAnsi="Times New Roman" w:cs="Times New Roman"/>
          <w:sz w:val="24"/>
          <w:szCs w:val="24"/>
        </w:rPr>
        <w:t xml:space="preserve"> </w:t>
      </w:r>
      <w:r w:rsidR="00965B69" w:rsidRPr="00CC6E99">
        <w:rPr>
          <w:rFonts w:ascii="Times New Roman" w:hAnsi="Times New Roman" w:cs="Times New Roman"/>
          <w:sz w:val="24"/>
          <w:szCs w:val="24"/>
        </w:rPr>
        <w:t xml:space="preserve">da Minuta </w:t>
      </w:r>
      <w:r w:rsidRPr="00CC6E99">
        <w:rPr>
          <w:rFonts w:ascii="Times New Roman" w:hAnsi="Times New Roman" w:cs="Times New Roman"/>
          <w:sz w:val="24"/>
          <w:szCs w:val="24"/>
        </w:rPr>
        <w:t>sejam feitas junto com o informe mensal de modo a racionalizar o envio de informações à CVM.</w:t>
      </w:r>
    </w:p>
    <w:p w:rsidR="00000000" w:rsidRDefault="005F5D85">
      <w:pPr>
        <w:pStyle w:val="CorpoA"/>
        <w:spacing w:after="0" w:line="312" w:lineRule="auto"/>
        <w:ind w:firstLine="709"/>
        <w:jc w:val="both"/>
        <w:rPr>
          <w:rFonts w:ascii="Times New Roman" w:eastAsia="Times New Roman" w:hAnsi="Times New Roman" w:cs="Times New Roman"/>
          <w:sz w:val="24"/>
          <w:szCs w:val="24"/>
        </w:rPr>
      </w:pPr>
    </w:p>
    <w:p w:rsidR="00000000"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A BM&amp;FBOVESPA também sugere ajustar os prazos para a prestação da informação, pois as informações pertinentes a tais operações são detidas pelos custodiantes, escrituradores e eventualmente pela companhia e podem ser enviadas extemporaneamente ao representante do investidor não residente.</w:t>
      </w:r>
    </w:p>
    <w:p w:rsidR="00000000" w:rsidRDefault="005F5D85">
      <w:pPr>
        <w:pStyle w:val="CorpoA"/>
        <w:widowControl w:val="0"/>
        <w:spacing w:after="0" w:line="312" w:lineRule="auto"/>
        <w:ind w:firstLine="709"/>
        <w:jc w:val="both"/>
        <w:rPr>
          <w:rFonts w:ascii="Times New Roman" w:eastAsia="Times New Roman" w:hAnsi="Times New Roman" w:cs="Times New Roman"/>
          <w:sz w:val="24"/>
          <w:szCs w:val="24"/>
        </w:rPr>
      </w:pPr>
    </w:p>
    <w:tbl>
      <w:tblPr>
        <w:tblStyle w:val="TableNormal"/>
        <w:tblW w:w="1019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199"/>
      </w:tblGrid>
      <w:tr w:rsidR="00D9084C" w:rsidRPr="00AF4AA5" w:rsidTr="00CB3B28">
        <w:trPr>
          <w:trHeight w:val="472"/>
        </w:trPr>
        <w:tc>
          <w:tcPr>
            <w:tcW w:w="10199"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D9084C" w:rsidRPr="00CC6E99" w:rsidRDefault="000C356C">
            <w:pPr>
              <w:pStyle w:val="CorpoA"/>
              <w:spacing w:after="0" w:line="312"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As manifestações d</w:t>
            </w:r>
            <w:r w:rsidR="005607BA" w:rsidRPr="00CC6E99">
              <w:rPr>
                <w:rFonts w:ascii="Times New Roman" w:hAnsi="Times New Roman" w:cs="Times New Roman"/>
                <w:sz w:val="24"/>
                <w:szCs w:val="24"/>
              </w:rPr>
              <w:t xml:space="preserve">as participantes foram consideradas pertinentes e a CVM </w:t>
            </w:r>
            <w:r>
              <w:rPr>
                <w:rFonts w:ascii="Times New Roman" w:hAnsi="Times New Roman" w:cs="Times New Roman"/>
                <w:sz w:val="24"/>
                <w:szCs w:val="24"/>
              </w:rPr>
              <w:t xml:space="preserve">optou por manter o modelo atual </w:t>
            </w:r>
            <w:r w:rsidR="005607BA" w:rsidRPr="00CC6E99">
              <w:rPr>
                <w:rFonts w:ascii="Times New Roman" w:hAnsi="Times New Roman" w:cs="Times New Roman"/>
                <w:sz w:val="24"/>
                <w:szCs w:val="24"/>
              </w:rPr>
              <w:t xml:space="preserve">onde a necessidade de </w:t>
            </w:r>
            <w:r w:rsidR="00BD67E2">
              <w:rPr>
                <w:rFonts w:ascii="Times New Roman" w:hAnsi="Times New Roman" w:cs="Times New Roman"/>
                <w:sz w:val="24"/>
                <w:szCs w:val="24"/>
              </w:rPr>
              <w:t>comunicação</w:t>
            </w:r>
            <w:r w:rsidR="005607BA" w:rsidRPr="00CC6E99">
              <w:rPr>
                <w:rFonts w:ascii="Times New Roman" w:hAnsi="Times New Roman" w:cs="Times New Roman"/>
                <w:sz w:val="24"/>
                <w:szCs w:val="24"/>
              </w:rPr>
              <w:t xml:space="preserve"> somente ocorre nos casos relativos a transferências entre investidores não residentes. Foi excluída da norma a necessidade de comunicação da realização de operações </w:t>
            </w:r>
            <w:r w:rsidR="00454804" w:rsidRPr="00CC6E99">
              <w:rPr>
                <w:rFonts w:ascii="Times New Roman" w:hAnsi="Times New Roman" w:cs="Times New Roman"/>
                <w:sz w:val="24"/>
                <w:szCs w:val="24"/>
              </w:rPr>
              <w:t>fora de mercado organizado nos casos autorizados</w:t>
            </w:r>
            <w:r w:rsidR="005607BA" w:rsidRPr="00CC6E99">
              <w:rPr>
                <w:rFonts w:ascii="Times New Roman" w:hAnsi="Times New Roman" w:cs="Times New Roman"/>
                <w:sz w:val="24"/>
                <w:szCs w:val="24"/>
              </w:rPr>
              <w:t>.</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F551A0" w:rsidP="008700BA">
            <w:pPr>
              <w:pStyle w:val="CorpoA"/>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Também ficou previsto que a comunicação sobre transferências de que trata o </w:t>
            </w:r>
            <w:r w:rsidR="00477CC3">
              <w:rPr>
                <w:rFonts w:ascii="Times New Roman" w:hAnsi="Times New Roman" w:cs="Times New Roman"/>
                <w:sz w:val="24"/>
                <w:szCs w:val="24"/>
              </w:rPr>
              <w:t xml:space="preserve">atual </w:t>
            </w:r>
            <w:r>
              <w:rPr>
                <w:rFonts w:ascii="Times New Roman" w:hAnsi="Times New Roman" w:cs="Times New Roman"/>
                <w:sz w:val="24"/>
                <w:szCs w:val="24"/>
              </w:rPr>
              <w:t>art. 21 da norma ser</w:t>
            </w:r>
            <w:r w:rsidR="008700BA">
              <w:rPr>
                <w:rFonts w:ascii="Times New Roman" w:hAnsi="Times New Roman" w:cs="Times New Roman"/>
                <w:sz w:val="24"/>
                <w:szCs w:val="24"/>
              </w:rPr>
              <w:t>á</w:t>
            </w:r>
            <w:r>
              <w:rPr>
                <w:rFonts w:ascii="Times New Roman" w:hAnsi="Times New Roman" w:cs="Times New Roman"/>
                <w:sz w:val="24"/>
                <w:szCs w:val="24"/>
              </w:rPr>
              <w:t xml:space="preserve"> feita juntamente com o informe mensal</w:t>
            </w:r>
            <w:r w:rsidR="005607BA" w:rsidRPr="00CC6E99">
              <w:rPr>
                <w:rFonts w:ascii="Times New Roman" w:hAnsi="Times New Roman" w:cs="Times New Roman"/>
                <w:sz w:val="24"/>
                <w:szCs w:val="24"/>
              </w:rPr>
              <w:t>.</w:t>
            </w:r>
          </w:p>
        </w:tc>
      </w:tr>
    </w:tbl>
    <w:p w:rsidR="00CB3B28" w:rsidRPr="00CC6E99" w:rsidRDefault="00CB3B28" w:rsidP="000B2D11">
      <w:pPr>
        <w:pStyle w:val="CorpoA"/>
        <w:spacing w:before="120" w:after="0" w:line="312" w:lineRule="auto"/>
        <w:ind w:firstLine="709"/>
        <w:jc w:val="both"/>
        <w:rPr>
          <w:rFonts w:ascii="Times New Roman" w:eastAsia="Times New Roman" w:hAnsi="Times New Roman" w:cs="Times New Roman"/>
          <w:b/>
          <w:bCs/>
          <w:sz w:val="24"/>
          <w:szCs w:val="24"/>
        </w:rPr>
      </w:pPr>
    </w:p>
    <w:p w:rsidR="00000000" w:rsidRDefault="005607BA">
      <w:pPr>
        <w:pStyle w:val="CorpoA"/>
        <w:tabs>
          <w:tab w:val="left" w:pos="851"/>
        </w:tabs>
        <w:spacing w:after="0" w:line="312" w:lineRule="auto"/>
        <w:jc w:val="both"/>
        <w:rPr>
          <w:rFonts w:ascii="Times New Roman" w:eastAsia="Times New Roman" w:hAnsi="Times New Roman" w:cs="Times New Roman"/>
          <w:b/>
          <w:bCs/>
          <w:sz w:val="24"/>
          <w:szCs w:val="24"/>
        </w:rPr>
      </w:pPr>
      <w:r w:rsidRPr="00CC6E99">
        <w:rPr>
          <w:rFonts w:ascii="Times New Roman" w:hAnsi="Times New Roman" w:cs="Times New Roman"/>
          <w:b/>
          <w:bCs/>
          <w:sz w:val="24"/>
          <w:szCs w:val="24"/>
        </w:rPr>
        <w:t>3.1.</w:t>
      </w:r>
      <w:r w:rsidR="00477CC3">
        <w:rPr>
          <w:rFonts w:ascii="Times New Roman" w:hAnsi="Times New Roman" w:cs="Times New Roman"/>
          <w:b/>
          <w:bCs/>
          <w:sz w:val="24"/>
          <w:szCs w:val="24"/>
        </w:rPr>
        <w:t>13</w:t>
      </w:r>
      <w:r w:rsidRPr="00CC6E99">
        <w:rPr>
          <w:rFonts w:ascii="Times New Roman" w:hAnsi="Times New Roman" w:cs="Times New Roman"/>
          <w:b/>
          <w:bCs/>
          <w:sz w:val="24"/>
          <w:szCs w:val="24"/>
        </w:rPr>
        <w:t>.</w:t>
      </w:r>
      <w:r w:rsidRPr="00CC6E99">
        <w:rPr>
          <w:rFonts w:ascii="Times New Roman" w:hAnsi="Times New Roman" w:cs="Times New Roman"/>
          <w:b/>
          <w:bCs/>
          <w:sz w:val="24"/>
          <w:szCs w:val="24"/>
        </w:rPr>
        <w:tab/>
        <w:t>Manutenção de arquivos</w:t>
      </w:r>
      <w:r w:rsidR="004712E2" w:rsidRPr="00CC6E99">
        <w:rPr>
          <w:rFonts w:ascii="Times New Roman" w:hAnsi="Times New Roman" w:cs="Times New Roman"/>
          <w:b/>
          <w:bCs/>
          <w:sz w:val="24"/>
          <w:szCs w:val="24"/>
        </w:rPr>
        <w:t xml:space="preserve"> – art. 21</w:t>
      </w:r>
      <w:r w:rsidRPr="00CC6E99">
        <w:rPr>
          <w:rFonts w:ascii="Times New Roman" w:hAnsi="Times New Roman" w:cs="Times New Roman"/>
          <w:b/>
          <w:bCs/>
          <w:sz w:val="24"/>
          <w:szCs w:val="24"/>
        </w:rPr>
        <w:t xml:space="preserve"> (</w:t>
      </w:r>
      <w:r w:rsidR="004712E2" w:rsidRPr="00CC6E99">
        <w:rPr>
          <w:rFonts w:ascii="Times New Roman" w:hAnsi="Times New Roman" w:cs="Times New Roman"/>
          <w:b/>
          <w:bCs/>
          <w:sz w:val="24"/>
          <w:szCs w:val="24"/>
        </w:rPr>
        <w:t xml:space="preserve">atual </w:t>
      </w:r>
      <w:r w:rsidRPr="00CC6E99">
        <w:rPr>
          <w:rFonts w:ascii="Times New Roman" w:hAnsi="Times New Roman" w:cs="Times New Roman"/>
          <w:b/>
          <w:bCs/>
          <w:sz w:val="24"/>
          <w:szCs w:val="24"/>
        </w:rPr>
        <w:t>art. 2</w:t>
      </w:r>
      <w:r w:rsidR="00477CC3">
        <w:rPr>
          <w:rFonts w:ascii="Times New Roman" w:hAnsi="Times New Roman" w:cs="Times New Roman"/>
          <w:b/>
          <w:bCs/>
          <w:sz w:val="24"/>
          <w:szCs w:val="24"/>
        </w:rPr>
        <w:t>2</w:t>
      </w:r>
      <w:r w:rsidRPr="00CC6E99">
        <w:rPr>
          <w:rFonts w:ascii="Times New Roman" w:hAnsi="Times New Roman" w:cs="Times New Roman"/>
          <w:b/>
          <w:bCs/>
          <w:sz w:val="24"/>
          <w:szCs w:val="24"/>
        </w:rPr>
        <w:t>)</w:t>
      </w:r>
    </w:p>
    <w:p w:rsidR="00D9084C" w:rsidRPr="00CC6E99" w:rsidRDefault="00D9084C" w:rsidP="004B5568">
      <w:pPr>
        <w:pStyle w:val="CorpoA"/>
        <w:spacing w:after="0" w:line="312" w:lineRule="auto"/>
        <w:jc w:val="both"/>
        <w:rPr>
          <w:rFonts w:ascii="Times New Roman" w:eastAsia="Times New Roman" w:hAnsi="Times New Roman" w:cs="Times New Roman"/>
          <w:b/>
          <w:bCs/>
          <w:sz w:val="24"/>
          <w:szCs w:val="24"/>
        </w:rPr>
      </w:pPr>
    </w:p>
    <w:p w:rsidR="00D9084C" w:rsidRPr="00CC6E99" w:rsidRDefault="005607BA" w:rsidP="004B5568">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lang w:val="da-DK"/>
        </w:rPr>
        <w:t>A ANBIMA sugere altera</w:t>
      </w:r>
      <w:r w:rsidRPr="00CC6E99">
        <w:rPr>
          <w:rFonts w:ascii="Times New Roman" w:hAnsi="Times New Roman" w:cs="Times New Roman"/>
          <w:sz w:val="24"/>
          <w:szCs w:val="24"/>
        </w:rPr>
        <w:t>r a redação da norma para esclarecer que os documentos devem ser mantidos por 5 anos, contados do término do contrato.</w:t>
      </w:r>
    </w:p>
    <w:p w:rsidR="00D9084C" w:rsidRPr="00CC6E99" w:rsidRDefault="00D9084C" w:rsidP="004B5568">
      <w:pPr>
        <w:pStyle w:val="CorpoA"/>
        <w:widowControl w:val="0"/>
        <w:spacing w:after="0" w:line="312" w:lineRule="auto"/>
        <w:ind w:firstLine="709"/>
        <w:jc w:val="both"/>
        <w:rPr>
          <w:rFonts w:ascii="Times New Roman" w:eastAsia="Times New Roman" w:hAnsi="Times New Roman" w:cs="Times New Roman"/>
          <w:sz w:val="24"/>
          <w:szCs w:val="24"/>
        </w:rPr>
      </w:pPr>
    </w:p>
    <w:tbl>
      <w:tblPr>
        <w:tblStyle w:val="TableNormal"/>
        <w:tblW w:w="103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D9084C" w:rsidRPr="00AF4AA5">
        <w:trPr>
          <w:trHeight w:val="1471"/>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D9084C" w:rsidRPr="00CC6E99" w:rsidRDefault="005607BA">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lang w:val="da-DK"/>
              </w:rPr>
              <w:lastRenderedPageBreak/>
              <w:t>A sugest</w:t>
            </w:r>
            <w:r w:rsidRPr="00CC6E99">
              <w:rPr>
                <w:rFonts w:ascii="Times New Roman" w:hAnsi="Times New Roman" w:cs="Times New Roman"/>
                <w:sz w:val="24"/>
                <w:szCs w:val="24"/>
              </w:rPr>
              <w:t>ão não foi acatada. A redação proposta é a que vem sendo adotada pela CVM nas  Instruções editadas. O prazo de manutenção dos documentos e informações é contado da data das referidas informações, com exceção, naturalmente, dos documentos relativos aos contratos de prestação de serviço de representação e de custódia que devem mantidos enquanto em vigor.</w:t>
            </w:r>
          </w:p>
        </w:tc>
      </w:tr>
    </w:tbl>
    <w:p w:rsidR="00D9084C" w:rsidRPr="00CC6E99" w:rsidRDefault="00D9084C" w:rsidP="000B2D11">
      <w:pPr>
        <w:pStyle w:val="CorpoA"/>
        <w:spacing w:before="120" w:after="0" w:line="312" w:lineRule="auto"/>
        <w:ind w:firstLine="709"/>
        <w:jc w:val="both"/>
        <w:rPr>
          <w:rFonts w:ascii="Times New Roman" w:eastAsia="Times New Roman" w:hAnsi="Times New Roman" w:cs="Times New Roman"/>
          <w:b/>
          <w:bCs/>
          <w:sz w:val="24"/>
          <w:szCs w:val="24"/>
        </w:rPr>
      </w:pPr>
    </w:p>
    <w:p w:rsidR="00D9084C" w:rsidRPr="00CC6E99" w:rsidRDefault="005607BA">
      <w:pPr>
        <w:pStyle w:val="CorpoA"/>
        <w:spacing w:after="0" w:line="312" w:lineRule="auto"/>
        <w:jc w:val="both"/>
        <w:rPr>
          <w:rFonts w:ascii="Times New Roman" w:eastAsia="Times New Roman" w:hAnsi="Times New Roman" w:cs="Times New Roman"/>
          <w:b/>
          <w:bCs/>
          <w:sz w:val="24"/>
          <w:szCs w:val="24"/>
        </w:rPr>
      </w:pPr>
      <w:r w:rsidRPr="00CC6E99">
        <w:rPr>
          <w:rFonts w:ascii="Times New Roman" w:hAnsi="Times New Roman" w:cs="Times New Roman"/>
          <w:b/>
          <w:bCs/>
          <w:sz w:val="24"/>
          <w:szCs w:val="24"/>
        </w:rPr>
        <w:t>3.1.</w:t>
      </w:r>
      <w:r w:rsidR="00477CC3">
        <w:rPr>
          <w:rFonts w:ascii="Times New Roman" w:hAnsi="Times New Roman" w:cs="Times New Roman"/>
          <w:b/>
          <w:bCs/>
          <w:sz w:val="24"/>
          <w:szCs w:val="24"/>
        </w:rPr>
        <w:t>14</w:t>
      </w:r>
      <w:r w:rsidRPr="00CC6E99">
        <w:rPr>
          <w:rFonts w:ascii="Times New Roman" w:hAnsi="Times New Roman" w:cs="Times New Roman"/>
          <w:b/>
          <w:bCs/>
          <w:sz w:val="24"/>
          <w:szCs w:val="24"/>
        </w:rPr>
        <w:t>.  Comunicações da CVM</w:t>
      </w:r>
      <w:r w:rsidR="004712E2" w:rsidRPr="00CC6E99">
        <w:rPr>
          <w:rFonts w:ascii="Times New Roman" w:hAnsi="Times New Roman" w:cs="Times New Roman"/>
          <w:b/>
          <w:bCs/>
          <w:sz w:val="24"/>
          <w:szCs w:val="24"/>
        </w:rPr>
        <w:t xml:space="preserve"> – art. 24</w:t>
      </w:r>
      <w:r w:rsidRPr="00CC6E99">
        <w:rPr>
          <w:rFonts w:ascii="Times New Roman" w:hAnsi="Times New Roman" w:cs="Times New Roman"/>
          <w:b/>
          <w:bCs/>
          <w:sz w:val="24"/>
          <w:szCs w:val="24"/>
        </w:rPr>
        <w:t xml:space="preserve"> (</w:t>
      </w:r>
      <w:r w:rsidR="004712E2" w:rsidRPr="00CC6E99">
        <w:rPr>
          <w:rFonts w:ascii="Times New Roman" w:hAnsi="Times New Roman" w:cs="Times New Roman"/>
          <w:b/>
          <w:bCs/>
          <w:sz w:val="24"/>
          <w:szCs w:val="24"/>
        </w:rPr>
        <w:t xml:space="preserve">atual </w:t>
      </w:r>
      <w:r w:rsidRPr="00CC6E99">
        <w:rPr>
          <w:rFonts w:ascii="Times New Roman" w:hAnsi="Times New Roman" w:cs="Times New Roman"/>
          <w:b/>
          <w:bCs/>
          <w:sz w:val="24"/>
          <w:szCs w:val="24"/>
        </w:rPr>
        <w:t>art. 2</w:t>
      </w:r>
      <w:r w:rsidR="00477CC3">
        <w:rPr>
          <w:rFonts w:ascii="Times New Roman" w:hAnsi="Times New Roman" w:cs="Times New Roman"/>
          <w:b/>
          <w:bCs/>
          <w:sz w:val="24"/>
          <w:szCs w:val="24"/>
        </w:rPr>
        <w:t>5</w:t>
      </w:r>
      <w:r w:rsidRPr="00CC6E99">
        <w:rPr>
          <w:rFonts w:ascii="Times New Roman" w:hAnsi="Times New Roman" w:cs="Times New Roman"/>
          <w:b/>
          <w:bCs/>
          <w:sz w:val="24"/>
          <w:szCs w:val="24"/>
        </w:rPr>
        <w:t>)</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A ANBIMA propõe a supressão da possibilidade de comunicação via fax, dado que o recebimento de comunicaçõ</w:t>
      </w:r>
      <w:r w:rsidRPr="00CC6E99">
        <w:rPr>
          <w:rFonts w:ascii="Times New Roman" w:hAnsi="Times New Roman" w:cs="Times New Roman"/>
          <w:sz w:val="24"/>
          <w:szCs w:val="24"/>
          <w:lang w:val="es-ES_tradnl"/>
        </w:rPr>
        <w:t xml:space="preserve">es por fax </w:t>
      </w:r>
      <w:r w:rsidRPr="00CC6E99">
        <w:rPr>
          <w:rFonts w:ascii="Times New Roman" w:hAnsi="Times New Roman" w:cs="Times New Roman"/>
          <w:sz w:val="24"/>
          <w:szCs w:val="24"/>
        </w:rPr>
        <w:t xml:space="preserve">é menos seguro e pode dar margem a falhas operacionais. </w:t>
      </w:r>
    </w:p>
    <w:p w:rsidR="00D9084C" w:rsidRPr="00CC6E99" w:rsidRDefault="00D9084C">
      <w:pPr>
        <w:pStyle w:val="CorpoA"/>
        <w:widowControl w:val="0"/>
        <w:spacing w:after="0" w:line="312" w:lineRule="auto"/>
        <w:ind w:firstLine="709"/>
        <w:jc w:val="both"/>
        <w:rPr>
          <w:rFonts w:ascii="Times New Roman" w:eastAsia="Times New Roman" w:hAnsi="Times New Roman" w:cs="Times New Roman"/>
          <w:sz w:val="24"/>
          <w:szCs w:val="24"/>
        </w:rPr>
      </w:pPr>
    </w:p>
    <w:tbl>
      <w:tblPr>
        <w:tblStyle w:val="TableNormal"/>
        <w:tblW w:w="103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D9084C" w:rsidRPr="00AF4AA5">
        <w:trPr>
          <w:trHeight w:val="360"/>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D9084C" w:rsidRPr="00CC6E99" w:rsidRDefault="005607BA">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rPr>
              <w:t>A sugestão é pertinente e foi acolhida.</w:t>
            </w:r>
          </w:p>
        </w:tc>
      </w:tr>
    </w:tbl>
    <w:p w:rsidR="00D9084C" w:rsidRPr="00CC6E99" w:rsidRDefault="00D9084C" w:rsidP="00CB3B28">
      <w:pPr>
        <w:pStyle w:val="CorpoA"/>
        <w:spacing w:before="120" w:after="0" w:line="312" w:lineRule="auto"/>
        <w:ind w:firstLine="709"/>
        <w:jc w:val="both"/>
        <w:rPr>
          <w:rFonts w:ascii="Times New Roman" w:eastAsia="Times New Roman" w:hAnsi="Times New Roman" w:cs="Times New Roman"/>
          <w:sz w:val="24"/>
          <w:szCs w:val="24"/>
        </w:rPr>
      </w:pPr>
    </w:p>
    <w:p w:rsidR="00D9084C" w:rsidRPr="00CC6E99" w:rsidRDefault="005607BA">
      <w:pPr>
        <w:pStyle w:val="Ttulo2"/>
        <w:spacing w:before="0" w:line="312" w:lineRule="auto"/>
      </w:pPr>
      <w:r w:rsidRPr="00CC6E99">
        <w:t>3.2.</w:t>
      </w:r>
      <w:r w:rsidRPr="00CC6E99">
        <w:tab/>
        <w:t>Informações para instrução do pedido de registro (Anexo 1)</w:t>
      </w:r>
      <w:r w:rsidRPr="00CC6E99">
        <w:tab/>
      </w:r>
    </w:p>
    <w:p w:rsidR="00CB3B28" w:rsidRPr="00CC6E99" w:rsidRDefault="00CB3B28" w:rsidP="00424771">
      <w:pPr>
        <w:pStyle w:val="CorpoA"/>
        <w:spacing w:after="0" w:line="312" w:lineRule="auto"/>
        <w:ind w:firstLine="709"/>
        <w:jc w:val="both"/>
        <w:rPr>
          <w:rFonts w:ascii="Times New Roman" w:hAnsi="Times New Roman" w:cs="Times New Roman"/>
          <w:sz w:val="24"/>
          <w:szCs w:val="24"/>
        </w:rPr>
      </w:pPr>
    </w:p>
    <w:p w:rsidR="00D9084C" w:rsidRPr="00CC6E99" w:rsidRDefault="005607BA" w:rsidP="00424771">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rPr>
        <w:t xml:space="preserve">Mauro Salvo </w:t>
      </w:r>
      <w:r w:rsidR="00424771" w:rsidRPr="00CC6E99">
        <w:rPr>
          <w:rFonts w:ascii="Times New Roman" w:hAnsi="Times New Roman" w:cs="Times New Roman"/>
          <w:sz w:val="24"/>
          <w:szCs w:val="24"/>
        </w:rPr>
        <w:t>propõe</w:t>
      </w:r>
      <w:r w:rsidR="00ED68CE" w:rsidRPr="00CC6E99">
        <w:rPr>
          <w:rFonts w:ascii="Times New Roman" w:hAnsi="Times New Roman" w:cs="Times New Roman"/>
          <w:sz w:val="24"/>
          <w:szCs w:val="24"/>
        </w:rPr>
        <w:t xml:space="preserve"> que se inclua a categoria Fundo Soberano, dentre opções para a qualificação do investidor não residente.</w:t>
      </w:r>
      <w:r w:rsidR="00424771" w:rsidRPr="00CC6E99">
        <w:rPr>
          <w:rFonts w:ascii="Times New Roman" w:hAnsi="Times New Roman" w:cs="Times New Roman"/>
          <w:sz w:val="24"/>
          <w:szCs w:val="24"/>
        </w:rPr>
        <w:t xml:space="preserve"> </w:t>
      </w:r>
      <w:r w:rsidR="000B2D11">
        <w:rPr>
          <w:rFonts w:ascii="Times New Roman" w:hAnsi="Times New Roman" w:cs="Times New Roman"/>
          <w:sz w:val="24"/>
          <w:szCs w:val="24"/>
        </w:rPr>
        <w:t>O participante entende que a</w:t>
      </w:r>
      <w:r w:rsidR="00ED68CE" w:rsidRPr="00CC6E99">
        <w:rPr>
          <w:rFonts w:ascii="Times New Roman" w:hAnsi="Times New Roman" w:cs="Times New Roman"/>
          <w:sz w:val="24"/>
          <w:szCs w:val="24"/>
        </w:rPr>
        <w:t xml:space="preserve"> norma deve prever</w:t>
      </w:r>
      <w:r w:rsidRPr="00CC6E99">
        <w:rPr>
          <w:rFonts w:ascii="Times New Roman" w:hAnsi="Times New Roman" w:cs="Times New Roman"/>
          <w:sz w:val="24"/>
          <w:szCs w:val="24"/>
        </w:rPr>
        <w:t xml:space="preserve"> a necessidade de identificar os fundos soberanos</w:t>
      </w:r>
      <w:r w:rsidR="00ED68CE" w:rsidRPr="00CC6E99">
        <w:rPr>
          <w:rFonts w:ascii="Times New Roman" w:hAnsi="Times New Roman" w:cs="Times New Roman"/>
          <w:sz w:val="24"/>
          <w:szCs w:val="24"/>
        </w:rPr>
        <w:t xml:space="preserve"> e</w:t>
      </w:r>
      <w:r w:rsidRPr="00CC6E99">
        <w:rPr>
          <w:rFonts w:ascii="Times New Roman" w:hAnsi="Times New Roman" w:cs="Times New Roman"/>
          <w:sz w:val="24"/>
          <w:szCs w:val="24"/>
        </w:rPr>
        <w:t xml:space="preserve"> empresas de propriedade destes fundos.</w:t>
      </w:r>
    </w:p>
    <w:p w:rsidR="00D9084C" w:rsidRPr="00CC6E99" w:rsidRDefault="00D9084C">
      <w:pPr>
        <w:pStyle w:val="CorpoA"/>
        <w:widowControl w:val="0"/>
        <w:spacing w:after="0" w:line="312" w:lineRule="auto"/>
        <w:ind w:firstLine="709"/>
        <w:jc w:val="both"/>
        <w:rPr>
          <w:rFonts w:ascii="Times New Roman" w:eastAsia="Times New Roman" w:hAnsi="Times New Roman" w:cs="Times New Roman"/>
          <w:sz w:val="24"/>
          <w:szCs w:val="24"/>
        </w:rPr>
      </w:pPr>
    </w:p>
    <w:tbl>
      <w:tblPr>
        <w:tblStyle w:val="TableNormal"/>
        <w:tblW w:w="1019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199"/>
      </w:tblGrid>
      <w:tr w:rsidR="00D9084C" w:rsidRPr="00AF4AA5" w:rsidTr="006D11E7">
        <w:trPr>
          <w:trHeight w:val="83"/>
        </w:trPr>
        <w:tc>
          <w:tcPr>
            <w:tcW w:w="10199"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DB32CB" w:rsidRPr="00CC6E99" w:rsidRDefault="00ED68CE" w:rsidP="00F44763">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rPr>
              <w:t xml:space="preserve">A proposta foi considerada válida e </w:t>
            </w:r>
            <w:r w:rsidR="00424771" w:rsidRPr="00CC6E99">
              <w:rPr>
                <w:rFonts w:ascii="Times New Roman" w:hAnsi="Times New Roman" w:cs="Times New Roman"/>
                <w:sz w:val="24"/>
                <w:szCs w:val="24"/>
              </w:rPr>
              <w:t>incorporada na</w:t>
            </w:r>
            <w:r w:rsidR="001D47BE" w:rsidRPr="00CC6E99">
              <w:rPr>
                <w:rFonts w:ascii="Times New Roman" w:hAnsi="Times New Roman" w:cs="Times New Roman"/>
                <w:sz w:val="24"/>
                <w:szCs w:val="24"/>
              </w:rPr>
              <w:t xml:space="preserve"> </w:t>
            </w:r>
            <w:r w:rsidRPr="00CC6E99">
              <w:rPr>
                <w:rFonts w:ascii="Times New Roman" w:hAnsi="Times New Roman" w:cs="Times New Roman"/>
                <w:sz w:val="24"/>
                <w:szCs w:val="24"/>
              </w:rPr>
              <w:t>norma.</w:t>
            </w:r>
            <w:r w:rsidR="00DB32CB" w:rsidRPr="00CC6E99">
              <w:rPr>
                <w:rFonts w:ascii="Times New Roman" w:hAnsi="Times New Roman" w:cs="Times New Roman"/>
                <w:sz w:val="24"/>
                <w:szCs w:val="24"/>
              </w:rPr>
              <w:t xml:space="preserve"> A versão final do Anexo 1 também foi alterada para</w:t>
            </w:r>
            <w:r w:rsidR="000B10F0" w:rsidRPr="00CC6E99">
              <w:rPr>
                <w:rFonts w:ascii="Times New Roman" w:hAnsi="Times New Roman" w:cs="Times New Roman"/>
                <w:sz w:val="24"/>
                <w:szCs w:val="24"/>
              </w:rPr>
              <w:t>: (a)</w:t>
            </w:r>
            <w:r w:rsidR="00DB32CB" w:rsidRPr="00CC6E99">
              <w:rPr>
                <w:rFonts w:ascii="Times New Roman" w:hAnsi="Times New Roman" w:cs="Times New Roman"/>
                <w:sz w:val="24"/>
                <w:szCs w:val="24"/>
              </w:rPr>
              <w:t xml:space="preserve"> </w:t>
            </w:r>
            <w:r w:rsidR="000B10F0" w:rsidRPr="00CC6E99">
              <w:rPr>
                <w:rFonts w:ascii="Times New Roman" w:hAnsi="Times New Roman" w:cs="Times New Roman"/>
                <w:sz w:val="24"/>
                <w:szCs w:val="24"/>
              </w:rPr>
              <w:t xml:space="preserve">modificar a redação </w:t>
            </w:r>
            <w:r w:rsidR="001A0389" w:rsidRPr="00CC6E99">
              <w:rPr>
                <w:rFonts w:ascii="Times New Roman" w:hAnsi="Times New Roman" w:cs="Times New Roman"/>
                <w:sz w:val="24"/>
                <w:szCs w:val="24"/>
              </w:rPr>
              <w:t xml:space="preserve">art. 1º, §1º, VII, </w:t>
            </w:r>
            <w:r w:rsidR="000B2D11">
              <w:rPr>
                <w:rFonts w:ascii="Times New Roman" w:hAnsi="Times New Roman" w:cs="Times New Roman"/>
                <w:sz w:val="24"/>
                <w:szCs w:val="24"/>
              </w:rPr>
              <w:t>para</w:t>
            </w:r>
            <w:r w:rsidR="000B10F0" w:rsidRPr="00CC6E99">
              <w:rPr>
                <w:rFonts w:ascii="Times New Roman" w:hAnsi="Times New Roman" w:cs="Times New Roman"/>
                <w:sz w:val="24"/>
                <w:szCs w:val="24"/>
              </w:rPr>
              <w:t xml:space="preserve"> </w:t>
            </w:r>
            <w:r w:rsidR="001A0389" w:rsidRPr="00CC6E99">
              <w:rPr>
                <w:rFonts w:ascii="Times New Roman" w:hAnsi="Times New Roman" w:cs="Times New Roman"/>
                <w:sz w:val="24"/>
                <w:szCs w:val="24"/>
              </w:rPr>
              <w:t xml:space="preserve">prever que </w:t>
            </w:r>
            <w:r w:rsidR="000B2D11">
              <w:rPr>
                <w:rFonts w:ascii="Times New Roman" w:hAnsi="Times New Roman" w:cs="Times New Roman"/>
                <w:sz w:val="24"/>
                <w:szCs w:val="24"/>
              </w:rPr>
              <w:t>a qualific</w:t>
            </w:r>
            <w:r w:rsidR="001A0389" w:rsidRPr="00CC6E99">
              <w:rPr>
                <w:rFonts w:ascii="Times New Roman" w:hAnsi="Times New Roman" w:cs="Times New Roman"/>
                <w:sz w:val="24"/>
                <w:szCs w:val="24"/>
              </w:rPr>
              <w:t>ação c</w:t>
            </w:r>
            <w:r w:rsidR="000B10F0" w:rsidRPr="00CC6E99">
              <w:rPr>
                <w:rFonts w:ascii="Times New Roman" w:hAnsi="Times New Roman" w:cs="Times New Roman"/>
                <w:sz w:val="24"/>
                <w:szCs w:val="24"/>
              </w:rPr>
              <w:t>omo</w:t>
            </w:r>
            <w:r w:rsidR="001A0389" w:rsidRPr="00CC6E99">
              <w:rPr>
                <w:rFonts w:ascii="Times New Roman" w:hAnsi="Times New Roman" w:cs="Times New Roman"/>
                <w:sz w:val="24"/>
                <w:szCs w:val="24"/>
              </w:rPr>
              <w:t xml:space="preserve"> </w:t>
            </w:r>
            <w:r w:rsidR="000B10F0" w:rsidRPr="00CC6E99">
              <w:rPr>
                <w:rFonts w:ascii="Times New Roman" w:hAnsi="Times New Roman" w:cs="Times New Roman"/>
                <w:sz w:val="24"/>
                <w:szCs w:val="24"/>
              </w:rPr>
              <w:t>entidade que atua na distribuição e</w:t>
            </w:r>
            <w:r w:rsidR="001A0389" w:rsidRPr="00CC6E99">
              <w:rPr>
                <w:rFonts w:ascii="Times New Roman" w:hAnsi="Times New Roman" w:cs="Times New Roman"/>
                <w:sz w:val="24"/>
                <w:szCs w:val="24"/>
              </w:rPr>
              <w:t xml:space="preserve"> intermedi</w:t>
            </w:r>
            <w:r w:rsidR="000B10F0" w:rsidRPr="00CC6E99">
              <w:rPr>
                <w:rFonts w:ascii="Times New Roman" w:hAnsi="Times New Roman" w:cs="Times New Roman"/>
                <w:sz w:val="24"/>
                <w:szCs w:val="24"/>
              </w:rPr>
              <w:t xml:space="preserve">ação de negócios com valores mobiliários somente pode ser utilizada </w:t>
            </w:r>
            <w:r w:rsidR="000B2D11">
              <w:rPr>
                <w:rFonts w:ascii="Times New Roman" w:hAnsi="Times New Roman" w:cs="Times New Roman"/>
                <w:sz w:val="24"/>
                <w:szCs w:val="24"/>
              </w:rPr>
              <w:t>por</w:t>
            </w:r>
            <w:r w:rsidR="000B10F0" w:rsidRPr="00CC6E99">
              <w:rPr>
                <w:rFonts w:ascii="Times New Roman" w:hAnsi="Times New Roman" w:cs="Times New Roman"/>
                <w:sz w:val="24"/>
                <w:szCs w:val="24"/>
              </w:rPr>
              <w:t xml:space="preserve"> essas entidades</w:t>
            </w:r>
            <w:r w:rsidR="000B2D11">
              <w:rPr>
                <w:rFonts w:ascii="Times New Roman" w:hAnsi="Times New Roman" w:cs="Times New Roman"/>
                <w:sz w:val="24"/>
                <w:szCs w:val="24"/>
              </w:rPr>
              <w:t xml:space="preserve"> quando</w:t>
            </w:r>
            <w:r w:rsidR="000B10F0" w:rsidRPr="00CC6E99">
              <w:rPr>
                <w:rFonts w:ascii="Times New Roman" w:hAnsi="Times New Roman" w:cs="Times New Roman"/>
                <w:sz w:val="24"/>
                <w:szCs w:val="24"/>
              </w:rPr>
              <w:t xml:space="preserve"> atua</w:t>
            </w:r>
            <w:r w:rsidR="000B2D11">
              <w:rPr>
                <w:rFonts w:ascii="Times New Roman" w:hAnsi="Times New Roman" w:cs="Times New Roman"/>
                <w:sz w:val="24"/>
                <w:szCs w:val="24"/>
              </w:rPr>
              <w:t>ndo</w:t>
            </w:r>
            <w:r w:rsidR="000B10F0" w:rsidRPr="00CC6E99">
              <w:rPr>
                <w:rFonts w:ascii="Times New Roman" w:hAnsi="Times New Roman" w:cs="Times New Roman"/>
                <w:sz w:val="24"/>
                <w:szCs w:val="24"/>
              </w:rPr>
              <w:t xml:space="preserve"> por conta própria;</w:t>
            </w:r>
            <w:r w:rsidR="001A0389" w:rsidRPr="00CC6E99">
              <w:rPr>
                <w:rFonts w:ascii="Times New Roman" w:hAnsi="Times New Roman" w:cs="Times New Roman"/>
                <w:sz w:val="24"/>
                <w:szCs w:val="24"/>
              </w:rPr>
              <w:t xml:space="preserve"> </w:t>
            </w:r>
            <w:r w:rsidR="000B10F0" w:rsidRPr="00CC6E99">
              <w:rPr>
                <w:rFonts w:ascii="Times New Roman" w:hAnsi="Times New Roman" w:cs="Times New Roman"/>
                <w:sz w:val="24"/>
                <w:szCs w:val="24"/>
              </w:rPr>
              <w:t>(b)</w:t>
            </w:r>
            <w:r w:rsidR="00F44763">
              <w:rPr>
                <w:rFonts w:ascii="Times New Roman" w:hAnsi="Times New Roman" w:cs="Times New Roman"/>
                <w:sz w:val="24"/>
                <w:szCs w:val="24"/>
              </w:rPr>
              <w:t xml:space="preserve"> aperfeiçoar a redação do art. 1º, §1º, XII; e (c) </w:t>
            </w:r>
            <w:r w:rsidR="00F44763" w:rsidRPr="00CC6E99">
              <w:rPr>
                <w:rFonts w:ascii="Times New Roman" w:hAnsi="Times New Roman" w:cs="Times New Roman"/>
                <w:sz w:val="24"/>
                <w:szCs w:val="24"/>
              </w:rPr>
              <w:t>atualizar a redação do art. 1º, §2º, I</w:t>
            </w:r>
            <w:r w:rsidR="00F44763">
              <w:rPr>
                <w:rFonts w:ascii="Times New Roman" w:hAnsi="Times New Roman" w:cs="Times New Roman"/>
                <w:sz w:val="24"/>
                <w:szCs w:val="24"/>
              </w:rPr>
              <w:t>.</w:t>
            </w:r>
          </w:p>
        </w:tc>
      </w:tr>
    </w:tbl>
    <w:p w:rsidR="00D9084C" w:rsidRDefault="00D9084C" w:rsidP="00CB3B28">
      <w:pPr>
        <w:pStyle w:val="CorpoA"/>
        <w:widowControl w:val="0"/>
        <w:spacing w:before="120" w:after="0" w:line="240" w:lineRule="auto"/>
        <w:ind w:firstLine="709"/>
        <w:jc w:val="both"/>
        <w:rPr>
          <w:rFonts w:ascii="Times New Roman" w:eastAsia="Times New Roman" w:hAnsi="Times New Roman" w:cs="Times New Roman"/>
          <w:b/>
          <w:bCs/>
          <w:sz w:val="24"/>
          <w:szCs w:val="24"/>
        </w:rPr>
      </w:pPr>
    </w:p>
    <w:p w:rsidR="000C6CBC" w:rsidRPr="00CC6E99" w:rsidRDefault="000C6CBC" w:rsidP="000C6CBC">
      <w:pPr>
        <w:pStyle w:val="CorpoA"/>
        <w:spacing w:after="0" w:line="312" w:lineRule="auto"/>
        <w:ind w:firstLine="709"/>
        <w:jc w:val="both"/>
        <w:rPr>
          <w:rFonts w:ascii="Times New Roman" w:eastAsia="Times New Roman" w:hAnsi="Times New Roman" w:cs="Times New Roman"/>
          <w:i/>
          <w:iCs/>
          <w:sz w:val="24"/>
          <w:szCs w:val="24"/>
        </w:rPr>
      </w:pPr>
      <w:r w:rsidRPr="00CC6E99">
        <w:rPr>
          <w:rFonts w:ascii="Times New Roman" w:hAnsi="Times New Roman" w:cs="Times New Roman"/>
          <w:sz w:val="24"/>
          <w:szCs w:val="24"/>
        </w:rPr>
        <w:t>A ANBIMA sugere ajuste na redação do inciso VII, art. 1º do Anexo 1, substituindo o comando “condição, identificando se o investidor não residente é (…)”, por “identificar se o investidor não residente é (…)”.</w:t>
      </w:r>
    </w:p>
    <w:p w:rsidR="000C6CBC" w:rsidRPr="00CC6E99" w:rsidRDefault="000C6CBC" w:rsidP="000C6CBC">
      <w:pPr>
        <w:pStyle w:val="CorpoA"/>
        <w:widowControl w:val="0"/>
        <w:spacing w:after="0" w:line="312" w:lineRule="auto"/>
        <w:ind w:firstLine="709"/>
        <w:jc w:val="both"/>
        <w:rPr>
          <w:rFonts w:ascii="Times New Roman" w:eastAsia="Times New Roman" w:hAnsi="Times New Roman" w:cs="Times New Roman"/>
          <w:sz w:val="24"/>
          <w:szCs w:val="24"/>
        </w:rPr>
      </w:pPr>
    </w:p>
    <w:tbl>
      <w:tblPr>
        <w:tblStyle w:val="TableNormal"/>
        <w:tblW w:w="103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0C6CBC" w:rsidRPr="00CC6E99" w:rsidTr="00806F96">
        <w:trPr>
          <w:trHeight w:val="360"/>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0C6CBC" w:rsidRPr="00CC6E99" w:rsidRDefault="000C6CBC" w:rsidP="00806F96">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rPr>
              <w:t>As sugestões foram acatadas.</w:t>
            </w:r>
          </w:p>
        </w:tc>
      </w:tr>
    </w:tbl>
    <w:p w:rsidR="0054443C" w:rsidRPr="00CC6E99" w:rsidRDefault="0054443C" w:rsidP="000C6CBC">
      <w:pPr>
        <w:pStyle w:val="CorpoA"/>
        <w:spacing w:before="120" w:after="0" w:line="312" w:lineRule="auto"/>
        <w:ind w:firstLine="709"/>
        <w:jc w:val="both"/>
        <w:rPr>
          <w:rFonts w:ascii="Times New Roman" w:eastAsia="Times New Roman" w:hAnsi="Times New Roman" w:cs="Times New Roman"/>
          <w:sz w:val="24"/>
          <w:szCs w:val="24"/>
        </w:rPr>
      </w:pPr>
    </w:p>
    <w:p w:rsidR="00D9084C" w:rsidRPr="00CC6E99" w:rsidRDefault="005607BA" w:rsidP="00F76780">
      <w:pPr>
        <w:pStyle w:val="CorpoA"/>
        <w:keepNext/>
        <w:spacing w:after="0" w:line="312" w:lineRule="auto"/>
        <w:jc w:val="both"/>
        <w:rPr>
          <w:rFonts w:ascii="Times New Roman" w:eastAsia="Times New Roman" w:hAnsi="Times New Roman" w:cs="Times New Roman"/>
          <w:b/>
          <w:bCs/>
          <w:sz w:val="24"/>
          <w:szCs w:val="24"/>
        </w:rPr>
      </w:pPr>
      <w:r w:rsidRPr="00CC6E99">
        <w:rPr>
          <w:rFonts w:ascii="Times New Roman" w:hAnsi="Times New Roman" w:cs="Times New Roman"/>
          <w:b/>
          <w:bCs/>
          <w:sz w:val="24"/>
          <w:szCs w:val="24"/>
        </w:rPr>
        <w:lastRenderedPageBreak/>
        <w:t xml:space="preserve">3.3. Conteúdo dos informes mensal e semestral </w:t>
      </w:r>
      <w:r w:rsidR="000C6CBC">
        <w:rPr>
          <w:rFonts w:ascii="Times New Roman" w:hAnsi="Times New Roman" w:cs="Times New Roman"/>
          <w:b/>
          <w:bCs/>
          <w:sz w:val="24"/>
          <w:szCs w:val="24"/>
        </w:rPr>
        <w:t xml:space="preserve">- </w:t>
      </w:r>
      <w:r w:rsidR="000C6CBC" w:rsidRPr="00CC6E99">
        <w:rPr>
          <w:rFonts w:ascii="Times New Roman" w:hAnsi="Times New Roman" w:cs="Times New Roman"/>
          <w:b/>
          <w:bCs/>
          <w:sz w:val="24"/>
          <w:szCs w:val="24"/>
        </w:rPr>
        <w:t>Anexos 1</w:t>
      </w:r>
      <w:r w:rsidR="000C6CBC">
        <w:rPr>
          <w:rFonts w:ascii="Times New Roman" w:hAnsi="Times New Roman" w:cs="Times New Roman"/>
          <w:b/>
          <w:bCs/>
          <w:sz w:val="24"/>
          <w:szCs w:val="24"/>
        </w:rPr>
        <w:t>3</w:t>
      </w:r>
      <w:r w:rsidR="000C6CBC" w:rsidRPr="00CC6E99">
        <w:rPr>
          <w:rFonts w:ascii="Times New Roman" w:hAnsi="Times New Roman" w:cs="Times New Roman"/>
          <w:b/>
          <w:bCs/>
          <w:sz w:val="24"/>
          <w:szCs w:val="24"/>
        </w:rPr>
        <w:t>-A e 1</w:t>
      </w:r>
      <w:r w:rsidR="000C6CBC">
        <w:rPr>
          <w:rFonts w:ascii="Times New Roman" w:hAnsi="Times New Roman" w:cs="Times New Roman"/>
          <w:b/>
          <w:bCs/>
          <w:sz w:val="24"/>
          <w:szCs w:val="24"/>
        </w:rPr>
        <w:t>3</w:t>
      </w:r>
      <w:r w:rsidR="000C6CBC" w:rsidRPr="00CC6E99">
        <w:rPr>
          <w:rFonts w:ascii="Times New Roman" w:hAnsi="Times New Roman" w:cs="Times New Roman"/>
          <w:b/>
          <w:bCs/>
          <w:sz w:val="24"/>
          <w:szCs w:val="24"/>
        </w:rPr>
        <w:t xml:space="preserve">-B </w:t>
      </w:r>
      <w:r w:rsidRPr="00CC6E99">
        <w:rPr>
          <w:rFonts w:ascii="Times New Roman" w:hAnsi="Times New Roman" w:cs="Times New Roman"/>
          <w:b/>
          <w:bCs/>
          <w:sz w:val="24"/>
          <w:szCs w:val="24"/>
        </w:rPr>
        <w:t>(</w:t>
      </w:r>
      <w:r w:rsidR="000C6CBC">
        <w:rPr>
          <w:rFonts w:ascii="Times New Roman" w:hAnsi="Times New Roman" w:cs="Times New Roman"/>
          <w:b/>
          <w:bCs/>
          <w:sz w:val="24"/>
          <w:szCs w:val="24"/>
        </w:rPr>
        <w:t xml:space="preserve">atuais </w:t>
      </w:r>
      <w:r w:rsidRPr="00CC6E99">
        <w:rPr>
          <w:rFonts w:ascii="Times New Roman" w:hAnsi="Times New Roman" w:cs="Times New Roman"/>
          <w:b/>
          <w:bCs/>
          <w:sz w:val="24"/>
          <w:szCs w:val="24"/>
        </w:rPr>
        <w:t>Anexos 14-A e 14-B)</w:t>
      </w:r>
    </w:p>
    <w:p w:rsidR="00C53361" w:rsidRDefault="00C53361" w:rsidP="00F76780">
      <w:pPr>
        <w:pStyle w:val="CorpoA"/>
        <w:keepNext/>
        <w:spacing w:after="0" w:line="240" w:lineRule="auto"/>
        <w:jc w:val="both"/>
        <w:rPr>
          <w:rFonts w:ascii="Times New Roman" w:eastAsia="Times New Roman" w:hAnsi="Times New Roman" w:cs="Times New Roman"/>
          <w:b/>
          <w:bCs/>
          <w:sz w:val="24"/>
          <w:szCs w:val="24"/>
        </w:rPr>
      </w:pPr>
    </w:p>
    <w:p w:rsidR="00D9084C" w:rsidRPr="00CC6E99" w:rsidRDefault="005607BA" w:rsidP="00F76780">
      <w:pPr>
        <w:pStyle w:val="CorpoA"/>
        <w:keepNext/>
        <w:spacing w:after="0" w:line="312" w:lineRule="auto"/>
        <w:jc w:val="both"/>
        <w:rPr>
          <w:rFonts w:ascii="Times New Roman" w:eastAsia="Times New Roman" w:hAnsi="Times New Roman" w:cs="Times New Roman"/>
          <w:b/>
          <w:bCs/>
          <w:sz w:val="24"/>
          <w:szCs w:val="24"/>
        </w:rPr>
      </w:pPr>
      <w:r w:rsidRPr="00CC6E99">
        <w:rPr>
          <w:rFonts w:ascii="Times New Roman" w:hAnsi="Times New Roman" w:cs="Times New Roman"/>
          <w:b/>
          <w:bCs/>
          <w:sz w:val="24"/>
          <w:szCs w:val="24"/>
        </w:rPr>
        <w:t>3.</w:t>
      </w:r>
      <w:r w:rsidR="000160B3" w:rsidRPr="00CC6E99">
        <w:rPr>
          <w:rFonts w:ascii="Times New Roman" w:hAnsi="Times New Roman" w:cs="Times New Roman"/>
          <w:b/>
          <w:bCs/>
          <w:sz w:val="24"/>
          <w:szCs w:val="24"/>
        </w:rPr>
        <w:t>3</w:t>
      </w:r>
      <w:r w:rsidRPr="00CC6E99">
        <w:rPr>
          <w:rFonts w:ascii="Times New Roman" w:hAnsi="Times New Roman" w:cs="Times New Roman"/>
          <w:b/>
          <w:bCs/>
          <w:sz w:val="24"/>
          <w:szCs w:val="24"/>
        </w:rPr>
        <w:t>.1. Comentários gerais</w:t>
      </w:r>
    </w:p>
    <w:p w:rsidR="00D9084C" w:rsidRPr="00CC6E99" w:rsidRDefault="00D9084C" w:rsidP="00F76780">
      <w:pPr>
        <w:pStyle w:val="CorpoA"/>
        <w:keepNext/>
        <w:spacing w:after="0" w:line="240" w:lineRule="auto"/>
        <w:ind w:firstLine="709"/>
        <w:jc w:val="both"/>
        <w:rPr>
          <w:rFonts w:ascii="Times New Roman" w:eastAsia="Times New Roman" w:hAnsi="Times New Roman" w:cs="Times New Roman"/>
          <w:sz w:val="24"/>
          <w:szCs w:val="24"/>
        </w:rPr>
      </w:pPr>
    </w:p>
    <w:p w:rsidR="00D9084C" w:rsidRPr="00CC6E99" w:rsidRDefault="005607BA" w:rsidP="00F76780">
      <w:pPr>
        <w:pStyle w:val="CorpoA"/>
        <w:keepNext/>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Mauro Salvo questiona por que as informações não são prestadas pelos custodiantes, na medida em que sã</w:t>
      </w:r>
      <w:r w:rsidRPr="00CC6E99">
        <w:rPr>
          <w:rFonts w:ascii="Times New Roman" w:hAnsi="Times New Roman" w:cs="Times New Roman"/>
          <w:sz w:val="24"/>
          <w:szCs w:val="24"/>
          <w:lang w:val="es-ES_tradnl"/>
        </w:rPr>
        <w:t xml:space="preserve">o eles que </w:t>
      </w:r>
      <w:proofErr w:type="spellStart"/>
      <w:r w:rsidRPr="00CC6E99">
        <w:rPr>
          <w:rFonts w:ascii="Times New Roman" w:hAnsi="Times New Roman" w:cs="Times New Roman"/>
          <w:sz w:val="24"/>
          <w:szCs w:val="24"/>
          <w:lang w:val="es-ES_tradnl"/>
        </w:rPr>
        <w:t>det</w:t>
      </w:r>
      <w:proofErr w:type="spellEnd"/>
      <w:r w:rsidRPr="00CC6E99">
        <w:rPr>
          <w:rFonts w:ascii="Times New Roman" w:hAnsi="Times New Roman" w:cs="Times New Roman"/>
          <w:sz w:val="24"/>
          <w:szCs w:val="24"/>
        </w:rPr>
        <w:t xml:space="preserve">ém as informações mais detalhadas. </w:t>
      </w:r>
    </w:p>
    <w:p w:rsidR="00D9084C" w:rsidRPr="00CC6E99" w:rsidRDefault="00D9084C" w:rsidP="006D11E7">
      <w:pPr>
        <w:pStyle w:val="CorpoA"/>
        <w:widowControl w:val="0"/>
        <w:spacing w:after="0" w:line="312" w:lineRule="auto"/>
        <w:ind w:firstLine="709"/>
        <w:jc w:val="both"/>
        <w:rPr>
          <w:rFonts w:ascii="Times New Roman" w:eastAsia="Times New Roman" w:hAnsi="Times New Roman" w:cs="Times New Roman"/>
          <w:sz w:val="24"/>
          <w:szCs w:val="24"/>
        </w:rPr>
      </w:pPr>
    </w:p>
    <w:tbl>
      <w:tblPr>
        <w:tblStyle w:val="TableNormal"/>
        <w:tblW w:w="103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D9084C" w:rsidRPr="00AF4AA5" w:rsidTr="00C26A51">
        <w:trPr>
          <w:trHeight w:val="194"/>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D9084C" w:rsidRPr="00CC6E99" w:rsidRDefault="005607BA" w:rsidP="00CB3B28">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rPr>
              <w:t xml:space="preserve">A Resolução CMN nº 4.373, de 2014, atribui ao representante do investidor não residente uma série de obrigações, dentre as quais o dever de prestar informações sobre as movimentações de recursos realizadas de acordo com suas normas, sendo também de sua responsabilidade comunicar ao </w:t>
            </w:r>
            <w:r w:rsidR="004B479A" w:rsidRPr="00CC6E99">
              <w:rPr>
                <w:rFonts w:ascii="Times New Roman" w:hAnsi="Times New Roman" w:cs="Times New Roman"/>
                <w:sz w:val="24"/>
                <w:szCs w:val="24"/>
              </w:rPr>
              <w:t>BCB</w:t>
            </w:r>
            <w:r w:rsidRPr="00CC6E99">
              <w:rPr>
                <w:rFonts w:ascii="Times New Roman" w:hAnsi="Times New Roman" w:cs="Times New Roman"/>
                <w:sz w:val="24"/>
                <w:szCs w:val="24"/>
              </w:rPr>
              <w:t xml:space="preserve"> e à CVM as irregularidades de que tome conhecimento. </w:t>
            </w:r>
          </w:p>
          <w:p w:rsidR="00D9084C" w:rsidRPr="00CC6E99" w:rsidRDefault="00D9084C" w:rsidP="00CB3B28">
            <w:pPr>
              <w:pStyle w:val="CorpoA"/>
              <w:spacing w:after="0" w:line="240" w:lineRule="auto"/>
              <w:ind w:firstLine="709"/>
              <w:jc w:val="both"/>
              <w:rPr>
                <w:rFonts w:ascii="Times New Roman" w:hAnsi="Times New Roman" w:cs="Times New Roman"/>
                <w:sz w:val="24"/>
                <w:szCs w:val="24"/>
              </w:rPr>
            </w:pPr>
          </w:p>
          <w:p w:rsidR="00D9084C" w:rsidRPr="00CC6E99" w:rsidRDefault="005607BA" w:rsidP="00CB3B28">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rPr>
              <w:t>Para a prestação das informações requeridas nos informes, o representante pode solicitar informações aos custodiantes bem como a outras entidades do mercado. Essa prerrogativa foi reforçada na alteração realizada no §1º do art. 14.</w:t>
            </w:r>
          </w:p>
        </w:tc>
      </w:tr>
    </w:tbl>
    <w:p w:rsidR="006D249F" w:rsidRPr="00CC6E99" w:rsidRDefault="006D249F" w:rsidP="006D249F">
      <w:pPr>
        <w:pStyle w:val="CorpoA"/>
        <w:widowControl w:val="0"/>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Mauro Salvo sugeriu que no informe mensal por titular, seria de extrema importância a inclusão da informação sobre os depósitos dos investidores mantidos em sub-contas junto aos custodiantes que não estão</w:t>
      </w:r>
      <w:r w:rsidR="00214CDC">
        <w:rPr>
          <w:rFonts w:ascii="Times New Roman" w:hAnsi="Times New Roman" w:cs="Times New Roman"/>
          <w:sz w:val="24"/>
          <w:szCs w:val="24"/>
        </w:rPr>
        <w:t xml:space="preserve"> aplicados em nenhum outro item</w:t>
      </w:r>
      <w:r w:rsidRPr="00CC6E99">
        <w:rPr>
          <w:rFonts w:ascii="Times New Roman" w:hAnsi="Times New Roman" w:cs="Times New Roman"/>
          <w:sz w:val="24"/>
          <w:szCs w:val="24"/>
        </w:rPr>
        <w:t>.</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80DD1">
      <w:pPr>
        <w:pStyle w:val="CorpoA"/>
        <w:spacing w:after="0" w:line="312"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Ele p</w:t>
      </w:r>
      <w:r w:rsidR="005607BA" w:rsidRPr="00CC6E99">
        <w:rPr>
          <w:rFonts w:ascii="Times New Roman" w:hAnsi="Times New Roman" w:cs="Times New Roman"/>
          <w:sz w:val="24"/>
          <w:szCs w:val="24"/>
        </w:rPr>
        <w:t xml:space="preserve">ropõe que quando da regulamentação, o formulário entregue </w:t>
      </w:r>
      <w:r w:rsidR="00214CDC">
        <w:rPr>
          <w:rFonts w:ascii="Times New Roman" w:hAnsi="Times New Roman" w:cs="Times New Roman"/>
          <w:sz w:val="24"/>
          <w:szCs w:val="24"/>
        </w:rPr>
        <w:t>à</w:t>
      </w:r>
      <w:r w:rsidR="005607BA" w:rsidRPr="00CC6E99">
        <w:rPr>
          <w:rFonts w:ascii="Times New Roman" w:hAnsi="Times New Roman" w:cs="Times New Roman"/>
          <w:sz w:val="24"/>
          <w:szCs w:val="24"/>
        </w:rPr>
        <w:t xml:space="preserve"> CVM contenha as informaçõ</w:t>
      </w:r>
      <w:r w:rsidR="005607BA" w:rsidRPr="00CC6E99">
        <w:rPr>
          <w:rFonts w:ascii="Times New Roman" w:hAnsi="Times New Roman" w:cs="Times New Roman"/>
          <w:sz w:val="24"/>
          <w:szCs w:val="24"/>
          <w:lang w:val="it-IT"/>
        </w:rPr>
        <w:t>es necess</w:t>
      </w:r>
      <w:r w:rsidR="005607BA" w:rsidRPr="00CC6E99">
        <w:rPr>
          <w:rFonts w:ascii="Times New Roman" w:hAnsi="Times New Roman" w:cs="Times New Roman"/>
          <w:sz w:val="24"/>
          <w:szCs w:val="24"/>
        </w:rPr>
        <w:t xml:space="preserve">árias quanto ao comitente final, seu país de origem, posição em cada ativo por </w:t>
      </w:r>
      <w:r w:rsidR="00214CDC">
        <w:rPr>
          <w:rFonts w:ascii="Times New Roman" w:hAnsi="Times New Roman" w:cs="Times New Roman"/>
          <w:sz w:val="24"/>
          <w:szCs w:val="24"/>
        </w:rPr>
        <w:t>investidor, saldos em reais</w:t>
      </w:r>
      <w:r w:rsidR="005607BA" w:rsidRPr="00CC6E99">
        <w:rPr>
          <w:rFonts w:ascii="Times New Roman" w:hAnsi="Times New Roman" w:cs="Times New Roman"/>
          <w:sz w:val="24"/>
          <w:szCs w:val="24"/>
        </w:rPr>
        <w:t xml:space="preserve"> mantidos em contas dos investidores nos custodiantes a espera de destinação.</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Para Mau</w:t>
      </w:r>
      <w:r w:rsidR="00214CDC">
        <w:rPr>
          <w:rFonts w:ascii="Times New Roman" w:hAnsi="Times New Roman" w:cs="Times New Roman"/>
          <w:sz w:val="24"/>
          <w:szCs w:val="24"/>
        </w:rPr>
        <w:t>ro Salvo, as medidas sugeridas</w:t>
      </w:r>
      <w:r w:rsidRPr="00CC6E99">
        <w:rPr>
          <w:rFonts w:ascii="Times New Roman" w:hAnsi="Times New Roman" w:cs="Times New Roman"/>
          <w:sz w:val="24"/>
          <w:szCs w:val="24"/>
        </w:rPr>
        <w:t xml:space="preserve"> poderiam preencher, ao menos parte, a lacuna existente quando confrontados os valores transacionados no mercado de câmbio com aqueles do mercado de capitais. Assim, poder-se-ia monitorar os fluxos e estoques de forma mais precisa e possuir informação de qualidade suficiente para ações prudenciais que minimizem riscos.</w:t>
      </w:r>
    </w:p>
    <w:p w:rsidR="00D9084C" w:rsidRPr="00CC6E99" w:rsidRDefault="00D9084C">
      <w:pPr>
        <w:pStyle w:val="CorpoA"/>
        <w:widowControl w:val="0"/>
        <w:spacing w:after="0" w:line="312" w:lineRule="auto"/>
        <w:ind w:firstLine="709"/>
        <w:jc w:val="both"/>
        <w:rPr>
          <w:rFonts w:ascii="Times New Roman" w:eastAsia="Times New Roman" w:hAnsi="Times New Roman" w:cs="Times New Roman"/>
          <w:sz w:val="24"/>
          <w:szCs w:val="24"/>
        </w:rPr>
      </w:pPr>
    </w:p>
    <w:tbl>
      <w:tblPr>
        <w:tblStyle w:val="TableNormal"/>
        <w:tblW w:w="103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D9084C" w:rsidRPr="00AF4AA5" w:rsidTr="00EA1B30">
        <w:trPr>
          <w:trHeight w:val="1169"/>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C26A51" w:rsidRPr="00C26A51" w:rsidRDefault="00485E32" w:rsidP="00C26A51">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rPr>
              <w:t>Como será comentado no item 3.3.2 deste relatório, a CVM e o</w:t>
            </w:r>
            <w:r w:rsidR="005607BA" w:rsidRPr="00CC6E99">
              <w:rPr>
                <w:rFonts w:ascii="Times New Roman" w:hAnsi="Times New Roman" w:cs="Times New Roman"/>
                <w:sz w:val="24"/>
                <w:szCs w:val="24"/>
              </w:rPr>
              <w:t xml:space="preserve"> </w:t>
            </w:r>
            <w:r w:rsidRPr="00CC6E99">
              <w:rPr>
                <w:rFonts w:ascii="Times New Roman" w:hAnsi="Times New Roman" w:cs="Times New Roman"/>
                <w:sz w:val="24"/>
                <w:szCs w:val="24"/>
              </w:rPr>
              <w:t>BCB</w:t>
            </w:r>
            <w:r w:rsidR="005607BA" w:rsidRPr="00CC6E99">
              <w:rPr>
                <w:rFonts w:ascii="Times New Roman" w:hAnsi="Times New Roman" w:cs="Times New Roman"/>
                <w:sz w:val="24"/>
                <w:szCs w:val="24"/>
              </w:rPr>
              <w:t xml:space="preserve"> </w:t>
            </w:r>
            <w:r w:rsidR="00C46026" w:rsidRPr="00CC6E99">
              <w:rPr>
                <w:rFonts w:ascii="Times New Roman" w:hAnsi="Times New Roman" w:cs="Times New Roman"/>
                <w:sz w:val="24"/>
                <w:szCs w:val="24"/>
              </w:rPr>
              <w:t xml:space="preserve">revisaram o conteúdo </w:t>
            </w:r>
            <w:r w:rsidR="00C26A51">
              <w:rPr>
                <w:rFonts w:ascii="Times New Roman" w:hAnsi="Times New Roman" w:cs="Times New Roman"/>
                <w:sz w:val="24"/>
                <w:szCs w:val="24"/>
              </w:rPr>
              <w:t>do</w:t>
            </w:r>
            <w:r w:rsidR="00C46026" w:rsidRPr="00CC6E99">
              <w:rPr>
                <w:rFonts w:ascii="Times New Roman" w:hAnsi="Times New Roman" w:cs="Times New Roman"/>
                <w:sz w:val="24"/>
                <w:szCs w:val="24"/>
              </w:rPr>
              <w:t xml:space="preserve"> informe mensal</w:t>
            </w:r>
            <w:r w:rsidR="00C26A51">
              <w:rPr>
                <w:rFonts w:ascii="Times New Roman" w:hAnsi="Times New Roman" w:cs="Times New Roman"/>
                <w:sz w:val="24"/>
                <w:szCs w:val="24"/>
              </w:rPr>
              <w:t xml:space="preserve"> e optaram por estabelecer que as informações serão prestadas por participante</w:t>
            </w:r>
            <w:r w:rsidR="00113864">
              <w:rPr>
                <w:rFonts w:ascii="Times New Roman" w:hAnsi="Times New Roman" w:cs="Times New Roman"/>
                <w:sz w:val="24"/>
                <w:szCs w:val="24"/>
              </w:rPr>
              <w:t xml:space="preserve"> de conta coletiva e titular de conta própria</w:t>
            </w:r>
            <w:r w:rsidR="00C26A51">
              <w:rPr>
                <w:rFonts w:ascii="Times New Roman" w:hAnsi="Times New Roman" w:cs="Times New Roman"/>
                <w:sz w:val="24"/>
                <w:szCs w:val="24"/>
              </w:rPr>
              <w:t>s</w:t>
            </w:r>
            <w:r w:rsidR="00113864">
              <w:rPr>
                <w:rFonts w:ascii="Times New Roman" w:hAnsi="Times New Roman" w:cs="Times New Roman"/>
                <w:sz w:val="24"/>
                <w:szCs w:val="24"/>
              </w:rPr>
              <w:t xml:space="preserve">. </w:t>
            </w:r>
            <w:r w:rsidR="00C46026" w:rsidRPr="00CC6E99">
              <w:rPr>
                <w:rFonts w:ascii="Times New Roman" w:hAnsi="Times New Roman" w:cs="Times New Roman"/>
                <w:sz w:val="24"/>
                <w:szCs w:val="24"/>
              </w:rPr>
              <w:t xml:space="preserve">O objetivo foi aprimorar o conteúdo </w:t>
            </w:r>
            <w:r w:rsidR="00214CDC">
              <w:rPr>
                <w:rFonts w:ascii="Times New Roman" w:hAnsi="Times New Roman" w:cs="Times New Roman"/>
                <w:sz w:val="24"/>
                <w:szCs w:val="24"/>
              </w:rPr>
              <w:t xml:space="preserve">desse informe </w:t>
            </w:r>
            <w:r w:rsidR="00C46026" w:rsidRPr="00CC6E99">
              <w:rPr>
                <w:rFonts w:ascii="Times New Roman" w:hAnsi="Times New Roman" w:cs="Times New Roman"/>
                <w:sz w:val="24"/>
                <w:szCs w:val="24"/>
              </w:rPr>
              <w:t>às necessidades de supervisão dos dois órgãos</w:t>
            </w:r>
            <w:r w:rsidR="00C26A51">
              <w:rPr>
                <w:rFonts w:ascii="Times New Roman" w:hAnsi="Times New Roman" w:cs="Times New Roman"/>
                <w:sz w:val="24"/>
                <w:szCs w:val="24"/>
              </w:rPr>
              <w:t>, permitindo</w:t>
            </w:r>
            <w:r w:rsidR="00C26A51" w:rsidRPr="00CC6E99">
              <w:rPr>
                <w:rFonts w:ascii="Times New Roman" w:hAnsi="Times New Roman" w:cs="Times New Roman"/>
                <w:sz w:val="24"/>
                <w:szCs w:val="24"/>
              </w:rPr>
              <w:t xml:space="preserve"> </w:t>
            </w:r>
            <w:r w:rsidR="00C26A51" w:rsidRPr="00C26A51">
              <w:rPr>
                <w:rFonts w:ascii="Times New Roman" w:hAnsi="Times New Roman" w:cs="Times New Roman"/>
                <w:sz w:val="24"/>
                <w:szCs w:val="24"/>
              </w:rPr>
              <w:t>melhor acompanhamento dos perfis de risco e do grau de concentração dos fluxos, além de garantir uniformidade com as estatísticas de balanço de pagamentos.</w:t>
            </w:r>
            <w:r w:rsidR="00113864">
              <w:rPr>
                <w:rFonts w:ascii="Times New Roman" w:hAnsi="Times New Roman" w:cs="Times New Roman"/>
                <w:sz w:val="24"/>
                <w:szCs w:val="24"/>
              </w:rPr>
              <w:t xml:space="preserve"> Por conta disso, a redação do art. 14 e dos Anexos 14-A e 14-B sofreu alterações na versão final da norma.</w:t>
            </w:r>
          </w:p>
          <w:p w:rsidR="00C26A51" w:rsidRDefault="00C26A51" w:rsidP="00C26A51">
            <w:pPr>
              <w:pStyle w:val="CorpoA"/>
              <w:spacing w:after="0" w:line="312" w:lineRule="auto"/>
              <w:ind w:firstLine="709"/>
              <w:jc w:val="both"/>
              <w:rPr>
                <w:sz w:val="24"/>
                <w:szCs w:val="24"/>
              </w:rPr>
            </w:pPr>
          </w:p>
          <w:p w:rsidR="00D9084C" w:rsidRPr="00CC6E99" w:rsidRDefault="00C46026" w:rsidP="00C26A51">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rPr>
              <w:t>As informações previstas na versão final da norma são as consideradas</w:t>
            </w:r>
            <w:r w:rsidR="005607BA" w:rsidRPr="00CC6E99">
              <w:rPr>
                <w:rFonts w:ascii="Times New Roman" w:hAnsi="Times New Roman" w:cs="Times New Roman"/>
                <w:sz w:val="24"/>
                <w:szCs w:val="24"/>
              </w:rPr>
              <w:t xml:space="preserve"> suficientes e necessárias </w:t>
            </w:r>
            <w:r w:rsidR="00214CDC">
              <w:rPr>
                <w:rFonts w:ascii="Times New Roman" w:hAnsi="Times New Roman" w:cs="Times New Roman"/>
                <w:sz w:val="24"/>
                <w:szCs w:val="24"/>
              </w:rPr>
              <w:t xml:space="preserve">por esses reguladores </w:t>
            </w:r>
            <w:r w:rsidR="005607BA" w:rsidRPr="00CC6E99">
              <w:rPr>
                <w:rFonts w:ascii="Times New Roman" w:hAnsi="Times New Roman" w:cs="Times New Roman"/>
                <w:sz w:val="24"/>
                <w:szCs w:val="24"/>
              </w:rPr>
              <w:t xml:space="preserve">para </w:t>
            </w:r>
            <w:r w:rsidRPr="00CC6E99">
              <w:rPr>
                <w:rFonts w:ascii="Times New Roman" w:hAnsi="Times New Roman" w:cs="Times New Roman"/>
                <w:sz w:val="24"/>
                <w:szCs w:val="24"/>
              </w:rPr>
              <w:t>o acompanhamento</w:t>
            </w:r>
            <w:r w:rsidR="005607BA" w:rsidRPr="00CC6E99">
              <w:rPr>
                <w:rFonts w:ascii="Times New Roman" w:hAnsi="Times New Roman" w:cs="Times New Roman"/>
                <w:sz w:val="24"/>
                <w:szCs w:val="24"/>
              </w:rPr>
              <w:t xml:space="preserve"> das operações realizadas por investidores não residentes sob amparo da Resolução CMN nº 4.373, de 2014</w:t>
            </w:r>
            <w:r w:rsidRPr="00CC6E99">
              <w:rPr>
                <w:rFonts w:ascii="Times New Roman" w:hAnsi="Times New Roman" w:cs="Times New Roman"/>
                <w:sz w:val="24"/>
                <w:szCs w:val="24"/>
              </w:rPr>
              <w:t>.</w:t>
            </w:r>
          </w:p>
        </w:tc>
      </w:tr>
    </w:tbl>
    <w:p w:rsidR="00F76780" w:rsidRDefault="00F76780">
      <w:pPr>
        <w:pStyle w:val="CorpoA"/>
        <w:spacing w:after="0" w:line="312" w:lineRule="auto"/>
        <w:ind w:firstLine="709"/>
        <w:jc w:val="both"/>
        <w:rPr>
          <w:rFonts w:ascii="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A ANBIMA indica ainda a necessidade de ajuste da numeração do inciso III do art. 1º do Anexo 13-A que aparece repetida na Minuta e propõ</w:t>
      </w:r>
      <w:r w:rsidRPr="00CC6E99">
        <w:rPr>
          <w:rFonts w:ascii="Times New Roman" w:hAnsi="Times New Roman" w:cs="Times New Roman"/>
          <w:sz w:val="24"/>
          <w:szCs w:val="24"/>
          <w:lang w:val="it-IT"/>
        </w:rPr>
        <w:t>e substitui</w:t>
      </w:r>
      <w:r w:rsidRPr="00CC6E99">
        <w:rPr>
          <w:rFonts w:ascii="Times New Roman" w:hAnsi="Times New Roman" w:cs="Times New Roman"/>
          <w:sz w:val="24"/>
          <w:szCs w:val="24"/>
        </w:rPr>
        <w:t xml:space="preserve">ção da expressão “instrumentos de investimento” </w:t>
      </w:r>
      <w:r w:rsidRPr="00CC6E99">
        <w:rPr>
          <w:rFonts w:ascii="Times New Roman" w:hAnsi="Times New Roman" w:cs="Times New Roman"/>
          <w:sz w:val="24"/>
          <w:szCs w:val="24"/>
          <w:lang w:val="es-ES_tradnl"/>
        </w:rPr>
        <w:t xml:space="preserve">por </w:t>
      </w:r>
      <w:r w:rsidRPr="00CC6E99">
        <w:rPr>
          <w:rFonts w:ascii="Times New Roman" w:hAnsi="Times New Roman" w:cs="Times New Roman"/>
          <w:sz w:val="24"/>
          <w:szCs w:val="24"/>
        </w:rPr>
        <w:t>“modalidades de investimento” no Anexo 13-A, art. 1º, III, b, 1 e Anexo 13-B, art. 1º, II, b, 1, em linha com as demais resoluções e instruções que tratam de investimento no Brasil.</w:t>
      </w:r>
    </w:p>
    <w:p w:rsidR="00D9084C" w:rsidRPr="00CC6E99" w:rsidRDefault="00D9084C">
      <w:pPr>
        <w:pStyle w:val="CorpoA"/>
        <w:widowControl w:val="0"/>
        <w:spacing w:after="0" w:line="312" w:lineRule="auto"/>
        <w:ind w:firstLine="709"/>
        <w:jc w:val="both"/>
        <w:rPr>
          <w:rFonts w:ascii="Times New Roman" w:eastAsia="Times New Roman" w:hAnsi="Times New Roman" w:cs="Times New Roman"/>
          <w:sz w:val="24"/>
          <w:szCs w:val="24"/>
        </w:rPr>
      </w:pPr>
    </w:p>
    <w:tbl>
      <w:tblPr>
        <w:tblStyle w:val="TableNormal"/>
        <w:tblW w:w="103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D9084C" w:rsidRPr="00CC6E99">
        <w:trPr>
          <w:trHeight w:val="360"/>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D9084C" w:rsidRPr="00CC6E99" w:rsidRDefault="005607BA">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rPr>
              <w:t>As sugestões foram acatadas.</w:t>
            </w:r>
          </w:p>
        </w:tc>
      </w:tr>
    </w:tbl>
    <w:p w:rsidR="0021198D" w:rsidRPr="00CC6E99" w:rsidRDefault="0021198D" w:rsidP="00CB3B28">
      <w:pPr>
        <w:pStyle w:val="CorpoA"/>
        <w:spacing w:before="120"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jc w:val="both"/>
        <w:rPr>
          <w:rFonts w:ascii="Times New Roman" w:eastAsia="Times New Roman" w:hAnsi="Times New Roman" w:cs="Times New Roman"/>
          <w:b/>
          <w:bCs/>
          <w:sz w:val="24"/>
          <w:szCs w:val="24"/>
        </w:rPr>
      </w:pPr>
      <w:r w:rsidRPr="00CC6E99">
        <w:rPr>
          <w:rFonts w:ascii="Times New Roman" w:hAnsi="Times New Roman" w:cs="Times New Roman"/>
          <w:b/>
          <w:bCs/>
          <w:sz w:val="24"/>
          <w:szCs w:val="24"/>
        </w:rPr>
        <w:t>3.</w:t>
      </w:r>
      <w:r w:rsidR="000160B3" w:rsidRPr="00CC6E99">
        <w:rPr>
          <w:rFonts w:ascii="Times New Roman" w:hAnsi="Times New Roman" w:cs="Times New Roman"/>
          <w:b/>
          <w:bCs/>
          <w:sz w:val="24"/>
          <w:szCs w:val="24"/>
        </w:rPr>
        <w:t>3</w:t>
      </w:r>
      <w:r w:rsidRPr="00CC6E99">
        <w:rPr>
          <w:rFonts w:ascii="Times New Roman" w:hAnsi="Times New Roman" w:cs="Times New Roman"/>
          <w:b/>
          <w:bCs/>
          <w:sz w:val="24"/>
          <w:szCs w:val="24"/>
        </w:rPr>
        <w:t>.2.</w:t>
      </w:r>
      <w:r w:rsidRPr="00CC6E99">
        <w:rPr>
          <w:rFonts w:ascii="Times New Roman" w:hAnsi="Times New Roman" w:cs="Times New Roman"/>
          <w:b/>
          <w:bCs/>
          <w:sz w:val="24"/>
          <w:szCs w:val="24"/>
        </w:rPr>
        <w:tab/>
        <w:t>Classificação dos tipos de aplicação de recursos</w:t>
      </w:r>
      <w:r w:rsidR="000C6CBC">
        <w:rPr>
          <w:rFonts w:ascii="Times New Roman" w:hAnsi="Times New Roman" w:cs="Times New Roman"/>
          <w:b/>
          <w:bCs/>
          <w:sz w:val="24"/>
          <w:szCs w:val="24"/>
        </w:rPr>
        <w:t xml:space="preserve"> - </w:t>
      </w:r>
      <w:r w:rsidR="000C6CBC" w:rsidRPr="00CC6E99">
        <w:rPr>
          <w:rFonts w:ascii="Times New Roman" w:hAnsi="Times New Roman" w:cs="Times New Roman"/>
          <w:b/>
          <w:bCs/>
          <w:sz w:val="24"/>
          <w:szCs w:val="24"/>
        </w:rPr>
        <w:t>Anexo 1</w:t>
      </w:r>
      <w:r w:rsidR="000C6CBC">
        <w:rPr>
          <w:rFonts w:ascii="Times New Roman" w:hAnsi="Times New Roman" w:cs="Times New Roman"/>
          <w:b/>
          <w:bCs/>
          <w:sz w:val="24"/>
          <w:szCs w:val="24"/>
        </w:rPr>
        <w:t>3</w:t>
      </w:r>
      <w:r w:rsidR="000C6CBC" w:rsidRPr="00CC6E99">
        <w:rPr>
          <w:rFonts w:ascii="Times New Roman" w:hAnsi="Times New Roman" w:cs="Times New Roman"/>
          <w:b/>
          <w:bCs/>
          <w:sz w:val="24"/>
          <w:szCs w:val="24"/>
        </w:rPr>
        <w:t xml:space="preserve">-A </w:t>
      </w:r>
      <w:r w:rsidRPr="00CC6E99">
        <w:rPr>
          <w:rFonts w:ascii="Times New Roman" w:hAnsi="Times New Roman" w:cs="Times New Roman"/>
          <w:b/>
          <w:bCs/>
          <w:sz w:val="24"/>
          <w:szCs w:val="24"/>
        </w:rPr>
        <w:t>(</w:t>
      </w:r>
      <w:r w:rsidR="000C6CBC">
        <w:rPr>
          <w:rFonts w:ascii="Times New Roman" w:hAnsi="Times New Roman" w:cs="Times New Roman"/>
          <w:b/>
          <w:bCs/>
          <w:sz w:val="24"/>
          <w:szCs w:val="24"/>
        </w:rPr>
        <w:t xml:space="preserve">atual </w:t>
      </w:r>
      <w:r w:rsidRPr="00CC6E99">
        <w:rPr>
          <w:rFonts w:ascii="Times New Roman" w:hAnsi="Times New Roman" w:cs="Times New Roman"/>
          <w:b/>
          <w:bCs/>
          <w:sz w:val="24"/>
          <w:szCs w:val="24"/>
        </w:rPr>
        <w:t>Anexo 14-A)</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jc w:val="both"/>
        <w:rPr>
          <w:rFonts w:ascii="Times New Roman" w:eastAsia="Times New Roman" w:hAnsi="Times New Roman" w:cs="Times New Roman"/>
          <w:b/>
          <w:bCs/>
          <w:sz w:val="24"/>
          <w:szCs w:val="24"/>
        </w:rPr>
      </w:pPr>
      <w:r w:rsidRPr="00CC6E99">
        <w:rPr>
          <w:rFonts w:ascii="Times New Roman" w:hAnsi="Times New Roman" w:cs="Times New Roman"/>
          <w:b/>
          <w:bCs/>
          <w:sz w:val="24"/>
          <w:szCs w:val="24"/>
        </w:rPr>
        <w:t>3.</w:t>
      </w:r>
      <w:r w:rsidR="000160B3" w:rsidRPr="00CC6E99">
        <w:rPr>
          <w:rFonts w:ascii="Times New Roman" w:hAnsi="Times New Roman" w:cs="Times New Roman"/>
          <w:b/>
          <w:bCs/>
          <w:sz w:val="24"/>
          <w:szCs w:val="24"/>
        </w:rPr>
        <w:t>3</w:t>
      </w:r>
      <w:r w:rsidRPr="00CC6E99">
        <w:rPr>
          <w:rFonts w:ascii="Times New Roman" w:hAnsi="Times New Roman" w:cs="Times New Roman"/>
          <w:b/>
          <w:bCs/>
          <w:sz w:val="24"/>
          <w:szCs w:val="24"/>
        </w:rPr>
        <w:t>.2.1.  Categorias de fundos de investimento</w:t>
      </w:r>
      <w:r w:rsidR="000C6CBC">
        <w:rPr>
          <w:rFonts w:ascii="Times New Roman" w:hAnsi="Times New Roman" w:cs="Times New Roman"/>
          <w:b/>
          <w:bCs/>
          <w:sz w:val="24"/>
          <w:szCs w:val="24"/>
        </w:rPr>
        <w:t xml:space="preserve"> -</w:t>
      </w:r>
      <w:r w:rsidR="000C6CBC" w:rsidRPr="00CC6E99">
        <w:rPr>
          <w:rFonts w:ascii="Times New Roman" w:hAnsi="Times New Roman" w:cs="Times New Roman"/>
          <w:b/>
          <w:bCs/>
          <w:sz w:val="24"/>
          <w:szCs w:val="24"/>
        </w:rPr>
        <w:t xml:space="preserve"> art. 1º, I</w:t>
      </w:r>
      <w:r w:rsidR="00C0419C">
        <w:rPr>
          <w:rFonts w:ascii="Times New Roman" w:hAnsi="Times New Roman" w:cs="Times New Roman"/>
          <w:b/>
          <w:bCs/>
          <w:sz w:val="24"/>
          <w:szCs w:val="24"/>
        </w:rPr>
        <w:t>II</w:t>
      </w:r>
      <w:r w:rsidR="000C6CBC">
        <w:rPr>
          <w:rFonts w:ascii="Times New Roman" w:hAnsi="Times New Roman" w:cs="Times New Roman"/>
          <w:b/>
          <w:bCs/>
          <w:sz w:val="24"/>
          <w:szCs w:val="24"/>
        </w:rPr>
        <w:t>, “a”</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A ANBIMA afirma que a proposta da Minuta está mais alinhada com o cenário atual da indústria de fundos do qu</w:t>
      </w:r>
      <w:r w:rsidR="00794CE5">
        <w:rPr>
          <w:rFonts w:ascii="Times New Roman" w:hAnsi="Times New Roman" w:cs="Times New Roman"/>
          <w:sz w:val="24"/>
          <w:szCs w:val="24"/>
        </w:rPr>
        <w:t>e o informe atualmente em vigor</w:t>
      </w:r>
      <w:r w:rsidRPr="00CC6E99">
        <w:rPr>
          <w:rFonts w:ascii="Times New Roman" w:hAnsi="Times New Roman" w:cs="Times New Roman"/>
          <w:sz w:val="24"/>
          <w:szCs w:val="24"/>
        </w:rPr>
        <w:t>. Não obstante, ela ainda permite certa subjetividade na alocação nos tipos sugeridos. Por exemplo, fundos multimercado podem ter carteiras com maior alocação em açõ</w:t>
      </w:r>
      <w:r w:rsidRPr="00CC6E99">
        <w:rPr>
          <w:rFonts w:ascii="Times New Roman" w:hAnsi="Times New Roman" w:cs="Times New Roman"/>
          <w:sz w:val="24"/>
          <w:szCs w:val="24"/>
          <w:lang w:val="fr-FR"/>
        </w:rPr>
        <w:t>es ou t</w:t>
      </w:r>
      <w:r w:rsidRPr="00CC6E99">
        <w:rPr>
          <w:rFonts w:ascii="Times New Roman" w:hAnsi="Times New Roman" w:cs="Times New Roman"/>
          <w:sz w:val="24"/>
          <w:szCs w:val="24"/>
        </w:rPr>
        <w:t>ítulos de renda fixa e tal alocação pode variar, fazendo com que a classificação oscile e seja necessário que o representante tenha que avaliar, individualmente, as características da carteira de cada fundo investido a cada informe, algo de difí</w:t>
      </w:r>
      <w:r w:rsidRPr="00CC6E99">
        <w:rPr>
          <w:rFonts w:ascii="Times New Roman" w:hAnsi="Times New Roman" w:cs="Times New Roman"/>
          <w:sz w:val="24"/>
          <w:szCs w:val="24"/>
          <w:lang w:val="fr-FR"/>
        </w:rPr>
        <w:t>cil implementa</w:t>
      </w:r>
      <w:r w:rsidRPr="00CC6E99">
        <w:rPr>
          <w:rFonts w:ascii="Times New Roman" w:hAnsi="Times New Roman" w:cs="Times New Roman"/>
          <w:sz w:val="24"/>
          <w:szCs w:val="24"/>
        </w:rPr>
        <w:t>ção operacional, dado o volume atual da indústria e, principalmente, seu potencial.</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 xml:space="preserve">Aliado a isso, semestralmente será apresentada a abertura de todos os fundos investidos, individualmente, permitindo o cruzamento de tal informação com o banco de dados de fundos já existente na CVM, o que certamente é uma informação mais rica. Neste sentido, a classificação seria baseada diretamente na informação atualizada pelo administrador junto à CVM, que, assim, poderá </w:t>
      </w:r>
      <w:r w:rsidRPr="00CC6E99">
        <w:rPr>
          <w:rFonts w:ascii="Times New Roman" w:hAnsi="Times New Roman" w:cs="Times New Roman"/>
          <w:sz w:val="24"/>
          <w:szCs w:val="24"/>
          <w:lang w:val="es-ES_tradnl"/>
        </w:rPr>
        <w:t xml:space="preserve">tirar </w:t>
      </w:r>
      <w:proofErr w:type="spellStart"/>
      <w:r w:rsidRPr="00CC6E99">
        <w:rPr>
          <w:rFonts w:ascii="Times New Roman" w:hAnsi="Times New Roman" w:cs="Times New Roman"/>
          <w:sz w:val="24"/>
          <w:szCs w:val="24"/>
          <w:lang w:val="es-ES_tradnl"/>
        </w:rPr>
        <w:t>conclus</w:t>
      </w:r>
      <w:proofErr w:type="spellEnd"/>
      <w:r w:rsidRPr="00CC6E99">
        <w:rPr>
          <w:rFonts w:ascii="Times New Roman" w:hAnsi="Times New Roman" w:cs="Times New Roman"/>
          <w:sz w:val="24"/>
          <w:szCs w:val="24"/>
        </w:rPr>
        <w:t>ões mais detalhadas sobre as tendências de alocação de recursos em fundos por investidores não residentes.</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Assim, recomenda consolidar as 5 categorias propostas no informe mensal em uma ú</w:t>
      </w:r>
      <w:r w:rsidRPr="00CC6E99">
        <w:rPr>
          <w:rFonts w:ascii="Times New Roman" w:hAnsi="Times New Roman" w:cs="Times New Roman"/>
          <w:sz w:val="24"/>
          <w:szCs w:val="24"/>
          <w:lang w:val="it-IT"/>
        </w:rPr>
        <w:t>nica classifica</w:t>
      </w:r>
      <w:r w:rsidRPr="00CC6E99">
        <w:rPr>
          <w:rFonts w:ascii="Times New Roman" w:hAnsi="Times New Roman" w:cs="Times New Roman"/>
          <w:sz w:val="24"/>
          <w:szCs w:val="24"/>
        </w:rPr>
        <w:t>ção (“cotas de fundos de investimento”). Para o informe semestral, com a quebra por ativo, a informação do código do ativo pode ser padronizada, para fundos de investimento, como sendo seu CNPJ, permitindo o cruzamento com o banco de dados da CVM.</w:t>
      </w:r>
    </w:p>
    <w:p w:rsidR="00D9084C" w:rsidRPr="00CC6E99" w:rsidRDefault="00D9084C">
      <w:pPr>
        <w:pStyle w:val="CorpoA"/>
        <w:widowControl w:val="0"/>
        <w:spacing w:after="0" w:line="312" w:lineRule="auto"/>
        <w:ind w:firstLine="709"/>
        <w:jc w:val="both"/>
        <w:rPr>
          <w:rFonts w:ascii="Times New Roman" w:eastAsia="Times New Roman" w:hAnsi="Times New Roman" w:cs="Times New Roman"/>
          <w:sz w:val="24"/>
          <w:szCs w:val="24"/>
        </w:rPr>
      </w:pPr>
    </w:p>
    <w:tbl>
      <w:tblPr>
        <w:tblStyle w:val="TableNormal"/>
        <w:tblW w:w="103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D9084C" w:rsidRPr="00AF4AA5" w:rsidTr="00F45D35">
        <w:trPr>
          <w:trHeight w:val="188"/>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D9084C" w:rsidRPr="00CC6E99" w:rsidRDefault="00485E32" w:rsidP="00485E32">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rPr>
              <w:t xml:space="preserve">A sugestão não foi </w:t>
            </w:r>
            <w:r w:rsidR="00EA1B30" w:rsidRPr="00CC6E99">
              <w:rPr>
                <w:rFonts w:ascii="Times New Roman" w:hAnsi="Times New Roman" w:cs="Times New Roman"/>
                <w:sz w:val="24"/>
                <w:szCs w:val="24"/>
              </w:rPr>
              <w:t>acatada</w:t>
            </w:r>
            <w:r w:rsidRPr="00CC6E99">
              <w:rPr>
                <w:rFonts w:ascii="Times New Roman" w:hAnsi="Times New Roman" w:cs="Times New Roman"/>
                <w:sz w:val="24"/>
                <w:szCs w:val="24"/>
              </w:rPr>
              <w:t>. As informações presentes no informe mensal serão utilizadas pela CVM e pelo BCB para a supervisão e acompanhamento de mercado. Assim, é necessário que as informações sejam apresentadas em um formato que possibilite sua utilização por esses órgãos de forma ágil e rápida, sem a necessidade de processamentos adicionais.</w:t>
            </w:r>
          </w:p>
          <w:p w:rsidR="00EA1B30" w:rsidRPr="00CC6E99" w:rsidRDefault="00EA1B30" w:rsidP="00485E32">
            <w:pPr>
              <w:pStyle w:val="CorpoA"/>
              <w:spacing w:after="0" w:line="312" w:lineRule="auto"/>
              <w:ind w:firstLine="709"/>
              <w:jc w:val="both"/>
              <w:rPr>
                <w:rFonts w:ascii="Times New Roman" w:hAnsi="Times New Roman" w:cs="Times New Roman"/>
                <w:sz w:val="24"/>
                <w:szCs w:val="24"/>
              </w:rPr>
            </w:pPr>
          </w:p>
          <w:p w:rsidR="00D02D35" w:rsidRPr="00CC6E99" w:rsidRDefault="00EA1B30" w:rsidP="00EA1B30">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rPr>
              <w:t>C</w:t>
            </w:r>
            <w:r w:rsidR="00794CE5">
              <w:rPr>
                <w:rFonts w:ascii="Times New Roman" w:hAnsi="Times New Roman" w:cs="Times New Roman"/>
                <w:sz w:val="24"/>
                <w:szCs w:val="24"/>
              </w:rPr>
              <w:t>abe informar que, em virtude d</w:t>
            </w:r>
            <w:r w:rsidRPr="00CC6E99">
              <w:rPr>
                <w:rFonts w:ascii="Times New Roman" w:hAnsi="Times New Roman" w:cs="Times New Roman"/>
                <w:sz w:val="24"/>
                <w:szCs w:val="24"/>
              </w:rPr>
              <w:t>as necessidades de supervisão da CVM e do BCB</w:t>
            </w:r>
            <w:r w:rsidR="00794CE5">
              <w:rPr>
                <w:rFonts w:ascii="Times New Roman" w:hAnsi="Times New Roman" w:cs="Times New Roman"/>
                <w:sz w:val="24"/>
                <w:szCs w:val="24"/>
              </w:rPr>
              <w:t>,</w:t>
            </w:r>
            <w:r w:rsidRPr="00CC6E99">
              <w:rPr>
                <w:rFonts w:ascii="Times New Roman" w:hAnsi="Times New Roman" w:cs="Times New Roman"/>
                <w:sz w:val="24"/>
                <w:szCs w:val="24"/>
              </w:rPr>
              <w:t xml:space="preserve"> a redação da norma alterada para incluir nova categoria de aplicação “cotas de fundos de investimento – direitos creditórios”. </w:t>
            </w:r>
          </w:p>
          <w:p w:rsidR="00D02D35" w:rsidRPr="00CC6E99" w:rsidRDefault="00D02D35" w:rsidP="00EA1B30">
            <w:pPr>
              <w:pStyle w:val="CorpoA"/>
              <w:spacing w:after="0" w:line="312" w:lineRule="auto"/>
              <w:ind w:firstLine="709"/>
              <w:jc w:val="both"/>
              <w:rPr>
                <w:rFonts w:ascii="Times New Roman" w:hAnsi="Times New Roman" w:cs="Times New Roman"/>
                <w:sz w:val="24"/>
                <w:szCs w:val="24"/>
              </w:rPr>
            </w:pPr>
          </w:p>
          <w:p w:rsidR="00EA1B30" w:rsidRDefault="00EA1B30" w:rsidP="00794CE5">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rPr>
              <w:t xml:space="preserve">Também em função das necessidades de supervisão da CVM e do BCB a categoria “títulos de dívida – renda fixa”, prevista na Minuta, foi segregada </w:t>
            </w:r>
            <w:r w:rsidR="00794CE5">
              <w:rPr>
                <w:rFonts w:ascii="Times New Roman" w:hAnsi="Times New Roman" w:cs="Times New Roman"/>
                <w:sz w:val="24"/>
                <w:szCs w:val="24"/>
              </w:rPr>
              <w:t>em 4</w:t>
            </w:r>
            <w:r w:rsidRPr="00CC6E99">
              <w:rPr>
                <w:rFonts w:ascii="Times New Roman" w:hAnsi="Times New Roman" w:cs="Times New Roman"/>
                <w:sz w:val="24"/>
                <w:szCs w:val="24"/>
              </w:rPr>
              <w:t xml:space="preserve"> novas categorias: (a) “instrumentos de dívida – renda fixa – títulos públicos federais”; (b) “instrumentos de dívida – renda fixa – títulos públicos estaduais ou municipais”; (c)</w:t>
            </w:r>
            <w:r w:rsidR="00D02D35" w:rsidRPr="00CC6E99">
              <w:rPr>
                <w:rFonts w:ascii="Times New Roman" w:hAnsi="Times New Roman" w:cs="Times New Roman"/>
                <w:sz w:val="24"/>
                <w:szCs w:val="24"/>
              </w:rPr>
              <w:t xml:space="preserve"> “instrumentos de dívida – renda fixa – emitidos por instituição financeira ou por instituição autorizada a funcionar pelo Banco Central do Brasil”; </w:t>
            </w:r>
            <w:r w:rsidR="00580DD1">
              <w:rPr>
                <w:rFonts w:ascii="Times New Roman" w:hAnsi="Times New Roman" w:cs="Times New Roman"/>
                <w:sz w:val="24"/>
                <w:szCs w:val="24"/>
              </w:rPr>
              <w:t xml:space="preserve">e </w:t>
            </w:r>
            <w:r w:rsidR="00D02D35" w:rsidRPr="00CC6E99">
              <w:rPr>
                <w:rFonts w:ascii="Times New Roman" w:hAnsi="Times New Roman" w:cs="Times New Roman"/>
                <w:sz w:val="24"/>
                <w:szCs w:val="24"/>
              </w:rPr>
              <w:t>(d) “instrumentos de dívida – renda fixa – emitidos por empresa não financeira”.</w:t>
            </w:r>
          </w:p>
          <w:p w:rsidR="009D7836" w:rsidRDefault="009D7836" w:rsidP="00794CE5">
            <w:pPr>
              <w:pStyle w:val="CorpoA"/>
              <w:spacing w:after="0" w:line="312" w:lineRule="auto"/>
              <w:ind w:firstLine="709"/>
              <w:jc w:val="both"/>
              <w:rPr>
                <w:rFonts w:ascii="Times New Roman" w:hAnsi="Times New Roman" w:cs="Times New Roman"/>
                <w:sz w:val="24"/>
                <w:szCs w:val="24"/>
              </w:rPr>
            </w:pPr>
          </w:p>
          <w:p w:rsidR="009D7836" w:rsidRPr="00CC6E99" w:rsidRDefault="009D7836" w:rsidP="007F44AF">
            <w:pPr>
              <w:pStyle w:val="CorpoA"/>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consequência dessa segregação da </w:t>
            </w:r>
            <w:r w:rsidRPr="00CC6E99">
              <w:rPr>
                <w:rFonts w:ascii="Times New Roman" w:hAnsi="Times New Roman" w:cs="Times New Roman"/>
                <w:sz w:val="24"/>
                <w:szCs w:val="24"/>
              </w:rPr>
              <w:t>categoria “títulos de dívida – renda fixa”</w:t>
            </w:r>
            <w:r>
              <w:rPr>
                <w:rFonts w:ascii="Times New Roman" w:hAnsi="Times New Roman" w:cs="Times New Roman"/>
                <w:sz w:val="24"/>
                <w:szCs w:val="24"/>
              </w:rPr>
              <w:t>, o §</w:t>
            </w:r>
            <w:r w:rsidR="007F44AF">
              <w:rPr>
                <w:rFonts w:ascii="Times New Roman" w:hAnsi="Times New Roman" w:cs="Times New Roman"/>
                <w:sz w:val="24"/>
                <w:szCs w:val="24"/>
              </w:rPr>
              <w:t>2</w:t>
            </w:r>
            <w:r>
              <w:rPr>
                <w:rFonts w:ascii="Times New Roman" w:hAnsi="Times New Roman" w:cs="Times New Roman"/>
                <w:sz w:val="24"/>
                <w:szCs w:val="24"/>
              </w:rPr>
              <w:t>º do art. 1º do Anexo 14-A foi excluído na versão final da norma.</w:t>
            </w:r>
          </w:p>
        </w:tc>
      </w:tr>
    </w:tbl>
    <w:p w:rsidR="00D9084C" w:rsidRPr="00CC6E99" w:rsidRDefault="00D9084C" w:rsidP="000E0573">
      <w:pPr>
        <w:pStyle w:val="CorpoA"/>
        <w:widowControl w:val="0"/>
        <w:spacing w:before="120"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jc w:val="both"/>
        <w:rPr>
          <w:rFonts w:ascii="Times New Roman" w:eastAsia="Times New Roman" w:hAnsi="Times New Roman" w:cs="Times New Roman"/>
          <w:sz w:val="24"/>
          <w:szCs w:val="24"/>
        </w:rPr>
      </w:pPr>
      <w:r w:rsidRPr="00CC6E99">
        <w:rPr>
          <w:rFonts w:ascii="Times New Roman" w:hAnsi="Times New Roman" w:cs="Times New Roman"/>
          <w:b/>
          <w:bCs/>
          <w:sz w:val="24"/>
          <w:szCs w:val="24"/>
          <w:lang w:val="es-ES_tradnl"/>
        </w:rPr>
        <w:t>3.</w:t>
      </w:r>
      <w:r w:rsidR="000160B3" w:rsidRPr="00CC6E99">
        <w:rPr>
          <w:rFonts w:ascii="Times New Roman" w:hAnsi="Times New Roman" w:cs="Times New Roman"/>
          <w:b/>
          <w:bCs/>
          <w:sz w:val="24"/>
          <w:szCs w:val="24"/>
          <w:lang w:val="es-ES_tradnl"/>
        </w:rPr>
        <w:t>3</w:t>
      </w:r>
      <w:r w:rsidRPr="00CC6E99">
        <w:rPr>
          <w:rFonts w:ascii="Times New Roman" w:hAnsi="Times New Roman" w:cs="Times New Roman"/>
          <w:b/>
          <w:bCs/>
          <w:sz w:val="24"/>
          <w:szCs w:val="24"/>
          <w:lang w:val="es-ES_tradnl"/>
        </w:rPr>
        <w:t>.2.2.  Derivativos</w:t>
      </w:r>
      <w:r w:rsidR="00806F96">
        <w:rPr>
          <w:rFonts w:ascii="Times New Roman" w:hAnsi="Times New Roman" w:cs="Times New Roman"/>
          <w:b/>
          <w:bCs/>
          <w:sz w:val="24"/>
          <w:szCs w:val="24"/>
          <w:lang w:val="es-ES_tradnl"/>
        </w:rPr>
        <w:t xml:space="preserve"> </w:t>
      </w:r>
      <w:r w:rsidR="00806F96">
        <w:rPr>
          <w:rFonts w:ascii="Times New Roman" w:hAnsi="Times New Roman" w:cs="Times New Roman"/>
          <w:b/>
          <w:bCs/>
          <w:sz w:val="24"/>
          <w:szCs w:val="24"/>
        </w:rPr>
        <w:t>-</w:t>
      </w:r>
      <w:r w:rsidR="00806F96" w:rsidRPr="00CC6E99">
        <w:rPr>
          <w:rFonts w:ascii="Times New Roman" w:hAnsi="Times New Roman" w:cs="Times New Roman"/>
          <w:b/>
          <w:bCs/>
          <w:sz w:val="24"/>
          <w:szCs w:val="24"/>
        </w:rPr>
        <w:t xml:space="preserve"> art. 1º, I</w:t>
      </w:r>
      <w:r w:rsidR="00C0419C">
        <w:rPr>
          <w:rFonts w:ascii="Times New Roman" w:hAnsi="Times New Roman" w:cs="Times New Roman"/>
          <w:b/>
          <w:bCs/>
          <w:sz w:val="24"/>
          <w:szCs w:val="24"/>
        </w:rPr>
        <w:t>II</w:t>
      </w:r>
      <w:r w:rsidR="00806F96">
        <w:rPr>
          <w:rFonts w:ascii="Times New Roman" w:hAnsi="Times New Roman" w:cs="Times New Roman"/>
          <w:b/>
          <w:bCs/>
          <w:sz w:val="24"/>
          <w:szCs w:val="24"/>
        </w:rPr>
        <w:t>, “a”</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A ANBIMA entende ser mais razoável, para o entendimento da alocação dos recursos de investidores não residentes no Brasil, solicitar os valores líquidos efetivamente pagos ou recebidos em transações com derivativos. Esta visão está alinhada com a solicitação da informação do montante ingressado ou repatriado, bem como os valores decorrentes de transferências entre representantes e entre modalidades. A exposição em derivativos por parte do investidor não residente, por outro lado, não tem relação com essa informação, sendo uma informaçã</w:t>
      </w:r>
      <w:r w:rsidRPr="00CC6E99">
        <w:rPr>
          <w:rFonts w:ascii="Times New Roman" w:hAnsi="Times New Roman" w:cs="Times New Roman"/>
          <w:sz w:val="24"/>
          <w:szCs w:val="24"/>
          <w:lang w:val="es-ES_tradnl"/>
        </w:rPr>
        <w:t xml:space="preserve">o </w:t>
      </w:r>
      <w:proofErr w:type="spellStart"/>
      <w:r w:rsidRPr="00CC6E99">
        <w:rPr>
          <w:rFonts w:ascii="Times New Roman" w:hAnsi="Times New Roman" w:cs="Times New Roman"/>
          <w:sz w:val="24"/>
          <w:szCs w:val="24"/>
          <w:lang w:val="es-ES_tradnl"/>
        </w:rPr>
        <w:t>cont</w:t>
      </w:r>
      <w:proofErr w:type="spellEnd"/>
      <w:r w:rsidRPr="00CC6E99">
        <w:rPr>
          <w:rFonts w:ascii="Times New Roman" w:hAnsi="Times New Roman" w:cs="Times New Roman"/>
          <w:sz w:val="24"/>
          <w:szCs w:val="24"/>
        </w:rPr>
        <w:t>ábil, decorrente de marcação a mercado.</w:t>
      </w: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 xml:space="preserve"> </w:t>
      </w: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 xml:space="preserve">Por exemplo, um investidor que adquire contratos futuros e, consequentemente, está “comprado” num valor nocional de R$ 10.000.000,00 (dez milhões de reais), pode ter tido, de fato, um ingresso no país de meros R$ 600.000,00 (seiscentos mil reais), valor usado em regime de caixa para a aquisição de tais contratos. Como se nota, tal informação, sobre o valor pago ou recebido pelo investidor, é mais alinhada com o objetivo de observar a alocação dos recursos que tais investidores trazem ao país. </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lastRenderedPageBreak/>
        <w:t>O serviç</w:t>
      </w:r>
      <w:r w:rsidRPr="00CC6E99">
        <w:rPr>
          <w:rFonts w:ascii="Times New Roman" w:hAnsi="Times New Roman" w:cs="Times New Roman"/>
          <w:sz w:val="24"/>
          <w:szCs w:val="24"/>
          <w:lang w:val="es-ES_tradnl"/>
        </w:rPr>
        <w:t>o de representa</w:t>
      </w:r>
      <w:r w:rsidRPr="00CC6E99">
        <w:rPr>
          <w:rFonts w:ascii="Times New Roman" w:hAnsi="Times New Roman" w:cs="Times New Roman"/>
          <w:sz w:val="24"/>
          <w:szCs w:val="24"/>
        </w:rPr>
        <w:t>ção não presume as atividades de tesouraria, controle e processamento de ativos financeiros. Para que se possa informar as exposições em um dado momento, é certo que seria necessário marcar individualmente cada contrato derivativo, como é feito para fundos de investimento por exemplo, forçando um processamento de carteiras custoso para a atividade de representação e fazendo que ela se assemelhe, em sua essê</w:t>
      </w:r>
      <w:proofErr w:type="spellStart"/>
      <w:r w:rsidRPr="00CC6E99">
        <w:rPr>
          <w:rFonts w:ascii="Times New Roman" w:hAnsi="Times New Roman" w:cs="Times New Roman"/>
          <w:sz w:val="24"/>
          <w:szCs w:val="24"/>
          <w:lang w:val="es-ES_tradnl"/>
        </w:rPr>
        <w:t>ncia</w:t>
      </w:r>
      <w:proofErr w:type="spellEnd"/>
      <w:r w:rsidRPr="00CC6E99">
        <w:rPr>
          <w:rFonts w:ascii="Times New Roman" w:hAnsi="Times New Roman" w:cs="Times New Roman"/>
          <w:sz w:val="24"/>
          <w:szCs w:val="24"/>
          <w:lang w:val="es-ES_tradnl"/>
        </w:rPr>
        <w:t xml:space="preserve">, </w:t>
      </w:r>
      <w:r w:rsidRPr="00CC6E99">
        <w:rPr>
          <w:rFonts w:ascii="Times New Roman" w:hAnsi="Times New Roman" w:cs="Times New Roman"/>
          <w:sz w:val="24"/>
          <w:szCs w:val="24"/>
        </w:rPr>
        <w:t xml:space="preserve">à atividade de controladoria de fundos. </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Assim, sugere que ao invés de reportar as posições em derivativos tal como proposta na Minuta, seja apresentado apenas o saldo lí</w:t>
      </w:r>
      <w:proofErr w:type="spellStart"/>
      <w:r w:rsidRPr="00CC6E99">
        <w:rPr>
          <w:rFonts w:ascii="Times New Roman" w:hAnsi="Times New Roman" w:cs="Times New Roman"/>
          <w:sz w:val="24"/>
          <w:szCs w:val="24"/>
          <w:lang w:val="es-ES_tradnl"/>
        </w:rPr>
        <w:t>quido</w:t>
      </w:r>
      <w:proofErr w:type="spellEnd"/>
      <w:r w:rsidRPr="00CC6E99">
        <w:rPr>
          <w:rFonts w:ascii="Times New Roman" w:hAnsi="Times New Roman" w:cs="Times New Roman"/>
          <w:sz w:val="24"/>
          <w:szCs w:val="24"/>
          <w:lang w:val="es-ES_tradnl"/>
        </w:rPr>
        <w:t xml:space="preserve"> de pagamentos relacionados a derivativos no per</w:t>
      </w:r>
      <w:r w:rsidRPr="00CC6E99">
        <w:rPr>
          <w:rFonts w:ascii="Times New Roman" w:hAnsi="Times New Roman" w:cs="Times New Roman"/>
          <w:sz w:val="24"/>
          <w:szCs w:val="24"/>
        </w:rPr>
        <w:t>íodo (mensal ou semestral).</w:t>
      </w:r>
    </w:p>
    <w:p w:rsidR="00D9084C" w:rsidRPr="00CC6E99" w:rsidRDefault="00D9084C">
      <w:pPr>
        <w:pStyle w:val="CorpoA"/>
        <w:widowControl w:val="0"/>
        <w:spacing w:after="0" w:line="312" w:lineRule="auto"/>
        <w:ind w:firstLine="709"/>
        <w:jc w:val="both"/>
        <w:rPr>
          <w:rFonts w:ascii="Times New Roman" w:eastAsia="Times New Roman" w:hAnsi="Times New Roman" w:cs="Times New Roman"/>
          <w:sz w:val="24"/>
          <w:szCs w:val="24"/>
        </w:rPr>
      </w:pPr>
    </w:p>
    <w:tbl>
      <w:tblPr>
        <w:tblStyle w:val="TableNormal"/>
        <w:tblW w:w="103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D9084C" w:rsidRPr="00AF4AA5" w:rsidTr="00DD2EEB">
        <w:trPr>
          <w:trHeight w:val="188"/>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8628CB" w:rsidRPr="00CC6E99" w:rsidRDefault="00A72FEB" w:rsidP="008628CB">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rPr>
              <w:t>A sugestão não foi acatada. As informações presentes no informe mensal serão utilizadas pela CVM e pelo BCB para a supervisão e acompanhamento de mercado</w:t>
            </w:r>
            <w:r w:rsidR="008628CB" w:rsidRPr="00CC6E99">
              <w:rPr>
                <w:rFonts w:ascii="Times New Roman" w:hAnsi="Times New Roman" w:cs="Times New Roman"/>
                <w:sz w:val="24"/>
                <w:szCs w:val="24"/>
              </w:rPr>
              <w:t>, sendo necessário que elas sejam apresentadas com o grau de detalhamento necessário.</w:t>
            </w:r>
          </w:p>
          <w:p w:rsidR="00E5126A" w:rsidRPr="00CC6E99" w:rsidRDefault="00E5126A" w:rsidP="008628CB">
            <w:pPr>
              <w:pStyle w:val="CorpoA"/>
              <w:spacing w:after="0" w:line="312" w:lineRule="auto"/>
              <w:ind w:firstLine="709"/>
              <w:jc w:val="both"/>
              <w:rPr>
                <w:rFonts w:ascii="Times New Roman" w:hAnsi="Times New Roman" w:cs="Times New Roman"/>
                <w:sz w:val="24"/>
                <w:szCs w:val="24"/>
              </w:rPr>
            </w:pPr>
          </w:p>
          <w:p w:rsidR="00E5126A" w:rsidRPr="00CC6E99" w:rsidRDefault="007B6697" w:rsidP="008628CB">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rPr>
              <w:t>A</w:t>
            </w:r>
            <w:r w:rsidR="00E5126A" w:rsidRPr="00CC6E99">
              <w:rPr>
                <w:rFonts w:ascii="Times New Roman" w:hAnsi="Times New Roman" w:cs="Times New Roman"/>
                <w:sz w:val="24"/>
                <w:szCs w:val="24"/>
              </w:rPr>
              <w:t xml:space="preserve"> versão final da norma incorpora regra determinando que os </w:t>
            </w:r>
            <w:r w:rsidR="00E5126A" w:rsidRPr="00CC6E99">
              <w:rPr>
                <w:rFonts w:ascii="Times New Roman" w:hAnsi="Times New Roman" w:cs="Times New Roman"/>
                <w:color w:val="0D0D0D"/>
                <w:sz w:val="24"/>
                <w:szCs w:val="24"/>
                <w:u w:color="0D0D0D"/>
              </w:rPr>
              <w:t>depositários centrais, custodiantes, entidades administradoras de mercado organizado, entidades registradoras, sistemas de liquidação, escrituradores, e outros devem prestar ao representante as informaçõ</w:t>
            </w:r>
            <w:r w:rsidR="00E5126A" w:rsidRPr="00CC6E99">
              <w:rPr>
                <w:rFonts w:ascii="Times New Roman" w:hAnsi="Times New Roman" w:cs="Times New Roman"/>
                <w:color w:val="0D0D0D"/>
                <w:sz w:val="24"/>
                <w:szCs w:val="24"/>
                <w:u w:color="0D0D0D"/>
                <w:lang w:val="es-ES_tradnl"/>
              </w:rPr>
              <w:t xml:space="preserve">es </w:t>
            </w:r>
            <w:r w:rsidRPr="00CC6E99">
              <w:rPr>
                <w:rFonts w:ascii="Times New Roman" w:hAnsi="Times New Roman" w:cs="Times New Roman"/>
                <w:color w:val="0D0D0D"/>
                <w:sz w:val="24"/>
                <w:szCs w:val="24"/>
                <w:u w:color="0D0D0D"/>
                <w:lang w:val="es-ES_tradnl"/>
              </w:rPr>
              <w:t xml:space="preserve">que </w:t>
            </w:r>
            <w:proofErr w:type="spellStart"/>
            <w:r w:rsidRPr="00CC6E99">
              <w:rPr>
                <w:rFonts w:ascii="Times New Roman" w:hAnsi="Times New Roman" w:cs="Times New Roman"/>
                <w:color w:val="0D0D0D"/>
                <w:sz w:val="24"/>
                <w:szCs w:val="24"/>
                <w:u w:color="0D0D0D"/>
                <w:lang w:val="es-ES_tradnl"/>
              </w:rPr>
              <w:t>detenham</w:t>
            </w:r>
            <w:proofErr w:type="spellEnd"/>
            <w:r w:rsidR="00E5126A" w:rsidRPr="00CC6E99">
              <w:rPr>
                <w:rFonts w:ascii="Times New Roman" w:hAnsi="Times New Roman" w:cs="Times New Roman"/>
                <w:color w:val="0D0D0D"/>
                <w:sz w:val="24"/>
                <w:szCs w:val="24"/>
                <w:u w:color="0D0D0D"/>
              </w:rPr>
              <w:t xml:space="preserve"> </w:t>
            </w:r>
            <w:r w:rsidRPr="00CC6E99">
              <w:rPr>
                <w:rFonts w:ascii="Times New Roman" w:hAnsi="Times New Roman" w:cs="Times New Roman"/>
                <w:color w:val="0D0D0D"/>
                <w:sz w:val="24"/>
                <w:szCs w:val="24"/>
                <w:u w:color="0D0D0D"/>
              </w:rPr>
              <w:t>sobre</w:t>
            </w:r>
            <w:r w:rsidR="00E5126A" w:rsidRPr="00CC6E99">
              <w:rPr>
                <w:rFonts w:ascii="Times New Roman" w:hAnsi="Times New Roman" w:cs="Times New Roman"/>
                <w:color w:val="0D0D0D"/>
                <w:sz w:val="24"/>
                <w:szCs w:val="24"/>
                <w:u w:color="0D0D0D"/>
              </w:rPr>
              <w:t xml:space="preserve"> </w:t>
            </w:r>
            <w:r w:rsidRPr="00CC6E99">
              <w:rPr>
                <w:rFonts w:ascii="Times New Roman" w:hAnsi="Times New Roman" w:cs="Times New Roman"/>
                <w:color w:val="0D0D0D"/>
                <w:sz w:val="24"/>
                <w:szCs w:val="24"/>
                <w:u w:color="0D0D0D"/>
              </w:rPr>
              <w:t>os</w:t>
            </w:r>
            <w:r w:rsidR="00E5126A" w:rsidRPr="00CC6E99">
              <w:rPr>
                <w:rFonts w:ascii="Times New Roman" w:hAnsi="Times New Roman" w:cs="Times New Roman"/>
                <w:color w:val="0D0D0D"/>
                <w:sz w:val="24"/>
                <w:szCs w:val="24"/>
                <w:u w:color="0D0D0D"/>
              </w:rPr>
              <w:t xml:space="preserve"> valores mobiliários e ativos financeiros de titularidade de investidores nã</w:t>
            </w:r>
            <w:r w:rsidR="00E5126A" w:rsidRPr="00CC6E99">
              <w:rPr>
                <w:rFonts w:ascii="Times New Roman" w:hAnsi="Times New Roman" w:cs="Times New Roman"/>
                <w:color w:val="0D0D0D"/>
                <w:sz w:val="24"/>
                <w:szCs w:val="24"/>
                <w:u w:color="0D0D0D"/>
                <w:lang w:val="es-ES_tradnl"/>
              </w:rPr>
              <w:t xml:space="preserve">o residentes que </w:t>
            </w:r>
            <w:r w:rsidR="00E5126A" w:rsidRPr="00CC6E99">
              <w:rPr>
                <w:rFonts w:ascii="Times New Roman" w:hAnsi="Times New Roman" w:cs="Times New Roman"/>
                <w:color w:val="0D0D0D"/>
                <w:sz w:val="24"/>
                <w:szCs w:val="24"/>
                <w:u w:color="0D0D0D"/>
              </w:rPr>
              <w:t>ele represente e que sejam</w:t>
            </w:r>
            <w:r w:rsidR="00E5126A" w:rsidRPr="00CC6E99">
              <w:rPr>
                <w:rFonts w:ascii="Times New Roman" w:hAnsi="Times New Roman" w:cs="Times New Roman"/>
                <w:color w:val="0D0D0D"/>
                <w:sz w:val="24"/>
                <w:szCs w:val="24"/>
                <w:u w:color="0D0D0D"/>
                <w:lang w:val="it-IT"/>
              </w:rPr>
              <w:t xml:space="preserve"> necess</w:t>
            </w:r>
            <w:r w:rsidR="00E5126A" w:rsidRPr="00CC6E99">
              <w:rPr>
                <w:rFonts w:ascii="Times New Roman" w:hAnsi="Times New Roman" w:cs="Times New Roman"/>
                <w:color w:val="0D0D0D"/>
                <w:sz w:val="24"/>
                <w:szCs w:val="24"/>
                <w:u w:color="0D0D0D"/>
              </w:rPr>
              <w:t>árias para elaboração das informaçõ</w:t>
            </w:r>
            <w:r w:rsidR="00E5126A" w:rsidRPr="00CC6E99">
              <w:rPr>
                <w:rFonts w:ascii="Times New Roman" w:hAnsi="Times New Roman" w:cs="Times New Roman"/>
                <w:color w:val="0D0D0D"/>
                <w:sz w:val="24"/>
                <w:szCs w:val="24"/>
                <w:u w:color="0D0D0D"/>
                <w:lang w:val="fr-FR"/>
              </w:rPr>
              <w:t>es peri</w:t>
            </w:r>
            <w:r w:rsidR="00E5126A" w:rsidRPr="00CC6E99">
              <w:rPr>
                <w:rFonts w:ascii="Times New Roman" w:hAnsi="Times New Roman" w:cs="Times New Roman"/>
                <w:color w:val="0D0D0D"/>
                <w:sz w:val="24"/>
                <w:szCs w:val="24"/>
                <w:u w:color="0D0D0D"/>
              </w:rPr>
              <w:t xml:space="preserve">ódicas previstas </w:t>
            </w:r>
            <w:r w:rsidRPr="00CC6E99">
              <w:rPr>
                <w:rFonts w:ascii="Times New Roman" w:hAnsi="Times New Roman" w:cs="Times New Roman"/>
                <w:color w:val="0D0D0D"/>
                <w:sz w:val="24"/>
                <w:szCs w:val="24"/>
                <w:u w:color="0D0D0D"/>
              </w:rPr>
              <w:t>n</w:t>
            </w:r>
            <w:r w:rsidR="00E5126A" w:rsidRPr="00CC6E99">
              <w:rPr>
                <w:rFonts w:ascii="Times New Roman" w:hAnsi="Times New Roman" w:cs="Times New Roman"/>
                <w:color w:val="0D0D0D"/>
                <w:sz w:val="24"/>
                <w:szCs w:val="24"/>
                <w:u w:color="0D0D0D"/>
              </w:rPr>
              <w:t>a norma.</w:t>
            </w:r>
          </w:p>
          <w:p w:rsidR="008628CB" w:rsidRPr="00CC6E99" w:rsidRDefault="008628CB" w:rsidP="008628CB">
            <w:pPr>
              <w:pStyle w:val="CorpoA"/>
              <w:spacing w:after="0" w:line="312" w:lineRule="auto"/>
              <w:ind w:firstLine="709"/>
              <w:jc w:val="both"/>
              <w:rPr>
                <w:rFonts w:ascii="Times New Roman" w:hAnsi="Times New Roman" w:cs="Times New Roman"/>
                <w:sz w:val="24"/>
                <w:szCs w:val="24"/>
              </w:rPr>
            </w:pPr>
          </w:p>
          <w:p w:rsidR="00D9084C" w:rsidRPr="00CC6E99" w:rsidRDefault="008628CB" w:rsidP="00FD0A9A">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rPr>
              <w:t>C</w:t>
            </w:r>
            <w:r w:rsidR="00E5126A" w:rsidRPr="00CC6E99">
              <w:rPr>
                <w:rFonts w:ascii="Times New Roman" w:hAnsi="Times New Roman" w:cs="Times New Roman"/>
                <w:sz w:val="24"/>
                <w:szCs w:val="24"/>
              </w:rPr>
              <w:t>umpre informar que, em virtude d</w:t>
            </w:r>
            <w:r w:rsidRPr="00CC6E99">
              <w:rPr>
                <w:rFonts w:ascii="Times New Roman" w:hAnsi="Times New Roman" w:cs="Times New Roman"/>
                <w:sz w:val="24"/>
                <w:szCs w:val="24"/>
              </w:rPr>
              <w:t>as necessidades de supervisão da CVM e do BCB</w:t>
            </w:r>
            <w:r w:rsidR="00DD2EEB" w:rsidRPr="00CC6E99">
              <w:rPr>
                <w:rFonts w:ascii="Times New Roman" w:hAnsi="Times New Roman" w:cs="Times New Roman"/>
                <w:sz w:val="24"/>
                <w:szCs w:val="24"/>
              </w:rPr>
              <w:t>,</w:t>
            </w:r>
            <w:r w:rsidRPr="00CC6E99">
              <w:rPr>
                <w:rFonts w:ascii="Times New Roman" w:hAnsi="Times New Roman" w:cs="Times New Roman"/>
                <w:sz w:val="24"/>
                <w:szCs w:val="24"/>
              </w:rPr>
              <w:t xml:space="preserve"> a</w:t>
            </w:r>
            <w:r w:rsidR="00DD2EEB" w:rsidRPr="00CC6E99">
              <w:rPr>
                <w:rFonts w:ascii="Times New Roman" w:hAnsi="Times New Roman" w:cs="Times New Roman"/>
                <w:sz w:val="24"/>
                <w:szCs w:val="24"/>
              </w:rPr>
              <w:t>s</w:t>
            </w:r>
            <w:r w:rsidRPr="00CC6E99">
              <w:rPr>
                <w:rFonts w:ascii="Times New Roman" w:hAnsi="Times New Roman" w:cs="Times New Roman"/>
                <w:sz w:val="24"/>
                <w:szCs w:val="24"/>
              </w:rPr>
              <w:t xml:space="preserve"> categoria</w:t>
            </w:r>
            <w:r w:rsidR="00DD2EEB" w:rsidRPr="00CC6E99">
              <w:rPr>
                <w:rFonts w:ascii="Times New Roman" w:hAnsi="Times New Roman" w:cs="Times New Roman"/>
                <w:sz w:val="24"/>
                <w:szCs w:val="24"/>
              </w:rPr>
              <w:t>s de investimento relativas a intrumentos derivativos foram revis</w:t>
            </w:r>
            <w:r w:rsidR="00FD0A9A" w:rsidRPr="00CC6E99">
              <w:rPr>
                <w:rFonts w:ascii="Times New Roman" w:hAnsi="Times New Roman" w:cs="Times New Roman"/>
                <w:sz w:val="24"/>
                <w:szCs w:val="24"/>
              </w:rPr>
              <w:t>t</w:t>
            </w:r>
            <w:r w:rsidR="00DD2EEB" w:rsidRPr="00CC6E99">
              <w:rPr>
                <w:rFonts w:ascii="Times New Roman" w:hAnsi="Times New Roman" w:cs="Times New Roman"/>
                <w:sz w:val="24"/>
                <w:szCs w:val="24"/>
              </w:rPr>
              <w:t>as, tendo sido estabelecidas na redação final da norma as seguintes categorias: (a) contratos futuros de taxas de juros; (b) contratos futuros de moeda ou de cupom cambial; (c) contratos de swap cambial com ajuste periódico; (d) contratos futuros de índices de ações; (e) demais contratos futuros; (f) opções de taxas de juros; (g) opções de moeda; (h) opções de índices de ações; (i) demais opções;</w:t>
            </w:r>
            <w:r w:rsidR="009E3FCE">
              <w:rPr>
                <w:rFonts w:ascii="Times New Roman" w:hAnsi="Times New Roman" w:cs="Times New Roman"/>
                <w:sz w:val="24"/>
                <w:szCs w:val="24"/>
              </w:rPr>
              <w:t xml:space="preserve"> e</w:t>
            </w:r>
            <w:r w:rsidR="00DD2EEB" w:rsidRPr="00CC6E99">
              <w:rPr>
                <w:rFonts w:ascii="Times New Roman" w:hAnsi="Times New Roman" w:cs="Times New Roman"/>
                <w:sz w:val="24"/>
                <w:szCs w:val="24"/>
              </w:rPr>
              <w:t xml:space="preserve"> (j) demais instrumentos derivativos.</w:t>
            </w:r>
          </w:p>
        </w:tc>
      </w:tr>
    </w:tbl>
    <w:p w:rsidR="00D9084C" w:rsidRPr="00CC6E99" w:rsidRDefault="00D9084C" w:rsidP="008B3B4F">
      <w:pPr>
        <w:pStyle w:val="CorpoA"/>
        <w:spacing w:before="120"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jc w:val="both"/>
        <w:rPr>
          <w:rFonts w:ascii="Times New Roman" w:eastAsia="Times New Roman" w:hAnsi="Times New Roman" w:cs="Times New Roman"/>
          <w:b/>
          <w:bCs/>
          <w:sz w:val="24"/>
          <w:szCs w:val="24"/>
        </w:rPr>
      </w:pPr>
      <w:r w:rsidRPr="00CC6E99">
        <w:rPr>
          <w:rFonts w:ascii="Times New Roman" w:hAnsi="Times New Roman" w:cs="Times New Roman"/>
          <w:b/>
          <w:bCs/>
          <w:sz w:val="24"/>
          <w:szCs w:val="24"/>
        </w:rPr>
        <w:t>3.</w:t>
      </w:r>
      <w:r w:rsidR="000160B3" w:rsidRPr="00CC6E99">
        <w:rPr>
          <w:rFonts w:ascii="Times New Roman" w:hAnsi="Times New Roman" w:cs="Times New Roman"/>
          <w:b/>
          <w:bCs/>
          <w:sz w:val="24"/>
          <w:szCs w:val="24"/>
        </w:rPr>
        <w:t>3</w:t>
      </w:r>
      <w:r w:rsidRPr="00CC6E99">
        <w:rPr>
          <w:rFonts w:ascii="Times New Roman" w:hAnsi="Times New Roman" w:cs="Times New Roman"/>
          <w:b/>
          <w:bCs/>
          <w:sz w:val="24"/>
          <w:szCs w:val="24"/>
        </w:rPr>
        <w:t>.2.3. Inclusão de novas categorias de aplicação, ativos de renda fixa e outras informações no informe mensal</w:t>
      </w:r>
      <w:r w:rsidR="00034A9C">
        <w:rPr>
          <w:rFonts w:ascii="Times New Roman" w:hAnsi="Times New Roman" w:cs="Times New Roman"/>
          <w:b/>
          <w:bCs/>
          <w:sz w:val="24"/>
          <w:szCs w:val="24"/>
        </w:rPr>
        <w:t xml:space="preserve"> - </w:t>
      </w:r>
      <w:r w:rsidRPr="00CC6E99">
        <w:rPr>
          <w:rFonts w:ascii="Times New Roman" w:hAnsi="Times New Roman" w:cs="Times New Roman"/>
          <w:b/>
          <w:bCs/>
          <w:sz w:val="24"/>
          <w:szCs w:val="24"/>
        </w:rPr>
        <w:t>art. 1º, III, “a” e §</w:t>
      </w:r>
      <w:r w:rsidR="00034A9C">
        <w:rPr>
          <w:rFonts w:ascii="Times New Roman" w:hAnsi="Times New Roman" w:cs="Times New Roman"/>
          <w:b/>
          <w:bCs/>
          <w:sz w:val="24"/>
          <w:szCs w:val="24"/>
        </w:rPr>
        <w:t xml:space="preserve"> 2º</w:t>
      </w:r>
    </w:p>
    <w:p w:rsidR="00D9084C" w:rsidRPr="00CC6E99" w:rsidRDefault="00D9084C">
      <w:pPr>
        <w:pStyle w:val="CorpoA"/>
        <w:spacing w:after="0" w:line="312" w:lineRule="auto"/>
        <w:ind w:firstLine="709"/>
        <w:jc w:val="both"/>
        <w:rPr>
          <w:rFonts w:ascii="Times New Roman" w:eastAsia="Times New Roman" w:hAnsi="Times New Roman" w:cs="Times New Roman"/>
          <w:b/>
          <w:bCs/>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 xml:space="preserve">A BM&amp;FBOVESPA sugere a alteração da redação </w:t>
      </w:r>
      <w:r w:rsidR="00034A9C">
        <w:rPr>
          <w:rFonts w:ascii="Times New Roman" w:hAnsi="Times New Roman" w:cs="Times New Roman"/>
          <w:sz w:val="24"/>
          <w:szCs w:val="24"/>
        </w:rPr>
        <w:t>norma</w:t>
      </w:r>
      <w:r w:rsidRPr="00CC6E99">
        <w:rPr>
          <w:rFonts w:ascii="Times New Roman" w:hAnsi="Times New Roman" w:cs="Times New Roman"/>
          <w:sz w:val="24"/>
          <w:szCs w:val="24"/>
        </w:rPr>
        <w:t xml:space="preserve"> para prever que os ativos registrados em sistemas de registro e liquidação financeira autorizado pelo Banco Central constem de forma específica no informe mensal e não apenas sob a rubrica “demais aplicações”. A criaçã</w:t>
      </w:r>
      <w:r w:rsidRPr="00CC6E99">
        <w:rPr>
          <w:rFonts w:ascii="Times New Roman" w:hAnsi="Times New Roman" w:cs="Times New Roman"/>
          <w:sz w:val="24"/>
          <w:szCs w:val="24"/>
          <w:lang w:val="es-ES_tradnl"/>
        </w:rPr>
        <w:t xml:space="preserve">o de tal </w:t>
      </w:r>
      <w:proofErr w:type="spellStart"/>
      <w:r w:rsidRPr="00CC6E99">
        <w:rPr>
          <w:rFonts w:ascii="Times New Roman" w:hAnsi="Times New Roman" w:cs="Times New Roman"/>
          <w:sz w:val="24"/>
          <w:szCs w:val="24"/>
          <w:lang w:val="es-ES_tradnl"/>
        </w:rPr>
        <w:t>item</w:t>
      </w:r>
      <w:proofErr w:type="spellEnd"/>
      <w:r w:rsidRPr="00CC6E99">
        <w:rPr>
          <w:rFonts w:ascii="Times New Roman" w:hAnsi="Times New Roman" w:cs="Times New Roman"/>
          <w:sz w:val="24"/>
          <w:szCs w:val="24"/>
          <w:lang w:val="es-ES_tradnl"/>
        </w:rPr>
        <w:t>, alega, facilitar</w:t>
      </w:r>
      <w:r w:rsidRPr="00CC6E99">
        <w:rPr>
          <w:rFonts w:ascii="Times New Roman" w:hAnsi="Times New Roman" w:cs="Times New Roman"/>
          <w:sz w:val="24"/>
          <w:szCs w:val="24"/>
        </w:rPr>
        <w:t xml:space="preserve">á a supervisão da CVM e do </w:t>
      </w:r>
      <w:r w:rsidR="004B479A" w:rsidRPr="00CC6E99">
        <w:rPr>
          <w:rFonts w:ascii="Times New Roman" w:hAnsi="Times New Roman" w:cs="Times New Roman"/>
          <w:sz w:val="24"/>
          <w:szCs w:val="24"/>
        </w:rPr>
        <w:t>BCB</w:t>
      </w:r>
      <w:r w:rsidRPr="00CC6E99">
        <w:rPr>
          <w:rFonts w:ascii="Times New Roman" w:hAnsi="Times New Roman" w:cs="Times New Roman"/>
          <w:sz w:val="24"/>
          <w:szCs w:val="24"/>
        </w:rPr>
        <w:t xml:space="preserve"> acerca das operações realizadas e/ou registradas pelos investidores não residentes.</w:t>
      </w: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lastRenderedPageBreak/>
        <w:t xml:space="preserve"> </w:t>
      </w:r>
    </w:p>
    <w:p w:rsidR="00D9084C" w:rsidRPr="00CC6E99" w:rsidRDefault="005607BA">
      <w:pPr>
        <w:pStyle w:val="CorpoA"/>
        <w:spacing w:after="0" w:line="312" w:lineRule="auto"/>
        <w:ind w:firstLine="709"/>
        <w:jc w:val="both"/>
        <w:rPr>
          <w:rFonts w:ascii="Times New Roman" w:eastAsia="Times New Roman" w:hAnsi="Times New Roman" w:cs="Times New Roman"/>
          <w:i/>
          <w:iCs/>
          <w:sz w:val="24"/>
          <w:szCs w:val="24"/>
          <w:u w:val="single"/>
        </w:rPr>
      </w:pPr>
      <w:r w:rsidRPr="00CC6E99">
        <w:rPr>
          <w:rFonts w:ascii="Times New Roman" w:hAnsi="Times New Roman" w:cs="Times New Roman"/>
          <w:sz w:val="24"/>
          <w:szCs w:val="24"/>
        </w:rPr>
        <w:t xml:space="preserve">No mesmo sentido, </w:t>
      </w:r>
      <w:r w:rsidR="009D7836">
        <w:rPr>
          <w:rFonts w:ascii="Times New Roman" w:hAnsi="Times New Roman" w:cs="Times New Roman"/>
          <w:sz w:val="24"/>
          <w:szCs w:val="24"/>
        </w:rPr>
        <w:t>propõe</w:t>
      </w:r>
      <w:r w:rsidR="009D7836" w:rsidRPr="00CC6E99">
        <w:rPr>
          <w:rFonts w:ascii="Times New Roman" w:hAnsi="Times New Roman" w:cs="Times New Roman"/>
          <w:sz w:val="24"/>
          <w:szCs w:val="24"/>
        </w:rPr>
        <w:t xml:space="preserve"> </w:t>
      </w:r>
      <w:r w:rsidRPr="00CC6E99">
        <w:rPr>
          <w:rFonts w:ascii="Times New Roman" w:hAnsi="Times New Roman" w:cs="Times New Roman"/>
          <w:sz w:val="24"/>
          <w:szCs w:val="24"/>
        </w:rPr>
        <w:t>inserir duas alíneas no §2° para especificar que as operações realizadas ou registradas com letra financeira e certificado de operações estruturadas (COE) devem constar do informe mensal pela mesma razão.</w:t>
      </w:r>
    </w:p>
    <w:p w:rsidR="00D9084C" w:rsidRPr="00CC6E99" w:rsidRDefault="00D9084C">
      <w:pPr>
        <w:pStyle w:val="CorpoA"/>
        <w:widowControl w:val="0"/>
        <w:spacing w:after="0" w:line="312" w:lineRule="auto"/>
        <w:ind w:firstLine="709"/>
        <w:jc w:val="both"/>
        <w:rPr>
          <w:rFonts w:ascii="Times New Roman" w:eastAsia="Times New Roman" w:hAnsi="Times New Roman" w:cs="Times New Roman"/>
          <w:sz w:val="24"/>
          <w:szCs w:val="24"/>
        </w:rPr>
      </w:pPr>
    </w:p>
    <w:tbl>
      <w:tblPr>
        <w:tblStyle w:val="TableNormal"/>
        <w:tblW w:w="103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D9084C" w:rsidRPr="00AF4AA5" w:rsidTr="00534BD1">
        <w:trPr>
          <w:trHeight w:val="183"/>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D9084C" w:rsidRPr="00CC6E99" w:rsidRDefault="007018A3" w:rsidP="007F44AF">
            <w:pPr>
              <w:pStyle w:val="CorpoA"/>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função da </w:t>
            </w:r>
            <w:r w:rsidR="00E0103E">
              <w:rPr>
                <w:rFonts w:ascii="Times New Roman" w:hAnsi="Times New Roman" w:cs="Times New Roman"/>
                <w:sz w:val="24"/>
                <w:szCs w:val="24"/>
              </w:rPr>
              <w:t xml:space="preserve">criação da categoria </w:t>
            </w:r>
            <w:r w:rsidR="00E0103E" w:rsidRPr="00CC6E99">
              <w:rPr>
                <w:rFonts w:ascii="Times New Roman" w:hAnsi="Times New Roman" w:cs="Times New Roman"/>
                <w:sz w:val="24"/>
                <w:szCs w:val="24"/>
              </w:rPr>
              <w:t>“instrumentos de dívida – renda fixa – emitidos por instituição financeira ou por instituição autorizada a funcionar pelo Banco Central do Brasil”</w:t>
            </w:r>
            <w:r w:rsidR="00E0103E">
              <w:rPr>
                <w:rFonts w:ascii="Times New Roman" w:hAnsi="Times New Roman" w:cs="Times New Roman"/>
                <w:sz w:val="24"/>
                <w:szCs w:val="24"/>
              </w:rPr>
              <w:t xml:space="preserve"> e da exclusão do §</w:t>
            </w:r>
            <w:r w:rsidR="007F44AF">
              <w:rPr>
                <w:rFonts w:ascii="Times New Roman" w:hAnsi="Times New Roman" w:cs="Times New Roman"/>
                <w:sz w:val="24"/>
                <w:szCs w:val="24"/>
              </w:rPr>
              <w:t>2</w:t>
            </w:r>
            <w:r w:rsidR="00E0103E">
              <w:rPr>
                <w:rFonts w:ascii="Times New Roman" w:hAnsi="Times New Roman" w:cs="Times New Roman"/>
                <w:sz w:val="24"/>
                <w:szCs w:val="24"/>
              </w:rPr>
              <w:t xml:space="preserve"> do art. 1º do Anexo 14-A</w:t>
            </w:r>
            <w:r w:rsidR="00034A9C">
              <w:rPr>
                <w:rFonts w:ascii="Times New Roman" w:hAnsi="Times New Roman" w:cs="Times New Roman"/>
                <w:sz w:val="24"/>
                <w:szCs w:val="24"/>
              </w:rPr>
              <w:t xml:space="preserve">, não </w:t>
            </w:r>
            <w:r w:rsidR="00FB160D">
              <w:rPr>
                <w:rFonts w:ascii="Times New Roman" w:hAnsi="Times New Roman" w:cs="Times New Roman"/>
                <w:sz w:val="24"/>
                <w:szCs w:val="24"/>
              </w:rPr>
              <w:t xml:space="preserve">foi </w:t>
            </w:r>
            <w:r w:rsidR="00034A9C">
              <w:rPr>
                <w:rFonts w:ascii="Times New Roman" w:hAnsi="Times New Roman" w:cs="Times New Roman"/>
                <w:sz w:val="24"/>
                <w:szCs w:val="24"/>
              </w:rPr>
              <w:t>considerado necessário acatar a sugestão.</w:t>
            </w:r>
          </w:p>
        </w:tc>
      </w:tr>
    </w:tbl>
    <w:p w:rsidR="0021198D" w:rsidRPr="00CC6E99" w:rsidRDefault="0021198D" w:rsidP="00534BD1">
      <w:pPr>
        <w:pStyle w:val="CorpoA"/>
        <w:spacing w:before="120" w:after="0" w:line="312" w:lineRule="auto"/>
        <w:ind w:firstLine="709"/>
        <w:jc w:val="both"/>
        <w:rPr>
          <w:rFonts w:ascii="Times New Roman" w:eastAsia="Times New Roman" w:hAnsi="Times New Roman" w:cs="Times New Roman"/>
          <w:b/>
          <w:bCs/>
          <w:sz w:val="24"/>
          <w:szCs w:val="24"/>
        </w:rPr>
      </w:pPr>
    </w:p>
    <w:p w:rsidR="00D9084C" w:rsidRPr="00CC6E99" w:rsidRDefault="005607BA">
      <w:pPr>
        <w:pStyle w:val="CorpoA"/>
        <w:spacing w:after="0" w:line="312" w:lineRule="auto"/>
        <w:jc w:val="both"/>
        <w:rPr>
          <w:rFonts w:ascii="Times New Roman" w:eastAsia="Times New Roman" w:hAnsi="Times New Roman" w:cs="Times New Roman"/>
          <w:b/>
          <w:bCs/>
          <w:sz w:val="24"/>
          <w:szCs w:val="24"/>
        </w:rPr>
      </w:pPr>
      <w:r w:rsidRPr="00CC6E99">
        <w:rPr>
          <w:rFonts w:ascii="Times New Roman" w:hAnsi="Times New Roman" w:cs="Times New Roman"/>
          <w:b/>
          <w:bCs/>
          <w:sz w:val="24"/>
          <w:szCs w:val="24"/>
        </w:rPr>
        <w:t>3.</w:t>
      </w:r>
      <w:r w:rsidR="000160B3" w:rsidRPr="00CC6E99">
        <w:rPr>
          <w:rFonts w:ascii="Times New Roman" w:hAnsi="Times New Roman" w:cs="Times New Roman"/>
          <w:b/>
          <w:bCs/>
          <w:sz w:val="24"/>
          <w:szCs w:val="24"/>
        </w:rPr>
        <w:t>3</w:t>
      </w:r>
      <w:r w:rsidRPr="00CC6E99">
        <w:rPr>
          <w:rFonts w:ascii="Times New Roman" w:hAnsi="Times New Roman" w:cs="Times New Roman"/>
          <w:b/>
          <w:bCs/>
          <w:sz w:val="24"/>
          <w:szCs w:val="24"/>
        </w:rPr>
        <w:t xml:space="preserve">.3. Valor de mercado das aplicações </w:t>
      </w:r>
      <w:r w:rsidR="001E5A87">
        <w:rPr>
          <w:rFonts w:ascii="Times New Roman" w:hAnsi="Times New Roman" w:cs="Times New Roman"/>
          <w:b/>
          <w:bCs/>
          <w:sz w:val="24"/>
          <w:szCs w:val="24"/>
        </w:rPr>
        <w:t>– Anexo 13-A, art. 1º, I</w:t>
      </w:r>
      <w:r w:rsidR="00C0419C">
        <w:rPr>
          <w:rFonts w:ascii="Times New Roman" w:hAnsi="Times New Roman" w:cs="Times New Roman"/>
          <w:b/>
          <w:bCs/>
          <w:sz w:val="24"/>
          <w:szCs w:val="24"/>
        </w:rPr>
        <w:t>II</w:t>
      </w:r>
      <w:r w:rsidR="001E5A87">
        <w:rPr>
          <w:rFonts w:ascii="Times New Roman" w:hAnsi="Times New Roman" w:cs="Times New Roman"/>
          <w:b/>
          <w:bCs/>
          <w:sz w:val="24"/>
          <w:szCs w:val="24"/>
        </w:rPr>
        <w:t xml:space="preserve">, “b” e Anexo 13-B, </w:t>
      </w:r>
      <w:r w:rsidR="00C0419C">
        <w:rPr>
          <w:rFonts w:ascii="Times New Roman" w:hAnsi="Times New Roman" w:cs="Times New Roman"/>
          <w:b/>
          <w:bCs/>
          <w:sz w:val="24"/>
          <w:szCs w:val="24"/>
        </w:rPr>
        <w:t xml:space="preserve">art. 1º, </w:t>
      </w:r>
      <w:r w:rsidR="00094A6B">
        <w:rPr>
          <w:rFonts w:ascii="Times New Roman" w:hAnsi="Times New Roman" w:cs="Times New Roman"/>
          <w:b/>
          <w:bCs/>
          <w:sz w:val="24"/>
          <w:szCs w:val="24"/>
        </w:rPr>
        <w:t>III, “e”</w:t>
      </w:r>
      <w:r w:rsidR="001E5A87">
        <w:rPr>
          <w:rFonts w:ascii="Times New Roman" w:hAnsi="Times New Roman" w:cs="Times New Roman"/>
          <w:b/>
          <w:bCs/>
          <w:sz w:val="24"/>
          <w:szCs w:val="24"/>
        </w:rPr>
        <w:t xml:space="preserve"> </w:t>
      </w:r>
      <w:r w:rsidRPr="00CC6E99">
        <w:rPr>
          <w:rFonts w:ascii="Times New Roman" w:hAnsi="Times New Roman" w:cs="Times New Roman"/>
          <w:b/>
          <w:bCs/>
          <w:sz w:val="24"/>
          <w:szCs w:val="24"/>
        </w:rPr>
        <w:t>(</w:t>
      </w:r>
      <w:r w:rsidR="00094A6B">
        <w:rPr>
          <w:rFonts w:ascii="Times New Roman" w:hAnsi="Times New Roman" w:cs="Times New Roman"/>
          <w:b/>
          <w:bCs/>
          <w:sz w:val="24"/>
          <w:szCs w:val="24"/>
        </w:rPr>
        <w:t>atuais Anexo 14-A, art. 1º, I</w:t>
      </w:r>
      <w:r w:rsidR="00C0419C">
        <w:rPr>
          <w:rFonts w:ascii="Times New Roman" w:hAnsi="Times New Roman" w:cs="Times New Roman"/>
          <w:b/>
          <w:bCs/>
          <w:sz w:val="24"/>
          <w:szCs w:val="24"/>
        </w:rPr>
        <w:t>II</w:t>
      </w:r>
      <w:r w:rsidR="00094A6B">
        <w:rPr>
          <w:rFonts w:ascii="Times New Roman" w:hAnsi="Times New Roman" w:cs="Times New Roman"/>
          <w:b/>
          <w:bCs/>
          <w:sz w:val="24"/>
          <w:szCs w:val="24"/>
        </w:rPr>
        <w:t>, “b” e “c”</w:t>
      </w:r>
      <w:r w:rsidR="00261924">
        <w:rPr>
          <w:rFonts w:ascii="Times New Roman" w:hAnsi="Times New Roman" w:cs="Times New Roman"/>
          <w:b/>
          <w:bCs/>
          <w:sz w:val="24"/>
          <w:szCs w:val="24"/>
        </w:rPr>
        <w:t>,</w:t>
      </w:r>
      <w:r w:rsidR="00094A6B">
        <w:rPr>
          <w:rFonts w:ascii="Times New Roman" w:hAnsi="Times New Roman" w:cs="Times New Roman"/>
          <w:b/>
          <w:bCs/>
          <w:sz w:val="24"/>
          <w:szCs w:val="24"/>
        </w:rPr>
        <w:t xml:space="preserve"> </w:t>
      </w:r>
      <w:r w:rsidRPr="00CC6E99">
        <w:rPr>
          <w:rFonts w:ascii="Times New Roman" w:hAnsi="Times New Roman" w:cs="Times New Roman"/>
          <w:b/>
          <w:bCs/>
          <w:sz w:val="24"/>
          <w:szCs w:val="24"/>
        </w:rPr>
        <w:t>e Anexo 14-B</w:t>
      </w:r>
      <w:r w:rsidR="00094A6B">
        <w:rPr>
          <w:rFonts w:ascii="Times New Roman" w:hAnsi="Times New Roman" w:cs="Times New Roman"/>
          <w:b/>
          <w:bCs/>
          <w:sz w:val="24"/>
          <w:szCs w:val="24"/>
        </w:rPr>
        <w:t>,</w:t>
      </w:r>
      <w:r w:rsidR="00094A6B" w:rsidRPr="00094A6B">
        <w:rPr>
          <w:rFonts w:ascii="Times New Roman" w:hAnsi="Times New Roman" w:cs="Times New Roman"/>
          <w:b/>
          <w:bCs/>
          <w:sz w:val="24"/>
          <w:szCs w:val="24"/>
        </w:rPr>
        <w:t xml:space="preserve"> </w:t>
      </w:r>
      <w:r w:rsidR="00C0419C">
        <w:rPr>
          <w:rFonts w:ascii="Times New Roman" w:hAnsi="Times New Roman" w:cs="Times New Roman"/>
          <w:b/>
          <w:bCs/>
          <w:sz w:val="24"/>
          <w:szCs w:val="24"/>
        </w:rPr>
        <w:t xml:space="preserve">art. 1º, </w:t>
      </w:r>
      <w:r w:rsidR="00094A6B">
        <w:rPr>
          <w:rFonts w:ascii="Times New Roman" w:hAnsi="Times New Roman" w:cs="Times New Roman"/>
          <w:b/>
          <w:bCs/>
          <w:sz w:val="24"/>
          <w:szCs w:val="24"/>
        </w:rPr>
        <w:t>III, “e”</w:t>
      </w:r>
      <w:r w:rsidRPr="00CC6E99">
        <w:rPr>
          <w:rFonts w:ascii="Times New Roman" w:hAnsi="Times New Roman" w:cs="Times New Roman"/>
          <w:b/>
          <w:bCs/>
          <w:sz w:val="24"/>
          <w:szCs w:val="24"/>
        </w:rPr>
        <w:t>)</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A ANBIMA entende que o informe tem por objetivo acompanhar a alocação dos investimentos realizados pelos investidores não residentes. Nesse sentido, os ativos devem ser informados pelo seu valor de mercado, quando disponíveis. Para ativos com baixa liquidez ou mesmo sem negociação, o valor original do investimento ou o ú</w:t>
      </w:r>
      <w:proofErr w:type="spellStart"/>
      <w:r w:rsidRPr="00CC6E99">
        <w:rPr>
          <w:rFonts w:ascii="Times New Roman" w:hAnsi="Times New Roman" w:cs="Times New Roman"/>
          <w:sz w:val="24"/>
          <w:szCs w:val="24"/>
          <w:lang w:val="es-ES_tradnl"/>
        </w:rPr>
        <w:t>ltimo</w:t>
      </w:r>
      <w:proofErr w:type="spellEnd"/>
      <w:r w:rsidRPr="00CC6E99">
        <w:rPr>
          <w:rFonts w:ascii="Times New Roman" w:hAnsi="Times New Roman" w:cs="Times New Roman"/>
          <w:sz w:val="24"/>
          <w:szCs w:val="24"/>
          <w:lang w:val="es-ES_tradnl"/>
        </w:rPr>
        <w:t xml:space="preserve"> valor de mercado </w:t>
      </w:r>
      <w:proofErr w:type="spellStart"/>
      <w:r w:rsidRPr="00CC6E99">
        <w:rPr>
          <w:rFonts w:ascii="Times New Roman" w:hAnsi="Times New Roman" w:cs="Times New Roman"/>
          <w:sz w:val="24"/>
          <w:szCs w:val="24"/>
          <w:lang w:val="es-ES_tradnl"/>
        </w:rPr>
        <w:t>dispon</w:t>
      </w:r>
      <w:proofErr w:type="spellEnd"/>
      <w:r w:rsidRPr="00CC6E99">
        <w:rPr>
          <w:rFonts w:ascii="Times New Roman" w:hAnsi="Times New Roman" w:cs="Times New Roman"/>
          <w:sz w:val="24"/>
          <w:szCs w:val="24"/>
        </w:rPr>
        <w:t xml:space="preserve">ível pode cumprir adequadamente o objetivo da identificação da alocação dos recursos. </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Default="005607BA">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lang w:val="es-ES_tradnl"/>
        </w:rPr>
        <w:t xml:space="preserve">A alternativa </w:t>
      </w:r>
      <w:r w:rsidRPr="00CC6E99">
        <w:rPr>
          <w:rFonts w:ascii="Times New Roman" w:hAnsi="Times New Roman" w:cs="Times New Roman"/>
          <w:sz w:val="24"/>
          <w:szCs w:val="24"/>
        </w:rPr>
        <w:t>seria estabelecer critérios e metodologias, muitas vezes onerosas para o prestador de serviço, para a marcação a mercado dos ativos com baixa liquidez ou sem negociação. Entretanto, como já foi colocado, este seria um serviço característico das atividades de tesouraria, controle e processamento dos ativos financeiros, não sendo escopo da atividade de representação de investidores não residentes.</w:t>
      </w:r>
    </w:p>
    <w:tbl>
      <w:tblPr>
        <w:tblStyle w:val="TableNormal"/>
        <w:tblpPr w:leftFromText="141" w:rightFromText="141" w:vertAnchor="text" w:horzAnchor="margin" w:tblpY="202"/>
        <w:tblW w:w="103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FC1FC1" w:rsidRPr="00AF4AA5" w:rsidTr="00FC1FC1">
        <w:trPr>
          <w:trHeight w:val="183"/>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FC1FC1" w:rsidRPr="00CC6E99" w:rsidRDefault="00FC1FC1" w:rsidP="00FC1FC1">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rPr>
              <w:t>A sugestão foi parcialmente acatada. A versão final da norma prevê que deve ser informado o valor de mercado no último dia útil do mês de referência – ou seja, o valor justo Nível 1 de que trata o Pronunciamento Técnico CPC 46, aprovado pela Deliberação CVM nº 699, de 20 de dezembro de 2012. Na ausência do valor de mercado deverá ser utilizado o custo de aquisição, não tendo sido aceita a proposta de utilização do último valor de mercado disponível.</w:t>
            </w:r>
          </w:p>
          <w:p w:rsidR="00FC1FC1" w:rsidRPr="00CC6E99" w:rsidRDefault="00FC1FC1" w:rsidP="00FC1FC1">
            <w:pPr>
              <w:pStyle w:val="CorpoA"/>
              <w:spacing w:after="0" w:line="312" w:lineRule="auto"/>
              <w:ind w:firstLine="709"/>
              <w:jc w:val="both"/>
              <w:rPr>
                <w:rFonts w:ascii="Times New Roman" w:hAnsi="Times New Roman" w:cs="Times New Roman"/>
                <w:sz w:val="24"/>
                <w:szCs w:val="24"/>
              </w:rPr>
            </w:pPr>
          </w:p>
          <w:p w:rsidR="00FC1FC1" w:rsidRDefault="00FC1FC1" w:rsidP="00FC1FC1">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rPr>
              <w:t>Para que possa ser claramente identificada a forma de avaliação utilizada em cada aplicação, a versão final da norma prevê que as aplicações mensuradas a valor de mercado (valor justo Nível 1) devem ser informadas de forma segregada daquelas mensuradas a custo de aquisição.</w:t>
            </w:r>
          </w:p>
          <w:p w:rsidR="00FC1FC1" w:rsidRPr="00CC6E99" w:rsidRDefault="00FC1FC1" w:rsidP="00FC1FC1">
            <w:pPr>
              <w:pStyle w:val="CorpoA"/>
              <w:spacing w:after="0" w:line="312" w:lineRule="auto"/>
              <w:ind w:firstLine="709"/>
              <w:jc w:val="both"/>
              <w:rPr>
                <w:rFonts w:ascii="Times New Roman" w:hAnsi="Times New Roman" w:cs="Times New Roman"/>
                <w:sz w:val="24"/>
                <w:szCs w:val="24"/>
              </w:rPr>
            </w:pPr>
          </w:p>
          <w:p w:rsidR="00FC1FC1" w:rsidRDefault="00FC1FC1" w:rsidP="00FC1FC1">
            <w:pPr>
              <w:pStyle w:val="CorpoA"/>
              <w:spacing w:after="0" w:line="312" w:lineRule="auto"/>
              <w:ind w:firstLine="709"/>
              <w:jc w:val="both"/>
              <w:rPr>
                <w:rFonts w:ascii="Times New Roman" w:hAnsi="Times New Roman" w:cs="Times New Roman"/>
                <w:sz w:val="24"/>
                <w:szCs w:val="24"/>
              </w:rPr>
            </w:pPr>
            <w:r w:rsidRPr="00FC1FC1">
              <w:rPr>
                <w:rFonts w:ascii="Times New Roman" w:hAnsi="Times New Roman" w:cs="Times New Roman"/>
                <w:sz w:val="24"/>
                <w:szCs w:val="24"/>
              </w:rPr>
              <w:t>Cabe informar que, em virtude das necessidades de supervisão da CVM e do B</w:t>
            </w:r>
            <w:r w:rsidR="000A349A">
              <w:rPr>
                <w:rFonts w:ascii="Times New Roman" w:hAnsi="Times New Roman" w:cs="Times New Roman"/>
                <w:sz w:val="24"/>
                <w:szCs w:val="24"/>
              </w:rPr>
              <w:t>CB, a</w:t>
            </w:r>
            <w:r w:rsidRPr="00FC1FC1">
              <w:rPr>
                <w:rFonts w:ascii="Times New Roman" w:hAnsi="Times New Roman" w:cs="Times New Roman"/>
                <w:sz w:val="24"/>
                <w:szCs w:val="24"/>
              </w:rPr>
              <w:t xml:space="preserve"> norma foi modificada para prever a prestação</w:t>
            </w:r>
            <w:r w:rsidR="00261924">
              <w:rPr>
                <w:rFonts w:ascii="Times New Roman" w:hAnsi="Times New Roman" w:cs="Times New Roman"/>
                <w:sz w:val="24"/>
                <w:szCs w:val="24"/>
              </w:rPr>
              <w:t>, no informe mensal,</w:t>
            </w:r>
            <w:r w:rsidRPr="00FC1FC1">
              <w:rPr>
                <w:rFonts w:ascii="Times New Roman" w:hAnsi="Times New Roman" w:cs="Times New Roman"/>
                <w:sz w:val="24"/>
                <w:szCs w:val="24"/>
              </w:rPr>
              <w:t xml:space="preserve"> do valor nocional líquido no último dia útil do mês de referência das seguintes aplicações: (a) contratos futuros de taxas de juros; (b) contratos futuros </w:t>
            </w:r>
            <w:r w:rsidRPr="00FC1FC1">
              <w:rPr>
                <w:rFonts w:ascii="Times New Roman" w:hAnsi="Times New Roman" w:cs="Times New Roman"/>
                <w:sz w:val="24"/>
                <w:szCs w:val="24"/>
              </w:rPr>
              <w:lastRenderedPageBreak/>
              <w:t>de moeda ou de cupom cambial; (c) contratos de swap cambial com ajuste periódico; (d) contratos futuros de índices de ações; (e) demais contratos futuros; (f) opções de taxas de juros; (g) opções de moeda; (h) opções de índices de ações; (i) demais opções</w:t>
            </w:r>
            <w:r w:rsidR="009E3FCE">
              <w:rPr>
                <w:rFonts w:ascii="Times New Roman" w:hAnsi="Times New Roman" w:cs="Times New Roman"/>
                <w:sz w:val="24"/>
                <w:szCs w:val="24"/>
              </w:rPr>
              <w:t>; e (j) demais instrumentos derivativos</w:t>
            </w:r>
            <w:r w:rsidRPr="00FC1FC1">
              <w:rPr>
                <w:rFonts w:ascii="Times New Roman" w:hAnsi="Times New Roman" w:cs="Times New Roman"/>
                <w:sz w:val="24"/>
                <w:szCs w:val="24"/>
              </w:rPr>
              <w:t>.</w:t>
            </w:r>
          </w:p>
          <w:p w:rsidR="008A489B" w:rsidRDefault="008A489B" w:rsidP="00FC1FC1">
            <w:pPr>
              <w:pStyle w:val="CorpoA"/>
              <w:spacing w:after="0" w:line="312" w:lineRule="auto"/>
              <w:ind w:firstLine="709"/>
              <w:jc w:val="both"/>
              <w:rPr>
                <w:rFonts w:ascii="Times New Roman" w:hAnsi="Times New Roman" w:cs="Times New Roman"/>
                <w:sz w:val="24"/>
                <w:szCs w:val="24"/>
              </w:rPr>
            </w:pPr>
          </w:p>
          <w:p w:rsidR="008A489B" w:rsidRPr="00CC6E99" w:rsidRDefault="000A349A" w:rsidP="00FC1FC1">
            <w:pPr>
              <w:pStyle w:val="CorpoA"/>
              <w:spacing w:after="0" w:line="312" w:lineRule="auto"/>
              <w:ind w:firstLine="709"/>
              <w:jc w:val="both"/>
              <w:rPr>
                <w:rFonts w:ascii="Times New Roman" w:hAnsi="Times New Roman" w:cs="Times New Roman"/>
                <w:sz w:val="24"/>
                <w:szCs w:val="24"/>
              </w:rPr>
            </w:pPr>
            <w:r>
              <w:rPr>
                <w:rFonts w:ascii="Times New Roman" w:hAnsi="Times New Roman" w:cs="Times New Roman"/>
                <w:sz w:val="24"/>
                <w:szCs w:val="24"/>
              </w:rPr>
              <w:t>Como já comentado,</w:t>
            </w:r>
            <w:r w:rsidR="008A489B">
              <w:rPr>
                <w:rFonts w:ascii="Times New Roman" w:hAnsi="Times New Roman" w:cs="Times New Roman"/>
                <w:sz w:val="24"/>
                <w:szCs w:val="24"/>
              </w:rPr>
              <w:t xml:space="preserve"> a</w:t>
            </w:r>
            <w:r w:rsidR="008A489B" w:rsidRPr="00CC6E99">
              <w:rPr>
                <w:rFonts w:ascii="Times New Roman" w:hAnsi="Times New Roman" w:cs="Times New Roman"/>
                <w:sz w:val="24"/>
                <w:szCs w:val="24"/>
              </w:rPr>
              <w:t xml:space="preserve"> versão final da norma </w:t>
            </w:r>
            <w:r w:rsidR="008A489B">
              <w:rPr>
                <w:rFonts w:ascii="Times New Roman" w:hAnsi="Times New Roman" w:cs="Times New Roman"/>
                <w:sz w:val="24"/>
                <w:szCs w:val="24"/>
              </w:rPr>
              <w:t xml:space="preserve">também </w:t>
            </w:r>
            <w:r w:rsidR="008A489B" w:rsidRPr="00CC6E99">
              <w:rPr>
                <w:rFonts w:ascii="Times New Roman" w:hAnsi="Times New Roman" w:cs="Times New Roman"/>
                <w:sz w:val="24"/>
                <w:szCs w:val="24"/>
              </w:rPr>
              <w:t xml:space="preserve">incorpora regra determinando que os </w:t>
            </w:r>
            <w:r w:rsidR="008A489B" w:rsidRPr="00CC6E99">
              <w:rPr>
                <w:rFonts w:ascii="Times New Roman" w:hAnsi="Times New Roman" w:cs="Times New Roman"/>
                <w:color w:val="0D0D0D"/>
                <w:sz w:val="24"/>
                <w:szCs w:val="24"/>
                <w:u w:color="0D0D0D"/>
              </w:rPr>
              <w:t>depositários centrais, custodiantes, entidades administradoras de mercado organizado, entidades registradoras, sistemas de liquidação, escrituradores, e outros devem prestar ao representante as informaçõ</w:t>
            </w:r>
            <w:r w:rsidR="008A489B" w:rsidRPr="00CC6E99">
              <w:rPr>
                <w:rFonts w:ascii="Times New Roman" w:hAnsi="Times New Roman" w:cs="Times New Roman"/>
                <w:color w:val="0D0D0D"/>
                <w:sz w:val="24"/>
                <w:szCs w:val="24"/>
                <w:u w:color="0D0D0D"/>
                <w:lang w:val="es-ES_tradnl"/>
              </w:rPr>
              <w:t xml:space="preserve">es que </w:t>
            </w:r>
            <w:proofErr w:type="spellStart"/>
            <w:r w:rsidR="008A489B" w:rsidRPr="00CC6E99">
              <w:rPr>
                <w:rFonts w:ascii="Times New Roman" w:hAnsi="Times New Roman" w:cs="Times New Roman"/>
                <w:color w:val="0D0D0D"/>
                <w:sz w:val="24"/>
                <w:szCs w:val="24"/>
                <w:u w:color="0D0D0D"/>
                <w:lang w:val="es-ES_tradnl"/>
              </w:rPr>
              <w:t>detenham</w:t>
            </w:r>
            <w:proofErr w:type="spellEnd"/>
            <w:r w:rsidR="008A489B" w:rsidRPr="00CC6E99">
              <w:rPr>
                <w:rFonts w:ascii="Times New Roman" w:hAnsi="Times New Roman" w:cs="Times New Roman"/>
                <w:color w:val="0D0D0D"/>
                <w:sz w:val="24"/>
                <w:szCs w:val="24"/>
                <w:u w:color="0D0D0D"/>
              </w:rPr>
              <w:t xml:space="preserve"> sobre os valores mobiliários e ativos financeiros de titularidade de investidores nã</w:t>
            </w:r>
            <w:r w:rsidR="008A489B" w:rsidRPr="00CC6E99">
              <w:rPr>
                <w:rFonts w:ascii="Times New Roman" w:hAnsi="Times New Roman" w:cs="Times New Roman"/>
                <w:color w:val="0D0D0D"/>
                <w:sz w:val="24"/>
                <w:szCs w:val="24"/>
                <w:u w:color="0D0D0D"/>
                <w:lang w:val="es-ES_tradnl"/>
              </w:rPr>
              <w:t xml:space="preserve">o residentes que </w:t>
            </w:r>
            <w:r w:rsidR="008A489B" w:rsidRPr="00CC6E99">
              <w:rPr>
                <w:rFonts w:ascii="Times New Roman" w:hAnsi="Times New Roman" w:cs="Times New Roman"/>
                <w:color w:val="0D0D0D"/>
                <w:sz w:val="24"/>
                <w:szCs w:val="24"/>
                <w:u w:color="0D0D0D"/>
              </w:rPr>
              <w:t>ele represente e que sejam</w:t>
            </w:r>
            <w:r w:rsidR="008A489B" w:rsidRPr="00CC6E99">
              <w:rPr>
                <w:rFonts w:ascii="Times New Roman" w:hAnsi="Times New Roman" w:cs="Times New Roman"/>
                <w:color w:val="0D0D0D"/>
                <w:sz w:val="24"/>
                <w:szCs w:val="24"/>
                <w:u w:color="0D0D0D"/>
                <w:lang w:val="it-IT"/>
              </w:rPr>
              <w:t xml:space="preserve"> necess</w:t>
            </w:r>
            <w:r w:rsidR="008A489B" w:rsidRPr="00CC6E99">
              <w:rPr>
                <w:rFonts w:ascii="Times New Roman" w:hAnsi="Times New Roman" w:cs="Times New Roman"/>
                <w:color w:val="0D0D0D"/>
                <w:sz w:val="24"/>
                <w:szCs w:val="24"/>
                <w:u w:color="0D0D0D"/>
              </w:rPr>
              <w:t>árias para elaboração das informaçõ</w:t>
            </w:r>
            <w:r w:rsidR="008A489B" w:rsidRPr="00CC6E99">
              <w:rPr>
                <w:rFonts w:ascii="Times New Roman" w:hAnsi="Times New Roman" w:cs="Times New Roman"/>
                <w:color w:val="0D0D0D"/>
                <w:sz w:val="24"/>
                <w:szCs w:val="24"/>
                <w:u w:color="0D0D0D"/>
                <w:lang w:val="fr-FR"/>
              </w:rPr>
              <w:t>es peri</w:t>
            </w:r>
            <w:r w:rsidR="008A489B" w:rsidRPr="00CC6E99">
              <w:rPr>
                <w:rFonts w:ascii="Times New Roman" w:hAnsi="Times New Roman" w:cs="Times New Roman"/>
                <w:color w:val="0D0D0D"/>
                <w:sz w:val="24"/>
                <w:szCs w:val="24"/>
                <w:u w:color="0D0D0D"/>
              </w:rPr>
              <w:t>ódicas previstas na norma.</w:t>
            </w:r>
          </w:p>
        </w:tc>
      </w:tr>
    </w:tbl>
    <w:p w:rsidR="00D9084C" w:rsidRPr="00CC6E99" w:rsidRDefault="00D9084C" w:rsidP="00FC1FC1">
      <w:pPr>
        <w:pStyle w:val="CorpoA"/>
        <w:spacing w:before="120" w:after="0" w:line="312" w:lineRule="auto"/>
        <w:ind w:firstLine="709"/>
        <w:jc w:val="both"/>
        <w:rPr>
          <w:rFonts w:ascii="Times New Roman" w:eastAsia="Times New Roman" w:hAnsi="Times New Roman" w:cs="Times New Roman"/>
          <w:sz w:val="24"/>
          <w:szCs w:val="24"/>
        </w:rPr>
      </w:pPr>
    </w:p>
    <w:p w:rsidR="00D9084C" w:rsidRPr="00CC6E99" w:rsidRDefault="005607BA" w:rsidP="00FC1FC1">
      <w:pPr>
        <w:pStyle w:val="CorpoA"/>
        <w:spacing w:after="0" w:line="312" w:lineRule="auto"/>
        <w:jc w:val="both"/>
        <w:rPr>
          <w:rFonts w:ascii="Times New Roman" w:eastAsia="Times New Roman" w:hAnsi="Times New Roman" w:cs="Times New Roman"/>
          <w:b/>
          <w:bCs/>
          <w:sz w:val="24"/>
          <w:szCs w:val="24"/>
        </w:rPr>
      </w:pPr>
      <w:r w:rsidRPr="00CC6E99">
        <w:rPr>
          <w:rFonts w:ascii="Times New Roman" w:hAnsi="Times New Roman" w:cs="Times New Roman"/>
          <w:b/>
          <w:bCs/>
          <w:sz w:val="24"/>
          <w:szCs w:val="24"/>
        </w:rPr>
        <w:t>3.</w:t>
      </w:r>
      <w:r w:rsidR="000160B3" w:rsidRPr="00CC6E99">
        <w:rPr>
          <w:rFonts w:ascii="Times New Roman" w:hAnsi="Times New Roman" w:cs="Times New Roman"/>
          <w:b/>
          <w:bCs/>
          <w:sz w:val="24"/>
          <w:szCs w:val="24"/>
        </w:rPr>
        <w:t>3</w:t>
      </w:r>
      <w:r w:rsidRPr="00CC6E99">
        <w:rPr>
          <w:rFonts w:ascii="Times New Roman" w:hAnsi="Times New Roman" w:cs="Times New Roman"/>
          <w:b/>
          <w:bCs/>
          <w:sz w:val="24"/>
          <w:szCs w:val="24"/>
        </w:rPr>
        <w:t>.4</w:t>
      </w:r>
      <w:r w:rsidRPr="00CC6E99">
        <w:rPr>
          <w:rFonts w:ascii="Times New Roman" w:hAnsi="Times New Roman" w:cs="Times New Roman"/>
          <w:b/>
          <w:bCs/>
          <w:sz w:val="24"/>
          <w:szCs w:val="24"/>
        </w:rPr>
        <w:tab/>
        <w:t xml:space="preserve"> Patrimô</w:t>
      </w:r>
      <w:r w:rsidRPr="00CC6E99">
        <w:rPr>
          <w:rFonts w:ascii="Times New Roman" w:hAnsi="Times New Roman" w:cs="Times New Roman"/>
          <w:b/>
          <w:bCs/>
          <w:sz w:val="24"/>
          <w:szCs w:val="24"/>
          <w:lang w:val="it-IT"/>
        </w:rPr>
        <w:t>nio l</w:t>
      </w:r>
      <w:r w:rsidRPr="00CC6E99">
        <w:rPr>
          <w:rFonts w:ascii="Times New Roman" w:hAnsi="Times New Roman" w:cs="Times New Roman"/>
          <w:b/>
          <w:bCs/>
          <w:sz w:val="24"/>
          <w:szCs w:val="24"/>
        </w:rPr>
        <w:t>í</w:t>
      </w:r>
      <w:proofErr w:type="spellStart"/>
      <w:r w:rsidRPr="00CC6E99">
        <w:rPr>
          <w:rFonts w:ascii="Times New Roman" w:hAnsi="Times New Roman" w:cs="Times New Roman"/>
          <w:b/>
          <w:bCs/>
          <w:sz w:val="24"/>
          <w:szCs w:val="24"/>
          <w:lang w:val="es-ES_tradnl"/>
        </w:rPr>
        <w:t>quido</w:t>
      </w:r>
      <w:proofErr w:type="spellEnd"/>
      <w:r w:rsidRPr="00CC6E99">
        <w:rPr>
          <w:rFonts w:ascii="Times New Roman" w:hAnsi="Times New Roman" w:cs="Times New Roman"/>
          <w:b/>
          <w:bCs/>
          <w:sz w:val="24"/>
          <w:szCs w:val="24"/>
          <w:lang w:val="es-ES_tradnl"/>
        </w:rPr>
        <w:t xml:space="preserve"> x Total de aplica</w:t>
      </w:r>
      <w:r w:rsidRPr="00CC6E99">
        <w:rPr>
          <w:rFonts w:ascii="Times New Roman" w:hAnsi="Times New Roman" w:cs="Times New Roman"/>
          <w:b/>
          <w:bCs/>
          <w:sz w:val="24"/>
          <w:szCs w:val="24"/>
        </w:rPr>
        <w:t>ções (Anexo 14-A e Anexo 14-B)</w:t>
      </w:r>
    </w:p>
    <w:p w:rsidR="00D9084C" w:rsidRPr="00CC6E99" w:rsidRDefault="00D9084C" w:rsidP="00FC1FC1">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rsidP="00FC1FC1">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Segundo a ANBIMA, o informe não deveria ser um relató</w:t>
      </w:r>
      <w:r w:rsidRPr="00CC6E99">
        <w:rPr>
          <w:rFonts w:ascii="Times New Roman" w:hAnsi="Times New Roman" w:cs="Times New Roman"/>
          <w:sz w:val="24"/>
          <w:szCs w:val="24"/>
          <w:lang w:val="it-IT"/>
        </w:rPr>
        <w:t>rio cont</w:t>
      </w:r>
      <w:r w:rsidRPr="00CC6E99">
        <w:rPr>
          <w:rFonts w:ascii="Times New Roman" w:hAnsi="Times New Roman" w:cs="Times New Roman"/>
          <w:sz w:val="24"/>
          <w:szCs w:val="24"/>
        </w:rPr>
        <w:t>ábil ou com características de balanço patrimonial, dadas as características do serviço prestado pelo representante. Assim, o conceito de “patrimô</w:t>
      </w:r>
      <w:r w:rsidRPr="00CC6E99">
        <w:rPr>
          <w:rFonts w:ascii="Times New Roman" w:hAnsi="Times New Roman" w:cs="Times New Roman"/>
          <w:sz w:val="24"/>
          <w:szCs w:val="24"/>
          <w:lang w:val="it-IT"/>
        </w:rPr>
        <w:t>nio l</w:t>
      </w:r>
      <w:r w:rsidRPr="00CC6E99">
        <w:rPr>
          <w:rFonts w:ascii="Times New Roman" w:hAnsi="Times New Roman" w:cs="Times New Roman"/>
          <w:sz w:val="24"/>
          <w:szCs w:val="24"/>
        </w:rPr>
        <w:t>í</w:t>
      </w:r>
      <w:proofErr w:type="spellStart"/>
      <w:r w:rsidRPr="00CC6E99">
        <w:rPr>
          <w:rFonts w:ascii="Times New Roman" w:hAnsi="Times New Roman" w:cs="Times New Roman"/>
          <w:sz w:val="24"/>
          <w:szCs w:val="24"/>
          <w:lang w:val="es-ES_tradnl"/>
        </w:rPr>
        <w:t>quido</w:t>
      </w:r>
      <w:proofErr w:type="spellEnd"/>
      <w:r w:rsidRPr="00CC6E99">
        <w:rPr>
          <w:rFonts w:ascii="Times New Roman" w:hAnsi="Times New Roman" w:cs="Times New Roman"/>
          <w:sz w:val="24"/>
          <w:szCs w:val="24"/>
        </w:rPr>
        <w:t>” não se aplica, sendo mais correto, para que o informe seja um demonstrativo da alocação dos recursos ingressados pelo investidor não residente (como sugerido), que o item indique o total de aplicações.</w:t>
      </w:r>
    </w:p>
    <w:p w:rsidR="00D9084C" w:rsidRPr="00CC6E99" w:rsidRDefault="005607BA" w:rsidP="00FC1FC1">
      <w:pPr>
        <w:pStyle w:val="CorpoA"/>
        <w:widowControl w:val="0"/>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 xml:space="preserve"> </w:t>
      </w:r>
    </w:p>
    <w:tbl>
      <w:tblPr>
        <w:tblStyle w:val="TableNormal"/>
        <w:tblW w:w="103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D9084C" w:rsidRPr="00AF4AA5" w:rsidTr="006A0A0C">
        <w:trPr>
          <w:trHeight w:val="23"/>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D9084C" w:rsidRPr="00CC6E99" w:rsidRDefault="006A0A0C" w:rsidP="00EE7003">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rPr>
              <w:t xml:space="preserve">A </w:t>
            </w:r>
            <w:r w:rsidRPr="00EE7003">
              <w:rPr>
                <w:rFonts w:ascii="Times New Roman" w:hAnsi="Times New Roman" w:cs="Times New Roman"/>
                <w:sz w:val="24"/>
                <w:szCs w:val="24"/>
              </w:rPr>
              <w:t xml:space="preserve">proposta </w:t>
            </w:r>
            <w:r w:rsidR="00EE7003" w:rsidRPr="00EE7003">
              <w:rPr>
                <w:rFonts w:ascii="Times New Roman" w:hAnsi="Times New Roman" w:cs="Times New Roman"/>
                <w:sz w:val="24"/>
                <w:szCs w:val="24"/>
              </w:rPr>
              <w:t>não f</w:t>
            </w:r>
            <w:r w:rsidR="00B77BBD">
              <w:rPr>
                <w:rFonts w:ascii="Times New Roman" w:hAnsi="Times New Roman" w:cs="Times New Roman"/>
                <w:sz w:val="24"/>
                <w:szCs w:val="24"/>
              </w:rPr>
              <w:t xml:space="preserve">oi considerada pertinente. A informação relativa ao Patrimônio Líquido já vem sendo prestada e é necessária por se constituir na base de cálculo da </w:t>
            </w:r>
            <w:r w:rsidR="00EE7003" w:rsidRPr="00EE7003">
              <w:rPr>
                <w:rFonts w:ascii="Times New Roman" w:hAnsi="Times New Roman" w:cs="Times New Roman"/>
                <w:sz w:val="24"/>
                <w:szCs w:val="24"/>
              </w:rPr>
              <w:t>Taxa de Fiscalização do mercado valores mobiliários</w:t>
            </w:r>
            <w:r w:rsidR="00E5126A" w:rsidRPr="00EE7003">
              <w:rPr>
                <w:rFonts w:ascii="Times New Roman" w:hAnsi="Times New Roman" w:cs="Times New Roman"/>
                <w:sz w:val="24"/>
                <w:szCs w:val="24"/>
              </w:rPr>
              <w:t xml:space="preserve"> </w:t>
            </w:r>
            <w:r w:rsidR="00EE7003" w:rsidRPr="00EE7003">
              <w:rPr>
                <w:rFonts w:ascii="Times New Roman" w:hAnsi="Times New Roman" w:cs="Times New Roman"/>
                <w:sz w:val="24"/>
                <w:szCs w:val="24"/>
              </w:rPr>
              <w:t xml:space="preserve">que é devida pelos investidores não residentes nos termos regulados pela Lei </w:t>
            </w:r>
            <w:r w:rsidR="008433DC" w:rsidRPr="00EE7003">
              <w:rPr>
                <w:rFonts w:ascii="Times New Roman" w:hAnsi="Times New Roman" w:cs="Times New Roman"/>
                <w:sz w:val="24"/>
                <w:szCs w:val="24"/>
              </w:rPr>
              <w:fldChar w:fldCharType="begin"/>
            </w:r>
            <w:r w:rsidR="00EE7003" w:rsidRPr="00EE7003">
              <w:rPr>
                <w:rFonts w:ascii="Times New Roman" w:hAnsi="Times New Roman" w:cs="Times New Roman"/>
                <w:sz w:val="24"/>
                <w:szCs w:val="24"/>
              </w:rPr>
              <w:instrText xml:space="preserve"> HYPERLINK "http://legislacao.planalto.gov.br/legisla/legislacao.nsf/Viw_Identificacao/lei%207.940-1989?OpenDocument" </w:instrText>
            </w:r>
            <w:r w:rsidR="008433DC" w:rsidRPr="00EE7003">
              <w:rPr>
                <w:rFonts w:ascii="Times New Roman" w:hAnsi="Times New Roman" w:cs="Times New Roman"/>
                <w:sz w:val="24"/>
                <w:szCs w:val="24"/>
              </w:rPr>
              <w:fldChar w:fldCharType="separate"/>
            </w:r>
            <w:r w:rsidR="00EE7003" w:rsidRPr="00EE7003">
              <w:rPr>
                <w:rFonts w:ascii="Times New Roman" w:hAnsi="Times New Roman" w:cs="Times New Roman"/>
                <w:bCs/>
                <w:sz w:val="24"/>
                <w:szCs w:val="24"/>
              </w:rPr>
              <w:t>nº 7.940, de 20 de dezembro de 1989</w:t>
            </w:r>
            <w:r w:rsidR="008433DC" w:rsidRPr="00EE7003">
              <w:rPr>
                <w:rFonts w:ascii="Times New Roman" w:hAnsi="Times New Roman" w:cs="Times New Roman"/>
                <w:sz w:val="24"/>
                <w:szCs w:val="24"/>
              </w:rPr>
              <w:fldChar w:fldCharType="end"/>
            </w:r>
            <w:r w:rsidR="00EE7003">
              <w:rPr>
                <w:rFonts w:ascii="Times New Roman" w:hAnsi="Times New Roman" w:cs="Times New Roman"/>
                <w:sz w:val="24"/>
                <w:szCs w:val="24"/>
              </w:rPr>
              <w:t>.</w:t>
            </w:r>
          </w:p>
        </w:tc>
      </w:tr>
    </w:tbl>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jc w:val="both"/>
        <w:rPr>
          <w:rFonts w:ascii="Times New Roman" w:eastAsia="Times New Roman" w:hAnsi="Times New Roman" w:cs="Times New Roman"/>
          <w:b/>
          <w:bCs/>
          <w:sz w:val="24"/>
          <w:szCs w:val="24"/>
        </w:rPr>
      </w:pPr>
      <w:r w:rsidRPr="00CC6E99">
        <w:rPr>
          <w:rFonts w:ascii="Times New Roman" w:hAnsi="Times New Roman" w:cs="Times New Roman"/>
          <w:b/>
          <w:bCs/>
          <w:sz w:val="24"/>
          <w:szCs w:val="24"/>
        </w:rPr>
        <w:t>3.</w:t>
      </w:r>
      <w:r w:rsidR="000160B3" w:rsidRPr="00CC6E99">
        <w:rPr>
          <w:rFonts w:ascii="Times New Roman" w:hAnsi="Times New Roman" w:cs="Times New Roman"/>
          <w:b/>
          <w:bCs/>
          <w:sz w:val="24"/>
          <w:szCs w:val="24"/>
        </w:rPr>
        <w:t>3</w:t>
      </w:r>
      <w:r w:rsidRPr="00CC6E99">
        <w:rPr>
          <w:rFonts w:ascii="Times New Roman" w:hAnsi="Times New Roman" w:cs="Times New Roman"/>
          <w:b/>
          <w:bCs/>
          <w:sz w:val="24"/>
          <w:szCs w:val="24"/>
        </w:rPr>
        <w:t>.5.</w:t>
      </w:r>
      <w:r w:rsidRPr="00CC6E99">
        <w:rPr>
          <w:rFonts w:ascii="Times New Roman" w:hAnsi="Times New Roman" w:cs="Times New Roman"/>
          <w:b/>
          <w:bCs/>
          <w:sz w:val="24"/>
          <w:szCs w:val="24"/>
        </w:rPr>
        <w:tab/>
        <w:t xml:space="preserve"> Ativos classificados na categoria “ações e tí</w:t>
      </w:r>
      <w:proofErr w:type="spellStart"/>
      <w:r w:rsidRPr="00CC6E99">
        <w:rPr>
          <w:rFonts w:ascii="Times New Roman" w:hAnsi="Times New Roman" w:cs="Times New Roman"/>
          <w:b/>
          <w:bCs/>
          <w:sz w:val="24"/>
          <w:szCs w:val="24"/>
          <w:lang w:val="es-ES_tradnl"/>
        </w:rPr>
        <w:t>tulos</w:t>
      </w:r>
      <w:proofErr w:type="spellEnd"/>
      <w:r w:rsidRPr="00CC6E99">
        <w:rPr>
          <w:rFonts w:ascii="Times New Roman" w:hAnsi="Times New Roman" w:cs="Times New Roman"/>
          <w:b/>
          <w:bCs/>
          <w:sz w:val="24"/>
          <w:szCs w:val="24"/>
          <w:lang w:val="es-ES_tradnl"/>
        </w:rPr>
        <w:t xml:space="preserve"> de participa</w:t>
      </w:r>
      <w:r w:rsidRPr="00CC6E99">
        <w:rPr>
          <w:rFonts w:ascii="Times New Roman" w:hAnsi="Times New Roman" w:cs="Times New Roman"/>
          <w:b/>
          <w:bCs/>
          <w:sz w:val="24"/>
          <w:szCs w:val="24"/>
        </w:rPr>
        <w:t xml:space="preserve">ção no capital” </w:t>
      </w:r>
      <w:r w:rsidR="009424C2">
        <w:rPr>
          <w:rFonts w:ascii="Times New Roman" w:hAnsi="Times New Roman" w:cs="Times New Roman"/>
          <w:b/>
          <w:bCs/>
          <w:sz w:val="24"/>
          <w:szCs w:val="24"/>
        </w:rPr>
        <w:t xml:space="preserve">- Anexo 13-A, art. 1º, §1º (atual </w:t>
      </w:r>
      <w:r w:rsidRPr="00CC6E99">
        <w:rPr>
          <w:rFonts w:ascii="Times New Roman" w:hAnsi="Times New Roman" w:cs="Times New Roman"/>
          <w:b/>
          <w:bCs/>
          <w:sz w:val="24"/>
          <w:szCs w:val="24"/>
        </w:rPr>
        <w:t>Anexo 14-A, art. 1º, §</w:t>
      </w:r>
      <w:r w:rsidR="009424C2">
        <w:rPr>
          <w:rFonts w:ascii="Times New Roman" w:hAnsi="Times New Roman" w:cs="Times New Roman"/>
          <w:b/>
          <w:bCs/>
          <w:sz w:val="24"/>
          <w:szCs w:val="24"/>
        </w:rPr>
        <w:t>2</w:t>
      </w:r>
      <w:r w:rsidRPr="00CC6E99">
        <w:rPr>
          <w:rFonts w:ascii="Times New Roman" w:hAnsi="Times New Roman" w:cs="Times New Roman"/>
          <w:b/>
          <w:bCs/>
          <w:sz w:val="24"/>
          <w:szCs w:val="24"/>
        </w:rPr>
        <w:t>º)</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A ANBIMA alega que os dividendos e outros rendimentos pagos por ações e outros tí</w:t>
      </w:r>
      <w:proofErr w:type="spellStart"/>
      <w:r w:rsidRPr="00CC6E99">
        <w:rPr>
          <w:rFonts w:ascii="Times New Roman" w:hAnsi="Times New Roman" w:cs="Times New Roman"/>
          <w:sz w:val="24"/>
          <w:szCs w:val="24"/>
          <w:lang w:val="es-ES_tradnl"/>
        </w:rPr>
        <w:t>tulos</w:t>
      </w:r>
      <w:proofErr w:type="spellEnd"/>
      <w:r w:rsidRPr="00CC6E99">
        <w:rPr>
          <w:rFonts w:ascii="Times New Roman" w:hAnsi="Times New Roman" w:cs="Times New Roman"/>
          <w:sz w:val="24"/>
          <w:szCs w:val="24"/>
          <w:lang w:val="es-ES_tradnl"/>
        </w:rPr>
        <w:t xml:space="preserve"> de renda vari</w:t>
      </w:r>
      <w:r w:rsidRPr="00CC6E99">
        <w:rPr>
          <w:rFonts w:ascii="Times New Roman" w:hAnsi="Times New Roman" w:cs="Times New Roman"/>
          <w:sz w:val="24"/>
          <w:szCs w:val="24"/>
        </w:rPr>
        <w:t>ável são creditados, no período, nas contas dos investidores em seus respectivos custodiantes. Assim, caso o saldo recebido através destes rendimentos seja reinvestido, ele aparecerá classificado como um novo investimento – por exemplo, novas ações. Por outro lado, caso os recursos recebidos tenham permanecido na conta sem uso, serão informados no item “disponibilidades”. Por fim, se os recursos forem repatriados, serão informados no item referente a “movimentação de recursos”. Dessa forma, a inclusão de dividendos neste item referente a “ações e tí</w:t>
      </w:r>
      <w:proofErr w:type="spellStart"/>
      <w:r w:rsidRPr="00CC6E99">
        <w:rPr>
          <w:rFonts w:ascii="Times New Roman" w:hAnsi="Times New Roman" w:cs="Times New Roman"/>
          <w:sz w:val="24"/>
          <w:szCs w:val="24"/>
          <w:lang w:val="es-ES_tradnl"/>
        </w:rPr>
        <w:t>tulos</w:t>
      </w:r>
      <w:proofErr w:type="spellEnd"/>
      <w:r w:rsidRPr="00CC6E99">
        <w:rPr>
          <w:rFonts w:ascii="Times New Roman" w:hAnsi="Times New Roman" w:cs="Times New Roman"/>
          <w:sz w:val="24"/>
          <w:szCs w:val="24"/>
          <w:lang w:val="es-ES_tradnl"/>
        </w:rPr>
        <w:t xml:space="preserve"> de participa</w:t>
      </w:r>
      <w:r w:rsidRPr="00CC6E99">
        <w:rPr>
          <w:rFonts w:ascii="Times New Roman" w:hAnsi="Times New Roman" w:cs="Times New Roman"/>
          <w:sz w:val="24"/>
          <w:szCs w:val="24"/>
        </w:rPr>
        <w:t xml:space="preserve">ção no capital” gera duplicidade no informe e, por este motivo, a participante </w:t>
      </w:r>
      <w:r w:rsidR="00423075">
        <w:rPr>
          <w:rFonts w:ascii="Times New Roman" w:hAnsi="Times New Roman" w:cs="Times New Roman"/>
          <w:sz w:val="24"/>
          <w:szCs w:val="24"/>
        </w:rPr>
        <w:t>sugere</w:t>
      </w:r>
      <w:r w:rsidRPr="00CC6E99">
        <w:rPr>
          <w:rFonts w:ascii="Times New Roman" w:hAnsi="Times New Roman" w:cs="Times New Roman"/>
          <w:sz w:val="24"/>
          <w:szCs w:val="24"/>
        </w:rPr>
        <w:t xml:space="preserve"> sua exclusão.</w:t>
      </w:r>
    </w:p>
    <w:p w:rsidR="00D9084C" w:rsidRPr="00CC6E99" w:rsidRDefault="00D9084C">
      <w:pPr>
        <w:pStyle w:val="CorpoA"/>
        <w:widowControl w:val="0"/>
        <w:spacing w:after="0" w:line="312" w:lineRule="auto"/>
        <w:ind w:firstLine="709"/>
        <w:jc w:val="both"/>
        <w:rPr>
          <w:rFonts w:ascii="Times New Roman" w:eastAsia="Times New Roman" w:hAnsi="Times New Roman" w:cs="Times New Roman"/>
          <w:sz w:val="24"/>
          <w:szCs w:val="24"/>
        </w:rPr>
      </w:pPr>
    </w:p>
    <w:tbl>
      <w:tblPr>
        <w:tblStyle w:val="TableNormal"/>
        <w:tblW w:w="103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D9084C" w:rsidRPr="00AF4AA5" w:rsidTr="00CC6377">
        <w:trPr>
          <w:trHeight w:val="283"/>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D9084C" w:rsidRPr="00CC6E99" w:rsidRDefault="00CC6377" w:rsidP="002E04A3">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rPr>
              <w:t>A proposta foi considerada válida e está refletida na versão final da norma.</w:t>
            </w:r>
          </w:p>
        </w:tc>
      </w:tr>
    </w:tbl>
    <w:p w:rsidR="00D9084C" w:rsidRDefault="00D9084C">
      <w:pPr>
        <w:pStyle w:val="CorpoA"/>
        <w:widowControl w:val="0"/>
        <w:spacing w:after="0" w:line="240" w:lineRule="auto"/>
        <w:ind w:firstLine="709"/>
        <w:jc w:val="both"/>
        <w:rPr>
          <w:rFonts w:ascii="Times New Roman" w:eastAsia="Times New Roman" w:hAnsi="Times New Roman" w:cs="Times New Roman"/>
          <w:sz w:val="24"/>
          <w:szCs w:val="24"/>
        </w:rPr>
      </w:pPr>
    </w:p>
    <w:p w:rsidR="00B77BBD" w:rsidRDefault="005607BA" w:rsidP="00B77BBD">
      <w:pPr>
        <w:pStyle w:val="CorpoA"/>
        <w:spacing w:before="120" w:after="0" w:line="312" w:lineRule="auto"/>
        <w:jc w:val="both"/>
        <w:rPr>
          <w:rFonts w:ascii="Times New Roman" w:eastAsia="Times New Roman" w:hAnsi="Times New Roman" w:cs="Times New Roman"/>
          <w:b/>
          <w:bCs/>
          <w:sz w:val="24"/>
          <w:szCs w:val="24"/>
        </w:rPr>
      </w:pPr>
      <w:r w:rsidRPr="00CC6E99">
        <w:rPr>
          <w:rFonts w:ascii="Times New Roman" w:hAnsi="Times New Roman" w:cs="Times New Roman"/>
          <w:b/>
          <w:bCs/>
          <w:sz w:val="24"/>
          <w:szCs w:val="24"/>
        </w:rPr>
        <w:t>3.</w:t>
      </w:r>
      <w:r w:rsidR="000160B3" w:rsidRPr="00CC6E99">
        <w:rPr>
          <w:rFonts w:ascii="Times New Roman" w:hAnsi="Times New Roman" w:cs="Times New Roman"/>
          <w:b/>
          <w:bCs/>
          <w:sz w:val="24"/>
          <w:szCs w:val="24"/>
        </w:rPr>
        <w:t>3</w:t>
      </w:r>
      <w:r w:rsidRPr="00CC6E99">
        <w:rPr>
          <w:rFonts w:ascii="Times New Roman" w:hAnsi="Times New Roman" w:cs="Times New Roman"/>
          <w:b/>
          <w:bCs/>
          <w:sz w:val="24"/>
          <w:szCs w:val="24"/>
        </w:rPr>
        <w:t>.6.</w:t>
      </w:r>
      <w:r w:rsidRPr="00CC6E99">
        <w:rPr>
          <w:rFonts w:ascii="Times New Roman" w:hAnsi="Times New Roman" w:cs="Times New Roman"/>
          <w:b/>
          <w:bCs/>
          <w:sz w:val="24"/>
          <w:szCs w:val="24"/>
        </w:rPr>
        <w:tab/>
        <w:t>Data de início da aplicação (Anexo 14-B, art. 1º, III)</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Segundo a ANBIMA, os representantes não reportam no informe atual a data de aplicação, sendo que essa informação não está disponível em seus registros para a maioria dos ativos financeiros. Des</w:t>
      </w:r>
      <w:r w:rsidR="009E3FCE">
        <w:rPr>
          <w:rFonts w:ascii="Times New Roman" w:hAnsi="Times New Roman" w:cs="Times New Roman"/>
          <w:sz w:val="24"/>
          <w:szCs w:val="24"/>
        </w:rPr>
        <w:t>s</w:t>
      </w:r>
      <w:r w:rsidRPr="00CC6E99">
        <w:rPr>
          <w:rFonts w:ascii="Times New Roman" w:hAnsi="Times New Roman" w:cs="Times New Roman"/>
          <w:sz w:val="24"/>
          <w:szCs w:val="24"/>
        </w:rPr>
        <w:t>a forma, como tal informação não era exigida pela regulamentação vigente, tampouco poderia ser obtida para todo o estoque de aplicações.</w:t>
      </w:r>
    </w:p>
    <w:p w:rsidR="00D9084C" w:rsidRPr="00CC6E99" w:rsidRDefault="00D9084C">
      <w:pPr>
        <w:pStyle w:val="CorpoA"/>
        <w:widowControl w:val="0"/>
        <w:spacing w:after="0" w:line="312" w:lineRule="auto"/>
        <w:ind w:firstLine="709"/>
        <w:jc w:val="both"/>
        <w:rPr>
          <w:rFonts w:ascii="Times New Roman" w:eastAsia="Times New Roman" w:hAnsi="Times New Roman" w:cs="Times New Roman"/>
          <w:sz w:val="24"/>
          <w:szCs w:val="24"/>
        </w:rPr>
      </w:pPr>
    </w:p>
    <w:tbl>
      <w:tblPr>
        <w:tblStyle w:val="TableNormal"/>
        <w:tblW w:w="103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D9084C" w:rsidRPr="00AF4AA5" w:rsidTr="00E5126A">
        <w:trPr>
          <w:trHeight w:val="402"/>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D9084C" w:rsidRPr="00CC6E99" w:rsidRDefault="002E04A3" w:rsidP="00EE2973">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rPr>
              <w:t xml:space="preserve">O sistema atualmente utilizado pelos representantes para a prestação de informações demanda que seja informada a “data de início da vigência” das aplicações. A Minuta somente aperfeiçou a redação, prevendo que deve ser informada a “data de início da aplicação”. </w:t>
            </w:r>
            <w:r w:rsidR="00EE2973">
              <w:rPr>
                <w:rFonts w:ascii="Times New Roman" w:hAnsi="Times New Roman" w:cs="Times New Roman"/>
                <w:sz w:val="24"/>
                <w:szCs w:val="24"/>
              </w:rPr>
              <w:t>Assim, a</w:t>
            </w:r>
            <w:r w:rsidRPr="00CC6E99">
              <w:rPr>
                <w:rFonts w:ascii="Times New Roman" w:hAnsi="Times New Roman" w:cs="Times New Roman"/>
                <w:sz w:val="24"/>
                <w:szCs w:val="24"/>
              </w:rPr>
              <w:t xml:space="preserve"> redação foi mantida na versão final da norma.</w:t>
            </w:r>
          </w:p>
        </w:tc>
      </w:tr>
    </w:tbl>
    <w:p w:rsidR="00D9084C" w:rsidRPr="00CC6E99" w:rsidRDefault="00D9084C">
      <w:pPr>
        <w:pStyle w:val="CorpoA"/>
        <w:widowControl w:val="0"/>
        <w:spacing w:after="0" w:line="240" w:lineRule="auto"/>
        <w:ind w:firstLine="709"/>
        <w:jc w:val="both"/>
        <w:rPr>
          <w:rFonts w:ascii="Times New Roman" w:eastAsia="Times New Roman" w:hAnsi="Times New Roman" w:cs="Times New Roman"/>
          <w:sz w:val="24"/>
          <w:szCs w:val="24"/>
        </w:rPr>
      </w:pPr>
    </w:p>
    <w:p w:rsidR="00D9084C" w:rsidRPr="00CC6E99" w:rsidRDefault="00D9084C">
      <w:pPr>
        <w:pStyle w:val="CorpoA"/>
        <w:spacing w:after="0" w:line="240" w:lineRule="auto"/>
        <w:jc w:val="both"/>
        <w:rPr>
          <w:rFonts w:ascii="Times New Roman" w:eastAsia="Times New Roman" w:hAnsi="Times New Roman" w:cs="Times New Roman"/>
          <w:i/>
          <w:iCs/>
          <w:sz w:val="24"/>
          <w:szCs w:val="24"/>
        </w:rPr>
      </w:pPr>
    </w:p>
    <w:p w:rsidR="00D9084C" w:rsidRPr="00CC6E99" w:rsidRDefault="005607BA">
      <w:pPr>
        <w:pStyle w:val="CorpoA"/>
        <w:spacing w:after="0" w:line="312" w:lineRule="auto"/>
        <w:jc w:val="both"/>
        <w:rPr>
          <w:rFonts w:ascii="Times New Roman" w:eastAsia="Times New Roman" w:hAnsi="Times New Roman" w:cs="Times New Roman"/>
          <w:b/>
          <w:bCs/>
          <w:sz w:val="24"/>
          <w:szCs w:val="24"/>
        </w:rPr>
      </w:pPr>
      <w:r w:rsidRPr="00CC6E99">
        <w:rPr>
          <w:rFonts w:ascii="Times New Roman" w:hAnsi="Times New Roman" w:cs="Times New Roman"/>
          <w:b/>
          <w:bCs/>
          <w:sz w:val="24"/>
          <w:szCs w:val="24"/>
        </w:rPr>
        <w:t>3.</w:t>
      </w:r>
      <w:r w:rsidR="000160B3" w:rsidRPr="00CC6E99">
        <w:rPr>
          <w:rFonts w:ascii="Times New Roman" w:hAnsi="Times New Roman" w:cs="Times New Roman"/>
          <w:b/>
          <w:bCs/>
          <w:sz w:val="24"/>
          <w:szCs w:val="24"/>
        </w:rPr>
        <w:t>3</w:t>
      </w:r>
      <w:r w:rsidRPr="00CC6E99">
        <w:rPr>
          <w:rFonts w:ascii="Times New Roman" w:hAnsi="Times New Roman" w:cs="Times New Roman"/>
          <w:b/>
          <w:bCs/>
          <w:sz w:val="24"/>
          <w:szCs w:val="24"/>
        </w:rPr>
        <w:t xml:space="preserve">.7. </w:t>
      </w:r>
      <w:r w:rsidR="0054443C">
        <w:rPr>
          <w:rFonts w:ascii="Times New Roman" w:hAnsi="Times New Roman" w:cs="Times New Roman"/>
          <w:b/>
          <w:bCs/>
          <w:sz w:val="24"/>
          <w:szCs w:val="24"/>
        </w:rPr>
        <w:t xml:space="preserve"> </w:t>
      </w:r>
      <w:r w:rsidRPr="00CC6E99">
        <w:rPr>
          <w:rFonts w:ascii="Times New Roman" w:hAnsi="Times New Roman" w:cs="Times New Roman"/>
          <w:b/>
          <w:bCs/>
          <w:sz w:val="24"/>
          <w:szCs w:val="24"/>
        </w:rPr>
        <w:t>Data de entrada em vigor do novo conteúdo dos informes mensal e semestral (</w:t>
      </w:r>
      <w:r w:rsidR="009424C2">
        <w:rPr>
          <w:rFonts w:ascii="Times New Roman" w:hAnsi="Times New Roman" w:cs="Times New Roman"/>
          <w:b/>
          <w:bCs/>
          <w:sz w:val="24"/>
          <w:szCs w:val="24"/>
        </w:rPr>
        <w:t xml:space="preserve">atual </w:t>
      </w:r>
      <w:r w:rsidRPr="00CC6E99">
        <w:rPr>
          <w:rFonts w:ascii="Times New Roman" w:hAnsi="Times New Roman" w:cs="Times New Roman"/>
          <w:b/>
          <w:bCs/>
          <w:sz w:val="24"/>
          <w:szCs w:val="24"/>
        </w:rPr>
        <w:t>art. 2</w:t>
      </w:r>
      <w:r w:rsidR="009424C2">
        <w:rPr>
          <w:rFonts w:ascii="Times New Roman" w:hAnsi="Times New Roman" w:cs="Times New Roman"/>
          <w:b/>
          <w:bCs/>
          <w:sz w:val="24"/>
          <w:szCs w:val="24"/>
        </w:rPr>
        <w:t>8</w:t>
      </w:r>
      <w:r w:rsidRPr="00CC6E99">
        <w:rPr>
          <w:rFonts w:ascii="Times New Roman" w:hAnsi="Times New Roman" w:cs="Times New Roman"/>
          <w:b/>
          <w:bCs/>
          <w:sz w:val="24"/>
          <w:szCs w:val="24"/>
        </w:rPr>
        <w:t>)</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 xml:space="preserve">Visto que o cumprimento do art. 13 da </w:t>
      </w:r>
      <w:r w:rsidR="002139C8">
        <w:rPr>
          <w:rFonts w:ascii="Times New Roman" w:hAnsi="Times New Roman" w:cs="Times New Roman"/>
          <w:sz w:val="24"/>
          <w:szCs w:val="24"/>
        </w:rPr>
        <w:t>Minuta</w:t>
      </w:r>
      <w:r w:rsidRPr="00CC6E99">
        <w:rPr>
          <w:rFonts w:ascii="Times New Roman" w:hAnsi="Times New Roman" w:cs="Times New Roman"/>
          <w:sz w:val="24"/>
          <w:szCs w:val="24"/>
        </w:rPr>
        <w:t xml:space="preserve"> exige das instituições o desenvolvimento e atualização de sistemas, e ainda pela previsão de entrada em vigor da norma já em 30 de março de 2015 concomitantemente com a Resolução CMN nº 4.373, de 2014, a ANBIMA sugere que este artigo excepcionalmente, entre em vigor seis meses após a data de publicação da Instrução, como meio de fornecer aos representantes tempo hábil para realizar os devidos desenvolvimentos que dependem também da disponibilização na internet pela CVM dos dados solicitados. </w:t>
      </w:r>
    </w:p>
    <w:p w:rsidR="00D9084C" w:rsidRPr="00CC6E99" w:rsidRDefault="00D9084C">
      <w:pPr>
        <w:pStyle w:val="CorpoA"/>
        <w:widowControl w:val="0"/>
        <w:spacing w:after="0" w:line="312" w:lineRule="auto"/>
        <w:ind w:firstLine="709"/>
        <w:jc w:val="both"/>
        <w:rPr>
          <w:rFonts w:ascii="Times New Roman" w:eastAsia="Times New Roman" w:hAnsi="Times New Roman" w:cs="Times New Roman"/>
          <w:sz w:val="24"/>
          <w:szCs w:val="24"/>
        </w:rPr>
      </w:pPr>
    </w:p>
    <w:tbl>
      <w:tblPr>
        <w:tblStyle w:val="TableNormal"/>
        <w:tblW w:w="1031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314"/>
      </w:tblGrid>
      <w:tr w:rsidR="00D9084C" w:rsidRPr="00AF4AA5">
        <w:trPr>
          <w:trHeight w:val="697"/>
        </w:trPr>
        <w:tc>
          <w:tcPr>
            <w:tcW w:w="10314"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D9084C" w:rsidRPr="00CC6E99" w:rsidRDefault="005607BA" w:rsidP="000909E6">
            <w:pPr>
              <w:pStyle w:val="CorpoA"/>
              <w:spacing w:after="0" w:line="312" w:lineRule="auto"/>
              <w:ind w:firstLine="709"/>
              <w:jc w:val="both"/>
              <w:rPr>
                <w:rFonts w:ascii="Times New Roman" w:hAnsi="Times New Roman" w:cs="Times New Roman"/>
                <w:sz w:val="24"/>
                <w:szCs w:val="24"/>
              </w:rPr>
            </w:pPr>
            <w:r w:rsidRPr="00CC6E99">
              <w:rPr>
                <w:rFonts w:ascii="Times New Roman" w:hAnsi="Times New Roman" w:cs="Times New Roman"/>
                <w:sz w:val="24"/>
                <w:szCs w:val="24"/>
              </w:rPr>
              <w:t xml:space="preserve">A sugestão é pertinente </w:t>
            </w:r>
            <w:r w:rsidR="002139C8">
              <w:rPr>
                <w:rFonts w:ascii="Times New Roman" w:hAnsi="Times New Roman" w:cs="Times New Roman"/>
                <w:sz w:val="24"/>
                <w:szCs w:val="24"/>
              </w:rPr>
              <w:t>e a CVM</w:t>
            </w:r>
            <w:r w:rsidR="000909E6">
              <w:rPr>
                <w:rFonts w:ascii="Times New Roman" w:hAnsi="Times New Roman" w:cs="Times New Roman"/>
                <w:sz w:val="24"/>
                <w:szCs w:val="24"/>
              </w:rPr>
              <w:t xml:space="preserve">, considerando as alterações implementadas no conteúdo do infome mensal, fixou na versão final da norma que as informações periódicas previstas no art. 14 </w:t>
            </w:r>
            <w:r w:rsidR="000909E6">
              <w:rPr>
                <w:rFonts w:ascii="Times New Roman" w:hAnsi="Times New Roman"/>
                <w:color w:val="0D0D0D"/>
              </w:rPr>
              <w:t>devem ser entregues a partir de 1º de janeiro de 2016</w:t>
            </w:r>
            <w:r w:rsidRPr="00CC6E99">
              <w:rPr>
                <w:rFonts w:ascii="Times New Roman" w:hAnsi="Times New Roman" w:cs="Times New Roman"/>
                <w:sz w:val="24"/>
                <w:szCs w:val="24"/>
              </w:rPr>
              <w:t xml:space="preserve">. </w:t>
            </w:r>
            <w:r w:rsidR="000909E6">
              <w:rPr>
                <w:rFonts w:ascii="Times New Roman" w:hAnsi="Times New Roman" w:cs="Times New Roman"/>
                <w:sz w:val="24"/>
                <w:szCs w:val="24"/>
              </w:rPr>
              <w:t>Foram estabelecidas também regras de transição para a aplicação d</w:t>
            </w:r>
            <w:r w:rsidR="006E5886">
              <w:rPr>
                <w:rFonts w:ascii="Times New Roman" w:hAnsi="Times New Roman" w:cs="Times New Roman"/>
                <w:sz w:val="24"/>
                <w:szCs w:val="24"/>
              </w:rPr>
              <w:t>as novas informações exigidas para o registro do investidor não residente e sobre a forma de prestação das informações periódicas e eventuais relativas às operações desses investidores.</w:t>
            </w:r>
          </w:p>
        </w:tc>
      </w:tr>
    </w:tbl>
    <w:p w:rsidR="00D9084C" w:rsidRPr="00CC6E99" w:rsidRDefault="00D9084C">
      <w:pPr>
        <w:pStyle w:val="CorpoA"/>
        <w:widowControl w:val="0"/>
        <w:spacing w:after="0" w:line="240" w:lineRule="auto"/>
        <w:ind w:firstLine="709"/>
        <w:jc w:val="both"/>
        <w:rPr>
          <w:rFonts w:ascii="Times New Roman" w:eastAsia="Times New Roman" w:hAnsi="Times New Roman" w:cs="Times New Roman"/>
          <w:sz w:val="24"/>
          <w:szCs w:val="24"/>
        </w:rPr>
      </w:pP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Ttulo1"/>
        <w:spacing w:before="0" w:line="312" w:lineRule="auto"/>
      </w:pPr>
      <w:r w:rsidRPr="00CC6E99">
        <w:t xml:space="preserve">4. </w:t>
      </w:r>
      <w:r w:rsidR="0054443C">
        <w:t xml:space="preserve"> </w:t>
      </w:r>
      <w:r w:rsidRPr="00CC6E99">
        <w:t>Proposta definitiva de instrução</w:t>
      </w:r>
    </w:p>
    <w:p w:rsidR="00D9084C" w:rsidRPr="00CC6E99" w:rsidRDefault="00D9084C">
      <w:pPr>
        <w:pStyle w:val="CorpoA"/>
        <w:spacing w:after="0" w:line="312" w:lineRule="auto"/>
        <w:ind w:firstLine="709"/>
        <w:jc w:val="both"/>
        <w:rPr>
          <w:rFonts w:ascii="Times New Roman" w:eastAsia="Times New Roman" w:hAnsi="Times New Roman" w:cs="Times New Roman"/>
          <w:sz w:val="24"/>
          <w:szCs w:val="24"/>
        </w:rPr>
      </w:pPr>
    </w:p>
    <w:p w:rsidR="00D9084C" w:rsidRPr="00CC6E99" w:rsidRDefault="005607BA">
      <w:pPr>
        <w:pStyle w:val="CorpoA"/>
        <w:spacing w:after="0" w:line="312" w:lineRule="auto"/>
        <w:ind w:firstLine="709"/>
        <w:jc w:val="both"/>
        <w:rPr>
          <w:rFonts w:ascii="Times New Roman" w:eastAsia="Times New Roman" w:hAnsi="Times New Roman" w:cs="Times New Roman"/>
          <w:sz w:val="24"/>
          <w:szCs w:val="24"/>
        </w:rPr>
      </w:pPr>
      <w:r w:rsidRPr="00CC6E99">
        <w:rPr>
          <w:rFonts w:ascii="Times New Roman" w:hAnsi="Times New Roman" w:cs="Times New Roman"/>
          <w:sz w:val="24"/>
          <w:szCs w:val="24"/>
        </w:rPr>
        <w:t>A proposta definitiva de instrução que incorpora as sugestões acatadas acima mencionadas segue em anexo ao presente relatório.</w:t>
      </w:r>
    </w:p>
    <w:p w:rsidR="00D9084C" w:rsidRPr="00CC6E99" w:rsidRDefault="00D9084C">
      <w:pPr>
        <w:pStyle w:val="CorpoA"/>
        <w:spacing w:after="0" w:line="312" w:lineRule="auto"/>
        <w:jc w:val="center"/>
        <w:rPr>
          <w:rFonts w:ascii="Times New Roman" w:eastAsia="Times New Roman" w:hAnsi="Times New Roman" w:cs="Times New Roman"/>
          <w:sz w:val="24"/>
          <w:szCs w:val="24"/>
        </w:rPr>
      </w:pPr>
    </w:p>
    <w:p w:rsidR="00D9084C" w:rsidRPr="00CC6E99" w:rsidRDefault="005607BA">
      <w:pPr>
        <w:pStyle w:val="CorpoA"/>
        <w:spacing w:after="0" w:line="312" w:lineRule="auto"/>
        <w:jc w:val="center"/>
        <w:rPr>
          <w:rFonts w:ascii="Times New Roman" w:eastAsia="Times New Roman" w:hAnsi="Times New Roman" w:cs="Times New Roman"/>
          <w:sz w:val="24"/>
          <w:szCs w:val="24"/>
        </w:rPr>
      </w:pPr>
      <w:r w:rsidRPr="00CC6E99">
        <w:rPr>
          <w:rFonts w:ascii="Times New Roman" w:hAnsi="Times New Roman" w:cs="Times New Roman"/>
          <w:sz w:val="24"/>
          <w:szCs w:val="24"/>
        </w:rPr>
        <w:t xml:space="preserve">Rio de Janeiro, </w:t>
      </w:r>
      <w:r w:rsidR="00F53D3D">
        <w:rPr>
          <w:rFonts w:ascii="Times New Roman" w:hAnsi="Times New Roman" w:cs="Times New Roman"/>
          <w:sz w:val="24"/>
          <w:szCs w:val="24"/>
        </w:rPr>
        <w:t>30</w:t>
      </w:r>
      <w:r w:rsidR="007F44AF" w:rsidRPr="00CC6E99">
        <w:rPr>
          <w:rFonts w:ascii="Times New Roman" w:hAnsi="Times New Roman" w:cs="Times New Roman"/>
          <w:sz w:val="24"/>
          <w:szCs w:val="24"/>
        </w:rPr>
        <w:t xml:space="preserve"> </w:t>
      </w:r>
      <w:r w:rsidRPr="00CC6E99">
        <w:rPr>
          <w:rFonts w:ascii="Times New Roman" w:hAnsi="Times New Roman" w:cs="Times New Roman"/>
          <w:sz w:val="24"/>
          <w:szCs w:val="24"/>
        </w:rPr>
        <w:t>de março</w:t>
      </w:r>
      <w:r w:rsidRPr="00CC6E99">
        <w:rPr>
          <w:rFonts w:ascii="Times New Roman" w:hAnsi="Times New Roman" w:cs="Times New Roman"/>
          <w:sz w:val="24"/>
          <w:szCs w:val="24"/>
          <w:lang w:val="es-ES_tradnl"/>
        </w:rPr>
        <w:t xml:space="preserve"> de 2015.</w:t>
      </w:r>
    </w:p>
    <w:p w:rsidR="00D9084C" w:rsidRPr="00CC6E99" w:rsidRDefault="00D9084C">
      <w:pPr>
        <w:pStyle w:val="CorpoA"/>
        <w:spacing w:after="0" w:line="312" w:lineRule="auto"/>
        <w:jc w:val="center"/>
        <w:rPr>
          <w:rFonts w:ascii="Times New Roman" w:eastAsia="Times New Roman" w:hAnsi="Times New Roman" w:cs="Times New Roman"/>
          <w:i/>
          <w:iCs/>
          <w:sz w:val="24"/>
          <w:szCs w:val="24"/>
        </w:rPr>
      </w:pPr>
    </w:p>
    <w:p w:rsidR="00D9084C" w:rsidRPr="00CC6E99" w:rsidRDefault="005607BA">
      <w:pPr>
        <w:pStyle w:val="CorpoA"/>
        <w:spacing w:after="0" w:line="312" w:lineRule="auto"/>
        <w:jc w:val="center"/>
        <w:rPr>
          <w:rFonts w:ascii="Times New Roman" w:eastAsia="Times New Roman" w:hAnsi="Times New Roman" w:cs="Times New Roman"/>
          <w:sz w:val="24"/>
          <w:szCs w:val="24"/>
        </w:rPr>
      </w:pPr>
      <w:r w:rsidRPr="00CC6E99">
        <w:rPr>
          <w:rFonts w:ascii="Times New Roman" w:hAnsi="Times New Roman" w:cs="Times New Roman"/>
          <w:i/>
          <w:iCs/>
          <w:sz w:val="24"/>
          <w:szCs w:val="24"/>
        </w:rPr>
        <w:t xml:space="preserve">Original assinado por </w:t>
      </w:r>
    </w:p>
    <w:p w:rsidR="00D9084C" w:rsidRPr="00CC6E99" w:rsidRDefault="005607BA">
      <w:pPr>
        <w:pStyle w:val="CorpoA"/>
        <w:spacing w:after="0" w:line="312" w:lineRule="auto"/>
        <w:jc w:val="center"/>
        <w:rPr>
          <w:rFonts w:ascii="Times New Roman" w:eastAsia="Times New Roman" w:hAnsi="Times New Roman" w:cs="Times New Roman"/>
          <w:smallCaps/>
          <w:sz w:val="24"/>
          <w:szCs w:val="24"/>
        </w:rPr>
      </w:pPr>
      <w:r w:rsidRPr="00DF32E3">
        <w:rPr>
          <w:rFonts w:ascii="Times New Roman" w:hAnsi="Times New Roman" w:cs="Times New Roman"/>
          <w:b/>
          <w:bCs/>
          <w:smallCaps/>
          <w:sz w:val="24"/>
          <w:szCs w:val="24"/>
          <w:lang w:val="pt-BR"/>
        </w:rPr>
        <w:t xml:space="preserve">Antonio Carlos Berwanger </w:t>
      </w:r>
    </w:p>
    <w:p w:rsidR="00D9084C" w:rsidRPr="00CC6E99" w:rsidRDefault="005607BA">
      <w:pPr>
        <w:pStyle w:val="CorpoA"/>
        <w:spacing w:after="0" w:line="312" w:lineRule="auto"/>
        <w:jc w:val="center"/>
        <w:rPr>
          <w:rFonts w:ascii="Times New Roman" w:hAnsi="Times New Roman" w:cs="Times New Roman"/>
          <w:sz w:val="24"/>
          <w:szCs w:val="24"/>
        </w:rPr>
      </w:pPr>
      <w:r w:rsidRPr="00CC6E99">
        <w:rPr>
          <w:rFonts w:ascii="Times New Roman" w:hAnsi="Times New Roman" w:cs="Times New Roman"/>
          <w:b/>
          <w:bCs/>
          <w:sz w:val="24"/>
          <w:szCs w:val="24"/>
        </w:rPr>
        <w:t>Superintendente de Desenvolvimento de Mercado</w:t>
      </w:r>
    </w:p>
    <w:sectPr w:rsidR="00D9084C" w:rsidRPr="00CC6E99" w:rsidSect="00D9084C">
      <w:headerReference w:type="default" r:id="rId8"/>
      <w:footerReference w:type="default" r:id="rId9"/>
      <w:pgSz w:w="11900" w:h="16840"/>
      <w:pgMar w:top="2410" w:right="567"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D85" w:rsidRDefault="005F5D85" w:rsidP="00D9084C">
      <w:r>
        <w:separator/>
      </w:r>
    </w:p>
  </w:endnote>
  <w:endnote w:type="continuationSeparator" w:id="0">
    <w:p w:rsidR="005F5D85" w:rsidRDefault="005F5D85" w:rsidP="00D908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19C" w:rsidRDefault="008433DC">
    <w:pPr>
      <w:pStyle w:val="Rodap"/>
      <w:jc w:val="right"/>
    </w:pPr>
    <w:fldSimple w:instr=" PAGE ">
      <w:r w:rsidR="00F31794">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D85" w:rsidRDefault="005F5D85">
      <w:r>
        <w:separator/>
      </w:r>
    </w:p>
  </w:footnote>
  <w:footnote w:type="continuationSeparator" w:id="0">
    <w:p w:rsidR="005F5D85" w:rsidRDefault="005F5D85">
      <w:r>
        <w:continuationSeparator/>
      </w:r>
    </w:p>
  </w:footnote>
  <w:footnote w:type="continuationNotice" w:id="1">
    <w:p w:rsidR="005F5D85" w:rsidRDefault="005F5D85"/>
  </w:footnote>
  <w:footnote w:id="2">
    <w:p w:rsidR="00C0419C" w:rsidRDefault="00C0419C">
      <w:pPr>
        <w:pStyle w:val="Textodenotaderodap"/>
      </w:pPr>
      <w:r>
        <w:rPr>
          <w:rFonts w:ascii="Times New Roman" w:eastAsia="Times New Roman" w:hAnsi="Times New Roman" w:cs="Times New Roman"/>
          <w:sz w:val="24"/>
          <w:szCs w:val="24"/>
          <w:vertAlign w:val="superscript"/>
        </w:rPr>
        <w:footnoteRef/>
      </w:r>
      <w:r>
        <w:rPr>
          <w:rFonts w:ascii="Times New Roman"/>
        </w:rPr>
        <w:t xml:space="preserve"> </w:t>
      </w:r>
      <w:hyperlink r:id="rId1" w:history="1">
        <w:r>
          <w:rPr>
            <w:rStyle w:val="Hyperlink0"/>
            <w:rFonts w:ascii="Times New Roman"/>
          </w:rPr>
          <w:t>http://www.cvm.gov.br/port/audi/sugest/ind_sugest.asp?AudMes=12&amp;AudAno=14&amp;Super=SDM</w:t>
        </w:r>
      </w:hyperlink>
      <w:r>
        <w:rPr>
          <w:rFonts w:ascii="Times New Roman"/>
        </w:rPr>
        <w:t xml:space="preserve"> </w:t>
      </w:r>
    </w:p>
  </w:footnote>
  <w:footnote w:id="3">
    <w:p w:rsidR="00C0419C" w:rsidRDefault="00C0419C">
      <w:pPr>
        <w:pStyle w:val="CorpoA"/>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vertAlign w:val="superscript"/>
        </w:rPr>
        <w:footnoteRef/>
      </w:r>
      <w:r>
        <w:rPr>
          <w:rFonts w:ascii="Times New Roman"/>
        </w:rPr>
        <w:t xml:space="preserve"> </w:t>
      </w:r>
      <w:r>
        <w:rPr>
          <w:rFonts w:ascii="Times New Roman"/>
          <w:sz w:val="20"/>
          <w:szCs w:val="20"/>
          <w:lang w:val="it-IT"/>
        </w:rPr>
        <w:t>Conforme disposto na referida Resolu</w:t>
      </w:r>
      <w:r>
        <w:rPr>
          <w:rFonts w:hAnsi="Times New Roman"/>
          <w:sz w:val="20"/>
          <w:szCs w:val="20"/>
        </w:rPr>
        <w:t>çã</w:t>
      </w:r>
      <w:r>
        <w:rPr>
          <w:rFonts w:ascii="Times New Roman"/>
          <w:sz w:val="20"/>
          <w:szCs w:val="20"/>
        </w:rPr>
        <w:t xml:space="preserve">o: </w:t>
      </w:r>
    </w:p>
    <w:p w:rsidR="00C0419C" w:rsidRDefault="00C0419C">
      <w:pPr>
        <w:pStyle w:val="CorpoA"/>
        <w:spacing w:after="0" w:line="240" w:lineRule="auto"/>
        <w:rPr>
          <w:rFonts w:ascii="Times New Roman" w:eastAsia="Times New Roman" w:hAnsi="Times New Roman" w:cs="Times New Roman"/>
          <w:sz w:val="20"/>
          <w:szCs w:val="20"/>
        </w:rPr>
      </w:pPr>
    </w:p>
    <w:p w:rsidR="00C0419C" w:rsidRDefault="00C0419C">
      <w:pPr>
        <w:pStyle w:val="CorpoA"/>
        <w:spacing w:after="0" w:line="240" w:lineRule="auto"/>
        <w:jc w:val="both"/>
        <w:rPr>
          <w:rFonts w:ascii="Times New Roman" w:eastAsia="Times New Roman" w:hAnsi="Times New Roman" w:cs="Times New Roman"/>
          <w:i/>
          <w:iCs/>
          <w:sz w:val="20"/>
          <w:szCs w:val="20"/>
        </w:rPr>
      </w:pPr>
      <w:r>
        <w:rPr>
          <w:rFonts w:hAnsi="Times New Roman"/>
          <w:i/>
          <w:iCs/>
          <w:sz w:val="20"/>
          <w:szCs w:val="20"/>
        </w:rPr>
        <w:t>“</w:t>
      </w:r>
      <w:r>
        <w:rPr>
          <w:rFonts w:ascii="Times New Roman"/>
          <w:i/>
          <w:iCs/>
          <w:sz w:val="20"/>
          <w:szCs w:val="20"/>
        </w:rPr>
        <w:t>Art. 6</w:t>
      </w:r>
      <w:r>
        <w:rPr>
          <w:rFonts w:hAnsi="Times New Roman"/>
          <w:i/>
          <w:iCs/>
          <w:sz w:val="20"/>
          <w:szCs w:val="20"/>
        </w:rPr>
        <w:t>º</w:t>
      </w:r>
      <w:r>
        <w:rPr>
          <w:rFonts w:hAnsi="Times New Roman"/>
          <w:i/>
          <w:iCs/>
          <w:sz w:val="20"/>
          <w:szCs w:val="20"/>
        </w:rPr>
        <w:t xml:space="preserve"> </w:t>
      </w:r>
      <w:r>
        <w:rPr>
          <w:rFonts w:ascii="Times New Roman"/>
          <w:i/>
          <w:iCs/>
          <w:sz w:val="20"/>
          <w:szCs w:val="20"/>
        </w:rPr>
        <w:t>Os ativos financeiros e os valores mobili</w:t>
      </w:r>
      <w:r>
        <w:rPr>
          <w:rFonts w:hAnsi="Times New Roman"/>
          <w:i/>
          <w:iCs/>
          <w:sz w:val="20"/>
          <w:szCs w:val="20"/>
        </w:rPr>
        <w:t>á</w:t>
      </w:r>
      <w:r>
        <w:rPr>
          <w:rFonts w:ascii="Times New Roman"/>
          <w:i/>
          <w:iCs/>
          <w:sz w:val="20"/>
          <w:szCs w:val="20"/>
        </w:rPr>
        <w:t>rios negociados, bem como as demais modalidades de opera</w:t>
      </w:r>
      <w:r>
        <w:rPr>
          <w:rFonts w:hAnsi="Times New Roman"/>
          <w:i/>
          <w:iCs/>
          <w:sz w:val="20"/>
          <w:szCs w:val="20"/>
        </w:rPr>
        <w:t>çõ</w:t>
      </w:r>
      <w:r>
        <w:rPr>
          <w:rFonts w:ascii="Times New Roman"/>
          <w:i/>
          <w:iCs/>
          <w:sz w:val="20"/>
          <w:szCs w:val="20"/>
        </w:rPr>
        <w:t>es financeiras realizadas por investidor n</w:t>
      </w:r>
      <w:r>
        <w:rPr>
          <w:rFonts w:hAnsi="Times New Roman"/>
          <w:i/>
          <w:iCs/>
          <w:sz w:val="20"/>
          <w:szCs w:val="20"/>
        </w:rPr>
        <w:t>ã</w:t>
      </w:r>
      <w:r>
        <w:rPr>
          <w:rFonts w:ascii="Times New Roman"/>
          <w:i/>
          <w:iCs/>
          <w:sz w:val="20"/>
          <w:szCs w:val="20"/>
        </w:rPr>
        <w:t>o residente decorrentes das aplica</w:t>
      </w:r>
      <w:r>
        <w:rPr>
          <w:rFonts w:hAnsi="Times New Roman"/>
          <w:i/>
          <w:iCs/>
          <w:sz w:val="20"/>
          <w:szCs w:val="20"/>
        </w:rPr>
        <w:t>çõ</w:t>
      </w:r>
      <w:r>
        <w:rPr>
          <w:rFonts w:ascii="Times New Roman"/>
          <w:i/>
          <w:iCs/>
          <w:sz w:val="20"/>
          <w:szCs w:val="20"/>
        </w:rPr>
        <w:t>es de que trata esta Resolu</w:t>
      </w:r>
      <w:r>
        <w:rPr>
          <w:rFonts w:hAnsi="Times New Roman"/>
          <w:i/>
          <w:iCs/>
          <w:sz w:val="20"/>
          <w:szCs w:val="20"/>
        </w:rPr>
        <w:t>çã</w:t>
      </w:r>
      <w:r>
        <w:rPr>
          <w:rFonts w:ascii="Times New Roman"/>
          <w:i/>
          <w:iCs/>
          <w:sz w:val="20"/>
          <w:szCs w:val="20"/>
        </w:rPr>
        <w:t xml:space="preserve">o devem, de acordo com sua natureza: </w:t>
      </w:r>
    </w:p>
    <w:p w:rsidR="00C0419C" w:rsidRDefault="00C0419C">
      <w:pPr>
        <w:pStyle w:val="CorpoA"/>
        <w:spacing w:after="0" w:line="240" w:lineRule="auto"/>
        <w:jc w:val="both"/>
        <w:rPr>
          <w:rFonts w:ascii="Times New Roman" w:eastAsia="Times New Roman" w:hAnsi="Times New Roman" w:cs="Times New Roman"/>
          <w:i/>
          <w:iCs/>
          <w:sz w:val="20"/>
          <w:szCs w:val="20"/>
        </w:rPr>
      </w:pPr>
      <w:r>
        <w:rPr>
          <w:rFonts w:ascii="Times New Roman"/>
          <w:i/>
          <w:iCs/>
          <w:sz w:val="20"/>
          <w:szCs w:val="20"/>
        </w:rPr>
        <w:t>I - ser registrados, custodiados ou mantidos em conta de dep</w:t>
      </w:r>
      <w:r>
        <w:rPr>
          <w:rFonts w:hAnsi="Times New Roman"/>
          <w:i/>
          <w:iCs/>
          <w:sz w:val="20"/>
          <w:szCs w:val="20"/>
        </w:rPr>
        <w:t>ó</w:t>
      </w:r>
      <w:r>
        <w:rPr>
          <w:rFonts w:ascii="Times New Roman"/>
          <w:i/>
          <w:iCs/>
          <w:sz w:val="20"/>
          <w:szCs w:val="20"/>
        </w:rPr>
        <w:t>sito em institui</w:t>
      </w:r>
      <w:r>
        <w:rPr>
          <w:rFonts w:hAnsi="Times New Roman"/>
          <w:i/>
          <w:iCs/>
          <w:sz w:val="20"/>
          <w:szCs w:val="20"/>
        </w:rPr>
        <w:t>çã</w:t>
      </w:r>
      <w:r>
        <w:rPr>
          <w:rFonts w:ascii="Times New Roman"/>
          <w:i/>
          <w:iCs/>
          <w:sz w:val="20"/>
          <w:szCs w:val="20"/>
        </w:rPr>
        <w:t xml:space="preserve">o ou entidade autorizada </w:t>
      </w:r>
      <w:r>
        <w:rPr>
          <w:rFonts w:hAnsi="Times New Roman"/>
          <w:i/>
          <w:iCs/>
          <w:sz w:val="20"/>
          <w:szCs w:val="20"/>
        </w:rPr>
        <w:t>à</w:t>
      </w:r>
      <w:r>
        <w:rPr>
          <w:rFonts w:hAnsi="Times New Roman"/>
          <w:i/>
          <w:iCs/>
          <w:sz w:val="20"/>
          <w:szCs w:val="20"/>
        </w:rPr>
        <w:t xml:space="preserve"> </w:t>
      </w:r>
      <w:r>
        <w:rPr>
          <w:rFonts w:ascii="Times New Roman"/>
          <w:i/>
          <w:iCs/>
          <w:sz w:val="20"/>
          <w:szCs w:val="20"/>
        </w:rPr>
        <w:t>presta</w:t>
      </w:r>
      <w:r>
        <w:rPr>
          <w:rFonts w:hAnsi="Times New Roman"/>
          <w:i/>
          <w:iCs/>
          <w:sz w:val="20"/>
          <w:szCs w:val="20"/>
        </w:rPr>
        <w:t>çã</w:t>
      </w:r>
      <w:r>
        <w:rPr>
          <w:rFonts w:ascii="Times New Roman"/>
          <w:i/>
          <w:iCs/>
          <w:sz w:val="20"/>
          <w:szCs w:val="20"/>
        </w:rPr>
        <w:t>o desses servi</w:t>
      </w:r>
      <w:r>
        <w:rPr>
          <w:rFonts w:hAnsi="Times New Roman"/>
          <w:i/>
          <w:iCs/>
          <w:sz w:val="20"/>
          <w:szCs w:val="20"/>
        </w:rPr>
        <w:t>ç</w:t>
      </w:r>
      <w:r>
        <w:rPr>
          <w:rFonts w:ascii="Times New Roman"/>
          <w:i/>
          <w:iCs/>
          <w:sz w:val="20"/>
          <w:szCs w:val="20"/>
        </w:rPr>
        <w:t>os pelo Banco Central do Brasil ou pela Comiss</w:t>
      </w:r>
      <w:r>
        <w:rPr>
          <w:rFonts w:hAnsi="Times New Roman"/>
          <w:i/>
          <w:iCs/>
          <w:sz w:val="20"/>
          <w:szCs w:val="20"/>
        </w:rPr>
        <w:t>ã</w:t>
      </w:r>
      <w:r>
        <w:rPr>
          <w:rFonts w:ascii="Times New Roman"/>
          <w:i/>
          <w:iCs/>
          <w:sz w:val="20"/>
          <w:szCs w:val="20"/>
        </w:rPr>
        <w:t>o de Valores Mobili</w:t>
      </w:r>
      <w:r>
        <w:rPr>
          <w:rFonts w:hAnsi="Times New Roman"/>
          <w:i/>
          <w:iCs/>
          <w:sz w:val="20"/>
          <w:szCs w:val="20"/>
        </w:rPr>
        <w:t>á</w:t>
      </w:r>
      <w:r>
        <w:rPr>
          <w:rFonts w:ascii="Times New Roman"/>
          <w:i/>
          <w:iCs/>
          <w:sz w:val="20"/>
          <w:szCs w:val="20"/>
        </w:rPr>
        <w:t xml:space="preserve">rios; ou </w:t>
      </w:r>
    </w:p>
    <w:p w:rsidR="00C0419C" w:rsidRDefault="00C0419C">
      <w:pPr>
        <w:pStyle w:val="CorpoA"/>
        <w:spacing w:after="0" w:line="240" w:lineRule="auto"/>
        <w:jc w:val="both"/>
      </w:pPr>
      <w:r>
        <w:rPr>
          <w:rFonts w:ascii="Times New Roman"/>
          <w:i/>
          <w:iCs/>
          <w:sz w:val="20"/>
          <w:szCs w:val="20"/>
        </w:rPr>
        <w:t>II - estar devidamente registrados em sistemas de registro, liquida</w:t>
      </w:r>
      <w:r>
        <w:rPr>
          <w:rFonts w:hAnsi="Times New Roman"/>
          <w:i/>
          <w:iCs/>
          <w:sz w:val="20"/>
          <w:szCs w:val="20"/>
        </w:rPr>
        <w:t>çã</w:t>
      </w:r>
      <w:r>
        <w:rPr>
          <w:rFonts w:ascii="Times New Roman"/>
          <w:i/>
          <w:iCs/>
          <w:sz w:val="20"/>
          <w:szCs w:val="20"/>
          <w:lang w:val="it-IT"/>
        </w:rPr>
        <w:t>o e cust</w:t>
      </w:r>
      <w:r>
        <w:rPr>
          <w:rFonts w:hAnsi="Times New Roman"/>
          <w:i/>
          <w:iCs/>
          <w:sz w:val="20"/>
          <w:szCs w:val="20"/>
        </w:rPr>
        <w:t>ó</w:t>
      </w:r>
      <w:r>
        <w:rPr>
          <w:rFonts w:ascii="Times New Roman"/>
          <w:i/>
          <w:iCs/>
          <w:sz w:val="20"/>
          <w:szCs w:val="20"/>
        </w:rPr>
        <w:t>dia reconhecidos pelo Banco Central do Brasil ou autorizados pela Comiss</w:t>
      </w:r>
      <w:r>
        <w:rPr>
          <w:rFonts w:hAnsi="Times New Roman"/>
          <w:i/>
          <w:iCs/>
          <w:sz w:val="20"/>
          <w:szCs w:val="20"/>
        </w:rPr>
        <w:t>ã</w:t>
      </w:r>
      <w:r>
        <w:rPr>
          <w:rFonts w:ascii="Times New Roman"/>
          <w:i/>
          <w:iCs/>
          <w:sz w:val="20"/>
          <w:szCs w:val="20"/>
        </w:rPr>
        <w:t>o de Valores Mobili</w:t>
      </w:r>
      <w:r>
        <w:rPr>
          <w:rFonts w:hAnsi="Times New Roman"/>
          <w:i/>
          <w:iCs/>
          <w:sz w:val="20"/>
          <w:szCs w:val="20"/>
        </w:rPr>
        <w:t>á</w:t>
      </w:r>
      <w:r>
        <w:rPr>
          <w:rFonts w:ascii="Times New Roman"/>
          <w:i/>
          <w:iCs/>
          <w:sz w:val="20"/>
          <w:szCs w:val="20"/>
        </w:rPr>
        <w:t xml:space="preserve">rios, em suas </w:t>
      </w:r>
      <w:r>
        <w:rPr>
          <w:rFonts w:ascii="Times New Roman"/>
          <w:i/>
          <w:iCs/>
          <w:sz w:val="20"/>
          <w:szCs w:val="20"/>
        </w:rPr>
        <w:t>respectivas esferas de compet</w:t>
      </w:r>
      <w:r>
        <w:rPr>
          <w:rFonts w:hAnsi="Times New Roman"/>
          <w:i/>
          <w:iCs/>
          <w:sz w:val="20"/>
          <w:szCs w:val="20"/>
        </w:rPr>
        <w:t>ê</w:t>
      </w:r>
      <w:proofErr w:type="spellStart"/>
      <w:r>
        <w:rPr>
          <w:rFonts w:ascii="Times New Roman"/>
          <w:i/>
          <w:iCs/>
          <w:sz w:val="20"/>
          <w:szCs w:val="20"/>
          <w:lang w:val="es-ES_tradnl"/>
        </w:rPr>
        <w:t>ncia</w:t>
      </w:r>
      <w:proofErr w:type="spellEnd"/>
      <w:r>
        <w:rPr>
          <w:rFonts w:ascii="Times New Roman"/>
          <w:i/>
          <w:iCs/>
          <w:sz w:val="20"/>
          <w:szCs w:val="20"/>
          <w:lang w:val="es-ES_tradnl"/>
        </w:rPr>
        <w:t>.</w:t>
      </w:r>
      <w:r>
        <w:rPr>
          <w:rFonts w:hAnsi="Times New Roman"/>
          <w:i/>
          <w:iCs/>
          <w:sz w:val="20"/>
          <w:szCs w:val="20"/>
        </w:rPr>
        <w:t>”</w:t>
      </w:r>
      <w:r>
        <w:rPr>
          <w:rFonts w:ascii="Times New Roman"/>
          <w:i/>
          <w:iCs/>
          <w:sz w:val="20"/>
          <w:szCs w:val="20"/>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19C" w:rsidRDefault="00C0419C">
    <w:pPr>
      <w:pStyle w:val="Cabealho"/>
    </w:pPr>
    <w:r>
      <w:rPr>
        <w:noProof/>
        <w:sz w:val="24"/>
        <w:szCs w:val="24"/>
        <w:lang w:val="pt-BR"/>
      </w:rPr>
      <w:drawing>
        <wp:inline distT="0" distB="0" distL="0" distR="0">
          <wp:extent cx="4419600" cy="77152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pic:nvPicPr>
                <pic:blipFill>
                  <a:blip r:embed="rId1">
                    <a:extLst/>
                  </a:blip>
                  <a:stretch>
                    <a:fillRect/>
                  </a:stretch>
                </pic:blipFill>
                <pic:spPr>
                  <a:xfrm>
                    <a:off x="0" y="0"/>
                    <a:ext cx="4419600" cy="771525"/>
                  </a:xfrm>
                  <a:prstGeom prst="rect">
                    <a:avLst/>
                  </a:prstGeom>
                  <a:ln w="12700" cap="flat">
                    <a:noFill/>
                    <a:miter lim="400000"/>
                  </a:ln>
                  <a:effec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81510"/>
    <w:multiLevelType w:val="multilevel"/>
    <w:tmpl w:val="93EE7D82"/>
    <w:styleLink w:val="Lista21"/>
    <w:lvl w:ilvl="0">
      <w:start w:val="5"/>
      <w:numFmt w:val="lowerRoman"/>
      <w:lvlText w:val="(%1)"/>
      <w:lvlJc w:val="left"/>
      <w:pPr>
        <w:tabs>
          <w:tab w:val="num" w:pos="709"/>
        </w:tabs>
        <w:ind w:left="709" w:hanging="709"/>
      </w:pPr>
      <w:rPr>
        <w:position w:val="0"/>
        <w:sz w:val="24"/>
        <w:szCs w:val="24"/>
        <w:rtl w:val="0"/>
        <w:lang w:val="pt-PT"/>
      </w:rPr>
    </w:lvl>
    <w:lvl w:ilvl="1">
      <w:start w:val="1"/>
      <w:numFmt w:val="lowerLetter"/>
      <w:lvlText w:val="%2."/>
      <w:lvlJc w:val="left"/>
      <w:pPr>
        <w:tabs>
          <w:tab w:val="num" w:pos="114"/>
        </w:tabs>
      </w:pPr>
      <w:rPr>
        <w:position w:val="0"/>
        <w:sz w:val="24"/>
        <w:szCs w:val="24"/>
        <w:rtl w:val="0"/>
        <w:lang w:val="pt-PT"/>
      </w:rPr>
    </w:lvl>
    <w:lvl w:ilvl="2">
      <w:start w:val="1"/>
      <w:numFmt w:val="lowerRoman"/>
      <w:lvlText w:val="%3."/>
      <w:lvlJc w:val="left"/>
      <w:pPr>
        <w:tabs>
          <w:tab w:val="num" w:pos="114"/>
        </w:tabs>
      </w:pPr>
      <w:rPr>
        <w:position w:val="0"/>
        <w:sz w:val="24"/>
        <w:szCs w:val="24"/>
        <w:rtl w:val="0"/>
        <w:lang w:val="pt-PT"/>
      </w:rPr>
    </w:lvl>
    <w:lvl w:ilvl="3">
      <w:start w:val="1"/>
      <w:numFmt w:val="decimal"/>
      <w:lvlText w:val="%4."/>
      <w:lvlJc w:val="left"/>
      <w:pPr>
        <w:tabs>
          <w:tab w:val="num" w:pos="114"/>
        </w:tabs>
      </w:pPr>
      <w:rPr>
        <w:position w:val="0"/>
        <w:sz w:val="24"/>
        <w:szCs w:val="24"/>
        <w:rtl w:val="0"/>
        <w:lang w:val="pt-PT"/>
      </w:rPr>
    </w:lvl>
    <w:lvl w:ilvl="4">
      <w:start w:val="1"/>
      <w:numFmt w:val="lowerLetter"/>
      <w:lvlText w:val="%5."/>
      <w:lvlJc w:val="left"/>
      <w:pPr>
        <w:tabs>
          <w:tab w:val="num" w:pos="114"/>
        </w:tabs>
      </w:pPr>
      <w:rPr>
        <w:position w:val="0"/>
        <w:sz w:val="24"/>
        <w:szCs w:val="24"/>
        <w:rtl w:val="0"/>
        <w:lang w:val="pt-PT"/>
      </w:rPr>
    </w:lvl>
    <w:lvl w:ilvl="5">
      <w:start w:val="1"/>
      <w:numFmt w:val="lowerRoman"/>
      <w:lvlText w:val="%6."/>
      <w:lvlJc w:val="left"/>
      <w:pPr>
        <w:tabs>
          <w:tab w:val="num" w:pos="114"/>
        </w:tabs>
      </w:pPr>
      <w:rPr>
        <w:position w:val="0"/>
        <w:sz w:val="24"/>
        <w:szCs w:val="24"/>
        <w:rtl w:val="0"/>
        <w:lang w:val="pt-PT"/>
      </w:rPr>
    </w:lvl>
    <w:lvl w:ilvl="6">
      <w:start w:val="1"/>
      <w:numFmt w:val="decimal"/>
      <w:lvlText w:val="%7."/>
      <w:lvlJc w:val="left"/>
      <w:pPr>
        <w:tabs>
          <w:tab w:val="num" w:pos="114"/>
        </w:tabs>
      </w:pPr>
      <w:rPr>
        <w:position w:val="0"/>
        <w:sz w:val="24"/>
        <w:szCs w:val="24"/>
        <w:rtl w:val="0"/>
        <w:lang w:val="pt-PT"/>
      </w:rPr>
    </w:lvl>
    <w:lvl w:ilvl="7">
      <w:start w:val="1"/>
      <w:numFmt w:val="lowerLetter"/>
      <w:lvlText w:val="%8."/>
      <w:lvlJc w:val="left"/>
      <w:pPr>
        <w:tabs>
          <w:tab w:val="num" w:pos="114"/>
        </w:tabs>
      </w:pPr>
      <w:rPr>
        <w:position w:val="0"/>
        <w:sz w:val="24"/>
        <w:szCs w:val="24"/>
        <w:rtl w:val="0"/>
        <w:lang w:val="pt-PT"/>
      </w:rPr>
    </w:lvl>
    <w:lvl w:ilvl="8">
      <w:start w:val="1"/>
      <w:numFmt w:val="lowerRoman"/>
      <w:lvlText w:val="%9."/>
      <w:lvlJc w:val="left"/>
      <w:pPr>
        <w:tabs>
          <w:tab w:val="num" w:pos="114"/>
        </w:tabs>
      </w:pPr>
      <w:rPr>
        <w:position w:val="0"/>
        <w:sz w:val="24"/>
        <w:szCs w:val="24"/>
        <w:rtl w:val="0"/>
        <w:lang w:val="pt-PT"/>
      </w:rPr>
    </w:lvl>
  </w:abstractNum>
  <w:abstractNum w:abstractNumId="1">
    <w:nsid w:val="11C26E0F"/>
    <w:multiLevelType w:val="multilevel"/>
    <w:tmpl w:val="25DA6736"/>
    <w:lvl w:ilvl="0">
      <w:start w:val="1"/>
      <w:numFmt w:val="lowerRoman"/>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
    <w:nsid w:val="1A6C57BE"/>
    <w:multiLevelType w:val="multilevel"/>
    <w:tmpl w:val="9C6209E6"/>
    <w:styleLink w:val="List1"/>
    <w:lvl w:ilvl="0">
      <w:start w:val="4"/>
      <w:numFmt w:val="lowerRoman"/>
      <w:lvlText w:val="(%1)"/>
      <w:lvlJc w:val="left"/>
      <w:pPr>
        <w:tabs>
          <w:tab w:val="num" w:pos="650"/>
        </w:tabs>
        <w:ind w:left="650" w:hanging="650"/>
      </w:pPr>
      <w:rPr>
        <w:position w:val="0"/>
        <w:sz w:val="24"/>
        <w:szCs w:val="24"/>
        <w:lang w:val="pt-PT"/>
      </w:rPr>
    </w:lvl>
    <w:lvl w:ilvl="1">
      <w:start w:val="1"/>
      <w:numFmt w:val="lowerLetter"/>
      <w:lvlText w:val="%2."/>
      <w:lvlJc w:val="left"/>
      <w:pPr>
        <w:tabs>
          <w:tab w:val="num" w:pos="1440"/>
        </w:tabs>
        <w:ind w:left="1440" w:hanging="360"/>
      </w:pPr>
      <w:rPr>
        <w:position w:val="0"/>
        <w:sz w:val="24"/>
        <w:szCs w:val="24"/>
        <w:lang w:val="pt-PT"/>
      </w:rPr>
    </w:lvl>
    <w:lvl w:ilvl="2">
      <w:start w:val="1"/>
      <w:numFmt w:val="lowerRoman"/>
      <w:lvlText w:val="%3."/>
      <w:lvlJc w:val="left"/>
      <w:pPr>
        <w:tabs>
          <w:tab w:val="num" w:pos="2160"/>
        </w:tabs>
        <w:ind w:left="2160" w:hanging="296"/>
      </w:pPr>
      <w:rPr>
        <w:position w:val="0"/>
        <w:sz w:val="24"/>
        <w:szCs w:val="24"/>
        <w:lang w:val="pt-PT"/>
      </w:rPr>
    </w:lvl>
    <w:lvl w:ilvl="3">
      <w:start w:val="1"/>
      <w:numFmt w:val="decimal"/>
      <w:lvlText w:val="%4."/>
      <w:lvlJc w:val="left"/>
      <w:pPr>
        <w:tabs>
          <w:tab w:val="num" w:pos="2880"/>
        </w:tabs>
        <w:ind w:left="2880" w:hanging="360"/>
      </w:pPr>
      <w:rPr>
        <w:position w:val="0"/>
        <w:sz w:val="24"/>
        <w:szCs w:val="24"/>
        <w:lang w:val="pt-PT"/>
      </w:rPr>
    </w:lvl>
    <w:lvl w:ilvl="4">
      <w:start w:val="1"/>
      <w:numFmt w:val="lowerLetter"/>
      <w:lvlText w:val="%5."/>
      <w:lvlJc w:val="left"/>
      <w:pPr>
        <w:tabs>
          <w:tab w:val="num" w:pos="3600"/>
        </w:tabs>
        <w:ind w:left="3600" w:hanging="360"/>
      </w:pPr>
      <w:rPr>
        <w:position w:val="0"/>
        <w:sz w:val="24"/>
        <w:szCs w:val="24"/>
        <w:lang w:val="pt-PT"/>
      </w:rPr>
    </w:lvl>
    <w:lvl w:ilvl="5">
      <w:start w:val="1"/>
      <w:numFmt w:val="lowerRoman"/>
      <w:lvlText w:val="%6."/>
      <w:lvlJc w:val="left"/>
      <w:pPr>
        <w:tabs>
          <w:tab w:val="num" w:pos="4320"/>
        </w:tabs>
        <w:ind w:left="4320" w:hanging="296"/>
      </w:pPr>
      <w:rPr>
        <w:position w:val="0"/>
        <w:sz w:val="24"/>
        <w:szCs w:val="24"/>
        <w:lang w:val="pt-PT"/>
      </w:rPr>
    </w:lvl>
    <w:lvl w:ilvl="6">
      <w:start w:val="1"/>
      <w:numFmt w:val="decimal"/>
      <w:lvlText w:val="%7."/>
      <w:lvlJc w:val="left"/>
      <w:pPr>
        <w:tabs>
          <w:tab w:val="num" w:pos="5040"/>
        </w:tabs>
        <w:ind w:left="5040" w:hanging="360"/>
      </w:pPr>
      <w:rPr>
        <w:position w:val="0"/>
        <w:sz w:val="24"/>
        <w:szCs w:val="24"/>
        <w:lang w:val="pt-PT"/>
      </w:rPr>
    </w:lvl>
    <w:lvl w:ilvl="7">
      <w:start w:val="1"/>
      <w:numFmt w:val="lowerLetter"/>
      <w:lvlText w:val="%8."/>
      <w:lvlJc w:val="left"/>
      <w:pPr>
        <w:tabs>
          <w:tab w:val="num" w:pos="5760"/>
        </w:tabs>
        <w:ind w:left="5760" w:hanging="360"/>
      </w:pPr>
      <w:rPr>
        <w:position w:val="0"/>
        <w:sz w:val="24"/>
        <w:szCs w:val="24"/>
        <w:lang w:val="pt-PT"/>
      </w:rPr>
    </w:lvl>
    <w:lvl w:ilvl="8">
      <w:start w:val="1"/>
      <w:numFmt w:val="lowerRoman"/>
      <w:lvlText w:val="%9."/>
      <w:lvlJc w:val="left"/>
      <w:pPr>
        <w:tabs>
          <w:tab w:val="num" w:pos="6480"/>
        </w:tabs>
        <w:ind w:left="6480" w:hanging="296"/>
      </w:pPr>
      <w:rPr>
        <w:position w:val="0"/>
        <w:sz w:val="24"/>
        <w:szCs w:val="24"/>
        <w:lang w:val="pt-PT"/>
      </w:rPr>
    </w:lvl>
  </w:abstractNum>
  <w:abstractNum w:abstractNumId="3">
    <w:nsid w:val="4F7178E3"/>
    <w:multiLevelType w:val="multilevel"/>
    <w:tmpl w:val="CA522140"/>
    <w:lvl w:ilvl="0">
      <w:start w:val="1"/>
      <w:numFmt w:val="lowerRoman"/>
      <w:lvlText w:val="(%1)"/>
      <w:lvlJc w:val="left"/>
      <w:pPr>
        <w:tabs>
          <w:tab w:val="num" w:pos="650"/>
        </w:tabs>
        <w:ind w:left="650" w:hanging="650"/>
      </w:pPr>
      <w:rPr>
        <w:position w:val="0"/>
        <w:sz w:val="24"/>
        <w:szCs w:val="24"/>
        <w:lang w:val="pt-PT"/>
      </w:rPr>
    </w:lvl>
    <w:lvl w:ilvl="1">
      <w:start w:val="1"/>
      <w:numFmt w:val="lowerLetter"/>
      <w:lvlText w:val="%2."/>
      <w:lvlJc w:val="left"/>
      <w:pPr>
        <w:tabs>
          <w:tab w:val="num" w:pos="1440"/>
        </w:tabs>
        <w:ind w:left="1440" w:hanging="360"/>
      </w:pPr>
      <w:rPr>
        <w:position w:val="0"/>
        <w:sz w:val="24"/>
        <w:szCs w:val="24"/>
        <w:lang w:val="pt-PT"/>
      </w:rPr>
    </w:lvl>
    <w:lvl w:ilvl="2">
      <w:start w:val="1"/>
      <w:numFmt w:val="lowerRoman"/>
      <w:lvlText w:val="%3."/>
      <w:lvlJc w:val="left"/>
      <w:pPr>
        <w:tabs>
          <w:tab w:val="num" w:pos="2160"/>
        </w:tabs>
        <w:ind w:left="2160" w:hanging="296"/>
      </w:pPr>
      <w:rPr>
        <w:position w:val="0"/>
        <w:sz w:val="24"/>
        <w:szCs w:val="24"/>
        <w:lang w:val="pt-PT"/>
      </w:rPr>
    </w:lvl>
    <w:lvl w:ilvl="3">
      <w:start w:val="1"/>
      <w:numFmt w:val="decimal"/>
      <w:lvlText w:val="%4."/>
      <w:lvlJc w:val="left"/>
      <w:pPr>
        <w:tabs>
          <w:tab w:val="num" w:pos="2880"/>
        </w:tabs>
        <w:ind w:left="2880" w:hanging="360"/>
      </w:pPr>
      <w:rPr>
        <w:position w:val="0"/>
        <w:sz w:val="24"/>
        <w:szCs w:val="24"/>
        <w:lang w:val="pt-PT"/>
      </w:rPr>
    </w:lvl>
    <w:lvl w:ilvl="4">
      <w:start w:val="1"/>
      <w:numFmt w:val="lowerLetter"/>
      <w:lvlText w:val="%5."/>
      <w:lvlJc w:val="left"/>
      <w:pPr>
        <w:tabs>
          <w:tab w:val="num" w:pos="3600"/>
        </w:tabs>
        <w:ind w:left="3600" w:hanging="360"/>
      </w:pPr>
      <w:rPr>
        <w:position w:val="0"/>
        <w:sz w:val="24"/>
        <w:szCs w:val="24"/>
        <w:lang w:val="pt-PT"/>
      </w:rPr>
    </w:lvl>
    <w:lvl w:ilvl="5">
      <w:start w:val="1"/>
      <w:numFmt w:val="lowerRoman"/>
      <w:lvlText w:val="%6."/>
      <w:lvlJc w:val="left"/>
      <w:pPr>
        <w:tabs>
          <w:tab w:val="num" w:pos="4320"/>
        </w:tabs>
        <w:ind w:left="4320" w:hanging="296"/>
      </w:pPr>
      <w:rPr>
        <w:position w:val="0"/>
        <w:sz w:val="24"/>
        <w:szCs w:val="24"/>
        <w:lang w:val="pt-PT"/>
      </w:rPr>
    </w:lvl>
    <w:lvl w:ilvl="6">
      <w:start w:val="1"/>
      <w:numFmt w:val="decimal"/>
      <w:lvlText w:val="%7."/>
      <w:lvlJc w:val="left"/>
      <w:pPr>
        <w:tabs>
          <w:tab w:val="num" w:pos="5040"/>
        </w:tabs>
        <w:ind w:left="5040" w:hanging="360"/>
      </w:pPr>
      <w:rPr>
        <w:position w:val="0"/>
        <w:sz w:val="24"/>
        <w:szCs w:val="24"/>
        <w:lang w:val="pt-PT"/>
      </w:rPr>
    </w:lvl>
    <w:lvl w:ilvl="7">
      <w:start w:val="1"/>
      <w:numFmt w:val="lowerLetter"/>
      <w:lvlText w:val="%8."/>
      <w:lvlJc w:val="left"/>
      <w:pPr>
        <w:tabs>
          <w:tab w:val="num" w:pos="5760"/>
        </w:tabs>
        <w:ind w:left="5760" w:hanging="360"/>
      </w:pPr>
      <w:rPr>
        <w:position w:val="0"/>
        <w:sz w:val="24"/>
        <w:szCs w:val="24"/>
        <w:lang w:val="pt-PT"/>
      </w:rPr>
    </w:lvl>
    <w:lvl w:ilvl="8">
      <w:start w:val="1"/>
      <w:numFmt w:val="lowerRoman"/>
      <w:lvlText w:val="%9."/>
      <w:lvlJc w:val="left"/>
      <w:pPr>
        <w:tabs>
          <w:tab w:val="num" w:pos="6480"/>
        </w:tabs>
        <w:ind w:left="6480" w:hanging="296"/>
      </w:pPr>
      <w:rPr>
        <w:position w:val="0"/>
        <w:sz w:val="24"/>
        <w:szCs w:val="24"/>
        <w:lang w:val="pt-PT"/>
      </w:rPr>
    </w:lvl>
  </w:abstractNum>
  <w:abstractNum w:abstractNumId="4">
    <w:nsid w:val="5B465BB1"/>
    <w:multiLevelType w:val="multilevel"/>
    <w:tmpl w:val="BCB6160E"/>
    <w:styleLink w:val="List0"/>
    <w:lvl w:ilvl="0">
      <w:start w:val="1"/>
      <w:numFmt w:val="lowerRoman"/>
      <w:lvlText w:val="(%1)"/>
      <w:lvlJc w:val="left"/>
      <w:pPr>
        <w:tabs>
          <w:tab w:val="num" w:pos="709"/>
        </w:tabs>
        <w:ind w:left="709" w:hanging="709"/>
      </w:pPr>
      <w:rPr>
        <w:position w:val="0"/>
        <w:sz w:val="24"/>
        <w:szCs w:val="24"/>
        <w:rtl w:val="0"/>
        <w:lang w:val="pt-PT"/>
      </w:rPr>
    </w:lvl>
    <w:lvl w:ilvl="1">
      <w:start w:val="1"/>
      <w:numFmt w:val="lowerLetter"/>
      <w:lvlText w:val="%2."/>
      <w:lvlJc w:val="left"/>
      <w:pPr>
        <w:tabs>
          <w:tab w:val="num" w:pos="114"/>
        </w:tabs>
      </w:pPr>
      <w:rPr>
        <w:position w:val="0"/>
        <w:sz w:val="24"/>
        <w:szCs w:val="24"/>
        <w:rtl w:val="0"/>
        <w:lang w:val="pt-PT"/>
      </w:rPr>
    </w:lvl>
    <w:lvl w:ilvl="2">
      <w:start w:val="1"/>
      <w:numFmt w:val="lowerRoman"/>
      <w:lvlText w:val="%3."/>
      <w:lvlJc w:val="left"/>
      <w:pPr>
        <w:tabs>
          <w:tab w:val="num" w:pos="114"/>
        </w:tabs>
      </w:pPr>
      <w:rPr>
        <w:position w:val="0"/>
        <w:sz w:val="24"/>
        <w:szCs w:val="24"/>
        <w:rtl w:val="0"/>
        <w:lang w:val="pt-PT"/>
      </w:rPr>
    </w:lvl>
    <w:lvl w:ilvl="3">
      <w:start w:val="1"/>
      <w:numFmt w:val="decimal"/>
      <w:lvlText w:val="%4."/>
      <w:lvlJc w:val="left"/>
      <w:pPr>
        <w:tabs>
          <w:tab w:val="num" w:pos="114"/>
        </w:tabs>
      </w:pPr>
      <w:rPr>
        <w:position w:val="0"/>
        <w:sz w:val="24"/>
        <w:szCs w:val="24"/>
        <w:rtl w:val="0"/>
        <w:lang w:val="pt-PT"/>
      </w:rPr>
    </w:lvl>
    <w:lvl w:ilvl="4">
      <w:start w:val="1"/>
      <w:numFmt w:val="lowerLetter"/>
      <w:lvlText w:val="%5."/>
      <w:lvlJc w:val="left"/>
      <w:pPr>
        <w:tabs>
          <w:tab w:val="num" w:pos="114"/>
        </w:tabs>
      </w:pPr>
      <w:rPr>
        <w:position w:val="0"/>
        <w:sz w:val="24"/>
        <w:szCs w:val="24"/>
        <w:rtl w:val="0"/>
        <w:lang w:val="pt-PT"/>
      </w:rPr>
    </w:lvl>
    <w:lvl w:ilvl="5">
      <w:start w:val="1"/>
      <w:numFmt w:val="lowerRoman"/>
      <w:lvlText w:val="%6."/>
      <w:lvlJc w:val="left"/>
      <w:pPr>
        <w:tabs>
          <w:tab w:val="num" w:pos="114"/>
        </w:tabs>
      </w:pPr>
      <w:rPr>
        <w:position w:val="0"/>
        <w:sz w:val="24"/>
        <w:szCs w:val="24"/>
        <w:rtl w:val="0"/>
        <w:lang w:val="pt-PT"/>
      </w:rPr>
    </w:lvl>
    <w:lvl w:ilvl="6">
      <w:start w:val="1"/>
      <w:numFmt w:val="decimal"/>
      <w:lvlText w:val="%7."/>
      <w:lvlJc w:val="left"/>
      <w:pPr>
        <w:tabs>
          <w:tab w:val="num" w:pos="114"/>
        </w:tabs>
      </w:pPr>
      <w:rPr>
        <w:position w:val="0"/>
        <w:sz w:val="24"/>
        <w:szCs w:val="24"/>
        <w:rtl w:val="0"/>
        <w:lang w:val="pt-PT"/>
      </w:rPr>
    </w:lvl>
    <w:lvl w:ilvl="7">
      <w:start w:val="1"/>
      <w:numFmt w:val="lowerLetter"/>
      <w:lvlText w:val="%8."/>
      <w:lvlJc w:val="left"/>
      <w:pPr>
        <w:tabs>
          <w:tab w:val="num" w:pos="114"/>
        </w:tabs>
      </w:pPr>
      <w:rPr>
        <w:position w:val="0"/>
        <w:sz w:val="24"/>
        <w:szCs w:val="24"/>
        <w:rtl w:val="0"/>
        <w:lang w:val="pt-PT"/>
      </w:rPr>
    </w:lvl>
    <w:lvl w:ilvl="8">
      <w:start w:val="1"/>
      <w:numFmt w:val="lowerRoman"/>
      <w:lvlText w:val="%9."/>
      <w:lvlJc w:val="left"/>
      <w:pPr>
        <w:tabs>
          <w:tab w:val="num" w:pos="114"/>
        </w:tabs>
      </w:pPr>
      <w:rPr>
        <w:position w:val="0"/>
        <w:sz w:val="24"/>
        <w:szCs w:val="24"/>
        <w:rtl w:val="0"/>
        <w:lang w:val="pt-PT"/>
      </w:rPr>
    </w:lvl>
  </w:abstractNum>
  <w:abstractNum w:abstractNumId="5">
    <w:nsid w:val="67686046"/>
    <w:multiLevelType w:val="multilevel"/>
    <w:tmpl w:val="31CA77B4"/>
    <w:lvl w:ilvl="0">
      <w:start w:val="1"/>
      <w:numFmt w:val="lowerRoman"/>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
    <w:nsid w:val="7BDB5C94"/>
    <w:multiLevelType w:val="multilevel"/>
    <w:tmpl w:val="C48CA712"/>
    <w:lvl w:ilvl="0">
      <w:start w:val="1"/>
      <w:numFmt w:val="lowerRoman"/>
      <w:lvlText w:val="(%1)"/>
      <w:lvlJc w:val="left"/>
      <w:pPr>
        <w:tabs>
          <w:tab w:val="num" w:pos="709"/>
        </w:tabs>
        <w:ind w:left="709" w:hanging="709"/>
      </w:pPr>
      <w:rPr>
        <w:position w:val="0"/>
        <w:sz w:val="24"/>
        <w:szCs w:val="24"/>
        <w:rtl w:val="0"/>
        <w:lang w:val="pt-PT"/>
      </w:rPr>
    </w:lvl>
    <w:lvl w:ilvl="1">
      <w:start w:val="1"/>
      <w:numFmt w:val="lowerLetter"/>
      <w:lvlText w:val="%2."/>
      <w:lvlJc w:val="left"/>
      <w:pPr>
        <w:tabs>
          <w:tab w:val="num" w:pos="114"/>
        </w:tabs>
      </w:pPr>
      <w:rPr>
        <w:position w:val="0"/>
        <w:sz w:val="24"/>
        <w:szCs w:val="24"/>
        <w:rtl w:val="0"/>
        <w:lang w:val="pt-PT"/>
      </w:rPr>
    </w:lvl>
    <w:lvl w:ilvl="2">
      <w:start w:val="1"/>
      <w:numFmt w:val="lowerRoman"/>
      <w:lvlText w:val="%3."/>
      <w:lvlJc w:val="left"/>
      <w:pPr>
        <w:tabs>
          <w:tab w:val="num" w:pos="114"/>
        </w:tabs>
      </w:pPr>
      <w:rPr>
        <w:position w:val="0"/>
        <w:sz w:val="24"/>
        <w:szCs w:val="24"/>
        <w:rtl w:val="0"/>
        <w:lang w:val="pt-PT"/>
      </w:rPr>
    </w:lvl>
    <w:lvl w:ilvl="3">
      <w:start w:val="1"/>
      <w:numFmt w:val="decimal"/>
      <w:lvlText w:val="%4."/>
      <w:lvlJc w:val="left"/>
      <w:pPr>
        <w:tabs>
          <w:tab w:val="num" w:pos="114"/>
        </w:tabs>
      </w:pPr>
      <w:rPr>
        <w:position w:val="0"/>
        <w:sz w:val="24"/>
        <w:szCs w:val="24"/>
        <w:rtl w:val="0"/>
        <w:lang w:val="pt-PT"/>
      </w:rPr>
    </w:lvl>
    <w:lvl w:ilvl="4">
      <w:start w:val="1"/>
      <w:numFmt w:val="lowerLetter"/>
      <w:lvlText w:val="%5."/>
      <w:lvlJc w:val="left"/>
      <w:pPr>
        <w:tabs>
          <w:tab w:val="num" w:pos="114"/>
        </w:tabs>
      </w:pPr>
      <w:rPr>
        <w:position w:val="0"/>
        <w:sz w:val="24"/>
        <w:szCs w:val="24"/>
        <w:rtl w:val="0"/>
        <w:lang w:val="pt-PT"/>
      </w:rPr>
    </w:lvl>
    <w:lvl w:ilvl="5">
      <w:start w:val="1"/>
      <w:numFmt w:val="lowerRoman"/>
      <w:lvlText w:val="%6."/>
      <w:lvlJc w:val="left"/>
      <w:pPr>
        <w:tabs>
          <w:tab w:val="num" w:pos="114"/>
        </w:tabs>
      </w:pPr>
      <w:rPr>
        <w:position w:val="0"/>
        <w:sz w:val="24"/>
        <w:szCs w:val="24"/>
        <w:rtl w:val="0"/>
        <w:lang w:val="pt-PT"/>
      </w:rPr>
    </w:lvl>
    <w:lvl w:ilvl="6">
      <w:start w:val="1"/>
      <w:numFmt w:val="decimal"/>
      <w:lvlText w:val="%7."/>
      <w:lvlJc w:val="left"/>
      <w:pPr>
        <w:tabs>
          <w:tab w:val="num" w:pos="114"/>
        </w:tabs>
      </w:pPr>
      <w:rPr>
        <w:position w:val="0"/>
        <w:sz w:val="24"/>
        <w:szCs w:val="24"/>
        <w:rtl w:val="0"/>
        <w:lang w:val="pt-PT"/>
      </w:rPr>
    </w:lvl>
    <w:lvl w:ilvl="7">
      <w:start w:val="1"/>
      <w:numFmt w:val="lowerLetter"/>
      <w:lvlText w:val="%8."/>
      <w:lvlJc w:val="left"/>
      <w:pPr>
        <w:tabs>
          <w:tab w:val="num" w:pos="114"/>
        </w:tabs>
      </w:pPr>
      <w:rPr>
        <w:position w:val="0"/>
        <w:sz w:val="24"/>
        <w:szCs w:val="24"/>
        <w:rtl w:val="0"/>
        <w:lang w:val="pt-PT"/>
      </w:rPr>
    </w:lvl>
    <w:lvl w:ilvl="8">
      <w:start w:val="1"/>
      <w:numFmt w:val="lowerRoman"/>
      <w:lvlText w:val="%9."/>
      <w:lvlJc w:val="left"/>
      <w:pPr>
        <w:tabs>
          <w:tab w:val="num" w:pos="114"/>
        </w:tabs>
      </w:pPr>
      <w:rPr>
        <w:position w:val="0"/>
        <w:sz w:val="24"/>
        <w:szCs w:val="24"/>
        <w:rtl w:val="0"/>
        <w:lang w:val="pt-PT"/>
      </w:rPr>
    </w:lvl>
  </w:abstractNum>
  <w:abstractNum w:abstractNumId="7">
    <w:nsid w:val="7E537A70"/>
    <w:multiLevelType w:val="multilevel"/>
    <w:tmpl w:val="DB72430A"/>
    <w:lvl w:ilvl="0">
      <w:start w:val="1"/>
      <w:numFmt w:val="lowerRoman"/>
      <w:lvlText w:val="(%1)"/>
      <w:lvlJc w:val="left"/>
      <w:pPr>
        <w:tabs>
          <w:tab w:val="num" w:pos="709"/>
        </w:tabs>
        <w:ind w:left="709" w:hanging="709"/>
      </w:pPr>
      <w:rPr>
        <w:position w:val="0"/>
        <w:sz w:val="24"/>
        <w:szCs w:val="24"/>
        <w:rtl w:val="0"/>
        <w:lang w:val="pt-PT"/>
      </w:rPr>
    </w:lvl>
    <w:lvl w:ilvl="1">
      <w:start w:val="1"/>
      <w:numFmt w:val="lowerLetter"/>
      <w:lvlText w:val="%2."/>
      <w:lvlJc w:val="left"/>
      <w:pPr>
        <w:tabs>
          <w:tab w:val="num" w:pos="114"/>
        </w:tabs>
      </w:pPr>
      <w:rPr>
        <w:position w:val="0"/>
        <w:sz w:val="24"/>
        <w:szCs w:val="24"/>
        <w:rtl w:val="0"/>
        <w:lang w:val="pt-PT"/>
      </w:rPr>
    </w:lvl>
    <w:lvl w:ilvl="2">
      <w:start w:val="1"/>
      <w:numFmt w:val="lowerRoman"/>
      <w:lvlText w:val="%3."/>
      <w:lvlJc w:val="left"/>
      <w:pPr>
        <w:tabs>
          <w:tab w:val="num" w:pos="114"/>
        </w:tabs>
      </w:pPr>
      <w:rPr>
        <w:position w:val="0"/>
        <w:sz w:val="24"/>
        <w:szCs w:val="24"/>
        <w:rtl w:val="0"/>
        <w:lang w:val="pt-PT"/>
      </w:rPr>
    </w:lvl>
    <w:lvl w:ilvl="3">
      <w:start w:val="1"/>
      <w:numFmt w:val="decimal"/>
      <w:lvlText w:val="%4."/>
      <w:lvlJc w:val="left"/>
      <w:pPr>
        <w:tabs>
          <w:tab w:val="num" w:pos="114"/>
        </w:tabs>
      </w:pPr>
      <w:rPr>
        <w:position w:val="0"/>
        <w:sz w:val="24"/>
        <w:szCs w:val="24"/>
        <w:rtl w:val="0"/>
        <w:lang w:val="pt-PT"/>
      </w:rPr>
    </w:lvl>
    <w:lvl w:ilvl="4">
      <w:start w:val="1"/>
      <w:numFmt w:val="lowerLetter"/>
      <w:lvlText w:val="%5."/>
      <w:lvlJc w:val="left"/>
      <w:pPr>
        <w:tabs>
          <w:tab w:val="num" w:pos="114"/>
        </w:tabs>
      </w:pPr>
      <w:rPr>
        <w:position w:val="0"/>
        <w:sz w:val="24"/>
        <w:szCs w:val="24"/>
        <w:rtl w:val="0"/>
        <w:lang w:val="pt-PT"/>
      </w:rPr>
    </w:lvl>
    <w:lvl w:ilvl="5">
      <w:start w:val="1"/>
      <w:numFmt w:val="lowerRoman"/>
      <w:lvlText w:val="%6."/>
      <w:lvlJc w:val="left"/>
      <w:pPr>
        <w:tabs>
          <w:tab w:val="num" w:pos="114"/>
        </w:tabs>
      </w:pPr>
      <w:rPr>
        <w:position w:val="0"/>
        <w:sz w:val="24"/>
        <w:szCs w:val="24"/>
        <w:rtl w:val="0"/>
        <w:lang w:val="pt-PT"/>
      </w:rPr>
    </w:lvl>
    <w:lvl w:ilvl="6">
      <w:start w:val="1"/>
      <w:numFmt w:val="decimal"/>
      <w:lvlText w:val="%7."/>
      <w:lvlJc w:val="left"/>
      <w:pPr>
        <w:tabs>
          <w:tab w:val="num" w:pos="114"/>
        </w:tabs>
      </w:pPr>
      <w:rPr>
        <w:position w:val="0"/>
        <w:sz w:val="24"/>
        <w:szCs w:val="24"/>
        <w:rtl w:val="0"/>
        <w:lang w:val="pt-PT"/>
      </w:rPr>
    </w:lvl>
    <w:lvl w:ilvl="7">
      <w:start w:val="1"/>
      <w:numFmt w:val="lowerLetter"/>
      <w:lvlText w:val="%8."/>
      <w:lvlJc w:val="left"/>
      <w:pPr>
        <w:tabs>
          <w:tab w:val="num" w:pos="114"/>
        </w:tabs>
      </w:pPr>
      <w:rPr>
        <w:position w:val="0"/>
        <w:sz w:val="24"/>
        <w:szCs w:val="24"/>
        <w:rtl w:val="0"/>
        <w:lang w:val="pt-PT"/>
      </w:rPr>
    </w:lvl>
    <w:lvl w:ilvl="8">
      <w:start w:val="1"/>
      <w:numFmt w:val="lowerRoman"/>
      <w:lvlText w:val="%9."/>
      <w:lvlJc w:val="left"/>
      <w:pPr>
        <w:tabs>
          <w:tab w:val="num" w:pos="114"/>
        </w:tabs>
      </w:pPr>
      <w:rPr>
        <w:position w:val="0"/>
        <w:sz w:val="24"/>
        <w:szCs w:val="24"/>
        <w:rtl w:val="0"/>
        <w:lang w:val="pt-PT"/>
      </w:rPr>
    </w:lvl>
  </w:abstractNum>
  <w:abstractNum w:abstractNumId="8">
    <w:nsid w:val="7F5A0236"/>
    <w:multiLevelType w:val="multilevel"/>
    <w:tmpl w:val="F6526DDE"/>
    <w:lvl w:ilvl="0">
      <w:start w:val="1"/>
      <w:numFmt w:val="lowerRoman"/>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6"/>
  </w:num>
  <w:num w:numId="2">
    <w:abstractNumId w:val="5"/>
  </w:num>
  <w:num w:numId="3">
    <w:abstractNumId w:val="4"/>
  </w:num>
  <w:num w:numId="4">
    <w:abstractNumId w:val="3"/>
  </w:num>
  <w:num w:numId="5">
    <w:abstractNumId w:val="8"/>
  </w:num>
  <w:num w:numId="6">
    <w:abstractNumId w:val="2"/>
  </w:num>
  <w:num w:numId="7">
    <w:abstractNumId w:val="7"/>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trackRevisions/>
  <w:defaultTabStop w:val="708"/>
  <w:hyphenationZone w:val="425"/>
  <w:characterSpacingControl w:val="doNotCompress"/>
  <w:footnotePr>
    <w:footnote w:id="-1"/>
    <w:footnote w:id="0"/>
    <w:footnote w:id="1"/>
  </w:footnotePr>
  <w:endnotePr>
    <w:endnote w:id="-1"/>
    <w:endnote w:id="0"/>
  </w:endnotePr>
  <w:compat/>
  <w:rsids>
    <w:rsidRoot w:val="00D9084C"/>
    <w:rsid w:val="0001025D"/>
    <w:rsid w:val="000154A4"/>
    <w:rsid w:val="00015D5A"/>
    <w:rsid w:val="000160B3"/>
    <w:rsid w:val="00026048"/>
    <w:rsid w:val="00034A9C"/>
    <w:rsid w:val="00040E6B"/>
    <w:rsid w:val="000909E6"/>
    <w:rsid w:val="00092965"/>
    <w:rsid w:val="00094A6B"/>
    <w:rsid w:val="000A349A"/>
    <w:rsid w:val="000A5536"/>
    <w:rsid w:val="000A5790"/>
    <w:rsid w:val="000B10F0"/>
    <w:rsid w:val="000B2D11"/>
    <w:rsid w:val="000B78DE"/>
    <w:rsid w:val="000C207E"/>
    <w:rsid w:val="000C356C"/>
    <w:rsid w:val="000C6CBC"/>
    <w:rsid w:val="000E0573"/>
    <w:rsid w:val="000F1AC5"/>
    <w:rsid w:val="000F721D"/>
    <w:rsid w:val="00106F38"/>
    <w:rsid w:val="00110888"/>
    <w:rsid w:val="00111601"/>
    <w:rsid w:val="00113864"/>
    <w:rsid w:val="001249E9"/>
    <w:rsid w:val="00135BD0"/>
    <w:rsid w:val="00161A68"/>
    <w:rsid w:val="00181C21"/>
    <w:rsid w:val="001866EE"/>
    <w:rsid w:val="001A0389"/>
    <w:rsid w:val="001A4799"/>
    <w:rsid w:val="001A71E8"/>
    <w:rsid w:val="001B08D9"/>
    <w:rsid w:val="001C2BA1"/>
    <w:rsid w:val="001C45BF"/>
    <w:rsid w:val="001C5706"/>
    <w:rsid w:val="001D2E51"/>
    <w:rsid w:val="001D47BE"/>
    <w:rsid w:val="001D57C9"/>
    <w:rsid w:val="001E5A87"/>
    <w:rsid w:val="001E5AC4"/>
    <w:rsid w:val="001F0E8E"/>
    <w:rsid w:val="00204560"/>
    <w:rsid w:val="002069B7"/>
    <w:rsid w:val="0021198D"/>
    <w:rsid w:val="002139C8"/>
    <w:rsid w:val="00214CDC"/>
    <w:rsid w:val="00221C0A"/>
    <w:rsid w:val="00223FA4"/>
    <w:rsid w:val="00254436"/>
    <w:rsid w:val="00261924"/>
    <w:rsid w:val="0026478B"/>
    <w:rsid w:val="00280E12"/>
    <w:rsid w:val="00284471"/>
    <w:rsid w:val="00287BB5"/>
    <w:rsid w:val="002E04A3"/>
    <w:rsid w:val="002F613E"/>
    <w:rsid w:val="00300FA9"/>
    <w:rsid w:val="003132FB"/>
    <w:rsid w:val="003455D0"/>
    <w:rsid w:val="003537DA"/>
    <w:rsid w:val="00353900"/>
    <w:rsid w:val="00377C9B"/>
    <w:rsid w:val="00394E76"/>
    <w:rsid w:val="003A236D"/>
    <w:rsid w:val="003A74C7"/>
    <w:rsid w:val="003B6F8B"/>
    <w:rsid w:val="004108F5"/>
    <w:rsid w:val="00412411"/>
    <w:rsid w:val="004202F2"/>
    <w:rsid w:val="00423075"/>
    <w:rsid w:val="00424771"/>
    <w:rsid w:val="00437EE2"/>
    <w:rsid w:val="0045101E"/>
    <w:rsid w:val="004545DE"/>
    <w:rsid w:val="00454804"/>
    <w:rsid w:val="00456F3B"/>
    <w:rsid w:val="00463827"/>
    <w:rsid w:val="00464D62"/>
    <w:rsid w:val="004712E2"/>
    <w:rsid w:val="0047503B"/>
    <w:rsid w:val="00477226"/>
    <w:rsid w:val="00477CC3"/>
    <w:rsid w:val="00485E32"/>
    <w:rsid w:val="00490749"/>
    <w:rsid w:val="004B479A"/>
    <w:rsid w:val="004B5568"/>
    <w:rsid w:val="004C2774"/>
    <w:rsid w:val="004C3395"/>
    <w:rsid w:val="004D201C"/>
    <w:rsid w:val="005059B3"/>
    <w:rsid w:val="00511926"/>
    <w:rsid w:val="00512C34"/>
    <w:rsid w:val="00534BD1"/>
    <w:rsid w:val="00537ABD"/>
    <w:rsid w:val="0054443C"/>
    <w:rsid w:val="005607BA"/>
    <w:rsid w:val="00561468"/>
    <w:rsid w:val="00565011"/>
    <w:rsid w:val="00567869"/>
    <w:rsid w:val="00576AF8"/>
    <w:rsid w:val="00580DD1"/>
    <w:rsid w:val="0058548F"/>
    <w:rsid w:val="00595004"/>
    <w:rsid w:val="005B53BD"/>
    <w:rsid w:val="005B54BD"/>
    <w:rsid w:val="005C6B00"/>
    <w:rsid w:val="005D39CC"/>
    <w:rsid w:val="005F5D85"/>
    <w:rsid w:val="00601704"/>
    <w:rsid w:val="006157FD"/>
    <w:rsid w:val="00621C10"/>
    <w:rsid w:val="00640AFE"/>
    <w:rsid w:val="00647AD7"/>
    <w:rsid w:val="0065291D"/>
    <w:rsid w:val="00654A7C"/>
    <w:rsid w:val="0069485C"/>
    <w:rsid w:val="00695FCA"/>
    <w:rsid w:val="006A0A0C"/>
    <w:rsid w:val="006D11E7"/>
    <w:rsid w:val="006D249F"/>
    <w:rsid w:val="006E5886"/>
    <w:rsid w:val="006F5AB7"/>
    <w:rsid w:val="007018A3"/>
    <w:rsid w:val="00703678"/>
    <w:rsid w:val="007061B9"/>
    <w:rsid w:val="00714958"/>
    <w:rsid w:val="00741717"/>
    <w:rsid w:val="00743681"/>
    <w:rsid w:val="00747398"/>
    <w:rsid w:val="00784B56"/>
    <w:rsid w:val="00793EDF"/>
    <w:rsid w:val="00794CE5"/>
    <w:rsid w:val="00796B1C"/>
    <w:rsid w:val="00796DB6"/>
    <w:rsid w:val="007B1289"/>
    <w:rsid w:val="007B18FC"/>
    <w:rsid w:val="007B23BC"/>
    <w:rsid w:val="007B38C7"/>
    <w:rsid w:val="007B6697"/>
    <w:rsid w:val="007D303E"/>
    <w:rsid w:val="007D7777"/>
    <w:rsid w:val="007E0CB5"/>
    <w:rsid w:val="007F44AF"/>
    <w:rsid w:val="00801A21"/>
    <w:rsid w:val="00805453"/>
    <w:rsid w:val="00806F96"/>
    <w:rsid w:val="00807DD0"/>
    <w:rsid w:val="00823F37"/>
    <w:rsid w:val="008254EB"/>
    <w:rsid w:val="00831CBB"/>
    <w:rsid w:val="00833B89"/>
    <w:rsid w:val="008343E9"/>
    <w:rsid w:val="00834E5C"/>
    <w:rsid w:val="00834F5E"/>
    <w:rsid w:val="008433DC"/>
    <w:rsid w:val="008628CB"/>
    <w:rsid w:val="00866ADA"/>
    <w:rsid w:val="008700BA"/>
    <w:rsid w:val="008737DF"/>
    <w:rsid w:val="00877DF7"/>
    <w:rsid w:val="008848C0"/>
    <w:rsid w:val="00890957"/>
    <w:rsid w:val="008932F6"/>
    <w:rsid w:val="008A489B"/>
    <w:rsid w:val="008B3B4F"/>
    <w:rsid w:val="008B5D52"/>
    <w:rsid w:val="008C6298"/>
    <w:rsid w:val="008E6F77"/>
    <w:rsid w:val="009328DC"/>
    <w:rsid w:val="00932FC6"/>
    <w:rsid w:val="009424C2"/>
    <w:rsid w:val="00965B69"/>
    <w:rsid w:val="009728B9"/>
    <w:rsid w:val="009745EF"/>
    <w:rsid w:val="00976194"/>
    <w:rsid w:val="009A0457"/>
    <w:rsid w:val="009A04B2"/>
    <w:rsid w:val="009C73A3"/>
    <w:rsid w:val="009D7836"/>
    <w:rsid w:val="009E3FCE"/>
    <w:rsid w:val="009E55CF"/>
    <w:rsid w:val="00A35490"/>
    <w:rsid w:val="00A37920"/>
    <w:rsid w:val="00A55C8F"/>
    <w:rsid w:val="00A72FEB"/>
    <w:rsid w:val="00A741CA"/>
    <w:rsid w:val="00A812FD"/>
    <w:rsid w:val="00A81B24"/>
    <w:rsid w:val="00A907D7"/>
    <w:rsid w:val="00AB7828"/>
    <w:rsid w:val="00AD074A"/>
    <w:rsid w:val="00AE29B9"/>
    <w:rsid w:val="00AE4C84"/>
    <w:rsid w:val="00AF4AA5"/>
    <w:rsid w:val="00B1442A"/>
    <w:rsid w:val="00B14EA6"/>
    <w:rsid w:val="00B25759"/>
    <w:rsid w:val="00B332B1"/>
    <w:rsid w:val="00B6284C"/>
    <w:rsid w:val="00B708F9"/>
    <w:rsid w:val="00B77BBD"/>
    <w:rsid w:val="00B94C8E"/>
    <w:rsid w:val="00BB0226"/>
    <w:rsid w:val="00BC6346"/>
    <w:rsid w:val="00BD67E2"/>
    <w:rsid w:val="00BE4888"/>
    <w:rsid w:val="00BF3DF5"/>
    <w:rsid w:val="00C018D5"/>
    <w:rsid w:val="00C0419C"/>
    <w:rsid w:val="00C23D6E"/>
    <w:rsid w:val="00C25AD2"/>
    <w:rsid w:val="00C26A51"/>
    <w:rsid w:val="00C379CB"/>
    <w:rsid w:val="00C46026"/>
    <w:rsid w:val="00C53361"/>
    <w:rsid w:val="00C62139"/>
    <w:rsid w:val="00C7428B"/>
    <w:rsid w:val="00C81D4B"/>
    <w:rsid w:val="00C85EA8"/>
    <w:rsid w:val="00CB3B28"/>
    <w:rsid w:val="00CC6377"/>
    <w:rsid w:val="00CC6E99"/>
    <w:rsid w:val="00CE037D"/>
    <w:rsid w:val="00CE3E58"/>
    <w:rsid w:val="00CE5584"/>
    <w:rsid w:val="00CE6D40"/>
    <w:rsid w:val="00CF0E3F"/>
    <w:rsid w:val="00CF4C49"/>
    <w:rsid w:val="00D02D35"/>
    <w:rsid w:val="00D23AE3"/>
    <w:rsid w:val="00D23B2E"/>
    <w:rsid w:val="00D404F3"/>
    <w:rsid w:val="00D433B8"/>
    <w:rsid w:val="00D44E51"/>
    <w:rsid w:val="00D9084C"/>
    <w:rsid w:val="00D91666"/>
    <w:rsid w:val="00DB32CB"/>
    <w:rsid w:val="00DD2EEB"/>
    <w:rsid w:val="00DD65F3"/>
    <w:rsid w:val="00DF32E3"/>
    <w:rsid w:val="00E0103E"/>
    <w:rsid w:val="00E3144C"/>
    <w:rsid w:val="00E42A57"/>
    <w:rsid w:val="00E46141"/>
    <w:rsid w:val="00E50CDF"/>
    <w:rsid w:val="00E5126A"/>
    <w:rsid w:val="00E55467"/>
    <w:rsid w:val="00E6191A"/>
    <w:rsid w:val="00E64E6C"/>
    <w:rsid w:val="00E67EBE"/>
    <w:rsid w:val="00E73324"/>
    <w:rsid w:val="00E86A7C"/>
    <w:rsid w:val="00E94B2A"/>
    <w:rsid w:val="00EA1B30"/>
    <w:rsid w:val="00ED68CE"/>
    <w:rsid w:val="00EE2973"/>
    <w:rsid w:val="00EE7003"/>
    <w:rsid w:val="00F0572E"/>
    <w:rsid w:val="00F2798B"/>
    <w:rsid w:val="00F31794"/>
    <w:rsid w:val="00F44763"/>
    <w:rsid w:val="00F45D35"/>
    <w:rsid w:val="00F53D3D"/>
    <w:rsid w:val="00F551A0"/>
    <w:rsid w:val="00F76780"/>
    <w:rsid w:val="00F927EE"/>
    <w:rsid w:val="00FA6089"/>
    <w:rsid w:val="00FA60C9"/>
    <w:rsid w:val="00FB160D"/>
    <w:rsid w:val="00FB2F07"/>
    <w:rsid w:val="00FC1FC1"/>
    <w:rsid w:val="00FD0A9A"/>
    <w:rsid w:val="00FD51D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9084C"/>
    <w:rPr>
      <w:sz w:val="24"/>
      <w:szCs w:val="24"/>
      <w:lang w:val="en-US" w:eastAsia="en-US"/>
    </w:rPr>
  </w:style>
  <w:style w:type="paragraph" w:styleId="Ttulo1">
    <w:name w:val="heading 1"/>
    <w:next w:val="Ttulo2"/>
    <w:rsid w:val="00D9084C"/>
    <w:pPr>
      <w:keepNext/>
      <w:keepLines/>
      <w:tabs>
        <w:tab w:val="left" w:pos="709"/>
        <w:tab w:val="left" w:pos="851"/>
      </w:tabs>
      <w:spacing w:before="480" w:line="276" w:lineRule="auto"/>
      <w:outlineLvl w:val="0"/>
    </w:pPr>
    <w:rPr>
      <w:rFonts w:eastAsia="Times New Roman"/>
      <w:b/>
      <w:bCs/>
      <w:color w:val="000000"/>
      <w:sz w:val="24"/>
      <w:szCs w:val="24"/>
      <w:u w:color="000000"/>
      <w:lang w:val="pt-PT"/>
    </w:rPr>
  </w:style>
  <w:style w:type="paragraph" w:styleId="Ttulo2">
    <w:name w:val="heading 2"/>
    <w:next w:val="CorpoA"/>
    <w:rsid w:val="00D9084C"/>
    <w:pPr>
      <w:keepNext/>
      <w:keepLines/>
      <w:tabs>
        <w:tab w:val="left" w:pos="709"/>
        <w:tab w:val="left" w:pos="851"/>
      </w:tabs>
      <w:spacing w:before="200" w:line="276" w:lineRule="auto"/>
      <w:outlineLvl w:val="1"/>
    </w:pPr>
    <w:rPr>
      <w:rFonts w:eastAsia="Times New Roman"/>
      <w:b/>
      <w:bCs/>
      <w:color w:val="000000"/>
      <w:sz w:val="24"/>
      <w:szCs w:val="24"/>
      <w:u w:color="000000"/>
      <w:lang w:val="pt-PT"/>
    </w:rPr>
  </w:style>
  <w:style w:type="paragraph" w:styleId="Ttulo3">
    <w:name w:val="heading 3"/>
    <w:next w:val="CorpoA"/>
    <w:rsid w:val="00D9084C"/>
    <w:pPr>
      <w:keepNext/>
      <w:keepLines/>
      <w:tabs>
        <w:tab w:val="left" w:pos="709"/>
        <w:tab w:val="left" w:pos="851"/>
      </w:tabs>
      <w:spacing w:before="200" w:line="312" w:lineRule="auto"/>
      <w:outlineLvl w:val="2"/>
    </w:pPr>
    <w:rPr>
      <w:rFonts w:hAnsi="Arial Unicode MS" w:cs="Arial Unicode MS"/>
      <w:b/>
      <w:bCs/>
      <w:color w:val="000000"/>
      <w:sz w:val="24"/>
      <w:szCs w:val="24"/>
      <w:u w:color="00000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D9084C"/>
    <w:rPr>
      <w:u w:val="single"/>
    </w:rPr>
  </w:style>
  <w:style w:type="table" w:customStyle="1" w:styleId="TableNormal">
    <w:name w:val="Table Normal"/>
    <w:rsid w:val="00D9084C"/>
    <w:tblPr>
      <w:tblInd w:w="0" w:type="dxa"/>
      <w:tblCellMar>
        <w:top w:w="0" w:type="dxa"/>
        <w:left w:w="0" w:type="dxa"/>
        <w:bottom w:w="0" w:type="dxa"/>
        <w:right w:w="0" w:type="dxa"/>
      </w:tblCellMar>
    </w:tblPr>
  </w:style>
  <w:style w:type="paragraph" w:styleId="Cabealho">
    <w:name w:val="header"/>
    <w:rsid w:val="00D9084C"/>
    <w:pPr>
      <w:tabs>
        <w:tab w:val="center" w:pos="4252"/>
        <w:tab w:val="right" w:pos="8504"/>
      </w:tabs>
    </w:pPr>
    <w:rPr>
      <w:rFonts w:ascii="Calibri" w:eastAsia="Calibri" w:hAnsi="Calibri" w:cs="Calibri"/>
      <w:color w:val="000000"/>
      <w:sz w:val="22"/>
      <w:szCs w:val="22"/>
      <w:u w:color="000000"/>
      <w:lang w:val="pt-PT"/>
    </w:rPr>
  </w:style>
  <w:style w:type="paragraph" w:styleId="Rodap">
    <w:name w:val="footer"/>
    <w:rsid w:val="00D9084C"/>
    <w:pPr>
      <w:tabs>
        <w:tab w:val="center" w:pos="4252"/>
        <w:tab w:val="right" w:pos="8504"/>
      </w:tabs>
    </w:pPr>
    <w:rPr>
      <w:rFonts w:ascii="Calibri" w:eastAsia="Calibri" w:hAnsi="Calibri" w:cs="Calibri"/>
      <w:color w:val="000000"/>
      <w:sz w:val="22"/>
      <w:szCs w:val="22"/>
      <w:u w:color="000000"/>
      <w:lang w:val="pt-PT"/>
    </w:rPr>
  </w:style>
  <w:style w:type="paragraph" w:customStyle="1" w:styleId="CorpoA">
    <w:name w:val="Corpo A"/>
    <w:rsid w:val="00D9084C"/>
    <w:pPr>
      <w:spacing w:after="200" w:line="276" w:lineRule="auto"/>
    </w:pPr>
    <w:rPr>
      <w:rFonts w:ascii="Calibri" w:eastAsia="Calibri" w:hAnsi="Calibri" w:cs="Calibri"/>
      <w:color w:val="000000"/>
      <w:sz w:val="22"/>
      <w:szCs w:val="22"/>
      <w:u w:color="000000"/>
      <w:lang w:val="pt-PT"/>
    </w:rPr>
  </w:style>
  <w:style w:type="paragraph" w:customStyle="1" w:styleId="SDMTtulo2">
    <w:name w:val="SDM Título 2"/>
    <w:rsid w:val="00D9084C"/>
    <w:pPr>
      <w:keepNext/>
      <w:jc w:val="both"/>
    </w:pPr>
    <w:rPr>
      <w:rFonts w:hAnsi="Arial Unicode MS" w:cs="Arial Unicode MS"/>
      <w:b/>
      <w:bCs/>
      <w:color w:val="000000"/>
      <w:sz w:val="24"/>
      <w:szCs w:val="24"/>
      <w:u w:color="000000"/>
      <w:lang w:val="pt-PT"/>
    </w:rPr>
  </w:style>
  <w:style w:type="paragraph" w:styleId="Textodenotaderodap">
    <w:name w:val="footnote text"/>
    <w:rsid w:val="00D9084C"/>
    <w:rPr>
      <w:rFonts w:ascii="Calibri" w:eastAsia="Calibri" w:hAnsi="Calibri" w:cs="Calibri"/>
      <w:color w:val="000000"/>
      <w:u w:color="000000"/>
      <w:lang w:val="pt-PT"/>
    </w:rPr>
  </w:style>
  <w:style w:type="character" w:customStyle="1" w:styleId="Nenhum">
    <w:name w:val="Nenhum"/>
    <w:rsid w:val="00D9084C"/>
  </w:style>
  <w:style w:type="character" w:customStyle="1" w:styleId="Hyperlink0">
    <w:name w:val="Hyperlink.0"/>
    <w:basedOn w:val="Nenhum"/>
    <w:rsid w:val="00D9084C"/>
    <w:rPr>
      <w:color w:val="0000FF"/>
      <w:sz w:val="20"/>
      <w:szCs w:val="20"/>
      <w:u w:val="single" w:color="0000FF"/>
      <w:lang w:val="pt-PT"/>
    </w:rPr>
  </w:style>
  <w:style w:type="paragraph" w:customStyle="1" w:styleId="Default">
    <w:name w:val="Default"/>
    <w:rsid w:val="00D9084C"/>
    <w:rPr>
      <w:rFonts w:hAnsi="Arial Unicode MS" w:cs="Arial Unicode MS"/>
      <w:color w:val="000000"/>
      <w:sz w:val="24"/>
      <w:szCs w:val="24"/>
      <w:u w:color="000000"/>
      <w:lang w:val="pt-PT"/>
    </w:rPr>
  </w:style>
  <w:style w:type="numbering" w:customStyle="1" w:styleId="List0">
    <w:name w:val="List 0"/>
    <w:basedOn w:val="EstiloImportado1"/>
    <w:rsid w:val="00D9084C"/>
    <w:pPr>
      <w:numPr>
        <w:numId w:val="3"/>
      </w:numPr>
    </w:pPr>
  </w:style>
  <w:style w:type="numbering" w:customStyle="1" w:styleId="EstiloImportado1">
    <w:name w:val="Estilo Importado 1"/>
    <w:rsid w:val="00D9084C"/>
  </w:style>
  <w:style w:type="numbering" w:customStyle="1" w:styleId="List1">
    <w:name w:val="List 1"/>
    <w:basedOn w:val="EstiloImportado2"/>
    <w:rsid w:val="00D9084C"/>
    <w:pPr>
      <w:numPr>
        <w:numId w:val="6"/>
      </w:numPr>
    </w:pPr>
  </w:style>
  <w:style w:type="numbering" w:customStyle="1" w:styleId="EstiloImportado2">
    <w:name w:val="Estilo Importado 2"/>
    <w:rsid w:val="00D9084C"/>
  </w:style>
  <w:style w:type="numbering" w:customStyle="1" w:styleId="Lista21">
    <w:name w:val="Lista 21"/>
    <w:basedOn w:val="EstiloImportado3"/>
    <w:rsid w:val="00D9084C"/>
    <w:pPr>
      <w:numPr>
        <w:numId w:val="9"/>
      </w:numPr>
    </w:pPr>
  </w:style>
  <w:style w:type="numbering" w:customStyle="1" w:styleId="EstiloImportado3">
    <w:name w:val="Estilo Importado 3"/>
    <w:rsid w:val="00D9084C"/>
  </w:style>
  <w:style w:type="paragraph" w:styleId="Textodebalo">
    <w:name w:val="Balloon Text"/>
    <w:basedOn w:val="Normal"/>
    <w:link w:val="TextodebaloChar"/>
    <w:uiPriority w:val="99"/>
    <w:semiHidden/>
    <w:unhideWhenUsed/>
    <w:rsid w:val="00A35490"/>
    <w:rPr>
      <w:rFonts w:ascii="Tahoma" w:hAnsi="Tahoma" w:cs="Tahoma"/>
      <w:sz w:val="16"/>
      <w:szCs w:val="16"/>
    </w:rPr>
  </w:style>
  <w:style w:type="character" w:customStyle="1" w:styleId="TextodebaloChar">
    <w:name w:val="Texto de balão Char"/>
    <w:basedOn w:val="Fontepargpadro"/>
    <w:link w:val="Textodebalo"/>
    <w:uiPriority w:val="99"/>
    <w:semiHidden/>
    <w:rsid w:val="00A35490"/>
    <w:rPr>
      <w:rFonts w:ascii="Tahoma" w:hAnsi="Tahoma" w:cs="Tahoma"/>
      <w:sz w:val="16"/>
      <w:szCs w:val="16"/>
      <w:lang w:val="en-US" w:eastAsia="en-US"/>
    </w:rPr>
  </w:style>
  <w:style w:type="paragraph" w:styleId="Reviso">
    <w:name w:val="Revision"/>
    <w:hidden/>
    <w:uiPriority w:val="99"/>
    <w:semiHidden/>
    <w:rsid w:val="008343E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Forte">
    <w:name w:val="Strong"/>
    <w:basedOn w:val="Fontepargpadro"/>
    <w:uiPriority w:val="22"/>
    <w:qFormat/>
    <w:rsid w:val="00EE7003"/>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vm.gov.br/port/audi/sugest/ind_sugest.asp?AudMes=12&amp;AudAno=14&amp;Super=SD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D051A-175E-4D32-B9F9-A04AC35C3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8455</Words>
  <Characters>45659</Characters>
  <Application>Microsoft Office Word</Application>
  <DocSecurity>0</DocSecurity>
  <Lines>380</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Hasler</dc:creator>
  <cp:lastModifiedBy>Cláudia Hasler</cp:lastModifiedBy>
  <cp:revision>2</cp:revision>
  <dcterms:created xsi:type="dcterms:W3CDTF">2015-04-02T16:07:00Z</dcterms:created>
  <dcterms:modified xsi:type="dcterms:W3CDTF">2015-04-02T16:07:00Z</dcterms:modified>
</cp:coreProperties>
</file>