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4C" w:rsidRPr="002A7F74" w:rsidRDefault="005607BA" w:rsidP="009E2922">
      <w:pPr>
        <w:pStyle w:val="CorpoA"/>
        <w:spacing w:after="0" w:line="312" w:lineRule="auto"/>
        <w:jc w:val="center"/>
        <w:rPr>
          <w:rFonts w:ascii="Times New Roman" w:eastAsia="Times New Roman" w:hAnsi="Times New Roman" w:cs="Times New Roman"/>
          <w:b/>
          <w:sz w:val="24"/>
          <w:szCs w:val="24"/>
          <w:lang w:val="pt-BR"/>
        </w:rPr>
      </w:pPr>
      <w:r w:rsidRPr="002A7F74">
        <w:rPr>
          <w:rFonts w:ascii="Times New Roman" w:hAnsi="Times New Roman" w:cs="Times New Roman"/>
          <w:b/>
          <w:sz w:val="24"/>
          <w:szCs w:val="24"/>
          <w:lang w:val="pt-BR"/>
        </w:rPr>
        <w:t xml:space="preserve">RELATÓRIO DE ANÁLISE </w:t>
      </w:r>
    </w:p>
    <w:p w:rsidR="00D9084C" w:rsidRPr="002A7F74" w:rsidRDefault="005607BA" w:rsidP="009E2922">
      <w:pPr>
        <w:pStyle w:val="SDMTtulo2"/>
        <w:spacing w:line="312" w:lineRule="auto"/>
        <w:jc w:val="center"/>
        <w:rPr>
          <w:rFonts w:hAnsi="Times New Roman" w:cs="Times New Roman"/>
          <w:b w:val="0"/>
          <w:bCs w:val="0"/>
          <w:lang w:val="pt-BR"/>
        </w:rPr>
      </w:pPr>
      <w:r w:rsidRPr="002A7F74">
        <w:rPr>
          <w:rFonts w:hAnsi="Times New Roman" w:cs="Times New Roman"/>
          <w:lang w:val="pt-BR"/>
        </w:rPr>
        <w:t xml:space="preserve">Audiência Pública SDM nº </w:t>
      </w:r>
      <w:r w:rsidR="00BC77C1" w:rsidRPr="002A7F74">
        <w:rPr>
          <w:rFonts w:hAnsi="Times New Roman" w:cs="Times New Roman"/>
          <w:lang w:val="pt-BR"/>
        </w:rPr>
        <w:t>01/2015</w:t>
      </w:r>
      <w:r w:rsidRPr="002A7F74">
        <w:rPr>
          <w:rFonts w:hAnsi="Times New Roman" w:cs="Times New Roman"/>
          <w:lang w:val="pt-BR"/>
        </w:rPr>
        <w:t xml:space="preserve"> – Processo CVM nº</w:t>
      </w:r>
      <w:r w:rsidR="00686568">
        <w:rPr>
          <w:rFonts w:hAnsi="Times New Roman" w:cs="Times New Roman"/>
          <w:lang w:val="pt-BR"/>
        </w:rPr>
        <w:t xml:space="preserve"> </w:t>
      </w:r>
      <w:r w:rsidR="00686568" w:rsidRPr="00686568">
        <w:rPr>
          <w:rFonts w:hAnsi="Times New Roman" w:cs="Times New Roman"/>
          <w:lang w:val="pt-BR"/>
        </w:rPr>
        <w:t>RJ 2014-13975</w:t>
      </w:r>
    </w:p>
    <w:p w:rsidR="00D9084C" w:rsidRPr="002A7F74" w:rsidRDefault="00D9084C" w:rsidP="00A93F2F">
      <w:pPr>
        <w:pStyle w:val="CorpoA"/>
        <w:spacing w:after="0" w:line="312" w:lineRule="auto"/>
        <w:jc w:val="both"/>
        <w:rPr>
          <w:rFonts w:ascii="Times New Roman" w:eastAsia="Times New Roman" w:hAnsi="Times New Roman" w:cs="Times New Roman"/>
          <w:b/>
          <w:bCs/>
          <w:sz w:val="24"/>
          <w:szCs w:val="24"/>
          <w:lang w:val="pt-BR"/>
        </w:rPr>
      </w:pPr>
    </w:p>
    <w:p w:rsidR="00C435BC" w:rsidRPr="002A7F74" w:rsidRDefault="005607BA" w:rsidP="00A93F2F">
      <w:pPr>
        <w:pStyle w:val="Ttulo"/>
        <w:spacing w:line="312" w:lineRule="auto"/>
        <w:jc w:val="both"/>
        <w:rPr>
          <w:b w:val="0"/>
          <w:bCs w:val="0"/>
        </w:rPr>
      </w:pPr>
      <w:r w:rsidRPr="002A7F74">
        <w:t xml:space="preserve">Objeto: </w:t>
      </w:r>
      <w:r w:rsidR="00C435BC" w:rsidRPr="002A7F74">
        <w:rPr>
          <w:b w:val="0"/>
          <w:bCs w:val="0"/>
        </w:rPr>
        <w:t xml:space="preserve">Minuta de Instrução sobre </w:t>
      </w:r>
      <w:r w:rsidR="005370CE" w:rsidRPr="002A7F74">
        <w:rPr>
          <w:b w:val="0"/>
          <w:bCs w:val="0"/>
        </w:rPr>
        <w:t xml:space="preserve">oferta pública de distribuição </w:t>
      </w:r>
      <w:r w:rsidR="00C435BC" w:rsidRPr="002A7F74">
        <w:rPr>
          <w:b w:val="0"/>
          <w:bCs w:val="0"/>
        </w:rPr>
        <w:t xml:space="preserve">de nota promissória. </w:t>
      </w:r>
    </w:p>
    <w:p w:rsidR="00D9084C" w:rsidRPr="002A7F74" w:rsidRDefault="00D9084C" w:rsidP="00A93F2F">
      <w:pPr>
        <w:pStyle w:val="Ttulo1"/>
        <w:tabs>
          <w:tab w:val="clear" w:pos="851"/>
        </w:tabs>
        <w:spacing w:before="0" w:line="312" w:lineRule="auto"/>
        <w:rPr>
          <w:lang w:val="pt-BR"/>
        </w:rPr>
      </w:pPr>
    </w:p>
    <w:p w:rsidR="00D9084C" w:rsidRPr="002A7F74" w:rsidRDefault="005607BA" w:rsidP="00A93F2F">
      <w:pPr>
        <w:pStyle w:val="Ttulo1"/>
        <w:tabs>
          <w:tab w:val="clear" w:pos="851"/>
        </w:tabs>
        <w:spacing w:before="0" w:line="312" w:lineRule="auto"/>
        <w:rPr>
          <w:lang w:val="pt-BR"/>
        </w:rPr>
      </w:pPr>
      <w:r w:rsidRPr="002A7F74">
        <w:rPr>
          <w:lang w:val="pt-BR"/>
        </w:rPr>
        <w:t>1.</w:t>
      </w:r>
      <w:r w:rsidRPr="002A7F74">
        <w:rPr>
          <w:lang w:val="pt-BR"/>
        </w:rPr>
        <w:tab/>
        <w:t>Introdução</w:t>
      </w:r>
    </w:p>
    <w:p w:rsidR="00D9084C" w:rsidRPr="002A7F74" w:rsidRDefault="00D9084C" w:rsidP="00A93F2F">
      <w:pPr>
        <w:pStyle w:val="CorpoA"/>
        <w:spacing w:after="0" w:line="312" w:lineRule="auto"/>
        <w:ind w:firstLine="709"/>
        <w:jc w:val="both"/>
        <w:rPr>
          <w:rFonts w:ascii="Times New Roman" w:eastAsia="Times New Roman" w:hAnsi="Times New Roman" w:cs="Times New Roman"/>
          <w:sz w:val="24"/>
          <w:szCs w:val="24"/>
          <w:lang w:val="pt-BR"/>
        </w:rPr>
      </w:pPr>
    </w:p>
    <w:p w:rsidR="00D9084C" w:rsidRPr="002A7F74" w:rsidRDefault="005607BA" w:rsidP="00A93F2F">
      <w:pPr>
        <w:pStyle w:val="CorpoA"/>
        <w:spacing w:after="0" w:line="312" w:lineRule="auto"/>
        <w:ind w:firstLine="709"/>
        <w:jc w:val="both"/>
        <w:rPr>
          <w:rFonts w:ascii="Times New Roman" w:hAnsi="Times New Roman" w:cs="Times New Roman"/>
          <w:sz w:val="24"/>
          <w:szCs w:val="24"/>
          <w:lang w:val="pt-BR"/>
        </w:rPr>
      </w:pPr>
      <w:r w:rsidRPr="002A7F74">
        <w:rPr>
          <w:rFonts w:ascii="Times New Roman" w:hAnsi="Times New Roman" w:cs="Times New Roman"/>
          <w:sz w:val="24"/>
          <w:szCs w:val="24"/>
          <w:lang w:val="pt-BR"/>
        </w:rPr>
        <w:t xml:space="preserve">O presente relatório é resultado da Audiência Pública SDM nº </w:t>
      </w:r>
      <w:r w:rsidR="00C435BC" w:rsidRPr="002A7F74">
        <w:rPr>
          <w:rFonts w:ascii="Times New Roman" w:hAnsi="Times New Roman" w:cs="Times New Roman"/>
          <w:sz w:val="24"/>
          <w:szCs w:val="24"/>
          <w:lang w:val="pt-BR"/>
        </w:rPr>
        <w:t>0</w:t>
      </w:r>
      <w:r w:rsidRPr="002A7F74">
        <w:rPr>
          <w:rFonts w:ascii="Times New Roman" w:hAnsi="Times New Roman" w:cs="Times New Roman"/>
          <w:sz w:val="24"/>
          <w:szCs w:val="24"/>
          <w:lang w:val="pt-BR"/>
        </w:rPr>
        <w:t>1/201</w:t>
      </w:r>
      <w:r w:rsidR="00C435BC" w:rsidRPr="002A7F74">
        <w:rPr>
          <w:rFonts w:ascii="Times New Roman" w:hAnsi="Times New Roman" w:cs="Times New Roman"/>
          <w:sz w:val="24"/>
          <w:szCs w:val="24"/>
          <w:lang w:val="pt-BR"/>
        </w:rPr>
        <w:t>5</w:t>
      </w:r>
      <w:r w:rsidRPr="002A7F74">
        <w:rPr>
          <w:rFonts w:ascii="Times New Roman" w:hAnsi="Times New Roman" w:cs="Times New Roman"/>
          <w:sz w:val="24"/>
          <w:szCs w:val="24"/>
          <w:lang w:val="pt-BR"/>
        </w:rPr>
        <w:t xml:space="preserve">, que recebeu comentários do público entre os dias </w:t>
      </w:r>
      <w:r w:rsidR="00C435BC" w:rsidRPr="002A7F74">
        <w:rPr>
          <w:rFonts w:ascii="Times New Roman" w:hAnsi="Times New Roman" w:cs="Times New Roman"/>
          <w:sz w:val="24"/>
          <w:szCs w:val="24"/>
          <w:lang w:val="pt-BR"/>
        </w:rPr>
        <w:t xml:space="preserve">5 </w:t>
      </w:r>
      <w:r w:rsidRPr="002A7F74">
        <w:rPr>
          <w:rFonts w:ascii="Times New Roman" w:hAnsi="Times New Roman" w:cs="Times New Roman"/>
          <w:sz w:val="24"/>
          <w:szCs w:val="24"/>
          <w:lang w:val="pt-BR"/>
        </w:rPr>
        <w:t xml:space="preserve">de </w:t>
      </w:r>
      <w:r w:rsidR="00C435BC" w:rsidRPr="002A7F74">
        <w:rPr>
          <w:rFonts w:ascii="Times New Roman" w:hAnsi="Times New Roman" w:cs="Times New Roman"/>
          <w:sz w:val="24"/>
          <w:szCs w:val="24"/>
          <w:lang w:val="pt-BR"/>
        </w:rPr>
        <w:t>feverei</w:t>
      </w:r>
      <w:r w:rsidRPr="002A7F74">
        <w:rPr>
          <w:rFonts w:ascii="Times New Roman" w:hAnsi="Times New Roman" w:cs="Times New Roman"/>
          <w:sz w:val="24"/>
          <w:szCs w:val="24"/>
          <w:lang w:val="pt-BR"/>
        </w:rPr>
        <w:t>ro de 201</w:t>
      </w:r>
      <w:r w:rsidR="00C435BC" w:rsidRPr="002A7F74">
        <w:rPr>
          <w:rFonts w:ascii="Times New Roman" w:hAnsi="Times New Roman" w:cs="Times New Roman"/>
          <w:sz w:val="24"/>
          <w:szCs w:val="24"/>
          <w:lang w:val="pt-BR"/>
        </w:rPr>
        <w:t>5</w:t>
      </w:r>
      <w:r w:rsidRPr="002A7F74">
        <w:rPr>
          <w:rFonts w:ascii="Times New Roman" w:hAnsi="Times New Roman" w:cs="Times New Roman"/>
          <w:sz w:val="24"/>
          <w:szCs w:val="24"/>
          <w:lang w:val="pt-BR"/>
        </w:rPr>
        <w:t xml:space="preserve"> e </w:t>
      </w:r>
      <w:r w:rsidR="00C435BC" w:rsidRPr="002A7F74">
        <w:rPr>
          <w:rFonts w:ascii="Times New Roman" w:hAnsi="Times New Roman" w:cs="Times New Roman"/>
          <w:sz w:val="24"/>
          <w:szCs w:val="24"/>
          <w:lang w:val="pt-BR"/>
        </w:rPr>
        <w:t>6</w:t>
      </w:r>
      <w:r w:rsidRPr="002A7F74">
        <w:rPr>
          <w:rFonts w:ascii="Times New Roman" w:hAnsi="Times New Roman" w:cs="Times New Roman"/>
          <w:sz w:val="24"/>
          <w:szCs w:val="24"/>
          <w:lang w:val="pt-BR"/>
        </w:rPr>
        <w:t xml:space="preserve"> de </w:t>
      </w:r>
      <w:r w:rsidR="00C435BC" w:rsidRPr="002A7F74">
        <w:rPr>
          <w:rFonts w:ascii="Times New Roman" w:hAnsi="Times New Roman" w:cs="Times New Roman"/>
          <w:sz w:val="24"/>
          <w:szCs w:val="24"/>
          <w:lang w:val="pt-BR"/>
        </w:rPr>
        <w:t>maio</w:t>
      </w:r>
      <w:r w:rsidRPr="002A7F74">
        <w:rPr>
          <w:rFonts w:ascii="Times New Roman" w:hAnsi="Times New Roman" w:cs="Times New Roman"/>
          <w:sz w:val="24"/>
          <w:szCs w:val="24"/>
          <w:lang w:val="pt-BR"/>
        </w:rPr>
        <w:t xml:space="preserve"> de 2015</w:t>
      </w:r>
      <w:r w:rsidR="00C435BC" w:rsidRPr="002A7F74">
        <w:rPr>
          <w:rFonts w:ascii="Times New Roman" w:hAnsi="Times New Roman" w:cs="Times New Roman"/>
          <w:sz w:val="24"/>
          <w:szCs w:val="24"/>
          <w:lang w:val="pt-BR"/>
        </w:rPr>
        <w:t xml:space="preserve">, e teve como objeto a minuta de instrução sobre oferta pública de distribuição de nota promissória (“Minuta”), </w:t>
      </w:r>
      <w:r w:rsidR="008021FC" w:rsidRPr="002A7F74">
        <w:rPr>
          <w:rFonts w:ascii="Times New Roman" w:hAnsi="Times New Roman" w:cs="Times New Roman"/>
          <w:sz w:val="24"/>
          <w:szCs w:val="24"/>
          <w:lang w:val="pt-BR"/>
        </w:rPr>
        <w:t>propondo ainda a revogação d</w:t>
      </w:r>
      <w:r w:rsidR="00C435BC" w:rsidRPr="002A7F74">
        <w:rPr>
          <w:rFonts w:ascii="Times New Roman" w:hAnsi="Times New Roman" w:cs="Times New Roman"/>
          <w:sz w:val="24"/>
          <w:szCs w:val="24"/>
          <w:lang w:val="pt-BR"/>
        </w:rPr>
        <w:t xml:space="preserve">a Instrução CVM nº 134, de 1° de novembro de 1990, </w:t>
      </w:r>
      <w:r w:rsidR="008021FC" w:rsidRPr="002A7F74">
        <w:rPr>
          <w:rFonts w:ascii="Times New Roman" w:hAnsi="Times New Roman" w:cs="Times New Roman"/>
          <w:sz w:val="24"/>
          <w:szCs w:val="24"/>
          <w:lang w:val="pt-BR"/>
        </w:rPr>
        <w:t>d</w:t>
      </w:r>
      <w:r w:rsidR="00C435BC" w:rsidRPr="002A7F74">
        <w:rPr>
          <w:rFonts w:ascii="Times New Roman" w:hAnsi="Times New Roman" w:cs="Times New Roman"/>
          <w:sz w:val="24"/>
          <w:szCs w:val="24"/>
          <w:lang w:val="pt-BR"/>
        </w:rPr>
        <w:t xml:space="preserve">a Instrução CVM nº 155, de 7 de agosto de 1991, </w:t>
      </w:r>
      <w:r w:rsidR="008021FC" w:rsidRPr="002A7F74">
        <w:rPr>
          <w:rFonts w:ascii="Times New Roman" w:hAnsi="Times New Roman" w:cs="Times New Roman"/>
          <w:sz w:val="24"/>
          <w:szCs w:val="24"/>
          <w:lang w:val="pt-BR"/>
        </w:rPr>
        <w:t>d</w:t>
      </w:r>
      <w:r w:rsidR="00C435BC" w:rsidRPr="002A7F74">
        <w:rPr>
          <w:rFonts w:ascii="Times New Roman" w:hAnsi="Times New Roman" w:cs="Times New Roman"/>
          <w:sz w:val="24"/>
          <w:szCs w:val="24"/>
          <w:lang w:val="pt-BR"/>
        </w:rPr>
        <w:t xml:space="preserve">a Instrução CVM nº 422, de 20 de setembro de 2005, e </w:t>
      </w:r>
      <w:r w:rsidR="008021FC" w:rsidRPr="002A7F74">
        <w:rPr>
          <w:rFonts w:ascii="Times New Roman" w:hAnsi="Times New Roman" w:cs="Times New Roman"/>
          <w:sz w:val="24"/>
          <w:szCs w:val="24"/>
          <w:lang w:val="pt-BR"/>
        </w:rPr>
        <w:t>d</w:t>
      </w:r>
      <w:r w:rsidR="00C435BC" w:rsidRPr="002A7F74">
        <w:rPr>
          <w:rFonts w:ascii="Times New Roman" w:hAnsi="Times New Roman" w:cs="Times New Roman"/>
          <w:sz w:val="24"/>
          <w:szCs w:val="24"/>
          <w:lang w:val="pt-BR"/>
        </w:rPr>
        <w:t>a Instrução CVM nº 429, de 22 de março de 2006</w:t>
      </w:r>
      <w:r w:rsidRPr="002A7F74">
        <w:rPr>
          <w:rFonts w:ascii="Times New Roman" w:hAnsi="Times New Roman" w:cs="Times New Roman"/>
          <w:sz w:val="24"/>
          <w:szCs w:val="24"/>
          <w:lang w:val="pt-BR"/>
        </w:rPr>
        <w:t>.</w:t>
      </w:r>
    </w:p>
    <w:p w:rsidR="00D9084C" w:rsidRPr="002A7F74" w:rsidRDefault="005607BA" w:rsidP="00A93F2F">
      <w:pPr>
        <w:pStyle w:val="CorpoA"/>
        <w:spacing w:after="0" w:line="312" w:lineRule="auto"/>
        <w:ind w:firstLine="709"/>
        <w:jc w:val="both"/>
        <w:rPr>
          <w:rFonts w:ascii="Times New Roman" w:hAnsi="Times New Roman" w:cs="Times New Roman"/>
          <w:sz w:val="24"/>
          <w:szCs w:val="24"/>
          <w:lang w:val="pt-BR"/>
        </w:rPr>
      </w:pPr>
      <w:r w:rsidRPr="002A7F74">
        <w:rPr>
          <w:rFonts w:ascii="Times New Roman" w:hAnsi="Times New Roman" w:cs="Times New Roman"/>
          <w:sz w:val="24"/>
          <w:szCs w:val="24"/>
          <w:lang w:val="pt-BR"/>
        </w:rPr>
        <w:t xml:space="preserve"> </w:t>
      </w:r>
    </w:p>
    <w:p w:rsidR="00C435BC" w:rsidRPr="002A7F74" w:rsidRDefault="00C435BC" w:rsidP="00A93F2F">
      <w:pPr>
        <w:pStyle w:val="CorpoA"/>
        <w:spacing w:after="0" w:line="312" w:lineRule="auto"/>
        <w:ind w:firstLine="709"/>
        <w:jc w:val="both"/>
        <w:rPr>
          <w:rFonts w:ascii="Times New Roman" w:hAnsi="Times New Roman" w:cs="Times New Roman"/>
          <w:sz w:val="24"/>
          <w:szCs w:val="24"/>
          <w:lang w:val="pt-BR"/>
        </w:rPr>
      </w:pPr>
      <w:r w:rsidRPr="002A7F74">
        <w:rPr>
          <w:rFonts w:ascii="Times New Roman" w:hAnsi="Times New Roman" w:cs="Times New Roman"/>
          <w:sz w:val="24"/>
          <w:szCs w:val="24"/>
          <w:lang w:val="pt-BR"/>
        </w:rPr>
        <w:t>A proposta é consolidar e conferir um tratamento unitário às disposições relativas à oferta pública de distribuição das notas promissórias, por vezes também referidas como notas comerciais ou notas promissórias comerciais. Essa atualização é parte do constante esforço de aperfeiçoamento da regulamentação e decorre de um processo natural de evolução do mercado de valores mobiliários.</w:t>
      </w:r>
    </w:p>
    <w:p w:rsidR="00C435BC" w:rsidRPr="002A7F74" w:rsidRDefault="00C435BC" w:rsidP="00A93F2F">
      <w:pPr>
        <w:pStyle w:val="CorpoA"/>
        <w:spacing w:after="0" w:line="312" w:lineRule="auto"/>
        <w:ind w:firstLine="709"/>
        <w:jc w:val="both"/>
        <w:rPr>
          <w:rFonts w:ascii="Times New Roman" w:hAnsi="Times New Roman" w:cs="Times New Roman"/>
          <w:sz w:val="24"/>
          <w:szCs w:val="24"/>
          <w:lang w:val="pt-BR"/>
        </w:rPr>
      </w:pPr>
    </w:p>
    <w:p w:rsidR="00D9084C" w:rsidRPr="002A7F74" w:rsidRDefault="005607BA" w:rsidP="00A93F2F">
      <w:pPr>
        <w:pStyle w:val="CorpoA"/>
        <w:spacing w:after="0" w:line="312" w:lineRule="auto"/>
        <w:ind w:firstLine="709"/>
        <w:jc w:val="both"/>
        <w:rPr>
          <w:rFonts w:ascii="Times New Roman" w:hAnsi="Times New Roman" w:cs="Times New Roman"/>
          <w:sz w:val="24"/>
          <w:szCs w:val="24"/>
          <w:lang w:val="pt-BR"/>
        </w:rPr>
      </w:pPr>
      <w:r w:rsidRPr="002A7F74">
        <w:rPr>
          <w:rFonts w:ascii="Times New Roman" w:hAnsi="Times New Roman" w:cs="Times New Roman"/>
          <w:sz w:val="24"/>
          <w:szCs w:val="24"/>
          <w:lang w:val="pt-BR"/>
        </w:rPr>
        <w:t>Para melhor descrever e comentar as manifestações dos participantes, este relatório é dividido da seguinte forma: (i) introdução; (ii) participantes; (iii) comentários; e (iv) proposta definitiva de instrução.</w:t>
      </w:r>
    </w:p>
    <w:p w:rsidR="002276AD" w:rsidRPr="002A7F74" w:rsidRDefault="002276AD" w:rsidP="00A93F2F">
      <w:pPr>
        <w:pStyle w:val="CorpoA"/>
        <w:spacing w:after="0" w:line="312" w:lineRule="auto"/>
        <w:ind w:firstLine="709"/>
        <w:jc w:val="both"/>
        <w:rPr>
          <w:rFonts w:ascii="Times New Roman" w:hAnsi="Times New Roman" w:cs="Times New Roman"/>
          <w:sz w:val="24"/>
          <w:szCs w:val="24"/>
          <w:lang w:val="pt-BR"/>
        </w:rPr>
      </w:pPr>
    </w:p>
    <w:p w:rsidR="002276AD" w:rsidRPr="002A7F74" w:rsidRDefault="002276AD" w:rsidP="00A93F2F">
      <w:pPr>
        <w:pStyle w:val="CorpoA"/>
        <w:spacing w:after="0" w:line="312" w:lineRule="auto"/>
        <w:ind w:firstLine="709"/>
        <w:jc w:val="both"/>
        <w:rPr>
          <w:rFonts w:ascii="Times New Roman" w:eastAsia="Times New Roman" w:hAnsi="Times New Roman" w:cs="Times New Roman"/>
          <w:sz w:val="24"/>
          <w:szCs w:val="24"/>
          <w:lang w:val="pt-BR"/>
        </w:rPr>
      </w:pPr>
      <w:r w:rsidRPr="002A7F74">
        <w:rPr>
          <w:rFonts w:ascii="Times New Roman" w:hAnsi="Times New Roman" w:cs="Times New Roman"/>
          <w:sz w:val="24"/>
          <w:szCs w:val="24"/>
          <w:lang w:val="pt-BR"/>
        </w:rPr>
        <w:t>Os itens são citados neste documento de acordo com a numeração constante da Minuta, divulgada no edital de audiência pública. Essa numeração não necessariamente coincide com o texto final resultante dos comentários e sugestões recebidos nesta audiência.</w:t>
      </w:r>
    </w:p>
    <w:p w:rsidR="00D9084C" w:rsidRPr="002A7F74" w:rsidRDefault="00D9084C" w:rsidP="00A93F2F">
      <w:pPr>
        <w:pStyle w:val="CorpoA"/>
        <w:spacing w:after="0" w:line="312" w:lineRule="auto"/>
        <w:ind w:firstLine="709"/>
        <w:jc w:val="both"/>
        <w:rPr>
          <w:rFonts w:ascii="Times New Roman" w:eastAsia="Times New Roman" w:hAnsi="Times New Roman" w:cs="Times New Roman"/>
          <w:sz w:val="24"/>
          <w:szCs w:val="24"/>
          <w:lang w:val="pt-BR"/>
        </w:rPr>
      </w:pPr>
    </w:p>
    <w:p w:rsidR="00D9084C" w:rsidRPr="002A7F74" w:rsidRDefault="005607BA" w:rsidP="00A93F2F">
      <w:pPr>
        <w:pStyle w:val="CorpoA"/>
        <w:spacing w:after="0" w:line="312" w:lineRule="auto"/>
        <w:ind w:firstLine="709"/>
        <w:jc w:val="both"/>
        <w:rPr>
          <w:rFonts w:ascii="Times New Roman" w:hAnsi="Times New Roman" w:cs="Times New Roman"/>
          <w:sz w:val="24"/>
          <w:szCs w:val="24"/>
          <w:lang w:val="pt-BR"/>
        </w:rPr>
      </w:pPr>
      <w:r w:rsidRPr="002A7F74">
        <w:rPr>
          <w:rFonts w:ascii="Times New Roman" w:hAnsi="Times New Roman" w:cs="Times New Roman"/>
          <w:sz w:val="24"/>
          <w:szCs w:val="24"/>
          <w:lang w:val="pt-BR"/>
        </w:rPr>
        <w:t>Como as manifestações recebidas pela CVM durante o processo de audiência pública se encontram disponíveis na íntegra na sua página na rede mundial de computadores</w:t>
      </w:r>
      <w:r w:rsidRPr="002A7F74">
        <w:rPr>
          <w:rFonts w:ascii="Times New Roman" w:eastAsia="Times New Roman" w:hAnsi="Times New Roman" w:cs="Times New Roman"/>
          <w:sz w:val="24"/>
          <w:szCs w:val="24"/>
          <w:vertAlign w:val="superscript"/>
          <w:lang w:val="pt-BR"/>
        </w:rPr>
        <w:footnoteReference w:id="2"/>
      </w:r>
      <w:r w:rsidRPr="002A7F74">
        <w:rPr>
          <w:rFonts w:ascii="Times New Roman" w:hAnsi="Times New Roman" w:cs="Times New Roman"/>
          <w:sz w:val="24"/>
          <w:szCs w:val="24"/>
          <w:lang w:val="pt-BR"/>
        </w:rPr>
        <w:t>, todos os comentários e sugestões enviados tempestivamente são citados neste relatório de forma resumida.</w:t>
      </w:r>
      <w:r w:rsidR="002276AD" w:rsidRPr="002A7F74">
        <w:rPr>
          <w:rFonts w:ascii="Times New Roman" w:hAnsi="Times New Roman" w:cs="Times New Roman"/>
          <w:sz w:val="24"/>
          <w:szCs w:val="24"/>
          <w:lang w:val="pt-BR"/>
        </w:rPr>
        <w:t xml:space="preserve"> Sugestões de alteração </w:t>
      </w:r>
      <w:r w:rsidR="00AD75B1" w:rsidRPr="002A7F74">
        <w:rPr>
          <w:rFonts w:ascii="Times New Roman" w:hAnsi="Times New Roman" w:cs="Times New Roman"/>
          <w:sz w:val="24"/>
          <w:szCs w:val="24"/>
          <w:lang w:val="pt-BR"/>
        </w:rPr>
        <w:t>ortográfica</w:t>
      </w:r>
      <w:r w:rsidR="000D6065" w:rsidRPr="002A7F74">
        <w:rPr>
          <w:rFonts w:ascii="Times New Roman" w:hAnsi="Times New Roman" w:cs="Times New Roman"/>
          <w:sz w:val="24"/>
          <w:szCs w:val="24"/>
          <w:lang w:val="pt-BR"/>
        </w:rPr>
        <w:t xml:space="preserve"> e ajustes meramente redacionais não são relatados no presente relatório, mas foram levados em consideração na revisão final da Instrução.</w:t>
      </w:r>
    </w:p>
    <w:p w:rsidR="00D9084C" w:rsidRPr="002A7F74" w:rsidRDefault="00D9084C" w:rsidP="000D6065">
      <w:pPr>
        <w:pStyle w:val="CorpoA"/>
        <w:spacing w:after="0" w:line="312" w:lineRule="auto"/>
        <w:jc w:val="both"/>
        <w:rPr>
          <w:rFonts w:ascii="Times New Roman" w:eastAsia="Times New Roman" w:hAnsi="Times New Roman" w:cs="Times New Roman"/>
          <w:sz w:val="24"/>
          <w:szCs w:val="24"/>
          <w:lang w:val="pt-BR"/>
        </w:rPr>
      </w:pPr>
    </w:p>
    <w:p w:rsidR="00D9084C" w:rsidRPr="002A7F74" w:rsidRDefault="005607BA" w:rsidP="00A93F2F">
      <w:pPr>
        <w:pStyle w:val="CorpoA"/>
        <w:spacing w:after="0" w:line="312" w:lineRule="auto"/>
        <w:ind w:firstLine="709"/>
        <w:jc w:val="both"/>
        <w:rPr>
          <w:rFonts w:ascii="Times New Roman" w:eastAsia="Times New Roman" w:hAnsi="Times New Roman" w:cs="Times New Roman"/>
          <w:sz w:val="24"/>
          <w:szCs w:val="24"/>
          <w:lang w:val="pt-BR"/>
        </w:rPr>
      </w:pPr>
      <w:r w:rsidRPr="002A7F74">
        <w:rPr>
          <w:rFonts w:ascii="Times New Roman" w:hAnsi="Times New Roman" w:cs="Times New Roman"/>
          <w:sz w:val="24"/>
          <w:szCs w:val="24"/>
          <w:lang w:val="pt-BR"/>
        </w:rPr>
        <w:t xml:space="preserve">Este relatório foi elaborado pela Superintendência de Desenvolvimento de Mercado – SDM, com o objetivo de apresentar ao Colegiado da CVM as sugestões recebidas na Audiência Pública nº </w:t>
      </w:r>
      <w:r w:rsidR="00C435BC" w:rsidRPr="002A7F74">
        <w:rPr>
          <w:rFonts w:ascii="Times New Roman" w:hAnsi="Times New Roman" w:cs="Times New Roman"/>
          <w:sz w:val="24"/>
          <w:szCs w:val="24"/>
          <w:lang w:val="pt-BR"/>
        </w:rPr>
        <w:t>01</w:t>
      </w:r>
      <w:r w:rsidRPr="002A7F74">
        <w:rPr>
          <w:rFonts w:ascii="Times New Roman" w:hAnsi="Times New Roman" w:cs="Times New Roman"/>
          <w:sz w:val="24"/>
          <w:szCs w:val="24"/>
          <w:lang w:val="pt-BR"/>
        </w:rPr>
        <w:t>/201</w:t>
      </w:r>
      <w:r w:rsidR="00C435BC" w:rsidRPr="002A7F74">
        <w:rPr>
          <w:rFonts w:ascii="Times New Roman" w:hAnsi="Times New Roman" w:cs="Times New Roman"/>
          <w:sz w:val="24"/>
          <w:szCs w:val="24"/>
          <w:lang w:val="pt-BR"/>
        </w:rPr>
        <w:t>5</w:t>
      </w:r>
      <w:r w:rsidRPr="002A7F74">
        <w:rPr>
          <w:rFonts w:ascii="Times New Roman" w:hAnsi="Times New Roman" w:cs="Times New Roman"/>
          <w:sz w:val="24"/>
          <w:szCs w:val="24"/>
          <w:lang w:val="pt-BR"/>
        </w:rPr>
        <w:t>.</w:t>
      </w:r>
    </w:p>
    <w:p w:rsidR="00D9084C" w:rsidRPr="002A7F74" w:rsidRDefault="00D9084C" w:rsidP="00A93F2F">
      <w:pPr>
        <w:pStyle w:val="CorpoA"/>
        <w:spacing w:after="0" w:line="312" w:lineRule="auto"/>
        <w:ind w:firstLine="709"/>
        <w:jc w:val="both"/>
        <w:rPr>
          <w:rFonts w:ascii="Times New Roman" w:eastAsia="Times New Roman" w:hAnsi="Times New Roman" w:cs="Times New Roman"/>
          <w:sz w:val="24"/>
          <w:szCs w:val="24"/>
          <w:lang w:val="pt-BR"/>
        </w:rPr>
      </w:pPr>
    </w:p>
    <w:p w:rsidR="00D9084C" w:rsidRPr="002A7F74" w:rsidRDefault="005607BA" w:rsidP="00A93F2F">
      <w:pPr>
        <w:pStyle w:val="Ttulo1"/>
        <w:tabs>
          <w:tab w:val="clear" w:pos="851"/>
        </w:tabs>
        <w:spacing w:before="0" w:line="312" w:lineRule="auto"/>
        <w:rPr>
          <w:b w:val="0"/>
          <w:bCs w:val="0"/>
          <w:lang w:val="pt-BR"/>
        </w:rPr>
      </w:pPr>
      <w:r w:rsidRPr="002A7F74">
        <w:rPr>
          <w:lang w:val="pt-BR"/>
        </w:rPr>
        <w:t>2.</w:t>
      </w:r>
      <w:r w:rsidRPr="002A7F74">
        <w:rPr>
          <w:b w:val="0"/>
          <w:bCs w:val="0"/>
          <w:lang w:val="pt-BR"/>
        </w:rPr>
        <w:tab/>
      </w:r>
      <w:r w:rsidRPr="002A7F74">
        <w:rPr>
          <w:lang w:val="pt-BR"/>
        </w:rPr>
        <w:t>Participantes</w:t>
      </w:r>
      <w:r w:rsidRPr="002A7F74">
        <w:rPr>
          <w:lang w:val="pt-BR"/>
        </w:rPr>
        <w:br/>
      </w:r>
    </w:p>
    <w:p w:rsidR="00D9084C" w:rsidRPr="002A7F74" w:rsidRDefault="005607BA" w:rsidP="00A93F2F">
      <w:pPr>
        <w:pStyle w:val="Default"/>
        <w:numPr>
          <w:ilvl w:val="0"/>
          <w:numId w:val="3"/>
        </w:numPr>
        <w:spacing w:line="312" w:lineRule="auto"/>
        <w:jc w:val="both"/>
        <w:rPr>
          <w:rFonts w:hAnsi="Times New Roman" w:cs="Times New Roman"/>
          <w:lang w:val="pt-BR"/>
        </w:rPr>
      </w:pPr>
      <w:r w:rsidRPr="002A7F74">
        <w:rPr>
          <w:rFonts w:hAnsi="Times New Roman" w:cs="Times New Roman"/>
          <w:lang w:val="pt-BR"/>
        </w:rPr>
        <w:t>Associação Brasileira d</w:t>
      </w:r>
      <w:r w:rsidR="00502F0B" w:rsidRPr="002A7F74">
        <w:rPr>
          <w:rFonts w:hAnsi="Times New Roman" w:cs="Times New Roman"/>
          <w:lang w:val="pt-BR"/>
        </w:rPr>
        <w:t>as Companhias Abertas</w:t>
      </w:r>
      <w:r w:rsidR="004F2376" w:rsidRPr="002A7F74">
        <w:rPr>
          <w:rFonts w:hAnsi="Times New Roman" w:cs="Times New Roman"/>
          <w:lang w:val="pt-BR"/>
        </w:rPr>
        <w:t xml:space="preserve"> – ABRASCA</w:t>
      </w:r>
      <w:r w:rsidR="006044AE" w:rsidRPr="002A7F74">
        <w:rPr>
          <w:rFonts w:hAnsi="Times New Roman" w:cs="Times New Roman"/>
          <w:lang w:val="pt-BR"/>
        </w:rPr>
        <w:t xml:space="preserve"> (“ABRASCA”)</w:t>
      </w:r>
      <w:r w:rsidRPr="002A7F74">
        <w:rPr>
          <w:rFonts w:hAnsi="Times New Roman" w:cs="Times New Roman"/>
          <w:lang w:val="pt-BR"/>
        </w:rPr>
        <w:t>;</w:t>
      </w:r>
    </w:p>
    <w:p w:rsidR="00D9084C" w:rsidRPr="002A7F74" w:rsidRDefault="005607BA" w:rsidP="00A93F2F">
      <w:pPr>
        <w:pStyle w:val="Default"/>
        <w:numPr>
          <w:ilvl w:val="0"/>
          <w:numId w:val="3"/>
        </w:numPr>
        <w:spacing w:line="312" w:lineRule="auto"/>
        <w:jc w:val="both"/>
        <w:rPr>
          <w:rFonts w:hAnsi="Times New Roman" w:cs="Times New Roman"/>
          <w:lang w:val="pt-BR"/>
        </w:rPr>
      </w:pPr>
      <w:r w:rsidRPr="002A7F74">
        <w:rPr>
          <w:rFonts w:hAnsi="Times New Roman" w:cs="Times New Roman"/>
          <w:lang w:val="pt-BR"/>
        </w:rPr>
        <w:t>Associação Brasileira das Entidades dos Mercados Financeiro e de Capitais</w:t>
      </w:r>
      <w:r w:rsidR="004F2376" w:rsidRPr="002A7F74">
        <w:rPr>
          <w:rFonts w:hAnsi="Times New Roman" w:cs="Times New Roman"/>
          <w:lang w:val="pt-BR"/>
        </w:rPr>
        <w:t xml:space="preserve"> – ANBIMA</w:t>
      </w:r>
      <w:r w:rsidR="006044AE" w:rsidRPr="002A7F74">
        <w:rPr>
          <w:rFonts w:hAnsi="Times New Roman" w:cs="Times New Roman"/>
          <w:lang w:val="pt-BR"/>
        </w:rPr>
        <w:t xml:space="preserve"> (“ANBIMA”)</w:t>
      </w:r>
      <w:r w:rsidRPr="002A7F74">
        <w:rPr>
          <w:rFonts w:hAnsi="Times New Roman" w:cs="Times New Roman"/>
          <w:lang w:val="pt-BR"/>
        </w:rPr>
        <w:t>;</w:t>
      </w:r>
    </w:p>
    <w:p w:rsidR="00D9084C" w:rsidRPr="002A7F74" w:rsidRDefault="005607BA" w:rsidP="00A93F2F">
      <w:pPr>
        <w:pStyle w:val="Default"/>
        <w:numPr>
          <w:ilvl w:val="0"/>
          <w:numId w:val="3"/>
        </w:numPr>
        <w:spacing w:line="312" w:lineRule="auto"/>
        <w:jc w:val="both"/>
        <w:rPr>
          <w:rFonts w:hAnsi="Times New Roman" w:cs="Times New Roman"/>
          <w:lang w:val="pt-BR"/>
        </w:rPr>
      </w:pPr>
      <w:r w:rsidRPr="002A7F74">
        <w:rPr>
          <w:rFonts w:hAnsi="Times New Roman" w:cs="Times New Roman"/>
          <w:lang w:val="pt-BR"/>
        </w:rPr>
        <w:t xml:space="preserve">BM&amp;FBOVESPA S.A. </w:t>
      </w:r>
      <w:r w:rsidR="006044AE" w:rsidRPr="002A7F74">
        <w:rPr>
          <w:rFonts w:hAnsi="Times New Roman" w:cs="Times New Roman"/>
          <w:lang w:val="pt-BR"/>
        </w:rPr>
        <w:t>–</w:t>
      </w:r>
      <w:r w:rsidRPr="002A7F74">
        <w:rPr>
          <w:rFonts w:hAnsi="Times New Roman" w:cs="Times New Roman"/>
          <w:lang w:val="pt-BR"/>
        </w:rPr>
        <w:t xml:space="preserve"> Bolsa de Valores, Mercadorias e Futuros</w:t>
      </w:r>
      <w:r w:rsidR="006044AE" w:rsidRPr="002A7F74">
        <w:rPr>
          <w:rFonts w:hAnsi="Times New Roman" w:cs="Times New Roman"/>
          <w:lang w:val="pt-BR"/>
        </w:rPr>
        <w:t xml:space="preserve"> (“BM&amp;FBOVESPA”)</w:t>
      </w:r>
      <w:r w:rsidRPr="002A7F74">
        <w:rPr>
          <w:rFonts w:hAnsi="Times New Roman" w:cs="Times New Roman"/>
          <w:lang w:val="pt-BR"/>
        </w:rPr>
        <w:t>;</w:t>
      </w:r>
    </w:p>
    <w:p w:rsidR="00502F0B" w:rsidRPr="002A7F74" w:rsidRDefault="00D7245E" w:rsidP="00A93F2F">
      <w:pPr>
        <w:pStyle w:val="Default"/>
        <w:numPr>
          <w:ilvl w:val="0"/>
          <w:numId w:val="3"/>
        </w:numPr>
        <w:spacing w:line="312" w:lineRule="auto"/>
        <w:jc w:val="both"/>
        <w:rPr>
          <w:rFonts w:hAnsi="Times New Roman" w:cs="Times New Roman"/>
          <w:lang w:val="pt-BR"/>
        </w:rPr>
      </w:pPr>
      <w:r w:rsidRPr="002A7F74">
        <w:rPr>
          <w:rFonts w:hAnsi="Times New Roman" w:cs="Times New Roman"/>
          <w:lang w:val="pt-BR"/>
        </w:rPr>
        <w:t xml:space="preserve">CETIP </w:t>
      </w:r>
      <w:r w:rsidR="00502F0B" w:rsidRPr="002A7F74">
        <w:rPr>
          <w:rFonts w:hAnsi="Times New Roman" w:cs="Times New Roman"/>
          <w:lang w:val="pt-BR"/>
        </w:rPr>
        <w:t>S.A. – Mercados Organizados</w:t>
      </w:r>
      <w:r w:rsidR="006044AE" w:rsidRPr="002A7F74">
        <w:rPr>
          <w:rFonts w:hAnsi="Times New Roman" w:cs="Times New Roman"/>
          <w:lang w:val="pt-BR"/>
        </w:rPr>
        <w:t xml:space="preserve"> (“CETIP”)</w:t>
      </w:r>
    </w:p>
    <w:p w:rsidR="00D9084C" w:rsidRPr="002A7F74" w:rsidRDefault="005607BA" w:rsidP="00A93F2F">
      <w:pPr>
        <w:pStyle w:val="Default"/>
        <w:numPr>
          <w:ilvl w:val="0"/>
          <w:numId w:val="3"/>
        </w:numPr>
        <w:spacing w:line="312" w:lineRule="auto"/>
        <w:jc w:val="both"/>
        <w:rPr>
          <w:rFonts w:eastAsia="Times New Roman" w:hAnsi="Times New Roman" w:cs="Times New Roman"/>
          <w:lang w:val="pt-BR"/>
        </w:rPr>
      </w:pPr>
      <w:r w:rsidRPr="002A7F74">
        <w:rPr>
          <w:rFonts w:hAnsi="Times New Roman" w:cs="Times New Roman"/>
          <w:lang w:val="pt-BR"/>
        </w:rPr>
        <w:t>Lanna Ribeiro, Carneiro de Souza &amp; Fragoso Pires Advogados (“LCCF”);</w:t>
      </w:r>
    </w:p>
    <w:p w:rsidR="00D9084C" w:rsidRPr="002A7F74" w:rsidRDefault="00596454" w:rsidP="00A93F2F">
      <w:pPr>
        <w:pStyle w:val="Default"/>
        <w:numPr>
          <w:ilvl w:val="0"/>
          <w:numId w:val="3"/>
        </w:numPr>
        <w:spacing w:line="312" w:lineRule="auto"/>
        <w:jc w:val="both"/>
        <w:rPr>
          <w:rFonts w:hAnsi="Times New Roman" w:cs="Times New Roman"/>
          <w:lang w:val="pt-BR"/>
        </w:rPr>
      </w:pPr>
      <w:r w:rsidRPr="002A7F74">
        <w:rPr>
          <w:rFonts w:hAnsi="Times New Roman" w:cs="Times New Roman"/>
          <w:lang w:val="pt-BR"/>
        </w:rPr>
        <w:t xml:space="preserve">Marco Aurelio Maestrelli da Silva </w:t>
      </w:r>
      <w:r w:rsidR="006044AE" w:rsidRPr="002A7F74">
        <w:rPr>
          <w:rFonts w:hAnsi="Times New Roman" w:cs="Times New Roman"/>
          <w:lang w:val="pt-BR"/>
        </w:rPr>
        <w:t>–</w:t>
      </w:r>
      <w:r w:rsidR="00502F0B" w:rsidRPr="002A7F74">
        <w:rPr>
          <w:rFonts w:hAnsi="Times New Roman" w:cs="Times New Roman"/>
          <w:lang w:val="pt-BR"/>
        </w:rPr>
        <w:t xml:space="preserve"> Companhia Paranaense de Energia</w:t>
      </w:r>
      <w:r w:rsidRPr="002A7F74">
        <w:rPr>
          <w:rFonts w:hAnsi="Times New Roman" w:cs="Times New Roman"/>
          <w:lang w:val="pt-BR"/>
        </w:rPr>
        <w:t xml:space="preserve"> (</w:t>
      </w:r>
      <w:r w:rsidR="006044AE" w:rsidRPr="002A7F74">
        <w:rPr>
          <w:rFonts w:hAnsi="Times New Roman" w:cs="Times New Roman"/>
          <w:lang w:val="pt-BR"/>
        </w:rPr>
        <w:t>“</w:t>
      </w:r>
      <w:r w:rsidRPr="002A7F74">
        <w:rPr>
          <w:rFonts w:hAnsi="Times New Roman" w:cs="Times New Roman"/>
          <w:lang w:val="pt-BR"/>
        </w:rPr>
        <w:t>COPEL</w:t>
      </w:r>
      <w:r w:rsidR="006044AE" w:rsidRPr="002A7F74">
        <w:rPr>
          <w:rFonts w:hAnsi="Times New Roman" w:cs="Times New Roman"/>
          <w:lang w:val="pt-BR"/>
        </w:rPr>
        <w:t>”</w:t>
      </w:r>
      <w:r w:rsidRPr="002A7F74">
        <w:rPr>
          <w:rFonts w:hAnsi="Times New Roman" w:cs="Times New Roman"/>
          <w:lang w:val="pt-BR"/>
        </w:rPr>
        <w:t>)</w:t>
      </w:r>
      <w:r w:rsidR="00502F0B" w:rsidRPr="002A7F74">
        <w:rPr>
          <w:rFonts w:hAnsi="Times New Roman" w:cs="Times New Roman"/>
          <w:lang w:val="pt-BR"/>
        </w:rPr>
        <w:t xml:space="preserve">; </w:t>
      </w:r>
    </w:p>
    <w:p w:rsidR="00502F0B" w:rsidRPr="002A7F74" w:rsidRDefault="00502F0B" w:rsidP="00A93F2F">
      <w:pPr>
        <w:pStyle w:val="Default"/>
        <w:numPr>
          <w:ilvl w:val="0"/>
          <w:numId w:val="3"/>
        </w:numPr>
        <w:spacing w:line="312" w:lineRule="auto"/>
        <w:jc w:val="both"/>
        <w:rPr>
          <w:rFonts w:hAnsi="Times New Roman" w:cs="Times New Roman"/>
          <w:lang w:val="pt-BR"/>
        </w:rPr>
      </w:pPr>
      <w:r w:rsidRPr="002A7F74">
        <w:rPr>
          <w:rFonts w:hAnsi="Times New Roman" w:cs="Times New Roman"/>
          <w:lang w:val="pt-BR"/>
        </w:rPr>
        <w:t>Pinheiro Guimarães</w:t>
      </w:r>
      <w:r w:rsidR="005607BA" w:rsidRPr="002A7F74">
        <w:rPr>
          <w:rFonts w:hAnsi="Times New Roman" w:cs="Times New Roman"/>
          <w:lang w:val="pt-BR"/>
        </w:rPr>
        <w:t xml:space="preserve"> Advogados (“</w:t>
      </w:r>
      <w:r w:rsidR="00F2448F" w:rsidRPr="002A7F74">
        <w:rPr>
          <w:rFonts w:hAnsi="Times New Roman" w:cs="Times New Roman"/>
          <w:lang w:val="pt-BR"/>
        </w:rPr>
        <w:t>Pinheiro Guimarães</w:t>
      </w:r>
      <w:r w:rsidR="005607BA" w:rsidRPr="002A7F74">
        <w:rPr>
          <w:rFonts w:hAnsi="Times New Roman" w:cs="Times New Roman"/>
          <w:lang w:val="pt-BR"/>
        </w:rPr>
        <w:t>”)</w:t>
      </w:r>
      <w:r w:rsidRPr="002A7F74">
        <w:rPr>
          <w:rFonts w:hAnsi="Times New Roman" w:cs="Times New Roman"/>
          <w:lang w:val="pt-BR"/>
        </w:rPr>
        <w:t>;</w:t>
      </w:r>
    </w:p>
    <w:p w:rsidR="00502F0B" w:rsidRPr="002A7F74" w:rsidRDefault="00502F0B" w:rsidP="00A93F2F">
      <w:pPr>
        <w:pStyle w:val="Default"/>
        <w:numPr>
          <w:ilvl w:val="0"/>
          <w:numId w:val="3"/>
        </w:numPr>
        <w:spacing w:line="312" w:lineRule="auto"/>
        <w:jc w:val="both"/>
        <w:rPr>
          <w:rFonts w:hAnsi="Times New Roman" w:cs="Times New Roman"/>
          <w:lang w:val="pt-BR"/>
        </w:rPr>
      </w:pPr>
      <w:r w:rsidRPr="002A7F74">
        <w:rPr>
          <w:rFonts w:hAnsi="Times New Roman" w:cs="Times New Roman"/>
          <w:lang w:val="pt-BR"/>
        </w:rPr>
        <w:t>Salusse, Marangoni, Leite, Parente, Jabur, Klug e Périllier Advogados (“Salusse Marangoni”)</w:t>
      </w:r>
      <w:r w:rsidR="00F04897" w:rsidRPr="002A7F74">
        <w:rPr>
          <w:rFonts w:hAnsi="Times New Roman" w:cs="Times New Roman"/>
          <w:lang w:val="pt-BR"/>
        </w:rPr>
        <w:t>; e</w:t>
      </w:r>
    </w:p>
    <w:p w:rsidR="00D9084C" w:rsidRPr="002A7F74" w:rsidRDefault="00F04897" w:rsidP="00A93F2F">
      <w:pPr>
        <w:pStyle w:val="Default"/>
        <w:numPr>
          <w:ilvl w:val="0"/>
          <w:numId w:val="3"/>
        </w:numPr>
        <w:spacing w:line="312" w:lineRule="auto"/>
        <w:jc w:val="both"/>
        <w:rPr>
          <w:rFonts w:hAnsi="Times New Roman" w:cs="Times New Roman"/>
          <w:lang w:val="pt-BR"/>
        </w:rPr>
      </w:pPr>
      <w:r w:rsidRPr="002A7F74">
        <w:rPr>
          <w:rFonts w:hAnsi="Times New Roman" w:cs="Times New Roman"/>
          <w:lang w:val="pt-BR"/>
        </w:rPr>
        <w:t>Stoc</w:t>
      </w:r>
      <w:r w:rsidR="002A7F74">
        <w:rPr>
          <w:rFonts w:hAnsi="Times New Roman" w:cs="Times New Roman"/>
          <w:lang w:val="pt-BR"/>
        </w:rPr>
        <w:t>c</w:t>
      </w:r>
      <w:r w:rsidRPr="002A7F74">
        <w:rPr>
          <w:rFonts w:hAnsi="Times New Roman" w:cs="Times New Roman"/>
          <w:lang w:val="pt-BR"/>
        </w:rPr>
        <w:t>he, Forbes, Padis, Filizzola, Clápis, Passaro, Meyer e Refinetti Advogados (“</w:t>
      </w:r>
      <w:r w:rsidR="002A7F74">
        <w:rPr>
          <w:rFonts w:hAnsi="Times New Roman" w:cs="Times New Roman"/>
          <w:lang w:val="pt-BR"/>
        </w:rPr>
        <w:t>Stocche</w:t>
      </w:r>
      <w:r w:rsidRPr="002A7F74">
        <w:rPr>
          <w:rFonts w:hAnsi="Times New Roman" w:cs="Times New Roman"/>
          <w:lang w:val="pt-BR"/>
        </w:rPr>
        <w:t xml:space="preserve"> Forbes”)</w:t>
      </w:r>
      <w:r w:rsidR="005607BA" w:rsidRPr="002A7F74">
        <w:rPr>
          <w:rFonts w:hAnsi="Times New Roman" w:cs="Times New Roman"/>
          <w:lang w:val="pt-BR"/>
        </w:rPr>
        <w:t>.</w:t>
      </w:r>
    </w:p>
    <w:p w:rsidR="00D9084C" w:rsidRPr="002A7F74" w:rsidRDefault="00D9084C" w:rsidP="00A93F2F">
      <w:pPr>
        <w:pStyle w:val="Ttulo2"/>
        <w:spacing w:before="0" w:line="312" w:lineRule="auto"/>
        <w:rPr>
          <w:lang w:val="pt-BR"/>
        </w:rPr>
      </w:pPr>
    </w:p>
    <w:p w:rsidR="00D9084C" w:rsidRPr="002A7F74" w:rsidRDefault="005607BA" w:rsidP="00A93F2F">
      <w:pPr>
        <w:pStyle w:val="Ttulo1"/>
        <w:spacing w:before="0" w:line="312" w:lineRule="auto"/>
        <w:rPr>
          <w:lang w:val="pt-BR"/>
        </w:rPr>
      </w:pPr>
      <w:r w:rsidRPr="002A7F74">
        <w:rPr>
          <w:lang w:val="pt-BR"/>
        </w:rPr>
        <w:t>3.</w:t>
      </w:r>
      <w:r w:rsidRPr="002A7F74">
        <w:rPr>
          <w:lang w:val="pt-BR"/>
        </w:rPr>
        <w:tab/>
        <w:t>Comentários</w:t>
      </w:r>
      <w:r w:rsidR="00AA655A" w:rsidRPr="002A7F74">
        <w:rPr>
          <w:lang w:val="pt-BR"/>
        </w:rPr>
        <w:t xml:space="preserve"> à Minuta</w:t>
      </w:r>
    </w:p>
    <w:p w:rsidR="00D9084C" w:rsidRPr="002A7F74" w:rsidRDefault="00D9084C" w:rsidP="00A93F2F">
      <w:pPr>
        <w:pStyle w:val="CorpoA"/>
        <w:spacing w:after="0" w:line="312" w:lineRule="auto"/>
        <w:ind w:firstLine="709"/>
        <w:jc w:val="both"/>
        <w:rPr>
          <w:rFonts w:ascii="Times New Roman" w:eastAsia="Times New Roman" w:hAnsi="Times New Roman" w:cs="Times New Roman"/>
          <w:sz w:val="24"/>
          <w:szCs w:val="24"/>
          <w:lang w:val="pt-BR"/>
        </w:rPr>
      </w:pPr>
    </w:p>
    <w:p w:rsidR="00D9084C" w:rsidRPr="002A7F74" w:rsidRDefault="005607BA" w:rsidP="00A93F2F">
      <w:pPr>
        <w:pStyle w:val="Ttulo2"/>
        <w:spacing w:before="0" w:line="312" w:lineRule="auto"/>
        <w:rPr>
          <w:lang w:val="pt-BR"/>
        </w:rPr>
      </w:pPr>
      <w:r w:rsidRPr="002A7F74">
        <w:rPr>
          <w:lang w:val="pt-BR"/>
        </w:rPr>
        <w:t>3.1.</w:t>
      </w:r>
      <w:r w:rsidRPr="002A7F74">
        <w:rPr>
          <w:lang w:val="pt-BR"/>
        </w:rPr>
        <w:tab/>
        <w:t xml:space="preserve">Comentários </w:t>
      </w:r>
      <w:r w:rsidR="00EF7D56" w:rsidRPr="002A7F74">
        <w:rPr>
          <w:lang w:val="pt-BR"/>
        </w:rPr>
        <w:t>gerais</w:t>
      </w:r>
    </w:p>
    <w:p w:rsidR="00D9084C" w:rsidRPr="002A7F74" w:rsidRDefault="00D9084C" w:rsidP="00A93F2F">
      <w:pPr>
        <w:pStyle w:val="CorpoA"/>
        <w:spacing w:after="0" w:line="312" w:lineRule="auto"/>
        <w:ind w:firstLine="709"/>
        <w:jc w:val="both"/>
        <w:rPr>
          <w:rFonts w:ascii="Times New Roman" w:eastAsia="Times New Roman" w:hAnsi="Times New Roman" w:cs="Times New Roman"/>
          <w:iCs/>
          <w:sz w:val="24"/>
          <w:szCs w:val="24"/>
          <w:lang w:val="pt-BR"/>
        </w:rPr>
      </w:pPr>
    </w:p>
    <w:p w:rsidR="00597912" w:rsidRPr="002A7F74" w:rsidRDefault="00AD75B1" w:rsidP="00A93F2F">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w:t>
      </w:r>
      <w:r w:rsidR="00597912" w:rsidRPr="002A7F74">
        <w:rPr>
          <w:rFonts w:ascii="Times New Roman" w:hAnsi="Times New Roman" w:cs="Times New Roman"/>
          <w:sz w:val="24"/>
          <w:szCs w:val="24"/>
          <w:lang w:val="pt-BR"/>
        </w:rPr>
        <w:t xml:space="preserve">Salusse Marangoni </w:t>
      </w:r>
      <w:r w:rsidR="001D5AAA" w:rsidRPr="002A7F74">
        <w:rPr>
          <w:rFonts w:ascii="Times New Roman" w:hAnsi="Times New Roman" w:cs="Times New Roman"/>
          <w:sz w:val="24"/>
          <w:szCs w:val="24"/>
          <w:lang w:val="pt-BR"/>
        </w:rPr>
        <w:t xml:space="preserve">sugere </w:t>
      </w:r>
      <w:r w:rsidR="004A2E5D" w:rsidRPr="002A7F74">
        <w:rPr>
          <w:rFonts w:ascii="Times New Roman" w:hAnsi="Times New Roman" w:cs="Times New Roman"/>
          <w:sz w:val="24"/>
          <w:szCs w:val="24"/>
          <w:lang w:val="pt-BR"/>
        </w:rPr>
        <w:t>reordenar</w:t>
      </w:r>
      <w:r w:rsidR="00597912" w:rsidRPr="002A7F74">
        <w:rPr>
          <w:rFonts w:ascii="Times New Roman" w:hAnsi="Times New Roman" w:cs="Times New Roman"/>
          <w:sz w:val="24"/>
          <w:szCs w:val="24"/>
          <w:lang w:val="pt-BR"/>
        </w:rPr>
        <w:t xml:space="preserve"> os artigos 3º a 5º da </w:t>
      </w:r>
      <w:r w:rsidR="00A93F2F" w:rsidRPr="002A7F74">
        <w:rPr>
          <w:rFonts w:ascii="Times New Roman" w:hAnsi="Times New Roman" w:cs="Times New Roman"/>
          <w:sz w:val="24"/>
          <w:szCs w:val="24"/>
          <w:lang w:val="pt-BR"/>
        </w:rPr>
        <w:t>M</w:t>
      </w:r>
      <w:r w:rsidR="00597912" w:rsidRPr="002A7F74">
        <w:rPr>
          <w:rFonts w:ascii="Times New Roman" w:hAnsi="Times New Roman" w:cs="Times New Roman"/>
          <w:sz w:val="24"/>
          <w:szCs w:val="24"/>
          <w:lang w:val="pt-BR"/>
        </w:rPr>
        <w:t xml:space="preserve">inuta para seguir </w:t>
      </w:r>
      <w:r w:rsidR="001D5AAA" w:rsidRPr="002A7F74">
        <w:rPr>
          <w:rFonts w:ascii="Times New Roman" w:hAnsi="Times New Roman" w:cs="Times New Roman"/>
          <w:sz w:val="24"/>
          <w:szCs w:val="24"/>
          <w:lang w:val="pt-BR"/>
        </w:rPr>
        <w:t xml:space="preserve">a </w:t>
      </w:r>
      <w:r w:rsidR="00597912" w:rsidRPr="002A7F74">
        <w:rPr>
          <w:rFonts w:ascii="Times New Roman" w:hAnsi="Times New Roman" w:cs="Times New Roman"/>
          <w:sz w:val="24"/>
          <w:szCs w:val="24"/>
          <w:lang w:val="pt-BR"/>
        </w:rPr>
        <w:t>sequência lógica e temporal</w:t>
      </w:r>
      <w:r w:rsidR="004A2E5D" w:rsidRPr="002A7F74">
        <w:rPr>
          <w:rFonts w:ascii="Times New Roman" w:hAnsi="Times New Roman" w:cs="Times New Roman"/>
          <w:sz w:val="24"/>
          <w:szCs w:val="24"/>
          <w:lang w:val="pt-BR"/>
        </w:rPr>
        <w:t xml:space="preserve"> dos títulos</w:t>
      </w:r>
      <w:r w:rsidR="00597912" w:rsidRPr="002A7F74">
        <w:rPr>
          <w:rFonts w:ascii="Times New Roman" w:hAnsi="Times New Roman" w:cs="Times New Roman"/>
          <w:sz w:val="24"/>
          <w:szCs w:val="24"/>
          <w:lang w:val="pt-BR"/>
        </w:rPr>
        <w:t>: emissão – integralização – circulação – vencimento – liquidação.</w:t>
      </w:r>
    </w:p>
    <w:tbl>
      <w:tblPr>
        <w:tblStyle w:val="TableNormal"/>
        <w:tblpPr w:leftFromText="141" w:rightFromText="141" w:vertAnchor="text" w:horzAnchor="margin" w:tblpY="367"/>
        <w:tblW w:w="103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83"/>
      </w:tblGrid>
      <w:tr w:rsidR="00E03B34" w:rsidRPr="00533EEE" w:rsidTr="00E03B34">
        <w:trPr>
          <w:trHeight w:val="383"/>
        </w:trPr>
        <w:tc>
          <w:tcPr>
            <w:tcW w:w="10383"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E03B34" w:rsidRPr="002A7F74" w:rsidRDefault="00E03B34" w:rsidP="00E03B34">
            <w:pPr>
              <w:spacing w:line="312" w:lineRule="auto"/>
              <w:ind w:firstLine="567"/>
              <w:jc w:val="both"/>
              <w:rPr>
                <w:highlight w:val="yellow"/>
                <w:lang w:val="pt-BR"/>
              </w:rPr>
            </w:pPr>
            <w:r w:rsidRPr="002A7F74">
              <w:rPr>
                <w:lang w:val="pt-BR"/>
              </w:rPr>
              <w:t xml:space="preserve">A sugestão é pertinente e os </w:t>
            </w:r>
            <w:r w:rsidR="00BC33AC" w:rsidRPr="002A7F74">
              <w:rPr>
                <w:lang w:val="pt-BR"/>
              </w:rPr>
              <w:t>dispositivos foram</w:t>
            </w:r>
            <w:r w:rsidRPr="002A7F74">
              <w:rPr>
                <w:lang w:val="pt-BR"/>
              </w:rPr>
              <w:t xml:space="preserve"> reordenados</w:t>
            </w:r>
          </w:p>
        </w:tc>
      </w:tr>
    </w:tbl>
    <w:p w:rsidR="00597912" w:rsidRPr="002A7F74" w:rsidRDefault="00597912" w:rsidP="00A93F2F">
      <w:pPr>
        <w:pStyle w:val="CorpoA"/>
        <w:spacing w:after="0" w:line="312" w:lineRule="auto"/>
        <w:ind w:firstLine="709"/>
        <w:jc w:val="both"/>
        <w:rPr>
          <w:rFonts w:ascii="Times New Roman" w:hAnsi="Times New Roman" w:cs="Times New Roman"/>
          <w:sz w:val="24"/>
          <w:szCs w:val="24"/>
          <w:lang w:val="pt-BR"/>
        </w:rPr>
      </w:pPr>
    </w:p>
    <w:p w:rsidR="00597912" w:rsidRPr="002A7F74" w:rsidRDefault="00597912" w:rsidP="00A93F2F">
      <w:pPr>
        <w:pStyle w:val="CorpoA"/>
        <w:spacing w:after="0" w:line="312" w:lineRule="auto"/>
        <w:rPr>
          <w:rFonts w:ascii="Times New Roman" w:eastAsia="Times New Roman" w:hAnsi="Times New Roman" w:cs="Times New Roman"/>
          <w:iCs/>
          <w:sz w:val="24"/>
          <w:szCs w:val="24"/>
          <w:lang w:val="pt-BR"/>
        </w:rPr>
      </w:pPr>
    </w:p>
    <w:p w:rsidR="00597912" w:rsidRPr="002A7F74" w:rsidRDefault="00A93F2F" w:rsidP="00A93F2F">
      <w:pPr>
        <w:pStyle w:val="CorpoA"/>
        <w:spacing w:after="0" w:line="312" w:lineRule="auto"/>
        <w:ind w:firstLine="709"/>
        <w:jc w:val="both"/>
        <w:rPr>
          <w:rFonts w:ascii="Times New Roman" w:hAnsi="Times New Roman" w:cs="Times New Roman"/>
          <w:sz w:val="24"/>
          <w:szCs w:val="24"/>
          <w:lang w:val="pt-BR"/>
        </w:rPr>
      </w:pPr>
      <w:r w:rsidRPr="002A7F74">
        <w:rPr>
          <w:rFonts w:ascii="Times New Roman" w:hAnsi="Times New Roman" w:cs="Times New Roman"/>
          <w:sz w:val="24"/>
          <w:szCs w:val="24"/>
          <w:lang w:val="pt-BR"/>
        </w:rPr>
        <w:t xml:space="preserve">A fim de evitar questionamentos futuros à CVM, </w:t>
      </w:r>
      <w:r w:rsidR="00AD75B1">
        <w:rPr>
          <w:rFonts w:ascii="Times New Roman" w:hAnsi="Times New Roman" w:cs="Times New Roman"/>
          <w:sz w:val="24"/>
          <w:szCs w:val="24"/>
          <w:lang w:val="pt-BR"/>
        </w:rPr>
        <w:t xml:space="preserve">o </w:t>
      </w:r>
      <w:r w:rsidR="00597912" w:rsidRPr="002A7F74">
        <w:rPr>
          <w:rFonts w:ascii="Times New Roman" w:hAnsi="Times New Roman" w:cs="Times New Roman"/>
          <w:sz w:val="24"/>
          <w:szCs w:val="24"/>
          <w:lang w:val="pt-BR"/>
        </w:rPr>
        <w:t>Salusse Marangoni propõe</w:t>
      </w:r>
      <w:r w:rsidR="00E03B34" w:rsidRPr="002A7F74">
        <w:rPr>
          <w:rFonts w:ascii="Times New Roman" w:hAnsi="Times New Roman" w:cs="Times New Roman"/>
          <w:sz w:val="24"/>
          <w:szCs w:val="24"/>
          <w:lang w:val="pt-BR"/>
        </w:rPr>
        <w:t xml:space="preserve"> que</w:t>
      </w:r>
      <w:r w:rsidR="00597912" w:rsidRPr="002A7F74">
        <w:rPr>
          <w:rFonts w:ascii="Times New Roman" w:hAnsi="Times New Roman" w:cs="Times New Roman"/>
          <w:sz w:val="24"/>
          <w:szCs w:val="24"/>
          <w:lang w:val="pt-BR"/>
        </w:rPr>
        <w:t xml:space="preserve"> </w:t>
      </w:r>
      <w:r w:rsidRPr="002A7F74">
        <w:rPr>
          <w:rFonts w:ascii="Times New Roman" w:hAnsi="Times New Roman" w:cs="Times New Roman"/>
          <w:sz w:val="24"/>
          <w:szCs w:val="24"/>
          <w:lang w:val="pt-BR"/>
        </w:rPr>
        <w:t>a norma disponha sobre a possibilidade</w:t>
      </w:r>
      <w:r w:rsidR="00597912" w:rsidRPr="002A7F74">
        <w:rPr>
          <w:rFonts w:ascii="Times New Roman" w:hAnsi="Times New Roman" w:cs="Times New Roman"/>
          <w:sz w:val="24"/>
          <w:szCs w:val="24"/>
          <w:lang w:val="pt-BR"/>
        </w:rPr>
        <w:t xml:space="preserve"> de emissões concomitantes de nota promissória</w:t>
      </w:r>
      <w:r w:rsidR="00005A1D" w:rsidRPr="002A7F74">
        <w:rPr>
          <w:rFonts w:ascii="Times New Roman" w:hAnsi="Times New Roman" w:cs="Times New Roman"/>
          <w:sz w:val="24"/>
          <w:szCs w:val="24"/>
          <w:lang w:val="pt-BR"/>
        </w:rPr>
        <w:t xml:space="preserve"> e </w:t>
      </w:r>
      <w:r w:rsidR="00E03B34" w:rsidRPr="002A7F74">
        <w:rPr>
          <w:rFonts w:ascii="Times New Roman" w:hAnsi="Times New Roman" w:cs="Times New Roman"/>
          <w:sz w:val="24"/>
          <w:szCs w:val="24"/>
          <w:lang w:val="pt-BR"/>
        </w:rPr>
        <w:t>sobre a</w:t>
      </w:r>
      <w:r w:rsidRPr="002A7F74">
        <w:rPr>
          <w:rFonts w:ascii="Times New Roman" w:hAnsi="Times New Roman" w:cs="Times New Roman"/>
          <w:sz w:val="24"/>
          <w:szCs w:val="24"/>
          <w:lang w:val="pt-BR"/>
        </w:rPr>
        <w:t xml:space="preserve"> conversibilidade das notas promissórias</w:t>
      </w:r>
      <w:r w:rsidR="00005A1D" w:rsidRPr="002A7F74">
        <w:rPr>
          <w:rFonts w:ascii="Times New Roman" w:hAnsi="Times New Roman" w:cs="Times New Roman"/>
          <w:sz w:val="24"/>
          <w:szCs w:val="24"/>
          <w:lang w:val="pt-BR"/>
        </w:rPr>
        <w:t xml:space="preserve"> em participação societária</w:t>
      </w:r>
      <w:r w:rsidRPr="002A7F74">
        <w:rPr>
          <w:rFonts w:ascii="Times New Roman" w:hAnsi="Times New Roman" w:cs="Times New Roman"/>
          <w:sz w:val="24"/>
          <w:szCs w:val="24"/>
          <w:lang w:val="pt-BR"/>
        </w:rPr>
        <w:t>.</w:t>
      </w:r>
    </w:p>
    <w:tbl>
      <w:tblPr>
        <w:tblStyle w:val="TableNormal"/>
        <w:tblpPr w:leftFromText="141" w:rightFromText="141" w:vertAnchor="text" w:horzAnchor="margin" w:tblpY="283"/>
        <w:tblW w:w="103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83"/>
      </w:tblGrid>
      <w:tr w:rsidR="00E03B34" w:rsidRPr="00533EEE" w:rsidTr="00E03B34">
        <w:trPr>
          <w:trHeight w:val="383"/>
        </w:trPr>
        <w:tc>
          <w:tcPr>
            <w:tcW w:w="10383"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E03B34" w:rsidRPr="002A7F74" w:rsidRDefault="00E26AB2" w:rsidP="00E03B34">
            <w:pPr>
              <w:spacing w:line="312" w:lineRule="auto"/>
              <w:ind w:firstLine="567"/>
              <w:jc w:val="both"/>
              <w:rPr>
                <w:lang w:val="pt-BR"/>
              </w:rPr>
            </w:pPr>
            <w:r>
              <w:rPr>
                <w:lang w:val="pt-BR"/>
              </w:rPr>
              <w:t>A</w:t>
            </w:r>
            <w:r w:rsidR="00AD75B1">
              <w:rPr>
                <w:lang w:val="pt-BR"/>
              </w:rPr>
              <w:t xml:space="preserve"> CVM esclarece que a </w:t>
            </w:r>
            <w:r>
              <w:rPr>
                <w:lang w:val="pt-BR"/>
              </w:rPr>
              <w:t>M</w:t>
            </w:r>
            <w:r w:rsidR="00E03B34" w:rsidRPr="002A7F74">
              <w:rPr>
                <w:lang w:val="pt-BR"/>
              </w:rPr>
              <w:t>inuta não veda a realização de emissões concomitantes de nota promissória.</w:t>
            </w:r>
          </w:p>
          <w:p w:rsidR="00E03B34" w:rsidRPr="002A7F74" w:rsidRDefault="00E03B34" w:rsidP="00E03B34">
            <w:pPr>
              <w:spacing w:line="312" w:lineRule="auto"/>
              <w:ind w:firstLine="567"/>
              <w:jc w:val="both"/>
              <w:rPr>
                <w:lang w:val="pt-BR"/>
              </w:rPr>
            </w:pPr>
          </w:p>
          <w:p w:rsidR="00E03B34" w:rsidRPr="002A7F74" w:rsidRDefault="00F86CF5" w:rsidP="00AD75B1">
            <w:pPr>
              <w:spacing w:line="312" w:lineRule="auto"/>
              <w:ind w:firstLine="567"/>
              <w:jc w:val="both"/>
              <w:rPr>
                <w:lang w:val="pt-BR"/>
              </w:rPr>
            </w:pPr>
            <w:r w:rsidRPr="002A7F74">
              <w:rPr>
                <w:lang w:val="pt-BR"/>
              </w:rPr>
              <w:t>A</w:t>
            </w:r>
            <w:r w:rsidR="00AD75B1">
              <w:rPr>
                <w:lang w:val="pt-BR"/>
              </w:rPr>
              <w:t>lém disso, a</w:t>
            </w:r>
            <w:r w:rsidRPr="002A7F74">
              <w:rPr>
                <w:lang w:val="pt-BR"/>
              </w:rPr>
              <w:t>s características das</w:t>
            </w:r>
            <w:r w:rsidR="00E03B34" w:rsidRPr="002A7F74">
              <w:rPr>
                <w:lang w:val="pt-BR"/>
              </w:rPr>
              <w:t xml:space="preserve"> nota</w:t>
            </w:r>
            <w:r w:rsidRPr="002A7F74">
              <w:rPr>
                <w:lang w:val="pt-BR"/>
              </w:rPr>
              <w:t>s</w:t>
            </w:r>
            <w:r w:rsidR="00522166" w:rsidRPr="002A7F74">
              <w:rPr>
                <w:lang w:val="pt-BR"/>
              </w:rPr>
              <w:t xml:space="preserve"> </w:t>
            </w:r>
            <w:r w:rsidR="00E03B34" w:rsidRPr="002A7F74">
              <w:rPr>
                <w:lang w:val="pt-BR"/>
              </w:rPr>
              <w:t>promissória</w:t>
            </w:r>
            <w:r w:rsidRPr="002A7F74">
              <w:rPr>
                <w:lang w:val="pt-BR"/>
              </w:rPr>
              <w:t>s</w:t>
            </w:r>
            <w:r w:rsidR="00AD75B1">
              <w:rPr>
                <w:lang w:val="pt-BR"/>
              </w:rPr>
              <w:t xml:space="preserve"> </w:t>
            </w:r>
            <w:r w:rsidRPr="002A7F74">
              <w:rPr>
                <w:lang w:val="pt-BR"/>
              </w:rPr>
              <w:t>são</w:t>
            </w:r>
            <w:r w:rsidR="00522166" w:rsidRPr="002A7F74">
              <w:rPr>
                <w:lang w:val="pt-BR"/>
              </w:rPr>
              <w:t xml:space="preserve"> </w:t>
            </w:r>
            <w:r w:rsidR="00E03B34" w:rsidRPr="002A7F74">
              <w:rPr>
                <w:lang w:val="pt-BR"/>
              </w:rPr>
              <w:t xml:space="preserve">definidas em </w:t>
            </w:r>
            <w:r w:rsidR="00522166" w:rsidRPr="002A7F74">
              <w:rPr>
                <w:lang w:val="pt-BR"/>
              </w:rPr>
              <w:t>legislação específica</w:t>
            </w:r>
            <w:r w:rsidRPr="002A7F74">
              <w:rPr>
                <w:lang w:val="pt-BR"/>
              </w:rPr>
              <w:t xml:space="preserve">, que não prevê sua conversão em participação societária. Embora nada impeça que </w:t>
            </w:r>
            <w:r w:rsidR="00B9184D" w:rsidRPr="002A7F74">
              <w:rPr>
                <w:lang w:val="pt-BR"/>
              </w:rPr>
              <w:t>credores e devedores negociem, quando do vencimento de um título</w:t>
            </w:r>
            <w:r w:rsidR="003A4A99" w:rsidRPr="002A7F74">
              <w:rPr>
                <w:lang w:val="pt-BR"/>
              </w:rPr>
              <w:t>, formas alternativas de cumprimento da obrigação ali consubstanciada (</w:t>
            </w:r>
            <w:r w:rsidR="00F247B1" w:rsidRPr="002A7F74">
              <w:rPr>
                <w:lang w:val="pt-BR"/>
              </w:rPr>
              <w:t>u</w:t>
            </w:r>
            <w:r w:rsidR="005C224E" w:rsidRPr="002A7F74">
              <w:rPr>
                <w:lang w:val="pt-BR"/>
              </w:rPr>
              <w:t>ma dação em pagamento</w:t>
            </w:r>
            <w:r w:rsidR="00F247B1" w:rsidRPr="002A7F74">
              <w:rPr>
                <w:lang w:val="pt-BR"/>
              </w:rPr>
              <w:t>, por exemplo</w:t>
            </w:r>
            <w:r w:rsidR="005C224E" w:rsidRPr="002A7F74">
              <w:rPr>
                <w:lang w:val="pt-BR"/>
              </w:rPr>
              <w:t xml:space="preserve">), a nota promissória </w:t>
            </w:r>
            <w:r w:rsidR="00EB4D96" w:rsidRPr="002A7F74">
              <w:rPr>
                <w:lang w:val="pt-BR"/>
              </w:rPr>
              <w:t xml:space="preserve">deve, por definição, representar uma promessa de pagamento </w:t>
            </w:r>
            <w:r w:rsidR="00B9184D" w:rsidRPr="002A7F74">
              <w:rPr>
                <w:lang w:val="pt-BR"/>
              </w:rPr>
              <w:t xml:space="preserve">exclusivamente </w:t>
            </w:r>
            <w:r w:rsidR="00EB4D96" w:rsidRPr="002A7F74">
              <w:rPr>
                <w:lang w:val="pt-BR"/>
              </w:rPr>
              <w:t>em dinheiro</w:t>
            </w:r>
            <w:r w:rsidR="00B9184D" w:rsidRPr="002A7F74">
              <w:rPr>
                <w:lang w:val="pt-BR"/>
              </w:rPr>
              <w:t xml:space="preserve">. </w:t>
            </w:r>
          </w:p>
        </w:tc>
      </w:tr>
    </w:tbl>
    <w:p w:rsidR="00597912" w:rsidRPr="002A7F74" w:rsidRDefault="00597912" w:rsidP="00A93F2F">
      <w:pPr>
        <w:pStyle w:val="CorpoA"/>
        <w:spacing w:after="0" w:line="312" w:lineRule="auto"/>
        <w:rPr>
          <w:rFonts w:ascii="Times New Roman" w:eastAsia="Times New Roman" w:hAnsi="Times New Roman" w:cs="Times New Roman"/>
          <w:iCs/>
          <w:sz w:val="24"/>
          <w:szCs w:val="24"/>
          <w:lang w:val="pt-BR"/>
        </w:rPr>
      </w:pPr>
    </w:p>
    <w:p w:rsidR="00D9084C" w:rsidRPr="002A7F74" w:rsidRDefault="005607BA" w:rsidP="008838A4">
      <w:pPr>
        <w:pStyle w:val="CorpoA"/>
        <w:spacing w:after="0" w:line="312" w:lineRule="auto"/>
        <w:ind w:left="709" w:hanging="709"/>
        <w:rPr>
          <w:rFonts w:ascii="Times New Roman" w:eastAsia="Times New Roman" w:hAnsi="Times New Roman" w:cs="Times New Roman"/>
          <w:b/>
          <w:bCs/>
          <w:sz w:val="24"/>
          <w:szCs w:val="24"/>
          <w:lang w:val="pt-BR"/>
        </w:rPr>
      </w:pPr>
      <w:r w:rsidRPr="002A7F74">
        <w:rPr>
          <w:rFonts w:ascii="Times New Roman" w:hAnsi="Times New Roman" w:cs="Times New Roman"/>
          <w:b/>
          <w:bCs/>
          <w:sz w:val="24"/>
          <w:szCs w:val="24"/>
          <w:lang w:val="pt-BR"/>
        </w:rPr>
        <w:t xml:space="preserve">3.2. </w:t>
      </w:r>
      <w:r w:rsidR="008838A4" w:rsidRPr="002A7F74">
        <w:rPr>
          <w:rFonts w:ascii="Times New Roman" w:hAnsi="Times New Roman" w:cs="Times New Roman"/>
          <w:b/>
          <w:bCs/>
          <w:sz w:val="24"/>
          <w:szCs w:val="24"/>
          <w:lang w:val="pt-BR"/>
        </w:rPr>
        <w:tab/>
      </w:r>
      <w:r w:rsidR="00BF7ED9" w:rsidRPr="002A7F74">
        <w:rPr>
          <w:rFonts w:ascii="Times New Roman" w:hAnsi="Times New Roman" w:cs="Times New Roman"/>
          <w:b/>
          <w:bCs/>
          <w:sz w:val="24"/>
          <w:szCs w:val="24"/>
          <w:lang w:val="pt-BR"/>
        </w:rPr>
        <w:t>Definição</w:t>
      </w:r>
      <w:r w:rsidR="008848C0" w:rsidRPr="002A7F74">
        <w:rPr>
          <w:rFonts w:ascii="Times New Roman" w:hAnsi="Times New Roman" w:cs="Times New Roman"/>
          <w:b/>
          <w:bCs/>
          <w:sz w:val="24"/>
          <w:szCs w:val="24"/>
          <w:lang w:val="pt-BR"/>
        </w:rPr>
        <w:t xml:space="preserve"> </w:t>
      </w:r>
      <w:r w:rsidR="008838A4" w:rsidRPr="002A7F74">
        <w:rPr>
          <w:rFonts w:ascii="Times New Roman" w:hAnsi="Times New Roman" w:cs="Times New Roman"/>
          <w:b/>
          <w:bCs/>
          <w:sz w:val="24"/>
          <w:szCs w:val="24"/>
          <w:lang w:val="pt-BR"/>
        </w:rPr>
        <w:t>(</w:t>
      </w:r>
      <w:r w:rsidRPr="002A7F74">
        <w:rPr>
          <w:rFonts w:ascii="Times New Roman" w:hAnsi="Times New Roman" w:cs="Times New Roman"/>
          <w:b/>
          <w:bCs/>
          <w:sz w:val="24"/>
          <w:szCs w:val="24"/>
          <w:lang w:val="pt-BR"/>
        </w:rPr>
        <w:t xml:space="preserve">art. </w:t>
      </w:r>
      <w:r w:rsidR="00BF7ED9" w:rsidRPr="002A7F74">
        <w:rPr>
          <w:rFonts w:ascii="Times New Roman" w:hAnsi="Times New Roman" w:cs="Times New Roman"/>
          <w:b/>
          <w:bCs/>
          <w:sz w:val="24"/>
          <w:szCs w:val="24"/>
          <w:lang w:val="pt-BR"/>
        </w:rPr>
        <w:t>1</w:t>
      </w:r>
      <w:r w:rsidR="004F2376" w:rsidRPr="002A7F74">
        <w:rPr>
          <w:rFonts w:ascii="Times New Roman" w:hAnsi="Times New Roman" w:cs="Times New Roman"/>
          <w:b/>
          <w:bCs/>
          <w:sz w:val="24"/>
          <w:szCs w:val="24"/>
          <w:lang w:val="pt-BR"/>
        </w:rPr>
        <w:t>º</w:t>
      </w:r>
      <w:r w:rsidR="008838A4" w:rsidRPr="002A7F74">
        <w:rPr>
          <w:rFonts w:ascii="Times New Roman" w:hAnsi="Times New Roman" w:cs="Times New Roman"/>
          <w:b/>
          <w:bCs/>
          <w:sz w:val="24"/>
          <w:szCs w:val="24"/>
          <w:lang w:val="pt-BR"/>
        </w:rPr>
        <w:t>)</w:t>
      </w:r>
    </w:p>
    <w:p w:rsidR="00D9084C" w:rsidRPr="002A7F74" w:rsidRDefault="00D9084C" w:rsidP="00A93F2F">
      <w:pPr>
        <w:pStyle w:val="CorpoA"/>
        <w:spacing w:after="0" w:line="312" w:lineRule="auto"/>
        <w:ind w:firstLine="709"/>
        <w:jc w:val="both"/>
        <w:rPr>
          <w:rFonts w:ascii="Times New Roman" w:eastAsia="Times New Roman" w:hAnsi="Times New Roman" w:cs="Times New Roman"/>
          <w:sz w:val="24"/>
          <w:szCs w:val="24"/>
          <w:lang w:val="pt-BR"/>
        </w:rPr>
      </w:pPr>
    </w:p>
    <w:p w:rsidR="00D9084C" w:rsidRDefault="00AD75B1" w:rsidP="00A93F2F">
      <w:pPr>
        <w:pStyle w:val="CorpoA"/>
        <w:widowControl w:val="0"/>
        <w:spacing w:after="0" w:line="312" w:lineRule="auto"/>
        <w:ind w:firstLine="709"/>
        <w:jc w:val="both"/>
        <w:rPr>
          <w:rFonts w:ascii="Times New Roman" w:eastAsia="Times New Roman" w:hAnsi="Times New Roman" w:cs="Times New Roman"/>
          <w:sz w:val="24"/>
          <w:szCs w:val="24"/>
          <w:lang w:val="pt-BR"/>
        </w:rPr>
      </w:pPr>
      <w:r>
        <w:rPr>
          <w:rFonts w:ascii="Times New Roman" w:hAnsi="Times New Roman" w:cs="Times New Roman"/>
          <w:sz w:val="24"/>
          <w:szCs w:val="24"/>
          <w:lang w:val="pt-BR"/>
        </w:rPr>
        <w:t xml:space="preserve">O </w:t>
      </w:r>
      <w:r w:rsidR="00BF7ED9" w:rsidRPr="002A7F74">
        <w:rPr>
          <w:rFonts w:ascii="Times New Roman" w:hAnsi="Times New Roman" w:cs="Times New Roman"/>
          <w:sz w:val="24"/>
          <w:szCs w:val="24"/>
          <w:lang w:val="pt-BR"/>
        </w:rPr>
        <w:t xml:space="preserve">LCCF </w:t>
      </w:r>
      <w:r w:rsidR="005607BA" w:rsidRPr="002A7F74">
        <w:rPr>
          <w:rFonts w:ascii="Times New Roman" w:hAnsi="Times New Roman" w:cs="Times New Roman"/>
          <w:sz w:val="24"/>
          <w:szCs w:val="24"/>
          <w:lang w:val="pt-BR"/>
        </w:rPr>
        <w:t xml:space="preserve">propõe a </w:t>
      </w:r>
      <w:r w:rsidR="00BF7ED9" w:rsidRPr="002A7F74">
        <w:rPr>
          <w:rFonts w:ascii="Times New Roman" w:hAnsi="Times New Roman" w:cs="Times New Roman"/>
          <w:sz w:val="24"/>
          <w:szCs w:val="24"/>
          <w:lang w:val="pt-BR"/>
        </w:rPr>
        <w:t xml:space="preserve">substituição do termo nota promissória por nota comercial, de forma a unificar o termo utilizado </w:t>
      </w:r>
      <w:r w:rsidR="0057164A" w:rsidRPr="002A7F74">
        <w:rPr>
          <w:rFonts w:ascii="Times New Roman" w:hAnsi="Times New Roman" w:cs="Times New Roman"/>
          <w:sz w:val="24"/>
          <w:szCs w:val="24"/>
          <w:lang w:val="pt-BR"/>
        </w:rPr>
        <w:t>em</w:t>
      </w:r>
      <w:r w:rsidR="00D2341B" w:rsidRPr="002A7F74">
        <w:rPr>
          <w:rFonts w:ascii="Times New Roman" w:hAnsi="Times New Roman" w:cs="Times New Roman"/>
          <w:sz w:val="24"/>
          <w:szCs w:val="24"/>
          <w:lang w:val="pt-BR"/>
        </w:rPr>
        <w:t xml:space="preserve"> diferentes </w:t>
      </w:r>
      <w:r>
        <w:rPr>
          <w:rFonts w:ascii="Times New Roman" w:hAnsi="Times New Roman" w:cs="Times New Roman"/>
          <w:sz w:val="24"/>
          <w:szCs w:val="24"/>
          <w:lang w:val="pt-BR"/>
        </w:rPr>
        <w:t>i</w:t>
      </w:r>
      <w:r w:rsidR="00BF7ED9" w:rsidRPr="002A7F74">
        <w:rPr>
          <w:rFonts w:ascii="Times New Roman" w:hAnsi="Times New Roman" w:cs="Times New Roman"/>
          <w:sz w:val="24"/>
          <w:szCs w:val="24"/>
          <w:lang w:val="pt-BR"/>
        </w:rPr>
        <w:t xml:space="preserve">nstruções da CVM e na Lei </w:t>
      </w:r>
      <w:r w:rsidR="008838A4" w:rsidRPr="002A7F74">
        <w:rPr>
          <w:rFonts w:ascii="Times New Roman" w:hAnsi="Times New Roman" w:cs="Times New Roman"/>
          <w:sz w:val="24"/>
          <w:szCs w:val="24"/>
          <w:lang w:val="pt-BR"/>
        </w:rPr>
        <w:t xml:space="preserve">nº </w:t>
      </w:r>
      <w:r w:rsidR="00BF7ED9" w:rsidRPr="002A7F74">
        <w:rPr>
          <w:rFonts w:ascii="Times New Roman" w:hAnsi="Times New Roman" w:cs="Times New Roman"/>
          <w:sz w:val="24"/>
          <w:szCs w:val="24"/>
          <w:lang w:val="pt-BR"/>
        </w:rPr>
        <w:t>6.385</w:t>
      </w:r>
      <w:r w:rsidR="00AC1391" w:rsidRPr="002A7F74">
        <w:rPr>
          <w:rFonts w:ascii="Times New Roman" w:hAnsi="Times New Roman" w:cs="Times New Roman"/>
          <w:sz w:val="24"/>
          <w:szCs w:val="24"/>
          <w:lang w:val="pt-BR"/>
        </w:rPr>
        <w:t xml:space="preserve">, de </w:t>
      </w:r>
      <w:r w:rsidR="00D7245E" w:rsidRPr="002A7F74">
        <w:rPr>
          <w:rFonts w:ascii="Times New Roman" w:hAnsi="Times New Roman" w:cs="Times New Roman"/>
          <w:sz w:val="24"/>
          <w:szCs w:val="24"/>
          <w:lang w:val="pt-BR"/>
        </w:rPr>
        <w:t xml:space="preserve">7 de dezembro de </w:t>
      </w:r>
      <w:r w:rsidR="00BF7ED9" w:rsidRPr="002A7F74">
        <w:rPr>
          <w:rFonts w:ascii="Times New Roman" w:hAnsi="Times New Roman" w:cs="Times New Roman"/>
          <w:sz w:val="24"/>
          <w:szCs w:val="24"/>
          <w:lang w:val="pt-BR"/>
        </w:rPr>
        <w:t>1976.</w:t>
      </w:r>
      <w:r w:rsidR="005607BA" w:rsidRPr="002A7F74">
        <w:rPr>
          <w:rFonts w:ascii="Times New Roman" w:hAnsi="Times New Roman" w:cs="Times New Roman"/>
          <w:sz w:val="24"/>
          <w:szCs w:val="24"/>
          <w:lang w:val="pt-BR"/>
        </w:rPr>
        <w:t xml:space="preserve"> </w:t>
      </w:r>
    </w:p>
    <w:tbl>
      <w:tblPr>
        <w:tblStyle w:val="TableNormal"/>
        <w:tblpPr w:leftFromText="141" w:rightFromText="141" w:vertAnchor="text" w:horzAnchor="margin" w:tblpY="554"/>
        <w:tblW w:w="103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A3FBE" w:rsidRPr="00533EEE" w:rsidTr="002D4FF4">
        <w:trPr>
          <w:trHeight w:val="335"/>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A3FBE" w:rsidRPr="002A7F74" w:rsidRDefault="00DA3FBE" w:rsidP="00DA3FBE">
            <w:pPr>
              <w:spacing w:line="312" w:lineRule="auto"/>
              <w:ind w:firstLine="567"/>
              <w:jc w:val="both"/>
              <w:rPr>
                <w:lang w:val="pt-BR"/>
              </w:rPr>
            </w:pPr>
            <w:r w:rsidRPr="002A7F74">
              <w:rPr>
                <w:lang w:val="pt-BR"/>
              </w:rPr>
              <w:t xml:space="preserve">O termo “nota comercial” vem do </w:t>
            </w:r>
            <w:r w:rsidRPr="002A7F74">
              <w:rPr>
                <w:i/>
                <w:lang w:val="pt-BR"/>
              </w:rPr>
              <w:t>commercial paper</w:t>
            </w:r>
            <w:r w:rsidRPr="002A7F74">
              <w:rPr>
                <w:lang w:val="pt-BR"/>
              </w:rPr>
              <w:t xml:space="preserve"> norte-americano, expressão que, naquele mercado, se refere às notas promissórias e a outros títulos de curtíssimo prazo. No Brasil, contudo, a expressão “nota comercial” acaba por se identificar, na prática, apenas às notas promissórias</w:t>
            </w:r>
            <w:r>
              <w:rPr>
                <w:lang w:val="pt-BR"/>
              </w:rPr>
              <w:t>.</w:t>
            </w:r>
          </w:p>
          <w:p w:rsidR="00DA3FBE" w:rsidRPr="002A7F74" w:rsidRDefault="00DA3FBE" w:rsidP="00DA3FBE">
            <w:pPr>
              <w:spacing w:line="312" w:lineRule="auto"/>
              <w:ind w:firstLine="567"/>
              <w:jc w:val="both"/>
              <w:rPr>
                <w:lang w:val="pt-BR"/>
              </w:rPr>
            </w:pPr>
          </w:p>
          <w:p w:rsidR="00DA3FBE" w:rsidRPr="002A7F74" w:rsidRDefault="00DA3FBE" w:rsidP="00DA3FBE">
            <w:pPr>
              <w:spacing w:line="312" w:lineRule="auto"/>
              <w:ind w:firstLine="567"/>
              <w:jc w:val="both"/>
              <w:rPr>
                <w:lang w:val="pt-BR"/>
              </w:rPr>
            </w:pPr>
            <w:r w:rsidRPr="002A7F74">
              <w:rPr>
                <w:lang w:val="pt-BR"/>
              </w:rPr>
              <w:t xml:space="preserve">Embora a Lei nº 6.385, de 1976, e algumas </w:t>
            </w:r>
            <w:r w:rsidR="00AD75B1">
              <w:rPr>
                <w:lang w:val="pt-BR"/>
              </w:rPr>
              <w:t>i</w:t>
            </w:r>
            <w:r w:rsidRPr="002A7F74">
              <w:rPr>
                <w:lang w:val="pt-BR"/>
              </w:rPr>
              <w:t>nstruções da CVM de fato utilizem o termo “nota comercial”, a Convenção para a adoção de uma lei uniforme sobre letras de câmbio e notas promissórias, promulgada pelo Decreto nº 57.663, de 24 de janeiro de 1966 (“Lei Uniforme de Genebra”), determina que a denominação "nota promissória" deve estar inserta no texto do título, motivo pelo qual a CVM preferiu adotar esta última expressão.</w:t>
            </w:r>
          </w:p>
          <w:p w:rsidR="00DA3FBE" w:rsidRPr="002A7F74" w:rsidRDefault="00DA3FBE" w:rsidP="00DA3FBE">
            <w:pPr>
              <w:spacing w:line="312" w:lineRule="auto"/>
              <w:ind w:firstLine="567"/>
              <w:jc w:val="both"/>
              <w:rPr>
                <w:lang w:val="pt-BR"/>
              </w:rPr>
            </w:pPr>
          </w:p>
          <w:p w:rsidR="00DA3FBE" w:rsidRPr="002A7F74" w:rsidRDefault="00DA3FBE" w:rsidP="00DA3FBE">
            <w:pPr>
              <w:spacing w:line="312" w:lineRule="auto"/>
              <w:ind w:firstLine="709"/>
              <w:jc w:val="both"/>
              <w:rPr>
                <w:lang w:val="pt-BR"/>
              </w:rPr>
            </w:pPr>
            <w:r w:rsidRPr="002A7F74">
              <w:rPr>
                <w:lang w:val="pt-BR"/>
              </w:rPr>
              <w:t xml:space="preserve">Por conta disso, a sugestão </w:t>
            </w:r>
            <w:r>
              <w:rPr>
                <w:lang w:val="pt-BR"/>
              </w:rPr>
              <w:t>do participante não foi acatada.</w:t>
            </w:r>
          </w:p>
        </w:tc>
      </w:tr>
    </w:tbl>
    <w:p w:rsidR="00933AD8" w:rsidRDefault="00933AD8" w:rsidP="0057164A">
      <w:pPr>
        <w:pStyle w:val="Ttulo3"/>
        <w:tabs>
          <w:tab w:val="clear" w:pos="709"/>
          <w:tab w:val="clear" w:pos="851"/>
        </w:tabs>
        <w:spacing w:before="0"/>
        <w:rPr>
          <w:rFonts w:hAnsi="Times New Roman" w:cs="Times New Roman"/>
          <w:lang w:val="pt-BR"/>
        </w:rPr>
      </w:pPr>
    </w:p>
    <w:p w:rsidR="00933AD8" w:rsidRDefault="00933AD8" w:rsidP="0057164A">
      <w:pPr>
        <w:pStyle w:val="Ttulo3"/>
        <w:tabs>
          <w:tab w:val="clear" w:pos="709"/>
          <w:tab w:val="clear" w:pos="851"/>
        </w:tabs>
        <w:spacing w:before="0"/>
        <w:rPr>
          <w:rFonts w:hAnsi="Times New Roman" w:cs="Times New Roman"/>
          <w:lang w:val="pt-BR"/>
        </w:rPr>
      </w:pPr>
    </w:p>
    <w:p w:rsidR="00D9084C" w:rsidRPr="002A7F74" w:rsidRDefault="0057164A" w:rsidP="0057164A">
      <w:pPr>
        <w:pStyle w:val="Ttulo3"/>
        <w:tabs>
          <w:tab w:val="clear" w:pos="709"/>
          <w:tab w:val="clear" w:pos="851"/>
        </w:tabs>
        <w:spacing w:before="0"/>
        <w:rPr>
          <w:rFonts w:hAnsi="Times New Roman" w:cs="Times New Roman"/>
          <w:lang w:val="pt-BR"/>
        </w:rPr>
      </w:pPr>
      <w:r w:rsidRPr="002A7F74">
        <w:rPr>
          <w:rFonts w:hAnsi="Times New Roman" w:cs="Times New Roman"/>
          <w:lang w:val="pt-BR"/>
        </w:rPr>
        <w:t>3.</w:t>
      </w:r>
      <w:r w:rsidR="005607BA" w:rsidRPr="002A7F74">
        <w:rPr>
          <w:rFonts w:hAnsi="Times New Roman" w:cs="Times New Roman"/>
          <w:lang w:val="pt-BR"/>
        </w:rPr>
        <w:t xml:space="preserve">3. </w:t>
      </w:r>
      <w:r w:rsidRPr="002A7F74">
        <w:rPr>
          <w:rFonts w:hAnsi="Times New Roman" w:cs="Times New Roman"/>
          <w:lang w:val="pt-BR"/>
        </w:rPr>
        <w:tab/>
      </w:r>
      <w:r w:rsidR="00B94DB3" w:rsidRPr="002A7F74">
        <w:rPr>
          <w:rFonts w:hAnsi="Times New Roman" w:cs="Times New Roman"/>
          <w:lang w:val="pt-BR"/>
        </w:rPr>
        <w:t>Circulação</w:t>
      </w:r>
      <w:r w:rsidR="000D6065" w:rsidRPr="002A7F74">
        <w:rPr>
          <w:rFonts w:hAnsi="Times New Roman" w:cs="Times New Roman"/>
          <w:lang w:val="pt-BR"/>
        </w:rPr>
        <w:t xml:space="preserve"> – negociação em mercados organizados</w:t>
      </w:r>
      <w:r w:rsidR="00B94DB3" w:rsidRPr="002A7F74">
        <w:rPr>
          <w:rFonts w:hAnsi="Times New Roman" w:cs="Times New Roman"/>
          <w:lang w:val="pt-BR"/>
        </w:rPr>
        <w:t xml:space="preserve"> (art. </w:t>
      </w:r>
      <w:r w:rsidR="00C64550" w:rsidRPr="002A7F74">
        <w:rPr>
          <w:rFonts w:hAnsi="Times New Roman" w:cs="Times New Roman"/>
          <w:lang w:val="pt-BR"/>
        </w:rPr>
        <w:t>3</w:t>
      </w:r>
      <w:r w:rsidR="00B94DB3" w:rsidRPr="002A7F74">
        <w:rPr>
          <w:rFonts w:hAnsi="Times New Roman" w:cs="Times New Roman"/>
          <w:lang w:val="pt-BR"/>
        </w:rPr>
        <w:t>º</w:t>
      </w:r>
      <w:r w:rsidRPr="002A7F74">
        <w:rPr>
          <w:rFonts w:hAnsi="Times New Roman" w:cs="Times New Roman"/>
          <w:lang w:val="pt-BR"/>
        </w:rPr>
        <w:t>,</w:t>
      </w:r>
      <w:r w:rsidR="00B94DB3" w:rsidRPr="002A7F74">
        <w:rPr>
          <w:rFonts w:hAnsi="Times New Roman" w:cs="Times New Roman"/>
          <w:lang w:val="pt-BR"/>
        </w:rPr>
        <w:t xml:space="preserve"> §</w:t>
      </w:r>
      <w:r w:rsidRPr="002A7F74">
        <w:rPr>
          <w:rFonts w:hAnsi="Times New Roman" w:cs="Times New Roman"/>
          <w:lang w:val="pt-BR"/>
        </w:rPr>
        <w:t xml:space="preserve"> </w:t>
      </w:r>
      <w:r w:rsidR="00B94DB3" w:rsidRPr="002A7F74">
        <w:rPr>
          <w:rFonts w:hAnsi="Times New Roman" w:cs="Times New Roman"/>
          <w:lang w:val="pt-BR"/>
        </w:rPr>
        <w:t>1º</w:t>
      </w:r>
      <w:r w:rsidR="00AD75B1">
        <w:rPr>
          <w:rFonts w:hAnsi="Times New Roman" w:cs="Times New Roman"/>
          <w:lang w:val="pt-BR"/>
        </w:rPr>
        <w:t xml:space="preserve"> – atual art. 4°, §1°</w:t>
      </w:r>
      <w:r w:rsidR="00B94DB3" w:rsidRPr="002A7F74">
        <w:rPr>
          <w:rFonts w:hAnsi="Times New Roman" w:cs="Times New Roman"/>
          <w:lang w:val="pt-BR"/>
        </w:rPr>
        <w:t>)</w:t>
      </w:r>
    </w:p>
    <w:p w:rsidR="00D9084C" w:rsidRPr="002A7F74" w:rsidRDefault="00D9084C" w:rsidP="00A93F2F">
      <w:pPr>
        <w:pStyle w:val="CorpoA"/>
        <w:spacing w:after="0" w:line="312" w:lineRule="auto"/>
        <w:ind w:firstLine="709"/>
        <w:jc w:val="both"/>
        <w:rPr>
          <w:rFonts w:ascii="Times New Roman" w:eastAsia="Times New Roman" w:hAnsi="Times New Roman" w:cs="Times New Roman"/>
          <w:sz w:val="24"/>
          <w:szCs w:val="24"/>
          <w:lang w:val="pt-BR"/>
        </w:rPr>
      </w:pPr>
    </w:p>
    <w:p w:rsidR="00144249" w:rsidRPr="002A7F74" w:rsidRDefault="001E3417" w:rsidP="00A93F2F">
      <w:pPr>
        <w:pStyle w:val="CorpoA"/>
        <w:spacing w:after="0" w:line="312" w:lineRule="auto"/>
        <w:ind w:firstLine="709"/>
        <w:jc w:val="both"/>
        <w:rPr>
          <w:rFonts w:ascii="Times New Roman" w:hAnsi="Times New Roman" w:cs="Times New Roman"/>
          <w:sz w:val="24"/>
          <w:szCs w:val="24"/>
          <w:lang w:val="pt-BR"/>
        </w:rPr>
      </w:pPr>
      <w:r w:rsidRPr="002A7F74">
        <w:rPr>
          <w:rFonts w:ascii="Times New Roman" w:hAnsi="Times New Roman" w:cs="Times New Roman"/>
          <w:sz w:val="24"/>
          <w:szCs w:val="24"/>
          <w:lang w:val="pt-BR"/>
        </w:rPr>
        <w:t>CETIP sugere excluir o § 1º do art. 3º, que trata da negociação de notas promissórias em mercados organizados. Para o participante, o assunto já se</w:t>
      </w:r>
      <w:r w:rsidR="002646B5" w:rsidRPr="002A7F74">
        <w:rPr>
          <w:rFonts w:ascii="Times New Roman" w:hAnsi="Times New Roman" w:cs="Times New Roman"/>
          <w:sz w:val="24"/>
          <w:szCs w:val="24"/>
          <w:lang w:val="pt-BR"/>
        </w:rPr>
        <w:t xml:space="preserve"> encontra disciplinado em norma</w:t>
      </w:r>
      <w:r w:rsidRPr="002A7F74">
        <w:rPr>
          <w:rFonts w:ascii="Times New Roman" w:hAnsi="Times New Roman" w:cs="Times New Roman"/>
          <w:sz w:val="24"/>
          <w:szCs w:val="24"/>
          <w:lang w:val="pt-BR"/>
        </w:rPr>
        <w:t xml:space="preserve"> espec</w:t>
      </w:r>
      <w:r w:rsidR="00BC18C9" w:rsidRPr="002A7F74">
        <w:rPr>
          <w:rFonts w:ascii="Times New Roman" w:hAnsi="Times New Roman" w:cs="Times New Roman"/>
          <w:sz w:val="24"/>
          <w:szCs w:val="24"/>
          <w:lang w:val="pt-BR"/>
        </w:rPr>
        <w:t>ífic</w:t>
      </w:r>
      <w:r w:rsidR="002646B5" w:rsidRPr="002A7F74">
        <w:rPr>
          <w:rFonts w:ascii="Times New Roman" w:hAnsi="Times New Roman" w:cs="Times New Roman"/>
          <w:sz w:val="24"/>
          <w:szCs w:val="24"/>
          <w:lang w:val="pt-BR"/>
        </w:rPr>
        <w:t>a (</w:t>
      </w:r>
      <w:r w:rsidRPr="002A7F74">
        <w:rPr>
          <w:rFonts w:ascii="Times New Roman" w:hAnsi="Times New Roman" w:cs="Times New Roman"/>
          <w:sz w:val="24"/>
          <w:szCs w:val="24"/>
          <w:lang w:val="pt-BR"/>
        </w:rPr>
        <w:t xml:space="preserve">a Instrução CVM nº 541, de </w:t>
      </w:r>
      <w:r w:rsidR="00BC18C9" w:rsidRPr="002A7F74">
        <w:rPr>
          <w:rFonts w:ascii="Times New Roman" w:hAnsi="Times New Roman" w:cs="Times New Roman"/>
          <w:sz w:val="24"/>
          <w:szCs w:val="24"/>
          <w:lang w:val="pt-BR"/>
        </w:rPr>
        <w:t>20 de dezembro de 2013</w:t>
      </w:r>
      <w:r w:rsidR="002646B5" w:rsidRPr="002A7F74">
        <w:rPr>
          <w:rFonts w:ascii="Times New Roman" w:hAnsi="Times New Roman" w:cs="Times New Roman"/>
          <w:sz w:val="24"/>
          <w:szCs w:val="24"/>
          <w:lang w:val="pt-BR"/>
        </w:rPr>
        <w:t>)</w:t>
      </w:r>
      <w:r w:rsidR="00BC18C9" w:rsidRPr="002A7F74">
        <w:rPr>
          <w:rFonts w:ascii="Times New Roman" w:hAnsi="Times New Roman" w:cs="Times New Roman"/>
          <w:sz w:val="24"/>
          <w:szCs w:val="24"/>
          <w:lang w:val="pt-BR"/>
        </w:rPr>
        <w:t xml:space="preserve"> e “</w:t>
      </w:r>
      <w:r w:rsidR="00BC18C9" w:rsidRPr="002A7F74">
        <w:rPr>
          <w:rFonts w:ascii="Times New Roman" w:hAnsi="Times New Roman" w:cs="Times New Roman"/>
          <w:i/>
          <w:sz w:val="24"/>
          <w:szCs w:val="24"/>
          <w:lang w:val="pt-BR"/>
        </w:rPr>
        <w:t>a presença de dispositivos tratando sobre o mesmo tema em diferentes instruções pode consist</w:t>
      </w:r>
      <w:r w:rsidR="0096356F" w:rsidRPr="002A7F74">
        <w:rPr>
          <w:rFonts w:ascii="Times New Roman" w:hAnsi="Times New Roman" w:cs="Times New Roman"/>
          <w:i/>
          <w:sz w:val="24"/>
          <w:szCs w:val="24"/>
          <w:lang w:val="pt-BR"/>
        </w:rPr>
        <w:t xml:space="preserve">ir em repetições </w:t>
      </w:r>
      <w:r w:rsidR="0096356F" w:rsidRPr="009D2D0E">
        <w:rPr>
          <w:rFonts w:ascii="Times New Roman" w:hAnsi="Times New Roman" w:cs="Times New Roman"/>
          <w:i/>
          <w:sz w:val="24"/>
          <w:szCs w:val="24"/>
          <w:lang w:val="pt-BR"/>
        </w:rPr>
        <w:t>desnecessárias</w:t>
      </w:r>
      <w:r w:rsidR="0096356F" w:rsidRPr="002A7F74">
        <w:rPr>
          <w:rFonts w:ascii="Times New Roman" w:hAnsi="Times New Roman" w:cs="Times New Roman"/>
          <w:sz w:val="24"/>
          <w:szCs w:val="24"/>
          <w:lang w:val="pt-BR"/>
        </w:rPr>
        <w:t xml:space="preserve">” e </w:t>
      </w:r>
      <w:r w:rsidR="00BC18C9" w:rsidRPr="002A7F74">
        <w:rPr>
          <w:rFonts w:ascii="Times New Roman" w:hAnsi="Times New Roman" w:cs="Times New Roman"/>
          <w:sz w:val="24"/>
          <w:szCs w:val="24"/>
          <w:lang w:val="pt-BR"/>
        </w:rPr>
        <w:t xml:space="preserve">confundir seus destinatários. </w:t>
      </w:r>
    </w:p>
    <w:p w:rsidR="00144249" w:rsidRPr="002A7F74" w:rsidRDefault="00144249" w:rsidP="00A93F2F">
      <w:pPr>
        <w:pStyle w:val="CorpoA"/>
        <w:spacing w:after="0" w:line="312" w:lineRule="auto"/>
        <w:ind w:firstLine="709"/>
        <w:jc w:val="both"/>
        <w:rPr>
          <w:rFonts w:ascii="Times New Roman" w:hAnsi="Times New Roman" w:cs="Times New Roman"/>
          <w:sz w:val="24"/>
          <w:szCs w:val="24"/>
          <w:lang w:val="pt-BR"/>
        </w:rPr>
      </w:pPr>
    </w:p>
    <w:p w:rsidR="001E3417" w:rsidRPr="002A7F74" w:rsidRDefault="0096356F" w:rsidP="00A93F2F">
      <w:pPr>
        <w:pStyle w:val="CorpoA"/>
        <w:spacing w:after="0" w:line="312" w:lineRule="auto"/>
        <w:ind w:firstLine="709"/>
        <w:jc w:val="both"/>
        <w:rPr>
          <w:rFonts w:ascii="Times New Roman" w:hAnsi="Times New Roman" w:cs="Times New Roman"/>
          <w:sz w:val="24"/>
          <w:szCs w:val="24"/>
          <w:lang w:val="pt-BR"/>
        </w:rPr>
      </w:pPr>
      <w:r w:rsidRPr="002A7F74">
        <w:rPr>
          <w:rFonts w:ascii="Times New Roman" w:hAnsi="Times New Roman" w:cs="Times New Roman"/>
          <w:sz w:val="24"/>
          <w:szCs w:val="24"/>
          <w:lang w:val="pt-BR"/>
        </w:rPr>
        <w:t>C</w:t>
      </w:r>
      <w:r w:rsidR="002646B5" w:rsidRPr="002A7F74">
        <w:rPr>
          <w:rFonts w:ascii="Times New Roman" w:hAnsi="Times New Roman" w:cs="Times New Roman"/>
          <w:sz w:val="24"/>
          <w:szCs w:val="24"/>
          <w:lang w:val="pt-BR"/>
        </w:rPr>
        <w:t>aso a CVM opte por n</w:t>
      </w:r>
      <w:r w:rsidR="00FE6AD3" w:rsidRPr="002A7F74">
        <w:rPr>
          <w:rFonts w:ascii="Times New Roman" w:hAnsi="Times New Roman" w:cs="Times New Roman"/>
          <w:sz w:val="24"/>
          <w:szCs w:val="24"/>
          <w:lang w:val="pt-BR"/>
        </w:rPr>
        <w:t xml:space="preserve">ão excluir esse dispositivo, </w:t>
      </w:r>
      <w:r w:rsidR="001C582D" w:rsidRPr="002A7F74">
        <w:rPr>
          <w:rFonts w:ascii="Times New Roman" w:hAnsi="Times New Roman" w:cs="Times New Roman"/>
          <w:sz w:val="24"/>
          <w:szCs w:val="24"/>
          <w:lang w:val="pt-BR"/>
        </w:rPr>
        <w:t xml:space="preserve">a </w:t>
      </w:r>
      <w:r w:rsidR="002646B5" w:rsidRPr="002A7F74">
        <w:rPr>
          <w:rFonts w:ascii="Times New Roman" w:hAnsi="Times New Roman" w:cs="Times New Roman"/>
          <w:sz w:val="24"/>
          <w:szCs w:val="24"/>
          <w:lang w:val="pt-BR"/>
        </w:rPr>
        <w:t xml:space="preserve">CETIP propõe </w:t>
      </w:r>
      <w:r w:rsidRPr="002A7F74">
        <w:rPr>
          <w:rFonts w:ascii="Times New Roman" w:hAnsi="Times New Roman" w:cs="Times New Roman"/>
          <w:sz w:val="24"/>
          <w:szCs w:val="24"/>
          <w:lang w:val="pt-BR"/>
        </w:rPr>
        <w:t>então q</w:t>
      </w:r>
      <w:r w:rsidR="00144249" w:rsidRPr="002A7F74">
        <w:rPr>
          <w:rFonts w:ascii="Times New Roman" w:hAnsi="Times New Roman" w:cs="Times New Roman"/>
          <w:sz w:val="24"/>
          <w:szCs w:val="24"/>
          <w:lang w:val="pt-BR"/>
        </w:rPr>
        <w:t>ue sua redação faça referência</w:t>
      </w:r>
      <w:r w:rsidR="00D93417" w:rsidRPr="002A7F74">
        <w:rPr>
          <w:rFonts w:ascii="Times New Roman" w:hAnsi="Times New Roman" w:cs="Times New Roman"/>
          <w:sz w:val="24"/>
          <w:szCs w:val="24"/>
          <w:lang w:val="pt-BR"/>
        </w:rPr>
        <w:t xml:space="preserve"> não à negociação em mercado organizado, </w:t>
      </w:r>
      <w:r w:rsidR="00AD75B1">
        <w:rPr>
          <w:rFonts w:ascii="Times New Roman" w:hAnsi="Times New Roman" w:cs="Times New Roman"/>
          <w:sz w:val="24"/>
          <w:szCs w:val="24"/>
          <w:lang w:val="pt-BR"/>
        </w:rPr>
        <w:t>mas</w:t>
      </w:r>
      <w:r w:rsidR="00144249" w:rsidRPr="002A7F74">
        <w:rPr>
          <w:rFonts w:ascii="Times New Roman" w:hAnsi="Times New Roman" w:cs="Times New Roman"/>
          <w:sz w:val="24"/>
          <w:szCs w:val="24"/>
          <w:lang w:val="pt-BR"/>
        </w:rPr>
        <w:t xml:space="preserve"> ao depósito centralizado </w:t>
      </w:r>
      <w:r w:rsidR="00D93417" w:rsidRPr="002A7F74">
        <w:rPr>
          <w:rFonts w:ascii="Times New Roman" w:hAnsi="Times New Roman" w:cs="Times New Roman"/>
          <w:sz w:val="24"/>
          <w:szCs w:val="24"/>
          <w:lang w:val="pt-BR"/>
        </w:rPr>
        <w:t>e à sua regulamentação específica.</w:t>
      </w:r>
    </w:p>
    <w:p w:rsidR="001E3417" w:rsidRPr="002A7F74" w:rsidRDefault="001E3417" w:rsidP="00A93F2F">
      <w:pPr>
        <w:pStyle w:val="CorpoA"/>
        <w:spacing w:after="0" w:line="312" w:lineRule="auto"/>
        <w:ind w:firstLine="709"/>
        <w:jc w:val="both"/>
        <w:rPr>
          <w:rFonts w:ascii="Times New Roman" w:hAnsi="Times New Roman" w:cs="Times New Roman"/>
          <w:sz w:val="24"/>
          <w:szCs w:val="24"/>
          <w:lang w:val="pt-BR"/>
        </w:rPr>
      </w:pPr>
    </w:p>
    <w:p w:rsidR="005E6AD1" w:rsidRPr="002A7F74" w:rsidRDefault="00D93417" w:rsidP="00D93417">
      <w:pPr>
        <w:pStyle w:val="CorpoA"/>
        <w:spacing w:after="0" w:line="312" w:lineRule="auto"/>
        <w:ind w:firstLine="709"/>
        <w:jc w:val="both"/>
        <w:rPr>
          <w:rFonts w:ascii="Times New Roman" w:hAnsi="Times New Roman" w:cs="Times New Roman"/>
          <w:sz w:val="24"/>
          <w:szCs w:val="24"/>
          <w:lang w:val="pt-BR"/>
        </w:rPr>
      </w:pPr>
      <w:r w:rsidRPr="002A7F74">
        <w:rPr>
          <w:rFonts w:ascii="Times New Roman" w:hAnsi="Times New Roman" w:cs="Times New Roman"/>
          <w:sz w:val="24"/>
          <w:szCs w:val="24"/>
          <w:lang w:val="pt-BR"/>
        </w:rPr>
        <w:t>BM</w:t>
      </w:r>
      <w:r w:rsidR="005E6AD1" w:rsidRPr="002A7F74">
        <w:rPr>
          <w:rFonts w:ascii="Times New Roman" w:hAnsi="Times New Roman" w:cs="Times New Roman"/>
          <w:sz w:val="24"/>
          <w:szCs w:val="24"/>
          <w:lang w:val="pt-BR"/>
        </w:rPr>
        <w:t>&amp;FBOVESPA</w:t>
      </w:r>
      <w:r w:rsidRPr="002A7F74">
        <w:rPr>
          <w:rFonts w:ascii="Times New Roman" w:hAnsi="Times New Roman" w:cs="Times New Roman"/>
          <w:sz w:val="24"/>
          <w:szCs w:val="24"/>
          <w:lang w:val="pt-BR"/>
        </w:rPr>
        <w:t xml:space="preserve"> </w:t>
      </w:r>
      <w:r w:rsidR="007541E7" w:rsidRPr="002A7F74">
        <w:rPr>
          <w:rFonts w:ascii="Times New Roman" w:hAnsi="Times New Roman" w:cs="Times New Roman"/>
          <w:sz w:val="24"/>
          <w:szCs w:val="24"/>
          <w:lang w:val="pt-BR"/>
        </w:rPr>
        <w:t xml:space="preserve">também </w:t>
      </w:r>
      <w:r w:rsidRPr="002A7F74">
        <w:rPr>
          <w:rFonts w:ascii="Times New Roman" w:hAnsi="Times New Roman" w:cs="Times New Roman"/>
          <w:sz w:val="24"/>
          <w:szCs w:val="24"/>
          <w:lang w:val="pt-BR"/>
        </w:rPr>
        <w:t>propõe ajustes de redação para que o dispositivo faça referência ao depós</w:t>
      </w:r>
      <w:r w:rsidR="0096356F" w:rsidRPr="002A7F74">
        <w:rPr>
          <w:rFonts w:ascii="Times New Roman" w:hAnsi="Times New Roman" w:cs="Times New Roman"/>
          <w:sz w:val="24"/>
          <w:szCs w:val="24"/>
          <w:lang w:val="pt-BR"/>
        </w:rPr>
        <w:t>ito centralizado e se aproxime d</w:t>
      </w:r>
      <w:r w:rsidRPr="002A7F74">
        <w:rPr>
          <w:rFonts w:ascii="Times New Roman" w:hAnsi="Times New Roman" w:cs="Times New Roman"/>
          <w:sz w:val="24"/>
          <w:szCs w:val="24"/>
          <w:lang w:val="pt-BR"/>
        </w:rPr>
        <w:t xml:space="preserve">o texto da </w:t>
      </w:r>
      <w:r w:rsidR="002D5A6B" w:rsidRPr="002A7F74">
        <w:rPr>
          <w:rFonts w:ascii="Times New Roman" w:hAnsi="Times New Roman" w:cs="Times New Roman"/>
          <w:sz w:val="24"/>
          <w:szCs w:val="24"/>
          <w:lang w:val="pt-BR"/>
        </w:rPr>
        <w:t>Instrução CVM nº</w:t>
      </w:r>
      <w:r w:rsidRPr="002A7F74">
        <w:rPr>
          <w:rFonts w:ascii="Times New Roman" w:hAnsi="Times New Roman" w:cs="Times New Roman"/>
          <w:sz w:val="24"/>
          <w:szCs w:val="24"/>
          <w:lang w:val="pt-BR"/>
        </w:rPr>
        <w:t xml:space="preserve"> </w:t>
      </w:r>
      <w:r w:rsidR="002D5A6B" w:rsidRPr="002A7F74">
        <w:rPr>
          <w:rFonts w:ascii="Times New Roman" w:hAnsi="Times New Roman" w:cs="Times New Roman"/>
          <w:sz w:val="24"/>
          <w:szCs w:val="24"/>
          <w:lang w:val="pt-BR"/>
        </w:rPr>
        <w:t xml:space="preserve">541, </w:t>
      </w:r>
      <w:r w:rsidRPr="002A7F74">
        <w:rPr>
          <w:rFonts w:ascii="Times New Roman" w:hAnsi="Times New Roman" w:cs="Times New Roman"/>
          <w:sz w:val="24"/>
          <w:szCs w:val="24"/>
          <w:lang w:val="pt-BR"/>
        </w:rPr>
        <w:t>de 2013.</w:t>
      </w:r>
    </w:p>
    <w:tbl>
      <w:tblPr>
        <w:tblStyle w:val="TableNormal"/>
        <w:tblpPr w:leftFromText="141" w:rightFromText="141" w:vertAnchor="text" w:horzAnchor="margin" w:tblpY="554"/>
        <w:tblW w:w="103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5E6AD1" w:rsidRPr="00533EEE" w:rsidTr="004F40A1">
        <w:trPr>
          <w:trHeight w:val="335"/>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6B07C6" w:rsidRPr="002A7F74" w:rsidRDefault="005E6AD1" w:rsidP="006B07C6">
            <w:pPr>
              <w:spacing w:line="312" w:lineRule="auto"/>
              <w:ind w:firstLine="709"/>
              <w:jc w:val="both"/>
              <w:rPr>
                <w:lang w:val="pt-BR"/>
              </w:rPr>
            </w:pPr>
            <w:r w:rsidRPr="002A7F74">
              <w:rPr>
                <w:lang w:val="pt-BR"/>
              </w:rPr>
              <w:t>A</w:t>
            </w:r>
            <w:r w:rsidR="00CB3D8F" w:rsidRPr="002A7F74">
              <w:rPr>
                <w:lang w:val="pt-BR"/>
              </w:rPr>
              <w:t xml:space="preserve"> CVM</w:t>
            </w:r>
            <w:r w:rsidR="00B260C2" w:rsidRPr="002A7F74">
              <w:rPr>
                <w:lang w:val="pt-BR"/>
              </w:rPr>
              <w:t xml:space="preserve"> preferiu manter o dispositivo também </w:t>
            </w:r>
            <w:r w:rsidR="00CB3D8F" w:rsidRPr="002A7F74">
              <w:rPr>
                <w:lang w:val="pt-BR"/>
              </w:rPr>
              <w:t xml:space="preserve">na norma </w:t>
            </w:r>
            <w:r w:rsidR="00B260C2" w:rsidRPr="002A7F74">
              <w:rPr>
                <w:lang w:val="pt-BR"/>
              </w:rPr>
              <w:t>de nota promissória</w:t>
            </w:r>
            <w:r w:rsidR="006B07C6" w:rsidRPr="002A7F74">
              <w:rPr>
                <w:lang w:val="pt-BR"/>
              </w:rPr>
              <w:t xml:space="preserve">, sobretudo para afastar qualquer interpretação sobre conflitos entre o </w:t>
            </w:r>
            <w:r w:rsidR="006B07C6" w:rsidRPr="002A7F74">
              <w:rPr>
                <w:b/>
                <w:lang w:val="pt-BR"/>
              </w:rPr>
              <w:t>caput</w:t>
            </w:r>
            <w:r w:rsidR="006B07C6" w:rsidRPr="002A7F74">
              <w:rPr>
                <w:i/>
                <w:lang w:val="pt-BR"/>
              </w:rPr>
              <w:t xml:space="preserve"> </w:t>
            </w:r>
            <w:r w:rsidR="006B07C6" w:rsidRPr="002A7F74">
              <w:rPr>
                <w:lang w:val="pt-BR"/>
              </w:rPr>
              <w:t xml:space="preserve">do seu art. </w:t>
            </w:r>
            <w:r w:rsidR="00827412" w:rsidRPr="002A7F74">
              <w:rPr>
                <w:lang w:val="pt-BR"/>
              </w:rPr>
              <w:t xml:space="preserve">3º </w:t>
            </w:r>
            <w:r w:rsidR="00B260C2" w:rsidRPr="002A7F74">
              <w:rPr>
                <w:lang w:val="pt-BR"/>
              </w:rPr>
              <w:t>(</w:t>
            </w:r>
            <w:r w:rsidR="00E26AB2">
              <w:rPr>
                <w:lang w:val="pt-BR"/>
              </w:rPr>
              <w:t>que não encontra</w:t>
            </w:r>
            <w:r w:rsidR="00B260C2" w:rsidRPr="002A7F74">
              <w:rPr>
                <w:lang w:val="pt-BR"/>
              </w:rPr>
              <w:t xml:space="preserve"> previsão nas </w:t>
            </w:r>
            <w:r w:rsidR="00B260C2" w:rsidRPr="002A7F74">
              <w:rPr>
                <w:lang w:val="pt-BR"/>
              </w:rPr>
              <w:lastRenderedPageBreak/>
              <w:t xml:space="preserve">normas de depósito centralizado) </w:t>
            </w:r>
            <w:r w:rsidR="006B07C6" w:rsidRPr="002A7F74">
              <w:rPr>
                <w:lang w:val="pt-BR"/>
              </w:rPr>
              <w:t xml:space="preserve">e as </w:t>
            </w:r>
            <w:r w:rsidR="00E26AB2">
              <w:rPr>
                <w:lang w:val="pt-BR"/>
              </w:rPr>
              <w:t>normas</w:t>
            </w:r>
            <w:r w:rsidR="006B07C6" w:rsidRPr="002A7F74">
              <w:rPr>
                <w:lang w:val="pt-BR"/>
              </w:rPr>
              <w:t xml:space="preserve"> que tratam de depósito centralizado</w:t>
            </w:r>
            <w:r w:rsidR="00E26AB2" w:rsidRPr="002A7F74">
              <w:rPr>
                <w:lang w:val="pt-BR"/>
              </w:rPr>
              <w:t xml:space="preserve"> especificamente</w:t>
            </w:r>
            <w:r w:rsidR="006B07C6" w:rsidRPr="002A7F74">
              <w:rPr>
                <w:lang w:val="pt-BR"/>
              </w:rPr>
              <w:t>.</w:t>
            </w:r>
            <w:r w:rsidR="006B07C6" w:rsidRPr="002A7F74">
              <w:rPr>
                <w:i/>
                <w:lang w:val="pt-BR"/>
              </w:rPr>
              <w:t xml:space="preserve"> </w:t>
            </w:r>
          </w:p>
          <w:p w:rsidR="006B07C6" w:rsidRPr="002A7F74" w:rsidRDefault="006B07C6" w:rsidP="006B07C6">
            <w:pPr>
              <w:spacing w:line="312" w:lineRule="auto"/>
              <w:ind w:firstLine="709"/>
              <w:jc w:val="both"/>
              <w:rPr>
                <w:lang w:val="pt-BR"/>
              </w:rPr>
            </w:pPr>
          </w:p>
          <w:p w:rsidR="005E6AD1" w:rsidRPr="002A7F74" w:rsidRDefault="00CB3D8F" w:rsidP="006B07C6">
            <w:pPr>
              <w:spacing w:line="312" w:lineRule="auto"/>
              <w:ind w:firstLine="709"/>
              <w:jc w:val="both"/>
              <w:rPr>
                <w:lang w:val="pt-BR"/>
              </w:rPr>
            </w:pPr>
            <w:r w:rsidRPr="002A7F74">
              <w:rPr>
                <w:lang w:val="pt-BR"/>
              </w:rPr>
              <w:t>No entanto, os ajustes</w:t>
            </w:r>
            <w:r w:rsidR="007541E7" w:rsidRPr="002A7F74">
              <w:rPr>
                <w:lang w:val="pt-BR"/>
              </w:rPr>
              <w:t xml:space="preserve"> de redação</w:t>
            </w:r>
            <w:r w:rsidR="005E6AD1" w:rsidRPr="002A7F74">
              <w:rPr>
                <w:lang w:val="pt-BR"/>
              </w:rPr>
              <w:t xml:space="preserve"> </w:t>
            </w:r>
            <w:r w:rsidRPr="002A7F74">
              <w:rPr>
                <w:lang w:val="pt-BR"/>
              </w:rPr>
              <w:t>sugeridos</w:t>
            </w:r>
            <w:r w:rsidR="006B07C6" w:rsidRPr="002A7F74">
              <w:rPr>
                <w:lang w:val="pt-BR"/>
              </w:rPr>
              <w:t xml:space="preserve"> </w:t>
            </w:r>
            <w:r w:rsidRPr="002A7F74">
              <w:rPr>
                <w:lang w:val="pt-BR"/>
              </w:rPr>
              <w:t>são pertinentes e encontram-se refletidos na Minuta.</w:t>
            </w:r>
          </w:p>
        </w:tc>
      </w:tr>
    </w:tbl>
    <w:p w:rsidR="00F2448F" w:rsidRPr="002A7F74" w:rsidRDefault="00F2448F" w:rsidP="00827412">
      <w:pPr>
        <w:pStyle w:val="CorpoA"/>
        <w:spacing w:after="0" w:line="312" w:lineRule="auto"/>
        <w:jc w:val="both"/>
        <w:rPr>
          <w:rFonts w:ascii="Times New Roman" w:hAnsi="Times New Roman" w:cs="Times New Roman"/>
          <w:sz w:val="24"/>
          <w:szCs w:val="24"/>
          <w:lang w:val="pt-BR"/>
        </w:rPr>
      </w:pPr>
    </w:p>
    <w:p w:rsidR="00DA3FBE" w:rsidRDefault="00DA3FBE" w:rsidP="00827412">
      <w:pPr>
        <w:pStyle w:val="CorpoA"/>
        <w:widowControl w:val="0"/>
        <w:spacing w:after="0" w:line="312" w:lineRule="auto"/>
        <w:ind w:firstLine="708"/>
        <w:jc w:val="both"/>
        <w:rPr>
          <w:rFonts w:ascii="Times New Roman" w:hAnsi="Times New Roman" w:cs="Times New Roman"/>
          <w:sz w:val="24"/>
          <w:szCs w:val="24"/>
          <w:lang w:val="pt-BR"/>
        </w:rPr>
      </w:pPr>
    </w:p>
    <w:p w:rsidR="006F5DB8" w:rsidRPr="002A7F74" w:rsidRDefault="0045063C" w:rsidP="00827412">
      <w:pPr>
        <w:pStyle w:val="CorpoA"/>
        <w:widowControl w:val="0"/>
        <w:spacing w:after="0" w:line="312" w:lineRule="auto"/>
        <w:ind w:firstLine="708"/>
        <w:jc w:val="both"/>
        <w:rPr>
          <w:rFonts w:ascii="Times New Roman" w:hAnsi="Times New Roman" w:cs="Times New Roman"/>
          <w:sz w:val="24"/>
          <w:szCs w:val="24"/>
          <w:lang w:val="pt-BR"/>
        </w:rPr>
      </w:pPr>
      <w:r w:rsidRPr="002A7F74">
        <w:rPr>
          <w:rFonts w:ascii="Times New Roman" w:hAnsi="Times New Roman" w:cs="Times New Roman"/>
          <w:sz w:val="24"/>
          <w:szCs w:val="24"/>
          <w:lang w:val="pt-BR"/>
        </w:rPr>
        <w:t>A partir da</w:t>
      </w:r>
      <w:r w:rsidR="00FC0B68" w:rsidRPr="002A7F74">
        <w:rPr>
          <w:rFonts w:ascii="Times New Roman" w:hAnsi="Times New Roman" w:cs="Times New Roman"/>
          <w:sz w:val="24"/>
          <w:szCs w:val="24"/>
          <w:lang w:val="pt-BR"/>
        </w:rPr>
        <w:t xml:space="preserve"> referência à cártula</w:t>
      </w:r>
      <w:r w:rsidRPr="002A7F74">
        <w:rPr>
          <w:rFonts w:ascii="Times New Roman" w:hAnsi="Times New Roman" w:cs="Times New Roman"/>
          <w:sz w:val="24"/>
          <w:szCs w:val="24"/>
          <w:lang w:val="pt-BR"/>
        </w:rPr>
        <w:t xml:space="preserve"> da nota promissória,</w:t>
      </w:r>
      <w:r w:rsidR="00FC0B68" w:rsidRPr="002A7F74">
        <w:rPr>
          <w:rFonts w:ascii="Times New Roman" w:hAnsi="Times New Roman" w:cs="Times New Roman"/>
          <w:sz w:val="24"/>
          <w:szCs w:val="24"/>
          <w:lang w:val="pt-BR"/>
        </w:rPr>
        <w:t xml:space="preserve"> </w:t>
      </w:r>
      <w:r w:rsidR="00B260C2" w:rsidRPr="002A7F74">
        <w:rPr>
          <w:rFonts w:ascii="Times New Roman" w:hAnsi="Times New Roman" w:cs="Times New Roman"/>
          <w:sz w:val="24"/>
          <w:szCs w:val="24"/>
          <w:lang w:val="pt-BR"/>
        </w:rPr>
        <w:t>encontrada n</w:t>
      </w:r>
      <w:r w:rsidR="00FC0B68" w:rsidRPr="002A7F74">
        <w:rPr>
          <w:rFonts w:ascii="Times New Roman" w:hAnsi="Times New Roman" w:cs="Times New Roman"/>
          <w:sz w:val="24"/>
          <w:szCs w:val="24"/>
          <w:lang w:val="pt-BR"/>
        </w:rPr>
        <w:t>o § 1º do art. 3º,</w:t>
      </w:r>
      <w:r w:rsidR="00AD75B1">
        <w:rPr>
          <w:rFonts w:ascii="Times New Roman" w:hAnsi="Times New Roman" w:cs="Times New Roman"/>
          <w:sz w:val="24"/>
          <w:szCs w:val="24"/>
          <w:lang w:val="pt-BR"/>
        </w:rPr>
        <w:t xml:space="preserve"> o</w:t>
      </w:r>
      <w:r w:rsidR="00FC0B68" w:rsidRPr="002A7F74">
        <w:rPr>
          <w:rFonts w:ascii="Times New Roman" w:hAnsi="Times New Roman" w:cs="Times New Roman"/>
          <w:sz w:val="24"/>
          <w:szCs w:val="24"/>
          <w:lang w:val="pt-BR"/>
        </w:rPr>
        <w:t xml:space="preserve"> </w:t>
      </w:r>
      <w:r w:rsidR="002A7F74">
        <w:rPr>
          <w:rFonts w:ascii="Times New Roman" w:hAnsi="Times New Roman" w:cs="Times New Roman"/>
          <w:sz w:val="24"/>
          <w:szCs w:val="24"/>
          <w:lang w:val="pt-BR"/>
        </w:rPr>
        <w:t>Stocche</w:t>
      </w:r>
      <w:r w:rsidR="006F5DB8" w:rsidRPr="002A7F74">
        <w:rPr>
          <w:rFonts w:ascii="Times New Roman" w:hAnsi="Times New Roman" w:cs="Times New Roman"/>
          <w:sz w:val="24"/>
          <w:szCs w:val="24"/>
          <w:lang w:val="pt-BR"/>
        </w:rPr>
        <w:t xml:space="preserve"> Forbes sugere </w:t>
      </w:r>
      <w:r w:rsidR="00FC0B68" w:rsidRPr="002A7F74">
        <w:rPr>
          <w:rFonts w:ascii="Times New Roman" w:hAnsi="Times New Roman" w:cs="Times New Roman"/>
          <w:sz w:val="24"/>
          <w:szCs w:val="24"/>
          <w:lang w:val="pt-BR"/>
        </w:rPr>
        <w:t>que a CVM autorize a</w:t>
      </w:r>
      <w:r w:rsidR="006F5DB8" w:rsidRPr="002A7F74">
        <w:rPr>
          <w:rFonts w:ascii="Times New Roman" w:hAnsi="Times New Roman" w:cs="Times New Roman"/>
          <w:sz w:val="24"/>
          <w:szCs w:val="24"/>
          <w:lang w:val="pt-BR"/>
        </w:rPr>
        <w:t xml:space="preserve"> emissão de nota</w:t>
      </w:r>
      <w:r w:rsidRPr="002A7F74">
        <w:rPr>
          <w:rFonts w:ascii="Times New Roman" w:hAnsi="Times New Roman" w:cs="Times New Roman"/>
          <w:sz w:val="24"/>
          <w:szCs w:val="24"/>
          <w:lang w:val="pt-BR"/>
        </w:rPr>
        <w:t>s</w:t>
      </w:r>
      <w:r w:rsidR="006F5DB8" w:rsidRPr="002A7F74">
        <w:rPr>
          <w:rFonts w:ascii="Times New Roman" w:hAnsi="Times New Roman" w:cs="Times New Roman"/>
          <w:sz w:val="24"/>
          <w:szCs w:val="24"/>
          <w:lang w:val="pt-BR"/>
        </w:rPr>
        <w:t xml:space="preserve"> promissória</w:t>
      </w:r>
      <w:r w:rsidRPr="002A7F74">
        <w:rPr>
          <w:rFonts w:ascii="Times New Roman" w:hAnsi="Times New Roman" w:cs="Times New Roman"/>
          <w:sz w:val="24"/>
          <w:szCs w:val="24"/>
          <w:lang w:val="pt-BR"/>
        </w:rPr>
        <w:t>s escriturais</w:t>
      </w:r>
      <w:r w:rsidR="006F5DB8" w:rsidRPr="002A7F74">
        <w:rPr>
          <w:rFonts w:ascii="Times New Roman" w:hAnsi="Times New Roman" w:cs="Times New Roman"/>
          <w:sz w:val="24"/>
          <w:szCs w:val="24"/>
          <w:lang w:val="pt-BR"/>
        </w:rPr>
        <w:t xml:space="preserve">, aproximando </w:t>
      </w:r>
      <w:r w:rsidRPr="002A7F74">
        <w:rPr>
          <w:rFonts w:ascii="Times New Roman" w:hAnsi="Times New Roman" w:cs="Times New Roman"/>
          <w:sz w:val="24"/>
          <w:szCs w:val="24"/>
          <w:lang w:val="pt-BR"/>
        </w:rPr>
        <w:t xml:space="preserve">as </w:t>
      </w:r>
      <w:r w:rsidR="008F2219" w:rsidRPr="002A7F74">
        <w:rPr>
          <w:rFonts w:ascii="Times New Roman" w:hAnsi="Times New Roman" w:cs="Times New Roman"/>
          <w:sz w:val="24"/>
          <w:szCs w:val="24"/>
          <w:lang w:val="pt-BR"/>
        </w:rPr>
        <w:t>características</w:t>
      </w:r>
      <w:r w:rsidRPr="002A7F74">
        <w:rPr>
          <w:rFonts w:ascii="Times New Roman" w:hAnsi="Times New Roman" w:cs="Times New Roman"/>
          <w:sz w:val="24"/>
          <w:szCs w:val="24"/>
          <w:lang w:val="pt-BR"/>
        </w:rPr>
        <w:t xml:space="preserve"> </w:t>
      </w:r>
      <w:r w:rsidR="00B80CDA" w:rsidRPr="002A7F74">
        <w:rPr>
          <w:rFonts w:ascii="Times New Roman" w:hAnsi="Times New Roman" w:cs="Times New Roman"/>
          <w:sz w:val="24"/>
          <w:szCs w:val="24"/>
          <w:lang w:val="pt-BR"/>
        </w:rPr>
        <w:t>desse</w:t>
      </w:r>
      <w:r w:rsidR="00FC0B68" w:rsidRPr="002A7F74">
        <w:rPr>
          <w:rFonts w:ascii="Times New Roman" w:hAnsi="Times New Roman" w:cs="Times New Roman"/>
          <w:sz w:val="24"/>
          <w:szCs w:val="24"/>
          <w:lang w:val="pt-BR"/>
        </w:rPr>
        <w:t xml:space="preserve"> instrumento</w:t>
      </w:r>
      <w:r w:rsidR="006F5DB8" w:rsidRPr="002A7F74">
        <w:rPr>
          <w:rFonts w:ascii="Times New Roman" w:hAnsi="Times New Roman" w:cs="Times New Roman"/>
          <w:sz w:val="24"/>
          <w:szCs w:val="24"/>
          <w:lang w:val="pt-BR"/>
        </w:rPr>
        <w:t xml:space="preserve"> </w:t>
      </w:r>
      <w:r w:rsidR="00B80CDA" w:rsidRPr="002A7F74">
        <w:rPr>
          <w:rFonts w:ascii="Times New Roman" w:hAnsi="Times New Roman" w:cs="Times New Roman"/>
          <w:sz w:val="24"/>
          <w:szCs w:val="24"/>
          <w:lang w:val="pt-BR"/>
        </w:rPr>
        <w:t>da</w:t>
      </w:r>
      <w:r w:rsidRPr="002A7F74">
        <w:rPr>
          <w:rFonts w:ascii="Times New Roman" w:hAnsi="Times New Roman" w:cs="Times New Roman"/>
          <w:sz w:val="24"/>
          <w:szCs w:val="24"/>
          <w:lang w:val="pt-BR"/>
        </w:rPr>
        <w:t>quelas encontradas no mercado norte-americano</w:t>
      </w:r>
      <w:r w:rsidR="00C73139" w:rsidRPr="002A7F74">
        <w:rPr>
          <w:rFonts w:ascii="Times New Roman" w:hAnsi="Times New Roman" w:cs="Times New Roman"/>
          <w:sz w:val="24"/>
          <w:szCs w:val="24"/>
          <w:lang w:val="pt-BR"/>
        </w:rPr>
        <w:t xml:space="preserve"> de </w:t>
      </w:r>
      <w:r w:rsidR="00C73139" w:rsidRPr="002A7F74">
        <w:rPr>
          <w:rFonts w:ascii="Times New Roman" w:hAnsi="Times New Roman" w:cs="Times New Roman"/>
          <w:i/>
          <w:sz w:val="24"/>
          <w:szCs w:val="24"/>
          <w:lang w:val="pt-BR"/>
        </w:rPr>
        <w:t>commercial papers</w:t>
      </w:r>
      <w:r w:rsidRPr="002A7F74">
        <w:rPr>
          <w:rFonts w:ascii="Times New Roman" w:hAnsi="Times New Roman" w:cs="Times New Roman"/>
          <w:sz w:val="24"/>
          <w:szCs w:val="24"/>
          <w:lang w:val="pt-BR"/>
        </w:rPr>
        <w:t xml:space="preserve">, </w:t>
      </w:r>
      <w:r w:rsidR="00FC0B68" w:rsidRPr="002A7F74">
        <w:rPr>
          <w:rFonts w:ascii="Times New Roman" w:hAnsi="Times New Roman" w:cs="Times New Roman"/>
          <w:sz w:val="24"/>
          <w:szCs w:val="24"/>
          <w:lang w:val="pt-BR"/>
        </w:rPr>
        <w:t xml:space="preserve">onde, segundo o participante, isso </w:t>
      </w:r>
      <w:r w:rsidRPr="002A7F74">
        <w:rPr>
          <w:rFonts w:ascii="Times New Roman" w:hAnsi="Times New Roman" w:cs="Times New Roman"/>
          <w:sz w:val="24"/>
          <w:szCs w:val="24"/>
          <w:lang w:val="pt-BR"/>
        </w:rPr>
        <w:t xml:space="preserve">já </w:t>
      </w:r>
      <w:r w:rsidR="00FC0B68" w:rsidRPr="002A7F74">
        <w:rPr>
          <w:rFonts w:ascii="Times New Roman" w:hAnsi="Times New Roman" w:cs="Times New Roman"/>
          <w:sz w:val="24"/>
          <w:szCs w:val="24"/>
          <w:lang w:val="pt-BR"/>
        </w:rPr>
        <w:t>seria possível.</w:t>
      </w:r>
    </w:p>
    <w:p w:rsidR="00437F86" w:rsidRPr="002A7F74" w:rsidRDefault="00437F86" w:rsidP="00A93F2F">
      <w:pPr>
        <w:pStyle w:val="CorpoA"/>
        <w:spacing w:after="0" w:line="312" w:lineRule="auto"/>
        <w:jc w:val="both"/>
        <w:rPr>
          <w:rFonts w:ascii="Times New Roman" w:eastAsia="Times New Roman" w:hAnsi="Times New Roman" w:cs="Times New Roman"/>
          <w:sz w:val="24"/>
          <w:szCs w:val="24"/>
          <w:lang w:val="pt-BR"/>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6F5DB8" w:rsidRPr="00533EEE" w:rsidTr="006F5DB8">
        <w:trPr>
          <w:trHeight w:val="687"/>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CC2D48" w:rsidRPr="002A7F74" w:rsidRDefault="00A5793E" w:rsidP="00C32A73">
            <w:pPr>
              <w:spacing w:line="312" w:lineRule="auto"/>
              <w:ind w:firstLine="567"/>
              <w:jc w:val="both"/>
              <w:rPr>
                <w:lang w:val="pt-BR"/>
              </w:rPr>
            </w:pPr>
            <w:r w:rsidRPr="002A7F74">
              <w:rPr>
                <w:lang w:val="pt-BR"/>
              </w:rPr>
              <w:t>A natureza</w:t>
            </w:r>
            <w:r w:rsidR="006F5DB8" w:rsidRPr="002A7F74">
              <w:rPr>
                <w:lang w:val="pt-BR"/>
              </w:rPr>
              <w:t xml:space="preserve"> cartular </w:t>
            </w:r>
            <w:r w:rsidR="00C73139" w:rsidRPr="002A7F74">
              <w:rPr>
                <w:lang w:val="pt-BR"/>
              </w:rPr>
              <w:t>da</w:t>
            </w:r>
            <w:r w:rsidR="006F5DB8" w:rsidRPr="002A7F74">
              <w:rPr>
                <w:lang w:val="pt-BR"/>
              </w:rPr>
              <w:t xml:space="preserve"> nota promissória é </w:t>
            </w:r>
            <w:r w:rsidR="00C73139" w:rsidRPr="002A7F74">
              <w:rPr>
                <w:lang w:val="pt-BR"/>
              </w:rPr>
              <w:t xml:space="preserve">uma imposição </w:t>
            </w:r>
            <w:r w:rsidR="006F5DB8" w:rsidRPr="002A7F74">
              <w:rPr>
                <w:lang w:val="pt-BR"/>
              </w:rPr>
              <w:t xml:space="preserve">da Lei </w:t>
            </w:r>
            <w:r w:rsidR="00EC72CD" w:rsidRPr="002A7F74">
              <w:rPr>
                <w:lang w:val="pt-BR"/>
              </w:rPr>
              <w:t>Uniforme</w:t>
            </w:r>
            <w:r w:rsidR="006F5DB8" w:rsidRPr="002A7F74">
              <w:rPr>
                <w:lang w:val="pt-BR"/>
              </w:rPr>
              <w:t xml:space="preserve"> de Genebra</w:t>
            </w:r>
            <w:r w:rsidR="00C32A73" w:rsidRPr="002A7F74">
              <w:rPr>
                <w:lang w:val="pt-BR"/>
              </w:rPr>
              <w:t xml:space="preserve"> e até mesmo de outras disposições </w:t>
            </w:r>
            <w:r w:rsidR="00E26AB2">
              <w:rPr>
                <w:lang w:val="pt-BR"/>
              </w:rPr>
              <w:t>legais</w:t>
            </w:r>
            <w:r w:rsidR="009A631F" w:rsidRPr="002A7F74">
              <w:rPr>
                <w:lang w:val="pt-BR"/>
              </w:rPr>
              <w:t>.</w:t>
            </w:r>
            <w:r w:rsidRPr="002A7F74">
              <w:rPr>
                <w:lang w:val="pt-BR"/>
              </w:rPr>
              <w:t xml:space="preserve"> Ela </w:t>
            </w:r>
            <w:r w:rsidR="00821A72" w:rsidRPr="002A7F74">
              <w:rPr>
                <w:lang w:val="pt-BR"/>
              </w:rPr>
              <w:t xml:space="preserve">independe, portanto, das </w:t>
            </w:r>
            <w:r w:rsidR="00C32A73" w:rsidRPr="002A7F74">
              <w:rPr>
                <w:lang w:val="pt-BR"/>
              </w:rPr>
              <w:t>regras da CVM.</w:t>
            </w:r>
            <w:r w:rsidR="005E6AD1" w:rsidRPr="002A7F74">
              <w:rPr>
                <w:lang w:val="pt-BR"/>
              </w:rPr>
              <w:t xml:space="preserve"> </w:t>
            </w:r>
          </w:p>
          <w:p w:rsidR="00CC2D48" w:rsidRPr="002A7F74" w:rsidRDefault="00CC2D48" w:rsidP="00C32A73">
            <w:pPr>
              <w:spacing w:line="312" w:lineRule="auto"/>
              <w:ind w:firstLine="567"/>
              <w:jc w:val="both"/>
              <w:rPr>
                <w:lang w:val="pt-BR"/>
              </w:rPr>
            </w:pPr>
          </w:p>
          <w:p w:rsidR="006F5DB8" w:rsidRPr="002A7F74" w:rsidRDefault="005E6AD1" w:rsidP="00C32A73">
            <w:pPr>
              <w:spacing w:line="312" w:lineRule="auto"/>
              <w:ind w:firstLine="567"/>
              <w:jc w:val="both"/>
              <w:rPr>
                <w:lang w:val="pt-BR"/>
              </w:rPr>
            </w:pPr>
            <w:r w:rsidRPr="002A7F74">
              <w:rPr>
                <w:lang w:val="pt-BR"/>
              </w:rPr>
              <w:t>O exem</w:t>
            </w:r>
            <w:r w:rsidR="00C73139" w:rsidRPr="002A7F74">
              <w:rPr>
                <w:lang w:val="pt-BR"/>
              </w:rPr>
              <w:t xml:space="preserve">plo </w:t>
            </w:r>
            <w:r w:rsidR="00C32A73" w:rsidRPr="002A7F74">
              <w:rPr>
                <w:lang w:val="pt-BR"/>
              </w:rPr>
              <w:t>norte-</w:t>
            </w:r>
            <w:r w:rsidR="00C73139" w:rsidRPr="002A7F74">
              <w:rPr>
                <w:lang w:val="pt-BR"/>
              </w:rPr>
              <w:t xml:space="preserve">americano não é pertinente, tendo em vista que este e outros países </w:t>
            </w:r>
            <w:r w:rsidR="00CC2D48" w:rsidRPr="002A7F74">
              <w:rPr>
                <w:lang w:val="pt-BR"/>
              </w:rPr>
              <w:t>onde</w:t>
            </w:r>
            <w:r w:rsidR="00C73139" w:rsidRPr="002A7F74">
              <w:rPr>
                <w:lang w:val="pt-BR"/>
              </w:rPr>
              <w:t xml:space="preserve"> se admite a emissão de notas promissórias</w:t>
            </w:r>
            <w:r w:rsidR="00CC2D48" w:rsidRPr="002A7F74">
              <w:rPr>
                <w:lang w:val="pt-BR"/>
              </w:rPr>
              <w:t xml:space="preserve"> eletrônicas ou</w:t>
            </w:r>
            <w:r w:rsidR="00C73139" w:rsidRPr="002A7F74">
              <w:rPr>
                <w:lang w:val="pt-BR"/>
              </w:rPr>
              <w:t xml:space="preserve"> escriturais </w:t>
            </w:r>
            <w:r w:rsidR="00C32A73" w:rsidRPr="002A7F74">
              <w:rPr>
                <w:lang w:val="pt-BR"/>
              </w:rPr>
              <w:t>promoveram alguma alteração legislativa que o permitisse</w:t>
            </w:r>
            <w:r w:rsidR="00821A72" w:rsidRPr="002A7F74">
              <w:rPr>
                <w:lang w:val="pt-BR"/>
              </w:rPr>
              <w:t xml:space="preserve">, </w:t>
            </w:r>
            <w:r w:rsidR="00E26AB2">
              <w:rPr>
                <w:lang w:val="pt-BR"/>
              </w:rPr>
              <w:t>adaptando</w:t>
            </w:r>
            <w:r w:rsidR="00821A72" w:rsidRPr="002A7F74">
              <w:rPr>
                <w:lang w:val="pt-BR"/>
              </w:rPr>
              <w:t xml:space="preserve"> seus ordenamentos anteriores</w:t>
            </w:r>
            <w:r w:rsidR="00C32A73" w:rsidRPr="002A7F74">
              <w:rPr>
                <w:lang w:val="pt-BR"/>
              </w:rPr>
              <w:t>.</w:t>
            </w:r>
          </w:p>
          <w:p w:rsidR="00C32A73" w:rsidRPr="002A7F74" w:rsidRDefault="00C32A73" w:rsidP="00C32A73">
            <w:pPr>
              <w:spacing w:line="312" w:lineRule="auto"/>
              <w:ind w:firstLine="567"/>
              <w:jc w:val="both"/>
              <w:rPr>
                <w:lang w:val="pt-BR"/>
              </w:rPr>
            </w:pPr>
          </w:p>
          <w:p w:rsidR="00C32A73" w:rsidRPr="002A7F74" w:rsidRDefault="00C32A73" w:rsidP="00C32A73">
            <w:pPr>
              <w:spacing w:line="312" w:lineRule="auto"/>
              <w:ind w:firstLine="567"/>
              <w:jc w:val="both"/>
              <w:rPr>
                <w:lang w:val="pt-BR"/>
              </w:rPr>
            </w:pPr>
            <w:r w:rsidRPr="002A7F74">
              <w:rPr>
                <w:lang w:val="pt-BR"/>
              </w:rPr>
              <w:t>Por esse motivo, a sugestão do participante não foi acatada.</w:t>
            </w:r>
          </w:p>
        </w:tc>
      </w:tr>
    </w:tbl>
    <w:p w:rsidR="009A631F" w:rsidRPr="002A7F74" w:rsidRDefault="009A631F" w:rsidP="00A93F2F">
      <w:pPr>
        <w:pStyle w:val="CorpoA"/>
        <w:spacing w:after="0" w:line="312" w:lineRule="auto"/>
        <w:rPr>
          <w:rFonts w:ascii="Times New Roman" w:hAnsi="Times New Roman" w:cs="Times New Roman"/>
          <w:sz w:val="24"/>
          <w:szCs w:val="24"/>
          <w:lang w:val="pt-BR"/>
        </w:rPr>
      </w:pPr>
    </w:p>
    <w:p w:rsidR="00D9084C" w:rsidRPr="002A7F74" w:rsidRDefault="000F732D" w:rsidP="00A93F2F">
      <w:pPr>
        <w:pStyle w:val="CorpoA"/>
        <w:spacing w:after="0" w:line="312" w:lineRule="auto"/>
        <w:rPr>
          <w:rFonts w:ascii="Times New Roman" w:eastAsia="Times New Roman" w:hAnsi="Times New Roman" w:cs="Times New Roman"/>
          <w:b/>
          <w:bCs/>
          <w:sz w:val="24"/>
          <w:szCs w:val="24"/>
          <w:lang w:val="pt-BR"/>
        </w:rPr>
      </w:pPr>
      <w:r w:rsidRPr="002A7F74">
        <w:rPr>
          <w:rFonts w:ascii="Times New Roman" w:hAnsi="Times New Roman" w:cs="Times New Roman"/>
          <w:b/>
          <w:bCs/>
          <w:sz w:val="24"/>
          <w:szCs w:val="24"/>
          <w:lang w:val="pt-BR"/>
        </w:rPr>
        <w:t>3.4.</w:t>
      </w:r>
      <w:r w:rsidRPr="002A7F74">
        <w:rPr>
          <w:rFonts w:ascii="Times New Roman" w:hAnsi="Times New Roman" w:cs="Times New Roman"/>
          <w:b/>
          <w:bCs/>
          <w:sz w:val="24"/>
          <w:szCs w:val="24"/>
          <w:lang w:val="pt-BR"/>
        </w:rPr>
        <w:tab/>
      </w:r>
      <w:r w:rsidR="00C64550" w:rsidRPr="002A7F74">
        <w:rPr>
          <w:rFonts w:ascii="Times New Roman" w:hAnsi="Times New Roman" w:cs="Times New Roman"/>
          <w:b/>
          <w:sz w:val="24"/>
          <w:szCs w:val="24"/>
          <w:lang w:val="pt-BR"/>
        </w:rPr>
        <w:t xml:space="preserve">Circulação </w:t>
      </w:r>
      <w:r w:rsidR="00CC2D48" w:rsidRPr="002A7F74">
        <w:rPr>
          <w:rFonts w:ascii="Times New Roman" w:hAnsi="Times New Roman" w:cs="Times New Roman"/>
          <w:b/>
          <w:sz w:val="24"/>
          <w:szCs w:val="24"/>
          <w:lang w:val="pt-BR"/>
        </w:rPr>
        <w:t>–</w:t>
      </w:r>
      <w:r w:rsidR="00277D04" w:rsidRPr="002A7F74">
        <w:rPr>
          <w:rFonts w:ascii="Times New Roman" w:hAnsi="Times New Roman" w:cs="Times New Roman"/>
          <w:b/>
          <w:sz w:val="24"/>
          <w:szCs w:val="24"/>
          <w:lang w:val="pt-BR"/>
        </w:rPr>
        <w:t xml:space="preserve"> informações sobre o endosso (art. 3º,</w:t>
      </w:r>
      <w:r w:rsidR="00842927" w:rsidRPr="002A7F74">
        <w:rPr>
          <w:rFonts w:ascii="Times New Roman" w:hAnsi="Times New Roman" w:cs="Times New Roman"/>
          <w:b/>
          <w:sz w:val="24"/>
          <w:szCs w:val="24"/>
          <w:lang w:val="pt-BR"/>
        </w:rPr>
        <w:t xml:space="preserve"> § 2º</w:t>
      </w:r>
      <w:r w:rsidR="00B00D8A">
        <w:rPr>
          <w:rFonts w:ascii="Times New Roman" w:hAnsi="Times New Roman" w:cs="Times New Roman"/>
          <w:b/>
          <w:sz w:val="24"/>
          <w:szCs w:val="24"/>
          <w:lang w:val="pt-BR"/>
        </w:rPr>
        <w:t xml:space="preserve"> </w:t>
      </w:r>
      <w:r w:rsidR="00B00D8A">
        <w:rPr>
          <w:rFonts w:hAnsi="Times New Roman" w:cs="Times New Roman"/>
          <w:lang w:val="pt-BR"/>
        </w:rPr>
        <w:t>–</w:t>
      </w:r>
      <w:r w:rsidR="00415EF6">
        <w:rPr>
          <w:rFonts w:ascii="Times New Roman" w:hAnsi="Times New Roman" w:cs="Times New Roman"/>
          <w:b/>
          <w:sz w:val="24"/>
          <w:szCs w:val="24"/>
          <w:lang w:val="pt-BR"/>
        </w:rPr>
        <w:t xml:space="preserve"> atual art. 4º, §</w:t>
      </w:r>
      <w:r w:rsidR="00B00D8A">
        <w:rPr>
          <w:rFonts w:ascii="Times New Roman" w:hAnsi="Times New Roman" w:cs="Times New Roman"/>
          <w:b/>
          <w:sz w:val="24"/>
          <w:szCs w:val="24"/>
          <w:lang w:val="pt-BR"/>
        </w:rPr>
        <w:t xml:space="preserve"> </w:t>
      </w:r>
      <w:r w:rsidR="00415EF6">
        <w:rPr>
          <w:rFonts w:ascii="Times New Roman" w:hAnsi="Times New Roman" w:cs="Times New Roman"/>
          <w:b/>
          <w:sz w:val="24"/>
          <w:szCs w:val="24"/>
          <w:lang w:val="pt-BR"/>
        </w:rPr>
        <w:t>2º</w:t>
      </w:r>
      <w:r w:rsidR="00C64550" w:rsidRPr="002A7F74">
        <w:rPr>
          <w:rFonts w:ascii="Times New Roman" w:hAnsi="Times New Roman" w:cs="Times New Roman"/>
          <w:b/>
          <w:sz w:val="24"/>
          <w:szCs w:val="24"/>
          <w:lang w:val="pt-BR"/>
        </w:rPr>
        <w:t>)</w:t>
      </w:r>
    </w:p>
    <w:p w:rsidR="00D9084C" w:rsidRPr="002A7F74" w:rsidRDefault="00D9084C" w:rsidP="00A93F2F">
      <w:pPr>
        <w:pStyle w:val="Ttulo3"/>
        <w:spacing w:before="0"/>
        <w:rPr>
          <w:rFonts w:hAnsi="Times New Roman" w:cs="Times New Roman"/>
          <w:lang w:val="pt-BR"/>
        </w:rPr>
      </w:pPr>
    </w:p>
    <w:p w:rsidR="00D9084C" w:rsidRPr="002A7F74" w:rsidRDefault="00AD75B1" w:rsidP="00A93F2F">
      <w:pPr>
        <w:pStyle w:val="CorpoA"/>
        <w:spacing w:after="0" w:line="312" w:lineRule="auto"/>
        <w:ind w:firstLine="709"/>
        <w:jc w:val="both"/>
        <w:rPr>
          <w:rFonts w:ascii="Times New Roman" w:eastAsia="Times New Roman" w:hAnsi="Times New Roman" w:cs="Times New Roman"/>
          <w:sz w:val="24"/>
          <w:szCs w:val="24"/>
          <w:lang w:val="pt-BR"/>
        </w:rPr>
      </w:pPr>
      <w:r>
        <w:rPr>
          <w:rFonts w:ascii="Times New Roman" w:hAnsi="Times New Roman" w:cs="Times New Roman"/>
          <w:sz w:val="24"/>
          <w:szCs w:val="24"/>
          <w:lang w:val="pt-BR"/>
        </w:rPr>
        <w:t xml:space="preserve">A </w:t>
      </w:r>
      <w:r w:rsidR="00B87134" w:rsidRPr="002A7F74">
        <w:rPr>
          <w:rFonts w:ascii="Times New Roman" w:hAnsi="Times New Roman" w:cs="Times New Roman"/>
          <w:sz w:val="24"/>
          <w:szCs w:val="24"/>
          <w:lang w:val="pt-BR"/>
        </w:rPr>
        <w:t>ANBIMA propõe</w:t>
      </w:r>
      <w:r w:rsidR="005607BA" w:rsidRPr="002A7F74">
        <w:rPr>
          <w:rFonts w:ascii="Times New Roman" w:hAnsi="Times New Roman" w:cs="Times New Roman"/>
          <w:sz w:val="24"/>
          <w:szCs w:val="24"/>
          <w:lang w:val="pt-BR"/>
        </w:rPr>
        <w:t xml:space="preserve"> </w:t>
      </w:r>
      <w:r w:rsidR="00B87134" w:rsidRPr="002A7F74">
        <w:rPr>
          <w:rFonts w:ascii="Times New Roman" w:hAnsi="Times New Roman" w:cs="Times New Roman"/>
          <w:sz w:val="24"/>
          <w:szCs w:val="24"/>
          <w:lang w:val="pt-BR"/>
        </w:rPr>
        <w:t xml:space="preserve">incluir </w:t>
      </w:r>
      <w:r w:rsidR="00225975" w:rsidRPr="002A7F74">
        <w:rPr>
          <w:rFonts w:ascii="Times New Roman" w:hAnsi="Times New Roman" w:cs="Times New Roman"/>
          <w:sz w:val="24"/>
          <w:szCs w:val="24"/>
          <w:lang w:val="pt-BR"/>
        </w:rPr>
        <w:t xml:space="preserve">um </w:t>
      </w:r>
      <w:r w:rsidR="00EA7B28" w:rsidRPr="002A7F74">
        <w:rPr>
          <w:rFonts w:ascii="Times New Roman" w:hAnsi="Times New Roman" w:cs="Times New Roman"/>
          <w:sz w:val="24"/>
          <w:szCs w:val="24"/>
          <w:lang w:val="pt-BR"/>
        </w:rPr>
        <w:t xml:space="preserve">trecho </w:t>
      </w:r>
      <w:r w:rsidR="00225975" w:rsidRPr="002A7F74">
        <w:rPr>
          <w:rFonts w:ascii="Times New Roman" w:hAnsi="Times New Roman" w:cs="Times New Roman"/>
          <w:sz w:val="24"/>
          <w:szCs w:val="24"/>
          <w:lang w:val="pt-BR"/>
        </w:rPr>
        <w:t xml:space="preserve">ao final do § 2º do art. 3º, a fim de </w:t>
      </w:r>
      <w:r w:rsidR="00B87134" w:rsidRPr="002A7F74">
        <w:rPr>
          <w:rFonts w:ascii="Times New Roman" w:hAnsi="Times New Roman" w:cs="Times New Roman"/>
          <w:sz w:val="24"/>
          <w:szCs w:val="24"/>
          <w:lang w:val="pt-BR"/>
        </w:rPr>
        <w:t>esclarece</w:t>
      </w:r>
      <w:r w:rsidR="00225975" w:rsidRPr="002A7F74">
        <w:rPr>
          <w:rFonts w:ascii="Times New Roman" w:hAnsi="Times New Roman" w:cs="Times New Roman"/>
          <w:sz w:val="24"/>
          <w:szCs w:val="24"/>
          <w:lang w:val="pt-BR"/>
        </w:rPr>
        <w:t>r</w:t>
      </w:r>
      <w:r w:rsidR="00F2448F" w:rsidRPr="002A7F74">
        <w:rPr>
          <w:rFonts w:ascii="Times New Roman" w:hAnsi="Times New Roman" w:cs="Times New Roman"/>
          <w:sz w:val="24"/>
          <w:szCs w:val="24"/>
          <w:lang w:val="pt-BR"/>
        </w:rPr>
        <w:t xml:space="preserve"> que</w:t>
      </w:r>
      <w:r w:rsidR="00CB3E82">
        <w:rPr>
          <w:rFonts w:ascii="Times New Roman" w:hAnsi="Times New Roman" w:cs="Times New Roman"/>
          <w:sz w:val="24"/>
          <w:szCs w:val="24"/>
          <w:lang w:val="pt-BR"/>
        </w:rPr>
        <w:t>:</w:t>
      </w:r>
      <w:r w:rsidR="00F2448F" w:rsidRPr="002A7F74">
        <w:rPr>
          <w:rFonts w:ascii="Times New Roman" w:hAnsi="Times New Roman" w:cs="Times New Roman"/>
          <w:sz w:val="24"/>
          <w:szCs w:val="24"/>
          <w:lang w:val="pt-BR"/>
        </w:rPr>
        <w:t xml:space="preserve"> </w:t>
      </w:r>
      <w:r w:rsidR="00842927" w:rsidRPr="002A7F74">
        <w:rPr>
          <w:rFonts w:ascii="Times New Roman" w:hAnsi="Times New Roman" w:cs="Times New Roman"/>
          <w:sz w:val="24"/>
          <w:szCs w:val="24"/>
          <w:lang w:val="pt-BR"/>
        </w:rPr>
        <w:t xml:space="preserve">(i) </w:t>
      </w:r>
      <w:r w:rsidR="00DC2975" w:rsidRPr="002A7F74">
        <w:rPr>
          <w:rFonts w:ascii="Times New Roman" w:hAnsi="Times New Roman" w:cs="Times New Roman"/>
          <w:sz w:val="24"/>
          <w:szCs w:val="24"/>
          <w:lang w:val="pt-BR"/>
        </w:rPr>
        <w:t xml:space="preserve">o dever de informar ali contido </w:t>
      </w:r>
      <w:r w:rsidR="00225975" w:rsidRPr="002A7F74">
        <w:rPr>
          <w:rFonts w:ascii="Times New Roman" w:hAnsi="Times New Roman" w:cs="Times New Roman"/>
          <w:sz w:val="24"/>
          <w:szCs w:val="24"/>
          <w:lang w:val="pt-BR"/>
        </w:rPr>
        <w:t>só se aplica</w:t>
      </w:r>
      <w:r w:rsidR="0011143C" w:rsidRPr="002A7F74">
        <w:rPr>
          <w:rFonts w:ascii="Times New Roman" w:hAnsi="Times New Roman" w:cs="Times New Roman"/>
          <w:sz w:val="24"/>
          <w:szCs w:val="24"/>
          <w:lang w:val="pt-BR"/>
        </w:rPr>
        <w:t xml:space="preserve"> às lâminas de informações reduzidas quando houver d</w:t>
      </w:r>
      <w:r w:rsidR="00CB3E82">
        <w:rPr>
          <w:rFonts w:ascii="Times New Roman" w:hAnsi="Times New Roman" w:cs="Times New Roman"/>
          <w:sz w:val="24"/>
          <w:szCs w:val="24"/>
          <w:lang w:val="pt-BR"/>
        </w:rPr>
        <w:t>isponibilização desse documento;</w:t>
      </w:r>
      <w:r w:rsidR="0011143C" w:rsidRPr="002A7F74">
        <w:rPr>
          <w:rFonts w:ascii="Times New Roman" w:hAnsi="Times New Roman" w:cs="Times New Roman"/>
          <w:sz w:val="24"/>
          <w:szCs w:val="24"/>
          <w:lang w:val="pt-BR"/>
        </w:rPr>
        <w:t xml:space="preserve"> </w:t>
      </w:r>
      <w:r w:rsidR="00CB3E82">
        <w:rPr>
          <w:rFonts w:ascii="Times New Roman" w:hAnsi="Times New Roman" w:cs="Times New Roman"/>
          <w:sz w:val="24"/>
          <w:szCs w:val="24"/>
          <w:lang w:val="pt-BR"/>
        </w:rPr>
        <w:t>e</w:t>
      </w:r>
      <w:r w:rsidR="00842927" w:rsidRPr="002A7F74">
        <w:rPr>
          <w:rFonts w:ascii="Times New Roman" w:hAnsi="Times New Roman" w:cs="Times New Roman"/>
          <w:sz w:val="24"/>
          <w:szCs w:val="24"/>
          <w:lang w:val="pt-BR"/>
        </w:rPr>
        <w:t xml:space="preserve"> (ii) a lâmina de informações reduzidas ali referida é aquela </w:t>
      </w:r>
      <w:r w:rsidR="0011143C" w:rsidRPr="002A7F74">
        <w:rPr>
          <w:rFonts w:ascii="Times New Roman" w:hAnsi="Times New Roman" w:cs="Times New Roman"/>
          <w:sz w:val="24"/>
          <w:szCs w:val="24"/>
          <w:lang w:val="pt-BR"/>
        </w:rPr>
        <w:t xml:space="preserve">exigida no registro </w:t>
      </w:r>
      <w:r w:rsidR="00821A72" w:rsidRPr="002A7F74">
        <w:rPr>
          <w:rFonts w:ascii="Times New Roman" w:hAnsi="Times New Roman" w:cs="Times New Roman"/>
          <w:sz w:val="24"/>
          <w:szCs w:val="24"/>
          <w:lang w:val="pt-BR"/>
        </w:rPr>
        <w:t>automático d</w:t>
      </w:r>
      <w:r w:rsidR="0011143C" w:rsidRPr="002A7F74">
        <w:rPr>
          <w:rFonts w:ascii="Times New Roman" w:hAnsi="Times New Roman" w:cs="Times New Roman"/>
          <w:sz w:val="24"/>
          <w:szCs w:val="24"/>
          <w:lang w:val="pt-BR"/>
        </w:rPr>
        <w:t>o art. 9º.</w:t>
      </w:r>
      <w:r w:rsidR="00842927" w:rsidRPr="002A7F74">
        <w:rPr>
          <w:rFonts w:ascii="Times New Roman" w:hAnsi="Times New Roman" w:cs="Times New Roman"/>
          <w:sz w:val="24"/>
          <w:szCs w:val="24"/>
          <w:lang w:val="pt-BR"/>
        </w:rPr>
        <w:t xml:space="preserve"> </w:t>
      </w:r>
    </w:p>
    <w:p w:rsidR="00395848" w:rsidRPr="002A7F74" w:rsidRDefault="00395848" w:rsidP="00A93F2F">
      <w:pPr>
        <w:pStyle w:val="CorpoA"/>
        <w:widowControl w:val="0"/>
        <w:spacing w:after="0" w:line="312" w:lineRule="auto"/>
        <w:ind w:firstLine="709"/>
        <w:jc w:val="both"/>
        <w:rPr>
          <w:rFonts w:ascii="Times New Roman" w:eastAsia="Times New Roman" w:hAnsi="Times New Roman" w:cs="Times New Roman"/>
          <w:sz w:val="24"/>
          <w:szCs w:val="24"/>
          <w:lang w:val="pt-BR"/>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395848" w:rsidRPr="00533EEE" w:rsidTr="00395848">
        <w:trPr>
          <w:trHeight w:val="330"/>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9F5A3E" w:rsidRPr="002A7F74" w:rsidRDefault="0011143C" w:rsidP="009F5A3E">
            <w:pPr>
              <w:spacing w:line="312" w:lineRule="auto"/>
              <w:ind w:firstLine="567"/>
              <w:jc w:val="both"/>
              <w:rPr>
                <w:lang w:val="pt-BR"/>
              </w:rPr>
            </w:pPr>
            <w:r w:rsidRPr="002A7F74">
              <w:rPr>
                <w:lang w:val="pt-BR"/>
              </w:rPr>
              <w:t xml:space="preserve">A CVM considera desnecessários </w:t>
            </w:r>
            <w:r w:rsidR="009F5A3E" w:rsidRPr="002A7F74">
              <w:rPr>
                <w:lang w:val="pt-BR"/>
              </w:rPr>
              <w:t xml:space="preserve">os </w:t>
            </w:r>
            <w:r w:rsidRPr="002A7F74">
              <w:rPr>
                <w:lang w:val="pt-BR"/>
              </w:rPr>
              <w:t xml:space="preserve">ajustes sugeridos pelo participante. </w:t>
            </w:r>
          </w:p>
          <w:p w:rsidR="009F5A3E" w:rsidRPr="002A7F74" w:rsidRDefault="009F5A3E" w:rsidP="009F5A3E">
            <w:pPr>
              <w:spacing w:line="312" w:lineRule="auto"/>
              <w:ind w:firstLine="567"/>
              <w:jc w:val="both"/>
              <w:rPr>
                <w:lang w:val="pt-BR"/>
              </w:rPr>
            </w:pPr>
          </w:p>
          <w:p w:rsidR="00395848" w:rsidRPr="002A7F74" w:rsidRDefault="009F5A3E" w:rsidP="00821A72">
            <w:pPr>
              <w:spacing w:line="312" w:lineRule="auto"/>
              <w:ind w:firstLine="567"/>
              <w:jc w:val="both"/>
              <w:rPr>
                <w:lang w:val="pt-BR"/>
              </w:rPr>
            </w:pPr>
            <w:r w:rsidRPr="002A7F74">
              <w:rPr>
                <w:lang w:val="pt-BR"/>
              </w:rPr>
              <w:t xml:space="preserve">A expressão </w:t>
            </w:r>
            <w:r w:rsidR="008D2F15" w:rsidRPr="002A7F74">
              <w:rPr>
                <w:lang w:val="pt-BR"/>
              </w:rPr>
              <w:t>“conforme o caso”</w:t>
            </w:r>
            <w:r w:rsidRPr="002A7F74">
              <w:rPr>
                <w:lang w:val="pt-BR"/>
              </w:rPr>
              <w:t xml:space="preserve">, contida no § 2º do art. 3º, </w:t>
            </w:r>
            <w:r w:rsidR="008D2F15" w:rsidRPr="002A7F74">
              <w:rPr>
                <w:lang w:val="pt-BR"/>
              </w:rPr>
              <w:t xml:space="preserve">já </w:t>
            </w:r>
            <w:r w:rsidRPr="002A7F74">
              <w:rPr>
                <w:lang w:val="pt-BR"/>
              </w:rPr>
              <w:t>evidencia</w:t>
            </w:r>
            <w:r w:rsidR="008D2F15" w:rsidRPr="002A7F74">
              <w:rPr>
                <w:lang w:val="pt-BR"/>
              </w:rPr>
              <w:t xml:space="preserve"> que a informação só deve ser incluí</w:t>
            </w:r>
            <w:r w:rsidR="00821A72" w:rsidRPr="002A7F74">
              <w:rPr>
                <w:lang w:val="pt-BR"/>
              </w:rPr>
              <w:t>da na lâ</w:t>
            </w:r>
            <w:r w:rsidRPr="002A7F74">
              <w:rPr>
                <w:lang w:val="pt-BR"/>
              </w:rPr>
              <w:t xml:space="preserve">mina nos casos em que esse documento </w:t>
            </w:r>
            <w:r w:rsidR="00821A72" w:rsidRPr="002A7F74">
              <w:rPr>
                <w:lang w:val="pt-BR"/>
              </w:rPr>
              <w:t>for</w:t>
            </w:r>
            <w:r w:rsidRPr="002A7F74">
              <w:rPr>
                <w:lang w:val="pt-BR"/>
              </w:rPr>
              <w:t xml:space="preserve"> utilizado</w:t>
            </w:r>
            <w:r w:rsidR="000827C3" w:rsidRPr="002A7F74">
              <w:rPr>
                <w:lang w:val="pt-BR"/>
              </w:rPr>
              <w:t xml:space="preserve"> – </w:t>
            </w:r>
            <w:r w:rsidR="00821A72" w:rsidRPr="002A7F74">
              <w:rPr>
                <w:lang w:val="pt-BR"/>
              </w:rPr>
              <w:t>isto é, quando houver</w:t>
            </w:r>
            <w:r w:rsidR="000827C3" w:rsidRPr="002A7F74">
              <w:rPr>
                <w:lang w:val="pt-BR"/>
              </w:rPr>
              <w:t xml:space="preserve"> registro automático nos termos do art. 9º da Minuta.</w:t>
            </w:r>
          </w:p>
        </w:tc>
      </w:tr>
    </w:tbl>
    <w:p w:rsidR="00D9084C" w:rsidRPr="002A7F74" w:rsidRDefault="00D9084C" w:rsidP="00A93F2F">
      <w:pPr>
        <w:pStyle w:val="CorpoA"/>
        <w:spacing w:after="0" w:line="312" w:lineRule="auto"/>
        <w:ind w:firstLine="709"/>
        <w:jc w:val="both"/>
        <w:rPr>
          <w:rFonts w:ascii="Times New Roman" w:eastAsia="Times New Roman" w:hAnsi="Times New Roman" w:cs="Times New Roman"/>
          <w:sz w:val="24"/>
          <w:szCs w:val="24"/>
          <w:lang w:val="pt-BR"/>
        </w:rPr>
      </w:pPr>
    </w:p>
    <w:p w:rsidR="00D9084C" w:rsidRPr="002A7F74" w:rsidRDefault="00EF032B" w:rsidP="00A93F2F">
      <w:pPr>
        <w:pStyle w:val="CorpoA"/>
        <w:spacing w:after="0" w:line="312" w:lineRule="auto"/>
        <w:ind w:firstLine="709"/>
        <w:jc w:val="both"/>
        <w:rPr>
          <w:rFonts w:ascii="Times New Roman" w:eastAsia="Times New Roman" w:hAnsi="Times New Roman" w:cs="Times New Roman"/>
          <w:sz w:val="24"/>
          <w:szCs w:val="24"/>
          <w:lang w:val="pt-BR"/>
        </w:rPr>
      </w:pPr>
      <w:r w:rsidRPr="002A7F74">
        <w:rPr>
          <w:rFonts w:ascii="Times New Roman" w:hAnsi="Times New Roman" w:cs="Times New Roman"/>
          <w:sz w:val="24"/>
          <w:szCs w:val="24"/>
          <w:lang w:val="pt-BR"/>
        </w:rPr>
        <w:t>Pinheiro Guimarães questiona se as informações solicitadas no §</w:t>
      </w:r>
      <w:r w:rsidR="000827C3" w:rsidRPr="002A7F74">
        <w:rPr>
          <w:rFonts w:ascii="Times New Roman" w:hAnsi="Times New Roman" w:cs="Times New Roman"/>
          <w:sz w:val="24"/>
          <w:szCs w:val="24"/>
          <w:lang w:val="pt-BR"/>
        </w:rPr>
        <w:t xml:space="preserve"> </w:t>
      </w:r>
      <w:r w:rsidRPr="002A7F74">
        <w:rPr>
          <w:rFonts w:ascii="Times New Roman" w:hAnsi="Times New Roman" w:cs="Times New Roman"/>
          <w:sz w:val="24"/>
          <w:szCs w:val="24"/>
          <w:lang w:val="pt-BR"/>
        </w:rPr>
        <w:t>2º</w:t>
      </w:r>
      <w:r w:rsidR="000827C3" w:rsidRPr="002A7F74">
        <w:rPr>
          <w:rFonts w:ascii="Times New Roman" w:hAnsi="Times New Roman" w:cs="Times New Roman"/>
          <w:sz w:val="24"/>
          <w:szCs w:val="24"/>
          <w:lang w:val="pt-BR"/>
        </w:rPr>
        <w:t xml:space="preserve"> do art. 3º</w:t>
      </w:r>
      <w:r w:rsidRPr="002A7F74">
        <w:rPr>
          <w:rFonts w:ascii="Times New Roman" w:hAnsi="Times New Roman" w:cs="Times New Roman"/>
          <w:sz w:val="24"/>
          <w:szCs w:val="24"/>
          <w:lang w:val="pt-BR"/>
        </w:rPr>
        <w:t xml:space="preserve"> deverão ser </w:t>
      </w:r>
      <w:r w:rsidR="008F2219" w:rsidRPr="002A7F74">
        <w:rPr>
          <w:rFonts w:ascii="Times New Roman" w:hAnsi="Times New Roman" w:cs="Times New Roman"/>
          <w:sz w:val="24"/>
          <w:szCs w:val="24"/>
          <w:lang w:val="pt-BR"/>
        </w:rPr>
        <w:t>incluídas</w:t>
      </w:r>
      <w:r w:rsidRPr="002A7F74">
        <w:rPr>
          <w:rFonts w:ascii="Times New Roman" w:hAnsi="Times New Roman" w:cs="Times New Roman"/>
          <w:sz w:val="24"/>
          <w:szCs w:val="24"/>
          <w:lang w:val="pt-BR"/>
        </w:rPr>
        <w:t xml:space="preserve"> na c</w:t>
      </w:r>
      <w:r w:rsidR="000827C3" w:rsidRPr="002A7F74">
        <w:rPr>
          <w:rFonts w:ascii="Times New Roman" w:hAnsi="Times New Roman" w:cs="Times New Roman"/>
          <w:sz w:val="24"/>
          <w:szCs w:val="24"/>
          <w:lang w:val="pt-BR"/>
        </w:rPr>
        <w:t>omunicação à CVM de que trata o</w:t>
      </w:r>
      <w:r w:rsidRPr="002A7F74">
        <w:rPr>
          <w:rFonts w:ascii="Times New Roman" w:hAnsi="Times New Roman" w:cs="Times New Roman"/>
          <w:sz w:val="24"/>
          <w:szCs w:val="24"/>
          <w:lang w:val="pt-BR"/>
        </w:rPr>
        <w:t xml:space="preserve"> art. 7</w:t>
      </w:r>
      <w:r w:rsidR="000827C3" w:rsidRPr="002A7F74">
        <w:rPr>
          <w:rFonts w:ascii="Times New Roman" w:hAnsi="Times New Roman" w:cs="Times New Roman"/>
          <w:sz w:val="24"/>
          <w:szCs w:val="24"/>
          <w:lang w:val="pt-BR"/>
        </w:rPr>
        <w:t>º</w:t>
      </w:r>
      <w:r w:rsidRPr="002A7F74">
        <w:rPr>
          <w:rFonts w:ascii="Times New Roman" w:hAnsi="Times New Roman" w:cs="Times New Roman"/>
          <w:sz w:val="24"/>
          <w:szCs w:val="24"/>
          <w:lang w:val="pt-BR"/>
        </w:rPr>
        <w:t>-A da Instrução CVM nº 476</w:t>
      </w:r>
      <w:r w:rsidR="00AC1391" w:rsidRPr="002A7F74">
        <w:rPr>
          <w:rFonts w:ascii="Times New Roman" w:hAnsi="Times New Roman" w:cs="Times New Roman"/>
          <w:sz w:val="24"/>
          <w:szCs w:val="24"/>
          <w:lang w:val="pt-BR"/>
        </w:rPr>
        <w:t>, de 20</w:t>
      </w:r>
      <w:r w:rsidRPr="002A7F74">
        <w:rPr>
          <w:rFonts w:ascii="Times New Roman" w:hAnsi="Times New Roman" w:cs="Times New Roman"/>
          <w:sz w:val="24"/>
          <w:szCs w:val="24"/>
          <w:lang w:val="pt-BR"/>
        </w:rPr>
        <w:t>09.</w:t>
      </w:r>
    </w:p>
    <w:p w:rsidR="00D9084C" w:rsidRPr="002A7F74" w:rsidRDefault="00D9084C" w:rsidP="00A93F2F">
      <w:pPr>
        <w:pStyle w:val="CorpoA"/>
        <w:widowControl w:val="0"/>
        <w:spacing w:after="0" w:line="312" w:lineRule="auto"/>
        <w:ind w:firstLine="709"/>
        <w:jc w:val="both"/>
        <w:rPr>
          <w:rFonts w:ascii="Times New Roman" w:eastAsia="Times New Roman" w:hAnsi="Times New Roman" w:cs="Times New Roman"/>
          <w:sz w:val="24"/>
          <w:szCs w:val="24"/>
          <w:lang w:val="pt-BR"/>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533EEE">
        <w:trPr>
          <w:trHeight w:val="330"/>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2A7F74" w:rsidRDefault="00395848" w:rsidP="00802124">
            <w:pPr>
              <w:spacing w:line="312" w:lineRule="auto"/>
              <w:ind w:firstLine="567"/>
              <w:jc w:val="both"/>
              <w:rPr>
                <w:lang w:val="pt-BR"/>
              </w:rPr>
            </w:pPr>
            <w:r w:rsidRPr="002A7F74">
              <w:rPr>
                <w:lang w:val="pt-BR"/>
              </w:rPr>
              <w:lastRenderedPageBreak/>
              <w:t>A CV</w:t>
            </w:r>
            <w:r w:rsidR="00E26AB2">
              <w:rPr>
                <w:lang w:val="pt-BR"/>
              </w:rPr>
              <w:t>M esclarece que o Anú</w:t>
            </w:r>
            <w:r w:rsidR="00301D2C" w:rsidRPr="002A7F74">
              <w:rPr>
                <w:lang w:val="pt-BR"/>
              </w:rPr>
              <w:t>ncio de Iní</w:t>
            </w:r>
            <w:r w:rsidRPr="002A7F74">
              <w:rPr>
                <w:lang w:val="pt-BR"/>
              </w:rPr>
              <w:t>cio de Distribuição citado no §</w:t>
            </w:r>
            <w:r w:rsidR="00E26AB2">
              <w:rPr>
                <w:lang w:val="pt-BR"/>
              </w:rPr>
              <w:t xml:space="preserve"> </w:t>
            </w:r>
            <w:r w:rsidRPr="002A7F74">
              <w:rPr>
                <w:lang w:val="pt-BR"/>
              </w:rPr>
              <w:t>2º é aquele descrito na Instrução CVM nº 400</w:t>
            </w:r>
            <w:r w:rsidR="00AC1391" w:rsidRPr="002A7F74">
              <w:rPr>
                <w:lang w:val="pt-BR"/>
              </w:rPr>
              <w:t xml:space="preserve">, </w:t>
            </w:r>
            <w:r w:rsidR="00802124">
              <w:rPr>
                <w:lang w:val="pt-BR"/>
              </w:rPr>
              <w:t>de 29 de dezembro de</w:t>
            </w:r>
            <w:r w:rsidR="00AC1391" w:rsidRPr="002A7F74">
              <w:rPr>
                <w:lang w:val="pt-BR"/>
              </w:rPr>
              <w:t xml:space="preserve"> 20</w:t>
            </w:r>
            <w:r w:rsidR="00301D2C" w:rsidRPr="002A7F74">
              <w:rPr>
                <w:lang w:val="pt-BR"/>
              </w:rPr>
              <w:t>03</w:t>
            </w:r>
            <w:r w:rsidR="008F63A8" w:rsidRPr="002A7F74">
              <w:rPr>
                <w:lang w:val="pt-BR"/>
              </w:rPr>
              <w:t>. A informação solicitada no art. 7</w:t>
            </w:r>
            <w:r w:rsidR="00301D2C" w:rsidRPr="002A7F74">
              <w:rPr>
                <w:lang w:val="pt-BR"/>
              </w:rPr>
              <w:t>º</w:t>
            </w:r>
            <w:r w:rsidR="008F63A8" w:rsidRPr="002A7F74">
              <w:rPr>
                <w:lang w:val="pt-BR"/>
              </w:rPr>
              <w:t>-A da Instrução CVM nº 476</w:t>
            </w:r>
            <w:r w:rsidR="00AC1391" w:rsidRPr="002A7F74">
              <w:rPr>
                <w:lang w:val="pt-BR"/>
              </w:rPr>
              <w:t>, de 20</w:t>
            </w:r>
            <w:r w:rsidR="00E26AB2">
              <w:rPr>
                <w:lang w:val="pt-BR"/>
              </w:rPr>
              <w:t>09, não é um Anú</w:t>
            </w:r>
            <w:r w:rsidR="008F63A8" w:rsidRPr="002A7F74">
              <w:rPr>
                <w:lang w:val="pt-BR"/>
              </w:rPr>
              <w:t>ncio de Inicio de Distribuição</w:t>
            </w:r>
            <w:r w:rsidR="00301D2C" w:rsidRPr="002A7F74">
              <w:rPr>
                <w:lang w:val="pt-BR"/>
              </w:rPr>
              <w:t xml:space="preserve"> e tem como objetivo </w:t>
            </w:r>
            <w:r w:rsidR="001C582D" w:rsidRPr="002A7F74">
              <w:rPr>
                <w:lang w:val="pt-BR"/>
              </w:rPr>
              <w:t xml:space="preserve">apenas </w:t>
            </w:r>
            <w:r w:rsidR="00301D2C" w:rsidRPr="002A7F74">
              <w:rPr>
                <w:lang w:val="pt-BR"/>
              </w:rPr>
              <w:t xml:space="preserve">comunicar à CVM (e não aos investidores) o início da oferta. Por esse motivo, </w:t>
            </w:r>
            <w:r w:rsidR="00BB0AFE" w:rsidRPr="002A7F74">
              <w:rPr>
                <w:lang w:val="pt-BR"/>
              </w:rPr>
              <w:t>não há necessidade de inclusão de</w:t>
            </w:r>
            <w:r w:rsidR="00301D2C" w:rsidRPr="002A7F74">
              <w:rPr>
                <w:lang w:val="pt-BR"/>
              </w:rPr>
              <w:t>ssa informação</w:t>
            </w:r>
            <w:r w:rsidR="00BB0AFE" w:rsidRPr="002A7F74">
              <w:rPr>
                <w:lang w:val="pt-BR"/>
              </w:rPr>
              <w:t xml:space="preserve">. </w:t>
            </w:r>
          </w:p>
        </w:tc>
      </w:tr>
    </w:tbl>
    <w:p w:rsidR="006B0A15" w:rsidRPr="002A7F74" w:rsidRDefault="006B0A15" w:rsidP="00A93F2F">
      <w:pPr>
        <w:pStyle w:val="CorpoA"/>
        <w:spacing w:after="0" w:line="312" w:lineRule="auto"/>
        <w:rPr>
          <w:rFonts w:ascii="Times New Roman" w:hAnsi="Times New Roman" w:cs="Times New Roman"/>
          <w:sz w:val="24"/>
          <w:szCs w:val="24"/>
          <w:lang w:val="pt-BR"/>
        </w:rPr>
      </w:pPr>
    </w:p>
    <w:p w:rsidR="00D9084C" w:rsidRPr="002A7F74" w:rsidRDefault="000F732D" w:rsidP="00ED5DF3">
      <w:pPr>
        <w:pStyle w:val="Ttulo3"/>
        <w:tabs>
          <w:tab w:val="clear" w:pos="709"/>
          <w:tab w:val="clear" w:pos="851"/>
        </w:tabs>
        <w:spacing w:before="0"/>
        <w:rPr>
          <w:rFonts w:hAnsi="Times New Roman" w:cs="Times New Roman"/>
          <w:lang w:val="pt-BR"/>
        </w:rPr>
      </w:pPr>
      <w:r w:rsidRPr="002A7F74">
        <w:rPr>
          <w:rFonts w:hAnsi="Times New Roman" w:cs="Times New Roman"/>
          <w:lang w:val="pt-BR"/>
        </w:rPr>
        <w:t>3.</w:t>
      </w:r>
      <w:r w:rsidR="00ED5DF3" w:rsidRPr="002A7F74">
        <w:rPr>
          <w:rFonts w:hAnsi="Times New Roman" w:cs="Times New Roman"/>
          <w:lang w:val="pt-BR"/>
        </w:rPr>
        <w:t>5.</w:t>
      </w:r>
      <w:r w:rsidR="00ED5DF3" w:rsidRPr="002A7F74">
        <w:rPr>
          <w:rFonts w:hAnsi="Times New Roman" w:cs="Times New Roman"/>
          <w:lang w:val="pt-BR"/>
        </w:rPr>
        <w:tab/>
      </w:r>
      <w:r w:rsidR="000F7738" w:rsidRPr="002A7F74">
        <w:rPr>
          <w:rFonts w:hAnsi="Times New Roman" w:cs="Times New Roman"/>
          <w:lang w:val="pt-BR"/>
        </w:rPr>
        <w:t>I</w:t>
      </w:r>
      <w:r w:rsidR="00392359" w:rsidRPr="002A7F74">
        <w:rPr>
          <w:rFonts w:hAnsi="Times New Roman" w:cs="Times New Roman"/>
          <w:lang w:val="pt-BR"/>
        </w:rPr>
        <w:t xml:space="preserve">ntegralização </w:t>
      </w:r>
      <w:r w:rsidR="00A81614" w:rsidRPr="002A7F74">
        <w:rPr>
          <w:rFonts w:hAnsi="Times New Roman" w:cs="Times New Roman"/>
          <w:lang w:val="pt-BR"/>
        </w:rPr>
        <w:t>e subscrição (art. 4º</w:t>
      </w:r>
      <w:r w:rsidR="00AD75B1">
        <w:rPr>
          <w:rFonts w:hAnsi="Times New Roman" w:cs="Times New Roman"/>
          <w:lang w:val="pt-BR"/>
        </w:rPr>
        <w:t xml:space="preserve"> – atual art. 3°</w:t>
      </w:r>
      <w:r w:rsidR="00A81614" w:rsidRPr="002A7F74">
        <w:rPr>
          <w:rFonts w:hAnsi="Times New Roman" w:cs="Times New Roman"/>
          <w:lang w:val="pt-BR"/>
        </w:rPr>
        <w:t>)</w:t>
      </w:r>
      <w:r w:rsidR="000F7738" w:rsidRPr="002A7F74">
        <w:rPr>
          <w:rFonts w:hAnsi="Times New Roman" w:cs="Times New Roman"/>
          <w:bCs w:val="0"/>
          <w:lang w:val="pt-BR"/>
        </w:rPr>
        <w:t xml:space="preserve"> e </w:t>
      </w:r>
      <w:r w:rsidR="000F7738" w:rsidRPr="002A7F74">
        <w:rPr>
          <w:rFonts w:hAnsi="Times New Roman" w:cs="Times New Roman"/>
          <w:lang w:val="pt-BR"/>
        </w:rPr>
        <w:t xml:space="preserve">data de emissão (art. 5, </w:t>
      </w:r>
      <w:r w:rsidR="000F7738" w:rsidRPr="002A7F74">
        <w:rPr>
          <w:rFonts w:hAnsi="Times New Roman" w:cs="Times New Roman"/>
          <w:bCs w:val="0"/>
          <w:lang w:val="pt-BR"/>
        </w:rPr>
        <w:t>§ 2º)</w:t>
      </w:r>
    </w:p>
    <w:p w:rsidR="004108F5" w:rsidRPr="002A7F74" w:rsidRDefault="004108F5" w:rsidP="00A93F2F">
      <w:pPr>
        <w:pStyle w:val="CorpoA"/>
        <w:spacing w:after="0" w:line="312" w:lineRule="auto"/>
        <w:ind w:firstLine="709"/>
        <w:jc w:val="both"/>
        <w:rPr>
          <w:rFonts w:ascii="Times New Roman" w:hAnsi="Times New Roman" w:cs="Times New Roman"/>
          <w:sz w:val="24"/>
          <w:szCs w:val="24"/>
          <w:lang w:val="pt-BR"/>
        </w:rPr>
      </w:pPr>
    </w:p>
    <w:p w:rsidR="003239FB" w:rsidRPr="002A7F74" w:rsidRDefault="00AD75B1" w:rsidP="00ED5DF3">
      <w:pPr>
        <w:pStyle w:val="CorpoA"/>
        <w:widowControl w:val="0"/>
        <w:spacing w:after="0" w:line="312"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r w:rsidR="00392359" w:rsidRPr="002A7F74">
        <w:rPr>
          <w:rFonts w:ascii="Times New Roman" w:hAnsi="Times New Roman" w:cs="Times New Roman"/>
          <w:sz w:val="24"/>
          <w:szCs w:val="24"/>
          <w:lang w:val="pt-BR"/>
        </w:rPr>
        <w:t>CETIP</w:t>
      </w:r>
      <w:r w:rsidR="005607BA" w:rsidRPr="002A7F74">
        <w:rPr>
          <w:rFonts w:ascii="Times New Roman" w:hAnsi="Times New Roman" w:cs="Times New Roman"/>
          <w:sz w:val="24"/>
          <w:szCs w:val="24"/>
          <w:lang w:val="pt-BR"/>
        </w:rPr>
        <w:t xml:space="preserve"> </w:t>
      </w:r>
      <w:r w:rsidR="00ED5DF3" w:rsidRPr="002A7F74">
        <w:rPr>
          <w:rFonts w:ascii="Times New Roman" w:hAnsi="Times New Roman" w:cs="Times New Roman"/>
          <w:sz w:val="24"/>
          <w:szCs w:val="24"/>
          <w:lang w:val="pt-BR"/>
        </w:rPr>
        <w:t>e</w:t>
      </w:r>
      <w:r>
        <w:rPr>
          <w:rFonts w:ascii="Times New Roman" w:hAnsi="Times New Roman" w:cs="Times New Roman"/>
          <w:sz w:val="24"/>
          <w:szCs w:val="24"/>
          <w:lang w:val="pt-BR"/>
        </w:rPr>
        <w:t xml:space="preserve"> o</w:t>
      </w:r>
      <w:r w:rsidR="00ED5DF3" w:rsidRPr="002A7F74">
        <w:rPr>
          <w:rFonts w:ascii="Times New Roman" w:hAnsi="Times New Roman" w:cs="Times New Roman"/>
          <w:sz w:val="24"/>
          <w:szCs w:val="24"/>
          <w:lang w:val="pt-BR"/>
        </w:rPr>
        <w:t xml:space="preserve"> </w:t>
      </w:r>
      <w:r w:rsidR="00EF2929" w:rsidRPr="002A7F74">
        <w:rPr>
          <w:rFonts w:ascii="Times New Roman" w:hAnsi="Times New Roman" w:cs="Times New Roman"/>
          <w:sz w:val="24"/>
          <w:szCs w:val="24"/>
          <w:lang w:val="pt-BR"/>
        </w:rPr>
        <w:t xml:space="preserve">Pinheiro Guimarães </w:t>
      </w:r>
      <w:r w:rsidR="005607BA" w:rsidRPr="002A7F74">
        <w:rPr>
          <w:rFonts w:ascii="Times New Roman" w:hAnsi="Times New Roman" w:cs="Times New Roman"/>
          <w:sz w:val="24"/>
          <w:szCs w:val="24"/>
          <w:lang w:val="pt-BR"/>
        </w:rPr>
        <w:t>sugere</w:t>
      </w:r>
      <w:r w:rsidR="00EF2929" w:rsidRPr="002A7F74">
        <w:rPr>
          <w:rFonts w:ascii="Times New Roman" w:hAnsi="Times New Roman" w:cs="Times New Roman"/>
          <w:sz w:val="24"/>
          <w:szCs w:val="24"/>
          <w:lang w:val="pt-BR"/>
        </w:rPr>
        <w:t>m</w:t>
      </w:r>
      <w:r w:rsidR="005607BA" w:rsidRPr="002A7F74">
        <w:rPr>
          <w:rFonts w:ascii="Times New Roman" w:hAnsi="Times New Roman" w:cs="Times New Roman"/>
          <w:sz w:val="24"/>
          <w:szCs w:val="24"/>
          <w:lang w:val="pt-BR"/>
        </w:rPr>
        <w:t xml:space="preserve"> </w:t>
      </w:r>
      <w:r w:rsidR="000F7738" w:rsidRPr="002A7F74">
        <w:rPr>
          <w:rFonts w:ascii="Times New Roman" w:hAnsi="Times New Roman" w:cs="Times New Roman"/>
          <w:sz w:val="24"/>
          <w:szCs w:val="24"/>
          <w:lang w:val="pt-BR"/>
        </w:rPr>
        <w:t xml:space="preserve">esclarecer, no art. 4º, que </w:t>
      </w:r>
      <w:r w:rsidR="00482C55" w:rsidRPr="002A7F74">
        <w:rPr>
          <w:rFonts w:ascii="Times New Roman" w:hAnsi="Times New Roman" w:cs="Times New Roman"/>
          <w:sz w:val="24"/>
          <w:szCs w:val="24"/>
          <w:lang w:val="pt-BR"/>
        </w:rPr>
        <w:t xml:space="preserve">a </w:t>
      </w:r>
      <w:r w:rsidR="00CE1618" w:rsidRPr="002A7F74">
        <w:rPr>
          <w:rFonts w:ascii="Times New Roman" w:hAnsi="Times New Roman" w:cs="Times New Roman"/>
          <w:sz w:val="24"/>
          <w:szCs w:val="24"/>
          <w:lang w:val="pt-BR"/>
        </w:rPr>
        <w:t xml:space="preserve">subscrição das notas promissórias </w:t>
      </w:r>
      <w:r w:rsidR="008D2D7E" w:rsidRPr="002A7F74">
        <w:rPr>
          <w:rFonts w:ascii="Times New Roman" w:hAnsi="Times New Roman" w:cs="Times New Roman"/>
          <w:sz w:val="24"/>
          <w:szCs w:val="24"/>
          <w:lang w:val="pt-BR"/>
        </w:rPr>
        <w:t>deve</w:t>
      </w:r>
      <w:r w:rsidR="00CE1618" w:rsidRPr="002A7F74">
        <w:rPr>
          <w:rFonts w:ascii="Times New Roman" w:hAnsi="Times New Roman" w:cs="Times New Roman"/>
          <w:sz w:val="24"/>
          <w:szCs w:val="24"/>
          <w:lang w:val="pt-BR"/>
        </w:rPr>
        <w:t xml:space="preserve"> ocorrer na própria data de emissão desses títulos</w:t>
      </w:r>
      <w:r w:rsidR="008D2D7E" w:rsidRPr="002A7F74">
        <w:rPr>
          <w:rFonts w:ascii="Times New Roman" w:hAnsi="Times New Roman" w:cs="Times New Roman"/>
          <w:sz w:val="24"/>
          <w:szCs w:val="24"/>
          <w:lang w:val="pt-BR"/>
        </w:rPr>
        <w:t>.</w:t>
      </w:r>
      <w:r w:rsidR="00E05C01" w:rsidRPr="002A7F74">
        <w:rPr>
          <w:rFonts w:ascii="Times New Roman" w:hAnsi="Times New Roman" w:cs="Times New Roman"/>
          <w:sz w:val="24"/>
          <w:szCs w:val="24"/>
          <w:lang w:val="pt-BR"/>
        </w:rPr>
        <w:t xml:space="preserve"> A</w:t>
      </w:r>
      <w:r w:rsidR="00482C55" w:rsidRPr="002A7F74">
        <w:rPr>
          <w:rFonts w:ascii="Times New Roman" w:hAnsi="Times New Roman" w:cs="Times New Roman"/>
          <w:sz w:val="24"/>
          <w:szCs w:val="24"/>
          <w:lang w:val="pt-BR"/>
        </w:rPr>
        <w:t xml:space="preserve"> CETIP </w:t>
      </w:r>
      <w:r w:rsidR="008D2D7E" w:rsidRPr="002A7F74">
        <w:rPr>
          <w:rFonts w:ascii="Times New Roman" w:hAnsi="Times New Roman" w:cs="Times New Roman"/>
          <w:sz w:val="24"/>
          <w:szCs w:val="24"/>
          <w:lang w:val="pt-BR"/>
        </w:rPr>
        <w:t>aponta</w:t>
      </w:r>
      <w:r w:rsidR="007E4E65" w:rsidRPr="002A7F74">
        <w:rPr>
          <w:rFonts w:ascii="Times New Roman" w:hAnsi="Times New Roman" w:cs="Times New Roman"/>
          <w:sz w:val="24"/>
          <w:szCs w:val="24"/>
          <w:lang w:val="pt-BR"/>
        </w:rPr>
        <w:t xml:space="preserve"> </w:t>
      </w:r>
      <w:r w:rsidR="00E05C01" w:rsidRPr="002A7F74">
        <w:rPr>
          <w:rFonts w:ascii="Times New Roman" w:hAnsi="Times New Roman" w:cs="Times New Roman"/>
          <w:sz w:val="24"/>
          <w:szCs w:val="24"/>
          <w:lang w:val="pt-BR"/>
        </w:rPr>
        <w:t xml:space="preserve">que a nota promissória não pode </w:t>
      </w:r>
      <w:r w:rsidR="00C75872" w:rsidRPr="002A7F74">
        <w:rPr>
          <w:rFonts w:ascii="Times New Roman" w:hAnsi="Times New Roman" w:cs="Times New Roman"/>
          <w:sz w:val="24"/>
          <w:szCs w:val="24"/>
          <w:lang w:val="pt-BR"/>
        </w:rPr>
        <w:t>ser emitida sem</w:t>
      </w:r>
      <w:r w:rsidR="007E4E65" w:rsidRPr="002A7F74">
        <w:rPr>
          <w:rFonts w:ascii="Times New Roman" w:hAnsi="Times New Roman" w:cs="Times New Roman"/>
          <w:sz w:val="24"/>
          <w:szCs w:val="24"/>
          <w:lang w:val="pt-BR"/>
        </w:rPr>
        <w:t xml:space="preserve"> indicação do </w:t>
      </w:r>
      <w:r w:rsidR="00E05C01" w:rsidRPr="002A7F74">
        <w:rPr>
          <w:rFonts w:ascii="Times New Roman" w:hAnsi="Times New Roman" w:cs="Times New Roman"/>
          <w:sz w:val="24"/>
          <w:szCs w:val="24"/>
          <w:lang w:val="pt-BR"/>
        </w:rPr>
        <w:t xml:space="preserve">respectivo </w:t>
      </w:r>
      <w:r w:rsidR="007E4E65" w:rsidRPr="002A7F74">
        <w:rPr>
          <w:rFonts w:ascii="Times New Roman" w:hAnsi="Times New Roman" w:cs="Times New Roman"/>
          <w:sz w:val="24"/>
          <w:szCs w:val="24"/>
          <w:lang w:val="pt-BR"/>
        </w:rPr>
        <w:t>credor, por força do inciso III do art. 54 do Decreto nº 2.044, de 31 de dezembro de 1908</w:t>
      </w:r>
      <w:r w:rsidR="00E05C01" w:rsidRPr="002A7F74">
        <w:rPr>
          <w:rStyle w:val="Refdenotaderodap"/>
          <w:rFonts w:ascii="Times New Roman" w:hAnsi="Times New Roman" w:cs="Times New Roman"/>
          <w:sz w:val="24"/>
          <w:szCs w:val="24"/>
          <w:lang w:val="pt-BR"/>
        </w:rPr>
        <w:footnoteReference w:id="3"/>
      </w:r>
      <w:r w:rsidR="00E05C01" w:rsidRPr="002A7F74">
        <w:rPr>
          <w:rFonts w:ascii="Times New Roman" w:hAnsi="Times New Roman" w:cs="Times New Roman"/>
          <w:sz w:val="24"/>
          <w:szCs w:val="24"/>
          <w:lang w:val="pt-BR"/>
        </w:rPr>
        <w:t xml:space="preserve">, e afirma, </w:t>
      </w:r>
      <w:r w:rsidR="008D2D7E" w:rsidRPr="002A7F74">
        <w:rPr>
          <w:rFonts w:ascii="Times New Roman" w:hAnsi="Times New Roman" w:cs="Times New Roman"/>
          <w:sz w:val="24"/>
          <w:szCs w:val="24"/>
          <w:lang w:val="pt-BR"/>
        </w:rPr>
        <w:t>por</w:t>
      </w:r>
      <w:r w:rsidR="006E628C" w:rsidRPr="002A7F74">
        <w:rPr>
          <w:rFonts w:ascii="Times New Roman" w:hAnsi="Times New Roman" w:cs="Times New Roman"/>
          <w:sz w:val="24"/>
          <w:szCs w:val="24"/>
          <w:lang w:val="pt-BR"/>
        </w:rPr>
        <w:t xml:space="preserve"> conta d</w:t>
      </w:r>
      <w:r w:rsidR="008D2D7E" w:rsidRPr="002A7F74">
        <w:rPr>
          <w:rFonts w:ascii="Times New Roman" w:hAnsi="Times New Roman" w:cs="Times New Roman"/>
          <w:sz w:val="24"/>
          <w:szCs w:val="24"/>
          <w:lang w:val="pt-BR"/>
        </w:rPr>
        <w:t>isso</w:t>
      </w:r>
      <w:r w:rsidR="00E05C01" w:rsidRPr="002A7F74">
        <w:rPr>
          <w:rFonts w:ascii="Times New Roman" w:hAnsi="Times New Roman" w:cs="Times New Roman"/>
          <w:sz w:val="24"/>
          <w:szCs w:val="24"/>
          <w:lang w:val="pt-BR"/>
        </w:rPr>
        <w:t xml:space="preserve">, que </w:t>
      </w:r>
      <w:r w:rsidR="007E4E65" w:rsidRPr="002A7F74">
        <w:rPr>
          <w:rFonts w:ascii="Times New Roman" w:hAnsi="Times New Roman" w:cs="Times New Roman"/>
          <w:sz w:val="24"/>
          <w:szCs w:val="24"/>
          <w:lang w:val="pt-BR"/>
        </w:rPr>
        <w:t xml:space="preserve">as datas de emissão e subscrição </w:t>
      </w:r>
      <w:r w:rsidR="006E628C" w:rsidRPr="002A7F74">
        <w:rPr>
          <w:rFonts w:ascii="Times New Roman" w:hAnsi="Times New Roman" w:cs="Times New Roman"/>
          <w:sz w:val="24"/>
          <w:szCs w:val="24"/>
          <w:lang w:val="pt-BR"/>
        </w:rPr>
        <w:t xml:space="preserve">devem </w:t>
      </w:r>
      <w:r w:rsidR="007E4E65" w:rsidRPr="002A7F74">
        <w:rPr>
          <w:rFonts w:ascii="Times New Roman" w:hAnsi="Times New Roman" w:cs="Times New Roman"/>
          <w:sz w:val="24"/>
          <w:szCs w:val="24"/>
          <w:lang w:val="pt-BR"/>
        </w:rPr>
        <w:t xml:space="preserve">ser as mesmas. </w:t>
      </w:r>
    </w:p>
    <w:p w:rsidR="00E05C01" w:rsidRPr="002A7F74" w:rsidRDefault="00E05C01" w:rsidP="00ED5DF3">
      <w:pPr>
        <w:pStyle w:val="CorpoA"/>
        <w:widowControl w:val="0"/>
        <w:spacing w:after="0" w:line="312" w:lineRule="auto"/>
        <w:ind w:firstLine="708"/>
        <w:jc w:val="both"/>
        <w:rPr>
          <w:rFonts w:ascii="Times New Roman" w:hAnsi="Times New Roman" w:cs="Times New Roman"/>
          <w:sz w:val="24"/>
          <w:szCs w:val="24"/>
          <w:lang w:val="pt-BR"/>
        </w:rPr>
      </w:pPr>
    </w:p>
    <w:p w:rsidR="003239FB" w:rsidRPr="002A7F74" w:rsidRDefault="006E628C" w:rsidP="00C75872">
      <w:pPr>
        <w:pStyle w:val="CorpoA"/>
        <w:widowControl w:val="0"/>
        <w:spacing w:after="0" w:line="312" w:lineRule="auto"/>
        <w:ind w:firstLine="708"/>
        <w:jc w:val="both"/>
        <w:rPr>
          <w:rFonts w:ascii="Times New Roman" w:hAnsi="Times New Roman" w:cs="Times New Roman"/>
          <w:sz w:val="24"/>
          <w:szCs w:val="24"/>
          <w:lang w:val="pt-BR"/>
        </w:rPr>
      </w:pPr>
      <w:r w:rsidRPr="002A7F74">
        <w:rPr>
          <w:rFonts w:ascii="Times New Roman" w:hAnsi="Times New Roman" w:cs="Times New Roman"/>
          <w:sz w:val="24"/>
          <w:szCs w:val="24"/>
          <w:lang w:val="pt-BR"/>
        </w:rPr>
        <w:t xml:space="preserve">Em sentido contrário, </w:t>
      </w:r>
      <w:r w:rsidR="004A1702" w:rsidRPr="002A7F74">
        <w:rPr>
          <w:rFonts w:ascii="Times New Roman" w:hAnsi="Times New Roman" w:cs="Times New Roman"/>
          <w:sz w:val="24"/>
          <w:szCs w:val="24"/>
          <w:lang w:val="pt-BR"/>
        </w:rPr>
        <w:t xml:space="preserve">a </w:t>
      </w:r>
      <w:r w:rsidR="003239FB" w:rsidRPr="002A7F74">
        <w:rPr>
          <w:rFonts w:ascii="Times New Roman" w:hAnsi="Times New Roman" w:cs="Times New Roman"/>
          <w:sz w:val="24"/>
          <w:szCs w:val="24"/>
          <w:lang w:val="pt-BR"/>
        </w:rPr>
        <w:t>ABRASCA</w:t>
      </w:r>
      <w:r w:rsidR="003A0F3B" w:rsidRPr="002A7F74">
        <w:rPr>
          <w:rFonts w:ascii="Times New Roman" w:hAnsi="Times New Roman" w:cs="Times New Roman"/>
          <w:sz w:val="24"/>
          <w:szCs w:val="24"/>
          <w:lang w:val="pt-BR"/>
        </w:rPr>
        <w:t xml:space="preserve"> </w:t>
      </w:r>
      <w:r w:rsidR="004353A1" w:rsidRPr="002A7F74">
        <w:rPr>
          <w:rFonts w:ascii="Times New Roman" w:hAnsi="Times New Roman" w:cs="Times New Roman"/>
          <w:sz w:val="24"/>
          <w:szCs w:val="24"/>
          <w:lang w:val="pt-BR"/>
        </w:rPr>
        <w:t>propõe</w:t>
      </w:r>
      <w:r w:rsidR="004A1702" w:rsidRPr="002A7F74">
        <w:rPr>
          <w:rFonts w:ascii="Times New Roman" w:hAnsi="Times New Roman" w:cs="Times New Roman"/>
          <w:sz w:val="24"/>
          <w:szCs w:val="24"/>
          <w:lang w:val="pt-BR"/>
        </w:rPr>
        <w:t xml:space="preserve"> que a data de emissão das notas promissórias seja </w:t>
      </w:r>
      <w:r w:rsidR="004353A1" w:rsidRPr="002A7F74">
        <w:rPr>
          <w:rFonts w:ascii="Times New Roman" w:hAnsi="Times New Roman" w:cs="Times New Roman"/>
          <w:sz w:val="24"/>
          <w:szCs w:val="24"/>
          <w:lang w:val="pt-BR"/>
        </w:rPr>
        <w:t>definida</w:t>
      </w:r>
      <w:r w:rsidR="00515FFF" w:rsidRPr="002A7F74">
        <w:rPr>
          <w:rFonts w:ascii="Times New Roman" w:hAnsi="Times New Roman" w:cs="Times New Roman"/>
          <w:sz w:val="24"/>
          <w:szCs w:val="24"/>
          <w:lang w:val="pt-BR"/>
        </w:rPr>
        <w:t xml:space="preserve"> </w:t>
      </w:r>
      <w:r w:rsidR="00936A8B" w:rsidRPr="002A7F74">
        <w:rPr>
          <w:rFonts w:ascii="Times New Roman" w:hAnsi="Times New Roman" w:cs="Times New Roman"/>
          <w:sz w:val="24"/>
          <w:szCs w:val="24"/>
          <w:lang w:val="pt-BR"/>
        </w:rPr>
        <w:t>livremente pelo</w:t>
      </w:r>
      <w:r w:rsidR="00515FFF" w:rsidRPr="002A7F74">
        <w:rPr>
          <w:rFonts w:ascii="Times New Roman" w:hAnsi="Times New Roman" w:cs="Times New Roman"/>
          <w:sz w:val="24"/>
          <w:szCs w:val="24"/>
          <w:lang w:val="pt-BR"/>
        </w:rPr>
        <w:t xml:space="preserve"> emissor</w:t>
      </w:r>
      <w:r w:rsidR="00936A8B" w:rsidRPr="002A7F74">
        <w:rPr>
          <w:rFonts w:ascii="Times New Roman" w:hAnsi="Times New Roman" w:cs="Times New Roman"/>
          <w:sz w:val="24"/>
          <w:szCs w:val="24"/>
          <w:lang w:val="pt-BR"/>
        </w:rPr>
        <w:t xml:space="preserve">, </w:t>
      </w:r>
      <w:r w:rsidR="00E26AB2">
        <w:rPr>
          <w:rFonts w:ascii="Times New Roman" w:hAnsi="Times New Roman" w:cs="Times New Roman"/>
          <w:sz w:val="24"/>
          <w:szCs w:val="24"/>
          <w:lang w:val="pt-BR"/>
        </w:rPr>
        <w:t xml:space="preserve">isto é, </w:t>
      </w:r>
      <w:r w:rsidR="00936A8B" w:rsidRPr="002A7F74">
        <w:rPr>
          <w:rFonts w:ascii="Times New Roman" w:hAnsi="Times New Roman" w:cs="Times New Roman"/>
          <w:sz w:val="24"/>
          <w:szCs w:val="24"/>
          <w:lang w:val="pt-BR"/>
        </w:rPr>
        <w:t>s</w:t>
      </w:r>
      <w:r w:rsidR="00B91B46" w:rsidRPr="002A7F74">
        <w:rPr>
          <w:rFonts w:ascii="Times New Roman" w:hAnsi="Times New Roman" w:cs="Times New Roman"/>
          <w:sz w:val="24"/>
          <w:szCs w:val="24"/>
          <w:lang w:val="pt-BR"/>
        </w:rPr>
        <w:t>em</w:t>
      </w:r>
      <w:r w:rsidR="00E26AB2">
        <w:rPr>
          <w:rFonts w:ascii="Times New Roman" w:hAnsi="Times New Roman" w:cs="Times New Roman"/>
          <w:sz w:val="24"/>
          <w:szCs w:val="24"/>
          <w:lang w:val="pt-BR"/>
        </w:rPr>
        <w:t xml:space="preserve"> qualquer</w:t>
      </w:r>
      <w:r w:rsidR="00B91B46" w:rsidRPr="002A7F74">
        <w:rPr>
          <w:rFonts w:ascii="Times New Roman" w:hAnsi="Times New Roman" w:cs="Times New Roman"/>
          <w:sz w:val="24"/>
          <w:szCs w:val="24"/>
          <w:lang w:val="pt-BR"/>
        </w:rPr>
        <w:t xml:space="preserve"> vinculação com </w:t>
      </w:r>
      <w:r w:rsidR="00515FFF" w:rsidRPr="002A7F74">
        <w:rPr>
          <w:rFonts w:ascii="Times New Roman" w:hAnsi="Times New Roman" w:cs="Times New Roman"/>
          <w:sz w:val="24"/>
          <w:szCs w:val="24"/>
          <w:lang w:val="pt-BR"/>
        </w:rPr>
        <w:t xml:space="preserve">as </w:t>
      </w:r>
      <w:r w:rsidR="004A1702" w:rsidRPr="002A7F74">
        <w:rPr>
          <w:rFonts w:ascii="Times New Roman" w:hAnsi="Times New Roman" w:cs="Times New Roman"/>
          <w:sz w:val="24"/>
          <w:szCs w:val="24"/>
          <w:lang w:val="pt-BR"/>
        </w:rPr>
        <w:t>data</w:t>
      </w:r>
      <w:r w:rsidR="005551D3" w:rsidRPr="002A7F74">
        <w:rPr>
          <w:rFonts w:ascii="Times New Roman" w:hAnsi="Times New Roman" w:cs="Times New Roman"/>
          <w:sz w:val="24"/>
          <w:szCs w:val="24"/>
          <w:lang w:val="pt-BR"/>
        </w:rPr>
        <w:t>s</w:t>
      </w:r>
      <w:r w:rsidR="004A1702" w:rsidRPr="002A7F74">
        <w:rPr>
          <w:rFonts w:ascii="Times New Roman" w:hAnsi="Times New Roman" w:cs="Times New Roman"/>
          <w:sz w:val="24"/>
          <w:szCs w:val="24"/>
          <w:lang w:val="pt-BR"/>
        </w:rPr>
        <w:t xml:space="preserve"> de subscriç</w:t>
      </w:r>
      <w:r w:rsidR="005551D3" w:rsidRPr="002A7F74">
        <w:rPr>
          <w:rFonts w:ascii="Times New Roman" w:hAnsi="Times New Roman" w:cs="Times New Roman"/>
          <w:sz w:val="24"/>
          <w:szCs w:val="24"/>
          <w:lang w:val="pt-BR"/>
        </w:rPr>
        <w:t>ão e</w:t>
      </w:r>
      <w:r w:rsidR="00623058" w:rsidRPr="002A7F74">
        <w:rPr>
          <w:rFonts w:ascii="Times New Roman" w:hAnsi="Times New Roman" w:cs="Times New Roman"/>
          <w:sz w:val="24"/>
          <w:szCs w:val="24"/>
          <w:lang w:val="pt-BR"/>
        </w:rPr>
        <w:t xml:space="preserve"> </w:t>
      </w:r>
      <w:r w:rsidR="004A1702" w:rsidRPr="002A7F74">
        <w:rPr>
          <w:rFonts w:ascii="Times New Roman" w:hAnsi="Times New Roman" w:cs="Times New Roman"/>
          <w:sz w:val="24"/>
          <w:szCs w:val="24"/>
          <w:lang w:val="pt-BR"/>
        </w:rPr>
        <w:t xml:space="preserve">integralização </w:t>
      </w:r>
      <w:r w:rsidR="003A0F3B" w:rsidRPr="002A7F74">
        <w:rPr>
          <w:rFonts w:ascii="Times New Roman" w:hAnsi="Times New Roman" w:cs="Times New Roman"/>
          <w:sz w:val="24"/>
          <w:szCs w:val="24"/>
          <w:lang w:val="pt-BR"/>
        </w:rPr>
        <w:t xml:space="preserve">desses títulos. Segundo </w:t>
      </w:r>
      <w:r w:rsidR="00936A8B" w:rsidRPr="002A7F74">
        <w:rPr>
          <w:rFonts w:ascii="Times New Roman" w:hAnsi="Times New Roman" w:cs="Times New Roman"/>
          <w:sz w:val="24"/>
          <w:szCs w:val="24"/>
          <w:lang w:val="pt-BR"/>
        </w:rPr>
        <w:t>a ABRASCA</w:t>
      </w:r>
      <w:r w:rsidR="003A0F3B" w:rsidRPr="002A7F74">
        <w:rPr>
          <w:rFonts w:ascii="Times New Roman" w:hAnsi="Times New Roman" w:cs="Times New Roman"/>
          <w:sz w:val="24"/>
          <w:szCs w:val="24"/>
          <w:lang w:val="pt-BR"/>
        </w:rPr>
        <w:t xml:space="preserve">, </w:t>
      </w:r>
      <w:r w:rsidR="00066C04" w:rsidRPr="002A7F74">
        <w:rPr>
          <w:rFonts w:ascii="Times New Roman" w:hAnsi="Times New Roman" w:cs="Times New Roman"/>
          <w:sz w:val="24"/>
          <w:szCs w:val="24"/>
          <w:lang w:val="pt-BR"/>
        </w:rPr>
        <w:t xml:space="preserve">o regime atual </w:t>
      </w:r>
      <w:r w:rsidR="0001458E" w:rsidRPr="002A7F74">
        <w:rPr>
          <w:rFonts w:ascii="Times New Roman" w:hAnsi="Times New Roman" w:cs="Times New Roman"/>
          <w:sz w:val="24"/>
          <w:szCs w:val="24"/>
          <w:lang w:val="pt-BR"/>
        </w:rPr>
        <w:t>de emissão de notas promiss</w:t>
      </w:r>
      <w:r w:rsidR="00066C04" w:rsidRPr="002A7F74">
        <w:rPr>
          <w:rFonts w:ascii="Times New Roman" w:hAnsi="Times New Roman" w:cs="Times New Roman"/>
          <w:sz w:val="24"/>
          <w:szCs w:val="24"/>
          <w:lang w:val="pt-BR"/>
        </w:rPr>
        <w:t xml:space="preserve">órias, que </w:t>
      </w:r>
      <w:r w:rsidR="00623058" w:rsidRPr="002A7F74">
        <w:rPr>
          <w:rFonts w:ascii="Times New Roman" w:hAnsi="Times New Roman" w:cs="Times New Roman"/>
          <w:sz w:val="24"/>
          <w:szCs w:val="24"/>
          <w:lang w:val="pt-BR"/>
        </w:rPr>
        <w:t xml:space="preserve">já </w:t>
      </w:r>
      <w:r w:rsidR="00066C04" w:rsidRPr="002A7F74">
        <w:rPr>
          <w:rFonts w:ascii="Times New Roman" w:hAnsi="Times New Roman" w:cs="Times New Roman"/>
          <w:sz w:val="24"/>
          <w:szCs w:val="24"/>
          <w:lang w:val="pt-BR"/>
        </w:rPr>
        <w:t>equipara as datas de emissão, subscrição e integralização (art. 8º da Instrução CVM nº 134, de 1990)</w:t>
      </w:r>
      <w:r w:rsidR="00623058" w:rsidRPr="002A7F74">
        <w:rPr>
          <w:rFonts w:ascii="Times New Roman" w:hAnsi="Times New Roman" w:cs="Times New Roman"/>
          <w:sz w:val="24"/>
          <w:szCs w:val="24"/>
          <w:lang w:val="pt-BR"/>
        </w:rPr>
        <w:t>,</w:t>
      </w:r>
      <w:r w:rsidR="00066C04" w:rsidRPr="002A7F74">
        <w:rPr>
          <w:rFonts w:ascii="Times New Roman" w:hAnsi="Times New Roman" w:cs="Times New Roman"/>
          <w:sz w:val="24"/>
          <w:szCs w:val="24"/>
          <w:lang w:val="pt-BR"/>
        </w:rPr>
        <w:t xml:space="preserve"> envolve dificuldades logísticas </w:t>
      </w:r>
      <w:r w:rsidR="00B91B46" w:rsidRPr="002A7F74">
        <w:rPr>
          <w:rFonts w:ascii="Times New Roman" w:hAnsi="Times New Roman" w:cs="Times New Roman"/>
          <w:sz w:val="24"/>
          <w:szCs w:val="24"/>
          <w:lang w:val="pt-BR"/>
        </w:rPr>
        <w:t>(</w:t>
      </w:r>
      <w:r w:rsidR="005551D3" w:rsidRPr="002A7F74">
        <w:rPr>
          <w:rFonts w:ascii="Times New Roman" w:hAnsi="Times New Roman" w:cs="Times New Roman"/>
          <w:sz w:val="24"/>
          <w:szCs w:val="24"/>
          <w:lang w:val="pt-BR"/>
        </w:rPr>
        <w:t xml:space="preserve">necessidade de </w:t>
      </w:r>
      <w:r w:rsidR="00C75872" w:rsidRPr="002A7F74">
        <w:rPr>
          <w:rFonts w:ascii="Times New Roman" w:hAnsi="Times New Roman" w:cs="Times New Roman"/>
          <w:sz w:val="24"/>
          <w:szCs w:val="24"/>
          <w:lang w:val="pt-BR"/>
        </w:rPr>
        <w:t>assinar</w:t>
      </w:r>
      <w:r w:rsidR="005551D3" w:rsidRPr="002A7F74">
        <w:rPr>
          <w:rFonts w:ascii="Times New Roman" w:hAnsi="Times New Roman" w:cs="Times New Roman"/>
          <w:sz w:val="24"/>
          <w:szCs w:val="24"/>
          <w:lang w:val="pt-BR"/>
        </w:rPr>
        <w:t xml:space="preserve"> </w:t>
      </w:r>
      <w:r w:rsidR="003B0317" w:rsidRPr="002A7F74">
        <w:rPr>
          <w:rFonts w:ascii="Times New Roman" w:hAnsi="Times New Roman" w:cs="Times New Roman"/>
          <w:sz w:val="24"/>
          <w:szCs w:val="24"/>
          <w:lang w:val="pt-BR"/>
        </w:rPr>
        <w:t xml:space="preserve">as notas, liquidar a oferta </w:t>
      </w:r>
      <w:r w:rsidR="00C75872" w:rsidRPr="002A7F74">
        <w:rPr>
          <w:rFonts w:ascii="Times New Roman" w:hAnsi="Times New Roman" w:cs="Times New Roman"/>
          <w:sz w:val="24"/>
          <w:szCs w:val="24"/>
          <w:lang w:val="pt-BR"/>
        </w:rPr>
        <w:t xml:space="preserve">e transportar </w:t>
      </w:r>
      <w:r w:rsidR="003B0317" w:rsidRPr="002A7F74">
        <w:rPr>
          <w:rFonts w:ascii="Times New Roman" w:hAnsi="Times New Roman" w:cs="Times New Roman"/>
          <w:sz w:val="24"/>
          <w:szCs w:val="24"/>
          <w:lang w:val="pt-BR"/>
        </w:rPr>
        <w:t>os títulos</w:t>
      </w:r>
      <w:r w:rsidR="00C75872" w:rsidRPr="002A7F74">
        <w:rPr>
          <w:rFonts w:ascii="Times New Roman" w:hAnsi="Times New Roman" w:cs="Times New Roman"/>
          <w:sz w:val="24"/>
          <w:szCs w:val="24"/>
          <w:lang w:val="pt-BR"/>
        </w:rPr>
        <w:t xml:space="preserve"> para o custodiante </w:t>
      </w:r>
      <w:r w:rsidR="00B91B46" w:rsidRPr="002A7F74">
        <w:rPr>
          <w:rFonts w:ascii="Times New Roman" w:hAnsi="Times New Roman" w:cs="Times New Roman"/>
          <w:sz w:val="24"/>
          <w:szCs w:val="24"/>
          <w:lang w:val="pt-BR"/>
        </w:rPr>
        <w:t>em um mesmo dia)</w:t>
      </w:r>
      <w:r w:rsidR="00C75872" w:rsidRPr="002A7F74">
        <w:rPr>
          <w:rFonts w:ascii="Times New Roman" w:hAnsi="Times New Roman" w:cs="Times New Roman"/>
          <w:sz w:val="24"/>
          <w:szCs w:val="24"/>
          <w:lang w:val="pt-BR"/>
        </w:rPr>
        <w:t xml:space="preserve"> </w:t>
      </w:r>
      <w:r w:rsidR="00066C04" w:rsidRPr="002A7F74">
        <w:rPr>
          <w:rFonts w:ascii="Times New Roman" w:hAnsi="Times New Roman" w:cs="Times New Roman"/>
          <w:sz w:val="24"/>
          <w:szCs w:val="24"/>
          <w:lang w:val="pt-BR"/>
        </w:rPr>
        <w:t xml:space="preserve">que poderiam ser sanadas se </w:t>
      </w:r>
      <w:r w:rsidR="00623058" w:rsidRPr="002A7F74">
        <w:rPr>
          <w:rFonts w:ascii="Times New Roman" w:hAnsi="Times New Roman" w:cs="Times New Roman"/>
          <w:sz w:val="24"/>
          <w:szCs w:val="24"/>
          <w:lang w:val="pt-BR"/>
        </w:rPr>
        <w:t>não houvesse coincid</w:t>
      </w:r>
      <w:r w:rsidR="00C75872" w:rsidRPr="002A7F74">
        <w:rPr>
          <w:rFonts w:ascii="Times New Roman" w:hAnsi="Times New Roman" w:cs="Times New Roman"/>
          <w:sz w:val="24"/>
          <w:szCs w:val="24"/>
          <w:lang w:val="pt-BR"/>
        </w:rPr>
        <w:t xml:space="preserve">ência entre tais eventos. A ABRASCA entende que </w:t>
      </w:r>
      <w:r w:rsidR="00515FFF" w:rsidRPr="002A7F74">
        <w:rPr>
          <w:rFonts w:ascii="Times New Roman" w:hAnsi="Times New Roman" w:cs="Times New Roman"/>
          <w:sz w:val="24"/>
          <w:szCs w:val="24"/>
          <w:lang w:val="pt-BR"/>
        </w:rPr>
        <w:t xml:space="preserve">a desvinculação das datas de emissão, subscrição e integralização </w:t>
      </w:r>
      <w:r w:rsidR="00C75872" w:rsidRPr="002A7F74">
        <w:rPr>
          <w:rFonts w:ascii="Times New Roman" w:hAnsi="Times New Roman" w:cs="Times New Roman"/>
          <w:sz w:val="24"/>
          <w:szCs w:val="24"/>
          <w:lang w:val="pt-BR"/>
        </w:rPr>
        <w:t>não feriria a</w:t>
      </w:r>
      <w:r w:rsidR="00515FFF" w:rsidRPr="002A7F74">
        <w:rPr>
          <w:rFonts w:ascii="Times New Roman" w:hAnsi="Times New Roman" w:cs="Times New Roman"/>
          <w:sz w:val="24"/>
          <w:szCs w:val="24"/>
          <w:lang w:val="pt-BR"/>
        </w:rPr>
        <w:t xml:space="preserve"> </w:t>
      </w:r>
      <w:r w:rsidR="003239FB" w:rsidRPr="002A7F74">
        <w:rPr>
          <w:rFonts w:ascii="Times New Roman" w:hAnsi="Times New Roman" w:cs="Times New Roman"/>
          <w:sz w:val="24"/>
          <w:szCs w:val="24"/>
          <w:lang w:val="pt-BR"/>
        </w:rPr>
        <w:t>Lei Uniforme de Genebra</w:t>
      </w:r>
      <w:r w:rsidR="00C75872" w:rsidRPr="002A7F74">
        <w:rPr>
          <w:rFonts w:ascii="Times New Roman" w:hAnsi="Times New Roman" w:cs="Times New Roman"/>
          <w:sz w:val="24"/>
          <w:szCs w:val="24"/>
          <w:lang w:val="pt-BR"/>
        </w:rPr>
        <w:t>.</w:t>
      </w:r>
    </w:p>
    <w:p w:rsidR="00B91B46" w:rsidRPr="002A7F74" w:rsidRDefault="00B91B46" w:rsidP="00C75872">
      <w:pPr>
        <w:pStyle w:val="CorpoA"/>
        <w:widowControl w:val="0"/>
        <w:spacing w:after="0" w:line="312" w:lineRule="auto"/>
        <w:ind w:firstLine="708"/>
        <w:jc w:val="both"/>
        <w:rPr>
          <w:rFonts w:ascii="Times New Roman" w:hAnsi="Times New Roman" w:cs="Times New Roman"/>
          <w:sz w:val="24"/>
          <w:szCs w:val="24"/>
          <w:lang w:val="pt-BR"/>
        </w:rPr>
      </w:pPr>
    </w:p>
    <w:p w:rsidR="00B91B46" w:rsidRPr="002A7F74" w:rsidRDefault="00E26AB2" w:rsidP="00C75872">
      <w:pPr>
        <w:pStyle w:val="CorpoA"/>
        <w:widowControl w:val="0"/>
        <w:spacing w:after="0" w:line="312"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Já a </w:t>
      </w:r>
      <w:r w:rsidR="003B0317" w:rsidRPr="002A7F74">
        <w:rPr>
          <w:rFonts w:ascii="Times New Roman" w:hAnsi="Times New Roman" w:cs="Times New Roman"/>
          <w:sz w:val="24"/>
          <w:szCs w:val="24"/>
          <w:lang w:val="pt-BR"/>
        </w:rPr>
        <w:t xml:space="preserve">ANBIMA sugere que o disposto no § 2º do art. 5º seja incorporado ao </w:t>
      </w:r>
      <w:r w:rsidR="003B0317" w:rsidRPr="002A7F74">
        <w:rPr>
          <w:rFonts w:ascii="Times New Roman" w:hAnsi="Times New Roman" w:cs="Times New Roman"/>
          <w:b/>
          <w:sz w:val="24"/>
          <w:szCs w:val="24"/>
          <w:lang w:val="pt-BR"/>
        </w:rPr>
        <w:t xml:space="preserve">caput </w:t>
      </w:r>
      <w:r w:rsidR="003B0317" w:rsidRPr="002A7F74">
        <w:rPr>
          <w:rFonts w:ascii="Times New Roman" w:hAnsi="Times New Roman" w:cs="Times New Roman"/>
          <w:sz w:val="24"/>
          <w:szCs w:val="24"/>
          <w:lang w:val="pt-BR"/>
        </w:rPr>
        <w:t>desse artigo, para melhor entendimento.</w:t>
      </w:r>
    </w:p>
    <w:p w:rsidR="00E05C01" w:rsidRPr="002A7F74" w:rsidRDefault="00E05C01" w:rsidP="00A93F2F">
      <w:pPr>
        <w:pStyle w:val="CorpoA"/>
        <w:widowControl w:val="0"/>
        <w:spacing w:after="0" w:line="312" w:lineRule="auto"/>
        <w:jc w:val="both"/>
        <w:rPr>
          <w:rFonts w:ascii="Times New Roman" w:eastAsia="Times New Roman" w:hAnsi="Times New Roman" w:cs="Times New Roman"/>
          <w:sz w:val="24"/>
          <w:szCs w:val="24"/>
          <w:highlight w:val="yellow"/>
          <w:lang w:val="pt-BR"/>
        </w:rPr>
      </w:pPr>
    </w:p>
    <w:tbl>
      <w:tblPr>
        <w:tblStyle w:val="TableNormal"/>
        <w:tblW w:w="1027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273"/>
      </w:tblGrid>
      <w:tr w:rsidR="00D9084C" w:rsidRPr="00533EEE" w:rsidTr="0010656F">
        <w:trPr>
          <w:trHeight w:val="337"/>
        </w:trPr>
        <w:tc>
          <w:tcPr>
            <w:tcW w:w="10273"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E05C01" w:rsidRPr="002A7F74" w:rsidRDefault="00E05C01" w:rsidP="000E3C5C">
            <w:pPr>
              <w:pStyle w:val="CorpoA"/>
              <w:widowControl w:val="0"/>
              <w:spacing w:after="0" w:line="312" w:lineRule="auto"/>
              <w:ind w:firstLine="601"/>
              <w:jc w:val="both"/>
              <w:rPr>
                <w:rFonts w:ascii="Times New Roman" w:eastAsia="Times New Roman" w:hAnsi="Times New Roman" w:cs="Times New Roman"/>
                <w:sz w:val="24"/>
                <w:szCs w:val="24"/>
                <w:lang w:val="pt-BR"/>
              </w:rPr>
            </w:pPr>
            <w:r w:rsidRPr="002A7F74">
              <w:rPr>
                <w:rFonts w:ascii="Times New Roman" w:eastAsia="Times New Roman" w:hAnsi="Times New Roman" w:cs="Times New Roman"/>
                <w:sz w:val="24"/>
                <w:szCs w:val="24"/>
                <w:lang w:val="pt-BR"/>
              </w:rPr>
              <w:t xml:space="preserve">A CVM </w:t>
            </w:r>
            <w:r w:rsidR="00AD75B1">
              <w:rPr>
                <w:rFonts w:ascii="Times New Roman" w:eastAsia="Times New Roman" w:hAnsi="Times New Roman" w:cs="Times New Roman"/>
                <w:sz w:val="24"/>
                <w:szCs w:val="24"/>
                <w:lang w:val="pt-BR"/>
              </w:rPr>
              <w:t>entende que</w:t>
            </w:r>
            <w:r w:rsidRPr="002A7F74">
              <w:rPr>
                <w:rFonts w:ascii="Times New Roman" w:eastAsia="Times New Roman" w:hAnsi="Times New Roman" w:cs="Times New Roman"/>
                <w:sz w:val="24"/>
                <w:szCs w:val="24"/>
                <w:lang w:val="pt-BR"/>
              </w:rPr>
              <w:t xml:space="preserve"> a posição da CETIP </w:t>
            </w:r>
            <w:r w:rsidR="00AD75B1">
              <w:rPr>
                <w:rFonts w:ascii="Times New Roman" w:eastAsia="Times New Roman" w:hAnsi="Times New Roman" w:cs="Times New Roman"/>
                <w:sz w:val="24"/>
                <w:szCs w:val="24"/>
                <w:lang w:val="pt-BR"/>
              </w:rPr>
              <w:t>é a mais adequada</w:t>
            </w:r>
            <w:r w:rsidRPr="002A7F74">
              <w:rPr>
                <w:rFonts w:ascii="Times New Roman" w:eastAsia="Times New Roman" w:hAnsi="Times New Roman" w:cs="Times New Roman"/>
                <w:sz w:val="24"/>
                <w:szCs w:val="24"/>
                <w:lang w:val="pt-BR"/>
              </w:rPr>
              <w:t xml:space="preserve">. Também </w:t>
            </w:r>
            <w:r w:rsidR="00936A8B" w:rsidRPr="002A7F74">
              <w:rPr>
                <w:rFonts w:ascii="Times New Roman" w:eastAsia="Times New Roman" w:hAnsi="Times New Roman" w:cs="Times New Roman"/>
                <w:sz w:val="24"/>
                <w:szCs w:val="24"/>
                <w:lang w:val="pt-BR"/>
              </w:rPr>
              <w:t>de acordo com a</w:t>
            </w:r>
            <w:r w:rsidR="001000E7" w:rsidRPr="002A7F74">
              <w:rPr>
                <w:rFonts w:ascii="Times New Roman" w:eastAsia="Times New Roman" w:hAnsi="Times New Roman" w:cs="Times New Roman"/>
                <w:sz w:val="24"/>
                <w:szCs w:val="24"/>
                <w:lang w:val="pt-BR"/>
              </w:rPr>
              <w:t xml:space="preserve"> Lei Uniforme de Genebra</w:t>
            </w:r>
            <w:r w:rsidRPr="002A7F74">
              <w:rPr>
                <w:rFonts w:ascii="Times New Roman" w:eastAsia="Times New Roman" w:hAnsi="Times New Roman" w:cs="Times New Roman"/>
                <w:sz w:val="24"/>
                <w:szCs w:val="24"/>
                <w:lang w:val="pt-BR"/>
              </w:rPr>
              <w:t xml:space="preserve">, o nome do credor </w:t>
            </w:r>
            <w:r w:rsidR="001000E7" w:rsidRPr="002A7F74">
              <w:rPr>
                <w:rFonts w:ascii="Times New Roman" w:eastAsia="Times New Roman" w:hAnsi="Times New Roman" w:cs="Times New Roman"/>
                <w:sz w:val="24"/>
                <w:szCs w:val="24"/>
                <w:lang w:val="pt-BR"/>
              </w:rPr>
              <w:t xml:space="preserve">deve </w:t>
            </w:r>
            <w:r w:rsidR="00C02FC2" w:rsidRPr="002A7F74">
              <w:rPr>
                <w:rFonts w:ascii="Times New Roman" w:eastAsia="Times New Roman" w:hAnsi="Times New Roman" w:cs="Times New Roman"/>
                <w:sz w:val="24"/>
                <w:szCs w:val="24"/>
                <w:lang w:val="pt-BR"/>
              </w:rPr>
              <w:t>constar na</w:t>
            </w:r>
            <w:r w:rsidRPr="002A7F74">
              <w:rPr>
                <w:rFonts w:ascii="Times New Roman" w:eastAsia="Times New Roman" w:hAnsi="Times New Roman" w:cs="Times New Roman"/>
                <w:sz w:val="24"/>
                <w:szCs w:val="24"/>
                <w:lang w:val="pt-BR"/>
              </w:rPr>
              <w:t xml:space="preserve"> cártula quando da sua emissão</w:t>
            </w:r>
            <w:r w:rsidR="00240FB9" w:rsidRPr="002A7F74">
              <w:rPr>
                <w:rFonts w:ascii="Times New Roman" w:eastAsia="Times New Roman" w:hAnsi="Times New Roman" w:cs="Times New Roman"/>
                <w:sz w:val="24"/>
                <w:szCs w:val="24"/>
                <w:lang w:val="pt-BR"/>
              </w:rPr>
              <w:t xml:space="preserve"> (art. 75, item 5</w:t>
            </w:r>
            <w:r w:rsidR="00C13298" w:rsidRPr="002A7F74">
              <w:rPr>
                <w:rStyle w:val="Refdenotaderodap"/>
                <w:rFonts w:ascii="Times New Roman" w:eastAsia="Times New Roman" w:hAnsi="Times New Roman" w:cs="Times New Roman"/>
                <w:sz w:val="24"/>
                <w:szCs w:val="24"/>
                <w:lang w:val="pt-BR"/>
              </w:rPr>
              <w:footnoteReference w:id="4"/>
            </w:r>
            <w:r w:rsidR="00240FB9" w:rsidRPr="002A7F74">
              <w:rPr>
                <w:rFonts w:ascii="Times New Roman" w:eastAsia="Times New Roman" w:hAnsi="Times New Roman" w:cs="Times New Roman"/>
                <w:sz w:val="24"/>
                <w:szCs w:val="24"/>
                <w:lang w:val="pt-BR"/>
              </w:rPr>
              <w:t>)</w:t>
            </w:r>
            <w:r w:rsidRPr="002A7F74">
              <w:rPr>
                <w:rFonts w:ascii="Times New Roman" w:eastAsia="Times New Roman" w:hAnsi="Times New Roman" w:cs="Times New Roman"/>
                <w:sz w:val="24"/>
                <w:szCs w:val="24"/>
                <w:lang w:val="pt-BR"/>
              </w:rPr>
              <w:t xml:space="preserve">. </w:t>
            </w:r>
            <w:r w:rsidR="00240FB9" w:rsidRPr="002A7F74">
              <w:rPr>
                <w:rFonts w:ascii="Times New Roman" w:eastAsia="Times New Roman" w:hAnsi="Times New Roman" w:cs="Times New Roman"/>
                <w:sz w:val="24"/>
                <w:szCs w:val="24"/>
                <w:lang w:val="pt-BR"/>
              </w:rPr>
              <w:t xml:space="preserve">Por esse motivo, as </w:t>
            </w:r>
            <w:r w:rsidRPr="002A7F74">
              <w:rPr>
                <w:rFonts w:ascii="Times New Roman" w:eastAsia="Times New Roman" w:hAnsi="Times New Roman" w:cs="Times New Roman"/>
                <w:sz w:val="24"/>
                <w:szCs w:val="24"/>
                <w:lang w:val="pt-BR"/>
              </w:rPr>
              <w:t xml:space="preserve">datas de emissão e subscrição </w:t>
            </w:r>
            <w:r w:rsidR="00240FB9" w:rsidRPr="002A7F74">
              <w:rPr>
                <w:rFonts w:ascii="Times New Roman" w:eastAsia="Times New Roman" w:hAnsi="Times New Roman" w:cs="Times New Roman"/>
                <w:sz w:val="24"/>
                <w:szCs w:val="24"/>
                <w:lang w:val="pt-BR"/>
              </w:rPr>
              <w:t>devem ser as mesmas. O e</w:t>
            </w:r>
            <w:r w:rsidRPr="002A7F74">
              <w:rPr>
                <w:rFonts w:ascii="Times New Roman" w:eastAsia="Times New Roman" w:hAnsi="Times New Roman" w:cs="Times New Roman"/>
                <w:sz w:val="24"/>
                <w:szCs w:val="24"/>
                <w:lang w:val="pt-BR"/>
              </w:rPr>
              <w:t xml:space="preserve">missor </w:t>
            </w:r>
            <w:r w:rsidR="00240FB9" w:rsidRPr="002A7F74">
              <w:rPr>
                <w:rFonts w:ascii="Times New Roman" w:eastAsia="Times New Roman" w:hAnsi="Times New Roman" w:cs="Times New Roman"/>
                <w:sz w:val="24"/>
                <w:szCs w:val="24"/>
                <w:lang w:val="pt-BR"/>
              </w:rPr>
              <w:t>poderá</w:t>
            </w:r>
            <w:r w:rsidRPr="002A7F74">
              <w:rPr>
                <w:rFonts w:ascii="Times New Roman" w:eastAsia="Times New Roman" w:hAnsi="Times New Roman" w:cs="Times New Roman"/>
                <w:sz w:val="24"/>
                <w:szCs w:val="24"/>
                <w:lang w:val="pt-BR"/>
              </w:rPr>
              <w:t xml:space="preserve"> definir a data de emissão, </w:t>
            </w:r>
            <w:r w:rsidR="00936A8B" w:rsidRPr="002A7F74">
              <w:rPr>
                <w:rFonts w:ascii="Times New Roman" w:eastAsia="Times New Roman" w:hAnsi="Times New Roman" w:cs="Times New Roman"/>
                <w:sz w:val="24"/>
                <w:szCs w:val="24"/>
                <w:lang w:val="pt-BR"/>
              </w:rPr>
              <w:t>desde que observe</w:t>
            </w:r>
            <w:r w:rsidRPr="002A7F74">
              <w:rPr>
                <w:rFonts w:ascii="Times New Roman" w:eastAsia="Times New Roman" w:hAnsi="Times New Roman" w:cs="Times New Roman"/>
                <w:sz w:val="24"/>
                <w:szCs w:val="24"/>
                <w:lang w:val="pt-BR"/>
              </w:rPr>
              <w:t xml:space="preserve"> </w:t>
            </w:r>
            <w:r w:rsidR="00B80CDA" w:rsidRPr="002A7F74">
              <w:rPr>
                <w:rFonts w:ascii="Times New Roman" w:eastAsia="Times New Roman" w:hAnsi="Times New Roman" w:cs="Times New Roman"/>
                <w:sz w:val="24"/>
                <w:szCs w:val="24"/>
                <w:lang w:val="pt-BR"/>
              </w:rPr>
              <w:t>também</w:t>
            </w:r>
            <w:r w:rsidR="00936A8B" w:rsidRPr="002A7F74">
              <w:rPr>
                <w:rFonts w:ascii="Times New Roman" w:eastAsia="Times New Roman" w:hAnsi="Times New Roman" w:cs="Times New Roman"/>
                <w:sz w:val="24"/>
                <w:szCs w:val="24"/>
                <w:lang w:val="pt-BR"/>
              </w:rPr>
              <w:t xml:space="preserve"> </w:t>
            </w:r>
            <w:r w:rsidR="00E26AB2">
              <w:rPr>
                <w:rFonts w:ascii="Times New Roman" w:eastAsia="Times New Roman" w:hAnsi="Times New Roman" w:cs="Times New Roman"/>
                <w:sz w:val="24"/>
                <w:szCs w:val="24"/>
                <w:lang w:val="pt-BR"/>
              </w:rPr>
              <w:t xml:space="preserve">tais formalidades, </w:t>
            </w:r>
            <w:r w:rsidR="00240FB9" w:rsidRPr="002A7F74">
              <w:rPr>
                <w:rFonts w:ascii="Times New Roman" w:eastAsia="Times New Roman" w:hAnsi="Times New Roman" w:cs="Times New Roman"/>
                <w:sz w:val="24"/>
                <w:szCs w:val="24"/>
                <w:lang w:val="pt-BR"/>
              </w:rPr>
              <w:t>exigidas na legislação espec</w:t>
            </w:r>
            <w:r w:rsidR="000E3C5C" w:rsidRPr="002A7F74">
              <w:rPr>
                <w:rFonts w:ascii="Times New Roman" w:eastAsia="Times New Roman" w:hAnsi="Times New Roman" w:cs="Times New Roman"/>
                <w:sz w:val="24"/>
                <w:szCs w:val="24"/>
                <w:lang w:val="pt-BR"/>
              </w:rPr>
              <w:t>ífica</w:t>
            </w:r>
            <w:r w:rsidRPr="002A7F74">
              <w:rPr>
                <w:rFonts w:ascii="Times New Roman" w:eastAsia="Times New Roman" w:hAnsi="Times New Roman" w:cs="Times New Roman"/>
                <w:sz w:val="24"/>
                <w:szCs w:val="24"/>
                <w:lang w:val="pt-BR"/>
              </w:rPr>
              <w:t>.</w:t>
            </w:r>
          </w:p>
          <w:p w:rsidR="000E3C5C" w:rsidRPr="002A7F74" w:rsidRDefault="000E3C5C" w:rsidP="000E3C5C">
            <w:pPr>
              <w:pStyle w:val="CorpoA"/>
              <w:widowControl w:val="0"/>
              <w:spacing w:after="0" w:line="312" w:lineRule="auto"/>
              <w:ind w:firstLine="601"/>
              <w:jc w:val="both"/>
              <w:rPr>
                <w:rFonts w:ascii="Times New Roman" w:eastAsia="Times New Roman" w:hAnsi="Times New Roman" w:cs="Times New Roman"/>
                <w:sz w:val="24"/>
                <w:szCs w:val="24"/>
                <w:lang w:val="pt-BR"/>
              </w:rPr>
            </w:pPr>
          </w:p>
          <w:p w:rsidR="00D9084C" w:rsidRPr="002A7F74" w:rsidRDefault="000E3C5C" w:rsidP="000E3C5C">
            <w:pPr>
              <w:pStyle w:val="CorpoA"/>
              <w:widowControl w:val="0"/>
              <w:spacing w:after="0" w:line="312" w:lineRule="auto"/>
              <w:ind w:firstLine="601"/>
              <w:jc w:val="both"/>
              <w:rPr>
                <w:rFonts w:ascii="Times New Roman" w:eastAsia="Times New Roman" w:hAnsi="Times New Roman" w:cs="Times New Roman"/>
                <w:sz w:val="24"/>
                <w:szCs w:val="24"/>
                <w:lang w:val="pt-BR"/>
              </w:rPr>
            </w:pPr>
            <w:r w:rsidRPr="002A7F74">
              <w:rPr>
                <w:rFonts w:ascii="Times New Roman" w:eastAsia="Times New Roman" w:hAnsi="Times New Roman" w:cs="Times New Roman"/>
                <w:sz w:val="24"/>
                <w:szCs w:val="24"/>
                <w:lang w:val="pt-BR"/>
              </w:rPr>
              <w:lastRenderedPageBreak/>
              <w:t xml:space="preserve">Por conta disso, a CVM ajustou a redação do art. 4º e eliminou o </w:t>
            </w:r>
            <w:r w:rsidRPr="002A7F74">
              <w:rPr>
                <w:rFonts w:ascii="Times New Roman" w:hAnsi="Times New Roman" w:cs="Times New Roman"/>
                <w:sz w:val="24"/>
                <w:szCs w:val="24"/>
                <w:lang w:val="pt-BR"/>
              </w:rPr>
              <w:t>§ 2º do art. 5º.</w:t>
            </w:r>
          </w:p>
        </w:tc>
      </w:tr>
    </w:tbl>
    <w:p w:rsidR="00BB0AFE" w:rsidRPr="002A7F74" w:rsidRDefault="00BB0AFE" w:rsidP="00A93F2F">
      <w:pPr>
        <w:pStyle w:val="CorpoA"/>
        <w:spacing w:after="0" w:line="312" w:lineRule="auto"/>
        <w:jc w:val="both"/>
        <w:rPr>
          <w:rFonts w:ascii="Times New Roman" w:eastAsia="Times New Roman" w:hAnsi="Times New Roman" w:cs="Times New Roman"/>
          <w:sz w:val="24"/>
          <w:szCs w:val="24"/>
          <w:lang w:val="pt-BR"/>
        </w:rPr>
      </w:pPr>
    </w:p>
    <w:p w:rsidR="008C3B70" w:rsidRPr="002A7F74" w:rsidRDefault="000F732D" w:rsidP="0092011F">
      <w:pPr>
        <w:pStyle w:val="Ttulo3"/>
        <w:tabs>
          <w:tab w:val="clear" w:pos="709"/>
          <w:tab w:val="clear" w:pos="851"/>
        </w:tabs>
        <w:spacing w:before="0"/>
        <w:rPr>
          <w:rFonts w:hAnsi="Times New Roman" w:cs="Times New Roman"/>
          <w:lang w:val="pt-BR"/>
        </w:rPr>
      </w:pPr>
      <w:r w:rsidRPr="002A7F74">
        <w:rPr>
          <w:rFonts w:hAnsi="Times New Roman" w:cs="Times New Roman"/>
          <w:lang w:val="pt-BR"/>
        </w:rPr>
        <w:t>3.</w:t>
      </w:r>
      <w:r w:rsidR="008F66BD" w:rsidRPr="002A7F74">
        <w:rPr>
          <w:rFonts w:hAnsi="Times New Roman" w:cs="Times New Roman"/>
          <w:lang w:val="pt-BR"/>
        </w:rPr>
        <w:t>6</w:t>
      </w:r>
      <w:r w:rsidR="0092011F" w:rsidRPr="002A7F74">
        <w:rPr>
          <w:rFonts w:hAnsi="Times New Roman" w:cs="Times New Roman"/>
          <w:lang w:val="pt-BR"/>
        </w:rPr>
        <w:t>.</w:t>
      </w:r>
      <w:r w:rsidR="0092011F" w:rsidRPr="002A7F74">
        <w:rPr>
          <w:rFonts w:hAnsi="Times New Roman" w:cs="Times New Roman"/>
          <w:lang w:val="pt-BR"/>
        </w:rPr>
        <w:tab/>
        <w:t>P</w:t>
      </w:r>
      <w:r w:rsidR="00EF2929" w:rsidRPr="002A7F74">
        <w:rPr>
          <w:rFonts w:hAnsi="Times New Roman" w:cs="Times New Roman"/>
          <w:lang w:val="pt-BR"/>
        </w:rPr>
        <w:t>razo de vencimento</w:t>
      </w:r>
      <w:r w:rsidR="00CD1BE7">
        <w:rPr>
          <w:rFonts w:hAnsi="Times New Roman" w:cs="Times New Roman"/>
          <w:lang w:val="pt-BR"/>
        </w:rPr>
        <w:t xml:space="preserve"> – extensão </w:t>
      </w:r>
      <w:r w:rsidR="00CD1BE7" w:rsidRPr="00CD1BE7">
        <w:rPr>
          <w:rFonts w:hAnsi="Times New Roman" w:cs="Times New Roman"/>
          <w:lang w:val="pt-BR"/>
        </w:rPr>
        <w:t>(art. 5º, §1º</w:t>
      </w:r>
      <w:r w:rsidR="00CD1BE7">
        <w:rPr>
          <w:rFonts w:hAnsi="Times New Roman" w:cs="Times New Roman"/>
          <w:lang w:val="pt-BR"/>
        </w:rPr>
        <w:t>)</w:t>
      </w:r>
    </w:p>
    <w:p w:rsidR="00D9084C" w:rsidRPr="002A7F74" w:rsidRDefault="00D9084C" w:rsidP="008C3B70">
      <w:pPr>
        <w:pStyle w:val="Ttulo3"/>
        <w:tabs>
          <w:tab w:val="clear" w:pos="709"/>
          <w:tab w:val="clear" w:pos="851"/>
        </w:tabs>
        <w:spacing w:before="0"/>
        <w:rPr>
          <w:rFonts w:hAnsi="Times New Roman" w:cs="Times New Roman"/>
          <w:lang w:val="pt-BR"/>
        </w:rPr>
      </w:pPr>
    </w:p>
    <w:p w:rsidR="0092011F" w:rsidRPr="002A7F74" w:rsidRDefault="0092011F" w:rsidP="00CB3E82">
      <w:pPr>
        <w:pStyle w:val="CorpoA"/>
        <w:spacing w:after="0" w:line="312" w:lineRule="auto"/>
        <w:ind w:left="709" w:hanging="709"/>
        <w:jc w:val="both"/>
        <w:rPr>
          <w:rFonts w:ascii="Times New Roman" w:eastAsia="Times New Roman" w:hAnsi="Times New Roman" w:cs="Times New Roman"/>
          <w:b/>
          <w:sz w:val="24"/>
          <w:szCs w:val="24"/>
          <w:lang w:val="pt-BR"/>
        </w:rPr>
      </w:pPr>
      <w:r w:rsidRPr="002A7F74">
        <w:rPr>
          <w:rFonts w:ascii="Times New Roman" w:eastAsia="Times New Roman" w:hAnsi="Times New Roman" w:cs="Times New Roman"/>
          <w:b/>
          <w:sz w:val="24"/>
          <w:szCs w:val="24"/>
          <w:lang w:val="pt-BR"/>
        </w:rPr>
        <w:t>3.6.1.</w:t>
      </w:r>
      <w:r w:rsidRPr="002A7F74">
        <w:rPr>
          <w:rFonts w:ascii="Times New Roman" w:eastAsia="Times New Roman" w:hAnsi="Times New Roman" w:cs="Times New Roman"/>
          <w:b/>
          <w:sz w:val="24"/>
          <w:szCs w:val="24"/>
          <w:lang w:val="pt-BR"/>
        </w:rPr>
        <w:tab/>
      </w:r>
      <w:r w:rsidR="001E4402">
        <w:rPr>
          <w:rFonts w:ascii="Times New Roman" w:hAnsi="Times New Roman" w:cs="Times New Roman"/>
          <w:b/>
          <w:sz w:val="24"/>
          <w:szCs w:val="24"/>
          <w:lang w:val="pt-BR"/>
        </w:rPr>
        <w:t>O</w:t>
      </w:r>
      <w:r w:rsidRPr="002A7F74">
        <w:rPr>
          <w:rFonts w:ascii="Times New Roman" w:eastAsia="Times New Roman" w:hAnsi="Times New Roman" w:cs="Times New Roman"/>
          <w:b/>
          <w:sz w:val="24"/>
          <w:szCs w:val="24"/>
          <w:lang w:val="pt-BR"/>
        </w:rPr>
        <w:t>ferta pública com esforços restritos (inciso I)</w:t>
      </w:r>
    </w:p>
    <w:p w:rsidR="0092011F" w:rsidRPr="002A7F74" w:rsidRDefault="0092011F" w:rsidP="0092011F">
      <w:pPr>
        <w:pStyle w:val="CorpoA"/>
        <w:spacing w:after="0" w:line="312" w:lineRule="auto"/>
        <w:jc w:val="both"/>
        <w:rPr>
          <w:rFonts w:ascii="Times New Roman" w:eastAsia="Times New Roman" w:hAnsi="Times New Roman" w:cs="Times New Roman"/>
          <w:b/>
          <w:sz w:val="24"/>
          <w:szCs w:val="24"/>
          <w:lang w:val="pt-BR"/>
        </w:rPr>
      </w:pPr>
    </w:p>
    <w:p w:rsidR="004D5548" w:rsidRPr="002A7F74" w:rsidRDefault="004D5548" w:rsidP="00A06CED">
      <w:pPr>
        <w:pStyle w:val="CorpoA"/>
        <w:spacing w:after="0" w:line="312" w:lineRule="auto"/>
        <w:ind w:firstLine="709"/>
        <w:jc w:val="both"/>
        <w:rPr>
          <w:rFonts w:ascii="Times New Roman" w:eastAsia="Times New Roman" w:hAnsi="Times New Roman" w:cs="Times New Roman"/>
          <w:sz w:val="24"/>
          <w:szCs w:val="24"/>
          <w:lang w:val="pt-BR"/>
        </w:rPr>
      </w:pPr>
      <w:r w:rsidRPr="002A7F74">
        <w:rPr>
          <w:rFonts w:ascii="Times New Roman" w:hAnsi="Times New Roman" w:cs="Times New Roman"/>
          <w:sz w:val="24"/>
          <w:szCs w:val="24"/>
          <w:lang w:val="pt-BR"/>
        </w:rPr>
        <w:t xml:space="preserve">A ANBIMA sugere que a extensão do prazo de vencimento para além de 360 dias seja restrita aos emissores que não dispõem de instrumentos </w:t>
      </w:r>
      <w:r w:rsidR="004551FD" w:rsidRPr="002A7F74">
        <w:rPr>
          <w:rFonts w:ascii="Times New Roman" w:hAnsi="Times New Roman" w:cs="Times New Roman"/>
          <w:sz w:val="24"/>
          <w:szCs w:val="24"/>
          <w:lang w:val="pt-BR"/>
        </w:rPr>
        <w:t xml:space="preserve">estruturados </w:t>
      </w:r>
      <w:r w:rsidRPr="002A7F74">
        <w:rPr>
          <w:rFonts w:ascii="Times New Roman" w:hAnsi="Times New Roman" w:cs="Times New Roman"/>
          <w:sz w:val="24"/>
          <w:szCs w:val="24"/>
          <w:lang w:val="pt-BR"/>
        </w:rPr>
        <w:t xml:space="preserve">de dívida de longo prazo, </w:t>
      </w:r>
      <w:r w:rsidR="00A06CED" w:rsidRPr="002A7F74">
        <w:rPr>
          <w:rFonts w:ascii="Times New Roman" w:hAnsi="Times New Roman" w:cs="Times New Roman"/>
          <w:sz w:val="24"/>
          <w:szCs w:val="24"/>
          <w:lang w:val="pt-BR"/>
        </w:rPr>
        <w:t>tais como as sociedades limitadas, e não a todo e qualquer emissor que realize uma oferta pública com esforços restritos, como propõe a M</w:t>
      </w:r>
      <w:r w:rsidRPr="002A7F74">
        <w:rPr>
          <w:rFonts w:ascii="Times New Roman" w:hAnsi="Times New Roman" w:cs="Times New Roman"/>
          <w:sz w:val="24"/>
          <w:szCs w:val="24"/>
          <w:lang w:val="pt-BR"/>
        </w:rPr>
        <w:t xml:space="preserve">inuta. </w:t>
      </w:r>
      <w:r w:rsidR="00A06CED" w:rsidRPr="002A7F74">
        <w:rPr>
          <w:rFonts w:ascii="Times New Roman" w:hAnsi="Times New Roman" w:cs="Times New Roman"/>
          <w:sz w:val="24"/>
          <w:szCs w:val="24"/>
          <w:lang w:val="pt-BR"/>
        </w:rPr>
        <w:t>Segundo a associação,</w:t>
      </w:r>
      <w:r w:rsidR="00E26AB2">
        <w:rPr>
          <w:rFonts w:ascii="Times New Roman" w:hAnsi="Times New Roman" w:cs="Times New Roman"/>
          <w:sz w:val="24"/>
          <w:szCs w:val="24"/>
          <w:lang w:val="pt-BR"/>
        </w:rPr>
        <w:t xml:space="preserve"> que cita o exemplo das debêntures,</w:t>
      </w:r>
      <w:r w:rsidR="00A06CED" w:rsidRPr="002A7F74">
        <w:rPr>
          <w:rFonts w:ascii="Times New Roman" w:hAnsi="Times New Roman" w:cs="Times New Roman"/>
          <w:sz w:val="24"/>
          <w:szCs w:val="24"/>
          <w:lang w:val="pt-BR"/>
        </w:rPr>
        <w:t xml:space="preserve"> “</w:t>
      </w:r>
      <w:r w:rsidR="00544DB9" w:rsidRPr="002A7F74">
        <w:rPr>
          <w:rFonts w:ascii="Times New Roman" w:hAnsi="Times New Roman" w:cs="Times New Roman"/>
          <w:i/>
          <w:sz w:val="24"/>
          <w:szCs w:val="24"/>
          <w:lang w:val="pt-BR"/>
        </w:rPr>
        <w:t>já existem outros instrumentos mais adequados à captação de recursos de longo prazo para atender às sociedades anônimas, de capital aberto ou fechado</w:t>
      </w:r>
      <w:r w:rsidR="00E26AB2">
        <w:rPr>
          <w:rFonts w:ascii="Times New Roman" w:hAnsi="Times New Roman" w:cs="Times New Roman"/>
          <w:sz w:val="24"/>
          <w:szCs w:val="24"/>
          <w:lang w:val="pt-BR"/>
        </w:rPr>
        <w:t>”.</w:t>
      </w:r>
    </w:p>
    <w:p w:rsidR="004D5548" w:rsidRPr="002A7F74" w:rsidRDefault="004D5548" w:rsidP="00A93F2F">
      <w:pPr>
        <w:pStyle w:val="CorpoA"/>
        <w:keepNext/>
        <w:widowControl w:val="0"/>
        <w:spacing w:after="0" w:line="312" w:lineRule="auto"/>
        <w:ind w:firstLine="709"/>
        <w:jc w:val="both"/>
        <w:rPr>
          <w:rFonts w:ascii="Times New Roman" w:eastAsia="Times New Roman" w:hAnsi="Times New Roman" w:cs="Times New Roman"/>
          <w:sz w:val="24"/>
          <w:szCs w:val="24"/>
          <w:lang w:val="pt-BR"/>
        </w:rPr>
      </w:pPr>
    </w:p>
    <w:tbl>
      <w:tblPr>
        <w:tblStyle w:val="TableNormal"/>
        <w:tblW w:w="1027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273"/>
      </w:tblGrid>
      <w:tr w:rsidR="004D5548" w:rsidRPr="00533EEE" w:rsidTr="004D5548">
        <w:trPr>
          <w:trHeight w:val="489"/>
        </w:trPr>
        <w:tc>
          <w:tcPr>
            <w:tcW w:w="10273"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4D5548" w:rsidRPr="004C4AC3" w:rsidRDefault="00420AE8" w:rsidP="004C4AC3">
            <w:pPr>
              <w:spacing w:line="312" w:lineRule="auto"/>
              <w:ind w:firstLine="567"/>
              <w:jc w:val="both"/>
              <w:rPr>
                <w:highlight w:val="yellow"/>
                <w:lang w:val="pt-BR"/>
              </w:rPr>
            </w:pPr>
            <w:r w:rsidRPr="004C4AC3">
              <w:rPr>
                <w:lang w:val="pt-BR"/>
              </w:rPr>
              <w:t>A CVM preferiu condicionar a extensão do prazo de vencimento à</w:t>
            </w:r>
            <w:r w:rsidR="003B0355" w:rsidRPr="004C4AC3">
              <w:rPr>
                <w:lang w:val="pt-BR"/>
              </w:rPr>
              <w:t xml:space="preserve"> </w:t>
            </w:r>
            <w:r w:rsidR="00BD06B1" w:rsidRPr="004C4AC3">
              <w:rPr>
                <w:lang w:val="pt-BR"/>
              </w:rPr>
              <w:t xml:space="preserve">realização de uma </w:t>
            </w:r>
            <w:r w:rsidR="003B0355" w:rsidRPr="004C4AC3">
              <w:rPr>
                <w:lang w:val="pt-BR"/>
              </w:rPr>
              <w:t>oferta</w:t>
            </w:r>
            <w:r w:rsidR="004B2698" w:rsidRPr="004C4AC3">
              <w:rPr>
                <w:lang w:val="pt-BR"/>
              </w:rPr>
              <w:t xml:space="preserve"> pública com esforços restritos</w:t>
            </w:r>
            <w:r w:rsidR="00BD06B1" w:rsidRPr="004C4AC3">
              <w:rPr>
                <w:lang w:val="pt-BR"/>
              </w:rPr>
              <w:t xml:space="preserve"> </w:t>
            </w:r>
            <w:r w:rsidRPr="004C4AC3">
              <w:rPr>
                <w:lang w:val="pt-BR"/>
              </w:rPr>
              <w:t xml:space="preserve">e não </w:t>
            </w:r>
            <w:r w:rsidR="003B0355" w:rsidRPr="004C4AC3">
              <w:rPr>
                <w:lang w:val="pt-BR"/>
              </w:rPr>
              <w:t xml:space="preserve">ao tipo societário </w:t>
            </w:r>
            <w:r w:rsidRPr="004C4AC3">
              <w:rPr>
                <w:lang w:val="pt-BR"/>
              </w:rPr>
              <w:t>do emissor</w:t>
            </w:r>
            <w:r w:rsidR="00DD7039" w:rsidRPr="004C4AC3">
              <w:rPr>
                <w:lang w:val="pt-BR"/>
              </w:rPr>
              <w:t xml:space="preserve">. </w:t>
            </w:r>
            <w:r w:rsidR="00BD06B1" w:rsidRPr="004C4AC3">
              <w:rPr>
                <w:lang w:val="pt-BR"/>
              </w:rPr>
              <w:t>Não faria sentido que socied</w:t>
            </w:r>
            <w:r w:rsidR="008F2219" w:rsidRPr="004C4AC3">
              <w:rPr>
                <w:lang w:val="pt-BR"/>
              </w:rPr>
              <w:t xml:space="preserve">ades limitadas não registradas </w:t>
            </w:r>
            <w:r w:rsidR="00BD06B1" w:rsidRPr="004C4AC3">
              <w:rPr>
                <w:lang w:val="pt-BR"/>
              </w:rPr>
              <w:t xml:space="preserve">pudessem gozar de um benefício não extensível a </w:t>
            </w:r>
            <w:r w:rsidR="008F2219" w:rsidRPr="004C4AC3">
              <w:rPr>
                <w:lang w:val="pt-BR"/>
              </w:rPr>
              <w:t xml:space="preserve">sociedades anônimas </w:t>
            </w:r>
            <w:r w:rsidR="00BD06B1" w:rsidRPr="004C4AC3">
              <w:rPr>
                <w:lang w:val="pt-BR"/>
              </w:rPr>
              <w:t>registradas</w:t>
            </w:r>
            <w:r w:rsidR="00795407" w:rsidRPr="004C4AC3">
              <w:rPr>
                <w:lang w:val="pt-BR"/>
              </w:rPr>
              <w:t>. O critério informacional</w:t>
            </w:r>
            <w:r w:rsidR="004C4AC3" w:rsidRPr="004C4AC3">
              <w:rPr>
                <w:lang w:val="pt-BR"/>
              </w:rPr>
              <w:t>, aliado à destinação a investidores profissionais,</w:t>
            </w:r>
            <w:r w:rsidR="00795407" w:rsidRPr="004C4AC3">
              <w:rPr>
                <w:lang w:val="pt-BR"/>
              </w:rPr>
              <w:t xml:space="preserve"> portanto, prevalec</w:t>
            </w:r>
            <w:r w:rsidR="00347C86">
              <w:rPr>
                <w:lang w:val="pt-BR"/>
              </w:rPr>
              <w:t xml:space="preserve">eu sobre o critério societário e </w:t>
            </w:r>
            <w:r w:rsidR="00B00D8A">
              <w:rPr>
                <w:lang w:val="pt-BR"/>
              </w:rPr>
              <w:t xml:space="preserve">o </w:t>
            </w:r>
            <w:r w:rsidR="00347C86">
              <w:rPr>
                <w:lang w:val="pt-BR"/>
              </w:rPr>
              <w:t>comentário do participante não foi acatado.</w:t>
            </w:r>
          </w:p>
        </w:tc>
      </w:tr>
    </w:tbl>
    <w:p w:rsidR="00D9084C" w:rsidRPr="00E26AB2" w:rsidRDefault="00D9084C" w:rsidP="00B11E2F">
      <w:pPr>
        <w:pStyle w:val="CorpoA"/>
        <w:spacing w:after="0" w:line="312" w:lineRule="auto"/>
        <w:jc w:val="both"/>
        <w:rPr>
          <w:rFonts w:ascii="Times New Roman" w:eastAsia="Times New Roman" w:hAnsi="Times New Roman" w:cs="Times New Roman"/>
          <w:sz w:val="24"/>
          <w:szCs w:val="24"/>
          <w:lang w:val="pt-BR"/>
        </w:rPr>
      </w:pPr>
    </w:p>
    <w:p w:rsidR="00EF0DB2" w:rsidRPr="002A7F74" w:rsidRDefault="00B11E2F" w:rsidP="00A93F2F">
      <w:pPr>
        <w:pStyle w:val="CorpoA"/>
        <w:spacing w:after="0" w:line="312" w:lineRule="auto"/>
        <w:ind w:firstLine="709"/>
        <w:jc w:val="both"/>
        <w:rPr>
          <w:rFonts w:ascii="Times New Roman" w:hAnsi="Times New Roman" w:cs="Times New Roman"/>
          <w:sz w:val="24"/>
          <w:szCs w:val="24"/>
          <w:lang w:val="pt-BR"/>
        </w:rPr>
      </w:pPr>
      <w:r w:rsidRPr="002A7F74">
        <w:rPr>
          <w:rFonts w:ascii="Times New Roman" w:hAnsi="Times New Roman" w:cs="Times New Roman"/>
          <w:sz w:val="24"/>
          <w:szCs w:val="24"/>
          <w:lang w:val="pt-BR"/>
        </w:rPr>
        <w:t>BM&amp;FBOVESPA</w:t>
      </w:r>
      <w:r w:rsidR="00BE2830" w:rsidRPr="002A7F74">
        <w:rPr>
          <w:rFonts w:ascii="Times New Roman" w:hAnsi="Times New Roman" w:cs="Times New Roman"/>
          <w:sz w:val="24"/>
          <w:szCs w:val="24"/>
          <w:lang w:val="pt-BR"/>
        </w:rPr>
        <w:t>,</w:t>
      </w:r>
      <w:r w:rsidRPr="002A7F74">
        <w:rPr>
          <w:rFonts w:ascii="Times New Roman" w:hAnsi="Times New Roman" w:cs="Times New Roman"/>
          <w:sz w:val="24"/>
          <w:szCs w:val="24"/>
          <w:lang w:val="pt-BR"/>
        </w:rPr>
        <w:t xml:space="preserve"> </w:t>
      </w:r>
      <w:r w:rsidR="00BE2830" w:rsidRPr="002A7F74">
        <w:rPr>
          <w:rFonts w:ascii="Times New Roman" w:hAnsi="Times New Roman" w:cs="Times New Roman"/>
          <w:sz w:val="24"/>
          <w:szCs w:val="24"/>
          <w:lang w:val="pt-BR"/>
        </w:rPr>
        <w:t xml:space="preserve">ABRASCA </w:t>
      </w:r>
      <w:r w:rsidRPr="002A7F74">
        <w:rPr>
          <w:rFonts w:ascii="Times New Roman" w:hAnsi="Times New Roman" w:cs="Times New Roman"/>
          <w:sz w:val="24"/>
          <w:szCs w:val="24"/>
          <w:lang w:val="pt-BR"/>
        </w:rPr>
        <w:t xml:space="preserve">e </w:t>
      </w:r>
      <w:r w:rsidR="002A7F74">
        <w:rPr>
          <w:rFonts w:ascii="Times New Roman" w:hAnsi="Times New Roman" w:cs="Times New Roman"/>
          <w:sz w:val="24"/>
          <w:szCs w:val="24"/>
          <w:lang w:val="pt-BR"/>
        </w:rPr>
        <w:t>Stocche</w:t>
      </w:r>
      <w:r w:rsidR="00EF0DB2" w:rsidRPr="002A7F74">
        <w:rPr>
          <w:rFonts w:ascii="Times New Roman" w:hAnsi="Times New Roman" w:cs="Times New Roman"/>
          <w:sz w:val="24"/>
          <w:szCs w:val="24"/>
          <w:lang w:val="pt-BR"/>
        </w:rPr>
        <w:t xml:space="preserve"> Forbes entendem que a possibilidade de emissão com prazo de venc</w:t>
      </w:r>
      <w:r w:rsidRPr="002A7F74">
        <w:rPr>
          <w:rFonts w:ascii="Times New Roman" w:hAnsi="Times New Roman" w:cs="Times New Roman"/>
          <w:sz w:val="24"/>
          <w:szCs w:val="24"/>
          <w:lang w:val="pt-BR"/>
        </w:rPr>
        <w:t xml:space="preserve">imento superior a 360 dias deveria </w:t>
      </w:r>
      <w:r w:rsidR="00EF0DB2" w:rsidRPr="002A7F74">
        <w:rPr>
          <w:rFonts w:ascii="Times New Roman" w:hAnsi="Times New Roman" w:cs="Times New Roman"/>
          <w:sz w:val="24"/>
          <w:szCs w:val="24"/>
          <w:lang w:val="pt-BR"/>
        </w:rPr>
        <w:t xml:space="preserve">ser estendida </w:t>
      </w:r>
      <w:r w:rsidRPr="002A7F74">
        <w:rPr>
          <w:rFonts w:ascii="Times New Roman" w:hAnsi="Times New Roman" w:cs="Times New Roman"/>
          <w:sz w:val="24"/>
          <w:szCs w:val="24"/>
          <w:lang w:val="pt-BR"/>
        </w:rPr>
        <w:t xml:space="preserve">também </w:t>
      </w:r>
      <w:r w:rsidR="00EF0DB2" w:rsidRPr="002A7F74">
        <w:rPr>
          <w:rFonts w:ascii="Times New Roman" w:hAnsi="Times New Roman" w:cs="Times New Roman"/>
          <w:sz w:val="24"/>
          <w:szCs w:val="24"/>
          <w:lang w:val="pt-BR"/>
        </w:rPr>
        <w:t>às o</w:t>
      </w:r>
      <w:r w:rsidR="0058683D" w:rsidRPr="002A7F74">
        <w:rPr>
          <w:rFonts w:ascii="Times New Roman" w:hAnsi="Times New Roman" w:cs="Times New Roman"/>
          <w:sz w:val="24"/>
          <w:szCs w:val="24"/>
          <w:lang w:val="pt-BR"/>
        </w:rPr>
        <w:t xml:space="preserve">fertas </w:t>
      </w:r>
      <w:r w:rsidR="0070260F" w:rsidRPr="002A7F74">
        <w:rPr>
          <w:rFonts w:ascii="Times New Roman" w:hAnsi="Times New Roman" w:cs="Times New Roman"/>
          <w:sz w:val="24"/>
          <w:szCs w:val="24"/>
          <w:lang w:val="pt-BR"/>
        </w:rPr>
        <w:t>públicas com registro automático</w:t>
      </w:r>
      <w:r w:rsidR="00AC70A3" w:rsidRPr="002A7F74">
        <w:rPr>
          <w:rFonts w:ascii="Times New Roman" w:hAnsi="Times New Roman" w:cs="Times New Roman"/>
          <w:sz w:val="24"/>
          <w:szCs w:val="24"/>
          <w:lang w:val="pt-BR"/>
        </w:rPr>
        <w:t>, previstas</w:t>
      </w:r>
      <w:r w:rsidR="0070260F" w:rsidRPr="002A7F74">
        <w:rPr>
          <w:rFonts w:ascii="Times New Roman" w:hAnsi="Times New Roman" w:cs="Times New Roman"/>
          <w:sz w:val="24"/>
          <w:szCs w:val="24"/>
          <w:lang w:val="pt-BR"/>
        </w:rPr>
        <w:t xml:space="preserve"> no art. 9º</w:t>
      </w:r>
      <w:r w:rsidR="00BE2830" w:rsidRPr="002A7F74">
        <w:rPr>
          <w:rFonts w:ascii="Times New Roman" w:hAnsi="Times New Roman" w:cs="Times New Roman"/>
          <w:sz w:val="24"/>
          <w:szCs w:val="24"/>
          <w:lang w:val="pt-BR"/>
        </w:rPr>
        <w:t xml:space="preserve"> da Minuta</w:t>
      </w:r>
      <w:r w:rsidR="0070260F" w:rsidRPr="002A7F74">
        <w:rPr>
          <w:rFonts w:ascii="Times New Roman" w:hAnsi="Times New Roman" w:cs="Times New Roman"/>
          <w:sz w:val="24"/>
          <w:szCs w:val="24"/>
          <w:lang w:val="pt-BR"/>
        </w:rPr>
        <w:t>,</w:t>
      </w:r>
      <w:r w:rsidR="0058683D" w:rsidRPr="002A7F74">
        <w:rPr>
          <w:rFonts w:ascii="Times New Roman" w:hAnsi="Times New Roman" w:cs="Times New Roman"/>
          <w:sz w:val="24"/>
          <w:szCs w:val="24"/>
          <w:lang w:val="pt-BR"/>
        </w:rPr>
        <w:t xml:space="preserve"> para que </w:t>
      </w:r>
      <w:r w:rsidR="00AC70A3" w:rsidRPr="002A7F74">
        <w:rPr>
          <w:rFonts w:ascii="Times New Roman" w:hAnsi="Times New Roman" w:cs="Times New Roman"/>
          <w:sz w:val="24"/>
          <w:szCs w:val="24"/>
          <w:lang w:val="pt-BR"/>
        </w:rPr>
        <w:t xml:space="preserve">os títulos </w:t>
      </w:r>
      <w:r w:rsidR="00AD75B1">
        <w:rPr>
          <w:rFonts w:ascii="Times New Roman" w:hAnsi="Times New Roman" w:cs="Times New Roman"/>
          <w:sz w:val="24"/>
          <w:szCs w:val="24"/>
          <w:lang w:val="pt-BR"/>
        </w:rPr>
        <w:t xml:space="preserve">de maior prazo </w:t>
      </w:r>
      <w:r w:rsidR="00AC70A3" w:rsidRPr="002A7F74">
        <w:rPr>
          <w:rFonts w:ascii="Times New Roman" w:hAnsi="Times New Roman" w:cs="Times New Roman"/>
          <w:sz w:val="24"/>
          <w:szCs w:val="24"/>
          <w:lang w:val="pt-BR"/>
        </w:rPr>
        <w:t>possam</w:t>
      </w:r>
      <w:r w:rsidR="0058683D" w:rsidRPr="002A7F74">
        <w:rPr>
          <w:rFonts w:ascii="Times New Roman" w:hAnsi="Times New Roman" w:cs="Times New Roman"/>
          <w:sz w:val="24"/>
          <w:szCs w:val="24"/>
          <w:lang w:val="pt-BR"/>
        </w:rPr>
        <w:t xml:space="preserve"> </w:t>
      </w:r>
      <w:r w:rsidR="00E26AB2">
        <w:rPr>
          <w:rFonts w:ascii="Times New Roman" w:hAnsi="Times New Roman" w:cs="Times New Roman"/>
          <w:sz w:val="24"/>
          <w:szCs w:val="24"/>
          <w:lang w:val="pt-BR"/>
        </w:rPr>
        <w:t xml:space="preserve">então </w:t>
      </w:r>
      <w:r w:rsidR="0058683D" w:rsidRPr="002A7F74">
        <w:rPr>
          <w:rFonts w:ascii="Times New Roman" w:hAnsi="Times New Roman" w:cs="Times New Roman"/>
          <w:sz w:val="24"/>
          <w:szCs w:val="24"/>
          <w:lang w:val="pt-BR"/>
        </w:rPr>
        <w:t xml:space="preserve">ser </w:t>
      </w:r>
      <w:r w:rsidR="00AC70A3" w:rsidRPr="002A7F74">
        <w:rPr>
          <w:rFonts w:ascii="Times New Roman" w:hAnsi="Times New Roman" w:cs="Times New Roman"/>
          <w:sz w:val="24"/>
          <w:szCs w:val="24"/>
          <w:lang w:val="pt-BR"/>
        </w:rPr>
        <w:t>distribuído</w:t>
      </w:r>
      <w:r w:rsidR="0070260F" w:rsidRPr="002A7F74">
        <w:rPr>
          <w:rFonts w:ascii="Times New Roman" w:hAnsi="Times New Roman" w:cs="Times New Roman"/>
          <w:sz w:val="24"/>
          <w:szCs w:val="24"/>
          <w:lang w:val="pt-BR"/>
        </w:rPr>
        <w:t>s</w:t>
      </w:r>
      <w:r w:rsidR="0058683D" w:rsidRPr="002A7F74">
        <w:rPr>
          <w:rFonts w:ascii="Times New Roman" w:hAnsi="Times New Roman" w:cs="Times New Roman"/>
          <w:sz w:val="24"/>
          <w:szCs w:val="24"/>
          <w:lang w:val="pt-BR"/>
        </w:rPr>
        <w:t xml:space="preserve"> </w:t>
      </w:r>
      <w:r w:rsidR="00846C1F" w:rsidRPr="002A7F74">
        <w:rPr>
          <w:rFonts w:ascii="Times New Roman" w:hAnsi="Times New Roman" w:cs="Times New Roman"/>
          <w:sz w:val="24"/>
          <w:szCs w:val="24"/>
          <w:lang w:val="pt-BR"/>
        </w:rPr>
        <w:t xml:space="preserve">não apenas </w:t>
      </w:r>
      <w:r w:rsidR="0058683D" w:rsidRPr="002A7F74">
        <w:rPr>
          <w:rFonts w:ascii="Times New Roman" w:hAnsi="Times New Roman" w:cs="Times New Roman"/>
          <w:sz w:val="24"/>
          <w:szCs w:val="24"/>
          <w:lang w:val="pt-BR"/>
        </w:rPr>
        <w:t xml:space="preserve">a investidores </w:t>
      </w:r>
      <w:r w:rsidR="00846C1F" w:rsidRPr="002A7F74">
        <w:rPr>
          <w:rFonts w:ascii="Times New Roman" w:hAnsi="Times New Roman" w:cs="Times New Roman"/>
          <w:sz w:val="24"/>
          <w:szCs w:val="24"/>
          <w:lang w:val="pt-BR"/>
        </w:rPr>
        <w:t xml:space="preserve">profissionais, </w:t>
      </w:r>
      <w:r w:rsidR="00075806" w:rsidRPr="002A7F74">
        <w:rPr>
          <w:rFonts w:ascii="Times New Roman" w:hAnsi="Times New Roman" w:cs="Times New Roman"/>
          <w:sz w:val="24"/>
          <w:szCs w:val="24"/>
          <w:lang w:val="pt-BR"/>
        </w:rPr>
        <w:t>mas</w:t>
      </w:r>
      <w:r w:rsidR="00846C1F" w:rsidRPr="002A7F74">
        <w:rPr>
          <w:rFonts w:ascii="Times New Roman" w:hAnsi="Times New Roman" w:cs="Times New Roman"/>
          <w:sz w:val="24"/>
          <w:szCs w:val="24"/>
          <w:lang w:val="pt-BR"/>
        </w:rPr>
        <w:t xml:space="preserve"> também a </w:t>
      </w:r>
      <w:r w:rsidR="0058683D" w:rsidRPr="002A7F74">
        <w:rPr>
          <w:rFonts w:ascii="Times New Roman" w:hAnsi="Times New Roman" w:cs="Times New Roman"/>
          <w:sz w:val="24"/>
          <w:szCs w:val="24"/>
          <w:lang w:val="pt-BR"/>
        </w:rPr>
        <w:t>qualificados.</w:t>
      </w:r>
      <w:r w:rsidR="0070260F" w:rsidRPr="002A7F74">
        <w:rPr>
          <w:rFonts w:ascii="Times New Roman" w:hAnsi="Times New Roman" w:cs="Times New Roman"/>
          <w:sz w:val="24"/>
          <w:szCs w:val="24"/>
          <w:lang w:val="pt-BR"/>
        </w:rPr>
        <w:t xml:space="preserve"> </w:t>
      </w:r>
    </w:p>
    <w:p w:rsidR="0070260F" w:rsidRPr="002A7F74" w:rsidRDefault="0070260F" w:rsidP="00A93F2F">
      <w:pPr>
        <w:pStyle w:val="CorpoA"/>
        <w:spacing w:after="0" w:line="312" w:lineRule="auto"/>
        <w:ind w:firstLine="709"/>
        <w:jc w:val="both"/>
        <w:rPr>
          <w:rFonts w:ascii="Times New Roman" w:hAnsi="Times New Roman" w:cs="Times New Roman"/>
          <w:sz w:val="24"/>
          <w:szCs w:val="24"/>
          <w:lang w:val="pt-BR"/>
        </w:rPr>
      </w:pPr>
    </w:p>
    <w:p w:rsidR="0070260F" w:rsidRPr="002A7F74" w:rsidRDefault="0070260F" w:rsidP="00A93F2F">
      <w:pPr>
        <w:pStyle w:val="CorpoA"/>
        <w:spacing w:after="0" w:line="312" w:lineRule="auto"/>
        <w:ind w:firstLine="709"/>
        <w:jc w:val="both"/>
        <w:rPr>
          <w:rFonts w:ascii="Times New Roman" w:hAnsi="Times New Roman" w:cs="Times New Roman"/>
          <w:sz w:val="24"/>
          <w:szCs w:val="24"/>
          <w:lang w:val="pt-BR"/>
        </w:rPr>
      </w:pPr>
      <w:r w:rsidRPr="002A7F74">
        <w:rPr>
          <w:rFonts w:ascii="Times New Roman" w:hAnsi="Times New Roman" w:cs="Times New Roman"/>
          <w:sz w:val="24"/>
          <w:szCs w:val="24"/>
          <w:lang w:val="pt-BR"/>
        </w:rPr>
        <w:t>A esse respeito, a BM&amp;FBOVESPA lembra que</w:t>
      </w:r>
      <w:r w:rsidR="00CB0D24" w:rsidRPr="002A7F74">
        <w:rPr>
          <w:rFonts w:ascii="Times New Roman" w:hAnsi="Times New Roman" w:cs="Times New Roman"/>
          <w:sz w:val="24"/>
          <w:szCs w:val="24"/>
          <w:lang w:val="pt-BR"/>
        </w:rPr>
        <w:t>, conforme previsto na Minuta,</w:t>
      </w:r>
      <w:r w:rsidRPr="002A7F74">
        <w:rPr>
          <w:rFonts w:ascii="Times New Roman" w:hAnsi="Times New Roman" w:cs="Times New Roman"/>
          <w:sz w:val="24"/>
          <w:szCs w:val="24"/>
          <w:lang w:val="pt-BR"/>
        </w:rPr>
        <w:t xml:space="preserve"> o registro automático da oferta pública</w:t>
      </w:r>
      <w:r w:rsidR="00846C1F" w:rsidRPr="002A7F74">
        <w:rPr>
          <w:rFonts w:ascii="Times New Roman" w:hAnsi="Times New Roman" w:cs="Times New Roman"/>
          <w:sz w:val="24"/>
          <w:szCs w:val="24"/>
          <w:lang w:val="pt-BR"/>
        </w:rPr>
        <w:t xml:space="preserve"> de distribuição de notas promissórias</w:t>
      </w:r>
      <w:r w:rsidR="00CB0D24" w:rsidRPr="002A7F74">
        <w:rPr>
          <w:rFonts w:ascii="Times New Roman" w:hAnsi="Times New Roman" w:cs="Times New Roman"/>
          <w:sz w:val="24"/>
          <w:szCs w:val="24"/>
          <w:lang w:val="pt-BR"/>
        </w:rPr>
        <w:t xml:space="preserve"> </w:t>
      </w:r>
      <w:r w:rsidR="00AC70A3" w:rsidRPr="002A7F74">
        <w:rPr>
          <w:rFonts w:ascii="Times New Roman" w:hAnsi="Times New Roman" w:cs="Times New Roman"/>
          <w:sz w:val="24"/>
          <w:szCs w:val="24"/>
          <w:lang w:val="pt-BR"/>
        </w:rPr>
        <w:t xml:space="preserve">é concedido apenas </w:t>
      </w:r>
      <w:r w:rsidRPr="002A7F74">
        <w:rPr>
          <w:rFonts w:ascii="Times New Roman" w:hAnsi="Times New Roman" w:cs="Times New Roman"/>
          <w:sz w:val="24"/>
          <w:szCs w:val="24"/>
          <w:lang w:val="pt-BR"/>
        </w:rPr>
        <w:t xml:space="preserve">a emissores </w:t>
      </w:r>
      <w:r w:rsidR="00CB0D24" w:rsidRPr="002A7F74">
        <w:rPr>
          <w:rFonts w:ascii="Times New Roman" w:hAnsi="Times New Roman" w:cs="Times New Roman"/>
          <w:sz w:val="24"/>
          <w:szCs w:val="24"/>
          <w:lang w:val="pt-BR"/>
        </w:rPr>
        <w:t xml:space="preserve">já </w:t>
      </w:r>
      <w:r w:rsidRPr="002A7F74">
        <w:rPr>
          <w:rFonts w:ascii="Times New Roman" w:hAnsi="Times New Roman" w:cs="Times New Roman"/>
          <w:sz w:val="24"/>
          <w:szCs w:val="24"/>
          <w:lang w:val="pt-BR"/>
        </w:rPr>
        <w:t>registrados na CVM</w:t>
      </w:r>
      <w:r w:rsidR="00846C1F" w:rsidRPr="002A7F74">
        <w:rPr>
          <w:rFonts w:ascii="Times New Roman" w:hAnsi="Times New Roman" w:cs="Times New Roman"/>
          <w:sz w:val="24"/>
          <w:szCs w:val="24"/>
          <w:lang w:val="pt-BR"/>
        </w:rPr>
        <w:t xml:space="preserve">. Para a bolsa, </w:t>
      </w:r>
      <w:r w:rsidR="007C329B" w:rsidRPr="002A7F74">
        <w:rPr>
          <w:rFonts w:ascii="Times New Roman" w:hAnsi="Times New Roman" w:cs="Times New Roman"/>
          <w:sz w:val="24"/>
          <w:szCs w:val="24"/>
          <w:lang w:val="pt-BR"/>
        </w:rPr>
        <w:t xml:space="preserve">o amplo regime informacional a que </w:t>
      </w:r>
      <w:r w:rsidR="00BE2830" w:rsidRPr="002A7F74">
        <w:rPr>
          <w:rFonts w:ascii="Times New Roman" w:hAnsi="Times New Roman" w:cs="Times New Roman"/>
          <w:sz w:val="24"/>
          <w:szCs w:val="24"/>
          <w:lang w:val="pt-BR"/>
        </w:rPr>
        <w:t xml:space="preserve">eles </w:t>
      </w:r>
      <w:r w:rsidR="007C329B" w:rsidRPr="002A7F74">
        <w:rPr>
          <w:rFonts w:ascii="Times New Roman" w:hAnsi="Times New Roman" w:cs="Times New Roman"/>
          <w:sz w:val="24"/>
          <w:szCs w:val="24"/>
          <w:lang w:val="pt-BR"/>
        </w:rPr>
        <w:t xml:space="preserve">estão sujeitos, em conjunto com a necessidade de </w:t>
      </w:r>
      <w:r w:rsidR="00BE2830" w:rsidRPr="002A7F74">
        <w:rPr>
          <w:rFonts w:ascii="Times New Roman" w:hAnsi="Times New Roman" w:cs="Times New Roman"/>
          <w:sz w:val="24"/>
          <w:szCs w:val="24"/>
          <w:lang w:val="pt-BR"/>
        </w:rPr>
        <w:t>contratar</w:t>
      </w:r>
      <w:r w:rsidR="007C329B" w:rsidRPr="002A7F74">
        <w:rPr>
          <w:rFonts w:ascii="Times New Roman" w:hAnsi="Times New Roman" w:cs="Times New Roman"/>
          <w:sz w:val="24"/>
          <w:szCs w:val="24"/>
          <w:lang w:val="pt-BR"/>
        </w:rPr>
        <w:t xml:space="preserve"> um representante da comunhão dos titulares das notas promissórias, </w:t>
      </w:r>
      <w:r w:rsidR="00E26AB2">
        <w:rPr>
          <w:rFonts w:ascii="Times New Roman" w:hAnsi="Times New Roman" w:cs="Times New Roman"/>
          <w:sz w:val="24"/>
          <w:szCs w:val="24"/>
          <w:lang w:val="pt-BR"/>
        </w:rPr>
        <w:t xml:space="preserve">também já contemplada na Minuta, </w:t>
      </w:r>
      <w:r w:rsidR="00BE2830" w:rsidRPr="002A7F74">
        <w:rPr>
          <w:rFonts w:ascii="Times New Roman" w:hAnsi="Times New Roman" w:cs="Times New Roman"/>
          <w:sz w:val="24"/>
          <w:szCs w:val="24"/>
          <w:lang w:val="pt-BR"/>
        </w:rPr>
        <w:t xml:space="preserve">seria </w:t>
      </w:r>
      <w:r w:rsidR="007C329B" w:rsidRPr="002A7F74">
        <w:rPr>
          <w:rFonts w:ascii="Times New Roman" w:hAnsi="Times New Roman" w:cs="Times New Roman"/>
          <w:sz w:val="24"/>
          <w:szCs w:val="24"/>
          <w:lang w:val="pt-BR"/>
        </w:rPr>
        <w:t>suficie</w:t>
      </w:r>
      <w:r w:rsidR="00BE2830" w:rsidRPr="002A7F74">
        <w:rPr>
          <w:rFonts w:ascii="Times New Roman" w:hAnsi="Times New Roman" w:cs="Times New Roman"/>
          <w:sz w:val="24"/>
          <w:szCs w:val="24"/>
          <w:lang w:val="pt-BR"/>
        </w:rPr>
        <w:t xml:space="preserve">nte para permitir </w:t>
      </w:r>
      <w:r w:rsidR="001628F8" w:rsidRPr="002A7F74">
        <w:rPr>
          <w:rFonts w:ascii="Times New Roman" w:hAnsi="Times New Roman" w:cs="Times New Roman"/>
          <w:sz w:val="24"/>
          <w:szCs w:val="24"/>
          <w:lang w:val="pt-BR"/>
        </w:rPr>
        <w:t>dit</w:t>
      </w:r>
      <w:r w:rsidR="00BE2830" w:rsidRPr="002A7F74">
        <w:rPr>
          <w:rFonts w:ascii="Times New Roman" w:hAnsi="Times New Roman" w:cs="Times New Roman"/>
          <w:sz w:val="24"/>
          <w:szCs w:val="24"/>
          <w:lang w:val="pt-BR"/>
        </w:rPr>
        <w:t>a extensão do prazo de vencimento.</w:t>
      </w:r>
      <w:r w:rsidR="00FE11CE" w:rsidRPr="002A7F74">
        <w:rPr>
          <w:rFonts w:ascii="Times New Roman" w:hAnsi="Times New Roman" w:cs="Times New Roman"/>
          <w:sz w:val="24"/>
          <w:szCs w:val="24"/>
          <w:lang w:val="pt-BR"/>
        </w:rPr>
        <w:t xml:space="preserve"> </w:t>
      </w:r>
      <w:r w:rsidR="00846C1F" w:rsidRPr="002A7F74">
        <w:rPr>
          <w:rFonts w:ascii="Times New Roman" w:hAnsi="Times New Roman" w:cs="Times New Roman"/>
          <w:sz w:val="24"/>
          <w:szCs w:val="24"/>
          <w:lang w:val="pt-BR"/>
        </w:rPr>
        <w:t xml:space="preserve">No mesmo sentido, </w:t>
      </w:r>
      <w:r w:rsidR="002A7F74">
        <w:rPr>
          <w:rFonts w:ascii="Times New Roman" w:hAnsi="Times New Roman" w:cs="Times New Roman"/>
          <w:sz w:val="24"/>
          <w:szCs w:val="24"/>
          <w:lang w:val="pt-BR"/>
        </w:rPr>
        <w:t>Stocche</w:t>
      </w:r>
      <w:r w:rsidR="00FE11CE" w:rsidRPr="002A7F74">
        <w:rPr>
          <w:rFonts w:ascii="Times New Roman" w:hAnsi="Times New Roman" w:cs="Times New Roman"/>
          <w:sz w:val="24"/>
          <w:szCs w:val="24"/>
          <w:lang w:val="pt-BR"/>
        </w:rPr>
        <w:t xml:space="preserve"> Forbes lembra que,</w:t>
      </w:r>
      <w:r w:rsidR="00E26AB2">
        <w:rPr>
          <w:rFonts w:ascii="Times New Roman" w:hAnsi="Times New Roman" w:cs="Times New Roman"/>
          <w:sz w:val="24"/>
          <w:szCs w:val="24"/>
          <w:lang w:val="pt-BR"/>
        </w:rPr>
        <w:t xml:space="preserve"> ainda</w:t>
      </w:r>
      <w:r w:rsidR="00FE11CE" w:rsidRPr="002A7F74">
        <w:rPr>
          <w:rFonts w:ascii="Times New Roman" w:hAnsi="Times New Roman" w:cs="Times New Roman"/>
          <w:sz w:val="24"/>
          <w:szCs w:val="24"/>
          <w:lang w:val="pt-BR"/>
        </w:rPr>
        <w:t xml:space="preserve"> de acordo com a Minuta, </w:t>
      </w:r>
      <w:r w:rsidR="00BA4D37" w:rsidRPr="002A7F74">
        <w:rPr>
          <w:rFonts w:ascii="Times New Roman" w:hAnsi="Times New Roman" w:cs="Times New Roman"/>
          <w:sz w:val="24"/>
          <w:szCs w:val="24"/>
          <w:lang w:val="pt-BR"/>
        </w:rPr>
        <w:t>tais</w:t>
      </w:r>
      <w:r w:rsidR="00FE11CE" w:rsidRPr="002A7F74">
        <w:rPr>
          <w:rFonts w:ascii="Times New Roman" w:hAnsi="Times New Roman" w:cs="Times New Roman"/>
          <w:sz w:val="24"/>
          <w:szCs w:val="24"/>
          <w:lang w:val="pt-BR"/>
        </w:rPr>
        <w:t xml:space="preserve"> ofertas já </w:t>
      </w:r>
      <w:r w:rsidR="00BA4D37" w:rsidRPr="002A7F74">
        <w:rPr>
          <w:rFonts w:ascii="Times New Roman" w:hAnsi="Times New Roman" w:cs="Times New Roman"/>
          <w:sz w:val="24"/>
          <w:szCs w:val="24"/>
          <w:lang w:val="pt-BR"/>
        </w:rPr>
        <w:t>envolvem</w:t>
      </w:r>
      <w:r w:rsidR="00FE11CE" w:rsidRPr="002A7F74">
        <w:rPr>
          <w:rFonts w:ascii="Times New Roman" w:hAnsi="Times New Roman" w:cs="Times New Roman"/>
          <w:sz w:val="24"/>
          <w:szCs w:val="24"/>
          <w:lang w:val="pt-BR"/>
        </w:rPr>
        <w:t xml:space="preserve"> a disponibilização de </w:t>
      </w:r>
      <w:r w:rsidR="00846C1F" w:rsidRPr="002A7F74">
        <w:rPr>
          <w:rFonts w:ascii="Times New Roman" w:hAnsi="Times New Roman" w:cs="Times New Roman"/>
          <w:sz w:val="24"/>
          <w:szCs w:val="24"/>
          <w:lang w:val="pt-BR"/>
        </w:rPr>
        <w:t xml:space="preserve">uma </w:t>
      </w:r>
      <w:r w:rsidR="00FE11CE" w:rsidRPr="002A7F74">
        <w:rPr>
          <w:rFonts w:ascii="Times New Roman" w:hAnsi="Times New Roman" w:cs="Times New Roman"/>
          <w:sz w:val="24"/>
          <w:szCs w:val="24"/>
          <w:lang w:val="pt-BR"/>
        </w:rPr>
        <w:t>lâmina com informaç</w:t>
      </w:r>
      <w:r w:rsidR="00846C1F" w:rsidRPr="002A7F74">
        <w:rPr>
          <w:rFonts w:ascii="Times New Roman" w:hAnsi="Times New Roman" w:cs="Times New Roman"/>
          <w:sz w:val="24"/>
          <w:szCs w:val="24"/>
          <w:lang w:val="pt-BR"/>
        </w:rPr>
        <w:t>ões reduzidas.</w:t>
      </w:r>
    </w:p>
    <w:p w:rsidR="007C329B" w:rsidRPr="002A7F74" w:rsidRDefault="007C329B" w:rsidP="00A93F2F">
      <w:pPr>
        <w:pStyle w:val="CorpoA"/>
        <w:spacing w:after="0" w:line="312" w:lineRule="auto"/>
        <w:ind w:firstLine="709"/>
        <w:jc w:val="both"/>
        <w:rPr>
          <w:rFonts w:ascii="Times New Roman" w:hAnsi="Times New Roman" w:cs="Times New Roman"/>
          <w:sz w:val="24"/>
          <w:szCs w:val="24"/>
          <w:lang w:val="pt-BR"/>
        </w:rPr>
      </w:pPr>
    </w:p>
    <w:p w:rsidR="007C329B" w:rsidRPr="002A7F74" w:rsidRDefault="007C329B" w:rsidP="00A93F2F">
      <w:pPr>
        <w:pStyle w:val="CorpoA"/>
        <w:spacing w:after="0" w:line="312" w:lineRule="auto"/>
        <w:ind w:firstLine="709"/>
        <w:jc w:val="both"/>
        <w:rPr>
          <w:rFonts w:ascii="Times New Roman" w:hAnsi="Times New Roman" w:cs="Times New Roman"/>
          <w:sz w:val="24"/>
          <w:szCs w:val="24"/>
          <w:lang w:val="pt-BR"/>
        </w:rPr>
      </w:pPr>
      <w:r w:rsidRPr="002A7F74">
        <w:rPr>
          <w:rFonts w:ascii="Times New Roman" w:hAnsi="Times New Roman" w:cs="Times New Roman"/>
          <w:sz w:val="24"/>
          <w:szCs w:val="24"/>
          <w:lang w:val="pt-BR"/>
        </w:rPr>
        <w:t xml:space="preserve">Já a ABRASCA sugere </w:t>
      </w:r>
      <w:r w:rsidR="001628F8" w:rsidRPr="002A7F74">
        <w:rPr>
          <w:rFonts w:ascii="Times New Roman" w:hAnsi="Times New Roman" w:cs="Times New Roman"/>
          <w:sz w:val="24"/>
          <w:szCs w:val="24"/>
          <w:lang w:val="pt-BR"/>
        </w:rPr>
        <w:t xml:space="preserve">condicionar a extensão do prazo de vencimento </w:t>
      </w:r>
      <w:r w:rsidR="00FE11CE" w:rsidRPr="002A7F74">
        <w:rPr>
          <w:rFonts w:ascii="Times New Roman" w:hAnsi="Times New Roman" w:cs="Times New Roman"/>
          <w:sz w:val="24"/>
          <w:szCs w:val="24"/>
          <w:lang w:val="pt-BR"/>
        </w:rPr>
        <w:t xml:space="preserve">em sede de </w:t>
      </w:r>
      <w:r w:rsidR="00BE2830" w:rsidRPr="002A7F74">
        <w:rPr>
          <w:rFonts w:ascii="Times New Roman" w:hAnsi="Times New Roman" w:cs="Times New Roman"/>
          <w:sz w:val="24"/>
          <w:szCs w:val="24"/>
          <w:lang w:val="pt-BR"/>
        </w:rPr>
        <w:t xml:space="preserve">registro automático </w:t>
      </w:r>
      <w:r w:rsidR="001628F8" w:rsidRPr="002A7F74">
        <w:rPr>
          <w:rFonts w:ascii="Times New Roman" w:hAnsi="Times New Roman" w:cs="Times New Roman"/>
          <w:sz w:val="24"/>
          <w:szCs w:val="24"/>
          <w:lang w:val="pt-BR"/>
        </w:rPr>
        <w:t xml:space="preserve">à observância </w:t>
      </w:r>
      <w:r w:rsidR="00FE11CE" w:rsidRPr="002A7F74">
        <w:rPr>
          <w:rFonts w:ascii="Times New Roman" w:hAnsi="Times New Roman" w:cs="Times New Roman"/>
          <w:sz w:val="24"/>
          <w:szCs w:val="24"/>
          <w:lang w:val="pt-BR"/>
        </w:rPr>
        <w:t>dos seguintes requisitos</w:t>
      </w:r>
      <w:r w:rsidR="001628F8" w:rsidRPr="002A7F74">
        <w:rPr>
          <w:rFonts w:ascii="Times New Roman" w:hAnsi="Times New Roman" w:cs="Times New Roman"/>
          <w:sz w:val="24"/>
          <w:szCs w:val="24"/>
          <w:lang w:val="pt-BR"/>
        </w:rPr>
        <w:t xml:space="preserve">: (i) cumprimento dos mesmos deveres informacionais, tanto por parte do ofertante quanto do intermediário líder, que se encontram previstos na Instrução CVM </w:t>
      </w:r>
      <w:r w:rsidR="001628F8" w:rsidRPr="002A7F74">
        <w:rPr>
          <w:rFonts w:ascii="Times New Roman" w:hAnsi="Times New Roman" w:cs="Times New Roman"/>
          <w:sz w:val="24"/>
          <w:szCs w:val="24"/>
          <w:lang w:val="pt-BR"/>
        </w:rPr>
        <w:lastRenderedPageBreak/>
        <w:t xml:space="preserve">nº 476, de 2009; (ii) </w:t>
      </w:r>
      <w:r w:rsidR="00CB0D24" w:rsidRPr="002A7F74">
        <w:rPr>
          <w:rFonts w:ascii="Times New Roman" w:hAnsi="Times New Roman" w:cs="Times New Roman"/>
          <w:sz w:val="24"/>
          <w:szCs w:val="24"/>
          <w:lang w:val="pt-BR"/>
        </w:rPr>
        <w:t>contratação de agente de notas, representante da comunhão dos titulares das notas promissórias; e (iii) distribuição feita a um número limitado de investidores qualificados.</w:t>
      </w:r>
    </w:p>
    <w:p w:rsidR="00F2798B" w:rsidRPr="002A7F74" w:rsidRDefault="00F2798B" w:rsidP="00A93F2F">
      <w:pPr>
        <w:pStyle w:val="CorpoA"/>
        <w:spacing w:after="0" w:line="312" w:lineRule="auto"/>
        <w:ind w:left="709"/>
        <w:jc w:val="both"/>
        <w:rPr>
          <w:rFonts w:ascii="Times New Roman" w:eastAsia="Times New Roman" w:hAnsi="Times New Roman" w:cs="Times New Roman"/>
          <w:sz w:val="24"/>
          <w:szCs w:val="24"/>
          <w:lang w:val="pt-BR"/>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533EEE" w:rsidTr="00796B1C">
        <w:trPr>
          <w:trHeight w:val="194"/>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3F2F54" w:rsidRPr="002A7F74" w:rsidRDefault="00075806" w:rsidP="00AD75B1">
            <w:pPr>
              <w:spacing w:line="312" w:lineRule="auto"/>
              <w:ind w:firstLine="567"/>
              <w:jc w:val="both"/>
              <w:rPr>
                <w:lang w:val="pt-BR"/>
              </w:rPr>
            </w:pPr>
            <w:r w:rsidRPr="002A7F74">
              <w:rPr>
                <w:lang w:val="pt-BR"/>
              </w:rPr>
              <w:t>A</w:t>
            </w:r>
            <w:r w:rsidR="0058683D" w:rsidRPr="002A7F74">
              <w:rPr>
                <w:lang w:val="pt-BR"/>
              </w:rPr>
              <w:t xml:space="preserve"> extensão do prazo aumenta os riscos da operação</w:t>
            </w:r>
            <w:r w:rsidRPr="002A7F74">
              <w:rPr>
                <w:lang w:val="pt-BR"/>
              </w:rPr>
              <w:t xml:space="preserve"> e a CVM entendeu que, </w:t>
            </w:r>
            <w:r w:rsidR="00AD75B1">
              <w:rPr>
                <w:lang w:val="pt-BR"/>
              </w:rPr>
              <w:t>nesse</w:t>
            </w:r>
            <w:r w:rsidRPr="002A7F74">
              <w:rPr>
                <w:lang w:val="pt-BR"/>
              </w:rPr>
              <w:t xml:space="preserve"> primeiro momento, </w:t>
            </w:r>
            <w:r w:rsidR="00573EC9" w:rsidRPr="002A7F74">
              <w:rPr>
                <w:lang w:val="pt-BR"/>
              </w:rPr>
              <w:t xml:space="preserve">o direcionamento a investidores profissionais, </w:t>
            </w:r>
            <w:r w:rsidR="00F1544A" w:rsidRPr="002A7F74">
              <w:rPr>
                <w:lang w:val="pt-BR"/>
              </w:rPr>
              <w:t>observadas as disposições da</w:t>
            </w:r>
            <w:r w:rsidR="0058683D" w:rsidRPr="002A7F74">
              <w:rPr>
                <w:lang w:val="pt-BR"/>
              </w:rPr>
              <w:t xml:space="preserve"> Instrução CVM nº 476, de 2009</w:t>
            </w:r>
            <w:r w:rsidR="00573EC9" w:rsidRPr="002A7F74">
              <w:rPr>
                <w:lang w:val="pt-BR"/>
              </w:rPr>
              <w:t>,</w:t>
            </w:r>
            <w:r w:rsidR="0058683D" w:rsidRPr="002A7F74">
              <w:rPr>
                <w:lang w:val="pt-BR"/>
              </w:rPr>
              <w:t xml:space="preserve"> </w:t>
            </w:r>
            <w:r w:rsidR="00F1544A" w:rsidRPr="002A7F74">
              <w:rPr>
                <w:lang w:val="pt-BR"/>
              </w:rPr>
              <w:t>é mais adequado para testar essa faculdade</w:t>
            </w:r>
            <w:r w:rsidR="00C70207">
              <w:rPr>
                <w:lang w:val="pt-BR"/>
              </w:rPr>
              <w:t>.</w:t>
            </w:r>
            <w:r w:rsidR="00726BE0" w:rsidRPr="002A7F74">
              <w:rPr>
                <w:lang w:val="pt-BR"/>
              </w:rPr>
              <w:t xml:space="preserve"> </w:t>
            </w:r>
          </w:p>
        </w:tc>
      </w:tr>
    </w:tbl>
    <w:p w:rsidR="006A5FB4" w:rsidRPr="002A7F74" w:rsidRDefault="006A5FB4" w:rsidP="0092011F">
      <w:pPr>
        <w:pStyle w:val="CorpoA"/>
        <w:widowControl w:val="0"/>
        <w:spacing w:after="0" w:line="312" w:lineRule="auto"/>
        <w:jc w:val="both"/>
        <w:rPr>
          <w:rFonts w:ascii="Times New Roman" w:eastAsia="Times New Roman" w:hAnsi="Times New Roman" w:cs="Times New Roman"/>
          <w:sz w:val="24"/>
          <w:szCs w:val="24"/>
          <w:lang w:val="pt-BR"/>
        </w:rPr>
      </w:pPr>
    </w:p>
    <w:p w:rsidR="00D9084C" w:rsidRPr="002A7F74" w:rsidRDefault="0092011F" w:rsidP="00A93F2F">
      <w:pPr>
        <w:pStyle w:val="CorpoA"/>
        <w:spacing w:after="0" w:line="312" w:lineRule="auto"/>
        <w:jc w:val="both"/>
        <w:rPr>
          <w:rFonts w:ascii="Times New Roman" w:eastAsia="Times New Roman" w:hAnsi="Times New Roman" w:cs="Times New Roman"/>
          <w:b/>
          <w:bCs/>
          <w:sz w:val="24"/>
          <w:szCs w:val="24"/>
          <w:lang w:val="pt-BR"/>
        </w:rPr>
      </w:pPr>
      <w:r w:rsidRPr="002A7F74">
        <w:rPr>
          <w:rFonts w:ascii="Times New Roman" w:hAnsi="Times New Roman" w:cs="Times New Roman"/>
          <w:b/>
          <w:bCs/>
          <w:sz w:val="24"/>
          <w:szCs w:val="24"/>
          <w:lang w:val="pt-BR"/>
        </w:rPr>
        <w:t>3.6.2</w:t>
      </w:r>
      <w:r w:rsidR="005607BA" w:rsidRPr="002A7F74">
        <w:rPr>
          <w:rFonts w:ascii="Times New Roman" w:hAnsi="Times New Roman" w:cs="Times New Roman"/>
          <w:b/>
          <w:bCs/>
          <w:sz w:val="24"/>
          <w:szCs w:val="24"/>
          <w:lang w:val="pt-BR"/>
        </w:rPr>
        <w:t>.</w:t>
      </w:r>
      <w:r w:rsidRPr="002A7F74">
        <w:rPr>
          <w:rFonts w:ascii="Times New Roman" w:hAnsi="Times New Roman" w:cs="Times New Roman"/>
          <w:b/>
          <w:bCs/>
          <w:sz w:val="24"/>
          <w:szCs w:val="24"/>
          <w:lang w:val="pt-BR"/>
        </w:rPr>
        <w:tab/>
      </w:r>
      <w:r w:rsidR="001E4402">
        <w:rPr>
          <w:rFonts w:ascii="Times New Roman" w:hAnsi="Times New Roman" w:cs="Times New Roman"/>
          <w:b/>
          <w:sz w:val="24"/>
          <w:szCs w:val="24"/>
          <w:lang w:val="pt-BR"/>
        </w:rPr>
        <w:t>C</w:t>
      </w:r>
      <w:r w:rsidRPr="002A7F74">
        <w:rPr>
          <w:rFonts w:ascii="Times New Roman" w:hAnsi="Times New Roman" w:cs="Times New Roman"/>
          <w:b/>
          <w:bCs/>
          <w:sz w:val="24"/>
          <w:szCs w:val="24"/>
          <w:lang w:val="pt-BR"/>
        </w:rPr>
        <w:t>ontratação de agente f</w:t>
      </w:r>
      <w:r w:rsidR="000F1B6C">
        <w:rPr>
          <w:rFonts w:ascii="Times New Roman" w:hAnsi="Times New Roman" w:cs="Times New Roman"/>
          <w:b/>
          <w:bCs/>
          <w:sz w:val="24"/>
          <w:szCs w:val="24"/>
          <w:lang w:val="pt-BR"/>
        </w:rPr>
        <w:t xml:space="preserve">iduciário </w:t>
      </w:r>
      <w:r w:rsidR="008C3B70" w:rsidRPr="002A7F74">
        <w:rPr>
          <w:rFonts w:ascii="Times New Roman" w:eastAsia="Times New Roman" w:hAnsi="Times New Roman" w:cs="Times New Roman"/>
          <w:b/>
          <w:sz w:val="24"/>
          <w:szCs w:val="24"/>
          <w:lang w:val="pt-BR"/>
        </w:rPr>
        <w:t>(</w:t>
      </w:r>
      <w:r w:rsidR="00EF0DB2" w:rsidRPr="002A7F74">
        <w:rPr>
          <w:rFonts w:ascii="Times New Roman" w:hAnsi="Times New Roman" w:cs="Times New Roman"/>
          <w:b/>
          <w:bCs/>
          <w:sz w:val="24"/>
          <w:szCs w:val="24"/>
          <w:lang w:val="pt-BR"/>
        </w:rPr>
        <w:t>inciso II)</w:t>
      </w:r>
    </w:p>
    <w:p w:rsidR="00D9084C" w:rsidRPr="002A7F74" w:rsidRDefault="00D9084C" w:rsidP="00A93F2F">
      <w:pPr>
        <w:pStyle w:val="CorpoA"/>
        <w:spacing w:after="0" w:line="312" w:lineRule="auto"/>
        <w:ind w:firstLine="709"/>
        <w:jc w:val="both"/>
        <w:rPr>
          <w:rFonts w:ascii="Times New Roman" w:eastAsia="Times New Roman" w:hAnsi="Times New Roman" w:cs="Times New Roman"/>
          <w:sz w:val="24"/>
          <w:szCs w:val="24"/>
          <w:lang w:val="pt-BR"/>
        </w:rPr>
      </w:pPr>
    </w:p>
    <w:p w:rsidR="00D9084C" w:rsidRPr="002A7F74" w:rsidRDefault="00341916" w:rsidP="00A93F2F">
      <w:pPr>
        <w:pStyle w:val="CorpoA"/>
        <w:spacing w:after="0" w:line="312" w:lineRule="auto"/>
        <w:ind w:firstLine="709"/>
        <w:jc w:val="both"/>
        <w:rPr>
          <w:rFonts w:ascii="Times New Roman" w:eastAsia="Times New Roman" w:hAnsi="Times New Roman" w:cs="Times New Roman"/>
          <w:sz w:val="24"/>
          <w:szCs w:val="24"/>
          <w:lang w:val="pt-BR"/>
        </w:rPr>
      </w:pPr>
      <w:r w:rsidRPr="002A7F74">
        <w:rPr>
          <w:rFonts w:ascii="Times New Roman" w:hAnsi="Times New Roman" w:cs="Times New Roman"/>
          <w:sz w:val="24"/>
          <w:szCs w:val="24"/>
          <w:lang w:val="pt-BR"/>
        </w:rPr>
        <w:t xml:space="preserve">ABRASCA e </w:t>
      </w:r>
      <w:r w:rsidR="002A7F74">
        <w:rPr>
          <w:rFonts w:ascii="Times New Roman" w:hAnsi="Times New Roman" w:cs="Times New Roman"/>
          <w:sz w:val="24"/>
          <w:szCs w:val="24"/>
          <w:lang w:val="pt-BR"/>
        </w:rPr>
        <w:t>Stocche</w:t>
      </w:r>
      <w:r w:rsidR="00EF0DB2" w:rsidRPr="002A7F74">
        <w:rPr>
          <w:rFonts w:ascii="Times New Roman" w:hAnsi="Times New Roman" w:cs="Times New Roman"/>
          <w:sz w:val="24"/>
          <w:szCs w:val="24"/>
          <w:lang w:val="pt-BR"/>
        </w:rPr>
        <w:t xml:space="preserve"> F</w:t>
      </w:r>
      <w:r w:rsidR="00675344" w:rsidRPr="002A7F74">
        <w:rPr>
          <w:rFonts w:ascii="Times New Roman" w:hAnsi="Times New Roman" w:cs="Times New Roman"/>
          <w:sz w:val="24"/>
          <w:szCs w:val="24"/>
          <w:lang w:val="pt-BR"/>
        </w:rPr>
        <w:t>orbes</w:t>
      </w:r>
      <w:r w:rsidR="00702127">
        <w:rPr>
          <w:rFonts w:ascii="Times New Roman" w:hAnsi="Times New Roman" w:cs="Times New Roman"/>
          <w:sz w:val="24"/>
          <w:szCs w:val="24"/>
          <w:lang w:val="pt-BR"/>
        </w:rPr>
        <w:t xml:space="preserve"> </w:t>
      </w:r>
      <w:r w:rsidR="008E1591">
        <w:rPr>
          <w:rFonts w:ascii="Times New Roman" w:hAnsi="Times New Roman" w:cs="Times New Roman"/>
          <w:sz w:val="24"/>
          <w:szCs w:val="24"/>
          <w:lang w:val="pt-BR"/>
        </w:rPr>
        <w:t>sugerem</w:t>
      </w:r>
      <w:r w:rsidR="00702127">
        <w:rPr>
          <w:rFonts w:ascii="Times New Roman" w:hAnsi="Times New Roman" w:cs="Times New Roman"/>
          <w:sz w:val="24"/>
          <w:szCs w:val="24"/>
          <w:lang w:val="pt-BR"/>
        </w:rPr>
        <w:t xml:space="preserve"> substituir as </w:t>
      </w:r>
      <w:r w:rsidR="00CB3E82">
        <w:rPr>
          <w:rFonts w:ascii="Times New Roman" w:hAnsi="Times New Roman" w:cs="Times New Roman"/>
          <w:sz w:val="24"/>
          <w:szCs w:val="24"/>
          <w:lang w:val="pt-BR"/>
        </w:rPr>
        <w:t>referências a</w:t>
      </w:r>
      <w:r w:rsidR="00EF0DB2" w:rsidRPr="002A7F74">
        <w:rPr>
          <w:rFonts w:ascii="Times New Roman" w:hAnsi="Times New Roman" w:cs="Times New Roman"/>
          <w:sz w:val="24"/>
          <w:szCs w:val="24"/>
          <w:lang w:val="pt-BR"/>
        </w:rPr>
        <w:t xml:space="preserve"> </w:t>
      </w:r>
      <w:r w:rsidR="00675344" w:rsidRPr="002A7F74">
        <w:rPr>
          <w:rFonts w:ascii="Times New Roman" w:hAnsi="Times New Roman" w:cs="Times New Roman"/>
          <w:sz w:val="24"/>
          <w:szCs w:val="24"/>
          <w:lang w:val="pt-BR"/>
        </w:rPr>
        <w:t>“</w:t>
      </w:r>
      <w:r w:rsidR="00EF0DB2" w:rsidRPr="002C38C1">
        <w:rPr>
          <w:rFonts w:ascii="Times New Roman" w:hAnsi="Times New Roman" w:cs="Times New Roman"/>
          <w:i/>
          <w:sz w:val="24"/>
          <w:szCs w:val="24"/>
          <w:lang w:val="pt-BR"/>
        </w:rPr>
        <w:t>agente fiduciário</w:t>
      </w:r>
      <w:r w:rsidR="00675344" w:rsidRPr="002A7F74">
        <w:rPr>
          <w:rFonts w:ascii="Times New Roman" w:hAnsi="Times New Roman" w:cs="Times New Roman"/>
          <w:sz w:val="24"/>
          <w:szCs w:val="24"/>
          <w:lang w:val="pt-BR"/>
        </w:rPr>
        <w:t>”</w:t>
      </w:r>
      <w:r w:rsidR="00EF0DB2" w:rsidRPr="002A7F74">
        <w:rPr>
          <w:rFonts w:ascii="Times New Roman" w:hAnsi="Times New Roman" w:cs="Times New Roman"/>
          <w:sz w:val="24"/>
          <w:szCs w:val="24"/>
          <w:lang w:val="pt-BR"/>
        </w:rPr>
        <w:t xml:space="preserve"> por </w:t>
      </w:r>
      <w:r w:rsidR="00675344" w:rsidRPr="002A7F74">
        <w:rPr>
          <w:rFonts w:ascii="Times New Roman" w:hAnsi="Times New Roman" w:cs="Times New Roman"/>
          <w:sz w:val="24"/>
          <w:szCs w:val="24"/>
          <w:lang w:val="pt-BR"/>
        </w:rPr>
        <w:t>“</w:t>
      </w:r>
      <w:r w:rsidR="00EF0DB2" w:rsidRPr="002C38C1">
        <w:rPr>
          <w:rFonts w:ascii="Times New Roman" w:hAnsi="Times New Roman" w:cs="Times New Roman"/>
          <w:i/>
          <w:sz w:val="24"/>
          <w:szCs w:val="24"/>
          <w:lang w:val="pt-BR"/>
        </w:rPr>
        <w:t>agente de notas</w:t>
      </w:r>
      <w:r w:rsidR="00675344" w:rsidRPr="002A7F74">
        <w:rPr>
          <w:rFonts w:ascii="Times New Roman" w:hAnsi="Times New Roman" w:cs="Times New Roman"/>
          <w:sz w:val="24"/>
          <w:szCs w:val="24"/>
          <w:lang w:val="pt-BR"/>
        </w:rPr>
        <w:t>”,</w:t>
      </w:r>
      <w:r w:rsidR="00CB1845">
        <w:rPr>
          <w:rFonts w:ascii="Times New Roman" w:hAnsi="Times New Roman" w:cs="Times New Roman"/>
          <w:sz w:val="24"/>
          <w:szCs w:val="24"/>
          <w:lang w:val="pt-BR"/>
        </w:rPr>
        <w:t xml:space="preserve"> tendo em vista que este último</w:t>
      </w:r>
      <w:r w:rsidRPr="002A7F74">
        <w:rPr>
          <w:rFonts w:ascii="Times New Roman" w:hAnsi="Times New Roman" w:cs="Times New Roman"/>
          <w:sz w:val="24"/>
          <w:szCs w:val="24"/>
          <w:lang w:val="pt-BR"/>
        </w:rPr>
        <w:t xml:space="preserve"> </w:t>
      </w:r>
      <w:r w:rsidR="00CB3E82">
        <w:rPr>
          <w:rFonts w:ascii="Times New Roman" w:hAnsi="Times New Roman" w:cs="Times New Roman"/>
          <w:sz w:val="24"/>
          <w:szCs w:val="24"/>
          <w:lang w:val="pt-BR"/>
        </w:rPr>
        <w:t xml:space="preserve">termo </w:t>
      </w:r>
      <w:r w:rsidR="00CB1845">
        <w:rPr>
          <w:rFonts w:ascii="Times New Roman" w:hAnsi="Times New Roman" w:cs="Times New Roman"/>
          <w:sz w:val="24"/>
          <w:szCs w:val="24"/>
          <w:lang w:val="pt-BR"/>
        </w:rPr>
        <w:t>é</w:t>
      </w:r>
      <w:r w:rsidR="00CF50CD" w:rsidRPr="002A7F74">
        <w:rPr>
          <w:rFonts w:ascii="Times New Roman" w:hAnsi="Times New Roman" w:cs="Times New Roman"/>
          <w:sz w:val="24"/>
          <w:szCs w:val="24"/>
          <w:lang w:val="pt-BR"/>
        </w:rPr>
        <w:t xml:space="preserve"> </w:t>
      </w:r>
      <w:r w:rsidRPr="002A7F74">
        <w:rPr>
          <w:rFonts w:ascii="Times New Roman" w:hAnsi="Times New Roman" w:cs="Times New Roman"/>
          <w:sz w:val="24"/>
          <w:szCs w:val="24"/>
          <w:lang w:val="pt-BR"/>
        </w:rPr>
        <w:t xml:space="preserve">utilizado há vários anos </w:t>
      </w:r>
      <w:r w:rsidR="00CB1845">
        <w:rPr>
          <w:rFonts w:ascii="Times New Roman" w:hAnsi="Times New Roman" w:cs="Times New Roman"/>
          <w:sz w:val="24"/>
          <w:szCs w:val="24"/>
          <w:lang w:val="pt-BR"/>
        </w:rPr>
        <w:t xml:space="preserve">pelo mercado </w:t>
      </w:r>
      <w:r w:rsidRPr="002A7F74">
        <w:rPr>
          <w:rFonts w:ascii="Times New Roman" w:hAnsi="Times New Roman" w:cs="Times New Roman"/>
          <w:sz w:val="24"/>
          <w:szCs w:val="24"/>
          <w:lang w:val="pt-BR"/>
        </w:rPr>
        <w:t xml:space="preserve">e </w:t>
      </w:r>
      <w:r w:rsidR="00CB1845">
        <w:rPr>
          <w:rFonts w:ascii="Times New Roman" w:hAnsi="Times New Roman" w:cs="Times New Roman"/>
          <w:sz w:val="24"/>
          <w:szCs w:val="24"/>
          <w:lang w:val="pt-BR"/>
        </w:rPr>
        <w:t xml:space="preserve">também </w:t>
      </w:r>
      <w:r w:rsidR="000F1B6C">
        <w:rPr>
          <w:rFonts w:ascii="Times New Roman" w:hAnsi="Times New Roman" w:cs="Times New Roman"/>
          <w:sz w:val="24"/>
          <w:szCs w:val="24"/>
          <w:lang w:val="pt-BR"/>
        </w:rPr>
        <w:t>a fim de</w:t>
      </w:r>
      <w:r w:rsidR="00152F36">
        <w:rPr>
          <w:rFonts w:ascii="Times New Roman" w:hAnsi="Times New Roman" w:cs="Times New Roman"/>
          <w:sz w:val="24"/>
          <w:szCs w:val="24"/>
          <w:lang w:val="pt-BR"/>
        </w:rPr>
        <w:t xml:space="preserve"> diferencia</w:t>
      </w:r>
      <w:r w:rsidRPr="002A7F74">
        <w:rPr>
          <w:rFonts w:ascii="Times New Roman" w:hAnsi="Times New Roman" w:cs="Times New Roman"/>
          <w:sz w:val="24"/>
          <w:szCs w:val="24"/>
          <w:lang w:val="pt-BR"/>
        </w:rPr>
        <w:t xml:space="preserve">r </w:t>
      </w:r>
      <w:r w:rsidR="00CB1845">
        <w:rPr>
          <w:rFonts w:ascii="Times New Roman" w:hAnsi="Times New Roman" w:cs="Times New Roman"/>
          <w:sz w:val="24"/>
          <w:szCs w:val="24"/>
          <w:lang w:val="pt-BR"/>
        </w:rPr>
        <w:t>dit</w:t>
      </w:r>
      <w:r w:rsidR="00152F36">
        <w:rPr>
          <w:rFonts w:ascii="Times New Roman" w:hAnsi="Times New Roman" w:cs="Times New Roman"/>
          <w:sz w:val="24"/>
          <w:szCs w:val="24"/>
          <w:lang w:val="pt-BR"/>
        </w:rPr>
        <w:t>o</w:t>
      </w:r>
      <w:r w:rsidRPr="002A7F74">
        <w:rPr>
          <w:rFonts w:ascii="Times New Roman" w:hAnsi="Times New Roman" w:cs="Times New Roman"/>
          <w:sz w:val="24"/>
          <w:szCs w:val="24"/>
          <w:lang w:val="pt-BR"/>
        </w:rPr>
        <w:t xml:space="preserve"> prestado</w:t>
      </w:r>
      <w:r w:rsidR="00CB3E82">
        <w:rPr>
          <w:rFonts w:ascii="Times New Roman" w:hAnsi="Times New Roman" w:cs="Times New Roman"/>
          <w:sz w:val="24"/>
          <w:szCs w:val="24"/>
          <w:lang w:val="pt-BR"/>
        </w:rPr>
        <w:t>r</w:t>
      </w:r>
      <w:r w:rsidRPr="002A7F74">
        <w:rPr>
          <w:rFonts w:ascii="Times New Roman" w:hAnsi="Times New Roman" w:cs="Times New Roman"/>
          <w:sz w:val="24"/>
          <w:szCs w:val="24"/>
          <w:lang w:val="pt-BR"/>
        </w:rPr>
        <w:t xml:space="preserve"> de serviço</w:t>
      </w:r>
      <w:r w:rsidR="00EF0DB2" w:rsidRPr="002A7F74">
        <w:rPr>
          <w:rFonts w:ascii="Times New Roman" w:hAnsi="Times New Roman" w:cs="Times New Roman"/>
          <w:sz w:val="24"/>
          <w:szCs w:val="24"/>
          <w:lang w:val="pt-BR"/>
        </w:rPr>
        <w:t xml:space="preserve"> do agente </w:t>
      </w:r>
      <w:r w:rsidRPr="002A7F74">
        <w:rPr>
          <w:rFonts w:ascii="Times New Roman" w:hAnsi="Times New Roman" w:cs="Times New Roman"/>
          <w:sz w:val="24"/>
          <w:szCs w:val="24"/>
          <w:lang w:val="pt-BR"/>
        </w:rPr>
        <w:t>fiduciário</w:t>
      </w:r>
      <w:r w:rsidR="00EF0DB2" w:rsidRPr="002A7F74">
        <w:rPr>
          <w:rFonts w:ascii="Times New Roman" w:hAnsi="Times New Roman" w:cs="Times New Roman"/>
          <w:sz w:val="24"/>
          <w:szCs w:val="24"/>
          <w:lang w:val="pt-BR"/>
        </w:rPr>
        <w:t xml:space="preserve"> </w:t>
      </w:r>
      <w:r w:rsidR="00CF50CD">
        <w:rPr>
          <w:rFonts w:ascii="Times New Roman" w:hAnsi="Times New Roman" w:cs="Times New Roman"/>
          <w:sz w:val="24"/>
          <w:szCs w:val="24"/>
          <w:lang w:val="pt-BR"/>
        </w:rPr>
        <w:t xml:space="preserve">propriamente dito, </w:t>
      </w:r>
      <w:r w:rsidR="00CB1845">
        <w:rPr>
          <w:rFonts w:ascii="Times New Roman" w:hAnsi="Times New Roman" w:cs="Times New Roman"/>
          <w:sz w:val="24"/>
          <w:szCs w:val="24"/>
          <w:lang w:val="pt-BR"/>
        </w:rPr>
        <w:t xml:space="preserve">cuja contratação, </w:t>
      </w:r>
      <w:r w:rsidR="00CB1845" w:rsidRPr="002A7F74">
        <w:rPr>
          <w:rFonts w:ascii="Times New Roman" w:hAnsi="Times New Roman" w:cs="Times New Roman"/>
          <w:sz w:val="24"/>
          <w:szCs w:val="24"/>
          <w:lang w:val="pt-BR"/>
        </w:rPr>
        <w:t xml:space="preserve">funções e prerrogativas </w:t>
      </w:r>
      <w:r w:rsidR="00CB1845">
        <w:rPr>
          <w:rFonts w:ascii="Times New Roman" w:hAnsi="Times New Roman" w:cs="Times New Roman"/>
          <w:sz w:val="24"/>
          <w:szCs w:val="24"/>
          <w:lang w:val="pt-BR"/>
        </w:rPr>
        <w:t xml:space="preserve">são </w:t>
      </w:r>
      <w:r w:rsidR="00702127">
        <w:rPr>
          <w:rFonts w:ascii="Times New Roman" w:hAnsi="Times New Roman" w:cs="Times New Roman"/>
          <w:sz w:val="24"/>
          <w:szCs w:val="24"/>
          <w:lang w:val="pt-BR"/>
        </w:rPr>
        <w:t>previst</w:t>
      </w:r>
      <w:r w:rsidR="00CB1845">
        <w:rPr>
          <w:rFonts w:ascii="Times New Roman" w:hAnsi="Times New Roman" w:cs="Times New Roman"/>
          <w:sz w:val="24"/>
          <w:szCs w:val="24"/>
          <w:lang w:val="pt-BR"/>
        </w:rPr>
        <w:t>as</w:t>
      </w:r>
      <w:r w:rsidR="00702127">
        <w:rPr>
          <w:rFonts w:ascii="Times New Roman" w:hAnsi="Times New Roman" w:cs="Times New Roman"/>
          <w:sz w:val="24"/>
          <w:szCs w:val="24"/>
          <w:lang w:val="pt-BR"/>
        </w:rPr>
        <w:t xml:space="preserve"> em lei </w:t>
      </w:r>
      <w:r w:rsidR="00CB1845">
        <w:rPr>
          <w:rFonts w:ascii="Times New Roman" w:hAnsi="Times New Roman" w:cs="Times New Roman"/>
          <w:sz w:val="24"/>
          <w:szCs w:val="24"/>
          <w:lang w:val="pt-BR"/>
        </w:rPr>
        <w:t xml:space="preserve">para </w:t>
      </w:r>
      <w:r w:rsidR="00DD4FA1">
        <w:rPr>
          <w:rFonts w:ascii="Times New Roman" w:hAnsi="Times New Roman" w:cs="Times New Roman"/>
          <w:sz w:val="24"/>
          <w:szCs w:val="24"/>
          <w:lang w:val="pt-BR"/>
        </w:rPr>
        <w:t>títulos</w:t>
      </w:r>
      <w:r w:rsidR="00CB1845" w:rsidRPr="00CB1845">
        <w:rPr>
          <w:rFonts w:ascii="Times New Roman" w:hAnsi="Times New Roman" w:cs="Times New Roman"/>
          <w:sz w:val="24"/>
          <w:szCs w:val="24"/>
          <w:lang w:val="pt-BR"/>
        </w:rPr>
        <w:t xml:space="preserve"> </w:t>
      </w:r>
      <w:r w:rsidR="00CB1845">
        <w:rPr>
          <w:rFonts w:ascii="Times New Roman" w:hAnsi="Times New Roman" w:cs="Times New Roman"/>
          <w:sz w:val="24"/>
          <w:szCs w:val="24"/>
          <w:lang w:val="pt-BR"/>
        </w:rPr>
        <w:t>outros que não a nota promissória</w:t>
      </w:r>
      <w:r w:rsidR="00702127">
        <w:rPr>
          <w:rFonts w:ascii="Times New Roman" w:hAnsi="Times New Roman" w:cs="Times New Roman"/>
          <w:sz w:val="24"/>
          <w:szCs w:val="24"/>
          <w:lang w:val="pt-BR"/>
        </w:rPr>
        <w:t xml:space="preserve"> </w:t>
      </w:r>
      <w:r w:rsidR="00DD4FA1">
        <w:rPr>
          <w:rFonts w:ascii="Times New Roman" w:hAnsi="Times New Roman" w:cs="Times New Roman"/>
          <w:sz w:val="24"/>
          <w:szCs w:val="24"/>
          <w:lang w:val="pt-BR"/>
        </w:rPr>
        <w:t>(como as debêntures, os certificados de recebíveis imobiliários e os certificados de recebíveis do agroneg</w:t>
      </w:r>
      <w:r w:rsidR="00CB1845">
        <w:rPr>
          <w:rFonts w:ascii="Times New Roman" w:hAnsi="Times New Roman" w:cs="Times New Roman"/>
          <w:sz w:val="24"/>
          <w:szCs w:val="24"/>
          <w:lang w:val="pt-BR"/>
        </w:rPr>
        <w:t>ócio)</w:t>
      </w:r>
      <w:r w:rsidR="00EF0DB2" w:rsidRPr="002A7F74">
        <w:rPr>
          <w:rFonts w:ascii="Times New Roman" w:hAnsi="Times New Roman" w:cs="Times New Roman"/>
          <w:sz w:val="24"/>
          <w:szCs w:val="24"/>
          <w:lang w:val="pt-BR"/>
        </w:rPr>
        <w:t>.</w:t>
      </w:r>
      <w:r w:rsidR="005607BA" w:rsidRPr="002A7F74">
        <w:rPr>
          <w:rFonts w:ascii="Times New Roman" w:hAnsi="Times New Roman" w:cs="Times New Roman"/>
          <w:sz w:val="24"/>
          <w:szCs w:val="24"/>
          <w:lang w:val="pt-BR"/>
        </w:rPr>
        <w:t xml:space="preserve"> </w:t>
      </w:r>
    </w:p>
    <w:p w:rsidR="009740C3" w:rsidRDefault="009740C3" w:rsidP="009740C3">
      <w:pPr>
        <w:pStyle w:val="CorpoA"/>
        <w:spacing w:after="0" w:line="312" w:lineRule="auto"/>
        <w:ind w:firstLine="709"/>
        <w:jc w:val="both"/>
        <w:rPr>
          <w:rFonts w:ascii="Times New Roman" w:hAnsi="Times New Roman" w:cs="Times New Roman"/>
          <w:sz w:val="24"/>
          <w:szCs w:val="24"/>
          <w:highlight w:val="yellow"/>
          <w:lang w:val="pt-BR"/>
        </w:rPr>
      </w:pPr>
    </w:p>
    <w:p w:rsidR="008543FF" w:rsidRDefault="00A76D09" w:rsidP="009740C3">
      <w:pPr>
        <w:pStyle w:val="CorpoA"/>
        <w:spacing w:after="0" w:line="312" w:lineRule="auto"/>
        <w:ind w:firstLine="709"/>
        <w:jc w:val="both"/>
        <w:rPr>
          <w:rFonts w:ascii="Times New Roman" w:hAnsi="Times New Roman" w:cs="Times New Roman"/>
          <w:sz w:val="24"/>
          <w:szCs w:val="24"/>
          <w:lang w:val="pt-BR"/>
        </w:rPr>
      </w:pPr>
      <w:r w:rsidRPr="008A7AFD">
        <w:rPr>
          <w:rFonts w:ascii="Times New Roman" w:hAnsi="Times New Roman" w:cs="Times New Roman"/>
          <w:sz w:val="24"/>
          <w:szCs w:val="24"/>
          <w:lang w:val="pt-BR"/>
        </w:rPr>
        <w:t xml:space="preserve">A </w:t>
      </w:r>
      <w:r w:rsidR="009740C3" w:rsidRPr="008A7AFD">
        <w:rPr>
          <w:rFonts w:ascii="Times New Roman" w:hAnsi="Times New Roman" w:cs="Times New Roman"/>
          <w:sz w:val="24"/>
          <w:szCs w:val="24"/>
          <w:lang w:val="pt-BR"/>
        </w:rPr>
        <w:t xml:space="preserve">ABRASCA </w:t>
      </w:r>
      <w:r w:rsidRPr="008A7AFD">
        <w:rPr>
          <w:rFonts w:ascii="Times New Roman" w:hAnsi="Times New Roman" w:cs="Times New Roman"/>
          <w:sz w:val="24"/>
          <w:szCs w:val="24"/>
          <w:lang w:val="pt-BR"/>
        </w:rPr>
        <w:t xml:space="preserve">aponta, contudo, que a falta de uma regulamentação específica para o agente de notas </w:t>
      </w:r>
      <w:r w:rsidR="003034DE" w:rsidRPr="008A7AFD">
        <w:rPr>
          <w:rFonts w:ascii="Times New Roman" w:hAnsi="Times New Roman" w:cs="Times New Roman"/>
          <w:sz w:val="24"/>
          <w:szCs w:val="24"/>
          <w:lang w:val="pt-BR"/>
        </w:rPr>
        <w:t>“</w:t>
      </w:r>
      <w:r w:rsidR="003034DE" w:rsidRPr="008A7AFD">
        <w:rPr>
          <w:rFonts w:ascii="Times New Roman" w:hAnsi="Times New Roman" w:cs="Times New Roman"/>
          <w:i/>
          <w:sz w:val="24"/>
          <w:szCs w:val="24"/>
          <w:lang w:val="pt-BR"/>
        </w:rPr>
        <w:t>traz dificuldades operacionais relevantes ao mercado quando da necessidade de convocação de uma Assembleia de Titulares de Nota</w:t>
      </w:r>
      <w:r w:rsidR="003034DE" w:rsidRPr="008A7AFD">
        <w:rPr>
          <w:rFonts w:ascii="Times New Roman" w:hAnsi="Times New Roman" w:cs="Times New Roman"/>
          <w:sz w:val="24"/>
          <w:szCs w:val="24"/>
          <w:lang w:val="pt-BR"/>
        </w:rPr>
        <w:t xml:space="preserve">”, notadamente a indisposição de entidades administradoras de mercados organizados </w:t>
      </w:r>
      <w:r w:rsidR="0014030C" w:rsidRPr="008A7AFD">
        <w:rPr>
          <w:rFonts w:ascii="Times New Roman" w:hAnsi="Times New Roman" w:cs="Times New Roman"/>
          <w:sz w:val="24"/>
          <w:szCs w:val="24"/>
          <w:lang w:val="pt-BR"/>
        </w:rPr>
        <w:t xml:space="preserve">a fornecer, a tal prestador de serviços, a lista de detentores dos títulos. </w:t>
      </w:r>
      <w:r w:rsidR="00502D97" w:rsidRPr="008A7AFD">
        <w:rPr>
          <w:rFonts w:ascii="Times New Roman" w:hAnsi="Times New Roman" w:cs="Times New Roman"/>
          <w:sz w:val="24"/>
          <w:szCs w:val="24"/>
          <w:lang w:val="pt-BR"/>
        </w:rPr>
        <w:t>Para</w:t>
      </w:r>
      <w:r w:rsidR="008A7AFD" w:rsidRPr="008A7AFD">
        <w:rPr>
          <w:rFonts w:ascii="Times New Roman" w:hAnsi="Times New Roman" w:cs="Times New Roman"/>
          <w:sz w:val="24"/>
          <w:szCs w:val="24"/>
          <w:lang w:val="pt-BR"/>
        </w:rPr>
        <w:t xml:space="preserve"> combater esse tipo de problema</w:t>
      </w:r>
      <w:r w:rsidR="00502D97" w:rsidRPr="008A7AFD">
        <w:rPr>
          <w:rFonts w:ascii="Times New Roman" w:hAnsi="Times New Roman" w:cs="Times New Roman"/>
          <w:sz w:val="24"/>
          <w:szCs w:val="24"/>
          <w:lang w:val="pt-BR"/>
        </w:rPr>
        <w:t>, a</w:t>
      </w:r>
      <w:r w:rsidR="0014030C" w:rsidRPr="008A7AFD">
        <w:rPr>
          <w:rFonts w:ascii="Times New Roman" w:hAnsi="Times New Roman" w:cs="Times New Roman"/>
          <w:sz w:val="24"/>
          <w:szCs w:val="24"/>
          <w:lang w:val="pt-BR"/>
        </w:rPr>
        <w:t xml:space="preserve"> associação sugere que as atribuições e responsabilidades </w:t>
      </w:r>
      <w:r w:rsidR="00502D97" w:rsidRPr="008A7AFD">
        <w:rPr>
          <w:rFonts w:ascii="Times New Roman" w:hAnsi="Times New Roman" w:cs="Times New Roman"/>
          <w:sz w:val="24"/>
          <w:szCs w:val="24"/>
          <w:lang w:val="pt-BR"/>
        </w:rPr>
        <w:t>d</w:t>
      </w:r>
      <w:r w:rsidR="0014030C" w:rsidRPr="008A7AFD">
        <w:rPr>
          <w:rFonts w:ascii="Times New Roman" w:hAnsi="Times New Roman" w:cs="Times New Roman"/>
          <w:sz w:val="24"/>
          <w:szCs w:val="24"/>
          <w:lang w:val="pt-BR"/>
        </w:rPr>
        <w:t xml:space="preserve">os agentes de notas </w:t>
      </w:r>
      <w:r w:rsidR="00502D97" w:rsidRPr="008A7AFD">
        <w:rPr>
          <w:rFonts w:ascii="Times New Roman" w:hAnsi="Times New Roman" w:cs="Times New Roman"/>
          <w:sz w:val="24"/>
          <w:szCs w:val="24"/>
          <w:lang w:val="pt-BR"/>
        </w:rPr>
        <w:t>sejam definidas</w:t>
      </w:r>
      <w:r w:rsidR="008A7AFD" w:rsidRPr="008A7AFD">
        <w:rPr>
          <w:rFonts w:ascii="Times New Roman" w:hAnsi="Times New Roman" w:cs="Times New Roman"/>
          <w:sz w:val="24"/>
          <w:szCs w:val="24"/>
          <w:lang w:val="pt-BR"/>
        </w:rPr>
        <w:t xml:space="preserve"> pela CVM –</w:t>
      </w:r>
      <w:r w:rsidR="008543FF">
        <w:rPr>
          <w:rFonts w:ascii="Times New Roman" w:hAnsi="Times New Roman" w:cs="Times New Roman"/>
          <w:sz w:val="24"/>
          <w:szCs w:val="24"/>
          <w:lang w:val="pt-BR"/>
        </w:rPr>
        <w:t xml:space="preserve"> quer </w:t>
      </w:r>
      <w:r w:rsidR="00502D97" w:rsidRPr="008A7AFD">
        <w:rPr>
          <w:rFonts w:ascii="Times New Roman" w:hAnsi="Times New Roman" w:cs="Times New Roman"/>
          <w:sz w:val="24"/>
          <w:szCs w:val="24"/>
          <w:lang w:val="pt-BR"/>
        </w:rPr>
        <w:t xml:space="preserve">em Instrução específica, </w:t>
      </w:r>
      <w:r w:rsidR="009F68BC" w:rsidRPr="008A7AFD">
        <w:rPr>
          <w:rFonts w:ascii="Times New Roman" w:hAnsi="Times New Roman" w:cs="Times New Roman"/>
          <w:sz w:val="24"/>
          <w:szCs w:val="24"/>
          <w:lang w:val="pt-BR"/>
        </w:rPr>
        <w:t>quer</w:t>
      </w:r>
      <w:r w:rsidR="00502D97" w:rsidRPr="008A7AFD">
        <w:rPr>
          <w:rFonts w:ascii="Times New Roman" w:hAnsi="Times New Roman" w:cs="Times New Roman"/>
          <w:sz w:val="24"/>
          <w:szCs w:val="24"/>
          <w:lang w:val="pt-BR"/>
        </w:rPr>
        <w:t xml:space="preserve"> </w:t>
      </w:r>
      <w:r w:rsidR="008A7AFD" w:rsidRPr="008A7AFD">
        <w:rPr>
          <w:rFonts w:ascii="Times New Roman" w:hAnsi="Times New Roman" w:cs="Times New Roman"/>
          <w:sz w:val="24"/>
          <w:szCs w:val="24"/>
          <w:lang w:val="pt-BR"/>
        </w:rPr>
        <w:t xml:space="preserve">alterando </w:t>
      </w:r>
      <w:r w:rsidR="00502D97" w:rsidRPr="008A7AFD">
        <w:rPr>
          <w:rFonts w:ascii="Times New Roman" w:hAnsi="Times New Roman" w:cs="Times New Roman"/>
          <w:sz w:val="24"/>
          <w:szCs w:val="24"/>
          <w:lang w:val="pt-BR"/>
        </w:rPr>
        <w:t xml:space="preserve">a Instrução CVM nº 28, de </w:t>
      </w:r>
      <w:r w:rsidR="008A7AFD" w:rsidRPr="008A7AFD">
        <w:rPr>
          <w:rFonts w:ascii="Times New Roman" w:hAnsi="Times New Roman" w:cs="Times New Roman"/>
          <w:sz w:val="24"/>
          <w:szCs w:val="24"/>
          <w:lang w:val="pt-BR"/>
        </w:rPr>
        <w:t xml:space="preserve">23 de novembro de 1983, </w:t>
      </w:r>
      <w:r w:rsidR="008543FF">
        <w:rPr>
          <w:rFonts w:ascii="Times New Roman" w:hAnsi="Times New Roman" w:cs="Times New Roman"/>
          <w:sz w:val="24"/>
          <w:szCs w:val="24"/>
          <w:lang w:val="pt-BR"/>
        </w:rPr>
        <w:t>a qual</w:t>
      </w:r>
      <w:r w:rsidR="008A7AFD" w:rsidRPr="008A7AFD">
        <w:rPr>
          <w:rFonts w:ascii="Times New Roman" w:hAnsi="Times New Roman" w:cs="Times New Roman"/>
          <w:sz w:val="24"/>
          <w:szCs w:val="24"/>
          <w:lang w:val="pt-BR"/>
        </w:rPr>
        <w:t xml:space="preserve"> dispõe sobre o exercício da função de agente fiduciário dos debenturistas, quer incluindo um novo parágrafo ao art. 5º</w:t>
      </w:r>
      <w:r w:rsidR="008543FF">
        <w:rPr>
          <w:rFonts w:ascii="Times New Roman" w:hAnsi="Times New Roman" w:cs="Times New Roman"/>
          <w:sz w:val="24"/>
          <w:szCs w:val="24"/>
          <w:lang w:val="pt-BR"/>
        </w:rPr>
        <w:t xml:space="preserve"> da Minuta</w:t>
      </w:r>
      <w:r w:rsidR="008A7AFD" w:rsidRPr="008A7AFD">
        <w:rPr>
          <w:rFonts w:ascii="Times New Roman" w:hAnsi="Times New Roman" w:cs="Times New Roman"/>
          <w:sz w:val="24"/>
          <w:szCs w:val="24"/>
          <w:lang w:val="pt-BR"/>
        </w:rPr>
        <w:t>, assim redigido</w:t>
      </w:r>
      <w:r w:rsidR="008543FF">
        <w:rPr>
          <w:rFonts w:ascii="Times New Roman" w:hAnsi="Times New Roman" w:cs="Times New Roman"/>
          <w:sz w:val="24"/>
          <w:szCs w:val="24"/>
          <w:lang w:val="pt-BR"/>
        </w:rPr>
        <w:t xml:space="preserve">: </w:t>
      </w:r>
    </w:p>
    <w:p w:rsidR="008543FF" w:rsidRDefault="008543FF" w:rsidP="009740C3">
      <w:pPr>
        <w:pStyle w:val="CorpoA"/>
        <w:spacing w:after="0" w:line="312" w:lineRule="auto"/>
        <w:ind w:firstLine="709"/>
        <w:jc w:val="both"/>
        <w:rPr>
          <w:rFonts w:ascii="Times New Roman" w:hAnsi="Times New Roman" w:cs="Times New Roman"/>
          <w:sz w:val="24"/>
          <w:szCs w:val="24"/>
          <w:lang w:val="pt-BR"/>
        </w:rPr>
      </w:pPr>
    </w:p>
    <w:p w:rsidR="00A76D09" w:rsidRPr="00933AD8" w:rsidRDefault="008543FF" w:rsidP="00933AD8">
      <w:pPr>
        <w:pStyle w:val="CorpoA"/>
        <w:spacing w:after="0" w:line="312" w:lineRule="auto"/>
        <w:ind w:left="709"/>
        <w:jc w:val="both"/>
        <w:rPr>
          <w:rFonts w:ascii="Times New Roman" w:hAnsi="Times New Roman" w:cs="Times New Roman"/>
          <w:sz w:val="24"/>
          <w:szCs w:val="24"/>
          <w:lang w:val="pt-BR"/>
        </w:rPr>
      </w:pPr>
      <w:r w:rsidRPr="00933AD8">
        <w:rPr>
          <w:rFonts w:ascii="Times New Roman" w:hAnsi="Times New Roman" w:cs="Times New Roman"/>
          <w:sz w:val="24"/>
          <w:szCs w:val="24"/>
          <w:lang w:val="pt-BR"/>
        </w:rPr>
        <w:t>“</w:t>
      </w:r>
      <w:r w:rsidRPr="00933AD8">
        <w:rPr>
          <w:rFonts w:ascii="Times New Roman" w:hAnsi="Times New Roman" w:cs="Times New Roman"/>
          <w:i/>
          <w:sz w:val="24"/>
          <w:szCs w:val="24"/>
          <w:lang w:val="pt-BR"/>
        </w:rPr>
        <w:t>§ 7º  O agente de notas estará sujeito aos mesmos deveres e obrigações do agente fiduciário, no que for aplicável, conforme regulamentação específica</w:t>
      </w:r>
      <w:r w:rsidRPr="00933AD8">
        <w:rPr>
          <w:rFonts w:ascii="Times New Roman" w:hAnsi="Times New Roman" w:cs="Times New Roman"/>
          <w:sz w:val="24"/>
          <w:szCs w:val="24"/>
          <w:lang w:val="pt-BR"/>
        </w:rPr>
        <w:t>”.</w:t>
      </w:r>
    </w:p>
    <w:p w:rsidR="00A76D09" w:rsidRDefault="00A76D09" w:rsidP="009740C3">
      <w:pPr>
        <w:pStyle w:val="CorpoA"/>
        <w:spacing w:after="0" w:line="312" w:lineRule="auto"/>
        <w:ind w:firstLine="709"/>
        <w:jc w:val="both"/>
        <w:rPr>
          <w:rFonts w:ascii="Times New Roman" w:hAnsi="Times New Roman" w:cs="Times New Roman"/>
          <w:sz w:val="24"/>
          <w:szCs w:val="24"/>
          <w:highlight w:val="yellow"/>
          <w:lang w:val="pt-BR"/>
        </w:rPr>
      </w:pPr>
    </w:p>
    <w:p w:rsidR="008543FF" w:rsidRPr="00287D58" w:rsidRDefault="008543FF" w:rsidP="009740C3">
      <w:pPr>
        <w:pStyle w:val="CorpoA"/>
        <w:spacing w:after="0" w:line="312" w:lineRule="auto"/>
        <w:ind w:firstLine="709"/>
        <w:jc w:val="both"/>
        <w:rPr>
          <w:rFonts w:ascii="Times New Roman" w:hAnsi="Times New Roman" w:cs="Times New Roman"/>
          <w:sz w:val="24"/>
          <w:szCs w:val="24"/>
          <w:lang w:val="pt-BR"/>
        </w:rPr>
      </w:pPr>
      <w:r w:rsidRPr="00287D58">
        <w:rPr>
          <w:rFonts w:ascii="Times New Roman" w:hAnsi="Times New Roman" w:cs="Times New Roman"/>
          <w:sz w:val="24"/>
          <w:szCs w:val="24"/>
          <w:lang w:val="pt-BR"/>
        </w:rPr>
        <w:t xml:space="preserve">Da mesma forma, Stocche Forbes </w:t>
      </w:r>
      <w:r w:rsidR="007E63DA" w:rsidRPr="00287D58">
        <w:rPr>
          <w:rFonts w:ascii="Times New Roman" w:hAnsi="Times New Roman" w:cs="Times New Roman"/>
          <w:sz w:val="24"/>
          <w:szCs w:val="24"/>
          <w:lang w:val="pt-BR"/>
        </w:rPr>
        <w:t xml:space="preserve">sugere a inclusão de dois artigos à Minuta, </w:t>
      </w:r>
      <w:r w:rsidR="00287D58" w:rsidRPr="00287D58">
        <w:rPr>
          <w:rFonts w:ascii="Times New Roman" w:hAnsi="Times New Roman" w:cs="Times New Roman"/>
          <w:sz w:val="24"/>
          <w:szCs w:val="24"/>
          <w:lang w:val="pt-BR"/>
        </w:rPr>
        <w:t>um</w:t>
      </w:r>
      <w:r w:rsidR="007E63DA" w:rsidRPr="00287D58">
        <w:rPr>
          <w:rFonts w:ascii="Times New Roman" w:hAnsi="Times New Roman" w:cs="Times New Roman"/>
          <w:sz w:val="24"/>
          <w:szCs w:val="24"/>
          <w:lang w:val="pt-BR"/>
        </w:rPr>
        <w:t xml:space="preserve"> para aplicar aos agentes de notas parte </w:t>
      </w:r>
      <w:r w:rsidR="00287D58" w:rsidRPr="00287D58">
        <w:rPr>
          <w:rFonts w:ascii="Times New Roman" w:hAnsi="Times New Roman" w:cs="Times New Roman"/>
          <w:sz w:val="24"/>
          <w:szCs w:val="24"/>
          <w:lang w:val="pt-BR"/>
        </w:rPr>
        <w:t xml:space="preserve">das obrigações previstas </w:t>
      </w:r>
      <w:r w:rsidR="00CB1845" w:rsidRPr="00287D58">
        <w:rPr>
          <w:rFonts w:ascii="Times New Roman" w:hAnsi="Times New Roman" w:cs="Times New Roman"/>
          <w:sz w:val="24"/>
          <w:szCs w:val="24"/>
          <w:lang w:val="pt-BR"/>
        </w:rPr>
        <w:t xml:space="preserve">para o agente fiduciário dos debenturistas </w:t>
      </w:r>
      <w:r w:rsidR="00287D58" w:rsidRPr="00287D58">
        <w:rPr>
          <w:rFonts w:ascii="Times New Roman" w:hAnsi="Times New Roman" w:cs="Times New Roman"/>
          <w:sz w:val="24"/>
          <w:szCs w:val="24"/>
          <w:lang w:val="pt-BR"/>
        </w:rPr>
        <w:t>n</w:t>
      </w:r>
      <w:r w:rsidR="008B36DD">
        <w:rPr>
          <w:rFonts w:ascii="Times New Roman" w:hAnsi="Times New Roman" w:cs="Times New Roman"/>
          <w:sz w:val="24"/>
          <w:szCs w:val="24"/>
          <w:lang w:val="pt-BR"/>
        </w:rPr>
        <w:t>o art. 12 d</w:t>
      </w:r>
      <w:r w:rsidR="00287D58" w:rsidRPr="00287D58">
        <w:rPr>
          <w:rFonts w:ascii="Times New Roman" w:hAnsi="Times New Roman" w:cs="Times New Roman"/>
          <w:sz w:val="24"/>
          <w:szCs w:val="24"/>
          <w:lang w:val="pt-BR"/>
        </w:rPr>
        <w:t>a</w:t>
      </w:r>
      <w:r w:rsidR="007E63DA" w:rsidRPr="00287D58">
        <w:rPr>
          <w:rFonts w:ascii="Times New Roman" w:hAnsi="Times New Roman" w:cs="Times New Roman"/>
          <w:sz w:val="24"/>
          <w:szCs w:val="24"/>
          <w:lang w:val="pt-BR"/>
        </w:rPr>
        <w:t xml:space="preserve"> Instrução CVM nº 28, de 1983, e outro para regulamentar </w:t>
      </w:r>
      <w:r w:rsidR="00287D58" w:rsidRPr="00287D58">
        <w:rPr>
          <w:rFonts w:ascii="Times New Roman" w:hAnsi="Times New Roman" w:cs="Times New Roman"/>
          <w:sz w:val="24"/>
          <w:szCs w:val="24"/>
          <w:lang w:val="pt-BR"/>
        </w:rPr>
        <w:t>as assembleias de t</w:t>
      </w:r>
      <w:r w:rsidR="00CB1845">
        <w:rPr>
          <w:rFonts w:ascii="Times New Roman" w:hAnsi="Times New Roman" w:cs="Times New Roman"/>
          <w:sz w:val="24"/>
          <w:szCs w:val="24"/>
          <w:lang w:val="pt-BR"/>
        </w:rPr>
        <w:t>itulares de notas promissórias.</w:t>
      </w:r>
    </w:p>
    <w:p w:rsidR="008543FF" w:rsidRDefault="008543FF" w:rsidP="009740C3">
      <w:pPr>
        <w:pStyle w:val="CorpoA"/>
        <w:spacing w:after="0" w:line="312" w:lineRule="auto"/>
        <w:ind w:firstLine="709"/>
        <w:jc w:val="both"/>
        <w:rPr>
          <w:rFonts w:ascii="Times New Roman" w:hAnsi="Times New Roman" w:cs="Times New Roman"/>
          <w:sz w:val="24"/>
          <w:szCs w:val="24"/>
          <w:highlight w:val="yellow"/>
          <w:lang w:val="pt-BR"/>
        </w:rPr>
      </w:pPr>
    </w:p>
    <w:p w:rsidR="009740C3" w:rsidRPr="00F2589B" w:rsidRDefault="003F1714" w:rsidP="00F2589B">
      <w:pPr>
        <w:pStyle w:val="CorpoA"/>
        <w:spacing w:after="0" w:line="312" w:lineRule="auto"/>
        <w:ind w:firstLine="709"/>
        <w:jc w:val="both"/>
        <w:rPr>
          <w:rFonts w:ascii="Times New Roman" w:hAnsi="Times New Roman" w:cs="Times New Roman"/>
          <w:sz w:val="24"/>
          <w:szCs w:val="24"/>
          <w:lang w:val="pt-BR"/>
        </w:rPr>
      </w:pPr>
      <w:r w:rsidRPr="00F2589B">
        <w:rPr>
          <w:rFonts w:ascii="Times New Roman" w:hAnsi="Times New Roman" w:cs="Times New Roman"/>
          <w:sz w:val="24"/>
          <w:szCs w:val="24"/>
          <w:lang w:val="pt-BR"/>
        </w:rPr>
        <w:t>No mesmo sentido, a</w:t>
      </w:r>
      <w:r w:rsidR="009740C3" w:rsidRPr="00F2589B">
        <w:rPr>
          <w:rFonts w:ascii="Times New Roman" w:hAnsi="Times New Roman" w:cs="Times New Roman"/>
          <w:sz w:val="24"/>
          <w:szCs w:val="24"/>
          <w:lang w:val="pt-BR"/>
        </w:rPr>
        <w:t xml:space="preserve"> BM&amp;FBOVESPA </w:t>
      </w:r>
      <w:r w:rsidR="00F2589B" w:rsidRPr="00F2589B">
        <w:rPr>
          <w:rFonts w:ascii="Times New Roman" w:hAnsi="Times New Roman" w:cs="Times New Roman"/>
          <w:sz w:val="24"/>
          <w:szCs w:val="24"/>
          <w:lang w:val="pt-BR"/>
        </w:rPr>
        <w:t>considera “</w:t>
      </w:r>
      <w:r w:rsidR="00F2589B" w:rsidRPr="00F2589B">
        <w:rPr>
          <w:rFonts w:ascii="Times New Roman" w:hAnsi="Times New Roman" w:cs="Times New Roman"/>
          <w:i/>
          <w:sz w:val="24"/>
          <w:szCs w:val="24"/>
          <w:lang w:val="pt-BR"/>
        </w:rPr>
        <w:t>importante explicitar na norma que o agente fiduciário de notas promissórias deverá ter as atribuições previstas na legislação e regulamentação específica aplicável ao agente fiduciário de debenturistas</w:t>
      </w:r>
      <w:r w:rsidR="00F2589B" w:rsidRPr="00F2589B">
        <w:rPr>
          <w:rFonts w:ascii="Times New Roman" w:hAnsi="Times New Roman" w:cs="Times New Roman"/>
          <w:sz w:val="24"/>
          <w:szCs w:val="24"/>
          <w:lang w:val="pt-BR"/>
        </w:rPr>
        <w:t xml:space="preserve">”. </w:t>
      </w:r>
      <w:r w:rsidR="00F55E1C">
        <w:rPr>
          <w:rFonts w:ascii="Times New Roman" w:hAnsi="Times New Roman" w:cs="Times New Roman"/>
          <w:sz w:val="24"/>
          <w:szCs w:val="24"/>
          <w:lang w:val="pt-BR"/>
        </w:rPr>
        <w:t>O participante s</w:t>
      </w:r>
      <w:r w:rsidR="00F2589B" w:rsidRPr="00F2589B">
        <w:rPr>
          <w:rFonts w:ascii="Times New Roman" w:hAnsi="Times New Roman" w:cs="Times New Roman"/>
          <w:sz w:val="24"/>
          <w:szCs w:val="24"/>
          <w:lang w:val="pt-BR"/>
        </w:rPr>
        <w:t xml:space="preserve">olicita, ainda, </w:t>
      </w:r>
      <w:r w:rsidR="009740C3" w:rsidRPr="00F2589B">
        <w:rPr>
          <w:rFonts w:ascii="Times New Roman" w:hAnsi="Times New Roman" w:cs="Times New Roman"/>
          <w:sz w:val="24"/>
          <w:szCs w:val="24"/>
          <w:lang w:val="pt-BR"/>
        </w:rPr>
        <w:t xml:space="preserve">que a CVM externe seu entendimento sobre a possibilidade dos detentores de notas exercerem diretamente </w:t>
      </w:r>
      <w:r w:rsidR="00F2589B" w:rsidRPr="00F2589B">
        <w:rPr>
          <w:rFonts w:ascii="Times New Roman" w:hAnsi="Times New Roman" w:cs="Times New Roman"/>
          <w:sz w:val="24"/>
          <w:szCs w:val="24"/>
          <w:lang w:val="pt-BR"/>
        </w:rPr>
        <w:lastRenderedPageBreak/>
        <w:t>determinadas prerrogativas, na defesa de seus</w:t>
      </w:r>
      <w:r w:rsidR="009740C3" w:rsidRPr="00F2589B">
        <w:rPr>
          <w:rFonts w:ascii="Times New Roman" w:hAnsi="Times New Roman" w:cs="Times New Roman"/>
          <w:sz w:val="24"/>
          <w:szCs w:val="24"/>
          <w:lang w:val="pt-BR"/>
        </w:rPr>
        <w:t xml:space="preserve"> direitos</w:t>
      </w:r>
      <w:r w:rsidRPr="00F2589B">
        <w:rPr>
          <w:rFonts w:ascii="Times New Roman" w:hAnsi="Times New Roman" w:cs="Times New Roman"/>
          <w:sz w:val="24"/>
          <w:szCs w:val="24"/>
          <w:lang w:val="pt-BR"/>
        </w:rPr>
        <w:t>,</w:t>
      </w:r>
      <w:r w:rsidR="009740C3" w:rsidRPr="00F2589B">
        <w:rPr>
          <w:rFonts w:ascii="Times New Roman" w:hAnsi="Times New Roman" w:cs="Times New Roman"/>
          <w:sz w:val="24"/>
          <w:szCs w:val="24"/>
          <w:lang w:val="pt-BR"/>
        </w:rPr>
        <w:t xml:space="preserve"> </w:t>
      </w:r>
      <w:r w:rsidR="00F2589B" w:rsidRPr="00F2589B">
        <w:rPr>
          <w:rFonts w:ascii="Times New Roman" w:hAnsi="Times New Roman" w:cs="Times New Roman"/>
          <w:sz w:val="24"/>
          <w:szCs w:val="24"/>
          <w:lang w:val="pt-BR"/>
        </w:rPr>
        <w:t xml:space="preserve">que são originariamente atribuídas ao agente fiduciário. </w:t>
      </w:r>
    </w:p>
    <w:p w:rsidR="00D9084C" w:rsidRPr="002A7F74" w:rsidRDefault="00D9084C" w:rsidP="00A93F2F">
      <w:pPr>
        <w:pStyle w:val="CorpoA"/>
        <w:widowControl w:val="0"/>
        <w:spacing w:after="0" w:line="312" w:lineRule="auto"/>
        <w:ind w:firstLine="709"/>
        <w:jc w:val="both"/>
        <w:rPr>
          <w:rFonts w:ascii="Times New Roman" w:eastAsia="Times New Roman" w:hAnsi="Times New Roman" w:cs="Times New Roman"/>
          <w:sz w:val="24"/>
          <w:szCs w:val="24"/>
          <w:lang w:val="pt-BR"/>
        </w:rPr>
      </w:pPr>
    </w:p>
    <w:tbl>
      <w:tblPr>
        <w:tblStyle w:val="TableNormal"/>
        <w:tblW w:w="103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28"/>
      </w:tblGrid>
      <w:tr w:rsidR="00D9084C" w:rsidRPr="00533EEE" w:rsidTr="002F208E">
        <w:trPr>
          <w:trHeight w:val="444"/>
        </w:trPr>
        <w:tc>
          <w:tcPr>
            <w:tcW w:w="10328"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B00D8A" w:rsidRDefault="00B00D8A" w:rsidP="00C72DD6">
            <w:pPr>
              <w:spacing w:line="312" w:lineRule="auto"/>
              <w:ind w:firstLine="567"/>
              <w:jc w:val="both"/>
              <w:rPr>
                <w:bdr w:val="none" w:sz="0" w:space="0" w:color="auto" w:frame="1"/>
                <w:lang w:val="pt-BR"/>
              </w:rPr>
            </w:pPr>
            <w:r>
              <w:rPr>
                <w:bdr w:val="none" w:sz="0" w:space="0" w:color="auto" w:frame="1"/>
                <w:lang w:val="pt-BR"/>
              </w:rPr>
              <w:t>Ao empregar esta expressão no art. 5°, § 1°, inciso II, a</w:t>
            </w:r>
            <w:r w:rsidR="00C72DD6">
              <w:rPr>
                <w:bdr w:val="none" w:sz="0" w:space="0" w:color="auto" w:frame="1"/>
                <w:lang w:val="pt-BR"/>
              </w:rPr>
              <w:t xml:space="preserve"> CVM </w:t>
            </w:r>
            <w:r>
              <w:rPr>
                <w:bdr w:val="none" w:sz="0" w:space="0" w:color="auto" w:frame="1"/>
                <w:lang w:val="pt-BR"/>
              </w:rPr>
              <w:t>pretendia de fato se referir ao “</w:t>
            </w:r>
            <w:r w:rsidR="00AB27AC" w:rsidRPr="00AB27AC">
              <w:rPr>
                <w:i/>
                <w:bdr w:val="none" w:sz="0" w:space="0" w:color="auto" w:frame="1"/>
                <w:lang w:val="pt-BR"/>
              </w:rPr>
              <w:t>agente fiduciário</w:t>
            </w:r>
            <w:r>
              <w:rPr>
                <w:bdr w:val="none" w:sz="0" w:space="0" w:color="auto" w:frame="1"/>
                <w:lang w:val="pt-BR"/>
              </w:rPr>
              <w:t>”, conforme previsto na Instrução CVM n° 28, de 1983, e não à figura do agente de notas. Em outras palavras, em se tratando de um título de maior prazo, a CVM entende que a extensão do vencimento das notas promissórias deve ter como contrapartida a contratação de um agente fiduciário</w:t>
            </w:r>
            <w:r w:rsidR="00401C41">
              <w:rPr>
                <w:bdr w:val="none" w:sz="0" w:space="0" w:color="auto" w:frame="1"/>
                <w:lang w:val="pt-BR"/>
              </w:rPr>
              <w:t xml:space="preserve"> propriamente dito,</w:t>
            </w:r>
            <w:r>
              <w:rPr>
                <w:bdr w:val="none" w:sz="0" w:space="0" w:color="auto" w:frame="1"/>
                <w:lang w:val="pt-BR"/>
              </w:rPr>
              <w:t xml:space="preserve"> que observe, no que couber, as obrigações dispostas na regulamentação específica sobre agente fiduciário dos debenturistas.</w:t>
            </w:r>
          </w:p>
          <w:p w:rsidR="00401C41" w:rsidRDefault="00401C41" w:rsidP="00C72DD6">
            <w:pPr>
              <w:spacing w:line="312" w:lineRule="auto"/>
              <w:ind w:firstLine="567"/>
              <w:jc w:val="both"/>
              <w:rPr>
                <w:bdr w:val="none" w:sz="0" w:space="0" w:color="auto" w:frame="1"/>
                <w:lang w:val="pt-BR"/>
              </w:rPr>
            </w:pPr>
          </w:p>
          <w:p w:rsidR="00B00D8A" w:rsidRDefault="00401C41" w:rsidP="00C72DD6">
            <w:pPr>
              <w:spacing w:line="312" w:lineRule="auto"/>
              <w:ind w:firstLine="567"/>
              <w:jc w:val="both"/>
              <w:rPr>
                <w:bdr w:val="none" w:sz="0" w:space="0" w:color="auto" w:frame="1"/>
                <w:lang w:val="pt-BR"/>
              </w:rPr>
            </w:pPr>
            <w:r>
              <w:rPr>
                <w:bdr w:val="none" w:sz="0" w:space="0" w:color="auto" w:frame="1"/>
                <w:lang w:val="pt-BR"/>
              </w:rPr>
              <w:t>Por conta disso, os comentários da ABR</w:t>
            </w:r>
            <w:r w:rsidRPr="00C72DD6">
              <w:rPr>
                <w:bdr w:val="none" w:sz="0" w:space="0" w:color="auto" w:frame="1"/>
                <w:lang w:val="pt-BR"/>
              </w:rPr>
              <w:t xml:space="preserve">ASCA e </w:t>
            </w:r>
            <w:r>
              <w:rPr>
                <w:bdr w:val="none" w:sz="0" w:space="0" w:color="auto" w:frame="1"/>
                <w:lang w:val="pt-BR"/>
              </w:rPr>
              <w:t xml:space="preserve">de </w:t>
            </w:r>
            <w:r w:rsidRPr="00C72DD6">
              <w:rPr>
                <w:bdr w:val="none" w:sz="0" w:space="0" w:color="auto" w:frame="1"/>
                <w:lang w:val="pt-BR"/>
              </w:rPr>
              <w:t>Stocche Forbes</w:t>
            </w:r>
            <w:r>
              <w:rPr>
                <w:bdr w:val="none" w:sz="0" w:space="0" w:color="auto" w:frame="1"/>
                <w:lang w:val="pt-BR"/>
              </w:rPr>
              <w:t xml:space="preserve"> não foram acatados e a</w:t>
            </w:r>
            <w:r w:rsidRPr="00C72DD6">
              <w:rPr>
                <w:bdr w:val="none" w:sz="0" w:space="0" w:color="auto" w:frame="1"/>
                <w:lang w:val="pt-BR"/>
              </w:rPr>
              <w:t xml:space="preserve"> referênci</w:t>
            </w:r>
            <w:r>
              <w:rPr>
                <w:bdr w:val="none" w:sz="0" w:space="0" w:color="auto" w:frame="1"/>
                <w:lang w:val="pt-BR"/>
              </w:rPr>
              <w:t>a a “</w:t>
            </w:r>
            <w:r w:rsidRPr="002C38C1">
              <w:rPr>
                <w:i/>
                <w:bdr w:val="none" w:sz="0" w:space="0" w:color="auto" w:frame="1"/>
                <w:lang w:val="pt-BR"/>
              </w:rPr>
              <w:t>agente fiduciário</w:t>
            </w:r>
            <w:r>
              <w:rPr>
                <w:bdr w:val="none" w:sz="0" w:space="0" w:color="auto" w:frame="1"/>
                <w:lang w:val="pt-BR"/>
              </w:rPr>
              <w:t>”</w:t>
            </w:r>
            <w:r w:rsidR="009E770B">
              <w:rPr>
                <w:bdr w:val="none" w:sz="0" w:space="0" w:color="auto" w:frame="1"/>
                <w:lang w:val="pt-BR"/>
              </w:rPr>
              <w:t xml:space="preserve"> constante</w:t>
            </w:r>
            <w:r w:rsidR="006E7C94">
              <w:rPr>
                <w:bdr w:val="none" w:sz="0" w:space="0" w:color="auto" w:frame="1"/>
                <w:lang w:val="pt-BR"/>
              </w:rPr>
              <w:t xml:space="preserve"> do</w:t>
            </w:r>
            <w:r w:rsidR="009E770B">
              <w:rPr>
                <w:bdr w:val="none" w:sz="0" w:space="0" w:color="auto" w:frame="1"/>
                <w:lang w:val="pt-BR"/>
              </w:rPr>
              <w:t xml:space="preserve"> art. 5°, § 1°, inciso II,</w:t>
            </w:r>
            <w:r>
              <w:rPr>
                <w:bdr w:val="none" w:sz="0" w:space="0" w:color="auto" w:frame="1"/>
                <w:lang w:val="pt-BR"/>
              </w:rPr>
              <w:t xml:space="preserve"> foi mantida</w:t>
            </w:r>
            <w:r w:rsidRPr="00C72DD6">
              <w:rPr>
                <w:bdr w:val="none" w:sz="0" w:space="0" w:color="auto" w:frame="1"/>
                <w:lang w:val="pt-BR"/>
              </w:rPr>
              <w:t>.</w:t>
            </w:r>
          </w:p>
          <w:p w:rsidR="00401C41" w:rsidRDefault="00401C41" w:rsidP="00C72DD6">
            <w:pPr>
              <w:spacing w:line="312" w:lineRule="auto"/>
              <w:ind w:firstLine="567"/>
              <w:jc w:val="both"/>
              <w:rPr>
                <w:bdr w:val="none" w:sz="0" w:space="0" w:color="auto" w:frame="1"/>
                <w:lang w:val="pt-BR"/>
              </w:rPr>
            </w:pPr>
          </w:p>
          <w:p w:rsidR="00C72DD6" w:rsidRPr="00C72DD6" w:rsidRDefault="00B00D8A" w:rsidP="00C72DD6">
            <w:pPr>
              <w:spacing w:line="312" w:lineRule="auto"/>
              <w:ind w:firstLine="567"/>
              <w:jc w:val="both"/>
              <w:rPr>
                <w:lang w:val="pt-BR"/>
              </w:rPr>
            </w:pPr>
            <w:r>
              <w:rPr>
                <w:bdr w:val="none" w:sz="0" w:space="0" w:color="auto" w:frame="1"/>
                <w:lang w:val="pt-BR"/>
              </w:rPr>
              <w:t xml:space="preserve">No que diz respeito aos agentes de nota, </w:t>
            </w:r>
            <w:r w:rsidR="00401C41">
              <w:rPr>
                <w:bdr w:val="none" w:sz="0" w:space="0" w:color="auto" w:frame="1"/>
                <w:lang w:val="pt-BR"/>
              </w:rPr>
              <w:t xml:space="preserve">eventualmente presentes nas demais emissões, </w:t>
            </w:r>
            <w:r>
              <w:rPr>
                <w:bdr w:val="none" w:sz="0" w:space="0" w:color="auto" w:frame="1"/>
                <w:lang w:val="pt-BR"/>
              </w:rPr>
              <w:t>a CVM esclarece que e</w:t>
            </w:r>
            <w:r w:rsidR="00C72DD6">
              <w:rPr>
                <w:bdr w:val="none" w:sz="0" w:space="0" w:color="auto" w:frame="1"/>
                <w:lang w:val="pt-BR"/>
              </w:rPr>
              <w:t>sses prestadores de serviços</w:t>
            </w:r>
            <w:r w:rsidR="00C72DD6" w:rsidRPr="00C72DD6">
              <w:rPr>
                <w:bdr w:val="none" w:sz="0" w:space="0" w:color="auto" w:frame="1"/>
                <w:lang w:val="pt-BR"/>
              </w:rPr>
              <w:t xml:space="preserve"> são </w:t>
            </w:r>
            <w:r w:rsidR="009A1870">
              <w:rPr>
                <w:bdr w:val="none" w:sz="0" w:space="0" w:color="auto" w:frame="1"/>
                <w:lang w:val="pt-BR"/>
              </w:rPr>
              <w:t xml:space="preserve">atualmente </w:t>
            </w:r>
            <w:r w:rsidR="00C72DD6" w:rsidRPr="00C72DD6">
              <w:rPr>
                <w:bdr w:val="none" w:sz="0" w:space="0" w:color="auto" w:frame="1"/>
                <w:lang w:val="pt-BR"/>
              </w:rPr>
              <w:t xml:space="preserve">contratados </w:t>
            </w:r>
            <w:r w:rsidR="009A1870" w:rsidRPr="00C72DD6">
              <w:rPr>
                <w:bdr w:val="none" w:sz="0" w:space="0" w:color="auto" w:frame="1"/>
                <w:lang w:val="pt-BR"/>
              </w:rPr>
              <w:t xml:space="preserve">voluntariamente </w:t>
            </w:r>
            <w:r w:rsidR="00C72DD6" w:rsidRPr="00C72DD6">
              <w:rPr>
                <w:bdr w:val="none" w:sz="0" w:space="0" w:color="auto" w:frame="1"/>
                <w:lang w:val="pt-BR"/>
              </w:rPr>
              <w:t>para atuar na proteção dos interesses da comunhão dos titulares de notas promissórias e</w:t>
            </w:r>
            <w:r w:rsidR="009A1870">
              <w:rPr>
                <w:bdr w:val="none" w:sz="0" w:space="0" w:color="auto" w:frame="1"/>
                <w:lang w:val="pt-BR"/>
              </w:rPr>
              <w:t>, portanto,</w:t>
            </w:r>
            <w:r w:rsidR="00C72DD6" w:rsidRPr="00C72DD6">
              <w:rPr>
                <w:bdr w:val="none" w:sz="0" w:space="0" w:color="auto" w:frame="1"/>
                <w:lang w:val="pt-BR"/>
              </w:rPr>
              <w:t xml:space="preserve"> seus deveres e prerrogativas são</w:t>
            </w:r>
            <w:r w:rsidR="00C72DD6">
              <w:rPr>
                <w:bdr w:val="none" w:sz="0" w:space="0" w:color="auto" w:frame="1"/>
                <w:lang w:val="pt-BR"/>
              </w:rPr>
              <w:t xml:space="preserve">, </w:t>
            </w:r>
            <w:r w:rsidR="009A1870">
              <w:rPr>
                <w:bdr w:val="none" w:sz="0" w:space="0" w:color="auto" w:frame="1"/>
                <w:lang w:val="pt-BR"/>
              </w:rPr>
              <w:t>a princípio</w:t>
            </w:r>
            <w:r w:rsidR="00C72DD6">
              <w:rPr>
                <w:bdr w:val="none" w:sz="0" w:space="0" w:color="auto" w:frame="1"/>
                <w:lang w:val="pt-BR"/>
              </w:rPr>
              <w:t>,</w:t>
            </w:r>
            <w:r w:rsidR="00C72DD6" w:rsidRPr="00C72DD6">
              <w:rPr>
                <w:bdr w:val="none" w:sz="0" w:space="0" w:color="auto" w:frame="1"/>
                <w:lang w:val="pt-BR"/>
              </w:rPr>
              <w:t xml:space="preserve"> regulados em contrato. </w:t>
            </w:r>
            <w:r w:rsidR="009A1870">
              <w:rPr>
                <w:bdr w:val="none" w:sz="0" w:space="0" w:color="auto" w:frame="1"/>
                <w:lang w:val="pt-BR"/>
              </w:rPr>
              <w:t>Em função disso</w:t>
            </w:r>
            <w:r w:rsidR="00C72DD6">
              <w:rPr>
                <w:bdr w:val="none" w:sz="0" w:space="0" w:color="auto" w:frame="1"/>
                <w:lang w:val="pt-BR"/>
              </w:rPr>
              <w:t>, a CVM entende que</w:t>
            </w:r>
            <w:r w:rsidR="009A1870">
              <w:rPr>
                <w:bdr w:val="none" w:sz="0" w:space="0" w:color="auto" w:frame="1"/>
                <w:lang w:val="pt-BR"/>
              </w:rPr>
              <w:t>, atualmente,</w:t>
            </w:r>
            <w:r w:rsidR="00C72DD6">
              <w:rPr>
                <w:bdr w:val="none" w:sz="0" w:space="0" w:color="auto" w:frame="1"/>
                <w:lang w:val="pt-BR"/>
              </w:rPr>
              <w:t xml:space="preserve"> </w:t>
            </w:r>
            <w:r w:rsidR="00C72DD6" w:rsidRPr="00C72DD6">
              <w:rPr>
                <w:bdr w:val="none" w:sz="0" w:space="0" w:color="auto" w:frame="1"/>
                <w:lang w:val="pt-BR"/>
              </w:rPr>
              <w:t>a atuação judicial de agentes de notas na defesa de direitos e interesses dos detentores desses títulos deverá observar o disposto nos títulos, nos contratos e</w:t>
            </w:r>
            <w:r w:rsidR="00C72DD6">
              <w:rPr>
                <w:bdr w:val="none" w:sz="0" w:space="0" w:color="auto" w:frame="1"/>
                <w:lang w:val="pt-BR"/>
              </w:rPr>
              <w:t xml:space="preserve"> mesmo </w:t>
            </w:r>
            <w:r w:rsidR="00C72DD6" w:rsidRPr="00C72DD6">
              <w:rPr>
                <w:bdr w:val="none" w:sz="0" w:space="0" w:color="auto" w:frame="1"/>
                <w:lang w:val="pt-BR"/>
              </w:rPr>
              <w:t xml:space="preserve">em </w:t>
            </w:r>
            <w:r w:rsidR="00C72DD6">
              <w:rPr>
                <w:bdr w:val="none" w:sz="0" w:space="0" w:color="auto" w:frame="1"/>
                <w:lang w:val="pt-BR"/>
              </w:rPr>
              <w:t>leis que, não tratando especificamente do assunto, possam ser relevantes no caso concreto.</w:t>
            </w:r>
          </w:p>
          <w:p w:rsidR="00C72DD6" w:rsidRPr="00C72DD6" w:rsidRDefault="00C72DD6" w:rsidP="0047028A">
            <w:pPr>
              <w:spacing w:line="312" w:lineRule="auto"/>
              <w:ind w:firstLine="567"/>
              <w:jc w:val="both"/>
              <w:rPr>
                <w:lang w:val="pt-BR"/>
              </w:rPr>
            </w:pPr>
            <w:r w:rsidRPr="00C72DD6">
              <w:rPr>
                <w:bdr w:val="none" w:sz="0" w:space="0" w:color="auto" w:frame="1"/>
                <w:lang w:val="pt-BR"/>
              </w:rPr>
              <w:t> </w:t>
            </w:r>
          </w:p>
          <w:p w:rsidR="0086609E" w:rsidRDefault="006E7C94">
            <w:pPr>
              <w:spacing w:line="312" w:lineRule="auto"/>
              <w:ind w:firstLine="567"/>
              <w:jc w:val="both"/>
              <w:rPr>
                <w:bdr w:val="none" w:sz="0" w:space="0" w:color="auto" w:frame="1"/>
                <w:lang w:val="pt-BR"/>
              </w:rPr>
            </w:pPr>
            <w:r>
              <w:rPr>
                <w:bdr w:val="none" w:sz="0" w:space="0" w:color="auto" w:frame="1"/>
                <w:lang w:val="pt-BR"/>
              </w:rPr>
              <w:t>Quanto</w:t>
            </w:r>
            <w:r w:rsidR="00C72DD6" w:rsidRPr="00C72DD6">
              <w:rPr>
                <w:bdr w:val="none" w:sz="0" w:space="0" w:color="auto" w:frame="1"/>
                <w:lang w:val="pt-BR"/>
              </w:rPr>
              <w:t xml:space="preserve"> às sugestões de criar obrigações para </w:t>
            </w:r>
            <w:r w:rsidR="00401C41">
              <w:rPr>
                <w:bdr w:val="none" w:sz="0" w:space="0" w:color="auto" w:frame="1"/>
                <w:lang w:val="pt-BR"/>
              </w:rPr>
              <w:t>os agentes de notas</w:t>
            </w:r>
            <w:r w:rsidR="00C72DD6" w:rsidRPr="00C72DD6">
              <w:rPr>
                <w:bdr w:val="none" w:sz="0" w:space="0" w:color="auto" w:frame="1"/>
                <w:lang w:val="pt-BR"/>
              </w:rPr>
              <w:t xml:space="preserve">, a CVM considera mais adequado tratar o assunto na revisão, em curso, da Instrução CVM nº 28, de 1983, já que ele não foi </w:t>
            </w:r>
            <w:r w:rsidR="0047028A">
              <w:rPr>
                <w:bdr w:val="none" w:sz="0" w:space="0" w:color="auto" w:frame="1"/>
                <w:lang w:val="pt-BR"/>
              </w:rPr>
              <w:t>submetido</w:t>
            </w:r>
            <w:r w:rsidR="00C72DD6" w:rsidRPr="00C72DD6">
              <w:rPr>
                <w:bdr w:val="none" w:sz="0" w:space="0" w:color="auto" w:frame="1"/>
                <w:lang w:val="pt-BR"/>
              </w:rPr>
              <w:t xml:space="preserve"> </w:t>
            </w:r>
            <w:r w:rsidR="0047028A">
              <w:rPr>
                <w:bdr w:val="none" w:sz="0" w:space="0" w:color="auto" w:frame="1"/>
                <w:lang w:val="pt-BR"/>
              </w:rPr>
              <w:t>a esta</w:t>
            </w:r>
            <w:r w:rsidR="00C72DD6" w:rsidRPr="00C72DD6">
              <w:rPr>
                <w:bdr w:val="none" w:sz="0" w:space="0" w:color="auto" w:frame="1"/>
                <w:lang w:val="pt-BR"/>
              </w:rPr>
              <w:t xml:space="preserve"> audiência pública</w:t>
            </w:r>
            <w:r w:rsidR="0047028A">
              <w:rPr>
                <w:bdr w:val="none" w:sz="0" w:space="0" w:color="auto" w:frame="1"/>
                <w:lang w:val="pt-BR"/>
              </w:rPr>
              <w:t>.</w:t>
            </w:r>
          </w:p>
          <w:p w:rsidR="0086609E" w:rsidRDefault="0086609E">
            <w:pPr>
              <w:spacing w:line="312" w:lineRule="auto"/>
              <w:ind w:firstLine="567"/>
              <w:jc w:val="both"/>
              <w:rPr>
                <w:bdr w:val="none" w:sz="0" w:space="0" w:color="auto" w:frame="1"/>
                <w:lang w:val="pt-BR"/>
              </w:rPr>
            </w:pPr>
          </w:p>
          <w:p w:rsidR="00AB27AC" w:rsidRDefault="009E770B">
            <w:pPr>
              <w:spacing w:line="312" w:lineRule="auto"/>
              <w:ind w:firstLine="567"/>
              <w:jc w:val="both"/>
              <w:rPr>
                <w:highlight w:val="yellow"/>
                <w:lang w:val="pt-BR"/>
              </w:rPr>
            </w:pPr>
            <w:r>
              <w:rPr>
                <w:bdr w:val="none" w:sz="0" w:space="0" w:color="auto" w:frame="1"/>
                <w:lang w:val="pt-BR"/>
              </w:rPr>
              <w:t>De todo modo, a redação do item 2.17 do Anexo I foi alterada para determinar que se informe</w:t>
            </w:r>
            <w:r w:rsidR="009A1870">
              <w:rPr>
                <w:bdr w:val="none" w:sz="0" w:space="0" w:color="auto" w:frame="1"/>
                <w:lang w:val="pt-BR"/>
              </w:rPr>
              <w:t xml:space="preserve"> ali </w:t>
            </w:r>
            <w:r>
              <w:rPr>
                <w:bdr w:val="none" w:sz="0" w:space="0" w:color="auto" w:frame="1"/>
                <w:lang w:val="pt-BR"/>
              </w:rPr>
              <w:t>também a existência de agência de notas, quando houver.</w:t>
            </w:r>
          </w:p>
        </w:tc>
      </w:tr>
    </w:tbl>
    <w:p w:rsidR="009A631F" w:rsidRPr="002A7F74" w:rsidRDefault="009A631F" w:rsidP="00A93F2F">
      <w:pPr>
        <w:pStyle w:val="CorpoA"/>
        <w:widowControl w:val="0"/>
        <w:spacing w:after="0" w:line="312" w:lineRule="auto"/>
        <w:jc w:val="both"/>
        <w:rPr>
          <w:rFonts w:ascii="Times New Roman" w:eastAsia="Times New Roman" w:hAnsi="Times New Roman" w:cs="Times New Roman"/>
          <w:sz w:val="24"/>
          <w:szCs w:val="24"/>
          <w:lang w:val="pt-BR"/>
        </w:rPr>
      </w:pPr>
    </w:p>
    <w:p w:rsidR="00D9084C" w:rsidRPr="002A7F74" w:rsidRDefault="008B36DD" w:rsidP="00A93F2F">
      <w:pPr>
        <w:pStyle w:val="Ttulo3"/>
        <w:spacing w:before="0"/>
        <w:rPr>
          <w:rFonts w:hAnsi="Times New Roman" w:cs="Times New Roman"/>
          <w:lang w:val="pt-BR"/>
        </w:rPr>
      </w:pPr>
      <w:r>
        <w:rPr>
          <w:rFonts w:hAnsi="Times New Roman" w:cs="Times New Roman"/>
          <w:lang w:val="pt-BR"/>
        </w:rPr>
        <w:t>3.7.</w:t>
      </w:r>
      <w:r>
        <w:rPr>
          <w:rFonts w:hAnsi="Times New Roman" w:cs="Times New Roman"/>
          <w:lang w:val="pt-BR"/>
        </w:rPr>
        <w:tab/>
      </w:r>
      <w:r w:rsidR="00BE4DD2" w:rsidRPr="002A7F74">
        <w:rPr>
          <w:rFonts w:hAnsi="Times New Roman" w:cs="Times New Roman"/>
          <w:lang w:val="pt-BR"/>
        </w:rPr>
        <w:t>Liquidação</w:t>
      </w:r>
      <w:r w:rsidR="00BE4DD2" w:rsidRPr="002A7F74">
        <w:rPr>
          <w:rFonts w:hAnsi="Times New Roman" w:cs="Times New Roman"/>
          <w:bCs w:val="0"/>
          <w:lang w:val="pt-BR"/>
        </w:rPr>
        <w:t xml:space="preserve"> (art. 5º</w:t>
      </w:r>
      <w:r w:rsidR="00EB24F0">
        <w:rPr>
          <w:rFonts w:hAnsi="Times New Roman" w:cs="Times New Roman"/>
          <w:bCs w:val="0"/>
          <w:lang w:val="pt-BR"/>
        </w:rPr>
        <w:t>,</w:t>
      </w:r>
      <w:r w:rsidR="00BE4DD2" w:rsidRPr="002A7F74">
        <w:rPr>
          <w:rFonts w:hAnsi="Times New Roman" w:cs="Times New Roman"/>
          <w:bCs w:val="0"/>
          <w:lang w:val="pt-BR"/>
        </w:rPr>
        <w:t xml:space="preserve"> §</w:t>
      </w:r>
      <w:r w:rsidR="00EB24F0">
        <w:rPr>
          <w:rFonts w:hAnsi="Times New Roman" w:cs="Times New Roman"/>
          <w:bCs w:val="0"/>
          <w:lang w:val="pt-BR"/>
        </w:rPr>
        <w:t xml:space="preserve"> </w:t>
      </w:r>
      <w:r w:rsidR="00BE4DD2" w:rsidRPr="002A7F74">
        <w:rPr>
          <w:rFonts w:hAnsi="Times New Roman" w:cs="Times New Roman"/>
          <w:bCs w:val="0"/>
          <w:lang w:val="pt-BR"/>
        </w:rPr>
        <w:t>3º</w:t>
      </w:r>
      <w:r w:rsidR="00AD75B1">
        <w:rPr>
          <w:rFonts w:hAnsi="Times New Roman" w:cs="Times New Roman"/>
          <w:bCs w:val="0"/>
          <w:lang w:val="pt-BR"/>
        </w:rPr>
        <w:t xml:space="preserve"> - atual § 2°</w:t>
      </w:r>
      <w:r w:rsidR="00BE4DD2" w:rsidRPr="002A7F74">
        <w:rPr>
          <w:rFonts w:hAnsi="Times New Roman" w:cs="Times New Roman"/>
          <w:bCs w:val="0"/>
          <w:lang w:val="pt-BR"/>
        </w:rPr>
        <w:t>)</w:t>
      </w:r>
    </w:p>
    <w:p w:rsidR="00D9084C" w:rsidRPr="002A7F74" w:rsidRDefault="00D9084C" w:rsidP="00A93F2F">
      <w:pPr>
        <w:pStyle w:val="CorpoA"/>
        <w:spacing w:after="0" w:line="312" w:lineRule="auto"/>
        <w:ind w:firstLine="709"/>
        <w:jc w:val="both"/>
        <w:rPr>
          <w:rFonts w:ascii="Times New Roman" w:eastAsia="Times New Roman" w:hAnsi="Times New Roman" w:cs="Times New Roman"/>
          <w:sz w:val="24"/>
          <w:szCs w:val="24"/>
          <w:lang w:val="pt-BR"/>
        </w:rPr>
      </w:pPr>
    </w:p>
    <w:p w:rsidR="00EB24F0" w:rsidRDefault="00AD75B1" w:rsidP="00A93F2F">
      <w:pPr>
        <w:pStyle w:val="CorpoA"/>
        <w:widowControl w:val="0"/>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r w:rsidR="005607BA" w:rsidRPr="002A7F74">
        <w:rPr>
          <w:rFonts w:ascii="Times New Roman" w:hAnsi="Times New Roman" w:cs="Times New Roman"/>
          <w:sz w:val="24"/>
          <w:szCs w:val="24"/>
          <w:lang w:val="pt-BR"/>
        </w:rPr>
        <w:t xml:space="preserve">BM&amp;FBOVESPA </w:t>
      </w:r>
      <w:r w:rsidR="00C67446">
        <w:rPr>
          <w:rFonts w:ascii="Times New Roman" w:hAnsi="Times New Roman" w:cs="Times New Roman"/>
          <w:sz w:val="24"/>
          <w:szCs w:val="24"/>
          <w:lang w:val="pt-BR"/>
        </w:rPr>
        <w:t>propõe um</w:t>
      </w:r>
      <w:r w:rsidR="005607BA" w:rsidRPr="002A7F74">
        <w:rPr>
          <w:rFonts w:ascii="Times New Roman" w:hAnsi="Times New Roman" w:cs="Times New Roman"/>
          <w:sz w:val="24"/>
          <w:szCs w:val="24"/>
          <w:lang w:val="pt-BR"/>
        </w:rPr>
        <w:t xml:space="preserve"> ajuste na redação</w:t>
      </w:r>
      <w:r w:rsidR="00EB24F0">
        <w:rPr>
          <w:rFonts w:ascii="Times New Roman" w:hAnsi="Times New Roman" w:cs="Times New Roman"/>
          <w:sz w:val="24"/>
          <w:szCs w:val="24"/>
          <w:lang w:val="pt-BR"/>
        </w:rPr>
        <w:t xml:space="preserve"> do pará</w:t>
      </w:r>
      <w:r w:rsidR="00BE4DD2" w:rsidRPr="002A7F74">
        <w:rPr>
          <w:rFonts w:ascii="Times New Roman" w:hAnsi="Times New Roman" w:cs="Times New Roman"/>
          <w:sz w:val="24"/>
          <w:szCs w:val="24"/>
          <w:lang w:val="pt-BR"/>
        </w:rPr>
        <w:t>grafo</w:t>
      </w:r>
      <w:r w:rsidR="005607BA" w:rsidRPr="002A7F74">
        <w:rPr>
          <w:rFonts w:ascii="Times New Roman" w:hAnsi="Times New Roman" w:cs="Times New Roman"/>
          <w:sz w:val="24"/>
          <w:szCs w:val="24"/>
          <w:lang w:val="pt-BR"/>
        </w:rPr>
        <w:t xml:space="preserve">, com a inclusão </w:t>
      </w:r>
      <w:r w:rsidR="00EB24F0">
        <w:rPr>
          <w:rFonts w:ascii="Times New Roman" w:hAnsi="Times New Roman" w:cs="Times New Roman"/>
          <w:sz w:val="24"/>
          <w:szCs w:val="24"/>
          <w:lang w:val="pt-BR"/>
        </w:rPr>
        <w:t>do termo</w:t>
      </w:r>
      <w:r w:rsidR="005607BA" w:rsidRPr="002A7F74">
        <w:rPr>
          <w:rFonts w:ascii="Times New Roman" w:hAnsi="Times New Roman" w:cs="Times New Roman"/>
          <w:sz w:val="24"/>
          <w:szCs w:val="24"/>
          <w:lang w:val="pt-BR"/>
        </w:rPr>
        <w:t xml:space="preserve"> “</w:t>
      </w:r>
      <w:r w:rsidR="004551FD" w:rsidRPr="002C38C1">
        <w:rPr>
          <w:rFonts w:ascii="Times New Roman" w:hAnsi="Times New Roman" w:cs="Times New Roman"/>
          <w:i/>
          <w:sz w:val="24"/>
          <w:szCs w:val="24"/>
          <w:lang w:val="pt-BR"/>
        </w:rPr>
        <w:t>resgatada</w:t>
      </w:r>
      <w:r w:rsidR="005607BA" w:rsidRPr="002A7F74">
        <w:rPr>
          <w:rFonts w:ascii="Times New Roman" w:hAnsi="Times New Roman" w:cs="Times New Roman"/>
          <w:sz w:val="24"/>
          <w:szCs w:val="24"/>
          <w:lang w:val="pt-BR"/>
        </w:rPr>
        <w:t>”</w:t>
      </w:r>
      <w:r w:rsidR="004551FD" w:rsidRPr="002A7F74">
        <w:rPr>
          <w:rFonts w:ascii="Times New Roman" w:hAnsi="Times New Roman" w:cs="Times New Roman"/>
          <w:sz w:val="24"/>
          <w:szCs w:val="24"/>
          <w:lang w:val="pt-BR"/>
        </w:rPr>
        <w:t>,</w:t>
      </w:r>
      <w:r w:rsidR="00BE4DD2" w:rsidRPr="002A7F74">
        <w:rPr>
          <w:rFonts w:ascii="Times New Roman" w:hAnsi="Times New Roman" w:cs="Times New Roman"/>
          <w:sz w:val="24"/>
          <w:szCs w:val="24"/>
          <w:lang w:val="pt-BR"/>
        </w:rPr>
        <w:t xml:space="preserve"> </w:t>
      </w:r>
      <w:r w:rsidR="00C67446">
        <w:rPr>
          <w:rFonts w:ascii="Times New Roman" w:hAnsi="Times New Roman" w:cs="Times New Roman"/>
          <w:sz w:val="24"/>
          <w:szCs w:val="24"/>
          <w:lang w:val="pt-BR"/>
        </w:rPr>
        <w:t>já que seria</w:t>
      </w:r>
      <w:r w:rsidR="00BE4DD2" w:rsidRPr="002A7F74">
        <w:rPr>
          <w:rFonts w:ascii="Times New Roman" w:hAnsi="Times New Roman" w:cs="Times New Roman"/>
          <w:sz w:val="24"/>
          <w:szCs w:val="24"/>
          <w:lang w:val="pt-BR"/>
        </w:rPr>
        <w:t xml:space="preserve"> necessário </w:t>
      </w:r>
      <w:r w:rsidR="00C67446">
        <w:rPr>
          <w:rFonts w:ascii="Times New Roman" w:hAnsi="Times New Roman" w:cs="Times New Roman"/>
          <w:sz w:val="24"/>
          <w:szCs w:val="24"/>
          <w:lang w:val="pt-BR"/>
        </w:rPr>
        <w:t xml:space="preserve">também o resgate </w:t>
      </w:r>
      <w:r w:rsidR="00CB1845">
        <w:rPr>
          <w:rFonts w:ascii="Times New Roman" w:hAnsi="Times New Roman" w:cs="Times New Roman"/>
          <w:sz w:val="24"/>
          <w:szCs w:val="24"/>
          <w:lang w:val="pt-BR"/>
        </w:rPr>
        <w:t xml:space="preserve">da nota promissória </w:t>
      </w:r>
      <w:r w:rsidR="00EB24F0">
        <w:rPr>
          <w:rFonts w:ascii="Times New Roman" w:hAnsi="Times New Roman" w:cs="Times New Roman"/>
          <w:sz w:val="24"/>
          <w:szCs w:val="24"/>
          <w:lang w:val="pt-BR"/>
        </w:rPr>
        <w:t>na data de</w:t>
      </w:r>
      <w:r w:rsidR="00BE4DD2" w:rsidRPr="002A7F74">
        <w:rPr>
          <w:rFonts w:ascii="Times New Roman" w:hAnsi="Times New Roman" w:cs="Times New Roman"/>
          <w:sz w:val="24"/>
          <w:szCs w:val="24"/>
          <w:lang w:val="pt-BR"/>
        </w:rPr>
        <w:t xml:space="preserve"> vencimento</w:t>
      </w:r>
      <w:r w:rsidR="00EB24F0">
        <w:rPr>
          <w:rFonts w:ascii="Times New Roman" w:hAnsi="Times New Roman" w:cs="Times New Roman"/>
          <w:sz w:val="24"/>
          <w:szCs w:val="24"/>
          <w:lang w:val="pt-BR"/>
        </w:rPr>
        <w:t xml:space="preserve"> do título</w:t>
      </w:r>
      <w:r w:rsidR="005607BA" w:rsidRPr="002A7F74">
        <w:rPr>
          <w:rFonts w:ascii="Times New Roman" w:hAnsi="Times New Roman" w:cs="Times New Roman"/>
          <w:sz w:val="24"/>
          <w:szCs w:val="24"/>
          <w:lang w:val="pt-BR"/>
        </w:rPr>
        <w:t xml:space="preserve">. </w:t>
      </w:r>
    </w:p>
    <w:p w:rsidR="00EB24F0" w:rsidRDefault="00EB24F0" w:rsidP="00A93F2F">
      <w:pPr>
        <w:pStyle w:val="CorpoA"/>
        <w:widowControl w:val="0"/>
        <w:spacing w:after="0" w:line="312" w:lineRule="auto"/>
        <w:ind w:firstLine="709"/>
        <w:jc w:val="both"/>
        <w:rPr>
          <w:rFonts w:ascii="Times New Roman" w:hAnsi="Times New Roman" w:cs="Times New Roman"/>
          <w:sz w:val="24"/>
          <w:szCs w:val="24"/>
          <w:lang w:val="pt-BR"/>
        </w:rPr>
      </w:pPr>
    </w:p>
    <w:p w:rsidR="00D9084C" w:rsidRPr="002A7F74" w:rsidRDefault="00AD75B1" w:rsidP="00A93F2F">
      <w:pPr>
        <w:pStyle w:val="CorpoA"/>
        <w:widowControl w:val="0"/>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r w:rsidR="00BE4DD2" w:rsidRPr="002A7F74">
        <w:rPr>
          <w:rFonts w:ascii="Times New Roman" w:hAnsi="Times New Roman" w:cs="Times New Roman"/>
          <w:sz w:val="24"/>
          <w:szCs w:val="24"/>
          <w:lang w:val="pt-BR"/>
        </w:rPr>
        <w:t>CETIP</w:t>
      </w:r>
      <w:r>
        <w:rPr>
          <w:rFonts w:ascii="Times New Roman" w:hAnsi="Times New Roman" w:cs="Times New Roman"/>
          <w:sz w:val="24"/>
          <w:szCs w:val="24"/>
          <w:lang w:val="pt-BR"/>
        </w:rPr>
        <w:t>, por sua vez,</w:t>
      </w:r>
      <w:r w:rsidR="005607BA" w:rsidRPr="002A7F74">
        <w:rPr>
          <w:rFonts w:ascii="Times New Roman" w:hAnsi="Times New Roman" w:cs="Times New Roman"/>
          <w:sz w:val="24"/>
          <w:szCs w:val="24"/>
          <w:lang w:val="pt-BR"/>
        </w:rPr>
        <w:t xml:space="preserve"> </w:t>
      </w:r>
      <w:r w:rsidR="00BE4DD2" w:rsidRPr="002A7F74">
        <w:rPr>
          <w:rFonts w:ascii="Times New Roman" w:hAnsi="Times New Roman" w:cs="Times New Roman"/>
          <w:sz w:val="24"/>
          <w:szCs w:val="24"/>
          <w:lang w:val="pt-BR"/>
        </w:rPr>
        <w:t>s</w:t>
      </w:r>
      <w:r w:rsidR="005607BA" w:rsidRPr="002A7F74">
        <w:rPr>
          <w:rFonts w:ascii="Times New Roman" w:hAnsi="Times New Roman" w:cs="Times New Roman"/>
          <w:sz w:val="24"/>
          <w:szCs w:val="24"/>
          <w:lang w:val="pt-BR"/>
        </w:rPr>
        <w:t>ugere</w:t>
      </w:r>
      <w:r w:rsidR="00C67446">
        <w:rPr>
          <w:rFonts w:ascii="Times New Roman" w:hAnsi="Times New Roman" w:cs="Times New Roman"/>
          <w:sz w:val="24"/>
          <w:szCs w:val="24"/>
          <w:lang w:val="pt-BR"/>
        </w:rPr>
        <w:t xml:space="preserve"> um</w:t>
      </w:r>
      <w:r w:rsidR="005607BA" w:rsidRPr="002A7F74">
        <w:rPr>
          <w:rFonts w:ascii="Times New Roman" w:hAnsi="Times New Roman" w:cs="Times New Roman"/>
          <w:sz w:val="24"/>
          <w:szCs w:val="24"/>
          <w:lang w:val="pt-BR"/>
        </w:rPr>
        <w:t xml:space="preserve"> </w:t>
      </w:r>
      <w:r w:rsidR="00BE4DD2" w:rsidRPr="002A7F74">
        <w:rPr>
          <w:rFonts w:ascii="Times New Roman" w:hAnsi="Times New Roman" w:cs="Times New Roman"/>
          <w:sz w:val="24"/>
          <w:szCs w:val="24"/>
          <w:lang w:val="pt-BR"/>
        </w:rPr>
        <w:t>ajuste na redação</w:t>
      </w:r>
      <w:r w:rsidR="005607BA" w:rsidRPr="002A7F74">
        <w:rPr>
          <w:rFonts w:ascii="Times New Roman" w:hAnsi="Times New Roman" w:cs="Times New Roman"/>
          <w:sz w:val="24"/>
          <w:szCs w:val="24"/>
          <w:lang w:val="pt-BR"/>
        </w:rPr>
        <w:t xml:space="preserve">, </w:t>
      </w:r>
      <w:r w:rsidR="00C67446">
        <w:rPr>
          <w:rFonts w:ascii="Times New Roman" w:hAnsi="Times New Roman" w:cs="Times New Roman"/>
          <w:sz w:val="24"/>
          <w:szCs w:val="24"/>
          <w:lang w:val="pt-BR"/>
        </w:rPr>
        <w:t>com a inclusão da expressão</w:t>
      </w:r>
      <w:r w:rsidR="00BE4DD2" w:rsidRPr="002A7F74">
        <w:rPr>
          <w:rFonts w:ascii="Times New Roman" w:hAnsi="Times New Roman" w:cs="Times New Roman"/>
          <w:sz w:val="24"/>
          <w:szCs w:val="24"/>
          <w:lang w:val="pt-BR"/>
        </w:rPr>
        <w:t xml:space="preserve"> “</w:t>
      </w:r>
      <w:r w:rsidR="00BE4DD2" w:rsidRPr="002C38C1">
        <w:rPr>
          <w:rFonts w:ascii="Times New Roman" w:hAnsi="Times New Roman" w:cs="Times New Roman"/>
          <w:i/>
          <w:sz w:val="24"/>
          <w:szCs w:val="24"/>
          <w:lang w:val="pt-BR"/>
        </w:rPr>
        <w:t>em moeda corrente</w:t>
      </w:r>
      <w:r w:rsidR="00BE4DD2" w:rsidRPr="002A7F74">
        <w:rPr>
          <w:rFonts w:ascii="Times New Roman" w:hAnsi="Times New Roman" w:cs="Times New Roman"/>
          <w:sz w:val="24"/>
          <w:szCs w:val="24"/>
          <w:lang w:val="pt-BR"/>
        </w:rPr>
        <w:t>” ao fim do texto, apenas para reforçar est</w:t>
      </w:r>
      <w:r w:rsidR="004D5548" w:rsidRPr="002A7F74">
        <w:rPr>
          <w:rFonts w:ascii="Times New Roman" w:hAnsi="Times New Roman" w:cs="Times New Roman"/>
          <w:sz w:val="24"/>
          <w:szCs w:val="24"/>
          <w:lang w:val="pt-BR"/>
        </w:rPr>
        <w:t>a</w:t>
      </w:r>
      <w:r w:rsidR="00C67446">
        <w:rPr>
          <w:rFonts w:ascii="Times New Roman" w:hAnsi="Times New Roman" w:cs="Times New Roman"/>
          <w:sz w:val="24"/>
          <w:szCs w:val="24"/>
          <w:lang w:val="pt-BR"/>
        </w:rPr>
        <w:t xml:space="preserve"> imposição do Decreto </w:t>
      </w:r>
      <w:r w:rsidR="00F07AB6">
        <w:rPr>
          <w:rFonts w:ascii="Times New Roman" w:hAnsi="Times New Roman" w:cs="Times New Roman"/>
          <w:sz w:val="24"/>
          <w:szCs w:val="24"/>
          <w:lang w:val="pt-BR"/>
        </w:rPr>
        <w:t xml:space="preserve">nº </w:t>
      </w:r>
      <w:r w:rsidR="00C67446">
        <w:rPr>
          <w:rFonts w:ascii="Times New Roman" w:hAnsi="Times New Roman" w:cs="Times New Roman"/>
          <w:sz w:val="24"/>
          <w:szCs w:val="24"/>
          <w:lang w:val="pt-BR"/>
        </w:rPr>
        <w:t>2.</w:t>
      </w:r>
      <w:r w:rsidR="00BE4DD2" w:rsidRPr="002A7F74">
        <w:rPr>
          <w:rFonts w:ascii="Times New Roman" w:hAnsi="Times New Roman" w:cs="Times New Roman"/>
          <w:sz w:val="24"/>
          <w:szCs w:val="24"/>
          <w:lang w:val="pt-BR"/>
        </w:rPr>
        <w:t>0</w:t>
      </w:r>
      <w:r w:rsidR="00C67446">
        <w:rPr>
          <w:rFonts w:ascii="Times New Roman" w:hAnsi="Times New Roman" w:cs="Times New Roman"/>
          <w:sz w:val="24"/>
          <w:szCs w:val="24"/>
          <w:lang w:val="pt-BR"/>
        </w:rPr>
        <w:t>4</w:t>
      </w:r>
      <w:r w:rsidR="00BE4DD2" w:rsidRPr="002A7F74">
        <w:rPr>
          <w:rFonts w:ascii="Times New Roman" w:hAnsi="Times New Roman" w:cs="Times New Roman"/>
          <w:sz w:val="24"/>
          <w:szCs w:val="24"/>
          <w:lang w:val="pt-BR"/>
        </w:rPr>
        <w:t>4</w:t>
      </w:r>
      <w:r w:rsidR="00AC1391" w:rsidRPr="002A7F74">
        <w:rPr>
          <w:rFonts w:ascii="Times New Roman" w:hAnsi="Times New Roman" w:cs="Times New Roman"/>
          <w:sz w:val="24"/>
          <w:szCs w:val="24"/>
          <w:lang w:val="pt-BR"/>
        </w:rPr>
        <w:t xml:space="preserve">, de </w:t>
      </w:r>
      <w:r w:rsidR="00BE4DD2" w:rsidRPr="002A7F74">
        <w:rPr>
          <w:rFonts w:ascii="Times New Roman" w:hAnsi="Times New Roman" w:cs="Times New Roman"/>
          <w:sz w:val="24"/>
          <w:szCs w:val="24"/>
          <w:lang w:val="pt-BR"/>
        </w:rPr>
        <w:t xml:space="preserve">1908. </w:t>
      </w:r>
    </w:p>
    <w:p w:rsidR="00BE4DD2" w:rsidRPr="002A7F74" w:rsidRDefault="00BE4DD2" w:rsidP="00A93F2F">
      <w:pPr>
        <w:pStyle w:val="CorpoA"/>
        <w:widowControl w:val="0"/>
        <w:spacing w:after="0" w:line="312" w:lineRule="auto"/>
        <w:ind w:firstLine="709"/>
        <w:jc w:val="both"/>
        <w:rPr>
          <w:rFonts w:ascii="Times New Roman" w:eastAsia="Times New Roman" w:hAnsi="Times New Roman" w:cs="Times New Roman"/>
          <w:sz w:val="24"/>
          <w:szCs w:val="24"/>
          <w:lang w:val="pt-BR"/>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2A7F74" w:rsidTr="0026478B">
        <w:trPr>
          <w:trHeight w:val="135"/>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2A7F74" w:rsidRDefault="00F07AB6" w:rsidP="001D5AAA">
            <w:pPr>
              <w:spacing w:line="312" w:lineRule="auto"/>
              <w:ind w:firstLine="567"/>
              <w:jc w:val="both"/>
              <w:rPr>
                <w:lang w:val="pt-BR"/>
              </w:rPr>
            </w:pPr>
            <w:r w:rsidRPr="002A7F74">
              <w:rPr>
                <w:lang w:val="pt-BR"/>
              </w:rPr>
              <w:t>As sugestões</w:t>
            </w:r>
            <w:r w:rsidR="009C73A3" w:rsidRPr="002A7F74">
              <w:rPr>
                <w:lang w:val="pt-BR"/>
              </w:rPr>
              <w:t xml:space="preserve"> </w:t>
            </w:r>
            <w:r w:rsidR="005607BA" w:rsidRPr="002A7F74">
              <w:rPr>
                <w:lang w:val="pt-BR"/>
              </w:rPr>
              <w:t>fo</w:t>
            </w:r>
            <w:r w:rsidR="00BE4DD2" w:rsidRPr="002A7F74">
              <w:rPr>
                <w:lang w:val="pt-BR"/>
              </w:rPr>
              <w:t>ram</w:t>
            </w:r>
            <w:r w:rsidR="009C73A3" w:rsidRPr="002A7F74">
              <w:rPr>
                <w:lang w:val="pt-BR"/>
              </w:rPr>
              <w:t xml:space="preserve"> acatada</w:t>
            </w:r>
            <w:r w:rsidR="00BE4DD2" w:rsidRPr="002A7F74">
              <w:rPr>
                <w:lang w:val="pt-BR"/>
              </w:rPr>
              <w:t>s</w:t>
            </w:r>
            <w:r w:rsidR="005607BA" w:rsidRPr="002A7F74">
              <w:rPr>
                <w:lang w:val="pt-BR"/>
              </w:rPr>
              <w:t>.</w:t>
            </w:r>
            <w:r w:rsidR="009C73A3" w:rsidRPr="002A7F74">
              <w:rPr>
                <w:lang w:val="pt-BR"/>
              </w:rPr>
              <w:t xml:space="preserve"> </w:t>
            </w:r>
          </w:p>
        </w:tc>
      </w:tr>
    </w:tbl>
    <w:p w:rsidR="009A631F" w:rsidRPr="002A7F74" w:rsidRDefault="009A631F" w:rsidP="00A93F2F">
      <w:pPr>
        <w:pStyle w:val="CorpoA"/>
        <w:widowControl w:val="0"/>
        <w:spacing w:after="0" w:line="312" w:lineRule="auto"/>
        <w:ind w:firstLine="709"/>
        <w:jc w:val="both"/>
        <w:rPr>
          <w:rFonts w:ascii="Times New Roman" w:eastAsia="Times New Roman" w:hAnsi="Times New Roman" w:cs="Times New Roman"/>
          <w:sz w:val="24"/>
          <w:szCs w:val="24"/>
          <w:lang w:val="pt-BR"/>
        </w:rPr>
      </w:pPr>
    </w:p>
    <w:p w:rsidR="004D5548" w:rsidRPr="002A7F74" w:rsidRDefault="004D5548" w:rsidP="00A93F2F">
      <w:pPr>
        <w:pStyle w:val="Ttulo3"/>
        <w:spacing w:before="0"/>
        <w:rPr>
          <w:rFonts w:hAnsi="Times New Roman" w:cs="Times New Roman"/>
          <w:lang w:val="pt-BR"/>
        </w:rPr>
      </w:pPr>
      <w:r w:rsidRPr="002A7F74">
        <w:rPr>
          <w:rFonts w:hAnsi="Times New Roman" w:cs="Times New Roman"/>
          <w:lang w:val="pt-BR"/>
        </w:rPr>
        <w:t>3.</w:t>
      </w:r>
      <w:r w:rsidR="008B36DD">
        <w:rPr>
          <w:rFonts w:hAnsi="Times New Roman" w:cs="Times New Roman"/>
          <w:lang w:val="pt-BR"/>
        </w:rPr>
        <w:t>8.</w:t>
      </w:r>
      <w:r w:rsidR="008B36DD">
        <w:rPr>
          <w:rFonts w:hAnsi="Times New Roman" w:cs="Times New Roman"/>
          <w:lang w:val="pt-BR"/>
        </w:rPr>
        <w:tab/>
      </w:r>
      <w:r w:rsidRPr="002A7F74">
        <w:rPr>
          <w:rFonts w:hAnsi="Times New Roman" w:cs="Times New Roman"/>
          <w:lang w:val="pt-BR"/>
        </w:rPr>
        <w:t>Resgate antecipado</w:t>
      </w:r>
      <w:r w:rsidRPr="002A7F74">
        <w:rPr>
          <w:rFonts w:hAnsi="Times New Roman" w:cs="Times New Roman"/>
          <w:bCs w:val="0"/>
          <w:lang w:val="pt-BR"/>
        </w:rPr>
        <w:t xml:space="preserve"> (art. 5º</w:t>
      </w:r>
      <w:r w:rsidR="00F07AB6">
        <w:rPr>
          <w:rFonts w:hAnsi="Times New Roman" w:cs="Times New Roman"/>
          <w:bCs w:val="0"/>
          <w:lang w:val="pt-BR"/>
        </w:rPr>
        <w:t>,</w:t>
      </w:r>
      <w:r w:rsidRPr="002A7F74">
        <w:rPr>
          <w:rFonts w:hAnsi="Times New Roman" w:cs="Times New Roman"/>
          <w:bCs w:val="0"/>
          <w:lang w:val="pt-BR"/>
        </w:rPr>
        <w:t xml:space="preserve"> §</w:t>
      </w:r>
      <w:r w:rsidR="00F07AB6">
        <w:rPr>
          <w:rFonts w:hAnsi="Times New Roman" w:cs="Times New Roman"/>
          <w:bCs w:val="0"/>
          <w:lang w:val="pt-BR"/>
        </w:rPr>
        <w:t xml:space="preserve"> </w:t>
      </w:r>
      <w:r w:rsidR="00AD75B1">
        <w:rPr>
          <w:rFonts w:hAnsi="Times New Roman" w:cs="Times New Roman"/>
          <w:bCs w:val="0"/>
          <w:lang w:val="pt-BR"/>
        </w:rPr>
        <w:t>4º – atual § 3°)</w:t>
      </w:r>
    </w:p>
    <w:p w:rsidR="004D5548" w:rsidRPr="002A7F74" w:rsidRDefault="004D5548" w:rsidP="00A93F2F">
      <w:pPr>
        <w:pStyle w:val="CorpoA"/>
        <w:spacing w:after="0" w:line="312" w:lineRule="auto"/>
        <w:ind w:firstLine="709"/>
        <w:jc w:val="both"/>
        <w:rPr>
          <w:rFonts w:ascii="Times New Roman" w:hAnsi="Times New Roman" w:cs="Times New Roman"/>
          <w:sz w:val="24"/>
          <w:szCs w:val="24"/>
          <w:lang w:val="pt-BR"/>
        </w:rPr>
      </w:pPr>
    </w:p>
    <w:p w:rsidR="00D9084C" w:rsidRPr="002A7F74" w:rsidRDefault="00AD75B1" w:rsidP="00A93F2F">
      <w:pPr>
        <w:pStyle w:val="CorpoA"/>
        <w:spacing w:after="0" w:line="312" w:lineRule="auto"/>
        <w:ind w:firstLine="709"/>
        <w:jc w:val="both"/>
        <w:rPr>
          <w:rFonts w:ascii="Times New Roman" w:eastAsia="Times New Roman" w:hAnsi="Times New Roman" w:cs="Times New Roman"/>
          <w:sz w:val="24"/>
          <w:szCs w:val="24"/>
          <w:lang w:val="pt-BR"/>
        </w:rPr>
      </w:pPr>
      <w:r>
        <w:rPr>
          <w:rFonts w:ascii="Times New Roman" w:hAnsi="Times New Roman" w:cs="Times New Roman"/>
          <w:sz w:val="24"/>
          <w:szCs w:val="24"/>
          <w:lang w:val="pt-BR"/>
        </w:rPr>
        <w:t xml:space="preserve">O </w:t>
      </w:r>
      <w:r w:rsidR="002A7F74">
        <w:rPr>
          <w:rFonts w:ascii="Times New Roman" w:hAnsi="Times New Roman" w:cs="Times New Roman"/>
          <w:sz w:val="24"/>
          <w:szCs w:val="24"/>
          <w:lang w:val="pt-BR"/>
        </w:rPr>
        <w:t>Stocche</w:t>
      </w:r>
      <w:r w:rsidR="009B2AB8" w:rsidRPr="002A7F74">
        <w:rPr>
          <w:rFonts w:ascii="Times New Roman" w:hAnsi="Times New Roman" w:cs="Times New Roman"/>
          <w:sz w:val="24"/>
          <w:szCs w:val="24"/>
          <w:lang w:val="pt-BR"/>
        </w:rPr>
        <w:t xml:space="preserve"> Forbes </w:t>
      </w:r>
      <w:r w:rsidR="00E778B4">
        <w:rPr>
          <w:rFonts w:ascii="Times New Roman" w:hAnsi="Times New Roman" w:cs="Times New Roman"/>
          <w:sz w:val="24"/>
          <w:szCs w:val="24"/>
          <w:lang w:val="pt-BR"/>
        </w:rPr>
        <w:t>solicita que a redação do</w:t>
      </w:r>
      <w:r w:rsidR="005607BA" w:rsidRPr="002A7F74">
        <w:rPr>
          <w:rFonts w:ascii="Times New Roman" w:hAnsi="Times New Roman" w:cs="Times New Roman"/>
          <w:sz w:val="24"/>
          <w:szCs w:val="24"/>
          <w:lang w:val="pt-BR"/>
        </w:rPr>
        <w:t xml:space="preserve"> </w:t>
      </w:r>
      <w:r w:rsidR="009B2AB8" w:rsidRPr="002A7F74">
        <w:rPr>
          <w:rFonts w:ascii="Times New Roman" w:hAnsi="Times New Roman" w:cs="Times New Roman"/>
          <w:sz w:val="24"/>
          <w:szCs w:val="24"/>
          <w:lang w:val="pt-BR"/>
        </w:rPr>
        <w:t>§</w:t>
      </w:r>
      <w:r w:rsidR="00F07AB6">
        <w:rPr>
          <w:rFonts w:ascii="Times New Roman" w:hAnsi="Times New Roman" w:cs="Times New Roman"/>
          <w:sz w:val="24"/>
          <w:szCs w:val="24"/>
          <w:lang w:val="pt-BR"/>
        </w:rPr>
        <w:t xml:space="preserve"> </w:t>
      </w:r>
      <w:r w:rsidR="009B2AB8" w:rsidRPr="002A7F74">
        <w:rPr>
          <w:rFonts w:ascii="Times New Roman" w:hAnsi="Times New Roman" w:cs="Times New Roman"/>
          <w:sz w:val="24"/>
          <w:szCs w:val="24"/>
          <w:lang w:val="pt-BR"/>
        </w:rPr>
        <w:t>4º</w:t>
      </w:r>
      <w:r w:rsidR="00E778B4">
        <w:rPr>
          <w:rFonts w:ascii="Times New Roman" w:hAnsi="Times New Roman" w:cs="Times New Roman"/>
          <w:sz w:val="24"/>
          <w:szCs w:val="24"/>
          <w:lang w:val="pt-BR"/>
        </w:rPr>
        <w:t xml:space="preserve"> do art. 5º</w:t>
      </w:r>
      <w:r w:rsidR="009B2AB8" w:rsidRPr="002A7F74">
        <w:rPr>
          <w:rFonts w:ascii="Times New Roman" w:hAnsi="Times New Roman" w:cs="Times New Roman"/>
          <w:sz w:val="24"/>
          <w:szCs w:val="24"/>
          <w:lang w:val="pt-BR"/>
        </w:rPr>
        <w:t xml:space="preserve"> seja</w:t>
      </w:r>
      <w:r w:rsidR="005607BA" w:rsidRPr="002A7F74">
        <w:rPr>
          <w:rFonts w:ascii="Times New Roman" w:hAnsi="Times New Roman" w:cs="Times New Roman"/>
          <w:sz w:val="24"/>
          <w:szCs w:val="24"/>
          <w:lang w:val="pt-BR"/>
        </w:rPr>
        <w:t xml:space="preserve"> alterada</w:t>
      </w:r>
      <w:r w:rsidR="00E778B4">
        <w:rPr>
          <w:rFonts w:ascii="Times New Roman" w:hAnsi="Times New Roman" w:cs="Times New Roman"/>
          <w:sz w:val="24"/>
          <w:szCs w:val="24"/>
          <w:lang w:val="pt-BR"/>
        </w:rPr>
        <w:t xml:space="preserve"> para evidenciar que o resgate pode se dar “</w:t>
      </w:r>
      <w:r w:rsidR="00E778B4" w:rsidRPr="002C38C1">
        <w:rPr>
          <w:rFonts w:ascii="Times New Roman" w:hAnsi="Times New Roman" w:cs="Times New Roman"/>
          <w:i/>
          <w:sz w:val="24"/>
          <w:szCs w:val="24"/>
          <w:lang w:val="pt-BR"/>
        </w:rPr>
        <w:t>a qualquer tempo, após a data de emissão</w:t>
      </w:r>
      <w:r w:rsidR="00CB1845">
        <w:rPr>
          <w:rFonts w:ascii="Times New Roman" w:hAnsi="Times New Roman" w:cs="Times New Roman"/>
          <w:sz w:val="24"/>
          <w:szCs w:val="24"/>
          <w:lang w:val="pt-BR"/>
        </w:rPr>
        <w:t>”. O participante pretende, com isso, deixar claro que, diferentemente das normas atualmente em vigor, a Minuta não prevê um</w:t>
      </w:r>
      <w:r w:rsidR="009B2AB8" w:rsidRPr="002A7F74">
        <w:rPr>
          <w:rFonts w:ascii="Times New Roman" w:hAnsi="Times New Roman" w:cs="Times New Roman"/>
          <w:sz w:val="24"/>
          <w:szCs w:val="24"/>
          <w:lang w:val="pt-BR"/>
        </w:rPr>
        <w:t xml:space="preserve"> prazo mínimo de vencimento</w:t>
      </w:r>
      <w:r w:rsidR="001E4402">
        <w:rPr>
          <w:rFonts w:ascii="Times New Roman" w:hAnsi="Times New Roman" w:cs="Times New Roman"/>
          <w:sz w:val="24"/>
          <w:szCs w:val="24"/>
          <w:lang w:val="pt-BR"/>
        </w:rPr>
        <w:t xml:space="preserve"> das notas promissórias</w:t>
      </w:r>
      <w:r w:rsidR="00E778B4">
        <w:rPr>
          <w:rFonts w:ascii="Times New Roman" w:hAnsi="Times New Roman" w:cs="Times New Roman"/>
          <w:sz w:val="24"/>
          <w:szCs w:val="24"/>
          <w:lang w:val="pt-BR"/>
        </w:rPr>
        <w:t>.</w:t>
      </w:r>
    </w:p>
    <w:p w:rsidR="00D9084C" w:rsidRPr="002A7F74" w:rsidRDefault="00D9084C" w:rsidP="00A93F2F">
      <w:pPr>
        <w:pStyle w:val="CorpoA"/>
        <w:widowControl w:val="0"/>
        <w:spacing w:after="0" w:line="312" w:lineRule="auto"/>
        <w:rPr>
          <w:rFonts w:ascii="Times New Roman" w:eastAsia="Times New Roman" w:hAnsi="Times New Roman" w:cs="Times New Roman"/>
          <w:iCs/>
          <w:sz w:val="24"/>
          <w:szCs w:val="24"/>
          <w:lang w:val="pt-BR"/>
        </w:rPr>
      </w:pPr>
    </w:p>
    <w:tbl>
      <w:tblPr>
        <w:tblStyle w:val="TableNormal"/>
        <w:tblW w:w="1019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199"/>
      </w:tblGrid>
      <w:tr w:rsidR="00D9084C" w:rsidRPr="00533EEE" w:rsidTr="001D57C9">
        <w:trPr>
          <w:trHeight w:val="336"/>
        </w:trPr>
        <w:tc>
          <w:tcPr>
            <w:tcW w:w="10199"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654A7C" w:rsidRPr="002A7F74" w:rsidRDefault="00DD3894" w:rsidP="002C38C1">
            <w:pPr>
              <w:spacing w:line="312" w:lineRule="auto"/>
              <w:ind w:firstLine="567"/>
              <w:jc w:val="both"/>
              <w:rPr>
                <w:lang w:val="pt-BR"/>
              </w:rPr>
            </w:pPr>
            <w:r w:rsidRPr="002A7F74">
              <w:rPr>
                <w:lang w:val="pt-BR"/>
              </w:rPr>
              <w:t xml:space="preserve"> A</w:t>
            </w:r>
            <w:r w:rsidR="00EA61B7" w:rsidRPr="002A7F74">
              <w:rPr>
                <w:lang w:val="pt-BR"/>
              </w:rPr>
              <w:t xml:space="preserve"> </w:t>
            </w:r>
            <w:r w:rsidRPr="002A7F74">
              <w:rPr>
                <w:lang w:val="pt-BR"/>
              </w:rPr>
              <w:t xml:space="preserve">CVM </w:t>
            </w:r>
            <w:r w:rsidR="00E778B4">
              <w:rPr>
                <w:lang w:val="pt-BR"/>
              </w:rPr>
              <w:t>considera desnecessário realizar tal ajuste.</w:t>
            </w:r>
            <w:r w:rsidR="00CB1845">
              <w:rPr>
                <w:lang w:val="pt-BR"/>
              </w:rPr>
              <w:t xml:space="preserve"> Não havendo, na Minuta e na legislação específica, qualquer regra que imponha um prazo mínimo de vencimento, os emissores estão naturalmente livres para pactuar o que lhes </w:t>
            </w:r>
            <w:r w:rsidR="002C38C1">
              <w:rPr>
                <w:lang w:val="pt-BR"/>
              </w:rPr>
              <w:t>convir</w:t>
            </w:r>
            <w:r w:rsidR="00CB1845">
              <w:rPr>
                <w:lang w:val="pt-BR"/>
              </w:rPr>
              <w:t>.</w:t>
            </w:r>
          </w:p>
        </w:tc>
      </w:tr>
    </w:tbl>
    <w:p w:rsidR="009A631F" w:rsidRPr="002A7F74" w:rsidRDefault="009A631F" w:rsidP="00A93F2F">
      <w:pPr>
        <w:pStyle w:val="CorpoA"/>
        <w:spacing w:after="0" w:line="312" w:lineRule="auto"/>
        <w:jc w:val="both"/>
        <w:rPr>
          <w:rFonts w:ascii="Times New Roman" w:eastAsia="Times New Roman" w:hAnsi="Times New Roman" w:cs="Times New Roman"/>
          <w:sz w:val="24"/>
          <w:szCs w:val="24"/>
          <w:lang w:val="pt-BR"/>
        </w:rPr>
      </w:pPr>
    </w:p>
    <w:p w:rsidR="00B11D5C" w:rsidRPr="002A7F74" w:rsidRDefault="008B36DD" w:rsidP="00A93F2F">
      <w:pPr>
        <w:pStyle w:val="Ttulo3"/>
        <w:spacing w:before="0"/>
        <w:rPr>
          <w:rFonts w:hAnsi="Times New Roman" w:cs="Times New Roman"/>
          <w:lang w:val="pt-BR"/>
        </w:rPr>
      </w:pPr>
      <w:r>
        <w:rPr>
          <w:rFonts w:hAnsi="Times New Roman" w:cs="Times New Roman"/>
          <w:lang w:val="pt-BR"/>
        </w:rPr>
        <w:t>3.9.</w:t>
      </w:r>
      <w:r>
        <w:rPr>
          <w:rFonts w:hAnsi="Times New Roman" w:cs="Times New Roman"/>
          <w:lang w:val="pt-BR"/>
        </w:rPr>
        <w:tab/>
      </w:r>
      <w:r w:rsidR="00EF7456">
        <w:rPr>
          <w:rFonts w:hAnsi="Times New Roman" w:cs="Times New Roman"/>
          <w:lang w:val="pt-BR"/>
        </w:rPr>
        <w:t>Competência para deliberação</w:t>
      </w:r>
      <w:r w:rsidR="00B11D5C" w:rsidRPr="002A7F74">
        <w:rPr>
          <w:rFonts w:hAnsi="Times New Roman" w:cs="Times New Roman"/>
          <w:bCs w:val="0"/>
          <w:lang w:val="pt-BR"/>
        </w:rPr>
        <w:t xml:space="preserve"> (art. 6º)</w:t>
      </w:r>
    </w:p>
    <w:p w:rsidR="00B11D5C" w:rsidRPr="002A7F74" w:rsidRDefault="00B11D5C" w:rsidP="00A93F2F">
      <w:pPr>
        <w:pStyle w:val="CorpoA"/>
        <w:spacing w:after="0" w:line="312" w:lineRule="auto"/>
        <w:ind w:firstLine="709"/>
        <w:jc w:val="both"/>
        <w:rPr>
          <w:rFonts w:ascii="Times New Roman" w:hAnsi="Times New Roman" w:cs="Times New Roman"/>
          <w:sz w:val="24"/>
          <w:szCs w:val="24"/>
          <w:lang w:val="pt-BR"/>
        </w:rPr>
      </w:pPr>
    </w:p>
    <w:p w:rsidR="00EF7456" w:rsidRDefault="002C38C1" w:rsidP="00A93F2F">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r w:rsidR="00A2322E" w:rsidRPr="002A7F74">
        <w:rPr>
          <w:rFonts w:ascii="Times New Roman" w:hAnsi="Times New Roman" w:cs="Times New Roman"/>
          <w:sz w:val="24"/>
          <w:szCs w:val="24"/>
          <w:lang w:val="pt-BR"/>
        </w:rPr>
        <w:t xml:space="preserve">BM&amp;FBOVESPA solicita que </w:t>
      </w:r>
      <w:r w:rsidR="00EF7456">
        <w:rPr>
          <w:rFonts w:ascii="Times New Roman" w:hAnsi="Times New Roman" w:cs="Times New Roman"/>
          <w:sz w:val="24"/>
          <w:szCs w:val="24"/>
          <w:lang w:val="pt-BR"/>
        </w:rPr>
        <w:t xml:space="preserve">o </w:t>
      </w:r>
      <w:r w:rsidR="00990615" w:rsidRPr="002A7F74">
        <w:rPr>
          <w:rFonts w:ascii="Times New Roman" w:hAnsi="Times New Roman" w:cs="Times New Roman"/>
          <w:sz w:val="24"/>
          <w:szCs w:val="24"/>
          <w:lang w:val="pt-BR"/>
        </w:rPr>
        <w:t>estatuto ou contrato social</w:t>
      </w:r>
      <w:r w:rsidR="00EF7456">
        <w:rPr>
          <w:rFonts w:ascii="Times New Roman" w:hAnsi="Times New Roman" w:cs="Times New Roman"/>
          <w:sz w:val="24"/>
          <w:szCs w:val="24"/>
          <w:lang w:val="pt-BR"/>
        </w:rPr>
        <w:t xml:space="preserve"> do emissor</w:t>
      </w:r>
      <w:r w:rsidR="00990615" w:rsidRPr="002A7F74">
        <w:rPr>
          <w:rFonts w:ascii="Times New Roman" w:hAnsi="Times New Roman" w:cs="Times New Roman"/>
          <w:sz w:val="24"/>
          <w:szCs w:val="24"/>
          <w:lang w:val="pt-BR"/>
        </w:rPr>
        <w:t xml:space="preserve"> </w:t>
      </w:r>
      <w:r w:rsidR="00EF7456">
        <w:rPr>
          <w:rFonts w:ascii="Times New Roman" w:hAnsi="Times New Roman" w:cs="Times New Roman"/>
          <w:sz w:val="24"/>
          <w:szCs w:val="24"/>
          <w:lang w:val="pt-BR"/>
        </w:rPr>
        <w:t xml:space="preserve">disponha especificamente sobre </w:t>
      </w:r>
      <w:r>
        <w:rPr>
          <w:rFonts w:ascii="Times New Roman" w:hAnsi="Times New Roman" w:cs="Times New Roman"/>
          <w:sz w:val="24"/>
          <w:szCs w:val="24"/>
          <w:lang w:val="pt-BR"/>
        </w:rPr>
        <w:t xml:space="preserve">a </w:t>
      </w:r>
      <w:r w:rsidR="00EF7456">
        <w:rPr>
          <w:rFonts w:ascii="Times New Roman" w:hAnsi="Times New Roman" w:cs="Times New Roman"/>
          <w:sz w:val="24"/>
          <w:szCs w:val="24"/>
          <w:lang w:val="pt-BR"/>
        </w:rPr>
        <w:t>competência para “</w:t>
      </w:r>
      <w:r w:rsidR="00EF7456" w:rsidRPr="002C38C1">
        <w:rPr>
          <w:rFonts w:ascii="Times New Roman" w:hAnsi="Times New Roman" w:cs="Times New Roman"/>
          <w:i/>
          <w:sz w:val="24"/>
          <w:szCs w:val="24"/>
          <w:lang w:val="pt-BR"/>
        </w:rPr>
        <w:t>deliberar a emissão de nota promissória objeto de oferta pública de distribuição nos termos desta Instrução</w:t>
      </w:r>
      <w:r w:rsidR="00EF7456">
        <w:rPr>
          <w:rFonts w:ascii="Times New Roman" w:hAnsi="Times New Roman" w:cs="Times New Roman"/>
          <w:sz w:val="24"/>
          <w:szCs w:val="24"/>
          <w:lang w:val="pt-BR"/>
        </w:rPr>
        <w:t xml:space="preserve">”, </w:t>
      </w:r>
      <w:r w:rsidR="00F54907">
        <w:rPr>
          <w:rFonts w:ascii="Times New Roman" w:hAnsi="Times New Roman" w:cs="Times New Roman"/>
          <w:sz w:val="24"/>
          <w:szCs w:val="24"/>
          <w:lang w:val="pt-BR"/>
        </w:rPr>
        <w:t>evidenciando</w:t>
      </w:r>
      <w:r w:rsidR="00EF7456">
        <w:rPr>
          <w:rFonts w:ascii="Times New Roman" w:hAnsi="Times New Roman" w:cs="Times New Roman"/>
          <w:sz w:val="24"/>
          <w:szCs w:val="24"/>
          <w:lang w:val="pt-BR"/>
        </w:rPr>
        <w:t xml:space="preserve"> que dita competência não se aplica às demais notas promissórias eventualmente emitidas no curso das atividades do emissor. </w:t>
      </w:r>
    </w:p>
    <w:p w:rsidR="00EF7456" w:rsidRDefault="00EF7456" w:rsidP="00A93F2F">
      <w:pPr>
        <w:pStyle w:val="CorpoA"/>
        <w:spacing w:after="0" w:line="312" w:lineRule="auto"/>
        <w:ind w:firstLine="709"/>
        <w:jc w:val="both"/>
        <w:rPr>
          <w:rFonts w:ascii="Times New Roman" w:hAnsi="Times New Roman" w:cs="Times New Roman"/>
          <w:sz w:val="24"/>
          <w:szCs w:val="24"/>
          <w:lang w:val="pt-BR"/>
        </w:rPr>
      </w:pPr>
    </w:p>
    <w:p w:rsidR="00EF7456" w:rsidRDefault="00EF7456" w:rsidP="00EF7456">
      <w:pPr>
        <w:pStyle w:val="CorpoA"/>
        <w:spacing w:after="0" w:line="312" w:lineRule="auto"/>
        <w:ind w:firstLine="709"/>
        <w:jc w:val="both"/>
        <w:rPr>
          <w:rFonts w:ascii="Times New Roman" w:hAnsi="Times New Roman" w:cs="Times New Roman"/>
          <w:sz w:val="24"/>
          <w:szCs w:val="24"/>
          <w:lang w:val="pt-BR"/>
        </w:rPr>
      </w:pPr>
      <w:r w:rsidRPr="00AD1565">
        <w:rPr>
          <w:rFonts w:ascii="Times New Roman" w:hAnsi="Times New Roman" w:cs="Times New Roman"/>
          <w:sz w:val="24"/>
          <w:szCs w:val="24"/>
          <w:lang w:val="pt-BR"/>
        </w:rPr>
        <w:t xml:space="preserve">Já </w:t>
      </w:r>
      <w:r w:rsidR="002C38C1">
        <w:rPr>
          <w:rFonts w:ascii="Times New Roman" w:hAnsi="Times New Roman" w:cs="Times New Roman"/>
          <w:sz w:val="24"/>
          <w:szCs w:val="24"/>
          <w:lang w:val="pt-BR"/>
        </w:rPr>
        <w:t xml:space="preserve">a </w:t>
      </w:r>
      <w:r w:rsidRPr="00AD1565">
        <w:rPr>
          <w:rFonts w:ascii="Times New Roman" w:hAnsi="Times New Roman" w:cs="Times New Roman"/>
          <w:sz w:val="24"/>
          <w:szCs w:val="24"/>
          <w:lang w:val="pt-BR"/>
        </w:rPr>
        <w:t>ABRASCA e</w:t>
      </w:r>
      <w:r w:rsidR="002C38C1">
        <w:rPr>
          <w:rFonts w:ascii="Times New Roman" w:hAnsi="Times New Roman" w:cs="Times New Roman"/>
          <w:sz w:val="24"/>
          <w:szCs w:val="24"/>
          <w:lang w:val="pt-BR"/>
        </w:rPr>
        <w:t xml:space="preserve"> o</w:t>
      </w:r>
      <w:r w:rsidRPr="00AD1565">
        <w:rPr>
          <w:rFonts w:ascii="Times New Roman" w:hAnsi="Times New Roman" w:cs="Times New Roman"/>
          <w:sz w:val="24"/>
          <w:szCs w:val="24"/>
          <w:lang w:val="pt-BR"/>
        </w:rPr>
        <w:t xml:space="preserve"> Pinheiro Guimarães sugerem que a competência estatutária ou contratual </w:t>
      </w:r>
      <w:r w:rsidR="00753EDE" w:rsidRPr="00AD1565">
        <w:rPr>
          <w:rFonts w:ascii="Times New Roman" w:hAnsi="Times New Roman" w:cs="Times New Roman"/>
          <w:sz w:val="24"/>
          <w:szCs w:val="24"/>
          <w:lang w:val="pt-BR"/>
        </w:rPr>
        <w:t>possa citar</w:t>
      </w:r>
      <w:r w:rsidRPr="00AD1565">
        <w:rPr>
          <w:rFonts w:ascii="Times New Roman" w:hAnsi="Times New Roman" w:cs="Times New Roman"/>
          <w:sz w:val="24"/>
          <w:szCs w:val="24"/>
          <w:lang w:val="pt-BR"/>
        </w:rPr>
        <w:t xml:space="preserve"> genericamente a emissão pública de títulos de dívida ou de valores mobiliários, </w:t>
      </w:r>
      <w:r w:rsidR="00F54907" w:rsidRPr="00AD1565">
        <w:rPr>
          <w:rFonts w:ascii="Times New Roman" w:hAnsi="Times New Roman" w:cs="Times New Roman"/>
          <w:sz w:val="24"/>
          <w:szCs w:val="24"/>
          <w:lang w:val="pt-BR"/>
        </w:rPr>
        <w:t>sem mencionar especificamente as</w:t>
      </w:r>
      <w:r w:rsidRPr="00AD1565">
        <w:rPr>
          <w:rFonts w:ascii="Times New Roman" w:hAnsi="Times New Roman" w:cs="Times New Roman"/>
          <w:sz w:val="24"/>
          <w:szCs w:val="24"/>
          <w:lang w:val="pt-BR"/>
        </w:rPr>
        <w:t xml:space="preserve"> nota</w:t>
      </w:r>
      <w:r w:rsidR="00F54907" w:rsidRPr="00AD1565">
        <w:rPr>
          <w:rFonts w:ascii="Times New Roman" w:hAnsi="Times New Roman" w:cs="Times New Roman"/>
          <w:sz w:val="24"/>
          <w:szCs w:val="24"/>
          <w:lang w:val="pt-BR"/>
        </w:rPr>
        <w:t>s</w:t>
      </w:r>
      <w:r w:rsidRPr="00AD1565">
        <w:rPr>
          <w:rFonts w:ascii="Times New Roman" w:hAnsi="Times New Roman" w:cs="Times New Roman"/>
          <w:sz w:val="24"/>
          <w:szCs w:val="24"/>
          <w:lang w:val="pt-BR"/>
        </w:rPr>
        <w:t xml:space="preserve"> promissória</w:t>
      </w:r>
      <w:r w:rsidR="00F54907" w:rsidRPr="00AD1565">
        <w:rPr>
          <w:rFonts w:ascii="Times New Roman" w:hAnsi="Times New Roman" w:cs="Times New Roman"/>
          <w:sz w:val="24"/>
          <w:szCs w:val="24"/>
          <w:lang w:val="pt-BR"/>
        </w:rPr>
        <w:t>s</w:t>
      </w:r>
      <w:r w:rsidRPr="00AD1565">
        <w:rPr>
          <w:rFonts w:ascii="Times New Roman" w:hAnsi="Times New Roman" w:cs="Times New Roman"/>
          <w:sz w:val="24"/>
          <w:szCs w:val="24"/>
          <w:lang w:val="pt-BR"/>
        </w:rPr>
        <w:t>.</w:t>
      </w:r>
    </w:p>
    <w:p w:rsidR="00EF7456" w:rsidRPr="002A7F74" w:rsidRDefault="00EF7456" w:rsidP="00EF7456">
      <w:pPr>
        <w:pStyle w:val="CorpoA"/>
        <w:widowControl w:val="0"/>
        <w:spacing w:after="0" w:line="312" w:lineRule="auto"/>
        <w:jc w:val="both"/>
        <w:rPr>
          <w:rFonts w:ascii="Times New Roman" w:eastAsia="Times New Roman" w:hAnsi="Times New Roman" w:cs="Times New Roman"/>
          <w:sz w:val="24"/>
          <w:szCs w:val="24"/>
          <w:lang w:val="pt-BR"/>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EF7456" w:rsidRPr="00533EEE" w:rsidTr="00C128C9">
        <w:trPr>
          <w:trHeight w:val="330"/>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753EDE" w:rsidRPr="00F6368A" w:rsidRDefault="0088690C" w:rsidP="0088690C">
            <w:pPr>
              <w:spacing w:line="312" w:lineRule="auto"/>
              <w:ind w:firstLine="567"/>
              <w:jc w:val="both"/>
              <w:rPr>
                <w:lang w:val="pt-BR"/>
              </w:rPr>
            </w:pPr>
            <w:r w:rsidRPr="00F6368A">
              <w:rPr>
                <w:lang w:val="pt-BR"/>
              </w:rPr>
              <w:t>A</w:t>
            </w:r>
            <w:r w:rsidR="00753EDE" w:rsidRPr="00F6368A">
              <w:rPr>
                <w:lang w:val="pt-BR"/>
              </w:rPr>
              <w:t xml:space="preserve"> CVM </w:t>
            </w:r>
            <w:r w:rsidR="002C38C1">
              <w:rPr>
                <w:lang w:val="pt-BR"/>
              </w:rPr>
              <w:t xml:space="preserve">considerou o comentário da BM&amp;FBOVESPA pertinente e </w:t>
            </w:r>
            <w:r w:rsidRPr="00F6368A">
              <w:rPr>
                <w:lang w:val="pt-BR"/>
              </w:rPr>
              <w:t xml:space="preserve">especificou, na Minuta, que </w:t>
            </w:r>
            <w:r w:rsidR="00F6368A" w:rsidRPr="00F6368A">
              <w:rPr>
                <w:lang w:val="pt-BR"/>
              </w:rPr>
              <w:t>a</w:t>
            </w:r>
            <w:r w:rsidRPr="00F6368A">
              <w:rPr>
                <w:lang w:val="pt-BR"/>
              </w:rPr>
              <w:t xml:space="preserve"> </w:t>
            </w:r>
            <w:r w:rsidR="00753EDE" w:rsidRPr="00F6368A">
              <w:rPr>
                <w:lang w:val="pt-BR"/>
              </w:rPr>
              <w:t>compet</w:t>
            </w:r>
            <w:r w:rsidRPr="00F6368A">
              <w:rPr>
                <w:lang w:val="pt-BR"/>
              </w:rPr>
              <w:t xml:space="preserve">ência </w:t>
            </w:r>
            <w:r w:rsidR="00F6368A" w:rsidRPr="00F6368A">
              <w:rPr>
                <w:lang w:val="pt-BR"/>
              </w:rPr>
              <w:t xml:space="preserve">ali referida deve </w:t>
            </w:r>
            <w:r w:rsidR="00401C41">
              <w:rPr>
                <w:lang w:val="pt-BR"/>
              </w:rPr>
              <w:t>tratar de</w:t>
            </w:r>
            <w:r w:rsidR="002C38C1">
              <w:rPr>
                <w:lang w:val="pt-BR"/>
              </w:rPr>
              <w:t xml:space="preserve"> a</w:t>
            </w:r>
            <w:r w:rsidR="00753EDE" w:rsidRPr="00F6368A">
              <w:rPr>
                <w:lang w:val="pt-BR"/>
              </w:rPr>
              <w:t xml:space="preserve"> notas promissórias</w:t>
            </w:r>
            <w:r w:rsidRPr="00F6368A">
              <w:rPr>
                <w:lang w:val="pt-BR"/>
              </w:rPr>
              <w:t xml:space="preserve"> </w:t>
            </w:r>
            <w:r w:rsidR="00F6368A" w:rsidRPr="00F6368A">
              <w:rPr>
                <w:lang w:val="pt-BR"/>
              </w:rPr>
              <w:t>e</w:t>
            </w:r>
            <w:r w:rsidR="00802124">
              <w:rPr>
                <w:lang w:val="pt-BR"/>
              </w:rPr>
              <w:t>mitidas e</w:t>
            </w:r>
            <w:r w:rsidR="00F6368A" w:rsidRPr="00F6368A">
              <w:rPr>
                <w:lang w:val="pt-BR"/>
              </w:rPr>
              <w:t xml:space="preserve">specificamente </w:t>
            </w:r>
            <w:r w:rsidRPr="00F6368A">
              <w:rPr>
                <w:lang w:val="pt-BR"/>
              </w:rPr>
              <w:t>para distribuição pública.</w:t>
            </w:r>
          </w:p>
          <w:p w:rsidR="0088690C" w:rsidRPr="00F6368A" w:rsidRDefault="0088690C" w:rsidP="0088690C">
            <w:pPr>
              <w:spacing w:line="312" w:lineRule="auto"/>
              <w:ind w:firstLine="567"/>
              <w:jc w:val="both"/>
              <w:rPr>
                <w:lang w:val="pt-BR"/>
              </w:rPr>
            </w:pPr>
          </w:p>
          <w:p w:rsidR="00831A0F" w:rsidRDefault="0088690C" w:rsidP="00F93F61">
            <w:pPr>
              <w:spacing w:line="312" w:lineRule="auto"/>
              <w:ind w:firstLine="567"/>
              <w:jc w:val="both"/>
              <w:rPr>
                <w:lang w:val="pt-BR"/>
              </w:rPr>
            </w:pPr>
            <w:r w:rsidRPr="00F6368A">
              <w:rPr>
                <w:lang w:val="pt-BR"/>
              </w:rPr>
              <w:t xml:space="preserve">Contudo, a CVM </w:t>
            </w:r>
            <w:r w:rsidR="00F6368A" w:rsidRPr="00F6368A">
              <w:rPr>
                <w:lang w:val="pt-BR"/>
              </w:rPr>
              <w:t xml:space="preserve">também </w:t>
            </w:r>
            <w:r w:rsidRPr="00F6368A">
              <w:rPr>
                <w:lang w:val="pt-BR"/>
              </w:rPr>
              <w:t>esclarece que o art. 6° da Minuta se encontra igualmente atendido quando a competência citar genericamente a emissão de valores mobiliários ou títulos de dívida</w:t>
            </w:r>
            <w:r w:rsidR="00F6368A" w:rsidRPr="00F6368A">
              <w:rPr>
                <w:lang w:val="pt-BR"/>
              </w:rPr>
              <w:t xml:space="preserve"> para distribuição pública</w:t>
            </w:r>
            <w:r w:rsidR="002C38C1">
              <w:rPr>
                <w:lang w:val="pt-BR"/>
              </w:rPr>
              <w:t>, em linha com os demais comentários</w:t>
            </w:r>
            <w:r w:rsidRPr="00F6368A">
              <w:rPr>
                <w:lang w:val="pt-BR"/>
              </w:rPr>
              <w:t xml:space="preserve">. Assim, não é preciso proceder a alterações contratuais e estatutárias quando já houver disposição </w:t>
            </w:r>
            <w:r w:rsidR="00F6368A">
              <w:rPr>
                <w:lang w:val="pt-BR"/>
              </w:rPr>
              <w:t>nesse</w:t>
            </w:r>
            <w:r w:rsidRPr="00F6368A">
              <w:rPr>
                <w:lang w:val="pt-BR"/>
              </w:rPr>
              <w:t xml:space="preserve"> se</w:t>
            </w:r>
            <w:r w:rsidR="00F6368A" w:rsidRPr="00F6368A">
              <w:rPr>
                <w:lang w:val="pt-BR"/>
              </w:rPr>
              <w:t>ntido</w:t>
            </w:r>
            <w:r w:rsidR="00F6368A">
              <w:rPr>
                <w:lang w:val="pt-BR"/>
              </w:rPr>
              <w:t xml:space="preserve">. </w:t>
            </w:r>
          </w:p>
          <w:p w:rsidR="00831A0F" w:rsidRDefault="00831A0F" w:rsidP="00F93F61">
            <w:pPr>
              <w:spacing w:line="312" w:lineRule="auto"/>
              <w:ind w:firstLine="567"/>
              <w:jc w:val="both"/>
              <w:rPr>
                <w:lang w:val="pt-BR"/>
              </w:rPr>
            </w:pPr>
          </w:p>
          <w:p w:rsidR="0088690C" w:rsidRPr="00F6368A" w:rsidRDefault="00F6368A" w:rsidP="00F93F61">
            <w:pPr>
              <w:spacing w:line="312" w:lineRule="auto"/>
              <w:ind w:firstLine="567"/>
              <w:jc w:val="both"/>
              <w:rPr>
                <w:lang w:val="pt-BR"/>
              </w:rPr>
            </w:pPr>
            <w:r>
              <w:rPr>
                <w:lang w:val="pt-BR"/>
              </w:rPr>
              <w:t>H</w:t>
            </w:r>
            <w:r w:rsidR="0088690C" w:rsidRPr="00F6368A">
              <w:rPr>
                <w:lang w:val="pt-BR"/>
              </w:rPr>
              <w:t xml:space="preserve">avendo clareza de </w:t>
            </w:r>
            <w:r w:rsidR="00F93F61">
              <w:rPr>
                <w:lang w:val="pt-BR"/>
              </w:rPr>
              <w:t>que se trata de</w:t>
            </w:r>
            <w:r>
              <w:rPr>
                <w:lang w:val="pt-BR"/>
              </w:rPr>
              <w:t xml:space="preserve"> emissão para distribuição </w:t>
            </w:r>
            <w:r w:rsidR="0088690C" w:rsidRPr="00F6368A">
              <w:rPr>
                <w:lang w:val="pt-BR"/>
              </w:rPr>
              <w:t>p</w:t>
            </w:r>
            <w:r w:rsidRPr="00F6368A">
              <w:rPr>
                <w:lang w:val="pt-BR"/>
              </w:rPr>
              <w:t xml:space="preserve">ública, e não como parte dos </w:t>
            </w:r>
            <w:r w:rsidRPr="00F6368A">
              <w:rPr>
                <w:lang w:val="pt-BR"/>
              </w:rPr>
              <w:lastRenderedPageBreak/>
              <w:t>negócios correntes do emissor,</w:t>
            </w:r>
            <w:r w:rsidR="0088690C" w:rsidRPr="00F6368A">
              <w:rPr>
                <w:lang w:val="pt-BR"/>
              </w:rPr>
              <w:t xml:space="preserve"> a disposição contratual ou estatutária </w:t>
            </w:r>
            <w:r w:rsidR="00802124">
              <w:rPr>
                <w:lang w:val="pt-BR"/>
              </w:rPr>
              <w:t xml:space="preserve">mais genérica </w:t>
            </w:r>
            <w:r w:rsidR="0088690C" w:rsidRPr="00F6368A">
              <w:rPr>
                <w:lang w:val="pt-BR"/>
              </w:rPr>
              <w:t xml:space="preserve">servirá para fins do art. 6° da Minuta. </w:t>
            </w:r>
          </w:p>
        </w:tc>
      </w:tr>
    </w:tbl>
    <w:p w:rsidR="00EF7456" w:rsidRPr="002A7F74" w:rsidRDefault="00EF7456" w:rsidP="00EF7456">
      <w:pPr>
        <w:pStyle w:val="CorpoA"/>
        <w:spacing w:after="0" w:line="312" w:lineRule="auto"/>
        <w:jc w:val="both"/>
        <w:rPr>
          <w:rFonts w:ascii="Times New Roman" w:eastAsia="Times New Roman" w:hAnsi="Times New Roman" w:cs="Times New Roman"/>
          <w:sz w:val="24"/>
          <w:szCs w:val="24"/>
          <w:lang w:val="pt-BR"/>
        </w:rPr>
      </w:pPr>
    </w:p>
    <w:p w:rsidR="00F54907" w:rsidRPr="00655D75" w:rsidRDefault="0088690C" w:rsidP="00F54907">
      <w:pPr>
        <w:pStyle w:val="CorpoA"/>
        <w:spacing w:after="0" w:line="312" w:lineRule="auto"/>
        <w:ind w:firstLine="709"/>
        <w:jc w:val="both"/>
        <w:rPr>
          <w:rFonts w:ascii="Times New Roman" w:hAnsi="Times New Roman" w:cs="Times New Roman"/>
          <w:sz w:val="24"/>
          <w:szCs w:val="24"/>
          <w:lang w:val="pt-BR"/>
        </w:rPr>
      </w:pPr>
      <w:r w:rsidRPr="00655D75">
        <w:rPr>
          <w:rFonts w:ascii="Times New Roman" w:hAnsi="Times New Roman" w:cs="Times New Roman"/>
          <w:sz w:val="24"/>
          <w:szCs w:val="24"/>
          <w:lang w:val="pt-BR"/>
        </w:rPr>
        <w:t>ABRASCA e</w:t>
      </w:r>
      <w:r w:rsidR="00A2322E" w:rsidRPr="00655D75">
        <w:rPr>
          <w:rFonts w:ascii="Times New Roman" w:hAnsi="Times New Roman" w:cs="Times New Roman"/>
          <w:sz w:val="24"/>
          <w:szCs w:val="24"/>
          <w:lang w:val="pt-BR"/>
        </w:rPr>
        <w:t xml:space="preserve"> Salusse Marangoni sugerem a inclusão da reunião dos </w:t>
      </w:r>
      <w:r w:rsidRPr="00655D75">
        <w:rPr>
          <w:rFonts w:ascii="Times New Roman" w:hAnsi="Times New Roman" w:cs="Times New Roman"/>
          <w:sz w:val="24"/>
          <w:szCs w:val="24"/>
          <w:lang w:val="pt-BR"/>
        </w:rPr>
        <w:t>sócios</w:t>
      </w:r>
      <w:r w:rsidR="00A2322E" w:rsidRPr="00655D75">
        <w:rPr>
          <w:rFonts w:ascii="Times New Roman" w:hAnsi="Times New Roman" w:cs="Times New Roman"/>
          <w:sz w:val="24"/>
          <w:szCs w:val="24"/>
          <w:lang w:val="pt-BR"/>
        </w:rPr>
        <w:t xml:space="preserve"> quotistas entre os </w:t>
      </w:r>
      <w:r w:rsidRPr="00655D75">
        <w:rPr>
          <w:rFonts w:ascii="Times New Roman" w:hAnsi="Times New Roman" w:cs="Times New Roman"/>
          <w:sz w:val="24"/>
          <w:szCs w:val="24"/>
          <w:lang w:val="pt-BR"/>
        </w:rPr>
        <w:t>órgãos</w:t>
      </w:r>
      <w:r w:rsidR="00A2322E" w:rsidRPr="00655D75">
        <w:rPr>
          <w:rFonts w:ascii="Times New Roman" w:hAnsi="Times New Roman" w:cs="Times New Roman"/>
          <w:sz w:val="24"/>
          <w:szCs w:val="24"/>
          <w:lang w:val="pt-BR"/>
        </w:rPr>
        <w:t xml:space="preserve"> </w:t>
      </w:r>
      <w:r w:rsidR="00F93F61" w:rsidRPr="00655D75">
        <w:rPr>
          <w:rFonts w:ascii="Times New Roman" w:hAnsi="Times New Roman" w:cs="Times New Roman"/>
          <w:sz w:val="24"/>
          <w:szCs w:val="24"/>
          <w:lang w:val="pt-BR"/>
        </w:rPr>
        <w:t>com competência para</w:t>
      </w:r>
      <w:r w:rsidRPr="00655D75">
        <w:rPr>
          <w:rFonts w:ascii="Times New Roman" w:hAnsi="Times New Roman" w:cs="Times New Roman"/>
          <w:sz w:val="24"/>
          <w:szCs w:val="24"/>
          <w:lang w:val="pt-BR"/>
        </w:rPr>
        <w:t xml:space="preserve"> deliberar </w:t>
      </w:r>
      <w:r w:rsidR="00A2322E" w:rsidRPr="00655D75">
        <w:rPr>
          <w:rFonts w:ascii="Times New Roman" w:hAnsi="Times New Roman" w:cs="Times New Roman"/>
          <w:sz w:val="24"/>
          <w:szCs w:val="24"/>
          <w:lang w:val="pt-BR"/>
        </w:rPr>
        <w:t>sobre a emissão</w:t>
      </w:r>
      <w:r w:rsidRPr="00655D75">
        <w:rPr>
          <w:rFonts w:ascii="Times New Roman" w:hAnsi="Times New Roman" w:cs="Times New Roman"/>
          <w:sz w:val="24"/>
          <w:szCs w:val="24"/>
          <w:lang w:val="pt-BR"/>
        </w:rPr>
        <w:t xml:space="preserve"> de notas promissórias para oferta pública de distribuição</w:t>
      </w:r>
      <w:r w:rsidR="00A2322E" w:rsidRPr="00655D75">
        <w:rPr>
          <w:rFonts w:ascii="Times New Roman" w:hAnsi="Times New Roman" w:cs="Times New Roman"/>
          <w:sz w:val="24"/>
          <w:szCs w:val="24"/>
          <w:lang w:val="pt-BR"/>
        </w:rPr>
        <w:t xml:space="preserve">. </w:t>
      </w:r>
    </w:p>
    <w:p w:rsidR="00F54907" w:rsidRPr="00655D75" w:rsidRDefault="00F54907" w:rsidP="00F54907">
      <w:pPr>
        <w:pStyle w:val="CorpoA"/>
        <w:spacing w:after="0" w:line="312" w:lineRule="auto"/>
        <w:ind w:firstLine="709"/>
        <w:jc w:val="both"/>
        <w:rPr>
          <w:rFonts w:ascii="Times New Roman" w:hAnsi="Times New Roman" w:cs="Times New Roman"/>
          <w:sz w:val="24"/>
          <w:szCs w:val="24"/>
          <w:lang w:val="pt-BR"/>
        </w:rPr>
      </w:pPr>
    </w:p>
    <w:p w:rsidR="00F54907" w:rsidRPr="00655D75" w:rsidRDefault="00F54907" w:rsidP="00F54907">
      <w:pPr>
        <w:pStyle w:val="CorpoA"/>
        <w:spacing w:after="0" w:line="312" w:lineRule="auto"/>
        <w:ind w:firstLine="709"/>
        <w:jc w:val="both"/>
        <w:rPr>
          <w:rFonts w:ascii="Times New Roman" w:hAnsi="Times New Roman" w:cs="Times New Roman"/>
          <w:sz w:val="24"/>
          <w:szCs w:val="24"/>
          <w:lang w:val="pt-BR"/>
        </w:rPr>
      </w:pPr>
      <w:r w:rsidRPr="00655D75">
        <w:rPr>
          <w:rFonts w:ascii="Times New Roman" w:hAnsi="Times New Roman" w:cs="Times New Roman"/>
          <w:sz w:val="24"/>
          <w:szCs w:val="24"/>
          <w:lang w:val="pt-BR"/>
        </w:rPr>
        <w:t xml:space="preserve">O Salusse Marangoni sugere, ainda, que a disposição sobre a competência </w:t>
      </w:r>
      <w:r w:rsidR="00655D75" w:rsidRPr="00655D75">
        <w:rPr>
          <w:rFonts w:ascii="Times New Roman" w:hAnsi="Times New Roman" w:cs="Times New Roman"/>
          <w:sz w:val="24"/>
          <w:szCs w:val="24"/>
          <w:lang w:val="pt-BR"/>
        </w:rPr>
        <w:t xml:space="preserve">estabeleça </w:t>
      </w:r>
      <w:r w:rsidRPr="00655D75">
        <w:rPr>
          <w:rFonts w:ascii="Times New Roman" w:hAnsi="Times New Roman" w:cs="Times New Roman"/>
          <w:sz w:val="24"/>
          <w:szCs w:val="24"/>
          <w:lang w:val="pt-BR"/>
        </w:rPr>
        <w:t xml:space="preserve">seus limites. </w:t>
      </w:r>
    </w:p>
    <w:p w:rsidR="002C38C1" w:rsidRDefault="002C38C1" w:rsidP="002C38C1">
      <w:pPr>
        <w:pStyle w:val="CorpoA"/>
        <w:spacing w:after="0" w:line="312" w:lineRule="auto"/>
        <w:ind w:firstLine="709"/>
        <w:jc w:val="both"/>
        <w:rPr>
          <w:rFonts w:ascii="Times New Roman" w:hAnsi="Times New Roman" w:cs="Times New Roman"/>
          <w:sz w:val="24"/>
          <w:szCs w:val="24"/>
          <w:lang w:val="pt-BR"/>
        </w:rPr>
      </w:pPr>
    </w:p>
    <w:p w:rsidR="002C38C1" w:rsidRDefault="002C38C1" w:rsidP="002C38C1">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w:t>
      </w:r>
      <w:r w:rsidRPr="002A7F74">
        <w:rPr>
          <w:rFonts w:ascii="Times New Roman" w:hAnsi="Times New Roman" w:cs="Times New Roman"/>
          <w:sz w:val="24"/>
          <w:szCs w:val="24"/>
          <w:lang w:val="pt-BR"/>
        </w:rPr>
        <w:t xml:space="preserve">Pinheiro Guimarães questiona se </w:t>
      </w:r>
      <w:r>
        <w:rPr>
          <w:rFonts w:ascii="Times New Roman" w:hAnsi="Times New Roman" w:cs="Times New Roman"/>
          <w:sz w:val="24"/>
          <w:szCs w:val="24"/>
          <w:lang w:val="pt-BR"/>
        </w:rPr>
        <w:t>seria necessário um ato formal de</w:t>
      </w:r>
      <w:r w:rsidRPr="002A7F74">
        <w:rPr>
          <w:rFonts w:ascii="Times New Roman" w:hAnsi="Times New Roman" w:cs="Times New Roman"/>
          <w:sz w:val="24"/>
          <w:szCs w:val="24"/>
          <w:lang w:val="pt-BR"/>
        </w:rPr>
        <w:t xml:space="preserve"> deliberação </w:t>
      </w:r>
      <w:r>
        <w:rPr>
          <w:rFonts w:ascii="Times New Roman" w:hAnsi="Times New Roman" w:cs="Times New Roman"/>
          <w:sz w:val="24"/>
          <w:szCs w:val="24"/>
          <w:lang w:val="pt-BR"/>
        </w:rPr>
        <w:t>quando o contrato social da sociedade limitada atribuir aos administradores a competência de emissão de notas promissórias para distribuição pública, mas a sociedade contar com apenas um administrador.</w:t>
      </w:r>
    </w:p>
    <w:p w:rsidR="002C38C1" w:rsidRDefault="002C38C1" w:rsidP="002C38C1">
      <w:pPr>
        <w:pStyle w:val="CorpoA"/>
        <w:spacing w:after="0" w:line="312" w:lineRule="auto"/>
        <w:ind w:firstLine="709"/>
        <w:jc w:val="both"/>
        <w:rPr>
          <w:rFonts w:ascii="Times New Roman" w:hAnsi="Times New Roman" w:cs="Times New Roman"/>
          <w:sz w:val="24"/>
          <w:szCs w:val="24"/>
          <w:lang w:val="pt-BR"/>
        </w:rPr>
      </w:pPr>
    </w:p>
    <w:p w:rsidR="002C38C1" w:rsidRDefault="002C38C1" w:rsidP="002C38C1">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O participante q</w:t>
      </w:r>
      <w:r w:rsidRPr="002A7F74">
        <w:rPr>
          <w:rFonts w:ascii="Times New Roman" w:hAnsi="Times New Roman" w:cs="Times New Roman"/>
          <w:sz w:val="24"/>
          <w:szCs w:val="24"/>
          <w:lang w:val="pt-BR"/>
        </w:rPr>
        <w:t>uestiona, ainda, se</w:t>
      </w:r>
      <w:r>
        <w:rPr>
          <w:rFonts w:ascii="Times New Roman" w:hAnsi="Times New Roman" w:cs="Times New Roman"/>
          <w:sz w:val="24"/>
          <w:szCs w:val="24"/>
          <w:lang w:val="pt-BR"/>
        </w:rPr>
        <w:t>, em qualquer caso,</w:t>
      </w:r>
      <w:r w:rsidRPr="002A7F74">
        <w:rPr>
          <w:rFonts w:ascii="Times New Roman" w:hAnsi="Times New Roman" w:cs="Times New Roman"/>
          <w:sz w:val="24"/>
          <w:szCs w:val="24"/>
          <w:lang w:val="pt-BR"/>
        </w:rPr>
        <w:t xml:space="preserve"> o arquivamento e publicação </w:t>
      </w:r>
      <w:r>
        <w:rPr>
          <w:rFonts w:ascii="Times New Roman" w:hAnsi="Times New Roman" w:cs="Times New Roman"/>
          <w:sz w:val="24"/>
          <w:szCs w:val="24"/>
          <w:lang w:val="pt-BR"/>
        </w:rPr>
        <w:t xml:space="preserve">do </w:t>
      </w:r>
      <w:r w:rsidRPr="002A7F74">
        <w:rPr>
          <w:rFonts w:ascii="Times New Roman" w:hAnsi="Times New Roman" w:cs="Times New Roman"/>
          <w:sz w:val="24"/>
          <w:szCs w:val="24"/>
          <w:lang w:val="pt-BR"/>
        </w:rPr>
        <w:t>ato societário</w:t>
      </w:r>
      <w:r>
        <w:rPr>
          <w:rFonts w:ascii="Times New Roman" w:hAnsi="Times New Roman" w:cs="Times New Roman"/>
          <w:sz w:val="24"/>
          <w:szCs w:val="24"/>
          <w:lang w:val="pt-BR"/>
        </w:rPr>
        <w:t xml:space="preserve"> de deliberação</w:t>
      </w:r>
      <w:r w:rsidRPr="002A7F74">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são </w:t>
      </w:r>
      <w:r w:rsidRPr="002A7F74">
        <w:rPr>
          <w:rFonts w:ascii="Times New Roman" w:hAnsi="Times New Roman" w:cs="Times New Roman"/>
          <w:sz w:val="24"/>
          <w:szCs w:val="24"/>
          <w:lang w:val="pt-BR"/>
        </w:rPr>
        <w:t>condições para a emissão.</w:t>
      </w:r>
    </w:p>
    <w:p w:rsidR="006E4D3D" w:rsidRDefault="006E4D3D" w:rsidP="002C38C1">
      <w:pPr>
        <w:pStyle w:val="CorpoA"/>
        <w:spacing w:after="0" w:line="312" w:lineRule="auto"/>
        <w:ind w:firstLine="709"/>
        <w:jc w:val="both"/>
        <w:rPr>
          <w:rFonts w:ascii="Times New Roman" w:hAnsi="Times New Roman" w:cs="Times New Roman"/>
          <w:sz w:val="24"/>
          <w:szCs w:val="24"/>
          <w:lang w:val="pt-BR"/>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6E4D3D" w:rsidRPr="00533EEE" w:rsidTr="006E4D3D">
        <w:trPr>
          <w:trHeight w:val="330"/>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6E4D3D" w:rsidRPr="006E4D3D" w:rsidRDefault="006E4D3D" w:rsidP="006E4D3D">
            <w:pPr>
              <w:spacing w:line="312" w:lineRule="auto"/>
              <w:ind w:firstLine="567"/>
              <w:jc w:val="both"/>
              <w:rPr>
                <w:lang w:val="pt-BR"/>
              </w:rPr>
            </w:pPr>
            <w:r w:rsidRPr="006E4D3D">
              <w:rPr>
                <w:lang w:val="pt-BR"/>
              </w:rPr>
              <w:t xml:space="preserve">A CVM alterou a redação do dispositivo para deixar inteiramente a cargo do estatuto ou contrato social a definição da competência para autorizar a emissão de nota promissória para oferta pública de distribuição. Isso significa que tal competência </w:t>
            </w:r>
            <w:r>
              <w:rPr>
                <w:lang w:val="pt-BR"/>
              </w:rPr>
              <w:t>pode</w:t>
            </w:r>
            <w:r w:rsidRPr="006E4D3D">
              <w:rPr>
                <w:lang w:val="pt-BR"/>
              </w:rPr>
              <w:t xml:space="preserve"> ser atribuída, por exemplo, à reunião de sócios quotistas e mesmo a administradores do emissor.</w:t>
            </w:r>
            <w:r w:rsidR="00520FD0">
              <w:rPr>
                <w:lang w:val="pt-BR"/>
              </w:rPr>
              <w:t xml:space="preserve"> Também se incluiu um parágrafo único ao dispositivo para esclarecer a necessidade de arquivamento do respectivo ato de autorização (sem prejuízo da sua publicação, quando exigida por lei).</w:t>
            </w:r>
          </w:p>
          <w:p w:rsidR="006E4D3D" w:rsidRPr="006E4D3D" w:rsidRDefault="006E4D3D" w:rsidP="006E4D3D">
            <w:pPr>
              <w:spacing w:line="312" w:lineRule="auto"/>
              <w:ind w:firstLine="567"/>
              <w:jc w:val="both"/>
              <w:rPr>
                <w:lang w:val="pt-BR"/>
              </w:rPr>
            </w:pPr>
          </w:p>
          <w:p w:rsidR="0086609E" w:rsidRDefault="006E4D3D">
            <w:pPr>
              <w:spacing w:line="312" w:lineRule="auto"/>
              <w:ind w:firstLine="567"/>
              <w:jc w:val="both"/>
              <w:rPr>
                <w:lang w:val="pt-BR"/>
              </w:rPr>
            </w:pPr>
            <w:r>
              <w:rPr>
                <w:lang w:val="pt-BR"/>
              </w:rPr>
              <w:t>No entanto, a</w:t>
            </w:r>
            <w:r w:rsidRPr="006E4D3D">
              <w:rPr>
                <w:lang w:val="pt-BR"/>
              </w:rPr>
              <w:t xml:space="preserve"> CVM não vê necessidade de obrigar o estabelecimento de limites </w:t>
            </w:r>
            <w:r>
              <w:rPr>
                <w:lang w:val="pt-BR"/>
              </w:rPr>
              <w:t>contratuais ou estatutários a essa</w:t>
            </w:r>
            <w:r w:rsidRPr="006E4D3D">
              <w:rPr>
                <w:lang w:val="pt-BR"/>
              </w:rPr>
              <w:t xml:space="preserve"> competência: trata-se de matéria sobre a qual os contratantes podem dispor livremente.</w:t>
            </w:r>
            <w:r>
              <w:rPr>
                <w:lang w:val="pt-BR"/>
              </w:rPr>
              <w:t xml:space="preserve"> Por conta disso, o comentário do Salussi Marangoni não foi acatado.</w:t>
            </w:r>
          </w:p>
        </w:tc>
      </w:tr>
    </w:tbl>
    <w:p w:rsidR="00D9084C" w:rsidRPr="002A7F74" w:rsidRDefault="00D9084C" w:rsidP="00A93F2F">
      <w:pPr>
        <w:pStyle w:val="CorpoA"/>
        <w:widowControl w:val="0"/>
        <w:spacing w:after="0" w:line="312" w:lineRule="auto"/>
        <w:jc w:val="both"/>
        <w:rPr>
          <w:rFonts w:ascii="Times New Roman" w:eastAsia="Times New Roman" w:hAnsi="Times New Roman" w:cs="Times New Roman"/>
          <w:sz w:val="24"/>
          <w:szCs w:val="24"/>
          <w:lang w:val="pt-BR"/>
        </w:rPr>
      </w:pPr>
    </w:p>
    <w:p w:rsidR="00495AFD" w:rsidRPr="002A7F74" w:rsidRDefault="00495AFD" w:rsidP="00A93F2F">
      <w:pPr>
        <w:pStyle w:val="Ttulo3"/>
        <w:spacing w:before="0"/>
        <w:rPr>
          <w:rFonts w:hAnsi="Times New Roman" w:cs="Times New Roman"/>
          <w:lang w:val="pt-BR"/>
        </w:rPr>
      </w:pPr>
      <w:r w:rsidRPr="002A7F74">
        <w:rPr>
          <w:rFonts w:hAnsi="Times New Roman" w:cs="Times New Roman"/>
          <w:lang w:val="pt-BR"/>
        </w:rPr>
        <w:t>3.</w:t>
      </w:r>
      <w:r w:rsidR="008B36DD">
        <w:rPr>
          <w:rFonts w:hAnsi="Times New Roman" w:cs="Times New Roman"/>
          <w:lang w:val="pt-BR"/>
        </w:rPr>
        <w:t>10.</w:t>
      </w:r>
      <w:r w:rsidR="008B36DD">
        <w:rPr>
          <w:rFonts w:hAnsi="Times New Roman" w:cs="Times New Roman"/>
          <w:lang w:val="pt-BR"/>
        </w:rPr>
        <w:tab/>
      </w:r>
      <w:r w:rsidR="00F54907">
        <w:rPr>
          <w:rFonts w:hAnsi="Times New Roman" w:cs="Times New Roman"/>
          <w:lang w:val="pt-BR"/>
        </w:rPr>
        <w:t>Conteúdo da deliberação</w:t>
      </w:r>
      <w:r w:rsidRPr="002A7F74">
        <w:rPr>
          <w:rFonts w:hAnsi="Times New Roman" w:cs="Times New Roman"/>
          <w:bCs w:val="0"/>
          <w:lang w:val="pt-BR"/>
        </w:rPr>
        <w:t xml:space="preserve"> (art. 7º)</w:t>
      </w:r>
    </w:p>
    <w:p w:rsidR="00D9084C" w:rsidRPr="002A7F74" w:rsidRDefault="00D9084C" w:rsidP="00A93F2F">
      <w:pPr>
        <w:pStyle w:val="CorpoA"/>
        <w:spacing w:after="0" w:line="312" w:lineRule="auto"/>
        <w:jc w:val="both"/>
        <w:rPr>
          <w:rFonts w:ascii="Times New Roman" w:eastAsia="Times New Roman" w:hAnsi="Times New Roman" w:cs="Times New Roman"/>
          <w:sz w:val="24"/>
          <w:szCs w:val="24"/>
          <w:lang w:val="pt-BR"/>
        </w:rPr>
      </w:pPr>
    </w:p>
    <w:p w:rsidR="00E24FF3" w:rsidRPr="002A7F74" w:rsidRDefault="002C38C1" w:rsidP="00A93F2F">
      <w:pPr>
        <w:pStyle w:val="CorpoA"/>
        <w:spacing w:after="0" w:line="312" w:lineRule="auto"/>
        <w:ind w:firstLine="709"/>
        <w:jc w:val="both"/>
        <w:rPr>
          <w:rFonts w:ascii="Times New Roman" w:eastAsia="Times New Roman" w:hAnsi="Times New Roman" w:cs="Times New Roman"/>
          <w:sz w:val="24"/>
          <w:szCs w:val="24"/>
          <w:lang w:val="pt-BR"/>
        </w:rPr>
      </w:pPr>
      <w:r>
        <w:rPr>
          <w:rFonts w:ascii="Times New Roman" w:hAnsi="Times New Roman" w:cs="Times New Roman"/>
          <w:sz w:val="24"/>
          <w:szCs w:val="24"/>
          <w:lang w:val="pt-BR"/>
        </w:rPr>
        <w:t xml:space="preserve">O </w:t>
      </w:r>
      <w:r w:rsidR="00E24FF3" w:rsidRPr="002A7F74">
        <w:rPr>
          <w:rFonts w:ascii="Times New Roman" w:hAnsi="Times New Roman" w:cs="Times New Roman"/>
          <w:sz w:val="24"/>
          <w:szCs w:val="24"/>
          <w:lang w:val="pt-BR"/>
        </w:rPr>
        <w:t>LCCF sugere que se inclua na deliberação, no item das garantias</w:t>
      </w:r>
      <w:r w:rsidR="00122261">
        <w:rPr>
          <w:rFonts w:ascii="Times New Roman" w:hAnsi="Times New Roman" w:cs="Times New Roman"/>
          <w:sz w:val="24"/>
          <w:szCs w:val="24"/>
          <w:lang w:val="pt-BR"/>
        </w:rPr>
        <w:t xml:space="preserve"> (inciso V)</w:t>
      </w:r>
      <w:r w:rsidR="00E24FF3" w:rsidRPr="002A7F74">
        <w:rPr>
          <w:rFonts w:ascii="Times New Roman" w:hAnsi="Times New Roman" w:cs="Times New Roman"/>
          <w:sz w:val="24"/>
          <w:szCs w:val="24"/>
          <w:lang w:val="pt-BR"/>
        </w:rPr>
        <w:t xml:space="preserve">, as limitações </w:t>
      </w:r>
      <w:r w:rsidR="00962CEB" w:rsidRPr="002A7F74">
        <w:rPr>
          <w:rFonts w:ascii="Times New Roman" w:hAnsi="Times New Roman" w:cs="Times New Roman"/>
          <w:sz w:val="24"/>
          <w:szCs w:val="24"/>
          <w:lang w:val="pt-BR"/>
        </w:rPr>
        <w:t xml:space="preserve">à prestação de garantias </w:t>
      </w:r>
      <w:r w:rsidR="00E24FF3" w:rsidRPr="002A7F74">
        <w:rPr>
          <w:rFonts w:ascii="Times New Roman" w:hAnsi="Times New Roman" w:cs="Times New Roman"/>
          <w:sz w:val="24"/>
          <w:szCs w:val="24"/>
          <w:lang w:val="pt-BR"/>
        </w:rPr>
        <w:t>previstas no contrato social, no caso de sociedades limitadas e/ou cooperativas.</w:t>
      </w:r>
    </w:p>
    <w:p w:rsidR="00E24FF3" w:rsidRPr="002A7F74" w:rsidRDefault="00E24FF3" w:rsidP="00A93F2F">
      <w:pPr>
        <w:pStyle w:val="CorpoA"/>
        <w:widowControl w:val="0"/>
        <w:spacing w:after="0" w:line="312" w:lineRule="auto"/>
        <w:jc w:val="both"/>
        <w:rPr>
          <w:rFonts w:ascii="Times New Roman" w:eastAsia="Times New Roman" w:hAnsi="Times New Roman" w:cs="Times New Roman"/>
          <w:sz w:val="24"/>
          <w:szCs w:val="24"/>
          <w:lang w:val="pt-BR"/>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E24FF3" w:rsidRPr="002C38C1" w:rsidTr="00E24FF3">
        <w:trPr>
          <w:trHeight w:val="330"/>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E24FF3" w:rsidRPr="002A7F74" w:rsidRDefault="002C38C1" w:rsidP="002C38C1">
            <w:pPr>
              <w:spacing w:line="312" w:lineRule="auto"/>
              <w:ind w:firstLine="567"/>
              <w:jc w:val="both"/>
              <w:rPr>
                <w:lang w:val="pt-BR"/>
              </w:rPr>
            </w:pPr>
            <w:r>
              <w:rPr>
                <w:lang w:val="pt-BR"/>
              </w:rPr>
              <w:t>Já havendo, no contrato social, limitação à prestação de garantias</w:t>
            </w:r>
            <w:r w:rsidR="00940E4D">
              <w:rPr>
                <w:lang w:val="pt-BR"/>
              </w:rPr>
              <w:t xml:space="preserve">, elas não precisam ser reiteradas </w:t>
            </w:r>
            <w:r w:rsidR="00F35015" w:rsidRPr="002A7F74">
              <w:rPr>
                <w:lang w:val="pt-BR"/>
              </w:rPr>
              <w:t xml:space="preserve">na deliberação. </w:t>
            </w:r>
            <w:r>
              <w:rPr>
                <w:lang w:val="pt-BR"/>
              </w:rPr>
              <w:t>Portanto, a</w:t>
            </w:r>
            <w:r w:rsidR="00F35015" w:rsidRPr="002A7F74">
              <w:rPr>
                <w:lang w:val="pt-BR"/>
              </w:rPr>
              <w:t xml:space="preserve"> </w:t>
            </w:r>
            <w:r w:rsidR="00E24FF3" w:rsidRPr="002A7F74">
              <w:rPr>
                <w:lang w:val="pt-BR"/>
              </w:rPr>
              <w:t>sugest</w:t>
            </w:r>
            <w:r w:rsidR="00962CEB" w:rsidRPr="002A7F74">
              <w:rPr>
                <w:lang w:val="pt-BR"/>
              </w:rPr>
              <w:t>ão</w:t>
            </w:r>
            <w:r w:rsidR="00E24FF3" w:rsidRPr="002A7F74">
              <w:rPr>
                <w:lang w:val="pt-BR"/>
              </w:rPr>
              <w:t xml:space="preserve"> </w:t>
            </w:r>
            <w:r w:rsidR="00F35015" w:rsidRPr="002A7F74">
              <w:rPr>
                <w:lang w:val="pt-BR"/>
              </w:rPr>
              <w:t xml:space="preserve">não </w:t>
            </w:r>
            <w:r w:rsidR="00E24FF3" w:rsidRPr="002A7F74">
              <w:rPr>
                <w:lang w:val="pt-BR"/>
              </w:rPr>
              <w:t>fo</w:t>
            </w:r>
            <w:r w:rsidR="00962CEB" w:rsidRPr="002A7F74">
              <w:rPr>
                <w:lang w:val="pt-BR"/>
              </w:rPr>
              <w:t>i</w:t>
            </w:r>
            <w:r w:rsidR="00E24FF3" w:rsidRPr="002A7F74">
              <w:rPr>
                <w:lang w:val="pt-BR"/>
              </w:rPr>
              <w:t xml:space="preserve"> acolhida.</w:t>
            </w:r>
          </w:p>
        </w:tc>
      </w:tr>
    </w:tbl>
    <w:p w:rsidR="00E24FF3" w:rsidRPr="002A7F74" w:rsidRDefault="00E24FF3" w:rsidP="00A93F2F">
      <w:pPr>
        <w:pStyle w:val="CorpoA"/>
        <w:widowControl w:val="0"/>
        <w:spacing w:after="0" w:line="312" w:lineRule="auto"/>
        <w:jc w:val="both"/>
        <w:rPr>
          <w:rFonts w:ascii="Times New Roman" w:eastAsia="Times New Roman" w:hAnsi="Times New Roman" w:cs="Times New Roman"/>
          <w:sz w:val="24"/>
          <w:szCs w:val="24"/>
          <w:lang w:val="pt-BR"/>
        </w:rPr>
      </w:pPr>
    </w:p>
    <w:p w:rsidR="00AD0A29" w:rsidRPr="00122261" w:rsidRDefault="002C38C1" w:rsidP="00A93F2F">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A </w:t>
      </w:r>
      <w:r w:rsidR="00122261">
        <w:rPr>
          <w:rFonts w:ascii="Times New Roman" w:hAnsi="Times New Roman" w:cs="Times New Roman"/>
          <w:sz w:val="24"/>
          <w:szCs w:val="24"/>
          <w:lang w:val="pt-BR"/>
        </w:rPr>
        <w:t>BM&amp;FBOVESPA sugere que a deliberação disponha sobre</w:t>
      </w:r>
      <w:r w:rsidR="00AD0A29" w:rsidRPr="00122261">
        <w:rPr>
          <w:rFonts w:ascii="Times New Roman" w:hAnsi="Times New Roman" w:cs="Times New Roman"/>
          <w:sz w:val="24"/>
          <w:szCs w:val="24"/>
          <w:lang w:val="pt-BR"/>
        </w:rPr>
        <w:t xml:space="preserve"> o agente </w:t>
      </w:r>
      <w:r w:rsidR="00940E4D" w:rsidRPr="00122261">
        <w:rPr>
          <w:rFonts w:ascii="Times New Roman" w:hAnsi="Times New Roman" w:cs="Times New Roman"/>
          <w:sz w:val="24"/>
          <w:szCs w:val="24"/>
          <w:lang w:val="pt-BR"/>
        </w:rPr>
        <w:t>fiduciário</w:t>
      </w:r>
      <w:r w:rsidR="00122261" w:rsidRPr="00122261">
        <w:rPr>
          <w:rFonts w:ascii="Times New Roman" w:hAnsi="Times New Roman" w:cs="Times New Roman"/>
          <w:sz w:val="24"/>
          <w:szCs w:val="24"/>
          <w:lang w:val="pt-BR"/>
        </w:rPr>
        <w:t xml:space="preserve"> a ser contratado para</w:t>
      </w:r>
      <w:r w:rsidR="00AD0A29" w:rsidRPr="00122261">
        <w:rPr>
          <w:rFonts w:ascii="Times New Roman" w:hAnsi="Times New Roman" w:cs="Times New Roman"/>
          <w:sz w:val="24"/>
          <w:szCs w:val="24"/>
          <w:lang w:val="pt-BR"/>
        </w:rPr>
        <w:t xml:space="preserve"> cada série.</w:t>
      </w:r>
    </w:p>
    <w:p w:rsidR="00122261" w:rsidRPr="00122261" w:rsidRDefault="00122261" w:rsidP="00A93F2F">
      <w:pPr>
        <w:pStyle w:val="CorpoA"/>
        <w:spacing w:after="0" w:line="312" w:lineRule="auto"/>
        <w:ind w:firstLine="709"/>
        <w:jc w:val="both"/>
        <w:rPr>
          <w:rFonts w:ascii="Times New Roman" w:eastAsia="Times New Roman" w:hAnsi="Times New Roman" w:cs="Times New Roman"/>
          <w:sz w:val="24"/>
          <w:szCs w:val="24"/>
          <w:lang w:val="pt-BR"/>
        </w:rPr>
      </w:pPr>
    </w:p>
    <w:p w:rsidR="00122261" w:rsidRDefault="002C38C1" w:rsidP="00122261">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r w:rsidR="00122261" w:rsidRPr="00122261">
        <w:rPr>
          <w:rFonts w:ascii="Times New Roman" w:hAnsi="Times New Roman" w:cs="Times New Roman"/>
          <w:sz w:val="24"/>
          <w:szCs w:val="24"/>
          <w:lang w:val="pt-BR"/>
        </w:rPr>
        <w:t xml:space="preserve">CETIP sugere que se inclua dentre os itens constantes da deliberação </w:t>
      </w:r>
      <w:r w:rsidR="00122261">
        <w:rPr>
          <w:rFonts w:ascii="Times New Roman" w:hAnsi="Times New Roman" w:cs="Times New Roman"/>
          <w:sz w:val="24"/>
          <w:szCs w:val="24"/>
          <w:lang w:val="pt-BR"/>
        </w:rPr>
        <w:t>a definição d</w:t>
      </w:r>
      <w:r w:rsidR="00122261" w:rsidRPr="00122261">
        <w:rPr>
          <w:rFonts w:ascii="Times New Roman" w:hAnsi="Times New Roman" w:cs="Times New Roman"/>
          <w:sz w:val="24"/>
          <w:szCs w:val="24"/>
          <w:lang w:val="pt-BR"/>
        </w:rPr>
        <w:t xml:space="preserve">o prazo para pagamento de qualquer desembolso do emissor, </w:t>
      </w:r>
      <w:r w:rsidR="00396B6D">
        <w:rPr>
          <w:rFonts w:ascii="Times New Roman" w:hAnsi="Times New Roman" w:cs="Times New Roman"/>
          <w:sz w:val="24"/>
          <w:szCs w:val="24"/>
          <w:lang w:val="pt-BR"/>
        </w:rPr>
        <w:t>“</w:t>
      </w:r>
      <w:r w:rsidR="00122261" w:rsidRPr="00396B6D">
        <w:rPr>
          <w:rFonts w:ascii="Times New Roman" w:hAnsi="Times New Roman" w:cs="Times New Roman"/>
          <w:i/>
          <w:sz w:val="24"/>
          <w:szCs w:val="24"/>
          <w:lang w:val="pt-BR"/>
        </w:rPr>
        <w:t>dad</w:t>
      </w:r>
      <w:r w:rsidR="00396B6D" w:rsidRPr="00396B6D">
        <w:rPr>
          <w:rFonts w:ascii="Times New Roman" w:hAnsi="Times New Roman" w:cs="Times New Roman"/>
          <w:i/>
          <w:sz w:val="24"/>
          <w:szCs w:val="24"/>
          <w:lang w:val="pt-BR"/>
        </w:rPr>
        <w:t>o</w:t>
      </w:r>
      <w:r w:rsidR="00122261" w:rsidRPr="00396B6D">
        <w:rPr>
          <w:rFonts w:ascii="Times New Roman" w:hAnsi="Times New Roman" w:cs="Times New Roman"/>
          <w:i/>
          <w:sz w:val="24"/>
          <w:szCs w:val="24"/>
          <w:lang w:val="pt-BR"/>
        </w:rPr>
        <w:t xml:space="preserve"> a segurança que um título publicamente ofertado e/ou negociado nos mercados organizados deve ter</w:t>
      </w:r>
      <w:r w:rsidR="00396B6D">
        <w:rPr>
          <w:rFonts w:ascii="Times New Roman" w:hAnsi="Times New Roman" w:cs="Times New Roman"/>
          <w:sz w:val="24"/>
          <w:szCs w:val="24"/>
          <w:lang w:val="pt-BR"/>
        </w:rPr>
        <w:t>” (sic)</w:t>
      </w:r>
      <w:r w:rsidR="00122261" w:rsidRPr="00122261">
        <w:rPr>
          <w:rFonts w:ascii="Times New Roman" w:hAnsi="Times New Roman" w:cs="Times New Roman"/>
          <w:sz w:val="24"/>
          <w:szCs w:val="24"/>
          <w:lang w:val="pt-BR"/>
        </w:rPr>
        <w:t xml:space="preserve">. </w:t>
      </w:r>
    </w:p>
    <w:p w:rsidR="00122261" w:rsidRDefault="00122261" w:rsidP="00122261">
      <w:pPr>
        <w:pStyle w:val="CorpoA"/>
        <w:spacing w:after="0" w:line="312" w:lineRule="auto"/>
        <w:ind w:firstLine="709"/>
        <w:jc w:val="both"/>
        <w:rPr>
          <w:rFonts w:ascii="Times New Roman" w:hAnsi="Times New Roman" w:cs="Times New Roman"/>
          <w:sz w:val="24"/>
          <w:szCs w:val="24"/>
          <w:lang w:val="pt-BR"/>
        </w:rPr>
      </w:pPr>
    </w:p>
    <w:p w:rsidR="00122261" w:rsidRPr="00122261" w:rsidRDefault="002C38C1" w:rsidP="00122261">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w:t>
      </w:r>
      <w:r w:rsidR="00122261" w:rsidRPr="00122261">
        <w:rPr>
          <w:rFonts w:ascii="Times New Roman" w:hAnsi="Times New Roman" w:cs="Times New Roman"/>
          <w:sz w:val="24"/>
          <w:szCs w:val="24"/>
          <w:lang w:val="pt-BR"/>
        </w:rPr>
        <w:t xml:space="preserve">Salusse Marangoni sugere </w:t>
      </w:r>
      <w:r w:rsidR="00396B6D">
        <w:rPr>
          <w:rFonts w:ascii="Times New Roman" w:hAnsi="Times New Roman" w:cs="Times New Roman"/>
          <w:sz w:val="24"/>
          <w:szCs w:val="24"/>
          <w:lang w:val="pt-BR"/>
        </w:rPr>
        <w:t>incluir,</w:t>
      </w:r>
      <w:r w:rsidR="00122261" w:rsidRPr="00122261">
        <w:rPr>
          <w:rFonts w:ascii="Times New Roman" w:hAnsi="Times New Roman" w:cs="Times New Roman"/>
          <w:sz w:val="24"/>
          <w:szCs w:val="24"/>
          <w:lang w:val="pt-BR"/>
        </w:rPr>
        <w:t xml:space="preserve"> dentre os itens constantes da deliberação</w:t>
      </w:r>
      <w:r w:rsidR="00396B6D">
        <w:rPr>
          <w:rFonts w:ascii="Times New Roman" w:hAnsi="Times New Roman" w:cs="Times New Roman"/>
          <w:sz w:val="24"/>
          <w:szCs w:val="24"/>
          <w:lang w:val="pt-BR"/>
        </w:rPr>
        <w:t>,</w:t>
      </w:r>
      <w:r w:rsidR="00122261" w:rsidRPr="00122261">
        <w:rPr>
          <w:rFonts w:ascii="Times New Roman" w:hAnsi="Times New Roman" w:cs="Times New Roman"/>
          <w:sz w:val="24"/>
          <w:szCs w:val="24"/>
          <w:lang w:val="pt-BR"/>
        </w:rPr>
        <w:t xml:space="preserve"> a forma de oferta pública a ser adotada e a possibilidade e condições para resgate antecipado.</w:t>
      </w:r>
    </w:p>
    <w:p w:rsidR="00122261" w:rsidRPr="00122261" w:rsidRDefault="00122261" w:rsidP="00122261">
      <w:pPr>
        <w:pStyle w:val="CorpoA"/>
        <w:spacing w:after="0" w:line="312" w:lineRule="auto"/>
        <w:ind w:firstLine="709"/>
        <w:jc w:val="both"/>
        <w:rPr>
          <w:rFonts w:ascii="Times New Roman" w:eastAsia="Times New Roman" w:hAnsi="Times New Roman" w:cs="Times New Roman"/>
          <w:sz w:val="24"/>
          <w:szCs w:val="24"/>
          <w:lang w:val="pt-BR"/>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533EEE">
        <w:trPr>
          <w:trHeight w:val="330"/>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396B6D" w:rsidRDefault="00122261" w:rsidP="00390C49">
            <w:pPr>
              <w:spacing w:line="312" w:lineRule="auto"/>
              <w:ind w:firstLine="567"/>
              <w:jc w:val="both"/>
              <w:rPr>
                <w:lang w:val="pt-BR"/>
              </w:rPr>
            </w:pPr>
            <w:r w:rsidRPr="00122261">
              <w:rPr>
                <w:lang w:val="pt-BR"/>
              </w:rPr>
              <w:t>A CVM entende que a</w:t>
            </w:r>
            <w:r w:rsidR="00B86CF1" w:rsidRPr="00122261">
              <w:rPr>
                <w:lang w:val="pt-BR"/>
              </w:rPr>
              <w:t xml:space="preserve"> escolha do agente</w:t>
            </w:r>
            <w:r>
              <w:rPr>
                <w:lang w:val="pt-BR"/>
              </w:rPr>
              <w:t xml:space="preserve"> de notas,</w:t>
            </w:r>
            <w:r w:rsidRPr="00122261">
              <w:rPr>
                <w:lang w:val="pt-BR"/>
              </w:rPr>
              <w:t xml:space="preserve"> a definição </w:t>
            </w:r>
            <w:r>
              <w:rPr>
                <w:lang w:val="pt-BR"/>
              </w:rPr>
              <w:t>de outros eventos e datas de pagamento</w:t>
            </w:r>
            <w:r w:rsidRPr="00122261">
              <w:rPr>
                <w:lang w:val="pt-BR"/>
              </w:rPr>
              <w:t xml:space="preserve"> </w:t>
            </w:r>
            <w:r>
              <w:rPr>
                <w:lang w:val="pt-BR"/>
              </w:rPr>
              <w:t xml:space="preserve">que não a data do vencimento e, finalmente, a forma de oferta pública adotada </w:t>
            </w:r>
            <w:r w:rsidR="00B86CF1" w:rsidRPr="00122261">
              <w:rPr>
                <w:lang w:val="pt-BR"/>
              </w:rPr>
              <w:t>pode</w:t>
            </w:r>
            <w:r w:rsidRPr="00122261">
              <w:rPr>
                <w:lang w:val="pt-BR"/>
              </w:rPr>
              <w:t>m</w:t>
            </w:r>
            <w:r w:rsidR="00B86CF1" w:rsidRPr="00122261">
              <w:rPr>
                <w:lang w:val="pt-BR"/>
              </w:rPr>
              <w:t xml:space="preserve"> </w:t>
            </w:r>
            <w:r>
              <w:rPr>
                <w:lang w:val="pt-BR"/>
              </w:rPr>
              <w:t>ficar a critério da administração e</w:t>
            </w:r>
            <w:r w:rsidR="00B86CF1" w:rsidRPr="00122261">
              <w:rPr>
                <w:lang w:val="pt-BR"/>
              </w:rPr>
              <w:t xml:space="preserve"> não </w:t>
            </w:r>
            <w:r w:rsidRPr="00122261">
              <w:rPr>
                <w:lang w:val="pt-BR"/>
              </w:rPr>
              <w:t>precisariam,</w:t>
            </w:r>
            <w:r w:rsidR="00B86CF1" w:rsidRPr="00122261">
              <w:rPr>
                <w:lang w:val="pt-BR"/>
              </w:rPr>
              <w:t xml:space="preserve"> </w:t>
            </w:r>
            <w:r w:rsidRPr="00122261">
              <w:rPr>
                <w:lang w:val="pt-BR"/>
              </w:rPr>
              <w:t>dessa</w:t>
            </w:r>
            <w:r w:rsidR="00B86CF1" w:rsidRPr="00122261">
              <w:rPr>
                <w:lang w:val="pt-BR"/>
              </w:rPr>
              <w:t xml:space="preserve"> forma, ser objeto da deliberação</w:t>
            </w:r>
            <w:r w:rsidR="00962CEB" w:rsidRPr="00122261">
              <w:rPr>
                <w:lang w:val="pt-BR"/>
              </w:rPr>
              <w:t>.</w:t>
            </w:r>
            <w:r w:rsidRPr="00122261">
              <w:rPr>
                <w:lang w:val="pt-BR"/>
              </w:rPr>
              <w:t xml:space="preserve"> Assim, a administração </w:t>
            </w:r>
            <w:r>
              <w:rPr>
                <w:lang w:val="pt-BR"/>
              </w:rPr>
              <w:t>poderá</w:t>
            </w:r>
            <w:r w:rsidRPr="00122261">
              <w:rPr>
                <w:lang w:val="pt-BR"/>
              </w:rPr>
              <w:t xml:space="preserve"> definir o que melhor convier ao emissor, sem burocratizar o processo</w:t>
            </w:r>
            <w:r>
              <w:rPr>
                <w:lang w:val="pt-BR"/>
              </w:rPr>
              <w:t xml:space="preserve"> de emissão. </w:t>
            </w:r>
          </w:p>
          <w:p w:rsidR="00396B6D" w:rsidRDefault="00396B6D" w:rsidP="00390C49">
            <w:pPr>
              <w:spacing w:line="312" w:lineRule="auto"/>
              <w:ind w:firstLine="567"/>
              <w:jc w:val="both"/>
              <w:rPr>
                <w:lang w:val="pt-BR"/>
              </w:rPr>
            </w:pPr>
          </w:p>
          <w:p w:rsidR="00D9084C" w:rsidRDefault="00390C49" w:rsidP="00390C49">
            <w:pPr>
              <w:spacing w:line="312" w:lineRule="auto"/>
              <w:ind w:firstLine="567"/>
              <w:jc w:val="both"/>
              <w:rPr>
                <w:lang w:val="pt-BR"/>
              </w:rPr>
            </w:pPr>
            <w:r>
              <w:rPr>
                <w:lang w:val="pt-BR"/>
              </w:rPr>
              <w:t>N</w:t>
            </w:r>
            <w:r w:rsidR="00122261">
              <w:rPr>
                <w:lang w:val="pt-BR"/>
              </w:rPr>
              <w:t>ada impede, contudo, que por disposição estatutária, contratual ou mesmo por vontade das partes, tais assuntos sejam levados ao conhecimento e decisão do órgão competente</w:t>
            </w:r>
            <w:r w:rsidR="00831A0F">
              <w:rPr>
                <w:lang w:val="pt-BR"/>
              </w:rPr>
              <w:t xml:space="preserve"> para deliberar a emissão</w:t>
            </w:r>
            <w:r w:rsidR="00122261">
              <w:rPr>
                <w:lang w:val="pt-BR"/>
              </w:rPr>
              <w:t>.</w:t>
            </w:r>
          </w:p>
          <w:p w:rsidR="00390C49" w:rsidRDefault="00390C49" w:rsidP="00390C49">
            <w:pPr>
              <w:spacing w:line="312" w:lineRule="auto"/>
              <w:ind w:firstLine="567"/>
              <w:jc w:val="both"/>
              <w:rPr>
                <w:lang w:val="pt-BR"/>
              </w:rPr>
            </w:pPr>
          </w:p>
          <w:p w:rsidR="00390C49" w:rsidRPr="00122261" w:rsidRDefault="00390C49" w:rsidP="00390C49">
            <w:pPr>
              <w:spacing w:line="312" w:lineRule="auto"/>
              <w:ind w:firstLine="567"/>
              <w:jc w:val="both"/>
              <w:rPr>
                <w:lang w:val="pt-BR"/>
              </w:rPr>
            </w:pPr>
            <w:r>
              <w:rPr>
                <w:lang w:val="pt-BR"/>
              </w:rPr>
              <w:t>Além disso, tais informações sempre constarão da cártula.</w:t>
            </w:r>
          </w:p>
        </w:tc>
      </w:tr>
    </w:tbl>
    <w:p w:rsidR="00F540C3" w:rsidRPr="002A7F74" w:rsidRDefault="00F540C3" w:rsidP="00CD1BE7">
      <w:pPr>
        <w:pStyle w:val="CorpoA"/>
        <w:spacing w:after="0" w:line="312" w:lineRule="auto"/>
        <w:jc w:val="both"/>
        <w:rPr>
          <w:rFonts w:ascii="Times New Roman" w:eastAsia="Arial Unicode MS" w:hAnsi="Times New Roman" w:cs="Times New Roman"/>
          <w:b/>
          <w:color w:val="auto"/>
          <w:sz w:val="24"/>
          <w:szCs w:val="24"/>
          <w:lang w:val="pt-BR" w:eastAsia="en-US"/>
        </w:rPr>
      </w:pPr>
    </w:p>
    <w:p w:rsidR="00D80C75" w:rsidRPr="002A7F74" w:rsidRDefault="008B36DD" w:rsidP="00A93F2F">
      <w:pPr>
        <w:pStyle w:val="CorpoA"/>
        <w:spacing w:after="0" w:line="312" w:lineRule="auto"/>
        <w:ind w:left="709" w:hanging="709"/>
        <w:jc w:val="both"/>
        <w:rPr>
          <w:rFonts w:ascii="Times New Roman" w:eastAsia="Times New Roman" w:hAnsi="Times New Roman" w:cs="Times New Roman"/>
          <w:b/>
          <w:sz w:val="24"/>
          <w:szCs w:val="24"/>
          <w:lang w:val="pt-BR"/>
        </w:rPr>
      </w:pPr>
      <w:r>
        <w:rPr>
          <w:rFonts w:ascii="Times New Roman" w:eastAsia="Arial Unicode MS" w:hAnsi="Times New Roman" w:cs="Times New Roman"/>
          <w:b/>
          <w:color w:val="auto"/>
          <w:sz w:val="24"/>
          <w:szCs w:val="24"/>
          <w:lang w:val="pt-BR" w:eastAsia="en-US"/>
        </w:rPr>
        <w:t>3.11</w:t>
      </w:r>
      <w:r w:rsidR="00D80C75" w:rsidRPr="002A7F74">
        <w:rPr>
          <w:rFonts w:ascii="Times New Roman" w:eastAsia="Arial Unicode MS" w:hAnsi="Times New Roman" w:cs="Times New Roman"/>
          <w:b/>
          <w:color w:val="auto"/>
          <w:sz w:val="24"/>
          <w:szCs w:val="24"/>
          <w:lang w:val="pt-BR" w:eastAsia="en-US"/>
        </w:rPr>
        <w:t>.</w:t>
      </w:r>
      <w:r w:rsidR="00D80C75" w:rsidRPr="002A7F74">
        <w:rPr>
          <w:rFonts w:ascii="Times New Roman" w:eastAsia="Arial Unicode MS" w:hAnsi="Times New Roman" w:cs="Times New Roman"/>
          <w:b/>
          <w:color w:val="auto"/>
          <w:sz w:val="24"/>
          <w:szCs w:val="24"/>
          <w:lang w:val="pt-BR" w:eastAsia="en-US"/>
        </w:rPr>
        <w:tab/>
        <w:t>Regra geral</w:t>
      </w:r>
      <w:r w:rsidR="000F6754" w:rsidRPr="002A7F74">
        <w:rPr>
          <w:rFonts w:ascii="Times New Roman" w:eastAsia="Arial Unicode MS" w:hAnsi="Times New Roman" w:cs="Times New Roman"/>
          <w:b/>
          <w:color w:val="auto"/>
          <w:sz w:val="24"/>
          <w:szCs w:val="24"/>
          <w:lang w:val="pt-BR" w:eastAsia="en-US"/>
        </w:rPr>
        <w:t xml:space="preserve"> de oferta pública (art. 8º)</w:t>
      </w:r>
    </w:p>
    <w:p w:rsidR="00D80C75" w:rsidRPr="002A7F74" w:rsidRDefault="00D80C75" w:rsidP="00D80C75">
      <w:pPr>
        <w:spacing w:line="312" w:lineRule="auto"/>
        <w:ind w:firstLine="720"/>
        <w:jc w:val="both"/>
        <w:rPr>
          <w:lang w:val="pt-BR"/>
        </w:rPr>
      </w:pPr>
    </w:p>
    <w:p w:rsidR="000F6754" w:rsidRPr="002A7F74" w:rsidRDefault="00C21161" w:rsidP="000F6754">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r w:rsidR="000F6754" w:rsidRPr="002A7F74">
        <w:rPr>
          <w:rFonts w:ascii="Times New Roman" w:hAnsi="Times New Roman" w:cs="Times New Roman"/>
          <w:sz w:val="24"/>
          <w:szCs w:val="24"/>
          <w:lang w:val="pt-BR"/>
        </w:rPr>
        <w:t xml:space="preserve">ABRASCA pede que se confirme no relatório de audiência pública que as sociedades limitadas poderão realizar oferta pública de distribuição de </w:t>
      </w:r>
      <w:r w:rsidR="00802124" w:rsidRPr="002A7F74">
        <w:rPr>
          <w:rFonts w:ascii="Times New Roman" w:hAnsi="Times New Roman" w:cs="Times New Roman"/>
          <w:sz w:val="24"/>
          <w:szCs w:val="24"/>
          <w:lang w:val="pt-BR"/>
        </w:rPr>
        <w:t>notas</w:t>
      </w:r>
      <w:r w:rsidR="000F6754" w:rsidRPr="002A7F74">
        <w:rPr>
          <w:rFonts w:ascii="Times New Roman" w:hAnsi="Times New Roman" w:cs="Times New Roman"/>
          <w:sz w:val="24"/>
          <w:szCs w:val="24"/>
          <w:lang w:val="pt-BR"/>
        </w:rPr>
        <w:t xml:space="preserve"> promissórias com esforços restritos, nos termos da Instrução CVM nº 476, de 16 de janeiro de 2009.</w:t>
      </w:r>
    </w:p>
    <w:p w:rsidR="000F6754" w:rsidRPr="002A7F74" w:rsidRDefault="000F6754" w:rsidP="000F6754">
      <w:pPr>
        <w:pStyle w:val="CorpoA"/>
        <w:spacing w:after="0" w:line="312" w:lineRule="auto"/>
        <w:ind w:firstLine="709"/>
        <w:jc w:val="both"/>
        <w:rPr>
          <w:rFonts w:ascii="Times New Roman" w:eastAsia="Times New Roman" w:hAnsi="Times New Roman" w:cs="Times New Roman"/>
          <w:sz w:val="24"/>
          <w:szCs w:val="24"/>
          <w:lang w:val="pt-BR"/>
        </w:rPr>
      </w:pPr>
    </w:p>
    <w:p w:rsidR="000F6754" w:rsidRPr="002A7F74" w:rsidRDefault="00C21161" w:rsidP="000F6754">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w:t>
      </w:r>
      <w:r w:rsidR="000F6754" w:rsidRPr="002A7F74">
        <w:rPr>
          <w:rFonts w:ascii="Times New Roman" w:hAnsi="Times New Roman" w:cs="Times New Roman"/>
          <w:sz w:val="24"/>
          <w:szCs w:val="24"/>
          <w:lang w:val="pt-BR"/>
        </w:rPr>
        <w:t>Salusse Marangoni sugere restringir a oferta pública de distribuição de notas promissórias às sociedades limitadas definidas como “de grande porte” nos termos da Lei nº 11.638, 28 de dezembro de 2007. Em um segundo momento, após experiência prévia, seria avaliada a conveniência da expansão desta faculdade para as demais sociedades limitadas.</w:t>
      </w:r>
    </w:p>
    <w:p w:rsidR="000F6754" w:rsidRDefault="000F6754" w:rsidP="000F6754">
      <w:pPr>
        <w:pStyle w:val="CorpoA"/>
        <w:widowControl w:val="0"/>
        <w:spacing w:after="0" w:line="312" w:lineRule="auto"/>
        <w:ind w:firstLine="709"/>
        <w:jc w:val="both"/>
        <w:rPr>
          <w:rFonts w:ascii="Times New Roman" w:eastAsia="Times New Roman" w:hAnsi="Times New Roman" w:cs="Times New Roman"/>
          <w:iCs/>
          <w:sz w:val="24"/>
          <w:szCs w:val="24"/>
          <w:lang w:val="pt-BR"/>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802124" w:rsidRPr="00533EEE" w:rsidTr="002D4FF4">
        <w:trPr>
          <w:trHeight w:val="330"/>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802124" w:rsidRPr="002A7F74" w:rsidRDefault="00802124" w:rsidP="00802124">
            <w:pPr>
              <w:spacing w:line="312" w:lineRule="auto"/>
              <w:ind w:firstLine="567"/>
              <w:jc w:val="both"/>
              <w:rPr>
                <w:lang w:val="pt-BR"/>
              </w:rPr>
            </w:pPr>
            <w:r w:rsidRPr="002A7F74">
              <w:rPr>
                <w:lang w:val="pt-BR"/>
              </w:rPr>
              <w:t xml:space="preserve">A Instrução CVM n° 480, 7 de dezembro de 2009, admite, no </w:t>
            </w:r>
            <w:r w:rsidRPr="006E77F5">
              <w:rPr>
                <w:b/>
                <w:lang w:val="pt-BR"/>
              </w:rPr>
              <w:t>caput</w:t>
            </w:r>
            <w:r w:rsidRPr="002A7F74">
              <w:rPr>
                <w:lang w:val="pt-BR"/>
              </w:rPr>
              <w:t xml:space="preserve"> de seu art. 33, que os emissores que emitam exclusivamente notas comerciais (i.e., notas promissórias) para distribuição pública se organizem sob a forma de sociedade anônima ou sociedade limitada. Já a Instrução CVM n° 476, de 2009, no seu art. 1º, §1º, inciso I, lista as notas comerciais como um dos valores mobiliários que podem ser ofertados publicamente com esforços restritos, automaticamente dispensados do registro de </w:t>
            </w:r>
            <w:r w:rsidRPr="002A7F74">
              <w:rPr>
                <w:lang w:val="pt-BR"/>
              </w:rPr>
              <w:lastRenderedPageBreak/>
              <w:t xml:space="preserve">oferta (art. 6º) e do registro de emissor (art. 14). </w:t>
            </w:r>
          </w:p>
          <w:p w:rsidR="00802124" w:rsidRPr="002A7F74" w:rsidRDefault="00802124" w:rsidP="00802124">
            <w:pPr>
              <w:spacing w:line="312" w:lineRule="auto"/>
              <w:ind w:firstLine="567"/>
              <w:jc w:val="both"/>
              <w:rPr>
                <w:lang w:val="pt-BR"/>
              </w:rPr>
            </w:pPr>
          </w:p>
          <w:p w:rsidR="00802124" w:rsidRPr="002A7F74" w:rsidRDefault="00802124" w:rsidP="00802124">
            <w:pPr>
              <w:spacing w:line="312" w:lineRule="auto"/>
              <w:ind w:firstLine="567"/>
              <w:jc w:val="both"/>
              <w:rPr>
                <w:lang w:val="pt-BR"/>
              </w:rPr>
            </w:pPr>
            <w:r w:rsidRPr="002A7F74">
              <w:rPr>
                <w:lang w:val="pt-BR"/>
              </w:rPr>
              <w:t xml:space="preserve">Dessa forma, o edital de Audiência Pública SDM nº 01/2015 não inova quanto à possibilidade de realização de oferta pública de distribuição pública de notas promissórias por sociedades limitadas utilizando a Instrução CVM n° 476, de 2009. </w:t>
            </w:r>
          </w:p>
          <w:p w:rsidR="00802124" w:rsidRPr="002A7F74" w:rsidRDefault="00802124" w:rsidP="00802124">
            <w:pPr>
              <w:spacing w:line="312" w:lineRule="auto"/>
              <w:ind w:firstLine="567"/>
              <w:jc w:val="both"/>
              <w:rPr>
                <w:lang w:val="pt-BR"/>
              </w:rPr>
            </w:pPr>
          </w:p>
          <w:p w:rsidR="00802124" w:rsidRPr="00122261" w:rsidRDefault="00802124" w:rsidP="00802124">
            <w:pPr>
              <w:spacing w:line="312" w:lineRule="auto"/>
              <w:ind w:firstLine="567"/>
              <w:jc w:val="both"/>
              <w:rPr>
                <w:lang w:val="pt-BR"/>
              </w:rPr>
            </w:pPr>
            <w:r w:rsidRPr="002A7F74">
              <w:rPr>
                <w:lang w:val="pt-BR"/>
              </w:rPr>
              <w:t xml:space="preserve">Por esse motivo, </w:t>
            </w:r>
            <w:r>
              <w:rPr>
                <w:lang w:val="pt-BR"/>
              </w:rPr>
              <w:t>a</w:t>
            </w:r>
            <w:r w:rsidRPr="002A7F74">
              <w:rPr>
                <w:lang w:val="pt-BR"/>
              </w:rPr>
              <w:t xml:space="preserve"> CVM não vê justificativa para limitar as ofertas às sociedades limitadas “de grande porte”, restringindo o que a regulamentação atual já permite.</w:t>
            </w:r>
          </w:p>
        </w:tc>
      </w:tr>
    </w:tbl>
    <w:p w:rsidR="00EF7D56" w:rsidRPr="002A7F74" w:rsidRDefault="00EF7D56" w:rsidP="00A93F2F">
      <w:pPr>
        <w:spacing w:line="312" w:lineRule="auto"/>
        <w:jc w:val="both"/>
        <w:rPr>
          <w:lang w:val="pt-BR"/>
        </w:rPr>
      </w:pPr>
    </w:p>
    <w:p w:rsidR="00D80C75" w:rsidRPr="002A7F74" w:rsidRDefault="00C21161" w:rsidP="00802124">
      <w:pPr>
        <w:spacing w:line="312" w:lineRule="auto"/>
        <w:ind w:firstLine="720"/>
        <w:jc w:val="both"/>
        <w:rPr>
          <w:lang w:val="pt-BR"/>
        </w:rPr>
      </w:pPr>
      <w:r>
        <w:rPr>
          <w:lang w:val="pt-BR"/>
        </w:rPr>
        <w:t xml:space="preserve">A </w:t>
      </w:r>
      <w:r w:rsidR="00D80C75" w:rsidRPr="002A7F74">
        <w:rPr>
          <w:lang w:val="pt-BR"/>
        </w:rPr>
        <w:t>ABRASCA propõe que se confirme no relatório que as emissões dispensadas de registro de valores mobiliários de lote único e indivisível, conforme previstas no referido artigo 5º, inciso II da Instrução CVM nº 400, de 2003, também poderão ser realizadas a despeito das opções de colocação indicadas no Edital.</w:t>
      </w:r>
    </w:p>
    <w:tbl>
      <w:tblPr>
        <w:tblStyle w:val="TableNormal"/>
        <w:tblpPr w:leftFromText="141" w:rightFromText="141" w:vertAnchor="text" w:horzAnchor="margin" w:tblpY="249"/>
        <w:tblW w:w="103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83"/>
      </w:tblGrid>
      <w:tr w:rsidR="00D80C75" w:rsidRPr="00533EEE" w:rsidTr="00CE1357">
        <w:trPr>
          <w:trHeight w:val="383"/>
        </w:trPr>
        <w:tc>
          <w:tcPr>
            <w:tcW w:w="10383"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80C75" w:rsidRPr="002A7F74" w:rsidRDefault="00D80C75" w:rsidP="00EF7D56">
            <w:pPr>
              <w:spacing w:line="312" w:lineRule="auto"/>
              <w:ind w:firstLine="567"/>
              <w:jc w:val="both"/>
              <w:rPr>
                <w:highlight w:val="yellow"/>
                <w:lang w:val="pt-BR"/>
              </w:rPr>
            </w:pPr>
            <w:r w:rsidRPr="002A7F74">
              <w:rPr>
                <w:lang w:val="pt-BR"/>
              </w:rPr>
              <w:t xml:space="preserve">A CVM esclarece </w:t>
            </w:r>
            <w:r w:rsidR="00831A0F">
              <w:rPr>
                <w:lang w:val="pt-BR"/>
              </w:rPr>
              <w:t>que o art. 8º da M</w:t>
            </w:r>
            <w:r w:rsidRPr="002A7F74">
              <w:rPr>
                <w:lang w:val="pt-BR"/>
              </w:rPr>
              <w:t>inuta remete as ofertas de nota promissária</w:t>
            </w:r>
            <w:r w:rsidRPr="002A7F74">
              <w:rPr>
                <w:rFonts w:eastAsia="Times New Roman"/>
                <w:lang w:val="pt-BR"/>
              </w:rPr>
              <w:t xml:space="preserve"> à r</w:t>
            </w:r>
            <w:r w:rsidRPr="002A7F74">
              <w:rPr>
                <w:rFonts w:eastAsia="Times New Roman"/>
                <w:spacing w:val="-2"/>
                <w:lang w:val="pt-BR"/>
              </w:rPr>
              <w:t>eg</w:t>
            </w:r>
            <w:r w:rsidRPr="002A7F74">
              <w:rPr>
                <w:rFonts w:eastAsia="Times New Roman"/>
                <w:lang w:val="pt-BR"/>
              </w:rPr>
              <w:t>u</w:t>
            </w:r>
            <w:r w:rsidRPr="002A7F74">
              <w:rPr>
                <w:rFonts w:eastAsia="Times New Roman"/>
                <w:spacing w:val="3"/>
                <w:lang w:val="pt-BR"/>
              </w:rPr>
              <w:t>l</w:t>
            </w:r>
            <w:r w:rsidRPr="002A7F74">
              <w:rPr>
                <w:rFonts w:eastAsia="Times New Roman"/>
                <w:spacing w:val="-1"/>
                <w:lang w:val="pt-BR"/>
              </w:rPr>
              <w:t>a</w:t>
            </w:r>
            <w:r w:rsidRPr="002A7F74">
              <w:rPr>
                <w:rFonts w:eastAsia="Times New Roman"/>
                <w:lang w:val="pt-BR"/>
              </w:rPr>
              <w:t>ment</w:t>
            </w:r>
            <w:r w:rsidRPr="002A7F74">
              <w:rPr>
                <w:rFonts w:eastAsia="Times New Roman"/>
                <w:spacing w:val="-1"/>
                <w:lang w:val="pt-BR"/>
              </w:rPr>
              <w:t>a</w:t>
            </w:r>
            <w:r w:rsidRPr="002A7F74">
              <w:rPr>
                <w:rFonts w:eastAsia="Times New Roman"/>
                <w:spacing w:val="1"/>
                <w:lang w:val="pt-BR"/>
              </w:rPr>
              <w:t>ç</w:t>
            </w:r>
            <w:r w:rsidRPr="002A7F74">
              <w:rPr>
                <w:rFonts w:eastAsia="Times New Roman"/>
                <w:spacing w:val="-1"/>
                <w:lang w:val="pt-BR"/>
              </w:rPr>
              <w:t>ã</w:t>
            </w:r>
            <w:r w:rsidRPr="002A7F74">
              <w:rPr>
                <w:rFonts w:eastAsia="Times New Roman"/>
                <w:lang w:val="pt-BR"/>
              </w:rPr>
              <w:t xml:space="preserve">o </w:t>
            </w:r>
            <w:r w:rsidRPr="002A7F74">
              <w:rPr>
                <w:rFonts w:eastAsia="Times New Roman"/>
                <w:spacing w:val="-1"/>
                <w:lang w:val="pt-BR"/>
              </w:rPr>
              <w:t>e</w:t>
            </w:r>
            <w:r w:rsidRPr="002A7F74">
              <w:rPr>
                <w:rFonts w:eastAsia="Times New Roman"/>
                <w:lang w:val="pt-BR"/>
              </w:rPr>
              <w:t>spe</w:t>
            </w:r>
            <w:r w:rsidRPr="002A7F74">
              <w:rPr>
                <w:rFonts w:eastAsia="Times New Roman"/>
                <w:spacing w:val="-2"/>
                <w:lang w:val="pt-BR"/>
              </w:rPr>
              <w:t>c</w:t>
            </w:r>
            <w:r w:rsidRPr="002A7F74">
              <w:rPr>
                <w:rFonts w:eastAsia="Times New Roman"/>
                <w:lang w:val="pt-BR"/>
              </w:rPr>
              <w:t>íf</w:t>
            </w:r>
            <w:r w:rsidRPr="002A7F74">
              <w:rPr>
                <w:rFonts w:eastAsia="Times New Roman"/>
                <w:spacing w:val="2"/>
                <w:lang w:val="pt-BR"/>
              </w:rPr>
              <w:t>i</w:t>
            </w:r>
            <w:r w:rsidRPr="002A7F74">
              <w:rPr>
                <w:rFonts w:eastAsia="Times New Roman"/>
                <w:spacing w:val="-1"/>
                <w:lang w:val="pt-BR"/>
              </w:rPr>
              <w:t>c</w:t>
            </w:r>
            <w:r w:rsidRPr="002A7F74">
              <w:rPr>
                <w:rFonts w:eastAsia="Times New Roman"/>
                <w:lang w:val="pt-BR"/>
              </w:rPr>
              <w:t>a s</w:t>
            </w:r>
            <w:r w:rsidRPr="002A7F74">
              <w:rPr>
                <w:rFonts w:eastAsia="Times New Roman"/>
                <w:spacing w:val="2"/>
                <w:lang w:val="pt-BR"/>
              </w:rPr>
              <w:t>o</w:t>
            </w:r>
            <w:r w:rsidRPr="002A7F74">
              <w:rPr>
                <w:rFonts w:eastAsia="Times New Roman"/>
                <w:lang w:val="pt-BR"/>
              </w:rPr>
              <w:t>b</w:t>
            </w:r>
            <w:r w:rsidRPr="002A7F74">
              <w:rPr>
                <w:rFonts w:eastAsia="Times New Roman"/>
                <w:spacing w:val="-1"/>
                <w:lang w:val="pt-BR"/>
              </w:rPr>
              <w:t>r</w:t>
            </w:r>
            <w:r w:rsidRPr="002A7F74">
              <w:rPr>
                <w:rFonts w:eastAsia="Times New Roman"/>
                <w:lang w:val="pt-BR"/>
              </w:rPr>
              <w:t>e o</w:t>
            </w:r>
            <w:r w:rsidRPr="002A7F74">
              <w:rPr>
                <w:rFonts w:eastAsia="Times New Roman"/>
                <w:spacing w:val="-1"/>
                <w:lang w:val="pt-BR"/>
              </w:rPr>
              <w:t>fe</w:t>
            </w:r>
            <w:r w:rsidRPr="002A7F74">
              <w:rPr>
                <w:rFonts w:eastAsia="Times New Roman"/>
                <w:lang w:val="pt-BR"/>
              </w:rPr>
              <w:t>rt</w:t>
            </w:r>
            <w:r w:rsidRPr="002A7F74">
              <w:rPr>
                <w:rFonts w:eastAsia="Times New Roman"/>
                <w:spacing w:val="-1"/>
                <w:lang w:val="pt-BR"/>
              </w:rPr>
              <w:t>a</w:t>
            </w:r>
            <w:r w:rsidRPr="002A7F74">
              <w:rPr>
                <w:rFonts w:eastAsia="Times New Roman"/>
                <w:lang w:val="pt-BR"/>
              </w:rPr>
              <w:t>s públic</w:t>
            </w:r>
            <w:r w:rsidRPr="002A7F74">
              <w:rPr>
                <w:rFonts w:eastAsia="Times New Roman"/>
                <w:spacing w:val="-1"/>
                <w:lang w:val="pt-BR"/>
              </w:rPr>
              <w:t>a</w:t>
            </w:r>
            <w:r w:rsidRPr="002A7F74">
              <w:rPr>
                <w:rFonts w:eastAsia="Times New Roman"/>
                <w:lang w:val="pt-BR"/>
              </w:rPr>
              <w:t xml:space="preserve">s </w:t>
            </w:r>
            <w:r w:rsidRPr="002A7F74">
              <w:rPr>
                <w:rFonts w:eastAsia="Times New Roman"/>
                <w:spacing w:val="2"/>
                <w:lang w:val="pt-BR"/>
              </w:rPr>
              <w:t>d</w:t>
            </w:r>
            <w:r w:rsidRPr="002A7F74">
              <w:rPr>
                <w:rFonts w:eastAsia="Times New Roman"/>
                <w:lang w:val="pt-BR"/>
              </w:rPr>
              <w:t>e</w:t>
            </w:r>
            <w:r w:rsidRPr="002A7F74">
              <w:rPr>
                <w:rFonts w:eastAsia="Times New Roman"/>
                <w:spacing w:val="-1"/>
                <w:lang w:val="pt-BR"/>
              </w:rPr>
              <w:t xml:space="preserve"> </w:t>
            </w:r>
            <w:r w:rsidRPr="002A7F74">
              <w:rPr>
                <w:rFonts w:eastAsia="Times New Roman"/>
                <w:lang w:val="pt-BR"/>
              </w:rPr>
              <w:t>v</w:t>
            </w:r>
            <w:r w:rsidRPr="002A7F74">
              <w:rPr>
                <w:rFonts w:eastAsia="Times New Roman"/>
                <w:spacing w:val="-1"/>
                <w:lang w:val="pt-BR"/>
              </w:rPr>
              <w:t>a</w:t>
            </w:r>
            <w:r w:rsidRPr="002A7F74">
              <w:rPr>
                <w:rFonts w:eastAsia="Times New Roman"/>
                <w:lang w:val="pt-BR"/>
              </w:rPr>
              <w:t>lo</w:t>
            </w:r>
            <w:r w:rsidRPr="002A7F74">
              <w:rPr>
                <w:rFonts w:eastAsia="Times New Roman"/>
                <w:spacing w:val="2"/>
                <w:lang w:val="pt-BR"/>
              </w:rPr>
              <w:t>r</w:t>
            </w:r>
            <w:r w:rsidRPr="002A7F74">
              <w:rPr>
                <w:rFonts w:eastAsia="Times New Roman"/>
                <w:spacing w:val="-1"/>
                <w:lang w:val="pt-BR"/>
              </w:rPr>
              <w:t>e</w:t>
            </w:r>
            <w:r w:rsidRPr="002A7F74">
              <w:rPr>
                <w:rFonts w:eastAsia="Times New Roman"/>
                <w:lang w:val="pt-BR"/>
              </w:rPr>
              <w:t>s mobi</w:t>
            </w:r>
            <w:r w:rsidRPr="002A7F74">
              <w:rPr>
                <w:rFonts w:eastAsia="Times New Roman"/>
                <w:spacing w:val="1"/>
                <w:lang w:val="pt-BR"/>
              </w:rPr>
              <w:t>l</w:t>
            </w:r>
            <w:r w:rsidRPr="002A7F74">
              <w:rPr>
                <w:rFonts w:eastAsia="Times New Roman"/>
                <w:lang w:val="pt-BR"/>
              </w:rPr>
              <w:t>iá</w:t>
            </w:r>
            <w:r w:rsidRPr="002A7F74">
              <w:rPr>
                <w:rFonts w:eastAsia="Times New Roman"/>
                <w:spacing w:val="-1"/>
                <w:lang w:val="pt-BR"/>
              </w:rPr>
              <w:t>r</w:t>
            </w:r>
            <w:r w:rsidRPr="002A7F74">
              <w:rPr>
                <w:rFonts w:eastAsia="Times New Roman"/>
                <w:lang w:val="pt-BR"/>
              </w:rPr>
              <w:t xml:space="preserve">ios, </w:t>
            </w:r>
            <w:r w:rsidR="00EF7D56" w:rsidRPr="002A7F74">
              <w:rPr>
                <w:rFonts w:eastAsia="Times New Roman"/>
                <w:lang w:val="pt-BR"/>
              </w:rPr>
              <w:t>dentre elas</w:t>
            </w:r>
            <w:r w:rsidRPr="002A7F74">
              <w:rPr>
                <w:rFonts w:eastAsia="Times New Roman"/>
                <w:lang w:val="pt-BR"/>
              </w:rPr>
              <w:t xml:space="preserve"> a Instrução CVM nº 400, de 2003. Assim, as dispensas tratadas nesta instrução poderão ser usadas nas ofertas de nota promissória.</w:t>
            </w:r>
          </w:p>
        </w:tc>
      </w:tr>
    </w:tbl>
    <w:p w:rsidR="004A161A" w:rsidRPr="002A7F74" w:rsidRDefault="004A161A" w:rsidP="00A93F2F">
      <w:pPr>
        <w:pStyle w:val="Ttulo3"/>
        <w:spacing w:before="0"/>
        <w:rPr>
          <w:rFonts w:hAnsi="Times New Roman" w:cs="Times New Roman"/>
          <w:lang w:val="pt-BR"/>
        </w:rPr>
      </w:pPr>
    </w:p>
    <w:p w:rsidR="00D9084C" w:rsidRPr="002A7F74" w:rsidRDefault="001E4402" w:rsidP="00A93F2F">
      <w:pPr>
        <w:pStyle w:val="Ttulo3"/>
        <w:spacing w:before="0"/>
        <w:rPr>
          <w:rFonts w:hAnsi="Times New Roman" w:cs="Times New Roman"/>
          <w:lang w:val="pt-BR"/>
        </w:rPr>
      </w:pPr>
      <w:r>
        <w:rPr>
          <w:rFonts w:hAnsi="Times New Roman" w:cs="Times New Roman"/>
          <w:lang w:val="pt-BR"/>
        </w:rPr>
        <w:t>3.12</w:t>
      </w:r>
      <w:r w:rsidR="009C73A3" w:rsidRPr="002A7F74">
        <w:rPr>
          <w:rFonts w:hAnsi="Times New Roman" w:cs="Times New Roman"/>
          <w:lang w:val="pt-BR"/>
        </w:rPr>
        <w:t>.</w:t>
      </w:r>
      <w:r w:rsidR="005607BA" w:rsidRPr="002A7F74">
        <w:rPr>
          <w:rFonts w:hAnsi="Times New Roman" w:cs="Times New Roman"/>
          <w:lang w:val="pt-BR"/>
        </w:rPr>
        <w:tab/>
      </w:r>
      <w:r w:rsidR="00E24FF3" w:rsidRPr="002A7F74">
        <w:rPr>
          <w:rFonts w:hAnsi="Times New Roman" w:cs="Times New Roman"/>
          <w:lang w:val="pt-BR"/>
        </w:rPr>
        <w:t>Registro automático</w:t>
      </w:r>
      <w:r w:rsidR="005607BA" w:rsidRPr="002A7F74">
        <w:rPr>
          <w:rFonts w:hAnsi="Times New Roman" w:cs="Times New Roman"/>
          <w:lang w:val="pt-BR"/>
        </w:rPr>
        <w:t xml:space="preserve"> </w:t>
      </w:r>
      <w:r w:rsidR="00C21161">
        <w:rPr>
          <w:rFonts w:hAnsi="Times New Roman" w:cs="Times New Roman"/>
          <w:lang w:val="pt-BR"/>
        </w:rPr>
        <w:t xml:space="preserve">– material publicitário </w:t>
      </w:r>
      <w:r w:rsidR="005607BA" w:rsidRPr="002A7F74">
        <w:rPr>
          <w:rFonts w:hAnsi="Times New Roman" w:cs="Times New Roman"/>
          <w:lang w:val="pt-BR"/>
        </w:rPr>
        <w:t>(art.</w:t>
      </w:r>
      <w:r w:rsidR="00E24FF3" w:rsidRPr="002A7F74">
        <w:rPr>
          <w:rFonts w:hAnsi="Times New Roman" w:cs="Times New Roman"/>
          <w:lang w:val="pt-BR"/>
        </w:rPr>
        <w:t xml:space="preserve"> 9º</w:t>
      </w:r>
      <w:r w:rsidR="00C21161">
        <w:rPr>
          <w:rFonts w:hAnsi="Times New Roman" w:cs="Times New Roman"/>
          <w:lang w:val="pt-BR"/>
        </w:rPr>
        <w:t>, inciso III</w:t>
      </w:r>
      <w:r w:rsidR="005607BA" w:rsidRPr="002A7F74">
        <w:rPr>
          <w:rFonts w:hAnsi="Times New Roman" w:cs="Times New Roman"/>
          <w:lang w:val="pt-BR"/>
        </w:rPr>
        <w:t>)</w:t>
      </w:r>
    </w:p>
    <w:p w:rsidR="00CB3B28" w:rsidRPr="002A7F74" w:rsidRDefault="00CB3B28" w:rsidP="00A93F2F">
      <w:pPr>
        <w:pStyle w:val="CorpoA"/>
        <w:spacing w:after="0" w:line="312" w:lineRule="auto"/>
        <w:ind w:firstLine="709"/>
        <w:jc w:val="both"/>
        <w:rPr>
          <w:rFonts w:ascii="Times New Roman" w:hAnsi="Times New Roman" w:cs="Times New Roman"/>
          <w:sz w:val="24"/>
          <w:szCs w:val="24"/>
          <w:lang w:val="pt-BR"/>
        </w:rPr>
      </w:pPr>
    </w:p>
    <w:p w:rsidR="00D9084C" w:rsidRPr="002A7F74" w:rsidRDefault="00C21161" w:rsidP="004232F5">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r w:rsidR="005607BA" w:rsidRPr="00EB56F0">
        <w:rPr>
          <w:rFonts w:ascii="Times New Roman" w:hAnsi="Times New Roman" w:cs="Times New Roman"/>
          <w:sz w:val="24"/>
          <w:szCs w:val="24"/>
          <w:lang w:val="pt-BR"/>
        </w:rPr>
        <w:t xml:space="preserve">ANBIMA </w:t>
      </w:r>
      <w:r w:rsidR="004232F5" w:rsidRPr="00EB56F0">
        <w:rPr>
          <w:rFonts w:ascii="Times New Roman" w:hAnsi="Times New Roman" w:cs="Times New Roman"/>
          <w:sz w:val="24"/>
          <w:szCs w:val="24"/>
          <w:lang w:val="pt-BR"/>
        </w:rPr>
        <w:t>sugere</w:t>
      </w:r>
      <w:r w:rsidR="005607BA" w:rsidRPr="00EB56F0">
        <w:rPr>
          <w:rFonts w:ascii="Times New Roman" w:hAnsi="Times New Roman" w:cs="Times New Roman"/>
          <w:sz w:val="24"/>
          <w:szCs w:val="24"/>
          <w:lang w:val="pt-BR"/>
        </w:rPr>
        <w:t xml:space="preserve"> </w:t>
      </w:r>
      <w:r w:rsidR="00F24597" w:rsidRPr="00EB56F0">
        <w:rPr>
          <w:rFonts w:ascii="Times New Roman" w:hAnsi="Times New Roman" w:cs="Times New Roman"/>
          <w:sz w:val="24"/>
          <w:szCs w:val="24"/>
          <w:lang w:val="pt-BR"/>
        </w:rPr>
        <w:t>que</w:t>
      </w:r>
      <w:r w:rsidR="00802124" w:rsidRPr="00EB56F0">
        <w:rPr>
          <w:rFonts w:ascii="Times New Roman" w:hAnsi="Times New Roman" w:cs="Times New Roman"/>
          <w:sz w:val="24"/>
          <w:szCs w:val="24"/>
          <w:lang w:val="pt-BR"/>
        </w:rPr>
        <w:t xml:space="preserve"> o procedimento do registro automático possa </w:t>
      </w:r>
      <w:r w:rsidR="004232F5" w:rsidRPr="00EB56F0">
        <w:rPr>
          <w:rFonts w:ascii="Times New Roman" w:hAnsi="Times New Roman" w:cs="Times New Roman"/>
          <w:sz w:val="24"/>
          <w:szCs w:val="24"/>
          <w:lang w:val="pt-BR"/>
        </w:rPr>
        <w:t>contar com</w:t>
      </w:r>
      <w:r w:rsidR="00802124" w:rsidRPr="00EB56F0">
        <w:rPr>
          <w:rFonts w:ascii="Times New Roman" w:hAnsi="Times New Roman" w:cs="Times New Roman"/>
          <w:sz w:val="24"/>
          <w:szCs w:val="24"/>
          <w:lang w:val="pt-BR"/>
        </w:rPr>
        <w:t xml:space="preserve"> </w:t>
      </w:r>
      <w:r w:rsidR="00F24597" w:rsidRPr="00EB56F0">
        <w:rPr>
          <w:rFonts w:ascii="Times New Roman" w:hAnsi="Times New Roman" w:cs="Times New Roman"/>
          <w:sz w:val="24"/>
          <w:szCs w:val="24"/>
          <w:lang w:val="pt-BR"/>
        </w:rPr>
        <w:t>a utilização de material publicitário</w:t>
      </w:r>
      <w:r w:rsidR="00865993" w:rsidRPr="00EB56F0">
        <w:rPr>
          <w:rFonts w:ascii="Times New Roman" w:hAnsi="Times New Roman" w:cs="Times New Roman"/>
          <w:sz w:val="24"/>
          <w:szCs w:val="24"/>
          <w:lang w:val="pt-BR"/>
        </w:rPr>
        <w:t xml:space="preserve">, previamente analisado </w:t>
      </w:r>
      <w:r w:rsidR="002D7A12" w:rsidRPr="00EB56F0">
        <w:rPr>
          <w:rFonts w:ascii="Times New Roman" w:hAnsi="Times New Roman" w:cs="Times New Roman"/>
          <w:sz w:val="24"/>
          <w:szCs w:val="24"/>
          <w:lang w:val="pt-BR"/>
        </w:rPr>
        <w:t>pela CVM</w:t>
      </w:r>
      <w:r w:rsidR="004232F5" w:rsidRPr="00EB56F0">
        <w:rPr>
          <w:rFonts w:ascii="Times New Roman" w:hAnsi="Times New Roman" w:cs="Times New Roman"/>
          <w:sz w:val="24"/>
          <w:szCs w:val="24"/>
          <w:lang w:val="pt-BR"/>
        </w:rPr>
        <w:t xml:space="preserve">. Para a associação, </w:t>
      </w:r>
      <w:r w:rsidR="00EB56F0" w:rsidRPr="00EB56F0">
        <w:rPr>
          <w:rFonts w:ascii="Times New Roman" w:hAnsi="Times New Roman" w:cs="Times New Roman"/>
          <w:sz w:val="24"/>
          <w:szCs w:val="24"/>
          <w:lang w:val="pt-BR"/>
        </w:rPr>
        <w:t xml:space="preserve">o material publicitário seria de grande importância porque, </w:t>
      </w:r>
      <w:r w:rsidR="00EB56F0">
        <w:rPr>
          <w:rFonts w:ascii="Times New Roman" w:hAnsi="Times New Roman" w:cs="Times New Roman"/>
          <w:sz w:val="24"/>
          <w:szCs w:val="24"/>
          <w:lang w:val="pt-BR"/>
        </w:rPr>
        <w:t xml:space="preserve">(i) </w:t>
      </w:r>
      <w:r w:rsidR="004232F5" w:rsidRPr="00EB56F0">
        <w:rPr>
          <w:rFonts w:ascii="Times New Roman" w:hAnsi="Times New Roman" w:cs="Times New Roman"/>
          <w:sz w:val="24"/>
          <w:szCs w:val="24"/>
          <w:lang w:val="pt-BR"/>
        </w:rPr>
        <w:t xml:space="preserve">diferentemente da </w:t>
      </w:r>
      <w:r w:rsidR="00EB56F0">
        <w:rPr>
          <w:rFonts w:ascii="Times New Roman" w:hAnsi="Times New Roman" w:cs="Times New Roman"/>
          <w:sz w:val="24"/>
          <w:szCs w:val="24"/>
          <w:lang w:val="pt-BR"/>
        </w:rPr>
        <w:t>regulação</w:t>
      </w:r>
      <w:r w:rsidR="004232F5" w:rsidRPr="00EB56F0">
        <w:rPr>
          <w:rFonts w:ascii="Times New Roman" w:hAnsi="Times New Roman" w:cs="Times New Roman"/>
          <w:sz w:val="24"/>
          <w:szCs w:val="24"/>
          <w:lang w:val="pt-BR"/>
        </w:rPr>
        <w:t xml:space="preserve"> atualmente em vigor, o procedimento de registro automático previsto na Minuta não impõe limites ao número de investidores que podem ser acessados</w:t>
      </w:r>
      <w:r w:rsidR="00831A0F">
        <w:rPr>
          <w:rFonts w:ascii="Times New Roman" w:hAnsi="Times New Roman" w:cs="Times New Roman"/>
          <w:sz w:val="24"/>
          <w:szCs w:val="24"/>
          <w:lang w:val="pt-BR"/>
        </w:rPr>
        <w:t>,</w:t>
      </w:r>
      <w:r w:rsidR="00EB56F0">
        <w:rPr>
          <w:rFonts w:ascii="Times New Roman" w:hAnsi="Times New Roman" w:cs="Times New Roman"/>
          <w:sz w:val="24"/>
          <w:szCs w:val="24"/>
          <w:lang w:val="pt-BR"/>
        </w:rPr>
        <w:t xml:space="preserve"> e</w:t>
      </w:r>
      <w:r w:rsidR="00EB56F0" w:rsidRPr="00EB56F0">
        <w:rPr>
          <w:rFonts w:ascii="Times New Roman" w:hAnsi="Times New Roman" w:cs="Times New Roman"/>
          <w:sz w:val="24"/>
          <w:szCs w:val="24"/>
          <w:lang w:val="pt-BR"/>
        </w:rPr>
        <w:t xml:space="preserve"> </w:t>
      </w:r>
      <w:r w:rsidR="00EB56F0">
        <w:rPr>
          <w:rFonts w:ascii="Times New Roman" w:hAnsi="Times New Roman" w:cs="Times New Roman"/>
          <w:sz w:val="24"/>
          <w:szCs w:val="24"/>
          <w:lang w:val="pt-BR"/>
        </w:rPr>
        <w:t>(ii)</w:t>
      </w:r>
      <w:r w:rsidR="002D7A12" w:rsidRPr="00EB56F0">
        <w:rPr>
          <w:rFonts w:ascii="Times New Roman" w:hAnsi="Times New Roman" w:cs="Times New Roman"/>
          <w:sz w:val="24"/>
          <w:szCs w:val="24"/>
          <w:lang w:val="pt-BR"/>
        </w:rPr>
        <w:t xml:space="preserve"> </w:t>
      </w:r>
      <w:r w:rsidR="00831A0F">
        <w:rPr>
          <w:rFonts w:ascii="Times New Roman" w:hAnsi="Times New Roman" w:cs="Times New Roman"/>
          <w:sz w:val="24"/>
          <w:szCs w:val="24"/>
          <w:lang w:val="pt-BR"/>
        </w:rPr>
        <w:t xml:space="preserve">o material publicitário </w:t>
      </w:r>
      <w:r w:rsidR="00EB56F0">
        <w:rPr>
          <w:rFonts w:ascii="Times New Roman" w:hAnsi="Times New Roman" w:cs="Times New Roman"/>
          <w:sz w:val="24"/>
          <w:szCs w:val="24"/>
          <w:lang w:val="pt-BR"/>
        </w:rPr>
        <w:t xml:space="preserve">serve à </w:t>
      </w:r>
      <w:r w:rsidR="002D7A12" w:rsidRPr="00EB56F0">
        <w:rPr>
          <w:rFonts w:ascii="Times New Roman" w:hAnsi="Times New Roman" w:cs="Times New Roman"/>
          <w:sz w:val="24"/>
          <w:szCs w:val="24"/>
          <w:lang w:val="pt-BR"/>
        </w:rPr>
        <w:t>divulgação de informações claras e simples</w:t>
      </w:r>
      <w:r w:rsidR="00EB56F0">
        <w:rPr>
          <w:rFonts w:ascii="Times New Roman" w:hAnsi="Times New Roman" w:cs="Times New Roman"/>
          <w:sz w:val="24"/>
          <w:szCs w:val="24"/>
          <w:lang w:val="pt-BR"/>
        </w:rPr>
        <w:t>, mitigando os</w:t>
      </w:r>
      <w:r w:rsidR="002D7A12" w:rsidRPr="00EB56F0">
        <w:rPr>
          <w:rFonts w:ascii="Times New Roman" w:hAnsi="Times New Roman" w:cs="Times New Roman"/>
          <w:sz w:val="24"/>
          <w:szCs w:val="24"/>
          <w:lang w:val="pt-BR"/>
        </w:rPr>
        <w:t xml:space="preserve"> riscos de assimetria de informação.</w:t>
      </w:r>
    </w:p>
    <w:p w:rsidR="00D9084C" w:rsidRPr="002A7F74" w:rsidRDefault="005607BA" w:rsidP="00A93F2F">
      <w:pPr>
        <w:pStyle w:val="CorpoA"/>
        <w:widowControl w:val="0"/>
        <w:spacing w:after="0" w:line="312" w:lineRule="auto"/>
        <w:ind w:firstLine="709"/>
        <w:jc w:val="both"/>
        <w:rPr>
          <w:rFonts w:ascii="Times New Roman" w:eastAsia="Times New Roman" w:hAnsi="Times New Roman" w:cs="Times New Roman"/>
          <w:sz w:val="24"/>
          <w:szCs w:val="24"/>
          <w:lang w:val="pt-BR"/>
        </w:rPr>
      </w:pPr>
      <w:r w:rsidRPr="002A7F74">
        <w:rPr>
          <w:rFonts w:ascii="Times New Roman" w:hAnsi="Times New Roman" w:cs="Times New Roman"/>
          <w:sz w:val="24"/>
          <w:szCs w:val="24"/>
          <w:lang w:val="pt-BR"/>
        </w:rPr>
        <w:t xml:space="preserve"> </w:t>
      </w: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533EEE">
        <w:trPr>
          <w:trHeight w:val="717"/>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EB56F0" w:rsidRDefault="002D7A12" w:rsidP="00EB56F0">
            <w:pPr>
              <w:spacing w:line="312" w:lineRule="auto"/>
              <w:ind w:firstLine="567"/>
              <w:jc w:val="both"/>
              <w:rPr>
                <w:lang w:val="pt-BR"/>
              </w:rPr>
            </w:pPr>
            <w:r w:rsidRPr="002A7F74">
              <w:rPr>
                <w:lang w:val="pt-BR"/>
              </w:rPr>
              <w:t>A CVM entende que</w:t>
            </w:r>
            <w:r w:rsidR="00EB56F0">
              <w:rPr>
                <w:lang w:val="pt-BR"/>
              </w:rPr>
              <w:t xml:space="preserve"> a lâmina de informações reduzidas, requerida pelo procedimento de registro automático, já deve trazer informações claras e simples, e que o seu</w:t>
            </w:r>
            <w:r w:rsidRPr="002A7F74">
              <w:rPr>
                <w:lang w:val="pt-BR"/>
              </w:rPr>
              <w:t xml:space="preserve"> </w:t>
            </w:r>
            <w:r w:rsidR="00EC72CD" w:rsidRPr="002A7F74">
              <w:rPr>
                <w:lang w:val="pt-BR"/>
              </w:rPr>
              <w:t>conteúdo</w:t>
            </w:r>
            <w:r w:rsidRPr="002A7F74">
              <w:rPr>
                <w:lang w:val="pt-BR"/>
              </w:rPr>
              <w:t xml:space="preserve"> é suficiente para mitigar riscos de assimetria de informação.</w:t>
            </w:r>
            <w:r w:rsidR="003F4E34" w:rsidRPr="002A7F74">
              <w:rPr>
                <w:lang w:val="pt-BR"/>
              </w:rPr>
              <w:t xml:space="preserve"> </w:t>
            </w:r>
          </w:p>
          <w:p w:rsidR="00EB56F0" w:rsidRDefault="00EB56F0" w:rsidP="00EB56F0">
            <w:pPr>
              <w:spacing w:line="312" w:lineRule="auto"/>
              <w:ind w:firstLine="567"/>
              <w:jc w:val="both"/>
              <w:rPr>
                <w:lang w:val="pt-BR"/>
              </w:rPr>
            </w:pPr>
          </w:p>
          <w:p w:rsidR="00EB56F0" w:rsidRDefault="003F4E34" w:rsidP="00EB56F0">
            <w:pPr>
              <w:spacing w:line="312" w:lineRule="auto"/>
              <w:ind w:firstLine="567"/>
              <w:jc w:val="both"/>
              <w:rPr>
                <w:lang w:val="pt-BR"/>
              </w:rPr>
            </w:pPr>
            <w:r w:rsidRPr="002A7F74">
              <w:rPr>
                <w:lang w:val="pt-BR"/>
              </w:rPr>
              <w:t xml:space="preserve">A </w:t>
            </w:r>
            <w:r w:rsidR="00EB56F0">
              <w:rPr>
                <w:lang w:val="pt-BR"/>
              </w:rPr>
              <w:t>impossibilidade de utilização do</w:t>
            </w:r>
            <w:r w:rsidRPr="002A7F74">
              <w:rPr>
                <w:lang w:val="pt-BR"/>
              </w:rPr>
              <w:t xml:space="preserve"> material publicitário </w:t>
            </w:r>
            <w:r w:rsidR="00EB56F0">
              <w:rPr>
                <w:lang w:val="pt-BR"/>
              </w:rPr>
              <w:t>é uma contrapartida à celeridade do</w:t>
            </w:r>
            <w:r w:rsidRPr="002A7F74">
              <w:rPr>
                <w:lang w:val="pt-BR"/>
              </w:rPr>
              <w:t xml:space="preserve"> rito </w:t>
            </w:r>
            <w:r w:rsidR="00EC72CD" w:rsidRPr="002A7F74">
              <w:rPr>
                <w:lang w:val="pt-BR"/>
              </w:rPr>
              <w:t>automático</w:t>
            </w:r>
            <w:r w:rsidR="00EB56F0">
              <w:rPr>
                <w:lang w:val="pt-BR"/>
              </w:rPr>
              <w:t xml:space="preserve"> e, nesse aspecto, o procedimento proposto pela Minuta pouco inova em relação ao que já existe hoje</w:t>
            </w:r>
            <w:r w:rsidRPr="002A7F74">
              <w:rPr>
                <w:lang w:val="pt-BR"/>
              </w:rPr>
              <w:t xml:space="preserve">. </w:t>
            </w:r>
          </w:p>
          <w:p w:rsidR="00EB56F0" w:rsidRDefault="00EB56F0" w:rsidP="00EB56F0">
            <w:pPr>
              <w:spacing w:line="312" w:lineRule="auto"/>
              <w:ind w:firstLine="567"/>
              <w:jc w:val="both"/>
              <w:rPr>
                <w:lang w:val="pt-BR"/>
              </w:rPr>
            </w:pPr>
          </w:p>
          <w:p w:rsidR="00D9084C" w:rsidRPr="002A7F74" w:rsidRDefault="00EB56F0" w:rsidP="00EB56F0">
            <w:pPr>
              <w:spacing w:line="312" w:lineRule="auto"/>
              <w:ind w:firstLine="567"/>
              <w:jc w:val="both"/>
              <w:rPr>
                <w:lang w:val="pt-BR"/>
              </w:rPr>
            </w:pPr>
            <w:r>
              <w:rPr>
                <w:lang w:val="pt-BR"/>
              </w:rPr>
              <w:lastRenderedPageBreak/>
              <w:t>O</w:t>
            </w:r>
            <w:r w:rsidR="003F4E34" w:rsidRPr="002A7F74">
              <w:rPr>
                <w:lang w:val="pt-BR"/>
              </w:rPr>
              <w:t xml:space="preserve">fertas direcionadas a públicos muito grandes, onde o ofertante e o intermediário acreditem que o material publicitário é indispensável ao êxito da colocação, </w:t>
            </w:r>
            <w:r>
              <w:rPr>
                <w:lang w:val="pt-BR"/>
              </w:rPr>
              <w:t>sempre poderão seguir</w:t>
            </w:r>
            <w:r w:rsidR="003F4E34" w:rsidRPr="002A7F74">
              <w:rPr>
                <w:lang w:val="pt-BR"/>
              </w:rPr>
              <w:t xml:space="preserve"> o rito </w:t>
            </w:r>
            <w:r>
              <w:rPr>
                <w:lang w:val="pt-BR"/>
              </w:rPr>
              <w:t>d</w:t>
            </w:r>
            <w:r w:rsidR="003F4E34" w:rsidRPr="002A7F74">
              <w:rPr>
                <w:lang w:val="pt-BR"/>
              </w:rPr>
              <w:t>a Instrução CVM nº 400, de 2003.</w:t>
            </w:r>
          </w:p>
        </w:tc>
      </w:tr>
    </w:tbl>
    <w:p w:rsidR="008A19F9" w:rsidRDefault="008A19F9" w:rsidP="00A93F2F">
      <w:pPr>
        <w:pStyle w:val="CorpoA"/>
        <w:spacing w:after="0" w:line="312" w:lineRule="auto"/>
        <w:jc w:val="both"/>
        <w:rPr>
          <w:rFonts w:ascii="Times New Roman" w:hAnsi="Times New Roman" w:cs="Times New Roman"/>
          <w:b/>
          <w:bCs/>
          <w:sz w:val="24"/>
          <w:szCs w:val="24"/>
          <w:lang w:val="pt-BR"/>
        </w:rPr>
      </w:pPr>
    </w:p>
    <w:p w:rsidR="008A19F9" w:rsidRPr="002A7F74" w:rsidRDefault="00C21161" w:rsidP="00A93F2F">
      <w:pPr>
        <w:pStyle w:val="CorpoA"/>
        <w:spacing w:after="0" w:line="312" w:lineRule="auto"/>
        <w:jc w:val="both"/>
        <w:rPr>
          <w:rFonts w:ascii="Times New Roman" w:eastAsia="Times New Roman" w:hAnsi="Times New Roman" w:cs="Times New Roman"/>
          <w:b/>
          <w:bCs/>
          <w:sz w:val="24"/>
          <w:szCs w:val="24"/>
          <w:lang w:val="pt-BR"/>
        </w:rPr>
      </w:pPr>
      <w:r>
        <w:rPr>
          <w:rFonts w:ascii="Times New Roman" w:hAnsi="Times New Roman" w:cs="Times New Roman"/>
          <w:b/>
          <w:bCs/>
          <w:sz w:val="24"/>
          <w:szCs w:val="24"/>
          <w:lang w:val="pt-BR"/>
        </w:rPr>
        <w:t>3.13.</w:t>
      </w:r>
      <w:r w:rsidR="008A19F9">
        <w:rPr>
          <w:rFonts w:ascii="Times New Roman" w:hAnsi="Times New Roman" w:cs="Times New Roman"/>
          <w:b/>
          <w:bCs/>
          <w:sz w:val="24"/>
          <w:szCs w:val="24"/>
          <w:lang w:val="pt-BR"/>
        </w:rPr>
        <w:tab/>
        <w:t>Circulação de notas promissórias sob o regime de registro automático (</w:t>
      </w:r>
      <w:r>
        <w:rPr>
          <w:rFonts w:ascii="Times New Roman" w:hAnsi="Times New Roman" w:cs="Times New Roman"/>
          <w:b/>
          <w:bCs/>
          <w:sz w:val="24"/>
          <w:szCs w:val="24"/>
          <w:lang w:val="pt-BR"/>
        </w:rPr>
        <w:t xml:space="preserve">art. 11, </w:t>
      </w:r>
      <w:r w:rsidR="008A19F9">
        <w:rPr>
          <w:rFonts w:ascii="Times New Roman" w:hAnsi="Times New Roman" w:cs="Times New Roman"/>
          <w:b/>
          <w:bCs/>
          <w:sz w:val="24"/>
          <w:szCs w:val="24"/>
          <w:lang w:val="pt-BR"/>
        </w:rPr>
        <w:t>parágrafo único</w:t>
      </w:r>
      <w:r w:rsidR="00BA476E">
        <w:rPr>
          <w:rFonts w:ascii="Times New Roman" w:hAnsi="Times New Roman" w:cs="Times New Roman"/>
          <w:b/>
          <w:bCs/>
          <w:sz w:val="24"/>
          <w:szCs w:val="24"/>
          <w:lang w:val="pt-BR"/>
        </w:rPr>
        <w:t xml:space="preserve"> – atual art. 12</w:t>
      </w:r>
      <w:r w:rsidR="008A19F9">
        <w:rPr>
          <w:rFonts w:ascii="Times New Roman" w:hAnsi="Times New Roman" w:cs="Times New Roman"/>
          <w:b/>
          <w:bCs/>
          <w:sz w:val="24"/>
          <w:szCs w:val="24"/>
          <w:lang w:val="pt-BR"/>
        </w:rPr>
        <w:t>)</w:t>
      </w:r>
    </w:p>
    <w:p w:rsidR="001E4402" w:rsidRDefault="001E4402" w:rsidP="00A93F2F">
      <w:pPr>
        <w:pStyle w:val="CorpoA"/>
        <w:spacing w:after="0" w:line="312" w:lineRule="auto"/>
        <w:ind w:firstLine="709"/>
        <w:jc w:val="both"/>
        <w:rPr>
          <w:rFonts w:ascii="Times New Roman" w:hAnsi="Times New Roman" w:cs="Times New Roman"/>
          <w:sz w:val="24"/>
          <w:szCs w:val="24"/>
          <w:lang w:val="pt-BR"/>
        </w:rPr>
      </w:pPr>
    </w:p>
    <w:p w:rsidR="00F51679" w:rsidRDefault="00C21161" w:rsidP="00A93F2F">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r w:rsidR="00F51679" w:rsidRPr="00673BC0">
        <w:rPr>
          <w:rFonts w:ascii="Times New Roman" w:hAnsi="Times New Roman" w:cs="Times New Roman"/>
          <w:sz w:val="24"/>
          <w:szCs w:val="24"/>
          <w:lang w:val="pt-BR"/>
        </w:rPr>
        <w:t xml:space="preserve">CETIP solicita </w:t>
      </w:r>
      <w:r w:rsidR="008A19F9" w:rsidRPr="00673BC0">
        <w:rPr>
          <w:rFonts w:ascii="Times New Roman" w:hAnsi="Times New Roman" w:cs="Times New Roman"/>
          <w:sz w:val="24"/>
          <w:szCs w:val="24"/>
          <w:lang w:val="pt-BR"/>
        </w:rPr>
        <w:t xml:space="preserve">ajustar a redação do parágrafo único do art. 11 para </w:t>
      </w:r>
      <w:r w:rsidR="00505087">
        <w:rPr>
          <w:rFonts w:ascii="Times New Roman" w:hAnsi="Times New Roman" w:cs="Times New Roman"/>
          <w:sz w:val="24"/>
          <w:szCs w:val="24"/>
          <w:lang w:val="pt-BR"/>
        </w:rPr>
        <w:t>esclarecer</w:t>
      </w:r>
      <w:r w:rsidR="00F51679" w:rsidRPr="00673BC0">
        <w:rPr>
          <w:rFonts w:ascii="Times New Roman" w:hAnsi="Times New Roman" w:cs="Times New Roman"/>
          <w:sz w:val="24"/>
          <w:szCs w:val="24"/>
          <w:lang w:val="pt-BR"/>
        </w:rPr>
        <w:t xml:space="preserve"> </w:t>
      </w:r>
      <w:r w:rsidR="00673BC0">
        <w:rPr>
          <w:rFonts w:ascii="Times New Roman" w:hAnsi="Times New Roman" w:cs="Times New Roman"/>
          <w:sz w:val="24"/>
          <w:szCs w:val="24"/>
          <w:lang w:val="pt-BR"/>
        </w:rPr>
        <w:t>que as operações (</w:t>
      </w:r>
      <w:r w:rsidR="00505087">
        <w:rPr>
          <w:rFonts w:ascii="Times New Roman" w:hAnsi="Times New Roman" w:cs="Times New Roman"/>
          <w:sz w:val="24"/>
          <w:szCs w:val="24"/>
          <w:lang w:val="pt-BR"/>
        </w:rPr>
        <w:t>i</w:t>
      </w:r>
      <w:r w:rsidR="00673BC0">
        <w:rPr>
          <w:rFonts w:ascii="Times New Roman" w:hAnsi="Times New Roman" w:cs="Times New Roman"/>
          <w:sz w:val="24"/>
          <w:szCs w:val="24"/>
          <w:lang w:val="pt-BR"/>
        </w:rPr>
        <w:t>)</w:t>
      </w:r>
      <w:r w:rsidR="00673BC0" w:rsidRPr="00673BC0">
        <w:rPr>
          <w:rFonts w:ascii="Times New Roman" w:hAnsi="Times New Roman" w:cs="Times New Roman"/>
          <w:sz w:val="24"/>
          <w:szCs w:val="24"/>
          <w:lang w:val="pt-BR"/>
        </w:rPr>
        <w:t xml:space="preserve"> </w:t>
      </w:r>
      <w:r w:rsidR="00673BC0">
        <w:rPr>
          <w:rFonts w:ascii="Times New Roman" w:hAnsi="Times New Roman" w:cs="Times New Roman"/>
          <w:sz w:val="24"/>
          <w:szCs w:val="24"/>
          <w:lang w:val="pt-BR"/>
        </w:rPr>
        <w:t xml:space="preserve">realizadas </w:t>
      </w:r>
      <w:r w:rsidR="00BD4061" w:rsidRPr="00673BC0">
        <w:rPr>
          <w:rFonts w:ascii="Times New Roman" w:hAnsi="Times New Roman" w:cs="Times New Roman"/>
          <w:sz w:val="24"/>
          <w:szCs w:val="24"/>
          <w:lang w:val="pt-BR"/>
        </w:rPr>
        <w:t xml:space="preserve">nos </w:t>
      </w:r>
      <w:r w:rsidR="00673BC0">
        <w:rPr>
          <w:rFonts w:ascii="Times New Roman" w:hAnsi="Times New Roman" w:cs="Times New Roman"/>
          <w:sz w:val="24"/>
          <w:szCs w:val="24"/>
          <w:lang w:val="pt-BR"/>
        </w:rPr>
        <w:t>sistemas de negociação dos</w:t>
      </w:r>
      <w:r w:rsidR="00F51679" w:rsidRPr="00673BC0">
        <w:rPr>
          <w:rFonts w:ascii="Times New Roman" w:hAnsi="Times New Roman" w:cs="Times New Roman"/>
          <w:sz w:val="24"/>
          <w:szCs w:val="24"/>
          <w:lang w:val="pt-BR"/>
        </w:rPr>
        <w:t xml:space="preserve"> mercados organizados</w:t>
      </w:r>
      <w:r w:rsidR="00673BC0">
        <w:rPr>
          <w:rFonts w:ascii="Times New Roman" w:hAnsi="Times New Roman" w:cs="Times New Roman"/>
          <w:sz w:val="24"/>
          <w:szCs w:val="24"/>
          <w:lang w:val="pt-BR"/>
        </w:rPr>
        <w:t xml:space="preserve"> ou (</w:t>
      </w:r>
      <w:r w:rsidR="00505087">
        <w:rPr>
          <w:rFonts w:ascii="Times New Roman" w:hAnsi="Times New Roman" w:cs="Times New Roman"/>
          <w:sz w:val="24"/>
          <w:szCs w:val="24"/>
          <w:lang w:val="pt-BR"/>
        </w:rPr>
        <w:t>ii</w:t>
      </w:r>
      <w:r w:rsidR="00673BC0">
        <w:rPr>
          <w:rFonts w:ascii="Times New Roman" w:hAnsi="Times New Roman" w:cs="Times New Roman"/>
          <w:sz w:val="24"/>
          <w:szCs w:val="24"/>
          <w:lang w:val="pt-BR"/>
        </w:rPr>
        <w:t>) realizadas previamente</w:t>
      </w:r>
      <w:r w:rsidR="00505087">
        <w:rPr>
          <w:rFonts w:ascii="Times New Roman" w:hAnsi="Times New Roman" w:cs="Times New Roman"/>
          <w:sz w:val="24"/>
          <w:szCs w:val="24"/>
          <w:lang w:val="pt-BR"/>
        </w:rPr>
        <w:t>,</w:t>
      </w:r>
      <w:r w:rsidR="00673BC0">
        <w:rPr>
          <w:rFonts w:ascii="Times New Roman" w:hAnsi="Times New Roman" w:cs="Times New Roman"/>
          <w:sz w:val="24"/>
          <w:szCs w:val="24"/>
          <w:lang w:val="pt-BR"/>
        </w:rPr>
        <w:t xml:space="preserve"> </w:t>
      </w:r>
      <w:r w:rsidR="00BD4061" w:rsidRPr="00673BC0">
        <w:rPr>
          <w:rFonts w:ascii="Times New Roman" w:hAnsi="Times New Roman" w:cs="Times New Roman"/>
          <w:sz w:val="24"/>
          <w:szCs w:val="24"/>
          <w:lang w:val="pt-BR"/>
        </w:rPr>
        <w:t xml:space="preserve">fora </w:t>
      </w:r>
      <w:r w:rsidR="00673BC0">
        <w:rPr>
          <w:rFonts w:ascii="Times New Roman" w:hAnsi="Times New Roman" w:cs="Times New Roman"/>
          <w:sz w:val="24"/>
          <w:szCs w:val="24"/>
          <w:lang w:val="pt-BR"/>
        </w:rPr>
        <w:t>de tais sistemas</w:t>
      </w:r>
      <w:r w:rsidR="00505087">
        <w:rPr>
          <w:rFonts w:ascii="Times New Roman" w:hAnsi="Times New Roman" w:cs="Times New Roman"/>
          <w:sz w:val="24"/>
          <w:szCs w:val="24"/>
          <w:lang w:val="pt-BR"/>
        </w:rPr>
        <w:t>,</w:t>
      </w:r>
      <w:r w:rsidR="00673BC0">
        <w:rPr>
          <w:rFonts w:ascii="Times New Roman" w:hAnsi="Times New Roman" w:cs="Times New Roman"/>
          <w:sz w:val="24"/>
          <w:szCs w:val="24"/>
          <w:lang w:val="pt-BR"/>
        </w:rPr>
        <w:t xml:space="preserve"> </w:t>
      </w:r>
      <w:r w:rsidR="00505087">
        <w:rPr>
          <w:rFonts w:ascii="Times New Roman" w:hAnsi="Times New Roman" w:cs="Times New Roman"/>
          <w:sz w:val="24"/>
          <w:szCs w:val="24"/>
          <w:lang w:val="pt-BR"/>
        </w:rPr>
        <w:t xml:space="preserve">mas </w:t>
      </w:r>
      <w:r w:rsidR="00673BC0">
        <w:rPr>
          <w:rFonts w:ascii="Times New Roman" w:hAnsi="Times New Roman" w:cs="Times New Roman"/>
          <w:sz w:val="24"/>
          <w:szCs w:val="24"/>
          <w:lang w:val="pt-BR"/>
        </w:rPr>
        <w:t xml:space="preserve">levadas </w:t>
      </w:r>
      <w:r w:rsidR="00BD4061" w:rsidRPr="00673BC0">
        <w:rPr>
          <w:rFonts w:ascii="Times New Roman" w:hAnsi="Times New Roman" w:cs="Times New Roman"/>
          <w:sz w:val="24"/>
          <w:szCs w:val="24"/>
          <w:lang w:val="pt-BR"/>
        </w:rPr>
        <w:t>a registro</w:t>
      </w:r>
      <w:r w:rsidR="00673BC0" w:rsidRPr="00673BC0">
        <w:rPr>
          <w:rFonts w:ascii="Times New Roman" w:hAnsi="Times New Roman" w:cs="Times New Roman"/>
          <w:sz w:val="24"/>
          <w:szCs w:val="24"/>
          <w:lang w:val="pt-BR"/>
        </w:rPr>
        <w:t xml:space="preserve"> </w:t>
      </w:r>
      <w:r w:rsidR="00673BC0">
        <w:rPr>
          <w:rFonts w:ascii="Times New Roman" w:hAnsi="Times New Roman" w:cs="Times New Roman"/>
          <w:sz w:val="24"/>
          <w:szCs w:val="24"/>
          <w:lang w:val="pt-BR"/>
        </w:rPr>
        <w:t>em mercados</w:t>
      </w:r>
      <w:r w:rsidR="00505087">
        <w:rPr>
          <w:rFonts w:ascii="Times New Roman" w:hAnsi="Times New Roman" w:cs="Times New Roman"/>
          <w:sz w:val="24"/>
          <w:szCs w:val="24"/>
          <w:lang w:val="pt-BR"/>
        </w:rPr>
        <w:t xml:space="preserve"> organizados</w:t>
      </w:r>
      <w:r w:rsidR="00673BC0">
        <w:rPr>
          <w:rFonts w:ascii="Times New Roman" w:hAnsi="Times New Roman" w:cs="Times New Roman"/>
          <w:sz w:val="24"/>
          <w:szCs w:val="24"/>
          <w:lang w:val="pt-BR"/>
        </w:rPr>
        <w:t xml:space="preserve"> (</w:t>
      </w:r>
      <w:r w:rsidR="00505087">
        <w:rPr>
          <w:rFonts w:ascii="Times New Roman" w:hAnsi="Times New Roman" w:cs="Times New Roman"/>
          <w:sz w:val="24"/>
          <w:szCs w:val="24"/>
          <w:lang w:val="pt-BR"/>
        </w:rPr>
        <w:t>a</w:t>
      </w:r>
      <w:r w:rsidR="00673BC0">
        <w:rPr>
          <w:rFonts w:ascii="Times New Roman" w:hAnsi="Times New Roman" w:cs="Times New Roman"/>
          <w:sz w:val="24"/>
          <w:szCs w:val="24"/>
          <w:lang w:val="pt-BR"/>
        </w:rPr>
        <w:t xml:space="preserve">) </w:t>
      </w:r>
      <w:r w:rsidR="008A19F9" w:rsidRPr="00673BC0">
        <w:rPr>
          <w:rFonts w:ascii="Times New Roman" w:hAnsi="Times New Roman" w:cs="Times New Roman"/>
          <w:sz w:val="24"/>
          <w:szCs w:val="24"/>
          <w:lang w:val="pt-BR"/>
        </w:rPr>
        <w:t>devem ter</w:t>
      </w:r>
      <w:r w:rsidR="00F51679" w:rsidRPr="00673BC0">
        <w:rPr>
          <w:rFonts w:ascii="Times New Roman" w:hAnsi="Times New Roman" w:cs="Times New Roman"/>
          <w:sz w:val="24"/>
          <w:szCs w:val="24"/>
          <w:lang w:val="pt-BR"/>
        </w:rPr>
        <w:t xml:space="preserve"> a participação de</w:t>
      </w:r>
      <w:r w:rsidR="008A19F9" w:rsidRPr="00673BC0">
        <w:rPr>
          <w:rFonts w:ascii="Times New Roman" w:hAnsi="Times New Roman" w:cs="Times New Roman"/>
          <w:sz w:val="24"/>
          <w:szCs w:val="24"/>
          <w:lang w:val="pt-BR"/>
        </w:rPr>
        <w:t xml:space="preserve"> um</w:t>
      </w:r>
      <w:r w:rsidR="00F51679" w:rsidRPr="00673BC0">
        <w:rPr>
          <w:rFonts w:ascii="Times New Roman" w:hAnsi="Times New Roman" w:cs="Times New Roman"/>
          <w:sz w:val="24"/>
          <w:szCs w:val="24"/>
          <w:lang w:val="pt-BR"/>
        </w:rPr>
        <w:t xml:space="preserve"> intermediário</w:t>
      </w:r>
      <w:r w:rsidR="008A19F9" w:rsidRPr="00673BC0">
        <w:rPr>
          <w:rFonts w:ascii="Times New Roman" w:hAnsi="Times New Roman" w:cs="Times New Roman"/>
          <w:sz w:val="24"/>
          <w:szCs w:val="24"/>
          <w:lang w:val="pt-BR"/>
        </w:rPr>
        <w:t xml:space="preserve"> e (</w:t>
      </w:r>
      <w:r w:rsidR="00505087">
        <w:rPr>
          <w:rFonts w:ascii="Times New Roman" w:hAnsi="Times New Roman" w:cs="Times New Roman"/>
          <w:sz w:val="24"/>
          <w:szCs w:val="24"/>
          <w:lang w:val="pt-BR"/>
        </w:rPr>
        <w:t>b</w:t>
      </w:r>
      <w:r w:rsidR="008A19F9" w:rsidRPr="00673BC0">
        <w:rPr>
          <w:rFonts w:ascii="Times New Roman" w:hAnsi="Times New Roman" w:cs="Times New Roman"/>
          <w:sz w:val="24"/>
          <w:szCs w:val="24"/>
          <w:lang w:val="pt-BR"/>
        </w:rPr>
        <w:t xml:space="preserve">) que </w:t>
      </w:r>
      <w:r w:rsidR="00F51679" w:rsidRPr="00673BC0">
        <w:rPr>
          <w:rFonts w:ascii="Times New Roman" w:hAnsi="Times New Roman" w:cs="Times New Roman"/>
          <w:sz w:val="24"/>
          <w:szCs w:val="24"/>
          <w:lang w:val="pt-BR"/>
        </w:rPr>
        <w:t xml:space="preserve">este </w:t>
      </w:r>
      <w:r w:rsidR="008A19F9" w:rsidRPr="00673BC0">
        <w:rPr>
          <w:rFonts w:ascii="Times New Roman" w:hAnsi="Times New Roman" w:cs="Times New Roman"/>
          <w:sz w:val="24"/>
          <w:szCs w:val="24"/>
          <w:lang w:val="pt-BR"/>
        </w:rPr>
        <w:t>intermediário</w:t>
      </w:r>
      <w:r w:rsidR="00F51679" w:rsidRPr="00673BC0">
        <w:rPr>
          <w:rFonts w:ascii="Times New Roman" w:hAnsi="Times New Roman" w:cs="Times New Roman"/>
          <w:sz w:val="24"/>
          <w:szCs w:val="24"/>
          <w:lang w:val="pt-BR"/>
        </w:rPr>
        <w:t xml:space="preserve"> </w:t>
      </w:r>
      <w:r w:rsidR="008A19F9" w:rsidRPr="00673BC0">
        <w:rPr>
          <w:rFonts w:ascii="Times New Roman" w:hAnsi="Times New Roman" w:cs="Times New Roman"/>
          <w:sz w:val="24"/>
          <w:szCs w:val="24"/>
          <w:lang w:val="pt-BR"/>
        </w:rPr>
        <w:t>será o</w:t>
      </w:r>
      <w:r w:rsidR="00F51679" w:rsidRPr="00673BC0">
        <w:rPr>
          <w:rFonts w:ascii="Times New Roman" w:hAnsi="Times New Roman" w:cs="Times New Roman"/>
          <w:sz w:val="24"/>
          <w:szCs w:val="24"/>
          <w:lang w:val="pt-BR"/>
        </w:rPr>
        <w:t xml:space="preserve"> </w:t>
      </w:r>
      <w:r w:rsidR="008A19F9" w:rsidRPr="00673BC0">
        <w:rPr>
          <w:rFonts w:ascii="Times New Roman" w:hAnsi="Times New Roman" w:cs="Times New Roman"/>
          <w:sz w:val="24"/>
          <w:szCs w:val="24"/>
          <w:lang w:val="pt-BR"/>
        </w:rPr>
        <w:t>responsável</w:t>
      </w:r>
      <w:r w:rsidR="00F51679" w:rsidRPr="00673BC0">
        <w:rPr>
          <w:rFonts w:ascii="Times New Roman" w:hAnsi="Times New Roman" w:cs="Times New Roman"/>
          <w:sz w:val="24"/>
          <w:szCs w:val="24"/>
          <w:lang w:val="pt-BR"/>
        </w:rPr>
        <w:t xml:space="preserve"> pela verificação da con</w:t>
      </w:r>
      <w:r w:rsidR="008A19F9" w:rsidRPr="00673BC0">
        <w:rPr>
          <w:rFonts w:ascii="Times New Roman" w:hAnsi="Times New Roman" w:cs="Times New Roman"/>
          <w:sz w:val="24"/>
          <w:szCs w:val="24"/>
          <w:lang w:val="pt-BR"/>
        </w:rPr>
        <w:t xml:space="preserve">dição de investidor qualificado, exigida pelo </w:t>
      </w:r>
      <w:r w:rsidR="002D4FF4">
        <w:rPr>
          <w:rFonts w:ascii="Times New Roman" w:hAnsi="Times New Roman" w:cs="Times New Roman"/>
          <w:b/>
          <w:sz w:val="24"/>
          <w:szCs w:val="24"/>
          <w:lang w:val="pt-BR"/>
        </w:rPr>
        <w:t xml:space="preserve">caput </w:t>
      </w:r>
      <w:r w:rsidR="002D4FF4">
        <w:rPr>
          <w:rFonts w:ascii="Times New Roman" w:hAnsi="Times New Roman" w:cs="Times New Roman"/>
          <w:sz w:val="24"/>
          <w:szCs w:val="24"/>
          <w:lang w:val="pt-BR"/>
        </w:rPr>
        <w:t>do art. 11</w:t>
      </w:r>
      <w:r w:rsidR="008A19F9" w:rsidRPr="00673BC0">
        <w:rPr>
          <w:rFonts w:ascii="Times New Roman" w:hAnsi="Times New Roman" w:cs="Times New Roman"/>
          <w:sz w:val="24"/>
          <w:szCs w:val="24"/>
          <w:lang w:val="pt-BR"/>
        </w:rPr>
        <w:t>.</w:t>
      </w:r>
    </w:p>
    <w:p w:rsidR="00505087" w:rsidRDefault="00505087" w:rsidP="00A93F2F">
      <w:pPr>
        <w:pStyle w:val="CorpoA"/>
        <w:spacing w:after="0" w:line="312" w:lineRule="auto"/>
        <w:ind w:firstLine="709"/>
        <w:jc w:val="both"/>
        <w:rPr>
          <w:rFonts w:ascii="Times New Roman" w:hAnsi="Times New Roman" w:cs="Times New Roman"/>
          <w:sz w:val="24"/>
          <w:szCs w:val="24"/>
          <w:lang w:val="pt-BR"/>
        </w:rPr>
      </w:pPr>
    </w:p>
    <w:p w:rsidR="00505087" w:rsidRDefault="0004417E" w:rsidP="00A93F2F">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De acordo com a CETIP, que propõe a redação abaixo para o art. 11,</w:t>
      </w:r>
      <w:r w:rsidR="00505087">
        <w:rPr>
          <w:rFonts w:ascii="Times New Roman" w:hAnsi="Times New Roman" w:cs="Times New Roman"/>
          <w:sz w:val="24"/>
          <w:szCs w:val="24"/>
          <w:lang w:val="pt-BR"/>
        </w:rPr>
        <w:t xml:space="preserve"> “</w:t>
      </w:r>
      <w:r w:rsidR="00505087" w:rsidRPr="00505087">
        <w:rPr>
          <w:rFonts w:ascii="Times New Roman" w:hAnsi="Times New Roman" w:cs="Times New Roman"/>
          <w:i/>
          <w:sz w:val="24"/>
          <w:szCs w:val="24"/>
          <w:lang w:val="pt-BR"/>
        </w:rPr>
        <w:t>vê-se necessária a pacificação de entendimento sobre a responsabilidade de verificação da qualidade de investidor para a circulação das notas promissórias nos mercados organizados</w:t>
      </w:r>
      <w:r w:rsidR="00505087">
        <w:rPr>
          <w:rFonts w:ascii="Times New Roman" w:hAnsi="Times New Roman" w:cs="Times New Roman"/>
          <w:sz w:val="24"/>
          <w:szCs w:val="24"/>
          <w:lang w:val="pt-BR"/>
        </w:rPr>
        <w:t>”</w:t>
      </w:r>
      <w:r>
        <w:rPr>
          <w:rFonts w:ascii="Times New Roman" w:hAnsi="Times New Roman" w:cs="Times New Roman"/>
          <w:sz w:val="24"/>
          <w:szCs w:val="24"/>
          <w:lang w:val="pt-BR"/>
        </w:rPr>
        <w:t>:</w:t>
      </w:r>
    </w:p>
    <w:p w:rsidR="0004417E" w:rsidRDefault="0004417E" w:rsidP="00A93F2F">
      <w:pPr>
        <w:pStyle w:val="CorpoA"/>
        <w:spacing w:after="0" w:line="312" w:lineRule="auto"/>
        <w:ind w:firstLine="709"/>
        <w:jc w:val="both"/>
        <w:rPr>
          <w:rFonts w:ascii="Times New Roman" w:hAnsi="Times New Roman" w:cs="Times New Roman"/>
          <w:sz w:val="24"/>
          <w:szCs w:val="24"/>
          <w:lang w:val="pt-BR"/>
        </w:rPr>
      </w:pPr>
    </w:p>
    <w:p w:rsidR="007761BE" w:rsidRPr="00406B88" w:rsidRDefault="0004417E" w:rsidP="00933AD8">
      <w:pPr>
        <w:pStyle w:val="CorpoA"/>
        <w:spacing w:after="0" w:line="312" w:lineRule="auto"/>
        <w:ind w:left="709"/>
        <w:jc w:val="both"/>
        <w:rPr>
          <w:rFonts w:ascii="Times New Roman" w:hAnsi="Times New Roman" w:cs="Times New Roman"/>
          <w:i/>
          <w:sz w:val="24"/>
          <w:szCs w:val="24"/>
          <w:lang w:val="pt-BR"/>
        </w:rPr>
      </w:pPr>
      <w:r w:rsidRPr="00406B88">
        <w:rPr>
          <w:rFonts w:ascii="Times New Roman" w:hAnsi="Times New Roman" w:cs="Times New Roman"/>
          <w:sz w:val="24"/>
          <w:szCs w:val="24"/>
          <w:lang w:val="pt-BR"/>
        </w:rPr>
        <w:t>“</w:t>
      </w:r>
      <w:r w:rsidR="007761BE" w:rsidRPr="00406B88">
        <w:rPr>
          <w:rFonts w:ascii="Times New Roman" w:hAnsi="Times New Roman" w:cs="Times New Roman"/>
          <w:i/>
          <w:sz w:val="24"/>
          <w:szCs w:val="24"/>
          <w:lang w:val="pt-BR"/>
        </w:rPr>
        <w:t>Art. 11.  A oferta pública de distribuição de nota promissória realizada nos termos do art. 9° deve ser destinada exclusivamente a investidores qualificados, conforme definido em regulamentação específica.</w:t>
      </w:r>
    </w:p>
    <w:p w:rsidR="007761BE" w:rsidRPr="00406B88" w:rsidRDefault="007761BE" w:rsidP="00933AD8">
      <w:pPr>
        <w:pStyle w:val="CorpoA"/>
        <w:spacing w:after="0" w:line="312" w:lineRule="auto"/>
        <w:ind w:left="709"/>
        <w:jc w:val="both"/>
        <w:rPr>
          <w:rFonts w:ascii="Times New Roman" w:hAnsi="Times New Roman" w:cs="Times New Roman"/>
          <w:i/>
          <w:sz w:val="24"/>
          <w:szCs w:val="24"/>
          <w:lang w:val="pt-BR"/>
        </w:rPr>
      </w:pPr>
    </w:p>
    <w:p w:rsidR="0004417E" w:rsidRPr="00406B88" w:rsidRDefault="007761BE" w:rsidP="00933AD8">
      <w:pPr>
        <w:pStyle w:val="CorpoA"/>
        <w:spacing w:after="0" w:line="312" w:lineRule="auto"/>
        <w:ind w:left="709"/>
        <w:jc w:val="both"/>
        <w:rPr>
          <w:rFonts w:ascii="Times New Roman" w:hAnsi="Times New Roman" w:cs="Times New Roman"/>
          <w:i/>
          <w:color w:val="0066FF"/>
          <w:sz w:val="24"/>
          <w:szCs w:val="24"/>
          <w:u w:val="double" w:color="0066FF"/>
          <w:lang w:val="pt-BR"/>
        </w:rPr>
      </w:pPr>
      <w:r w:rsidRPr="00406B88">
        <w:rPr>
          <w:rFonts w:ascii="Times New Roman" w:hAnsi="Times New Roman" w:cs="Times New Roman"/>
          <w:i/>
          <w:color w:val="auto"/>
          <w:sz w:val="24"/>
          <w:szCs w:val="24"/>
          <w:lang w:val="pt-BR"/>
        </w:rPr>
        <w:t>“</w:t>
      </w:r>
      <w:r w:rsidRPr="00406B88">
        <w:rPr>
          <w:rFonts w:ascii="Times New Roman" w:hAnsi="Times New Roman" w:cs="Times New Roman"/>
          <w:i/>
          <w:strike/>
          <w:color w:val="FF0000"/>
          <w:sz w:val="24"/>
          <w:szCs w:val="24"/>
          <w:lang w:val="pt-BR"/>
        </w:rPr>
        <w:t>Parágrafo único.</w:t>
      </w:r>
      <w:r w:rsidRPr="00406B88">
        <w:rPr>
          <w:rFonts w:ascii="Times New Roman" w:hAnsi="Times New Roman" w:cs="Times New Roman"/>
          <w:i/>
          <w:color w:val="0066FF"/>
          <w:sz w:val="24"/>
          <w:szCs w:val="24"/>
          <w:u w:val="double" w:color="0066FF"/>
          <w:lang w:val="pt-BR"/>
        </w:rPr>
        <w:t>§1°</w:t>
      </w:r>
      <w:r w:rsidRPr="00406B88">
        <w:rPr>
          <w:rFonts w:ascii="Times New Roman" w:hAnsi="Times New Roman" w:cs="Times New Roman"/>
          <w:i/>
          <w:color w:val="0066FF"/>
          <w:sz w:val="24"/>
          <w:szCs w:val="24"/>
          <w:lang w:val="pt-BR"/>
        </w:rPr>
        <w:t xml:space="preserve"> </w:t>
      </w:r>
      <w:r w:rsidRPr="00406B88">
        <w:rPr>
          <w:rFonts w:ascii="Times New Roman" w:hAnsi="Times New Roman" w:cs="Times New Roman"/>
          <w:i/>
          <w:color w:val="auto"/>
          <w:sz w:val="24"/>
          <w:szCs w:val="24"/>
          <w:lang w:val="pt-BR"/>
        </w:rPr>
        <w:t xml:space="preserve">A nota promissória distribuída nos termos do art. 9° pode ser negociada </w:t>
      </w:r>
      <w:r w:rsidRPr="00406B88">
        <w:rPr>
          <w:rFonts w:ascii="Times New Roman" w:hAnsi="Times New Roman" w:cs="Times New Roman"/>
          <w:i/>
          <w:color w:val="0066FF"/>
          <w:sz w:val="24"/>
          <w:szCs w:val="24"/>
          <w:u w:val="double" w:color="0066FF"/>
          <w:lang w:val="pt-BR"/>
        </w:rPr>
        <w:t>ou ter sua negociação previamente realizada e registrada</w:t>
      </w:r>
      <w:r w:rsidRPr="00406B88">
        <w:rPr>
          <w:rFonts w:ascii="Times New Roman" w:hAnsi="Times New Roman" w:cs="Times New Roman"/>
          <w:i/>
          <w:color w:val="auto"/>
          <w:sz w:val="24"/>
          <w:szCs w:val="24"/>
          <w:lang w:val="pt-BR"/>
        </w:rPr>
        <w:t xml:space="preserve"> em mercados organizados</w:t>
      </w:r>
      <w:r w:rsidRPr="00406B88">
        <w:rPr>
          <w:rFonts w:ascii="Times New Roman" w:hAnsi="Times New Roman" w:cs="Times New Roman"/>
          <w:i/>
          <w:strike/>
          <w:color w:val="FF0000"/>
          <w:sz w:val="24"/>
          <w:szCs w:val="24"/>
          <w:lang w:val="pt-BR"/>
        </w:rPr>
        <w:t xml:space="preserve"> desde que</w:t>
      </w:r>
      <w:r w:rsidRPr="00406B88">
        <w:rPr>
          <w:rFonts w:ascii="Times New Roman" w:hAnsi="Times New Roman" w:cs="Times New Roman"/>
          <w:i/>
          <w:color w:val="auto"/>
          <w:sz w:val="24"/>
          <w:szCs w:val="24"/>
          <w:lang w:val="pt-BR"/>
        </w:rPr>
        <w:t xml:space="preserve"> exclusivamente entre investidores qualificados</w:t>
      </w:r>
      <w:r w:rsidRPr="00406B88">
        <w:rPr>
          <w:rFonts w:ascii="Times New Roman" w:hAnsi="Times New Roman" w:cs="Times New Roman"/>
          <w:i/>
          <w:color w:val="0066FF"/>
          <w:sz w:val="24"/>
          <w:szCs w:val="24"/>
          <w:u w:val="double" w:color="0066FF"/>
          <w:lang w:val="pt-BR"/>
        </w:rPr>
        <w:t xml:space="preserve"> e com a participação de intermediário.</w:t>
      </w:r>
    </w:p>
    <w:p w:rsidR="007761BE" w:rsidRPr="00406B88" w:rsidRDefault="007761BE" w:rsidP="00933AD8">
      <w:pPr>
        <w:pStyle w:val="CorpoA"/>
        <w:spacing w:after="0" w:line="312" w:lineRule="auto"/>
        <w:ind w:left="709"/>
        <w:jc w:val="both"/>
        <w:rPr>
          <w:rFonts w:ascii="Times New Roman" w:hAnsi="Times New Roman" w:cs="Times New Roman"/>
          <w:i/>
          <w:color w:val="0066FF"/>
          <w:sz w:val="24"/>
          <w:szCs w:val="24"/>
          <w:u w:val="double" w:color="0066FF"/>
          <w:lang w:val="pt-BR"/>
        </w:rPr>
      </w:pPr>
    </w:p>
    <w:p w:rsidR="007761BE" w:rsidRPr="00406B88" w:rsidRDefault="007761BE" w:rsidP="00933AD8">
      <w:pPr>
        <w:pStyle w:val="CorpoA"/>
        <w:spacing w:after="0" w:line="312" w:lineRule="auto"/>
        <w:ind w:left="709"/>
        <w:jc w:val="both"/>
        <w:rPr>
          <w:rFonts w:ascii="Times New Roman" w:hAnsi="Times New Roman" w:cs="Times New Roman"/>
          <w:i/>
          <w:color w:val="auto"/>
          <w:sz w:val="24"/>
          <w:szCs w:val="24"/>
          <w:u w:val="double" w:color="0066FF"/>
          <w:lang w:val="pt-BR"/>
        </w:rPr>
      </w:pPr>
      <w:r w:rsidRPr="00406B88">
        <w:rPr>
          <w:rFonts w:ascii="Times New Roman" w:hAnsi="Times New Roman" w:cs="Times New Roman"/>
          <w:i/>
          <w:color w:val="0066FF"/>
          <w:sz w:val="24"/>
          <w:szCs w:val="24"/>
          <w:u w:val="double" w:color="0066FF"/>
          <w:lang w:val="pt-BR"/>
        </w:rPr>
        <w:t>§2°  A responsabilidade pela verificação da condição de investidor qualificado de que trata o §1° é do intermediário.</w:t>
      </w:r>
      <w:r w:rsidRPr="00406B88">
        <w:rPr>
          <w:rFonts w:ascii="Times New Roman" w:hAnsi="Times New Roman" w:cs="Times New Roman"/>
          <w:color w:val="auto"/>
          <w:sz w:val="24"/>
          <w:szCs w:val="24"/>
          <w:lang w:val="pt-BR"/>
        </w:rPr>
        <w:t>”</w:t>
      </w:r>
    </w:p>
    <w:p w:rsidR="00F51679" w:rsidRDefault="00F51679" w:rsidP="00A93F2F">
      <w:pPr>
        <w:pStyle w:val="CorpoA"/>
        <w:widowControl w:val="0"/>
        <w:spacing w:after="0" w:line="312" w:lineRule="auto"/>
        <w:ind w:firstLine="709"/>
        <w:jc w:val="both"/>
        <w:rPr>
          <w:rFonts w:ascii="Times New Roman" w:eastAsia="Times New Roman" w:hAnsi="Times New Roman" w:cs="Times New Roman"/>
          <w:sz w:val="24"/>
          <w:szCs w:val="24"/>
          <w:highlight w:val="yellow"/>
          <w:lang w:val="pt-BR"/>
        </w:rPr>
      </w:pPr>
    </w:p>
    <w:tbl>
      <w:tblPr>
        <w:tblStyle w:val="TableNormal"/>
        <w:tblW w:w="1028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287"/>
      </w:tblGrid>
      <w:tr w:rsidR="009E2FD4" w:rsidRPr="00533EEE" w:rsidTr="009E2FD4">
        <w:trPr>
          <w:trHeight w:val="357"/>
        </w:trPr>
        <w:tc>
          <w:tcPr>
            <w:tcW w:w="10287"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825C63" w:rsidRDefault="0044190F" w:rsidP="00825C63">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4" w:firstLine="567"/>
              <w:jc w:val="both"/>
              <w:rPr>
                <w:rFonts w:eastAsia="Calibri"/>
                <w:iCs/>
                <w:color w:val="000000"/>
                <w:bdr w:val="none" w:sz="0" w:space="0" w:color="auto"/>
                <w:lang w:val="pt-BR" w:eastAsia="pt-BR"/>
              </w:rPr>
            </w:pPr>
            <w:r w:rsidRPr="0044190F">
              <w:rPr>
                <w:rFonts w:eastAsia="Calibri"/>
                <w:iCs/>
                <w:color w:val="000000"/>
                <w:bdr w:val="none" w:sz="0" w:space="0" w:color="auto"/>
                <w:lang w:val="pt-BR" w:eastAsia="pt-BR"/>
              </w:rPr>
              <w:t>A CVM esclarece que não pretendia, com a redação da Minuta, adotar nenhuma regra diferente daquela que já se encontra vigente no art. 16 da Instrução CVM n° 476, de 2009, segundo a qual cabe aos intermediários, conforme definidos pela Instrução CVM n° 505, de 2011, verificar a qualificação dos investidores que negociam os títulos em mercados regulamentados.</w:t>
            </w:r>
            <w:r w:rsidR="00825C63">
              <w:rPr>
                <w:rFonts w:eastAsia="Calibri"/>
                <w:iCs/>
                <w:color w:val="000000"/>
                <w:bdr w:val="none" w:sz="0" w:space="0" w:color="auto"/>
                <w:lang w:val="pt-BR" w:eastAsia="pt-BR"/>
              </w:rPr>
              <w:t xml:space="preserve"> </w:t>
            </w:r>
          </w:p>
          <w:p w:rsidR="00825C63" w:rsidRDefault="00825C63" w:rsidP="00825C63">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4" w:firstLine="567"/>
              <w:jc w:val="both"/>
              <w:rPr>
                <w:rFonts w:eastAsia="Calibri"/>
                <w:iCs/>
                <w:color w:val="000000"/>
                <w:bdr w:val="none" w:sz="0" w:space="0" w:color="auto"/>
                <w:lang w:val="pt-BR" w:eastAsia="pt-BR"/>
              </w:rPr>
            </w:pPr>
          </w:p>
          <w:p w:rsidR="00BA476E" w:rsidRDefault="00825C63" w:rsidP="00825C63">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4" w:firstLine="567"/>
              <w:jc w:val="both"/>
              <w:rPr>
                <w:rFonts w:eastAsia="Calibri"/>
                <w:iCs/>
                <w:color w:val="000000"/>
                <w:bdr w:val="none" w:sz="0" w:space="0" w:color="auto"/>
                <w:lang w:val="pt-BR" w:eastAsia="pt-BR"/>
              </w:rPr>
            </w:pPr>
            <w:r w:rsidRPr="008645F8">
              <w:rPr>
                <w:rFonts w:eastAsia="Calibri"/>
                <w:iCs/>
                <w:color w:val="000000"/>
                <w:bdr w:val="none" w:sz="0" w:space="0" w:color="auto"/>
                <w:lang w:val="pt-BR" w:eastAsia="pt-BR"/>
              </w:rPr>
              <w:t xml:space="preserve">Nesse aspecto, portanto, </w:t>
            </w:r>
            <w:r w:rsidR="0044190F" w:rsidRPr="008645F8">
              <w:rPr>
                <w:rFonts w:eastAsia="Calibri"/>
                <w:iCs/>
                <w:color w:val="000000"/>
                <w:bdr w:val="none" w:sz="0" w:space="0" w:color="auto"/>
                <w:lang w:val="pt-BR" w:eastAsia="pt-BR"/>
              </w:rPr>
              <w:t>a CVM ajustou a Minuta para aproximar a redação do dispositivo em comento daquela que já se encontra em vigor na Instrução CVM n° 476, de 2009.</w:t>
            </w:r>
            <w:r w:rsidR="00BA476E">
              <w:rPr>
                <w:rFonts w:eastAsia="Calibri"/>
                <w:iCs/>
                <w:color w:val="000000"/>
                <w:bdr w:val="none" w:sz="0" w:space="0" w:color="auto"/>
                <w:lang w:val="pt-BR" w:eastAsia="pt-BR"/>
              </w:rPr>
              <w:t xml:space="preserve"> </w:t>
            </w:r>
          </w:p>
          <w:p w:rsidR="00BA476E" w:rsidRDefault="00BA476E" w:rsidP="00825C63">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4" w:firstLine="567"/>
              <w:jc w:val="both"/>
              <w:rPr>
                <w:rFonts w:eastAsia="Calibri"/>
                <w:iCs/>
                <w:color w:val="000000"/>
                <w:bdr w:val="none" w:sz="0" w:space="0" w:color="auto"/>
                <w:lang w:val="pt-BR" w:eastAsia="pt-BR"/>
              </w:rPr>
            </w:pPr>
          </w:p>
          <w:p w:rsidR="009E2FD4" w:rsidRDefault="00BA476E" w:rsidP="00825C63">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4" w:firstLine="567"/>
              <w:jc w:val="both"/>
              <w:rPr>
                <w:rFonts w:eastAsia="Calibri"/>
                <w:iCs/>
                <w:color w:val="000000"/>
                <w:bdr w:val="none" w:sz="0" w:space="0" w:color="auto"/>
                <w:lang w:val="pt-BR" w:eastAsia="pt-BR"/>
              </w:rPr>
            </w:pPr>
            <w:r>
              <w:rPr>
                <w:rFonts w:eastAsia="Calibri"/>
                <w:iCs/>
                <w:color w:val="000000"/>
                <w:bdr w:val="none" w:sz="0" w:space="0" w:color="auto"/>
                <w:lang w:val="pt-BR" w:eastAsia="pt-BR"/>
              </w:rPr>
              <w:lastRenderedPageBreak/>
              <w:t>Também se ajustou a redação do dispositivo em comento para esclarecer que a obrigação de verificar a qualificação dos investidores no momento da oferta é da instituição intermediária da oferta.</w:t>
            </w:r>
          </w:p>
          <w:p w:rsidR="00825C63" w:rsidRDefault="00825C63" w:rsidP="00825C63">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4" w:firstLine="567"/>
              <w:jc w:val="both"/>
              <w:rPr>
                <w:rFonts w:eastAsia="Calibri"/>
                <w:iCs/>
                <w:color w:val="000000"/>
                <w:bdr w:val="none" w:sz="0" w:space="0" w:color="auto"/>
                <w:lang w:val="pt-BR" w:eastAsia="pt-BR"/>
              </w:rPr>
            </w:pPr>
          </w:p>
          <w:p w:rsidR="00825C63" w:rsidRPr="00EC41F6" w:rsidRDefault="00825C63" w:rsidP="00825C63">
            <w:pPr>
              <w:spacing w:line="312" w:lineRule="auto"/>
              <w:ind w:firstLine="567"/>
              <w:jc w:val="both"/>
              <w:rPr>
                <w:lang w:val="pt-BR"/>
              </w:rPr>
            </w:pPr>
            <w:r w:rsidRPr="00EC41F6">
              <w:rPr>
                <w:lang w:val="pt-BR"/>
              </w:rPr>
              <w:t xml:space="preserve">No entanto, considerando que as ofertas públicas via procedimento de registro automático somente podem ser realizadas por emissores já registrados, que, ademais, devem disponibilizar uma lâmina de informações reduzidas, a CVM reviu a necessidade de que as notas promissórias assim ofertadas tenham sua negociação limitada a investidores qualificados durante todo o seu prazo de vencimento. </w:t>
            </w:r>
          </w:p>
          <w:p w:rsidR="00825C63" w:rsidRPr="00EC41F6" w:rsidRDefault="00825C63" w:rsidP="00825C63">
            <w:pPr>
              <w:spacing w:line="312" w:lineRule="auto"/>
              <w:ind w:firstLine="567"/>
              <w:jc w:val="both"/>
              <w:rPr>
                <w:lang w:val="pt-BR"/>
              </w:rPr>
            </w:pPr>
          </w:p>
          <w:p w:rsidR="0086609E" w:rsidRDefault="008645F8">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4" w:firstLine="567"/>
              <w:jc w:val="both"/>
              <w:rPr>
                <w:lang w:val="pt-BR"/>
              </w:rPr>
            </w:pPr>
            <w:r w:rsidRPr="00EC41F6">
              <w:rPr>
                <w:lang w:val="pt-BR"/>
              </w:rPr>
              <w:t>A</w:t>
            </w:r>
            <w:r w:rsidR="00825C63" w:rsidRPr="00EC41F6">
              <w:rPr>
                <w:lang w:val="pt-BR"/>
              </w:rPr>
              <w:t xml:space="preserve"> versão final da Minuta </w:t>
            </w:r>
            <w:r w:rsidR="00BA476E">
              <w:rPr>
                <w:lang w:val="pt-BR"/>
              </w:rPr>
              <w:t>dividiu em dois artigos o conteúdo do art. 11 original, acomodando em um novo art. 12 (e renumerando os artigos subsequentes) as normas sobre negociação das notas promissórias em mercados regulam</w:t>
            </w:r>
            <w:r w:rsidR="00D85A96">
              <w:rPr>
                <w:lang w:val="pt-BR"/>
              </w:rPr>
              <w:t xml:space="preserve">entados, segundo as quais: (i) em </w:t>
            </w:r>
            <w:r w:rsidR="00825C63" w:rsidRPr="00EC41F6">
              <w:rPr>
                <w:lang w:val="pt-BR"/>
              </w:rPr>
              <w:t>um período inicial de 90 dias, apenas investidores qualificados poderão negociar o título</w:t>
            </w:r>
            <w:r w:rsidR="00D85A96">
              <w:rPr>
                <w:lang w:val="pt-BR"/>
              </w:rPr>
              <w:t xml:space="preserve">; e (ii) os </w:t>
            </w:r>
            <w:r w:rsidR="00825C63" w:rsidRPr="00EC41F6">
              <w:rPr>
                <w:lang w:val="pt-BR"/>
              </w:rPr>
              <w:t xml:space="preserve"> intermediários </w:t>
            </w:r>
            <w:r w:rsidR="00D85A96">
              <w:rPr>
                <w:lang w:val="pt-BR"/>
              </w:rPr>
              <w:t xml:space="preserve">a que se refere a </w:t>
            </w:r>
            <w:r w:rsidR="00D85A96" w:rsidRPr="0044190F">
              <w:rPr>
                <w:rFonts w:eastAsia="Calibri"/>
                <w:iCs/>
                <w:color w:val="000000"/>
                <w:bdr w:val="none" w:sz="0" w:space="0" w:color="auto"/>
                <w:lang w:val="pt-BR" w:eastAsia="pt-BR"/>
              </w:rPr>
              <w:t>Instrução CVM n° 505, de 2011</w:t>
            </w:r>
            <w:r w:rsidR="00D85A96">
              <w:rPr>
                <w:rFonts w:eastAsia="Calibri"/>
                <w:iCs/>
                <w:color w:val="000000"/>
                <w:bdr w:val="none" w:sz="0" w:space="0" w:color="auto"/>
                <w:lang w:val="pt-BR" w:eastAsia="pt-BR"/>
              </w:rPr>
              <w:t xml:space="preserve">, </w:t>
            </w:r>
            <w:r w:rsidR="00D85A96">
              <w:rPr>
                <w:lang w:val="pt-BR"/>
              </w:rPr>
              <w:t xml:space="preserve">devem </w:t>
            </w:r>
            <w:r w:rsidR="00825C63" w:rsidRPr="00EC41F6">
              <w:rPr>
                <w:lang w:val="pt-BR"/>
              </w:rPr>
              <w:t>verificar o cumprimento dessa obrigação.</w:t>
            </w:r>
          </w:p>
        </w:tc>
      </w:tr>
    </w:tbl>
    <w:p w:rsidR="00825C63" w:rsidRPr="002A7F74" w:rsidRDefault="00825C63" w:rsidP="00A93F2F">
      <w:pPr>
        <w:pStyle w:val="CorpoA"/>
        <w:spacing w:after="0" w:line="312" w:lineRule="auto"/>
        <w:ind w:firstLine="709"/>
        <w:jc w:val="both"/>
        <w:rPr>
          <w:rFonts w:ascii="Times New Roman" w:hAnsi="Times New Roman" w:cs="Times New Roman"/>
          <w:sz w:val="24"/>
          <w:szCs w:val="24"/>
          <w:lang w:val="pt-BR"/>
        </w:rPr>
      </w:pPr>
    </w:p>
    <w:p w:rsidR="00D9084C" w:rsidRPr="002A7F74" w:rsidRDefault="001E4402" w:rsidP="00BB1D7F">
      <w:pPr>
        <w:pStyle w:val="CorpoA"/>
        <w:spacing w:after="0" w:line="312" w:lineRule="auto"/>
        <w:ind w:left="709" w:hanging="709"/>
        <w:jc w:val="both"/>
        <w:rPr>
          <w:rFonts w:ascii="Times New Roman" w:hAnsi="Times New Roman" w:cs="Times New Roman"/>
          <w:b/>
          <w:bCs/>
          <w:sz w:val="24"/>
          <w:szCs w:val="24"/>
          <w:lang w:val="pt-BR"/>
        </w:rPr>
      </w:pPr>
      <w:r>
        <w:rPr>
          <w:rFonts w:ascii="Times New Roman" w:hAnsi="Times New Roman" w:cs="Times New Roman"/>
          <w:b/>
          <w:bCs/>
          <w:sz w:val="24"/>
          <w:szCs w:val="24"/>
          <w:lang w:val="pt-BR"/>
        </w:rPr>
        <w:t>3.14</w:t>
      </w:r>
      <w:r w:rsidR="005607BA" w:rsidRPr="002A7F74">
        <w:rPr>
          <w:rFonts w:ascii="Times New Roman" w:hAnsi="Times New Roman" w:cs="Times New Roman"/>
          <w:b/>
          <w:bCs/>
          <w:sz w:val="24"/>
          <w:szCs w:val="24"/>
          <w:lang w:val="pt-BR"/>
        </w:rPr>
        <w:t>.</w:t>
      </w:r>
      <w:r w:rsidR="005607BA" w:rsidRPr="002A7F74">
        <w:rPr>
          <w:rFonts w:ascii="Times New Roman" w:hAnsi="Times New Roman" w:cs="Times New Roman"/>
          <w:b/>
          <w:bCs/>
          <w:sz w:val="24"/>
          <w:szCs w:val="24"/>
          <w:lang w:val="pt-BR"/>
        </w:rPr>
        <w:tab/>
      </w:r>
      <w:r w:rsidR="00F51679" w:rsidRPr="002A7F74">
        <w:rPr>
          <w:rFonts w:ascii="Times New Roman" w:hAnsi="Times New Roman" w:cs="Times New Roman"/>
          <w:b/>
          <w:bCs/>
          <w:sz w:val="24"/>
          <w:szCs w:val="24"/>
          <w:lang w:val="pt-BR"/>
        </w:rPr>
        <w:t>Dispensa de</w:t>
      </w:r>
      <w:r w:rsidR="00D70B00">
        <w:rPr>
          <w:rFonts w:ascii="Times New Roman" w:hAnsi="Times New Roman" w:cs="Times New Roman"/>
          <w:b/>
          <w:bCs/>
          <w:sz w:val="24"/>
          <w:szCs w:val="24"/>
          <w:lang w:val="pt-BR"/>
        </w:rPr>
        <w:t xml:space="preserve"> contratação de</w:t>
      </w:r>
      <w:r w:rsidR="00E73C76" w:rsidRPr="002A7F74">
        <w:rPr>
          <w:rFonts w:ascii="Times New Roman" w:hAnsi="Times New Roman" w:cs="Times New Roman"/>
          <w:b/>
          <w:bCs/>
          <w:sz w:val="24"/>
          <w:szCs w:val="24"/>
          <w:lang w:val="pt-BR"/>
        </w:rPr>
        <w:t xml:space="preserve"> instituição </w:t>
      </w:r>
      <w:r w:rsidR="00F51679" w:rsidRPr="002A7F74">
        <w:rPr>
          <w:rFonts w:ascii="Times New Roman" w:hAnsi="Times New Roman" w:cs="Times New Roman"/>
          <w:b/>
          <w:bCs/>
          <w:sz w:val="24"/>
          <w:szCs w:val="24"/>
          <w:lang w:val="pt-BR"/>
        </w:rPr>
        <w:t>intermedi</w:t>
      </w:r>
      <w:r w:rsidR="00E73C76" w:rsidRPr="002A7F74">
        <w:rPr>
          <w:rFonts w:ascii="Times New Roman" w:hAnsi="Times New Roman" w:cs="Times New Roman"/>
          <w:b/>
          <w:bCs/>
          <w:sz w:val="24"/>
          <w:szCs w:val="24"/>
          <w:lang w:val="pt-BR"/>
        </w:rPr>
        <w:t>á</w:t>
      </w:r>
      <w:r w:rsidR="00F51679" w:rsidRPr="002A7F74">
        <w:rPr>
          <w:rFonts w:ascii="Times New Roman" w:hAnsi="Times New Roman" w:cs="Times New Roman"/>
          <w:b/>
          <w:bCs/>
          <w:sz w:val="24"/>
          <w:szCs w:val="24"/>
          <w:lang w:val="pt-BR"/>
        </w:rPr>
        <w:t>ri</w:t>
      </w:r>
      <w:r w:rsidR="00E73C76" w:rsidRPr="002A7F74">
        <w:rPr>
          <w:rFonts w:ascii="Times New Roman" w:hAnsi="Times New Roman" w:cs="Times New Roman"/>
          <w:b/>
          <w:bCs/>
          <w:sz w:val="24"/>
          <w:szCs w:val="24"/>
          <w:lang w:val="pt-BR"/>
        </w:rPr>
        <w:t>a</w:t>
      </w:r>
      <w:r w:rsidR="00BB1D7F">
        <w:rPr>
          <w:rFonts w:ascii="Times New Roman" w:hAnsi="Times New Roman" w:cs="Times New Roman"/>
          <w:b/>
          <w:bCs/>
          <w:sz w:val="24"/>
          <w:szCs w:val="24"/>
          <w:lang w:val="pt-BR"/>
        </w:rPr>
        <w:t xml:space="preserve"> por emissor de grande exposição ao mercado</w:t>
      </w:r>
      <w:r w:rsidR="00F51679" w:rsidRPr="002A7F74">
        <w:rPr>
          <w:rFonts w:ascii="Times New Roman" w:hAnsi="Times New Roman" w:cs="Times New Roman"/>
          <w:b/>
          <w:bCs/>
          <w:sz w:val="24"/>
          <w:szCs w:val="24"/>
          <w:lang w:val="pt-BR"/>
        </w:rPr>
        <w:t xml:space="preserve"> </w:t>
      </w:r>
      <w:r w:rsidR="005607BA" w:rsidRPr="002A7F74">
        <w:rPr>
          <w:rFonts w:ascii="Times New Roman" w:hAnsi="Times New Roman" w:cs="Times New Roman"/>
          <w:b/>
          <w:bCs/>
          <w:sz w:val="24"/>
          <w:szCs w:val="24"/>
          <w:lang w:val="pt-BR"/>
        </w:rPr>
        <w:t>(art.</w:t>
      </w:r>
      <w:r w:rsidR="00F51679" w:rsidRPr="002A7F74">
        <w:rPr>
          <w:rFonts w:ascii="Times New Roman" w:hAnsi="Times New Roman" w:cs="Times New Roman"/>
          <w:b/>
          <w:bCs/>
          <w:sz w:val="24"/>
          <w:szCs w:val="24"/>
          <w:lang w:val="pt-BR"/>
        </w:rPr>
        <w:t xml:space="preserve"> 12</w:t>
      </w:r>
      <w:r w:rsidR="00BA476E">
        <w:rPr>
          <w:rFonts w:ascii="Times New Roman" w:hAnsi="Times New Roman" w:cs="Times New Roman"/>
          <w:b/>
          <w:bCs/>
          <w:sz w:val="24"/>
          <w:szCs w:val="24"/>
          <w:lang w:val="pt-BR"/>
        </w:rPr>
        <w:t xml:space="preserve"> – atual art. 13</w:t>
      </w:r>
      <w:r w:rsidR="005607BA" w:rsidRPr="002A7F74">
        <w:rPr>
          <w:rFonts w:ascii="Times New Roman" w:hAnsi="Times New Roman" w:cs="Times New Roman"/>
          <w:b/>
          <w:bCs/>
          <w:sz w:val="24"/>
          <w:szCs w:val="24"/>
          <w:lang w:val="pt-BR"/>
        </w:rPr>
        <w:t>)</w:t>
      </w:r>
    </w:p>
    <w:p w:rsidR="007249BC" w:rsidRPr="002A7F74" w:rsidRDefault="007249BC" w:rsidP="00A93F2F">
      <w:pPr>
        <w:pStyle w:val="CorpoA"/>
        <w:spacing w:after="0" w:line="312" w:lineRule="auto"/>
        <w:jc w:val="both"/>
        <w:rPr>
          <w:rFonts w:ascii="Times New Roman" w:eastAsia="Times New Roman" w:hAnsi="Times New Roman" w:cs="Times New Roman"/>
          <w:b/>
          <w:bCs/>
          <w:sz w:val="24"/>
          <w:szCs w:val="24"/>
          <w:lang w:val="pt-BR"/>
        </w:rPr>
      </w:pPr>
    </w:p>
    <w:p w:rsidR="00B9031A" w:rsidRDefault="00D377CF" w:rsidP="00A93F2F">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r w:rsidR="00F51679" w:rsidRPr="002A7F74">
        <w:rPr>
          <w:rFonts w:ascii="Times New Roman" w:hAnsi="Times New Roman" w:cs="Times New Roman"/>
          <w:sz w:val="24"/>
          <w:szCs w:val="24"/>
          <w:lang w:val="pt-BR"/>
        </w:rPr>
        <w:t xml:space="preserve">BM&amp;FBOVESPA </w:t>
      </w:r>
      <w:r w:rsidR="00BB1D7F">
        <w:rPr>
          <w:rFonts w:ascii="Times New Roman" w:hAnsi="Times New Roman" w:cs="Times New Roman"/>
          <w:sz w:val="24"/>
          <w:szCs w:val="24"/>
          <w:lang w:val="pt-BR"/>
        </w:rPr>
        <w:t>defende</w:t>
      </w:r>
      <w:r w:rsidR="00F51679" w:rsidRPr="002A7F74">
        <w:rPr>
          <w:rFonts w:ascii="Times New Roman" w:hAnsi="Times New Roman" w:cs="Times New Roman"/>
          <w:sz w:val="24"/>
          <w:szCs w:val="24"/>
          <w:lang w:val="pt-BR"/>
        </w:rPr>
        <w:t xml:space="preserve"> que a possibilidade de </w:t>
      </w:r>
      <w:r w:rsidR="00BB1D7F">
        <w:rPr>
          <w:rFonts w:ascii="Times New Roman" w:hAnsi="Times New Roman" w:cs="Times New Roman"/>
          <w:sz w:val="24"/>
          <w:szCs w:val="24"/>
          <w:lang w:val="pt-BR"/>
        </w:rPr>
        <w:t>realizar oferta pública de distribuição de nota promissória sem contratação de instituição intermediária seja estendida</w:t>
      </w:r>
      <w:r w:rsidR="00F51679" w:rsidRPr="002A7F74">
        <w:rPr>
          <w:rFonts w:ascii="Times New Roman" w:hAnsi="Times New Roman" w:cs="Times New Roman"/>
          <w:sz w:val="24"/>
          <w:szCs w:val="24"/>
          <w:lang w:val="pt-BR"/>
        </w:rPr>
        <w:t xml:space="preserve"> às </w:t>
      </w:r>
      <w:r w:rsidR="00BB1D7F">
        <w:rPr>
          <w:rFonts w:ascii="Times New Roman" w:hAnsi="Times New Roman" w:cs="Times New Roman"/>
          <w:sz w:val="24"/>
          <w:szCs w:val="24"/>
          <w:lang w:val="pt-BR"/>
        </w:rPr>
        <w:t>companhias</w:t>
      </w:r>
      <w:r w:rsidR="00F51679" w:rsidRPr="002A7F74">
        <w:rPr>
          <w:rFonts w:ascii="Times New Roman" w:hAnsi="Times New Roman" w:cs="Times New Roman"/>
          <w:sz w:val="24"/>
          <w:szCs w:val="24"/>
          <w:lang w:val="pt-BR"/>
        </w:rPr>
        <w:t xml:space="preserve"> integrantes de índice</w:t>
      </w:r>
      <w:r w:rsidR="00A83868" w:rsidRPr="002A7F74">
        <w:rPr>
          <w:rFonts w:ascii="Times New Roman" w:hAnsi="Times New Roman" w:cs="Times New Roman"/>
          <w:sz w:val="24"/>
          <w:szCs w:val="24"/>
          <w:lang w:val="pt-BR"/>
        </w:rPr>
        <w:t xml:space="preserve"> como IBrX-100 ou IBOVESPA</w:t>
      </w:r>
      <w:r w:rsidR="00BB1D7F">
        <w:rPr>
          <w:rFonts w:ascii="Times New Roman" w:hAnsi="Times New Roman" w:cs="Times New Roman"/>
          <w:sz w:val="24"/>
          <w:szCs w:val="24"/>
          <w:lang w:val="pt-BR"/>
        </w:rPr>
        <w:t xml:space="preserve">. </w:t>
      </w:r>
    </w:p>
    <w:p w:rsidR="00B9031A" w:rsidRDefault="00B9031A" w:rsidP="00A93F2F">
      <w:pPr>
        <w:pStyle w:val="CorpoA"/>
        <w:spacing w:after="0" w:line="312" w:lineRule="auto"/>
        <w:ind w:firstLine="709"/>
        <w:jc w:val="both"/>
        <w:rPr>
          <w:rFonts w:ascii="Times New Roman" w:hAnsi="Times New Roman" w:cs="Times New Roman"/>
          <w:sz w:val="24"/>
          <w:szCs w:val="24"/>
          <w:lang w:val="pt-BR"/>
        </w:rPr>
      </w:pPr>
    </w:p>
    <w:p w:rsidR="00BB1D7F" w:rsidRDefault="00BB1D7F" w:rsidP="00A93F2F">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Para o participante, assim como os emissores de grande exposição ao mercado, as companhias </w:t>
      </w:r>
      <w:r w:rsidR="00A83868" w:rsidRPr="002A7F74">
        <w:rPr>
          <w:rFonts w:ascii="Times New Roman" w:hAnsi="Times New Roman" w:cs="Times New Roman"/>
          <w:sz w:val="24"/>
          <w:szCs w:val="24"/>
          <w:lang w:val="pt-BR"/>
        </w:rPr>
        <w:t xml:space="preserve">cujas ações </w:t>
      </w:r>
      <w:r>
        <w:rPr>
          <w:rFonts w:ascii="Times New Roman" w:hAnsi="Times New Roman" w:cs="Times New Roman"/>
          <w:sz w:val="24"/>
          <w:szCs w:val="24"/>
          <w:lang w:val="pt-BR"/>
        </w:rPr>
        <w:t xml:space="preserve">integram </w:t>
      </w:r>
      <w:r w:rsidR="00B9031A">
        <w:rPr>
          <w:rFonts w:ascii="Times New Roman" w:hAnsi="Times New Roman" w:cs="Times New Roman"/>
          <w:sz w:val="24"/>
          <w:szCs w:val="24"/>
          <w:lang w:val="pt-BR"/>
        </w:rPr>
        <w:t>tais</w:t>
      </w:r>
      <w:r>
        <w:rPr>
          <w:rFonts w:ascii="Times New Roman" w:hAnsi="Times New Roman" w:cs="Times New Roman"/>
          <w:sz w:val="24"/>
          <w:szCs w:val="24"/>
          <w:lang w:val="pt-BR"/>
        </w:rPr>
        <w:t xml:space="preserve"> índices </w:t>
      </w:r>
      <w:r w:rsidRPr="00B9031A">
        <w:rPr>
          <w:rFonts w:ascii="Times New Roman" w:hAnsi="Times New Roman" w:cs="Times New Roman"/>
          <w:sz w:val="24"/>
          <w:szCs w:val="24"/>
          <w:lang w:val="pt-BR"/>
        </w:rPr>
        <w:t xml:space="preserve">apresentam </w:t>
      </w:r>
      <w:r w:rsidR="00B9031A">
        <w:rPr>
          <w:rFonts w:ascii="Times New Roman" w:hAnsi="Times New Roman" w:cs="Times New Roman"/>
          <w:sz w:val="24"/>
          <w:szCs w:val="24"/>
          <w:lang w:val="pt-BR"/>
        </w:rPr>
        <w:t>um</w:t>
      </w:r>
      <w:r w:rsidR="00B9031A" w:rsidRPr="00B9031A">
        <w:rPr>
          <w:rFonts w:ascii="Times New Roman" w:hAnsi="Times New Roman" w:cs="Times New Roman"/>
          <w:sz w:val="24"/>
          <w:szCs w:val="24"/>
          <w:lang w:val="pt-BR"/>
        </w:rPr>
        <w:t xml:space="preserve">a ampla cobertura e escrutínio </w:t>
      </w:r>
      <w:r w:rsidR="00B9031A">
        <w:rPr>
          <w:rFonts w:ascii="Times New Roman" w:hAnsi="Times New Roman" w:cs="Times New Roman"/>
          <w:sz w:val="24"/>
          <w:szCs w:val="24"/>
          <w:lang w:val="pt-BR"/>
        </w:rPr>
        <w:t>do</w:t>
      </w:r>
      <w:r w:rsidR="00B9031A" w:rsidRPr="00B9031A">
        <w:rPr>
          <w:rFonts w:ascii="Times New Roman" w:hAnsi="Times New Roman" w:cs="Times New Roman"/>
          <w:sz w:val="24"/>
          <w:szCs w:val="24"/>
          <w:lang w:val="pt-BR"/>
        </w:rPr>
        <w:t xml:space="preserve"> mercado</w:t>
      </w:r>
      <w:r w:rsidR="00B9031A">
        <w:rPr>
          <w:rFonts w:ascii="Times New Roman" w:hAnsi="Times New Roman" w:cs="Times New Roman"/>
          <w:sz w:val="24"/>
          <w:szCs w:val="24"/>
          <w:lang w:val="pt-BR"/>
        </w:rPr>
        <w:t xml:space="preserve">, em função de seu </w:t>
      </w:r>
      <w:r w:rsidR="00B9031A" w:rsidRPr="00B9031A">
        <w:rPr>
          <w:rFonts w:ascii="Times New Roman" w:hAnsi="Times New Roman" w:cs="Times New Roman"/>
          <w:sz w:val="24"/>
          <w:szCs w:val="24"/>
          <w:lang w:val="pt-BR"/>
        </w:rPr>
        <w:t>grau de negoc</w:t>
      </w:r>
      <w:r w:rsidR="00B9031A">
        <w:rPr>
          <w:rFonts w:ascii="Times New Roman" w:hAnsi="Times New Roman" w:cs="Times New Roman"/>
          <w:sz w:val="24"/>
          <w:szCs w:val="24"/>
          <w:lang w:val="pt-BR"/>
        </w:rPr>
        <w:t>iabilidade e representatividade</w:t>
      </w:r>
      <w:r w:rsidRPr="00B9031A">
        <w:rPr>
          <w:rFonts w:ascii="Times New Roman" w:hAnsi="Times New Roman" w:cs="Times New Roman"/>
          <w:sz w:val="24"/>
          <w:szCs w:val="24"/>
          <w:lang w:val="pt-BR"/>
        </w:rPr>
        <w:t>; poderiam</w:t>
      </w:r>
      <w:r>
        <w:rPr>
          <w:rFonts w:ascii="Times New Roman" w:hAnsi="Times New Roman" w:cs="Times New Roman"/>
          <w:sz w:val="24"/>
          <w:szCs w:val="24"/>
          <w:lang w:val="pt-BR"/>
        </w:rPr>
        <w:t>, portanto, beneficiar-se da dispensa de contratação de instituição intermediária.</w:t>
      </w:r>
    </w:p>
    <w:p w:rsidR="00BB1D7F" w:rsidRDefault="00BB1D7F" w:rsidP="00A93F2F">
      <w:pPr>
        <w:pStyle w:val="CorpoA"/>
        <w:spacing w:after="0" w:line="312" w:lineRule="auto"/>
        <w:ind w:firstLine="709"/>
        <w:jc w:val="both"/>
        <w:rPr>
          <w:rFonts w:ascii="Times New Roman" w:hAnsi="Times New Roman" w:cs="Times New Roman"/>
          <w:sz w:val="24"/>
          <w:szCs w:val="24"/>
          <w:lang w:val="pt-BR"/>
        </w:rPr>
      </w:pPr>
    </w:p>
    <w:tbl>
      <w:tblPr>
        <w:tblStyle w:val="TableNormal"/>
        <w:tblW w:w="1028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287"/>
      </w:tblGrid>
      <w:tr w:rsidR="00D9084C" w:rsidRPr="00533EEE" w:rsidTr="008B4602">
        <w:trPr>
          <w:trHeight w:val="639"/>
        </w:trPr>
        <w:tc>
          <w:tcPr>
            <w:tcW w:w="10287"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2A7F74" w:rsidRDefault="005607BA" w:rsidP="00B9031A">
            <w:pPr>
              <w:spacing w:line="312" w:lineRule="auto"/>
              <w:ind w:firstLine="567"/>
              <w:jc w:val="both"/>
              <w:rPr>
                <w:lang w:val="pt-BR"/>
              </w:rPr>
            </w:pPr>
            <w:r w:rsidRPr="002A7F74">
              <w:rPr>
                <w:lang w:val="pt-BR"/>
              </w:rPr>
              <w:t xml:space="preserve">A </w:t>
            </w:r>
            <w:r w:rsidR="004165E3" w:rsidRPr="002A7F74">
              <w:rPr>
                <w:lang w:val="pt-BR"/>
              </w:rPr>
              <w:t xml:space="preserve">CVM considera que </w:t>
            </w:r>
            <w:r w:rsidR="00B33636" w:rsidRPr="002A7F74">
              <w:rPr>
                <w:lang w:val="pt-BR"/>
              </w:rPr>
              <w:t xml:space="preserve">é mais prudente </w:t>
            </w:r>
            <w:r w:rsidR="00B9031A">
              <w:rPr>
                <w:lang w:val="pt-BR"/>
              </w:rPr>
              <w:t>limitar a contratação de instituição intermediária</w:t>
            </w:r>
            <w:r w:rsidR="004165E3" w:rsidRPr="002A7F74">
              <w:rPr>
                <w:lang w:val="pt-BR"/>
              </w:rPr>
              <w:t xml:space="preserve"> aos E</w:t>
            </w:r>
            <w:r w:rsidR="00162E91" w:rsidRPr="002A7F74">
              <w:rPr>
                <w:lang w:val="pt-BR"/>
              </w:rPr>
              <w:t xml:space="preserve">missores com </w:t>
            </w:r>
            <w:r w:rsidR="004165E3" w:rsidRPr="002A7F74">
              <w:rPr>
                <w:lang w:val="pt-BR"/>
              </w:rPr>
              <w:t>G</w:t>
            </w:r>
            <w:r w:rsidR="00162E91" w:rsidRPr="002A7F74">
              <w:rPr>
                <w:lang w:val="pt-BR"/>
              </w:rPr>
              <w:t xml:space="preserve">rande </w:t>
            </w:r>
            <w:r w:rsidR="004165E3" w:rsidRPr="002A7F74">
              <w:rPr>
                <w:lang w:val="pt-BR"/>
              </w:rPr>
              <w:t>E</w:t>
            </w:r>
            <w:r w:rsidR="00162E91" w:rsidRPr="002A7F74">
              <w:rPr>
                <w:lang w:val="pt-BR"/>
              </w:rPr>
              <w:t xml:space="preserve">xposição ao </w:t>
            </w:r>
            <w:r w:rsidR="004165E3" w:rsidRPr="002A7F74">
              <w:rPr>
                <w:lang w:val="pt-BR"/>
              </w:rPr>
              <w:t>M</w:t>
            </w:r>
            <w:r w:rsidR="00162E91" w:rsidRPr="002A7F74">
              <w:rPr>
                <w:lang w:val="pt-BR"/>
              </w:rPr>
              <w:t>ercado (EGEM).</w:t>
            </w:r>
            <w:r w:rsidR="00B33636" w:rsidRPr="002A7F74">
              <w:rPr>
                <w:lang w:val="pt-BR"/>
              </w:rPr>
              <w:t xml:space="preserve"> Após um período inicial de familiarização, por parte dos participantes do mercado, dos investidores e do próprio órgão regulador, com a aplicação prática da </w:t>
            </w:r>
            <w:r w:rsidR="00B9031A">
              <w:rPr>
                <w:lang w:val="pt-BR"/>
              </w:rPr>
              <w:t>I</w:t>
            </w:r>
            <w:r w:rsidR="00B33636" w:rsidRPr="002A7F74">
              <w:rPr>
                <w:lang w:val="pt-BR"/>
              </w:rPr>
              <w:t xml:space="preserve">nstrução, </w:t>
            </w:r>
            <w:r w:rsidR="00B9031A">
              <w:rPr>
                <w:lang w:val="pt-BR"/>
              </w:rPr>
              <w:t>a CVM poderá reavaliar</w:t>
            </w:r>
            <w:r w:rsidR="00B33636" w:rsidRPr="002A7F74">
              <w:rPr>
                <w:lang w:val="pt-BR"/>
              </w:rPr>
              <w:t xml:space="preserve"> a conveniência </w:t>
            </w:r>
            <w:r w:rsidR="00B9031A">
              <w:rPr>
                <w:lang w:val="pt-BR"/>
              </w:rPr>
              <w:t xml:space="preserve">e oportunidade </w:t>
            </w:r>
            <w:r w:rsidR="00B33636" w:rsidRPr="002A7F74">
              <w:rPr>
                <w:lang w:val="pt-BR"/>
              </w:rPr>
              <w:t xml:space="preserve">de estender </w:t>
            </w:r>
            <w:r w:rsidR="00B9031A">
              <w:rPr>
                <w:lang w:val="pt-BR"/>
              </w:rPr>
              <w:t>essa</w:t>
            </w:r>
            <w:r w:rsidR="00B33636" w:rsidRPr="002A7F74">
              <w:rPr>
                <w:lang w:val="pt-BR"/>
              </w:rPr>
              <w:t xml:space="preserve"> dispensa a outros emissores.</w:t>
            </w:r>
          </w:p>
        </w:tc>
      </w:tr>
    </w:tbl>
    <w:p w:rsidR="00600942" w:rsidRPr="002A7F74" w:rsidRDefault="00600942" w:rsidP="00A93F2F">
      <w:pPr>
        <w:pStyle w:val="CorpoA"/>
        <w:spacing w:after="0" w:line="312" w:lineRule="auto"/>
        <w:ind w:firstLine="709"/>
        <w:jc w:val="both"/>
        <w:rPr>
          <w:rFonts w:ascii="Times New Roman" w:hAnsi="Times New Roman" w:cs="Times New Roman"/>
          <w:sz w:val="24"/>
          <w:szCs w:val="24"/>
          <w:lang w:val="pt-BR"/>
        </w:rPr>
      </w:pPr>
    </w:p>
    <w:p w:rsidR="00600942" w:rsidRPr="002A7F74" w:rsidRDefault="00D377CF" w:rsidP="00A93F2F">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r w:rsidR="00600942" w:rsidRPr="002A7F74">
        <w:rPr>
          <w:rFonts w:ascii="Times New Roman" w:hAnsi="Times New Roman" w:cs="Times New Roman"/>
          <w:sz w:val="24"/>
          <w:szCs w:val="24"/>
          <w:lang w:val="pt-BR"/>
        </w:rPr>
        <w:t xml:space="preserve">ABRASCA </w:t>
      </w:r>
      <w:r w:rsidR="00B9031A">
        <w:rPr>
          <w:rFonts w:ascii="Times New Roman" w:hAnsi="Times New Roman" w:cs="Times New Roman"/>
          <w:sz w:val="24"/>
          <w:szCs w:val="24"/>
          <w:lang w:val="pt-BR"/>
        </w:rPr>
        <w:t>entende que a Minuta não deixa claro qual procedimento de oferta deve ser seguido no âmbito do art. 12 e sugere</w:t>
      </w:r>
      <w:r w:rsidR="00600942" w:rsidRPr="002A7F74">
        <w:rPr>
          <w:rFonts w:ascii="Times New Roman" w:hAnsi="Times New Roman" w:cs="Times New Roman"/>
          <w:sz w:val="24"/>
          <w:szCs w:val="24"/>
          <w:lang w:val="pt-BR"/>
        </w:rPr>
        <w:t xml:space="preserve"> </w:t>
      </w:r>
      <w:r w:rsidR="00B9031A">
        <w:rPr>
          <w:rFonts w:ascii="Times New Roman" w:hAnsi="Times New Roman" w:cs="Times New Roman"/>
          <w:sz w:val="24"/>
          <w:szCs w:val="24"/>
          <w:lang w:val="pt-BR"/>
        </w:rPr>
        <w:t>especificar</w:t>
      </w:r>
      <w:r w:rsidR="00600942" w:rsidRPr="002A7F74">
        <w:rPr>
          <w:rFonts w:ascii="Times New Roman" w:hAnsi="Times New Roman" w:cs="Times New Roman"/>
          <w:sz w:val="24"/>
          <w:szCs w:val="24"/>
          <w:lang w:val="pt-BR"/>
        </w:rPr>
        <w:t xml:space="preserve"> que </w:t>
      </w:r>
      <w:r w:rsidR="00B9031A">
        <w:rPr>
          <w:rFonts w:ascii="Times New Roman" w:hAnsi="Times New Roman" w:cs="Times New Roman"/>
          <w:sz w:val="24"/>
          <w:szCs w:val="24"/>
          <w:lang w:val="pt-BR"/>
        </w:rPr>
        <w:t>a</w:t>
      </w:r>
      <w:r w:rsidR="00600942" w:rsidRPr="002A7F74">
        <w:rPr>
          <w:rFonts w:ascii="Times New Roman" w:hAnsi="Times New Roman" w:cs="Times New Roman"/>
          <w:sz w:val="24"/>
          <w:szCs w:val="24"/>
          <w:lang w:val="pt-BR"/>
        </w:rPr>
        <w:t xml:space="preserve"> dispensa de contratação de instituição intermediária</w:t>
      </w:r>
      <w:r w:rsidR="00B9031A">
        <w:rPr>
          <w:rFonts w:ascii="Times New Roman" w:hAnsi="Times New Roman" w:cs="Times New Roman"/>
          <w:sz w:val="24"/>
          <w:szCs w:val="24"/>
          <w:lang w:val="pt-BR"/>
        </w:rPr>
        <w:t xml:space="preserve"> ali referida vale, em função da restrição a investidores profissionais (inciso II), para ofertas públicas de distribuição com esforços restritos</w:t>
      </w:r>
      <w:r w:rsidR="00600942" w:rsidRPr="002A7F74">
        <w:rPr>
          <w:rFonts w:ascii="Times New Roman" w:hAnsi="Times New Roman" w:cs="Times New Roman"/>
          <w:sz w:val="24"/>
          <w:szCs w:val="24"/>
          <w:lang w:val="pt-BR"/>
        </w:rPr>
        <w:t>, nos termos da Instrução CVM nº 476</w:t>
      </w:r>
      <w:r w:rsidR="00B9031A">
        <w:rPr>
          <w:rFonts w:ascii="Times New Roman" w:hAnsi="Times New Roman" w:cs="Times New Roman"/>
          <w:sz w:val="24"/>
          <w:szCs w:val="24"/>
          <w:lang w:val="pt-BR"/>
        </w:rPr>
        <w:t>, de 2009.</w:t>
      </w:r>
    </w:p>
    <w:p w:rsidR="00600942" w:rsidRPr="002A7F74" w:rsidRDefault="00600942" w:rsidP="00A93F2F">
      <w:pPr>
        <w:pStyle w:val="CorpoA"/>
        <w:widowControl w:val="0"/>
        <w:spacing w:after="0" w:line="312" w:lineRule="auto"/>
        <w:ind w:firstLine="709"/>
        <w:jc w:val="both"/>
        <w:rPr>
          <w:rFonts w:ascii="Times New Roman" w:eastAsia="Times New Roman" w:hAnsi="Times New Roman" w:cs="Times New Roman"/>
          <w:sz w:val="24"/>
          <w:szCs w:val="24"/>
          <w:lang w:val="pt-BR"/>
        </w:rPr>
      </w:pPr>
    </w:p>
    <w:tbl>
      <w:tblPr>
        <w:tblStyle w:val="TableNormal"/>
        <w:tblW w:w="1028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287"/>
      </w:tblGrid>
      <w:tr w:rsidR="00600942" w:rsidRPr="00533EEE" w:rsidTr="00600942">
        <w:trPr>
          <w:trHeight w:val="639"/>
        </w:trPr>
        <w:tc>
          <w:tcPr>
            <w:tcW w:w="10287"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B9031A" w:rsidRDefault="00B9031A" w:rsidP="00B9031A">
            <w:pPr>
              <w:spacing w:line="312" w:lineRule="auto"/>
              <w:ind w:firstLine="567"/>
              <w:jc w:val="both"/>
              <w:rPr>
                <w:lang w:val="pt-BR"/>
              </w:rPr>
            </w:pPr>
            <w:r w:rsidRPr="002A7F74">
              <w:rPr>
                <w:lang w:val="pt-BR"/>
              </w:rPr>
              <w:t>A</w:t>
            </w:r>
            <w:r>
              <w:rPr>
                <w:lang w:val="pt-BR"/>
              </w:rPr>
              <w:t>s dispensas contempladas na Instrução CVM n° 476, de 2009,</w:t>
            </w:r>
            <w:r w:rsidRPr="002A7F74">
              <w:rPr>
                <w:lang w:val="pt-BR"/>
              </w:rPr>
              <w:t xml:space="preserve"> </w:t>
            </w:r>
            <w:r>
              <w:rPr>
                <w:lang w:val="pt-BR"/>
              </w:rPr>
              <w:t xml:space="preserve">têm como contrapartida a participação de uma instituição intermediária, que atua, nas ofertas públicas com esforços restritos, como </w:t>
            </w:r>
            <w:r>
              <w:rPr>
                <w:i/>
                <w:lang w:val="pt-BR"/>
              </w:rPr>
              <w:t>gatekeeper</w:t>
            </w:r>
            <w:r>
              <w:rPr>
                <w:lang w:val="pt-BR"/>
              </w:rPr>
              <w:t xml:space="preserve">. </w:t>
            </w:r>
          </w:p>
          <w:p w:rsidR="00B9031A" w:rsidRDefault="00B9031A" w:rsidP="00B9031A">
            <w:pPr>
              <w:spacing w:line="312" w:lineRule="auto"/>
              <w:ind w:firstLine="567"/>
              <w:jc w:val="both"/>
              <w:rPr>
                <w:lang w:val="pt-BR"/>
              </w:rPr>
            </w:pPr>
          </w:p>
          <w:p w:rsidR="00B9031A" w:rsidRDefault="00B9031A" w:rsidP="00B9031A">
            <w:pPr>
              <w:spacing w:line="312" w:lineRule="auto"/>
              <w:ind w:firstLine="567"/>
              <w:jc w:val="both"/>
              <w:rPr>
                <w:lang w:val="pt-BR"/>
              </w:rPr>
            </w:pPr>
            <w:r>
              <w:rPr>
                <w:lang w:val="pt-BR"/>
              </w:rPr>
              <w:t xml:space="preserve">A dispensa de contratação de instituição intermediária não pode, portanto, vir acompanhada também da dispensa de registro de oferta prevista naquela Instrução. </w:t>
            </w:r>
          </w:p>
          <w:p w:rsidR="00406B88" w:rsidRDefault="00406B88" w:rsidP="00B9031A">
            <w:pPr>
              <w:spacing w:line="312" w:lineRule="auto"/>
              <w:ind w:firstLine="567"/>
              <w:jc w:val="both"/>
              <w:rPr>
                <w:lang w:val="pt-BR"/>
              </w:rPr>
            </w:pPr>
          </w:p>
          <w:p w:rsidR="00F92B77" w:rsidRPr="00B9031A" w:rsidRDefault="00406B88" w:rsidP="009D2D0E">
            <w:pPr>
              <w:spacing w:line="312" w:lineRule="auto"/>
              <w:ind w:firstLine="567"/>
              <w:jc w:val="both"/>
              <w:rPr>
                <w:lang w:val="pt-BR"/>
              </w:rPr>
            </w:pPr>
            <w:r>
              <w:rPr>
                <w:lang w:val="pt-BR"/>
              </w:rPr>
              <w:t>Embora a Minuta restrinja a oferta a investidores profissionais, a</w:t>
            </w:r>
            <w:r w:rsidR="00600942" w:rsidRPr="002A7F74">
              <w:rPr>
                <w:lang w:val="pt-BR"/>
              </w:rPr>
              <w:t xml:space="preserve"> CVM entende que </w:t>
            </w:r>
            <w:r>
              <w:rPr>
                <w:lang w:val="pt-BR"/>
              </w:rPr>
              <w:t>o procedimento do</w:t>
            </w:r>
            <w:r w:rsidR="00600942" w:rsidRPr="002A7F74">
              <w:rPr>
                <w:lang w:val="pt-BR"/>
              </w:rPr>
              <w:t xml:space="preserve"> registro automático </w:t>
            </w:r>
            <w:r>
              <w:rPr>
                <w:lang w:val="pt-BR"/>
              </w:rPr>
              <w:t xml:space="preserve">previsto no art. 9° </w:t>
            </w:r>
            <w:r w:rsidR="00600942" w:rsidRPr="002A7F74">
              <w:rPr>
                <w:lang w:val="pt-BR"/>
              </w:rPr>
              <w:t xml:space="preserve">é </w:t>
            </w:r>
            <w:r>
              <w:rPr>
                <w:lang w:val="pt-BR"/>
              </w:rPr>
              <w:t>o</w:t>
            </w:r>
            <w:r w:rsidR="00600942" w:rsidRPr="002A7F74">
              <w:rPr>
                <w:lang w:val="pt-BR"/>
              </w:rPr>
              <w:t xml:space="preserve"> mais adequad</w:t>
            </w:r>
            <w:r>
              <w:rPr>
                <w:lang w:val="pt-BR"/>
              </w:rPr>
              <w:t>o</w:t>
            </w:r>
            <w:r w:rsidR="00600942" w:rsidRPr="002A7F74">
              <w:rPr>
                <w:lang w:val="pt-BR"/>
              </w:rPr>
              <w:t xml:space="preserve"> para ser </w:t>
            </w:r>
            <w:r w:rsidR="00F92B77" w:rsidRPr="002A7F74">
              <w:rPr>
                <w:lang w:val="pt-BR"/>
              </w:rPr>
              <w:t xml:space="preserve">objeto de </w:t>
            </w:r>
            <w:r w:rsidR="00600942" w:rsidRPr="002A7F74">
              <w:rPr>
                <w:lang w:val="pt-BR"/>
              </w:rPr>
              <w:t>dispensa</w:t>
            </w:r>
            <w:r w:rsidR="00F92B77" w:rsidRPr="002A7F74">
              <w:rPr>
                <w:lang w:val="pt-BR"/>
              </w:rPr>
              <w:t xml:space="preserve"> </w:t>
            </w:r>
            <w:r w:rsidR="00600942" w:rsidRPr="002A7F74">
              <w:rPr>
                <w:lang w:val="pt-BR"/>
              </w:rPr>
              <w:t>d</w:t>
            </w:r>
            <w:r w:rsidR="00F92B77" w:rsidRPr="002A7F74">
              <w:rPr>
                <w:lang w:val="pt-BR"/>
              </w:rPr>
              <w:t>e</w:t>
            </w:r>
            <w:r w:rsidR="00600942" w:rsidRPr="002A7F74">
              <w:rPr>
                <w:lang w:val="pt-BR"/>
              </w:rPr>
              <w:t xml:space="preserve"> contratação de instituição intermediária</w:t>
            </w:r>
            <w:r w:rsidR="00304F4E" w:rsidRPr="002A7F74">
              <w:rPr>
                <w:lang w:val="pt-BR"/>
              </w:rPr>
              <w:t>, p</w:t>
            </w:r>
            <w:r>
              <w:rPr>
                <w:lang w:val="pt-BR"/>
              </w:rPr>
              <w:t xml:space="preserve">orque </w:t>
            </w:r>
            <w:r w:rsidR="009D2D0E">
              <w:rPr>
                <w:lang w:val="pt-BR"/>
              </w:rPr>
              <w:t>submete-se</w:t>
            </w:r>
            <w:r>
              <w:rPr>
                <w:lang w:val="pt-BR"/>
              </w:rPr>
              <w:t xml:space="preserve"> </w:t>
            </w:r>
            <w:r w:rsidR="009D2D0E">
              <w:rPr>
                <w:lang w:val="pt-BR"/>
              </w:rPr>
              <w:t>a</w:t>
            </w:r>
            <w:r>
              <w:rPr>
                <w:lang w:val="pt-BR"/>
              </w:rPr>
              <w:t>o escrutínio da CVM.</w:t>
            </w:r>
            <w:r w:rsidR="00304F4E" w:rsidRPr="002A7F74">
              <w:rPr>
                <w:lang w:val="pt-BR"/>
              </w:rPr>
              <w:t xml:space="preserve"> </w:t>
            </w:r>
            <w:r w:rsidR="00E65C25">
              <w:rPr>
                <w:lang w:val="pt-BR"/>
              </w:rPr>
              <w:t>A Minuta foi ajustada para consigná-lo de forma clara.</w:t>
            </w:r>
          </w:p>
        </w:tc>
      </w:tr>
    </w:tbl>
    <w:p w:rsidR="00F92B77" w:rsidRPr="002A7F74" w:rsidRDefault="00F92B77" w:rsidP="00A93F2F">
      <w:pPr>
        <w:pStyle w:val="CorpoA"/>
        <w:spacing w:after="0" w:line="312" w:lineRule="auto"/>
        <w:ind w:firstLine="709"/>
        <w:jc w:val="both"/>
        <w:rPr>
          <w:rFonts w:ascii="Times New Roman" w:hAnsi="Times New Roman" w:cs="Times New Roman"/>
          <w:sz w:val="24"/>
          <w:szCs w:val="24"/>
          <w:lang w:val="pt-BR"/>
        </w:rPr>
      </w:pPr>
    </w:p>
    <w:p w:rsidR="00406B88" w:rsidRPr="00FC2523" w:rsidRDefault="00D377CF" w:rsidP="00A93F2F">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r w:rsidR="00F92B77" w:rsidRPr="00FC2523">
        <w:rPr>
          <w:rFonts w:ascii="Times New Roman" w:hAnsi="Times New Roman" w:cs="Times New Roman"/>
          <w:sz w:val="24"/>
          <w:szCs w:val="24"/>
          <w:lang w:val="pt-BR"/>
        </w:rPr>
        <w:t xml:space="preserve">AMBIMA sugere </w:t>
      </w:r>
      <w:r w:rsidR="00406B88" w:rsidRPr="00FC2523">
        <w:rPr>
          <w:rFonts w:ascii="Times New Roman" w:hAnsi="Times New Roman" w:cs="Times New Roman"/>
          <w:sz w:val="24"/>
          <w:szCs w:val="24"/>
          <w:lang w:val="pt-BR"/>
        </w:rPr>
        <w:t>a exclusão do</w:t>
      </w:r>
      <w:r w:rsidR="003C71DB" w:rsidRPr="00FC2523">
        <w:rPr>
          <w:rFonts w:ascii="Times New Roman" w:hAnsi="Times New Roman" w:cs="Times New Roman"/>
          <w:sz w:val="24"/>
          <w:szCs w:val="24"/>
          <w:lang w:val="pt-BR"/>
        </w:rPr>
        <w:t xml:space="preserve"> art. 12</w:t>
      </w:r>
      <w:r w:rsidR="006D0578" w:rsidRPr="00FC2523">
        <w:rPr>
          <w:rFonts w:ascii="Times New Roman" w:hAnsi="Times New Roman" w:cs="Times New Roman"/>
          <w:sz w:val="24"/>
          <w:szCs w:val="24"/>
          <w:lang w:val="pt-BR"/>
        </w:rPr>
        <w:t xml:space="preserve">, </w:t>
      </w:r>
      <w:r w:rsidR="00406B88" w:rsidRPr="00FC2523">
        <w:rPr>
          <w:rFonts w:ascii="Times New Roman" w:hAnsi="Times New Roman" w:cs="Times New Roman"/>
          <w:sz w:val="24"/>
          <w:szCs w:val="24"/>
          <w:lang w:val="pt-BR"/>
        </w:rPr>
        <w:t xml:space="preserve">manifestando-se contra a dispensa de contratação </w:t>
      </w:r>
      <w:r w:rsidR="006D0578" w:rsidRPr="00FC2523">
        <w:rPr>
          <w:rFonts w:ascii="Times New Roman" w:hAnsi="Times New Roman" w:cs="Times New Roman"/>
          <w:sz w:val="24"/>
          <w:szCs w:val="24"/>
          <w:lang w:val="pt-BR"/>
        </w:rPr>
        <w:t>de instituição intermediária</w:t>
      </w:r>
      <w:r w:rsidR="00935251" w:rsidRPr="00FC2523">
        <w:rPr>
          <w:rFonts w:ascii="Times New Roman" w:hAnsi="Times New Roman" w:cs="Times New Roman"/>
          <w:sz w:val="24"/>
          <w:szCs w:val="24"/>
          <w:lang w:val="pt-BR"/>
        </w:rPr>
        <w:t xml:space="preserve">, já que o mercado de capitais pátrio </w:t>
      </w:r>
      <w:r w:rsidR="00406B88" w:rsidRPr="00FC2523">
        <w:rPr>
          <w:rFonts w:ascii="Times New Roman" w:hAnsi="Times New Roman" w:cs="Times New Roman"/>
          <w:sz w:val="24"/>
          <w:szCs w:val="24"/>
          <w:lang w:val="pt-BR"/>
        </w:rPr>
        <w:t>seria</w:t>
      </w:r>
      <w:r w:rsidR="00935251" w:rsidRPr="00FC2523">
        <w:rPr>
          <w:rFonts w:ascii="Times New Roman" w:hAnsi="Times New Roman" w:cs="Times New Roman"/>
          <w:sz w:val="24"/>
          <w:szCs w:val="24"/>
          <w:lang w:val="pt-BR"/>
        </w:rPr>
        <w:t xml:space="preserve"> calcado na participação do intermediário e a </w:t>
      </w:r>
      <w:r w:rsidR="00406B88" w:rsidRPr="00FC2523">
        <w:rPr>
          <w:rFonts w:ascii="Times New Roman" w:hAnsi="Times New Roman" w:cs="Times New Roman"/>
          <w:sz w:val="24"/>
          <w:szCs w:val="24"/>
          <w:lang w:val="pt-BR"/>
        </w:rPr>
        <w:t>sua ausência</w:t>
      </w:r>
      <w:r w:rsidR="00935251" w:rsidRPr="00FC2523">
        <w:rPr>
          <w:rFonts w:ascii="Times New Roman" w:hAnsi="Times New Roman" w:cs="Times New Roman"/>
          <w:sz w:val="24"/>
          <w:szCs w:val="24"/>
          <w:lang w:val="pt-BR"/>
        </w:rPr>
        <w:t xml:space="preserve"> pode</w:t>
      </w:r>
      <w:r w:rsidR="00406B88" w:rsidRPr="00FC2523">
        <w:rPr>
          <w:rFonts w:ascii="Times New Roman" w:hAnsi="Times New Roman" w:cs="Times New Roman"/>
          <w:sz w:val="24"/>
          <w:szCs w:val="24"/>
          <w:lang w:val="pt-BR"/>
        </w:rPr>
        <w:t>ria</w:t>
      </w:r>
      <w:r w:rsidR="00935251" w:rsidRPr="00FC2523">
        <w:rPr>
          <w:rFonts w:ascii="Times New Roman" w:hAnsi="Times New Roman" w:cs="Times New Roman"/>
          <w:sz w:val="24"/>
          <w:szCs w:val="24"/>
          <w:lang w:val="pt-BR"/>
        </w:rPr>
        <w:t xml:space="preserve"> trazer impacto negativo </w:t>
      </w:r>
      <w:r w:rsidR="00406B88" w:rsidRPr="00FC2523">
        <w:rPr>
          <w:rFonts w:ascii="Times New Roman" w:hAnsi="Times New Roman" w:cs="Times New Roman"/>
          <w:sz w:val="24"/>
          <w:szCs w:val="24"/>
          <w:lang w:val="pt-BR"/>
        </w:rPr>
        <w:t>à</w:t>
      </w:r>
      <w:r w:rsidR="00935251" w:rsidRPr="00FC2523">
        <w:rPr>
          <w:rFonts w:ascii="Times New Roman" w:hAnsi="Times New Roman" w:cs="Times New Roman"/>
          <w:sz w:val="24"/>
          <w:szCs w:val="24"/>
          <w:lang w:val="pt-BR"/>
        </w:rPr>
        <w:t xml:space="preserve"> manutenção de um mercado </w:t>
      </w:r>
      <w:r w:rsidR="00406B88" w:rsidRPr="00FC2523">
        <w:rPr>
          <w:rFonts w:ascii="Times New Roman" w:hAnsi="Times New Roman" w:cs="Times New Roman"/>
          <w:sz w:val="24"/>
          <w:szCs w:val="24"/>
          <w:lang w:val="pt-BR"/>
        </w:rPr>
        <w:t>saudável</w:t>
      </w:r>
      <w:r w:rsidR="006D0578" w:rsidRPr="00FC2523">
        <w:rPr>
          <w:rFonts w:ascii="Times New Roman" w:hAnsi="Times New Roman" w:cs="Times New Roman"/>
          <w:sz w:val="24"/>
          <w:szCs w:val="24"/>
          <w:lang w:val="pt-BR"/>
        </w:rPr>
        <w:t>.</w:t>
      </w:r>
      <w:r w:rsidR="003C71DB" w:rsidRPr="00FC2523">
        <w:rPr>
          <w:rFonts w:ascii="Times New Roman" w:hAnsi="Times New Roman" w:cs="Times New Roman"/>
          <w:sz w:val="24"/>
          <w:szCs w:val="24"/>
          <w:lang w:val="pt-BR"/>
        </w:rPr>
        <w:t xml:space="preserve"> </w:t>
      </w:r>
    </w:p>
    <w:p w:rsidR="00406B88" w:rsidRPr="00FC2523" w:rsidRDefault="00406B88" w:rsidP="00A93F2F">
      <w:pPr>
        <w:pStyle w:val="CorpoA"/>
        <w:spacing w:after="0" w:line="312" w:lineRule="auto"/>
        <w:ind w:firstLine="709"/>
        <w:jc w:val="both"/>
        <w:rPr>
          <w:rFonts w:ascii="Times New Roman" w:hAnsi="Times New Roman" w:cs="Times New Roman"/>
          <w:sz w:val="24"/>
          <w:szCs w:val="24"/>
          <w:lang w:val="pt-BR"/>
        </w:rPr>
      </w:pPr>
    </w:p>
    <w:p w:rsidR="00F92B77" w:rsidRPr="002A7F74" w:rsidRDefault="00406B88" w:rsidP="00FC2523">
      <w:pPr>
        <w:pStyle w:val="CorpoA"/>
        <w:spacing w:after="0" w:line="312" w:lineRule="auto"/>
        <w:ind w:firstLine="709"/>
        <w:jc w:val="both"/>
        <w:rPr>
          <w:rFonts w:ascii="Times New Roman" w:hAnsi="Times New Roman" w:cs="Times New Roman"/>
          <w:sz w:val="24"/>
          <w:szCs w:val="24"/>
          <w:lang w:val="pt-BR"/>
        </w:rPr>
      </w:pPr>
      <w:r w:rsidRPr="00FC2523">
        <w:rPr>
          <w:rFonts w:ascii="Times New Roman" w:hAnsi="Times New Roman" w:cs="Times New Roman"/>
          <w:sz w:val="24"/>
          <w:szCs w:val="24"/>
          <w:lang w:val="pt-BR"/>
        </w:rPr>
        <w:t xml:space="preserve">Transpondo o modelo norte-americano </w:t>
      </w:r>
      <w:r w:rsidR="00FC2523" w:rsidRPr="00FC2523">
        <w:rPr>
          <w:rFonts w:ascii="Times New Roman" w:hAnsi="Times New Roman" w:cs="Times New Roman"/>
          <w:sz w:val="24"/>
          <w:szCs w:val="24"/>
          <w:lang w:val="pt-BR"/>
        </w:rPr>
        <w:t xml:space="preserve">de oferta dispensada de registro </w:t>
      </w:r>
      <w:r w:rsidRPr="00FC2523">
        <w:rPr>
          <w:rFonts w:ascii="Times New Roman" w:hAnsi="Times New Roman" w:cs="Times New Roman"/>
          <w:sz w:val="24"/>
          <w:szCs w:val="24"/>
          <w:lang w:val="pt-BR"/>
        </w:rPr>
        <w:t>para a Minuta, a ANBIMA s</w:t>
      </w:r>
      <w:r w:rsidR="003C71DB" w:rsidRPr="00FC2523">
        <w:rPr>
          <w:rFonts w:ascii="Times New Roman" w:hAnsi="Times New Roman" w:cs="Times New Roman"/>
          <w:sz w:val="24"/>
          <w:szCs w:val="24"/>
          <w:lang w:val="pt-BR"/>
        </w:rPr>
        <w:t>ugere</w:t>
      </w:r>
      <w:r w:rsidRPr="00FC2523">
        <w:rPr>
          <w:rFonts w:ascii="Times New Roman" w:hAnsi="Times New Roman" w:cs="Times New Roman"/>
          <w:sz w:val="24"/>
          <w:szCs w:val="24"/>
          <w:lang w:val="pt-BR"/>
        </w:rPr>
        <w:t>,</w:t>
      </w:r>
      <w:r w:rsidR="003C71DB" w:rsidRPr="00FC2523">
        <w:rPr>
          <w:rFonts w:ascii="Times New Roman" w:hAnsi="Times New Roman" w:cs="Times New Roman"/>
          <w:sz w:val="24"/>
          <w:szCs w:val="24"/>
          <w:lang w:val="pt-BR"/>
        </w:rPr>
        <w:t xml:space="preserve"> alternativamente</w:t>
      </w:r>
      <w:r w:rsidRPr="00FC2523">
        <w:rPr>
          <w:rFonts w:ascii="Times New Roman" w:hAnsi="Times New Roman" w:cs="Times New Roman"/>
          <w:sz w:val="24"/>
          <w:szCs w:val="24"/>
          <w:lang w:val="pt-BR"/>
        </w:rPr>
        <w:t>,</w:t>
      </w:r>
      <w:r w:rsidR="003C71DB" w:rsidRPr="00FC2523">
        <w:rPr>
          <w:rFonts w:ascii="Times New Roman" w:hAnsi="Times New Roman" w:cs="Times New Roman"/>
          <w:sz w:val="24"/>
          <w:szCs w:val="24"/>
          <w:lang w:val="pt-BR"/>
        </w:rPr>
        <w:t xml:space="preserve"> que a oferta com dispensa de intermediário seja limitada a 2 (dois) investidores profissionais, que o emissor efetue as mesmas </w:t>
      </w:r>
      <w:r w:rsidRPr="00FC2523">
        <w:rPr>
          <w:rFonts w:ascii="Times New Roman" w:hAnsi="Times New Roman" w:cs="Times New Roman"/>
          <w:sz w:val="24"/>
          <w:szCs w:val="24"/>
          <w:lang w:val="pt-BR"/>
        </w:rPr>
        <w:t>diligências</w:t>
      </w:r>
      <w:r w:rsidR="003C71DB" w:rsidRPr="00FC2523">
        <w:rPr>
          <w:rFonts w:ascii="Times New Roman" w:hAnsi="Times New Roman" w:cs="Times New Roman"/>
          <w:sz w:val="24"/>
          <w:szCs w:val="24"/>
          <w:lang w:val="pt-BR"/>
        </w:rPr>
        <w:t xml:space="preserve"> que o intermediário faria, incluindo a contratação de assessores legais, que informe ao investidor a eventual </w:t>
      </w:r>
      <w:r w:rsidR="00FC2523" w:rsidRPr="00FC2523">
        <w:rPr>
          <w:rFonts w:ascii="Times New Roman" w:hAnsi="Times New Roman" w:cs="Times New Roman"/>
          <w:sz w:val="24"/>
          <w:szCs w:val="24"/>
          <w:lang w:val="pt-BR"/>
        </w:rPr>
        <w:t>existência</w:t>
      </w:r>
      <w:r w:rsidR="003C71DB" w:rsidRPr="00FC2523">
        <w:rPr>
          <w:rFonts w:ascii="Times New Roman" w:hAnsi="Times New Roman" w:cs="Times New Roman"/>
          <w:sz w:val="24"/>
          <w:szCs w:val="24"/>
          <w:lang w:val="pt-BR"/>
        </w:rPr>
        <w:t xml:space="preserve"> de conflito de interesses, </w:t>
      </w:r>
      <w:r w:rsidR="00FC2523" w:rsidRPr="00FC2523">
        <w:rPr>
          <w:rFonts w:ascii="Times New Roman" w:hAnsi="Times New Roman" w:cs="Times New Roman"/>
          <w:sz w:val="24"/>
          <w:szCs w:val="24"/>
          <w:lang w:val="pt-BR"/>
        </w:rPr>
        <w:t xml:space="preserve">que </w:t>
      </w:r>
      <w:r w:rsidR="003C71DB" w:rsidRPr="00FC2523">
        <w:rPr>
          <w:rFonts w:ascii="Times New Roman" w:hAnsi="Times New Roman" w:cs="Times New Roman"/>
          <w:sz w:val="24"/>
          <w:szCs w:val="24"/>
          <w:lang w:val="pt-BR"/>
        </w:rPr>
        <w:t xml:space="preserve">não </w:t>
      </w:r>
      <w:r w:rsidR="006D0578" w:rsidRPr="00FC2523">
        <w:rPr>
          <w:rFonts w:ascii="Times New Roman" w:hAnsi="Times New Roman" w:cs="Times New Roman"/>
          <w:sz w:val="24"/>
          <w:szCs w:val="24"/>
          <w:lang w:val="pt-BR"/>
        </w:rPr>
        <w:t xml:space="preserve">seja </w:t>
      </w:r>
      <w:r w:rsidR="003C71DB" w:rsidRPr="00FC2523">
        <w:rPr>
          <w:rFonts w:ascii="Times New Roman" w:hAnsi="Times New Roman" w:cs="Times New Roman"/>
          <w:sz w:val="24"/>
          <w:szCs w:val="24"/>
          <w:lang w:val="pt-BR"/>
        </w:rPr>
        <w:t>permiti</w:t>
      </w:r>
      <w:r w:rsidR="006D0578" w:rsidRPr="00FC2523">
        <w:rPr>
          <w:rFonts w:ascii="Times New Roman" w:hAnsi="Times New Roman" w:cs="Times New Roman"/>
          <w:sz w:val="24"/>
          <w:szCs w:val="24"/>
          <w:lang w:val="pt-BR"/>
        </w:rPr>
        <w:t>d</w:t>
      </w:r>
      <w:r w:rsidR="00FC2523" w:rsidRPr="00FC2523">
        <w:rPr>
          <w:rFonts w:ascii="Times New Roman" w:hAnsi="Times New Roman" w:cs="Times New Roman"/>
          <w:sz w:val="24"/>
          <w:szCs w:val="24"/>
          <w:lang w:val="pt-BR"/>
        </w:rPr>
        <w:t>a</w:t>
      </w:r>
      <w:r w:rsidR="003C71DB" w:rsidRPr="00FC2523">
        <w:rPr>
          <w:rFonts w:ascii="Times New Roman" w:hAnsi="Times New Roman" w:cs="Times New Roman"/>
          <w:sz w:val="24"/>
          <w:szCs w:val="24"/>
          <w:lang w:val="pt-BR"/>
        </w:rPr>
        <w:t xml:space="preserve"> a utilização de material publicitário </w:t>
      </w:r>
      <w:r w:rsidR="00FC2523" w:rsidRPr="00FC2523">
        <w:rPr>
          <w:rFonts w:ascii="Times New Roman" w:hAnsi="Times New Roman" w:cs="Times New Roman"/>
          <w:sz w:val="24"/>
          <w:szCs w:val="24"/>
          <w:lang w:val="pt-BR"/>
        </w:rPr>
        <w:t>e</w:t>
      </w:r>
      <w:r w:rsidR="003C71DB" w:rsidRPr="00FC2523">
        <w:rPr>
          <w:rFonts w:ascii="Times New Roman" w:hAnsi="Times New Roman" w:cs="Times New Roman"/>
          <w:sz w:val="24"/>
          <w:szCs w:val="24"/>
          <w:lang w:val="pt-BR"/>
        </w:rPr>
        <w:t xml:space="preserve"> a negociação </w:t>
      </w:r>
      <w:r w:rsidR="00401C41">
        <w:rPr>
          <w:rFonts w:ascii="Times New Roman" w:hAnsi="Times New Roman" w:cs="Times New Roman"/>
          <w:sz w:val="24"/>
          <w:szCs w:val="24"/>
          <w:lang w:val="pt-BR"/>
        </w:rPr>
        <w:t>em</w:t>
      </w:r>
      <w:r w:rsidR="00401C41" w:rsidRPr="00FC2523">
        <w:rPr>
          <w:rFonts w:ascii="Times New Roman" w:hAnsi="Times New Roman" w:cs="Times New Roman"/>
          <w:sz w:val="24"/>
          <w:szCs w:val="24"/>
          <w:lang w:val="pt-BR"/>
        </w:rPr>
        <w:t xml:space="preserve"> </w:t>
      </w:r>
      <w:r w:rsidR="003C71DB" w:rsidRPr="00FC2523">
        <w:rPr>
          <w:rFonts w:ascii="Times New Roman" w:hAnsi="Times New Roman" w:cs="Times New Roman"/>
          <w:sz w:val="24"/>
          <w:szCs w:val="24"/>
          <w:lang w:val="pt-BR"/>
        </w:rPr>
        <w:t>mercado secundário</w:t>
      </w:r>
      <w:r w:rsidR="00FC2523" w:rsidRPr="00FC2523">
        <w:rPr>
          <w:rFonts w:ascii="Times New Roman" w:hAnsi="Times New Roman" w:cs="Times New Roman"/>
          <w:sz w:val="24"/>
          <w:szCs w:val="24"/>
          <w:lang w:val="pt-BR"/>
        </w:rPr>
        <w:t>.</w:t>
      </w:r>
    </w:p>
    <w:p w:rsidR="00F92B77" w:rsidRPr="002A7F74" w:rsidRDefault="00F92B77" w:rsidP="00A93F2F">
      <w:pPr>
        <w:pStyle w:val="CorpoA"/>
        <w:widowControl w:val="0"/>
        <w:spacing w:after="0" w:line="312" w:lineRule="auto"/>
        <w:ind w:firstLine="709"/>
        <w:jc w:val="both"/>
        <w:rPr>
          <w:rFonts w:ascii="Times New Roman" w:eastAsia="Times New Roman" w:hAnsi="Times New Roman" w:cs="Times New Roman"/>
          <w:sz w:val="24"/>
          <w:szCs w:val="24"/>
          <w:lang w:val="pt-BR"/>
        </w:rPr>
      </w:pPr>
    </w:p>
    <w:tbl>
      <w:tblPr>
        <w:tblStyle w:val="TableNormal"/>
        <w:tblW w:w="1028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287"/>
      </w:tblGrid>
      <w:tr w:rsidR="00F92B77" w:rsidRPr="00533EEE" w:rsidTr="00F92B77">
        <w:trPr>
          <w:trHeight w:val="639"/>
        </w:trPr>
        <w:tc>
          <w:tcPr>
            <w:tcW w:w="10287"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F92B77" w:rsidRPr="002A7F74" w:rsidRDefault="00162E91" w:rsidP="00831A0F">
            <w:pPr>
              <w:spacing w:line="312" w:lineRule="auto"/>
              <w:ind w:firstLine="567"/>
              <w:jc w:val="both"/>
              <w:rPr>
                <w:lang w:val="pt-BR"/>
              </w:rPr>
            </w:pPr>
            <w:r w:rsidRPr="002A7F74">
              <w:rPr>
                <w:lang w:val="pt-BR"/>
              </w:rPr>
              <w:t>A CVM esclarece que não se trata de oferta dispensada de registro</w:t>
            </w:r>
            <w:r w:rsidR="002E621B" w:rsidRPr="002A7F74">
              <w:rPr>
                <w:lang w:val="pt-BR"/>
              </w:rPr>
              <w:t>,</w:t>
            </w:r>
            <w:r w:rsidRPr="002A7F74">
              <w:rPr>
                <w:lang w:val="pt-BR"/>
              </w:rPr>
              <w:t xml:space="preserve"> como no caso americano</w:t>
            </w:r>
            <w:r w:rsidR="00B919F5" w:rsidRPr="002A7F74">
              <w:rPr>
                <w:lang w:val="pt-BR"/>
              </w:rPr>
              <w:t xml:space="preserve"> citado</w:t>
            </w:r>
            <w:r w:rsidRPr="002A7F74">
              <w:rPr>
                <w:lang w:val="pt-BR"/>
              </w:rPr>
              <w:t xml:space="preserve">. </w:t>
            </w:r>
            <w:r w:rsidR="00F92B77" w:rsidRPr="002A7F74">
              <w:rPr>
                <w:lang w:val="pt-BR"/>
              </w:rPr>
              <w:t>A</w:t>
            </w:r>
            <w:r w:rsidR="00FC2523">
              <w:rPr>
                <w:lang w:val="pt-BR"/>
              </w:rPr>
              <w:t>lém disso, a</w:t>
            </w:r>
            <w:r w:rsidR="00B33636" w:rsidRPr="002A7F74">
              <w:rPr>
                <w:lang w:val="pt-BR"/>
              </w:rPr>
              <w:t xml:space="preserve"> CVM considera que</w:t>
            </w:r>
            <w:r w:rsidR="00B919F5" w:rsidRPr="002A7F74">
              <w:rPr>
                <w:lang w:val="pt-BR"/>
              </w:rPr>
              <w:t xml:space="preserve">, para a oferta com registro </w:t>
            </w:r>
            <w:r w:rsidR="00FC2523" w:rsidRPr="002A7F74">
              <w:rPr>
                <w:lang w:val="pt-BR"/>
              </w:rPr>
              <w:t>automático</w:t>
            </w:r>
            <w:r w:rsidR="00B919F5" w:rsidRPr="002A7F74">
              <w:rPr>
                <w:lang w:val="pt-BR"/>
              </w:rPr>
              <w:t xml:space="preserve"> </w:t>
            </w:r>
            <w:r w:rsidR="00831A0F">
              <w:rPr>
                <w:lang w:val="pt-BR"/>
              </w:rPr>
              <w:t>e</w:t>
            </w:r>
            <w:r w:rsidR="00B919F5" w:rsidRPr="002A7F74">
              <w:rPr>
                <w:lang w:val="pt-BR"/>
              </w:rPr>
              <w:t xml:space="preserve"> dispensa de contratação de</w:t>
            </w:r>
            <w:r w:rsidR="00FC2523">
              <w:rPr>
                <w:lang w:val="pt-BR"/>
              </w:rPr>
              <w:t xml:space="preserve"> instituição </w:t>
            </w:r>
            <w:r w:rsidR="00B919F5" w:rsidRPr="002A7F74">
              <w:rPr>
                <w:lang w:val="pt-BR"/>
              </w:rPr>
              <w:t>intermediári</w:t>
            </w:r>
            <w:r w:rsidR="00FC2523">
              <w:rPr>
                <w:lang w:val="pt-BR"/>
              </w:rPr>
              <w:t>a</w:t>
            </w:r>
            <w:r w:rsidR="00B919F5" w:rsidRPr="002A7F74">
              <w:rPr>
                <w:lang w:val="pt-BR"/>
              </w:rPr>
              <w:t xml:space="preserve">, </w:t>
            </w:r>
            <w:r w:rsidR="00B33636" w:rsidRPr="002A7F74">
              <w:rPr>
                <w:lang w:val="pt-BR"/>
              </w:rPr>
              <w:t xml:space="preserve">as </w:t>
            </w:r>
            <w:r w:rsidR="00FC2523" w:rsidRPr="002A7F74">
              <w:rPr>
                <w:lang w:val="pt-BR"/>
              </w:rPr>
              <w:t>exigências</w:t>
            </w:r>
            <w:r w:rsidR="00B33636" w:rsidRPr="002A7F74">
              <w:rPr>
                <w:lang w:val="pt-BR"/>
              </w:rPr>
              <w:t xml:space="preserve"> já estabelecidas na </w:t>
            </w:r>
            <w:r w:rsidR="00FC2523">
              <w:rPr>
                <w:lang w:val="pt-BR"/>
              </w:rPr>
              <w:t>M</w:t>
            </w:r>
            <w:r w:rsidR="00B33636" w:rsidRPr="002A7F74">
              <w:rPr>
                <w:lang w:val="pt-BR"/>
              </w:rPr>
              <w:t>inuta</w:t>
            </w:r>
            <w:r w:rsidR="00FC2523">
              <w:rPr>
                <w:lang w:val="pt-BR"/>
              </w:rPr>
              <w:t xml:space="preserve">, inclusive a natureza de do emissor, </w:t>
            </w:r>
            <w:r w:rsidR="00B33636" w:rsidRPr="002A7F74">
              <w:rPr>
                <w:lang w:val="pt-BR"/>
              </w:rPr>
              <w:t xml:space="preserve">são suficientes para </w:t>
            </w:r>
            <w:r w:rsidR="00B919F5" w:rsidRPr="002A7F74">
              <w:rPr>
                <w:lang w:val="pt-BR"/>
              </w:rPr>
              <w:t>garantir</w:t>
            </w:r>
            <w:r w:rsidR="009E2FD4">
              <w:rPr>
                <w:lang w:val="pt-BR"/>
              </w:rPr>
              <w:t xml:space="preserve"> </w:t>
            </w:r>
            <w:r w:rsidR="00FC2523">
              <w:rPr>
                <w:lang w:val="pt-BR"/>
              </w:rPr>
              <w:t xml:space="preserve">a mitigação de riscos e a divulgação </w:t>
            </w:r>
            <w:r w:rsidR="002E621B" w:rsidRPr="002A7F74">
              <w:rPr>
                <w:lang w:val="pt-BR"/>
              </w:rPr>
              <w:t>suficiente de informações</w:t>
            </w:r>
            <w:r w:rsidR="009E2FD4">
              <w:rPr>
                <w:lang w:val="pt-BR"/>
              </w:rPr>
              <w:t xml:space="preserve"> a</w:t>
            </w:r>
            <w:r w:rsidR="009E2FD4" w:rsidRPr="002A7F74">
              <w:rPr>
                <w:lang w:val="pt-BR"/>
              </w:rPr>
              <w:t xml:space="preserve"> investidores profissionais</w:t>
            </w:r>
            <w:r w:rsidR="00F92B77" w:rsidRPr="002A7F74">
              <w:rPr>
                <w:lang w:val="pt-BR"/>
              </w:rPr>
              <w:t>.</w:t>
            </w:r>
          </w:p>
        </w:tc>
      </w:tr>
    </w:tbl>
    <w:p w:rsidR="00F92B77" w:rsidRPr="002A7F74" w:rsidRDefault="00F92B77" w:rsidP="00831A0F">
      <w:pPr>
        <w:pStyle w:val="CorpoA"/>
        <w:spacing w:after="0" w:line="312" w:lineRule="auto"/>
        <w:ind w:firstLine="709"/>
        <w:jc w:val="both"/>
        <w:rPr>
          <w:rFonts w:ascii="Times New Roman" w:eastAsia="Times New Roman" w:hAnsi="Times New Roman" w:cs="Times New Roman"/>
          <w:b/>
          <w:bCs/>
          <w:sz w:val="24"/>
          <w:szCs w:val="24"/>
          <w:lang w:val="pt-BR"/>
        </w:rPr>
      </w:pPr>
    </w:p>
    <w:p w:rsidR="00E65C25" w:rsidRPr="00E65C25" w:rsidRDefault="00D377CF" w:rsidP="00831A0F">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r w:rsidR="00596454" w:rsidRPr="00E65C25">
        <w:rPr>
          <w:rFonts w:ascii="Times New Roman" w:hAnsi="Times New Roman" w:cs="Times New Roman"/>
          <w:sz w:val="24"/>
          <w:szCs w:val="24"/>
          <w:lang w:val="pt-BR"/>
        </w:rPr>
        <w:t xml:space="preserve">COPEL solicita </w:t>
      </w:r>
      <w:r w:rsidR="00E65C25" w:rsidRPr="00E65C25">
        <w:rPr>
          <w:rFonts w:ascii="Times New Roman" w:hAnsi="Times New Roman" w:cs="Times New Roman"/>
          <w:sz w:val="24"/>
          <w:szCs w:val="24"/>
          <w:lang w:val="pt-BR"/>
        </w:rPr>
        <w:t>a extensão d</w:t>
      </w:r>
      <w:r w:rsidR="00596454" w:rsidRPr="00E65C25">
        <w:rPr>
          <w:rFonts w:ascii="Times New Roman" w:hAnsi="Times New Roman" w:cs="Times New Roman"/>
          <w:sz w:val="24"/>
          <w:szCs w:val="24"/>
          <w:lang w:val="pt-BR"/>
        </w:rPr>
        <w:t xml:space="preserve">o prazo de </w:t>
      </w:r>
      <w:r w:rsidR="006D0578" w:rsidRPr="00E65C25">
        <w:rPr>
          <w:rFonts w:ascii="Times New Roman" w:hAnsi="Times New Roman" w:cs="Times New Roman"/>
          <w:sz w:val="24"/>
          <w:szCs w:val="24"/>
          <w:lang w:val="pt-BR"/>
        </w:rPr>
        <w:t>vencimento</w:t>
      </w:r>
      <w:r w:rsidR="00E65C25" w:rsidRPr="00E65C25">
        <w:rPr>
          <w:rFonts w:ascii="Times New Roman" w:hAnsi="Times New Roman" w:cs="Times New Roman"/>
          <w:sz w:val="24"/>
          <w:szCs w:val="24"/>
          <w:lang w:val="pt-BR"/>
        </w:rPr>
        <w:t xml:space="preserve"> das notas promissórias emitidas por EGEM com dispensa de contratação de instituição intermediária, para </w:t>
      </w:r>
      <w:r w:rsidR="00596454" w:rsidRPr="00E65C25">
        <w:rPr>
          <w:rFonts w:ascii="Times New Roman" w:hAnsi="Times New Roman" w:cs="Times New Roman"/>
          <w:sz w:val="24"/>
          <w:szCs w:val="24"/>
          <w:lang w:val="pt-BR"/>
        </w:rPr>
        <w:t>180 dias.</w:t>
      </w:r>
      <w:r w:rsidR="00E65C25" w:rsidRPr="00E65C25">
        <w:rPr>
          <w:rFonts w:ascii="Times New Roman" w:hAnsi="Times New Roman" w:cs="Times New Roman"/>
          <w:sz w:val="24"/>
          <w:szCs w:val="24"/>
          <w:lang w:val="pt-BR"/>
        </w:rPr>
        <w:t xml:space="preserve"> Como sociedade de economia mista, a companhia afirma que encontra dificuldades para se financiar e aduz que a contratação de instituição intermediária encarece a emissão de notas</w:t>
      </w:r>
      <w:r w:rsidR="00E65C25">
        <w:rPr>
          <w:rFonts w:ascii="Times New Roman" w:hAnsi="Times New Roman" w:cs="Times New Roman"/>
          <w:sz w:val="24"/>
          <w:szCs w:val="24"/>
          <w:lang w:val="pt-BR"/>
        </w:rPr>
        <w:t xml:space="preserve"> promissórias</w:t>
      </w:r>
      <w:r w:rsidR="00E65C25" w:rsidRPr="00E65C25">
        <w:rPr>
          <w:rFonts w:ascii="Times New Roman" w:hAnsi="Times New Roman" w:cs="Times New Roman"/>
          <w:sz w:val="24"/>
          <w:szCs w:val="24"/>
          <w:lang w:val="pt-BR"/>
        </w:rPr>
        <w:t>, título que é de curto prazo por natureza.</w:t>
      </w:r>
    </w:p>
    <w:p w:rsidR="00E65C25" w:rsidRPr="00E65C25" w:rsidRDefault="00E65C25" w:rsidP="00831A0F">
      <w:pPr>
        <w:pStyle w:val="CorpoA"/>
        <w:spacing w:after="0" w:line="312" w:lineRule="auto"/>
        <w:ind w:firstLine="709"/>
        <w:jc w:val="both"/>
        <w:rPr>
          <w:rFonts w:ascii="Times New Roman" w:hAnsi="Times New Roman" w:cs="Times New Roman"/>
          <w:sz w:val="24"/>
          <w:szCs w:val="24"/>
          <w:lang w:val="pt-BR"/>
        </w:rPr>
      </w:pPr>
    </w:p>
    <w:p w:rsidR="00600942" w:rsidRPr="00E65C25" w:rsidRDefault="006D0578" w:rsidP="00831A0F">
      <w:pPr>
        <w:pStyle w:val="CorpoA"/>
        <w:spacing w:after="0" w:line="312" w:lineRule="auto"/>
        <w:ind w:firstLine="709"/>
        <w:jc w:val="both"/>
        <w:rPr>
          <w:rFonts w:ascii="Times New Roman" w:hAnsi="Times New Roman" w:cs="Times New Roman"/>
          <w:sz w:val="24"/>
          <w:szCs w:val="24"/>
          <w:lang w:val="pt-BR"/>
        </w:rPr>
      </w:pPr>
      <w:r w:rsidRPr="00E65C25">
        <w:rPr>
          <w:rFonts w:ascii="Times New Roman" w:hAnsi="Times New Roman" w:cs="Times New Roman"/>
          <w:sz w:val="24"/>
          <w:szCs w:val="24"/>
          <w:lang w:val="pt-BR"/>
        </w:rPr>
        <w:lastRenderedPageBreak/>
        <w:t xml:space="preserve"> </w:t>
      </w:r>
      <w:r w:rsidR="00FC2523" w:rsidRPr="00E65C25">
        <w:rPr>
          <w:rFonts w:ascii="Times New Roman" w:hAnsi="Times New Roman" w:cs="Times New Roman"/>
          <w:sz w:val="24"/>
          <w:szCs w:val="24"/>
          <w:lang w:val="pt-BR"/>
        </w:rPr>
        <w:t>Já a</w:t>
      </w:r>
      <w:r w:rsidRPr="00E65C25">
        <w:rPr>
          <w:rFonts w:ascii="Times New Roman" w:hAnsi="Times New Roman" w:cs="Times New Roman"/>
          <w:sz w:val="24"/>
          <w:szCs w:val="24"/>
          <w:lang w:val="pt-BR"/>
        </w:rPr>
        <w:t xml:space="preserve"> BM&amp;FBOVESPA sugere que</w:t>
      </w:r>
      <w:r w:rsidR="00FC2523" w:rsidRPr="00E65C25">
        <w:rPr>
          <w:rFonts w:ascii="Times New Roman" w:hAnsi="Times New Roman" w:cs="Times New Roman"/>
          <w:sz w:val="24"/>
          <w:szCs w:val="24"/>
          <w:lang w:val="pt-BR"/>
        </w:rPr>
        <w:t>,</w:t>
      </w:r>
      <w:r w:rsidRPr="00E65C25">
        <w:rPr>
          <w:rFonts w:ascii="Times New Roman" w:hAnsi="Times New Roman" w:cs="Times New Roman"/>
          <w:sz w:val="24"/>
          <w:szCs w:val="24"/>
          <w:lang w:val="pt-BR"/>
        </w:rPr>
        <w:t xml:space="preserve"> para emissões com a presença do agente fiduciário</w:t>
      </w:r>
      <w:r w:rsidR="00FC2523" w:rsidRPr="00E65C25">
        <w:rPr>
          <w:rFonts w:ascii="Times New Roman" w:hAnsi="Times New Roman" w:cs="Times New Roman"/>
          <w:sz w:val="24"/>
          <w:szCs w:val="24"/>
          <w:lang w:val="pt-BR"/>
        </w:rPr>
        <w:t>,</w:t>
      </w:r>
      <w:r w:rsidRPr="00E65C25">
        <w:rPr>
          <w:rFonts w:ascii="Times New Roman" w:hAnsi="Times New Roman" w:cs="Times New Roman"/>
          <w:sz w:val="24"/>
          <w:szCs w:val="24"/>
          <w:lang w:val="pt-BR"/>
        </w:rPr>
        <w:t xml:space="preserve"> não haja </w:t>
      </w:r>
      <w:r w:rsidR="00E65C25">
        <w:rPr>
          <w:rFonts w:ascii="Times New Roman" w:hAnsi="Times New Roman" w:cs="Times New Roman"/>
          <w:sz w:val="24"/>
          <w:szCs w:val="24"/>
          <w:lang w:val="pt-BR"/>
        </w:rPr>
        <w:t xml:space="preserve">um prazo limite de </w:t>
      </w:r>
      <w:r w:rsidRPr="00E65C25">
        <w:rPr>
          <w:rFonts w:ascii="Times New Roman" w:hAnsi="Times New Roman" w:cs="Times New Roman"/>
          <w:sz w:val="24"/>
          <w:szCs w:val="24"/>
          <w:lang w:val="pt-BR"/>
        </w:rPr>
        <w:t>vencimento.</w:t>
      </w:r>
    </w:p>
    <w:p w:rsidR="00596454" w:rsidRPr="00826B5F" w:rsidRDefault="00596454" w:rsidP="00831A0F">
      <w:pPr>
        <w:pStyle w:val="CorpoA"/>
        <w:widowControl w:val="0"/>
        <w:spacing w:after="0" w:line="312" w:lineRule="auto"/>
        <w:ind w:firstLine="709"/>
        <w:jc w:val="both"/>
        <w:rPr>
          <w:rFonts w:ascii="Times New Roman" w:eastAsia="Times New Roman" w:hAnsi="Times New Roman" w:cs="Times New Roman"/>
          <w:sz w:val="24"/>
          <w:szCs w:val="24"/>
          <w:highlight w:val="yellow"/>
          <w:lang w:val="pt-BR"/>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596454" w:rsidRPr="00533EEE" w:rsidTr="00FC2523">
        <w:trPr>
          <w:trHeight w:val="1056"/>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9D2D0E" w:rsidRDefault="002E621B" w:rsidP="00D377CF">
            <w:pPr>
              <w:spacing w:line="312" w:lineRule="auto"/>
              <w:ind w:firstLine="567"/>
              <w:jc w:val="both"/>
              <w:rPr>
                <w:lang w:val="pt-BR"/>
              </w:rPr>
            </w:pPr>
            <w:r w:rsidRPr="00E65C25">
              <w:rPr>
                <w:lang w:val="pt-BR"/>
              </w:rPr>
              <w:t xml:space="preserve">A CVM entende que o curtíssimo prazo estabelecido para o vencimento do título é um dos fatores preponderantes </w:t>
            </w:r>
            <w:r w:rsidR="00FC2523" w:rsidRPr="00E65C25">
              <w:rPr>
                <w:lang w:val="pt-BR"/>
              </w:rPr>
              <w:t>para justificar a</w:t>
            </w:r>
            <w:r w:rsidRPr="00E65C25">
              <w:rPr>
                <w:lang w:val="pt-BR"/>
              </w:rPr>
              <w:t xml:space="preserve"> ausência do intermediário na oferta</w:t>
            </w:r>
            <w:r w:rsidR="00596454" w:rsidRPr="00E65C25">
              <w:rPr>
                <w:lang w:val="pt-BR"/>
              </w:rPr>
              <w:t>.</w:t>
            </w:r>
            <w:r w:rsidR="00FC2523" w:rsidRPr="00E65C25">
              <w:rPr>
                <w:lang w:val="pt-BR"/>
              </w:rPr>
              <w:t xml:space="preserve"> </w:t>
            </w:r>
            <w:r w:rsidR="009D2D0E">
              <w:rPr>
                <w:lang w:val="pt-BR"/>
              </w:rPr>
              <w:t>Assim, neste momento, a CVM prefere adotar um prazo mais curto para avaliar o funcionamento da regra.</w:t>
            </w:r>
          </w:p>
          <w:p w:rsidR="009D2D0E" w:rsidRDefault="009D2D0E" w:rsidP="00D377CF">
            <w:pPr>
              <w:spacing w:line="312" w:lineRule="auto"/>
              <w:ind w:firstLine="567"/>
              <w:jc w:val="both"/>
              <w:rPr>
                <w:lang w:val="pt-BR"/>
              </w:rPr>
            </w:pPr>
          </w:p>
          <w:p w:rsidR="00596454" w:rsidRPr="00E65C25" w:rsidRDefault="00FC2523" w:rsidP="00D377CF">
            <w:pPr>
              <w:spacing w:line="312" w:lineRule="auto"/>
              <w:ind w:firstLine="567"/>
              <w:jc w:val="both"/>
              <w:rPr>
                <w:i/>
                <w:lang w:val="pt-BR"/>
              </w:rPr>
            </w:pPr>
            <w:r w:rsidRPr="00E65C25">
              <w:rPr>
                <w:lang w:val="pt-BR"/>
              </w:rPr>
              <w:t xml:space="preserve">Por conta disso, as sugestões da BM&amp;FBOVESPA e da COPEL não foram acatadas. </w:t>
            </w:r>
          </w:p>
        </w:tc>
      </w:tr>
    </w:tbl>
    <w:p w:rsidR="00596454" w:rsidRPr="00826B5F" w:rsidRDefault="00596454" w:rsidP="00A93F2F">
      <w:pPr>
        <w:pStyle w:val="CorpoA"/>
        <w:spacing w:after="0" w:line="312" w:lineRule="auto"/>
        <w:ind w:firstLine="709"/>
        <w:jc w:val="both"/>
        <w:rPr>
          <w:rFonts w:ascii="Times New Roman" w:eastAsia="Times New Roman" w:hAnsi="Times New Roman" w:cs="Times New Roman"/>
          <w:sz w:val="24"/>
          <w:szCs w:val="24"/>
          <w:highlight w:val="yellow"/>
          <w:lang w:val="pt-BR"/>
        </w:rPr>
      </w:pPr>
    </w:p>
    <w:p w:rsidR="002D4FF4" w:rsidRDefault="00D377CF" w:rsidP="002D4FF4">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r w:rsidR="002D4FF4" w:rsidRPr="00673BC0">
        <w:rPr>
          <w:rFonts w:ascii="Times New Roman" w:hAnsi="Times New Roman" w:cs="Times New Roman"/>
          <w:sz w:val="24"/>
          <w:szCs w:val="24"/>
          <w:lang w:val="pt-BR"/>
        </w:rPr>
        <w:t xml:space="preserve">CETIP solicita ajustar a redação </w:t>
      </w:r>
      <w:r w:rsidR="002D4FF4">
        <w:rPr>
          <w:rFonts w:ascii="Times New Roman" w:hAnsi="Times New Roman" w:cs="Times New Roman"/>
          <w:sz w:val="24"/>
          <w:szCs w:val="24"/>
          <w:lang w:val="pt-BR"/>
        </w:rPr>
        <w:t>art. 12</w:t>
      </w:r>
      <w:r w:rsidR="002D4FF4" w:rsidRPr="00673BC0">
        <w:rPr>
          <w:rFonts w:ascii="Times New Roman" w:hAnsi="Times New Roman" w:cs="Times New Roman"/>
          <w:sz w:val="24"/>
          <w:szCs w:val="24"/>
          <w:lang w:val="pt-BR"/>
        </w:rPr>
        <w:t xml:space="preserve"> para </w:t>
      </w:r>
      <w:r w:rsidR="002D4FF4">
        <w:rPr>
          <w:rFonts w:ascii="Times New Roman" w:hAnsi="Times New Roman" w:cs="Times New Roman"/>
          <w:sz w:val="24"/>
          <w:szCs w:val="24"/>
          <w:lang w:val="pt-BR"/>
        </w:rPr>
        <w:t>esclarecer</w:t>
      </w:r>
      <w:r w:rsidR="002D4FF4" w:rsidRPr="00673BC0">
        <w:rPr>
          <w:rFonts w:ascii="Times New Roman" w:hAnsi="Times New Roman" w:cs="Times New Roman"/>
          <w:sz w:val="24"/>
          <w:szCs w:val="24"/>
          <w:lang w:val="pt-BR"/>
        </w:rPr>
        <w:t xml:space="preserve"> </w:t>
      </w:r>
      <w:r w:rsidR="002D4FF4">
        <w:rPr>
          <w:rFonts w:ascii="Times New Roman" w:hAnsi="Times New Roman" w:cs="Times New Roman"/>
          <w:sz w:val="24"/>
          <w:szCs w:val="24"/>
          <w:lang w:val="pt-BR"/>
        </w:rPr>
        <w:t>que as operações (i)</w:t>
      </w:r>
      <w:r w:rsidR="002D4FF4" w:rsidRPr="00673BC0">
        <w:rPr>
          <w:rFonts w:ascii="Times New Roman" w:hAnsi="Times New Roman" w:cs="Times New Roman"/>
          <w:sz w:val="24"/>
          <w:szCs w:val="24"/>
          <w:lang w:val="pt-BR"/>
        </w:rPr>
        <w:t xml:space="preserve"> </w:t>
      </w:r>
      <w:r w:rsidR="002D4FF4">
        <w:rPr>
          <w:rFonts w:ascii="Times New Roman" w:hAnsi="Times New Roman" w:cs="Times New Roman"/>
          <w:sz w:val="24"/>
          <w:szCs w:val="24"/>
          <w:lang w:val="pt-BR"/>
        </w:rPr>
        <w:t xml:space="preserve">realizadas </w:t>
      </w:r>
      <w:r w:rsidR="002D4FF4" w:rsidRPr="00673BC0">
        <w:rPr>
          <w:rFonts w:ascii="Times New Roman" w:hAnsi="Times New Roman" w:cs="Times New Roman"/>
          <w:sz w:val="24"/>
          <w:szCs w:val="24"/>
          <w:lang w:val="pt-BR"/>
        </w:rPr>
        <w:t xml:space="preserve">nos </w:t>
      </w:r>
      <w:r w:rsidR="002D4FF4">
        <w:rPr>
          <w:rFonts w:ascii="Times New Roman" w:hAnsi="Times New Roman" w:cs="Times New Roman"/>
          <w:sz w:val="24"/>
          <w:szCs w:val="24"/>
          <w:lang w:val="pt-BR"/>
        </w:rPr>
        <w:t>sistemas de negociação dos</w:t>
      </w:r>
      <w:r w:rsidR="002D4FF4" w:rsidRPr="00673BC0">
        <w:rPr>
          <w:rFonts w:ascii="Times New Roman" w:hAnsi="Times New Roman" w:cs="Times New Roman"/>
          <w:sz w:val="24"/>
          <w:szCs w:val="24"/>
          <w:lang w:val="pt-BR"/>
        </w:rPr>
        <w:t xml:space="preserve"> mercados organizados</w:t>
      </w:r>
      <w:r w:rsidR="002D4FF4">
        <w:rPr>
          <w:rFonts w:ascii="Times New Roman" w:hAnsi="Times New Roman" w:cs="Times New Roman"/>
          <w:sz w:val="24"/>
          <w:szCs w:val="24"/>
          <w:lang w:val="pt-BR"/>
        </w:rPr>
        <w:t xml:space="preserve"> ou (ii) realizadas previamente, </w:t>
      </w:r>
      <w:r w:rsidR="002D4FF4" w:rsidRPr="00673BC0">
        <w:rPr>
          <w:rFonts w:ascii="Times New Roman" w:hAnsi="Times New Roman" w:cs="Times New Roman"/>
          <w:sz w:val="24"/>
          <w:szCs w:val="24"/>
          <w:lang w:val="pt-BR"/>
        </w:rPr>
        <w:t xml:space="preserve">fora </w:t>
      </w:r>
      <w:r w:rsidR="002D4FF4">
        <w:rPr>
          <w:rFonts w:ascii="Times New Roman" w:hAnsi="Times New Roman" w:cs="Times New Roman"/>
          <w:sz w:val="24"/>
          <w:szCs w:val="24"/>
          <w:lang w:val="pt-BR"/>
        </w:rPr>
        <w:t xml:space="preserve">de tais sistemas, mas levadas </w:t>
      </w:r>
      <w:r w:rsidR="002D4FF4" w:rsidRPr="00673BC0">
        <w:rPr>
          <w:rFonts w:ascii="Times New Roman" w:hAnsi="Times New Roman" w:cs="Times New Roman"/>
          <w:sz w:val="24"/>
          <w:szCs w:val="24"/>
          <w:lang w:val="pt-BR"/>
        </w:rPr>
        <w:t xml:space="preserve">a registro </w:t>
      </w:r>
      <w:r w:rsidR="002D4FF4">
        <w:rPr>
          <w:rFonts w:ascii="Times New Roman" w:hAnsi="Times New Roman" w:cs="Times New Roman"/>
          <w:sz w:val="24"/>
          <w:szCs w:val="24"/>
          <w:lang w:val="pt-BR"/>
        </w:rPr>
        <w:t xml:space="preserve">em mercados organizados (a) </w:t>
      </w:r>
      <w:r w:rsidR="002D4FF4" w:rsidRPr="00673BC0">
        <w:rPr>
          <w:rFonts w:ascii="Times New Roman" w:hAnsi="Times New Roman" w:cs="Times New Roman"/>
          <w:sz w:val="24"/>
          <w:szCs w:val="24"/>
          <w:lang w:val="pt-BR"/>
        </w:rPr>
        <w:t>devem ter a participação de um intermediário e (</w:t>
      </w:r>
      <w:r w:rsidR="002D4FF4">
        <w:rPr>
          <w:rFonts w:ascii="Times New Roman" w:hAnsi="Times New Roman" w:cs="Times New Roman"/>
          <w:sz w:val="24"/>
          <w:szCs w:val="24"/>
          <w:lang w:val="pt-BR"/>
        </w:rPr>
        <w:t>b</w:t>
      </w:r>
      <w:r w:rsidR="002D4FF4" w:rsidRPr="00673BC0">
        <w:rPr>
          <w:rFonts w:ascii="Times New Roman" w:hAnsi="Times New Roman" w:cs="Times New Roman"/>
          <w:sz w:val="24"/>
          <w:szCs w:val="24"/>
          <w:lang w:val="pt-BR"/>
        </w:rPr>
        <w:t xml:space="preserve">) que este intermediário será o responsável pela verificação da condição de investidor </w:t>
      </w:r>
      <w:r w:rsidR="002D4FF4">
        <w:rPr>
          <w:rFonts w:ascii="Times New Roman" w:hAnsi="Times New Roman" w:cs="Times New Roman"/>
          <w:sz w:val="24"/>
          <w:szCs w:val="24"/>
          <w:lang w:val="pt-BR"/>
        </w:rPr>
        <w:t>profissional</w:t>
      </w:r>
      <w:r w:rsidR="002D4FF4" w:rsidRPr="00673BC0">
        <w:rPr>
          <w:rFonts w:ascii="Times New Roman" w:hAnsi="Times New Roman" w:cs="Times New Roman"/>
          <w:sz w:val="24"/>
          <w:szCs w:val="24"/>
          <w:lang w:val="pt-BR"/>
        </w:rPr>
        <w:t xml:space="preserve">, exigida pelo </w:t>
      </w:r>
      <w:r w:rsidR="002D4FF4">
        <w:rPr>
          <w:rFonts w:ascii="Times New Roman" w:hAnsi="Times New Roman" w:cs="Times New Roman"/>
          <w:sz w:val="24"/>
          <w:szCs w:val="24"/>
          <w:lang w:val="pt-BR"/>
        </w:rPr>
        <w:t>inciso II do dispositivo</w:t>
      </w:r>
      <w:r w:rsidR="002D4FF4" w:rsidRPr="00673BC0">
        <w:rPr>
          <w:rFonts w:ascii="Times New Roman" w:hAnsi="Times New Roman" w:cs="Times New Roman"/>
          <w:sz w:val="24"/>
          <w:szCs w:val="24"/>
          <w:lang w:val="pt-BR"/>
        </w:rPr>
        <w:t>.</w:t>
      </w:r>
    </w:p>
    <w:p w:rsidR="002D4FF4" w:rsidRDefault="002D4FF4" w:rsidP="002D4FF4">
      <w:pPr>
        <w:pStyle w:val="CorpoA"/>
        <w:spacing w:after="0" w:line="312" w:lineRule="auto"/>
        <w:ind w:firstLine="709"/>
        <w:jc w:val="both"/>
        <w:rPr>
          <w:rFonts w:ascii="Times New Roman" w:hAnsi="Times New Roman" w:cs="Times New Roman"/>
          <w:sz w:val="24"/>
          <w:szCs w:val="24"/>
          <w:lang w:val="pt-BR"/>
        </w:rPr>
      </w:pPr>
    </w:p>
    <w:p w:rsidR="002D4FF4" w:rsidRDefault="002D4FF4" w:rsidP="002D4FF4">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De acordo com a CETIP, que propõe a redação abaixo para o art. 12, “</w:t>
      </w:r>
      <w:r w:rsidRPr="00505087">
        <w:rPr>
          <w:rFonts w:ascii="Times New Roman" w:hAnsi="Times New Roman" w:cs="Times New Roman"/>
          <w:i/>
          <w:sz w:val="24"/>
          <w:szCs w:val="24"/>
          <w:lang w:val="pt-BR"/>
        </w:rPr>
        <w:t>vê-se necessária a pacificação de entendimento sobre a responsabilidade de verificação da qualidade de investidor para a circulação das notas promissórias nos mercados organizados</w:t>
      </w:r>
      <w:r>
        <w:rPr>
          <w:rFonts w:ascii="Times New Roman" w:hAnsi="Times New Roman" w:cs="Times New Roman"/>
          <w:sz w:val="24"/>
          <w:szCs w:val="24"/>
          <w:lang w:val="pt-BR"/>
        </w:rPr>
        <w:t>”:</w:t>
      </w:r>
    </w:p>
    <w:p w:rsidR="002D4FF4" w:rsidRDefault="002D4FF4" w:rsidP="002D4FF4">
      <w:pPr>
        <w:pStyle w:val="CorpoA"/>
        <w:spacing w:after="0" w:line="312" w:lineRule="auto"/>
        <w:ind w:firstLine="709"/>
        <w:jc w:val="both"/>
        <w:rPr>
          <w:rFonts w:ascii="Times New Roman" w:hAnsi="Times New Roman" w:cs="Times New Roman"/>
          <w:sz w:val="24"/>
          <w:szCs w:val="24"/>
          <w:lang w:val="pt-BR"/>
        </w:rPr>
      </w:pPr>
    </w:p>
    <w:p w:rsidR="002D4FF4" w:rsidRPr="002D4FF4" w:rsidRDefault="002D4FF4" w:rsidP="002D4FF4">
      <w:pPr>
        <w:pStyle w:val="CorpoA"/>
        <w:spacing w:line="312" w:lineRule="auto"/>
        <w:ind w:left="709"/>
        <w:jc w:val="both"/>
        <w:rPr>
          <w:rFonts w:ascii="Times New Roman" w:hAnsi="Times New Roman" w:cs="Times New Roman"/>
          <w:i/>
          <w:sz w:val="24"/>
          <w:szCs w:val="24"/>
          <w:lang w:val="pt-BR"/>
        </w:rPr>
      </w:pPr>
      <w:r w:rsidRPr="00406B88">
        <w:rPr>
          <w:rFonts w:ascii="Times New Roman" w:hAnsi="Times New Roman" w:cs="Times New Roman"/>
          <w:sz w:val="24"/>
          <w:szCs w:val="24"/>
          <w:lang w:val="pt-BR"/>
        </w:rPr>
        <w:t>“</w:t>
      </w:r>
      <w:r w:rsidRPr="00406B88">
        <w:rPr>
          <w:rFonts w:ascii="Times New Roman" w:hAnsi="Times New Roman" w:cs="Times New Roman"/>
          <w:i/>
          <w:sz w:val="24"/>
          <w:szCs w:val="24"/>
          <w:lang w:val="pt-BR"/>
        </w:rPr>
        <w:t>Art. 1</w:t>
      </w:r>
      <w:r>
        <w:rPr>
          <w:rFonts w:ascii="Times New Roman" w:hAnsi="Times New Roman" w:cs="Times New Roman"/>
          <w:i/>
          <w:sz w:val="24"/>
          <w:szCs w:val="24"/>
          <w:lang w:val="pt-BR"/>
        </w:rPr>
        <w:t xml:space="preserve">2.  </w:t>
      </w:r>
      <w:r w:rsidRPr="002D4FF4">
        <w:rPr>
          <w:rFonts w:ascii="Times New Roman" w:hAnsi="Times New Roman" w:cs="Times New Roman"/>
          <w:i/>
          <w:sz w:val="24"/>
          <w:szCs w:val="24"/>
          <w:lang w:val="pt-BR"/>
        </w:rPr>
        <w:t>Ficam dispensados da contratação de instituição intermediária os emissores com grande</w:t>
      </w:r>
      <w:r>
        <w:rPr>
          <w:rFonts w:ascii="Times New Roman" w:hAnsi="Times New Roman" w:cs="Times New Roman"/>
          <w:i/>
          <w:sz w:val="24"/>
          <w:szCs w:val="24"/>
          <w:lang w:val="pt-BR"/>
        </w:rPr>
        <w:t xml:space="preserve"> </w:t>
      </w:r>
      <w:r w:rsidRPr="002D4FF4">
        <w:rPr>
          <w:rFonts w:ascii="Times New Roman" w:hAnsi="Times New Roman" w:cs="Times New Roman"/>
          <w:i/>
          <w:sz w:val="24"/>
          <w:szCs w:val="24"/>
          <w:lang w:val="pt-BR"/>
        </w:rPr>
        <w:t>exposição ao mercado, conforme definido em regra específica, que realizarem oferta pública de</w:t>
      </w:r>
      <w:r>
        <w:rPr>
          <w:rFonts w:ascii="Times New Roman" w:hAnsi="Times New Roman" w:cs="Times New Roman"/>
          <w:i/>
          <w:sz w:val="24"/>
          <w:szCs w:val="24"/>
          <w:lang w:val="pt-BR"/>
        </w:rPr>
        <w:t xml:space="preserve"> </w:t>
      </w:r>
      <w:r w:rsidRPr="002D4FF4">
        <w:rPr>
          <w:rFonts w:ascii="Times New Roman" w:hAnsi="Times New Roman" w:cs="Times New Roman"/>
          <w:i/>
          <w:sz w:val="24"/>
          <w:szCs w:val="24"/>
          <w:lang w:val="pt-BR"/>
        </w:rPr>
        <w:t>distribuição de nota promissória, desde que:</w:t>
      </w:r>
    </w:p>
    <w:p w:rsidR="002D4FF4" w:rsidRPr="002D4FF4" w:rsidRDefault="002D4FF4" w:rsidP="002D4FF4">
      <w:pPr>
        <w:pStyle w:val="CorpoA"/>
        <w:spacing w:line="312" w:lineRule="auto"/>
        <w:ind w:left="709"/>
        <w:jc w:val="both"/>
        <w:rPr>
          <w:rFonts w:ascii="Times New Roman" w:hAnsi="Times New Roman" w:cs="Times New Roman"/>
          <w:i/>
          <w:sz w:val="24"/>
          <w:szCs w:val="24"/>
          <w:lang w:val="pt-BR"/>
        </w:rPr>
      </w:pPr>
      <w:r w:rsidRPr="002D4FF4">
        <w:rPr>
          <w:rFonts w:ascii="Times New Roman" w:hAnsi="Times New Roman" w:cs="Times New Roman"/>
          <w:i/>
          <w:sz w:val="24"/>
          <w:szCs w:val="24"/>
          <w:lang w:val="pt-BR"/>
        </w:rPr>
        <w:t>I – as notas promissórias assim ofertadas tenham prazo de vencimento inferior a 90 dias; e</w:t>
      </w:r>
    </w:p>
    <w:p w:rsidR="002D4FF4" w:rsidRPr="002D4FF4" w:rsidRDefault="002D4FF4" w:rsidP="002D4FF4">
      <w:pPr>
        <w:pStyle w:val="CorpoA"/>
        <w:spacing w:line="312" w:lineRule="auto"/>
        <w:ind w:left="709"/>
        <w:jc w:val="both"/>
        <w:rPr>
          <w:rFonts w:ascii="Times New Roman" w:hAnsi="Times New Roman" w:cs="Times New Roman"/>
          <w:i/>
          <w:sz w:val="24"/>
          <w:szCs w:val="24"/>
          <w:lang w:val="pt-BR"/>
        </w:rPr>
      </w:pPr>
      <w:r w:rsidRPr="002D4FF4">
        <w:rPr>
          <w:rFonts w:ascii="Times New Roman" w:hAnsi="Times New Roman" w:cs="Times New Roman"/>
          <w:i/>
          <w:sz w:val="24"/>
          <w:szCs w:val="24"/>
          <w:lang w:val="pt-BR"/>
        </w:rPr>
        <w:t>II – a oferta se destine exclusivamente a investidores profissionais, conforme definido em regra</w:t>
      </w:r>
      <w:r>
        <w:rPr>
          <w:rFonts w:ascii="Times New Roman" w:hAnsi="Times New Roman" w:cs="Times New Roman"/>
          <w:i/>
          <w:sz w:val="24"/>
          <w:szCs w:val="24"/>
          <w:lang w:val="pt-BR"/>
        </w:rPr>
        <w:t xml:space="preserve"> </w:t>
      </w:r>
      <w:r w:rsidRPr="002D4FF4">
        <w:rPr>
          <w:rFonts w:ascii="Times New Roman" w:hAnsi="Times New Roman" w:cs="Times New Roman"/>
          <w:i/>
          <w:sz w:val="24"/>
          <w:szCs w:val="24"/>
          <w:lang w:val="pt-BR"/>
        </w:rPr>
        <w:t>específica.</w:t>
      </w:r>
    </w:p>
    <w:p w:rsidR="002D4FF4" w:rsidRDefault="002D4FF4" w:rsidP="002D4FF4">
      <w:pPr>
        <w:pStyle w:val="CorpoA"/>
        <w:spacing w:after="0" w:line="312" w:lineRule="auto"/>
        <w:ind w:left="709"/>
        <w:jc w:val="both"/>
        <w:rPr>
          <w:rFonts w:ascii="Times New Roman" w:hAnsi="Times New Roman" w:cs="Times New Roman"/>
          <w:i/>
          <w:sz w:val="24"/>
          <w:szCs w:val="24"/>
          <w:lang w:val="pt-BR"/>
        </w:rPr>
      </w:pPr>
      <w:r w:rsidRPr="00406B88">
        <w:rPr>
          <w:rFonts w:ascii="Times New Roman" w:hAnsi="Times New Roman" w:cs="Times New Roman"/>
          <w:i/>
          <w:strike/>
          <w:color w:val="FF0000"/>
          <w:sz w:val="24"/>
          <w:szCs w:val="24"/>
          <w:lang w:val="pt-BR"/>
        </w:rPr>
        <w:t>Parágrafo único.</w:t>
      </w:r>
      <w:r w:rsidRPr="00406B88">
        <w:rPr>
          <w:rFonts w:ascii="Times New Roman" w:hAnsi="Times New Roman" w:cs="Times New Roman"/>
          <w:i/>
          <w:color w:val="0066FF"/>
          <w:sz w:val="24"/>
          <w:szCs w:val="24"/>
          <w:u w:val="double" w:color="0066FF"/>
          <w:lang w:val="pt-BR"/>
        </w:rPr>
        <w:t>§1°</w:t>
      </w:r>
      <w:r w:rsidRPr="00406B88">
        <w:rPr>
          <w:rFonts w:ascii="Times New Roman" w:hAnsi="Times New Roman" w:cs="Times New Roman"/>
          <w:i/>
          <w:color w:val="0066FF"/>
          <w:sz w:val="24"/>
          <w:szCs w:val="24"/>
          <w:lang w:val="pt-BR"/>
        </w:rPr>
        <w:t xml:space="preserve"> </w:t>
      </w:r>
      <w:r w:rsidRPr="002D4FF4">
        <w:rPr>
          <w:rFonts w:ascii="Times New Roman" w:hAnsi="Times New Roman" w:cs="Times New Roman"/>
          <w:i/>
          <w:sz w:val="24"/>
          <w:szCs w:val="24"/>
          <w:lang w:val="pt-BR"/>
        </w:rPr>
        <w:t>A emissora é responsável por assegurar o</w:t>
      </w:r>
      <w:r>
        <w:rPr>
          <w:rFonts w:ascii="Times New Roman" w:hAnsi="Times New Roman" w:cs="Times New Roman"/>
          <w:i/>
          <w:sz w:val="24"/>
          <w:szCs w:val="24"/>
          <w:lang w:val="pt-BR"/>
        </w:rPr>
        <w:t xml:space="preserve"> disposto no inciso II do caput.</w:t>
      </w:r>
    </w:p>
    <w:p w:rsidR="002D4FF4" w:rsidRDefault="002D4FF4" w:rsidP="002D4FF4">
      <w:pPr>
        <w:pStyle w:val="CorpoA"/>
        <w:spacing w:after="0" w:line="312" w:lineRule="auto"/>
        <w:ind w:left="709"/>
        <w:jc w:val="both"/>
        <w:rPr>
          <w:rFonts w:ascii="Times New Roman" w:hAnsi="Times New Roman" w:cs="Times New Roman"/>
          <w:i/>
          <w:sz w:val="24"/>
          <w:szCs w:val="24"/>
          <w:lang w:val="pt-BR"/>
        </w:rPr>
      </w:pPr>
    </w:p>
    <w:p w:rsidR="002D4FF4" w:rsidRPr="000B2B54" w:rsidRDefault="002D4FF4" w:rsidP="002D4FF4">
      <w:pPr>
        <w:pStyle w:val="CorpoA"/>
        <w:spacing w:after="0" w:line="312" w:lineRule="auto"/>
        <w:ind w:left="709"/>
        <w:jc w:val="both"/>
        <w:rPr>
          <w:rFonts w:ascii="Times New Roman" w:hAnsi="Times New Roman" w:cs="Times New Roman"/>
          <w:i/>
          <w:color w:val="0066FF"/>
          <w:sz w:val="24"/>
          <w:szCs w:val="24"/>
          <w:u w:val="double" w:color="0066FF"/>
          <w:lang w:val="pt-BR"/>
        </w:rPr>
      </w:pPr>
      <w:r w:rsidRPr="000B2B54">
        <w:rPr>
          <w:rFonts w:ascii="Times New Roman" w:hAnsi="Times New Roman" w:cs="Times New Roman"/>
          <w:i/>
          <w:color w:val="0066FF"/>
          <w:sz w:val="24"/>
          <w:szCs w:val="24"/>
          <w:u w:val="double" w:color="0066FF"/>
          <w:lang w:val="pt-BR"/>
        </w:rPr>
        <w:t>§2° A nota promissória distribuída nos termos do art. 12 pode ser negociada ou ter a sua negociação previamente realizada e registrada em mercados organizados exclusivamente entre investidores profissionais e com a participação de intermediário.</w:t>
      </w:r>
    </w:p>
    <w:p w:rsidR="002D4FF4" w:rsidRPr="000B2B54" w:rsidRDefault="002D4FF4" w:rsidP="002D4FF4">
      <w:pPr>
        <w:pStyle w:val="CorpoA"/>
        <w:spacing w:after="0" w:line="312" w:lineRule="auto"/>
        <w:ind w:left="709"/>
        <w:jc w:val="both"/>
        <w:rPr>
          <w:rFonts w:ascii="Times New Roman" w:hAnsi="Times New Roman" w:cs="Times New Roman"/>
          <w:i/>
          <w:color w:val="0066FF"/>
          <w:sz w:val="24"/>
          <w:szCs w:val="24"/>
          <w:u w:val="double" w:color="0066FF"/>
          <w:lang w:val="pt-BR"/>
        </w:rPr>
      </w:pPr>
    </w:p>
    <w:p w:rsidR="002D4FF4" w:rsidRDefault="002D4FF4" w:rsidP="002D4FF4">
      <w:pPr>
        <w:pStyle w:val="CorpoA"/>
        <w:spacing w:after="0" w:line="312" w:lineRule="auto"/>
        <w:ind w:left="709"/>
        <w:jc w:val="both"/>
        <w:rPr>
          <w:rFonts w:ascii="Times New Roman" w:hAnsi="Times New Roman" w:cs="Times New Roman"/>
          <w:i/>
          <w:sz w:val="24"/>
          <w:szCs w:val="24"/>
          <w:lang w:val="pt-BR"/>
        </w:rPr>
      </w:pPr>
      <w:r w:rsidRPr="000B2B54">
        <w:rPr>
          <w:rFonts w:ascii="Times New Roman" w:hAnsi="Times New Roman" w:cs="Times New Roman"/>
          <w:i/>
          <w:color w:val="0066FF"/>
          <w:sz w:val="24"/>
          <w:szCs w:val="24"/>
          <w:u w:val="double" w:color="0066FF"/>
          <w:lang w:val="pt-BR"/>
        </w:rPr>
        <w:t>§3° A responsabilidade pela verificação da condição de investidor profissional de que trata o §2° é do intermediário</w:t>
      </w:r>
      <w:r w:rsidRPr="000B2B54">
        <w:rPr>
          <w:rFonts w:ascii="Times New Roman" w:hAnsi="Times New Roman" w:cs="Times New Roman"/>
          <w:sz w:val="24"/>
          <w:szCs w:val="24"/>
          <w:lang w:val="pt-BR"/>
        </w:rPr>
        <w:t>”.</w:t>
      </w:r>
      <w:r>
        <w:rPr>
          <w:rFonts w:ascii="Times New Roman" w:hAnsi="Times New Roman" w:cs="Times New Roman"/>
          <w:i/>
          <w:sz w:val="24"/>
          <w:szCs w:val="24"/>
          <w:lang w:val="pt-BR"/>
        </w:rPr>
        <w:t xml:space="preserve"> </w:t>
      </w:r>
    </w:p>
    <w:p w:rsidR="006D0578" w:rsidRPr="000B2B54" w:rsidRDefault="006D0578" w:rsidP="00A93F2F">
      <w:pPr>
        <w:pStyle w:val="CorpoA"/>
        <w:widowControl w:val="0"/>
        <w:spacing w:after="0" w:line="312" w:lineRule="auto"/>
        <w:ind w:firstLine="709"/>
        <w:jc w:val="both"/>
        <w:rPr>
          <w:rFonts w:ascii="Times New Roman" w:eastAsia="Times New Roman" w:hAnsi="Times New Roman" w:cs="Times New Roman"/>
          <w:sz w:val="24"/>
          <w:szCs w:val="24"/>
          <w:highlight w:val="yellow"/>
          <w:lang w:val="pt-BR"/>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6D0578" w:rsidRPr="00533EEE" w:rsidTr="006D0578">
        <w:trPr>
          <w:trHeight w:val="360"/>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44190F" w:rsidRPr="0044190F" w:rsidRDefault="0044190F" w:rsidP="0044190F">
            <w:p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4" w:firstLine="567"/>
              <w:jc w:val="both"/>
              <w:rPr>
                <w:rFonts w:eastAsia="Calibri"/>
                <w:iCs/>
                <w:color w:val="000000"/>
                <w:bdr w:val="none" w:sz="0" w:space="0" w:color="auto"/>
                <w:lang w:val="pt-BR" w:eastAsia="pt-BR"/>
              </w:rPr>
            </w:pPr>
            <w:r w:rsidRPr="0044190F">
              <w:rPr>
                <w:rFonts w:eastAsia="Calibri"/>
                <w:iCs/>
                <w:color w:val="000000"/>
                <w:bdr w:val="none" w:sz="0" w:space="0" w:color="auto"/>
                <w:lang w:val="pt-BR" w:eastAsia="pt-BR"/>
              </w:rPr>
              <w:lastRenderedPageBreak/>
              <w:t>A CVM esclarece que não pretendia, com a redação da Minuta, adotar nenhuma regra diferente daquela que já se encontra vigente no art. 16 da Instrução CVM n° 476, de 2009, segundo a qual cabe aos intermediários, conforme definidos pela Instrução CVM n° 505, de 2011, verificar a qualificação dos investidores que negociam os títulos em mercados regulamentados.</w:t>
            </w:r>
          </w:p>
          <w:p w:rsidR="0044190F" w:rsidRPr="0044190F" w:rsidRDefault="0044190F" w:rsidP="0044190F">
            <w:pPr>
              <w:pBdr>
                <w:top w:val="none" w:sz="0" w:space="0" w:color="auto"/>
                <w:left w:val="none" w:sz="0" w:space="0" w:color="auto"/>
                <w:bottom w:val="none" w:sz="0" w:space="0" w:color="auto"/>
                <w:right w:val="none" w:sz="0" w:space="0" w:color="auto"/>
                <w:between w:val="none" w:sz="0" w:space="0" w:color="auto"/>
                <w:bar w:val="none" w:sz="0" w:color="auto"/>
              </w:pBdr>
              <w:tabs>
                <w:tab w:val="left" w:pos="6383"/>
              </w:tabs>
              <w:spacing w:line="312" w:lineRule="auto"/>
              <w:ind w:left="34"/>
              <w:jc w:val="both"/>
              <w:rPr>
                <w:rFonts w:eastAsia="Calibri"/>
                <w:iCs/>
                <w:color w:val="000000"/>
                <w:bdr w:val="none" w:sz="0" w:space="0" w:color="auto"/>
                <w:lang w:val="pt-BR" w:eastAsia="pt-BR"/>
              </w:rPr>
            </w:pPr>
          </w:p>
          <w:p w:rsidR="006D0578" w:rsidRDefault="0044190F" w:rsidP="0044190F">
            <w:pPr>
              <w:spacing w:line="312" w:lineRule="auto"/>
              <w:ind w:firstLine="567"/>
              <w:jc w:val="both"/>
              <w:rPr>
                <w:rFonts w:eastAsia="Calibri"/>
                <w:iCs/>
                <w:color w:val="000000"/>
                <w:bdr w:val="none" w:sz="0" w:space="0" w:color="auto"/>
                <w:lang w:val="pt-BR" w:eastAsia="pt-BR"/>
              </w:rPr>
            </w:pPr>
            <w:r w:rsidRPr="0044190F">
              <w:rPr>
                <w:rFonts w:eastAsia="Calibri"/>
                <w:iCs/>
                <w:color w:val="000000"/>
                <w:bdr w:val="none" w:sz="0" w:space="0" w:color="auto"/>
                <w:lang w:val="pt-BR" w:eastAsia="pt-BR"/>
              </w:rPr>
              <w:t>Por conta disso, a CVM ajustou a Minuta para aproximar a redação do dispositivo em comento daquela que já se encontra em vigor na Instrução CVM n° 476, de 2009</w:t>
            </w:r>
            <w:r>
              <w:rPr>
                <w:rFonts w:eastAsia="Calibri"/>
                <w:iCs/>
                <w:color w:val="000000"/>
                <w:bdr w:val="none" w:sz="0" w:space="0" w:color="auto"/>
                <w:lang w:val="pt-BR" w:eastAsia="pt-BR"/>
              </w:rPr>
              <w:t xml:space="preserve">. </w:t>
            </w:r>
          </w:p>
          <w:p w:rsidR="0044190F" w:rsidRDefault="0044190F" w:rsidP="0044190F">
            <w:pPr>
              <w:spacing w:line="312" w:lineRule="auto"/>
              <w:ind w:firstLine="567"/>
              <w:jc w:val="both"/>
              <w:rPr>
                <w:rFonts w:eastAsia="Calibri"/>
                <w:iCs/>
                <w:color w:val="000000"/>
                <w:bdr w:val="none" w:sz="0" w:space="0" w:color="auto"/>
                <w:lang w:val="pt-BR" w:eastAsia="pt-BR"/>
              </w:rPr>
            </w:pPr>
          </w:p>
          <w:p w:rsidR="0044190F" w:rsidRPr="00826B5F" w:rsidRDefault="0044190F" w:rsidP="0044190F">
            <w:pPr>
              <w:spacing w:line="312" w:lineRule="auto"/>
              <w:ind w:firstLine="567"/>
              <w:jc w:val="both"/>
              <w:rPr>
                <w:highlight w:val="yellow"/>
                <w:lang w:val="pt-BR"/>
              </w:rPr>
            </w:pPr>
            <w:r w:rsidRPr="0044190F">
              <w:rPr>
                <w:rFonts w:eastAsia="Calibri"/>
                <w:iCs/>
                <w:color w:val="000000"/>
                <w:bdr w:val="none" w:sz="0" w:space="0" w:color="auto"/>
                <w:lang w:val="pt-BR" w:eastAsia="pt-BR"/>
              </w:rPr>
              <w:t>Além disso, acrescentou-se, como sugerido pela CETIP, um parágrafo específico ao art. 12 para deixar claro que também as notas promissórias ofertadas de acordo com esse dispositivo podem ser negociadas em mercados regulamentados, desde que exclusivamente entre investidores profissionais.</w:t>
            </w:r>
          </w:p>
        </w:tc>
      </w:tr>
    </w:tbl>
    <w:p w:rsidR="006D0578" w:rsidRPr="00826B5F" w:rsidRDefault="006D0578" w:rsidP="00A93F2F">
      <w:pPr>
        <w:pStyle w:val="CorpoA"/>
        <w:spacing w:after="0" w:line="312" w:lineRule="auto"/>
        <w:ind w:firstLine="709"/>
        <w:jc w:val="both"/>
        <w:rPr>
          <w:rFonts w:ascii="Times New Roman" w:eastAsia="Times New Roman" w:hAnsi="Times New Roman" w:cs="Times New Roman"/>
          <w:sz w:val="24"/>
          <w:szCs w:val="24"/>
          <w:highlight w:val="yellow"/>
          <w:lang w:val="pt-BR"/>
        </w:rPr>
      </w:pPr>
    </w:p>
    <w:p w:rsidR="00F96B9B" w:rsidRPr="00E65C25" w:rsidRDefault="00C6488F" w:rsidP="00A93F2F">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w:t>
      </w:r>
      <w:r w:rsidR="002A7F74" w:rsidRPr="00E65C25">
        <w:rPr>
          <w:rFonts w:ascii="Times New Roman" w:hAnsi="Times New Roman" w:cs="Times New Roman"/>
          <w:sz w:val="24"/>
          <w:szCs w:val="24"/>
          <w:lang w:val="pt-BR"/>
        </w:rPr>
        <w:t>Stocche</w:t>
      </w:r>
      <w:r w:rsidR="00F96B9B" w:rsidRPr="00E65C25">
        <w:rPr>
          <w:rFonts w:ascii="Times New Roman" w:hAnsi="Times New Roman" w:cs="Times New Roman"/>
          <w:sz w:val="24"/>
          <w:szCs w:val="24"/>
          <w:lang w:val="pt-BR"/>
        </w:rPr>
        <w:t xml:space="preserve"> Forbes </w:t>
      </w:r>
      <w:r w:rsidR="00E65C25" w:rsidRPr="00E65C25">
        <w:rPr>
          <w:rFonts w:ascii="Times New Roman" w:hAnsi="Times New Roman" w:cs="Times New Roman"/>
          <w:sz w:val="24"/>
          <w:szCs w:val="24"/>
          <w:lang w:val="pt-BR"/>
        </w:rPr>
        <w:t>propõe</w:t>
      </w:r>
      <w:r w:rsidR="00F96B9B" w:rsidRPr="00E65C25">
        <w:rPr>
          <w:rFonts w:ascii="Times New Roman" w:hAnsi="Times New Roman" w:cs="Times New Roman"/>
          <w:sz w:val="24"/>
          <w:szCs w:val="24"/>
          <w:lang w:val="pt-BR"/>
        </w:rPr>
        <w:t xml:space="preserve"> </w:t>
      </w:r>
      <w:r w:rsidR="00E65C25" w:rsidRPr="00E65C25">
        <w:rPr>
          <w:rFonts w:ascii="Times New Roman" w:hAnsi="Times New Roman" w:cs="Times New Roman"/>
          <w:sz w:val="24"/>
          <w:szCs w:val="24"/>
          <w:lang w:val="pt-BR"/>
        </w:rPr>
        <w:t>determinar a</w:t>
      </w:r>
      <w:r w:rsidR="006F5DB8" w:rsidRPr="00E65C25">
        <w:rPr>
          <w:rFonts w:ascii="Times New Roman" w:hAnsi="Times New Roman" w:cs="Times New Roman"/>
          <w:sz w:val="24"/>
          <w:szCs w:val="24"/>
          <w:lang w:val="pt-BR"/>
        </w:rPr>
        <w:t xml:space="preserve"> inaplicabilidade das demais normas sobre ofertas públicas, especialmente da Instrução CVM nº 476</w:t>
      </w:r>
      <w:r w:rsidR="00AC1391" w:rsidRPr="00E65C25">
        <w:rPr>
          <w:rFonts w:ascii="Times New Roman" w:hAnsi="Times New Roman" w:cs="Times New Roman"/>
          <w:sz w:val="24"/>
          <w:szCs w:val="24"/>
          <w:lang w:val="pt-BR"/>
        </w:rPr>
        <w:t>, de 20</w:t>
      </w:r>
      <w:r w:rsidR="002E621B" w:rsidRPr="00E65C25">
        <w:rPr>
          <w:rFonts w:ascii="Times New Roman" w:hAnsi="Times New Roman" w:cs="Times New Roman"/>
          <w:sz w:val="24"/>
          <w:szCs w:val="24"/>
          <w:lang w:val="pt-BR"/>
        </w:rPr>
        <w:t>09</w:t>
      </w:r>
      <w:r w:rsidR="006F5DB8" w:rsidRPr="00E65C25">
        <w:rPr>
          <w:rFonts w:ascii="Times New Roman" w:hAnsi="Times New Roman" w:cs="Times New Roman"/>
          <w:sz w:val="24"/>
          <w:szCs w:val="24"/>
          <w:lang w:val="pt-BR"/>
        </w:rPr>
        <w:t xml:space="preserve">, </w:t>
      </w:r>
      <w:r w:rsidR="00E65C25">
        <w:rPr>
          <w:rFonts w:ascii="Times New Roman" w:hAnsi="Times New Roman" w:cs="Times New Roman"/>
          <w:sz w:val="24"/>
          <w:szCs w:val="24"/>
          <w:lang w:val="pt-BR"/>
        </w:rPr>
        <w:t>às</w:t>
      </w:r>
      <w:r w:rsidR="006F5DB8" w:rsidRPr="00E65C25">
        <w:rPr>
          <w:rFonts w:ascii="Times New Roman" w:hAnsi="Times New Roman" w:cs="Times New Roman"/>
          <w:sz w:val="24"/>
          <w:szCs w:val="24"/>
          <w:lang w:val="pt-BR"/>
        </w:rPr>
        <w:t xml:space="preserve"> </w:t>
      </w:r>
      <w:r w:rsidR="00F96B9B" w:rsidRPr="00E65C25">
        <w:rPr>
          <w:rFonts w:ascii="Times New Roman" w:hAnsi="Times New Roman" w:cs="Times New Roman"/>
          <w:sz w:val="24"/>
          <w:szCs w:val="24"/>
          <w:lang w:val="pt-BR"/>
        </w:rPr>
        <w:t>oferta</w:t>
      </w:r>
      <w:r w:rsidR="006F5DB8" w:rsidRPr="00E65C25">
        <w:rPr>
          <w:rFonts w:ascii="Times New Roman" w:hAnsi="Times New Roman" w:cs="Times New Roman"/>
          <w:sz w:val="24"/>
          <w:szCs w:val="24"/>
          <w:lang w:val="pt-BR"/>
        </w:rPr>
        <w:t xml:space="preserve">s com dispensa de </w:t>
      </w:r>
      <w:r w:rsidR="00E65C25" w:rsidRPr="00E65C25">
        <w:rPr>
          <w:rFonts w:ascii="Times New Roman" w:hAnsi="Times New Roman" w:cs="Times New Roman"/>
          <w:sz w:val="24"/>
          <w:szCs w:val="24"/>
          <w:lang w:val="pt-BR"/>
        </w:rPr>
        <w:t>contratação de instituição intermediária previstas no art. 12.</w:t>
      </w:r>
    </w:p>
    <w:p w:rsidR="00F96B9B" w:rsidRPr="00826B5F" w:rsidRDefault="00F96B9B" w:rsidP="00A93F2F">
      <w:pPr>
        <w:pStyle w:val="CorpoA"/>
        <w:widowControl w:val="0"/>
        <w:spacing w:after="0" w:line="312" w:lineRule="auto"/>
        <w:ind w:firstLine="709"/>
        <w:jc w:val="both"/>
        <w:rPr>
          <w:rFonts w:ascii="Times New Roman" w:eastAsia="Times New Roman" w:hAnsi="Times New Roman" w:cs="Times New Roman"/>
          <w:sz w:val="24"/>
          <w:szCs w:val="24"/>
          <w:highlight w:val="yellow"/>
          <w:lang w:val="pt-BR"/>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F96B9B" w:rsidRPr="00533EEE" w:rsidTr="00F96B9B">
        <w:trPr>
          <w:trHeight w:val="360"/>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E65C25" w:rsidRPr="00C66970" w:rsidRDefault="00BE4385" w:rsidP="00E65C25">
            <w:pPr>
              <w:spacing w:line="312" w:lineRule="auto"/>
              <w:ind w:firstLine="567"/>
              <w:jc w:val="both"/>
              <w:rPr>
                <w:lang w:val="pt-BR"/>
              </w:rPr>
            </w:pPr>
            <w:r w:rsidRPr="00C66970">
              <w:rPr>
                <w:lang w:val="pt-BR"/>
              </w:rPr>
              <w:t xml:space="preserve">A oferta de nota promissória por EGEM com dispensa de </w:t>
            </w:r>
            <w:r w:rsidR="00E65C25" w:rsidRPr="00C66970">
              <w:rPr>
                <w:lang w:val="pt-BR"/>
              </w:rPr>
              <w:t>contratação de instituição intermediária deve ser realizada por meio do procedimento de registro automático</w:t>
            </w:r>
            <w:r w:rsidRPr="00C66970">
              <w:rPr>
                <w:lang w:val="pt-BR"/>
              </w:rPr>
              <w:t xml:space="preserve">. </w:t>
            </w:r>
          </w:p>
          <w:p w:rsidR="00E65C25" w:rsidRPr="00C66970" w:rsidRDefault="00E65C25" w:rsidP="00E65C25">
            <w:pPr>
              <w:spacing w:line="312" w:lineRule="auto"/>
              <w:ind w:firstLine="567"/>
              <w:jc w:val="both"/>
              <w:rPr>
                <w:lang w:val="pt-BR"/>
              </w:rPr>
            </w:pPr>
          </w:p>
          <w:p w:rsidR="00C66970" w:rsidRPr="00C66970" w:rsidRDefault="00E65C25" w:rsidP="00E65C25">
            <w:pPr>
              <w:spacing w:line="312" w:lineRule="auto"/>
              <w:ind w:firstLine="567"/>
              <w:jc w:val="both"/>
              <w:rPr>
                <w:lang w:val="pt-BR"/>
              </w:rPr>
            </w:pPr>
            <w:r w:rsidRPr="00C66970">
              <w:rPr>
                <w:lang w:val="pt-BR"/>
              </w:rPr>
              <w:t>O</w:t>
            </w:r>
            <w:r w:rsidR="00BE4385" w:rsidRPr="00C66970">
              <w:rPr>
                <w:lang w:val="pt-BR"/>
              </w:rPr>
              <w:t xml:space="preserve"> art. 9º, que define </w:t>
            </w:r>
            <w:r w:rsidR="008B4148" w:rsidRPr="00C66970">
              <w:rPr>
                <w:lang w:val="pt-BR"/>
              </w:rPr>
              <w:t xml:space="preserve">o </w:t>
            </w:r>
            <w:r w:rsidR="00BE4385" w:rsidRPr="00C66970">
              <w:rPr>
                <w:lang w:val="pt-BR"/>
              </w:rPr>
              <w:t>registro</w:t>
            </w:r>
            <w:r w:rsidR="008B4148" w:rsidRPr="00C66970">
              <w:rPr>
                <w:lang w:val="pt-BR"/>
              </w:rPr>
              <w:t xml:space="preserve"> automático</w:t>
            </w:r>
            <w:r w:rsidR="00BE4385" w:rsidRPr="00C66970">
              <w:rPr>
                <w:lang w:val="pt-BR"/>
              </w:rPr>
              <w:t xml:space="preserve">, </w:t>
            </w:r>
            <w:r w:rsidRPr="00C66970">
              <w:rPr>
                <w:lang w:val="pt-BR"/>
              </w:rPr>
              <w:t>determina</w:t>
            </w:r>
            <w:r w:rsidR="00BE4385" w:rsidRPr="00C66970">
              <w:rPr>
                <w:lang w:val="pt-BR"/>
              </w:rPr>
              <w:t xml:space="preserve"> que a oferta </w:t>
            </w:r>
            <w:r w:rsidRPr="00C66970">
              <w:rPr>
                <w:lang w:val="pt-BR"/>
              </w:rPr>
              <w:t>seja</w:t>
            </w:r>
            <w:r w:rsidR="00BE4385" w:rsidRPr="00C66970">
              <w:rPr>
                <w:lang w:val="pt-BR"/>
              </w:rPr>
              <w:t xml:space="preserve"> instruída com as informações requeridas na regulamentação específica sobre ofertas públicas (Instrução CVM nº 400</w:t>
            </w:r>
            <w:r w:rsidR="00AC1391" w:rsidRPr="00C66970">
              <w:rPr>
                <w:lang w:val="pt-BR"/>
              </w:rPr>
              <w:t>, de 20</w:t>
            </w:r>
            <w:r w:rsidR="00BE4385" w:rsidRPr="00C66970">
              <w:rPr>
                <w:lang w:val="pt-BR"/>
              </w:rPr>
              <w:t>03)</w:t>
            </w:r>
            <w:r w:rsidRPr="00C66970">
              <w:rPr>
                <w:lang w:val="pt-BR"/>
              </w:rPr>
              <w:t xml:space="preserve">, </w:t>
            </w:r>
            <w:r w:rsidR="00C66970" w:rsidRPr="00C66970">
              <w:rPr>
                <w:lang w:val="pt-BR"/>
              </w:rPr>
              <w:t xml:space="preserve">permitindo, no entanto, </w:t>
            </w:r>
            <w:r w:rsidRPr="00C66970">
              <w:rPr>
                <w:lang w:val="pt-BR"/>
              </w:rPr>
              <w:t xml:space="preserve">a substituição do prospecto pela lâmina. Assim, conforme determina o art. 8°, </w:t>
            </w:r>
            <w:r w:rsidR="00BE4385" w:rsidRPr="00C66970">
              <w:rPr>
                <w:lang w:val="pt-BR"/>
              </w:rPr>
              <w:t xml:space="preserve">não </w:t>
            </w:r>
            <w:r w:rsidRPr="00C66970">
              <w:rPr>
                <w:lang w:val="pt-BR"/>
              </w:rPr>
              <w:t>é possível</w:t>
            </w:r>
            <w:r w:rsidR="00BE4385" w:rsidRPr="00C66970">
              <w:rPr>
                <w:lang w:val="pt-BR"/>
              </w:rPr>
              <w:t xml:space="preserve"> afastar as normas de oferta pública</w:t>
            </w:r>
            <w:r w:rsidR="008B4148" w:rsidRPr="00C66970">
              <w:rPr>
                <w:lang w:val="pt-BR"/>
              </w:rPr>
              <w:t xml:space="preserve"> </w:t>
            </w:r>
            <w:r w:rsidRPr="00C66970">
              <w:rPr>
                <w:lang w:val="pt-BR"/>
              </w:rPr>
              <w:t>para além</w:t>
            </w:r>
            <w:r w:rsidR="008B4148" w:rsidRPr="00C66970">
              <w:rPr>
                <w:lang w:val="pt-BR"/>
              </w:rPr>
              <w:t xml:space="preserve"> do estabelecido nos art. 9º</w:t>
            </w:r>
            <w:r w:rsidR="00D377CF">
              <w:rPr>
                <w:lang w:val="pt-BR"/>
              </w:rPr>
              <w:t xml:space="preserve"> e</w:t>
            </w:r>
            <w:r w:rsidR="00831A0F">
              <w:rPr>
                <w:lang w:val="pt-BR"/>
              </w:rPr>
              <w:t xml:space="preserve"> 10 e, conforme o caso, </w:t>
            </w:r>
            <w:r w:rsidR="00D377CF">
              <w:rPr>
                <w:lang w:val="pt-BR"/>
              </w:rPr>
              <w:t>o art.</w:t>
            </w:r>
            <w:r w:rsidR="008B4148" w:rsidRPr="00C66970">
              <w:rPr>
                <w:lang w:val="pt-BR"/>
              </w:rPr>
              <w:t>11</w:t>
            </w:r>
            <w:r w:rsidR="00EC72CD" w:rsidRPr="00C66970">
              <w:rPr>
                <w:lang w:val="pt-BR"/>
              </w:rPr>
              <w:t>.</w:t>
            </w:r>
            <w:r w:rsidR="00BE4385" w:rsidRPr="00C66970">
              <w:rPr>
                <w:lang w:val="pt-BR"/>
              </w:rPr>
              <w:t xml:space="preserve"> </w:t>
            </w:r>
          </w:p>
          <w:p w:rsidR="00C66970" w:rsidRPr="00C66970" w:rsidRDefault="00C66970" w:rsidP="00E65C25">
            <w:pPr>
              <w:spacing w:line="312" w:lineRule="auto"/>
              <w:ind w:firstLine="567"/>
              <w:jc w:val="both"/>
              <w:rPr>
                <w:lang w:val="pt-BR"/>
              </w:rPr>
            </w:pPr>
          </w:p>
          <w:p w:rsidR="00C66970" w:rsidRPr="00C66970" w:rsidRDefault="00C66970" w:rsidP="00C66970">
            <w:pPr>
              <w:spacing w:line="312" w:lineRule="auto"/>
              <w:ind w:firstLine="567"/>
              <w:jc w:val="both"/>
              <w:rPr>
                <w:lang w:val="pt-BR"/>
              </w:rPr>
            </w:pPr>
            <w:r w:rsidRPr="00C66970">
              <w:rPr>
                <w:lang w:val="pt-BR"/>
              </w:rPr>
              <w:t xml:space="preserve">Isso não significa, contudo, que se aplica às ofertas públicas </w:t>
            </w:r>
            <w:r>
              <w:rPr>
                <w:lang w:val="pt-BR"/>
              </w:rPr>
              <w:t>com</w:t>
            </w:r>
            <w:r w:rsidRPr="00C66970">
              <w:rPr>
                <w:lang w:val="pt-BR"/>
              </w:rPr>
              <w:t xml:space="preserve"> registro automático tamb</w:t>
            </w:r>
            <w:r>
              <w:rPr>
                <w:lang w:val="pt-BR"/>
              </w:rPr>
              <w:t>ém o disposto na In</w:t>
            </w:r>
            <w:r w:rsidRPr="00C66970">
              <w:rPr>
                <w:lang w:val="pt-BR"/>
              </w:rPr>
              <w:t>strução CVM n° 476, de 2009</w:t>
            </w:r>
            <w:r>
              <w:rPr>
                <w:lang w:val="pt-BR"/>
              </w:rPr>
              <w:t xml:space="preserve">, norma específica que impõe uma série de regras particulares e que, ademais, </w:t>
            </w:r>
            <w:r w:rsidR="00831A0F">
              <w:rPr>
                <w:lang w:val="pt-BR"/>
              </w:rPr>
              <w:t>não</w:t>
            </w:r>
            <w:r>
              <w:rPr>
                <w:lang w:val="pt-BR"/>
              </w:rPr>
              <w:t xml:space="preserve"> dispõe sobre registro de oferta. A </w:t>
            </w:r>
            <w:r w:rsidRPr="00C66970">
              <w:rPr>
                <w:lang w:val="pt-BR"/>
              </w:rPr>
              <w:t>CVM entende que</w:t>
            </w:r>
            <w:r>
              <w:rPr>
                <w:lang w:val="pt-BR"/>
              </w:rPr>
              <w:t xml:space="preserve"> a leitura sistemática da </w:t>
            </w:r>
            <w:r w:rsidR="00831A0F">
              <w:rPr>
                <w:lang w:val="pt-BR"/>
              </w:rPr>
              <w:t>Minuta, conforme ajustada,</w:t>
            </w:r>
            <w:r>
              <w:rPr>
                <w:lang w:val="pt-BR"/>
              </w:rPr>
              <w:t xml:space="preserve"> e da regulação já evidencia que se trata de procedimentos distintos.</w:t>
            </w:r>
            <w:r w:rsidRPr="00C66970">
              <w:rPr>
                <w:lang w:val="pt-BR"/>
              </w:rPr>
              <w:t xml:space="preserve"> </w:t>
            </w:r>
          </w:p>
          <w:p w:rsidR="00C66970" w:rsidRPr="00C66970" w:rsidRDefault="00C66970" w:rsidP="00C66970">
            <w:pPr>
              <w:spacing w:line="312" w:lineRule="auto"/>
              <w:ind w:firstLine="567"/>
              <w:jc w:val="both"/>
              <w:rPr>
                <w:lang w:val="pt-BR"/>
              </w:rPr>
            </w:pPr>
          </w:p>
          <w:p w:rsidR="00F96B9B" w:rsidRPr="002A7F74" w:rsidRDefault="00C66970" w:rsidP="00C66970">
            <w:pPr>
              <w:spacing w:line="312" w:lineRule="auto"/>
              <w:ind w:firstLine="567"/>
              <w:jc w:val="both"/>
              <w:rPr>
                <w:lang w:val="pt-BR"/>
              </w:rPr>
            </w:pPr>
            <w:r w:rsidRPr="00C66970">
              <w:rPr>
                <w:lang w:val="pt-BR"/>
              </w:rPr>
              <w:t>Por esse motivo, a sugestão do participante não foi acatada.</w:t>
            </w:r>
            <w:r w:rsidR="008B4148" w:rsidRPr="002A7F74">
              <w:rPr>
                <w:lang w:val="pt-BR"/>
              </w:rPr>
              <w:t xml:space="preserve"> </w:t>
            </w:r>
          </w:p>
        </w:tc>
      </w:tr>
    </w:tbl>
    <w:p w:rsidR="009A631F" w:rsidRPr="002A7F74" w:rsidRDefault="009A631F" w:rsidP="00A93F2F">
      <w:pPr>
        <w:pStyle w:val="CorpoA"/>
        <w:spacing w:after="0" w:line="312" w:lineRule="auto"/>
        <w:jc w:val="both"/>
        <w:rPr>
          <w:rFonts w:ascii="Times New Roman" w:eastAsia="Times New Roman" w:hAnsi="Times New Roman" w:cs="Times New Roman"/>
          <w:sz w:val="24"/>
          <w:szCs w:val="24"/>
          <w:lang w:val="pt-BR"/>
        </w:rPr>
      </w:pPr>
    </w:p>
    <w:p w:rsidR="00D9084C" w:rsidRPr="002A7F74" w:rsidRDefault="001E4402" w:rsidP="00A93F2F">
      <w:pPr>
        <w:pStyle w:val="CorpoA"/>
        <w:spacing w:after="0" w:line="312" w:lineRule="auto"/>
        <w:jc w:val="both"/>
        <w:rPr>
          <w:rFonts w:ascii="Times New Roman" w:eastAsia="Times New Roman" w:hAnsi="Times New Roman" w:cs="Times New Roman"/>
          <w:b/>
          <w:bCs/>
          <w:sz w:val="24"/>
          <w:szCs w:val="24"/>
          <w:lang w:val="pt-BR"/>
        </w:rPr>
      </w:pPr>
      <w:r>
        <w:rPr>
          <w:rFonts w:ascii="Times New Roman" w:hAnsi="Times New Roman" w:cs="Times New Roman"/>
          <w:b/>
          <w:bCs/>
          <w:sz w:val="24"/>
          <w:szCs w:val="24"/>
          <w:lang w:val="pt-BR"/>
        </w:rPr>
        <w:t>3.15</w:t>
      </w:r>
      <w:r w:rsidR="005607BA" w:rsidRPr="002A7F74">
        <w:rPr>
          <w:rFonts w:ascii="Times New Roman" w:hAnsi="Times New Roman" w:cs="Times New Roman"/>
          <w:b/>
          <w:bCs/>
          <w:sz w:val="24"/>
          <w:szCs w:val="24"/>
          <w:lang w:val="pt-BR"/>
        </w:rPr>
        <w:t xml:space="preserve">.  </w:t>
      </w:r>
      <w:r w:rsidR="00F32C17" w:rsidRPr="002A7F74">
        <w:rPr>
          <w:rFonts w:ascii="Times New Roman" w:hAnsi="Times New Roman" w:cs="Times New Roman"/>
          <w:b/>
          <w:bCs/>
          <w:sz w:val="24"/>
          <w:szCs w:val="24"/>
          <w:lang w:val="pt-BR"/>
        </w:rPr>
        <w:t xml:space="preserve">Responsabilidades </w:t>
      </w:r>
      <w:r w:rsidR="0080319F" w:rsidRPr="002A7F74">
        <w:rPr>
          <w:rFonts w:ascii="Times New Roman" w:hAnsi="Times New Roman" w:cs="Times New Roman"/>
          <w:b/>
          <w:bCs/>
          <w:sz w:val="24"/>
          <w:szCs w:val="24"/>
          <w:lang w:val="pt-BR"/>
        </w:rPr>
        <w:t>(</w:t>
      </w:r>
      <w:r w:rsidR="005607BA" w:rsidRPr="002A7F74">
        <w:rPr>
          <w:rFonts w:ascii="Times New Roman" w:hAnsi="Times New Roman" w:cs="Times New Roman"/>
          <w:b/>
          <w:bCs/>
          <w:sz w:val="24"/>
          <w:szCs w:val="24"/>
          <w:lang w:val="pt-BR"/>
        </w:rPr>
        <w:t xml:space="preserve">art. </w:t>
      </w:r>
      <w:r w:rsidR="009A631F" w:rsidRPr="002A7F74">
        <w:rPr>
          <w:rFonts w:ascii="Times New Roman" w:hAnsi="Times New Roman" w:cs="Times New Roman"/>
          <w:b/>
          <w:bCs/>
          <w:sz w:val="24"/>
          <w:szCs w:val="24"/>
          <w:lang w:val="pt-BR"/>
        </w:rPr>
        <w:t>13</w:t>
      </w:r>
      <w:r w:rsidR="00D85A96">
        <w:rPr>
          <w:rFonts w:ascii="Times New Roman" w:hAnsi="Times New Roman" w:cs="Times New Roman"/>
          <w:b/>
          <w:bCs/>
          <w:sz w:val="24"/>
          <w:szCs w:val="24"/>
          <w:lang w:val="pt-BR"/>
        </w:rPr>
        <w:t xml:space="preserve"> – atual art. 14</w:t>
      </w:r>
      <w:r w:rsidR="005607BA" w:rsidRPr="002A7F74">
        <w:rPr>
          <w:rFonts w:ascii="Times New Roman" w:hAnsi="Times New Roman" w:cs="Times New Roman"/>
          <w:b/>
          <w:bCs/>
          <w:sz w:val="24"/>
          <w:szCs w:val="24"/>
          <w:lang w:val="pt-BR"/>
        </w:rPr>
        <w:t>)</w:t>
      </w:r>
    </w:p>
    <w:p w:rsidR="00D9084C" w:rsidRPr="002A7F74" w:rsidRDefault="00D9084C" w:rsidP="00A93F2F">
      <w:pPr>
        <w:pStyle w:val="CorpoA"/>
        <w:spacing w:after="0" w:line="312" w:lineRule="auto"/>
        <w:ind w:firstLine="709"/>
        <w:jc w:val="both"/>
        <w:rPr>
          <w:rFonts w:ascii="Times New Roman" w:eastAsia="Times New Roman" w:hAnsi="Times New Roman" w:cs="Times New Roman"/>
          <w:sz w:val="24"/>
          <w:szCs w:val="24"/>
          <w:lang w:val="pt-BR"/>
        </w:rPr>
      </w:pPr>
    </w:p>
    <w:p w:rsidR="00D9084C" w:rsidRDefault="00D377CF" w:rsidP="00A93F2F">
      <w:pPr>
        <w:pStyle w:val="CorpoA"/>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w:t>
      </w:r>
      <w:r w:rsidR="009A631F" w:rsidRPr="00933AD8">
        <w:rPr>
          <w:rFonts w:ascii="Times New Roman" w:hAnsi="Times New Roman" w:cs="Times New Roman"/>
          <w:sz w:val="24"/>
          <w:szCs w:val="24"/>
          <w:lang w:val="pt-BR"/>
        </w:rPr>
        <w:t>Salusse Marangoni sugere o seguinte ajuste</w:t>
      </w:r>
      <w:r w:rsidR="008972B4" w:rsidRPr="00933AD8">
        <w:rPr>
          <w:rFonts w:ascii="Times New Roman" w:hAnsi="Times New Roman" w:cs="Times New Roman"/>
          <w:sz w:val="24"/>
          <w:szCs w:val="24"/>
          <w:lang w:val="pt-BR"/>
        </w:rPr>
        <w:t xml:space="preserve"> de redação no inciso II do art. 13</w:t>
      </w:r>
      <w:r w:rsidR="009A631F" w:rsidRPr="00933AD8">
        <w:rPr>
          <w:rFonts w:ascii="Times New Roman" w:hAnsi="Times New Roman" w:cs="Times New Roman"/>
          <w:sz w:val="24"/>
          <w:szCs w:val="24"/>
          <w:lang w:val="pt-BR"/>
        </w:rPr>
        <w:t xml:space="preserve">, a fim de tornar mais clara a redação do </w:t>
      </w:r>
      <w:r w:rsidR="00933AD8" w:rsidRPr="00933AD8">
        <w:rPr>
          <w:rFonts w:ascii="Times New Roman" w:hAnsi="Times New Roman" w:cs="Times New Roman"/>
          <w:sz w:val="24"/>
          <w:szCs w:val="24"/>
          <w:lang w:val="pt-BR"/>
        </w:rPr>
        <w:t>dispositivo:</w:t>
      </w:r>
      <w:r w:rsidR="005607BA" w:rsidRPr="002A7F74">
        <w:rPr>
          <w:rFonts w:ascii="Times New Roman" w:hAnsi="Times New Roman" w:cs="Times New Roman"/>
          <w:sz w:val="24"/>
          <w:szCs w:val="24"/>
          <w:lang w:val="pt-BR"/>
        </w:rPr>
        <w:t xml:space="preserve"> </w:t>
      </w:r>
    </w:p>
    <w:p w:rsidR="008972B4" w:rsidRDefault="008972B4" w:rsidP="00A93F2F">
      <w:pPr>
        <w:pStyle w:val="CorpoA"/>
        <w:spacing w:after="0" w:line="312" w:lineRule="auto"/>
        <w:ind w:firstLine="709"/>
        <w:jc w:val="both"/>
        <w:rPr>
          <w:rFonts w:ascii="Times New Roman" w:hAnsi="Times New Roman" w:cs="Times New Roman"/>
          <w:sz w:val="24"/>
          <w:szCs w:val="24"/>
          <w:lang w:val="pt-BR"/>
        </w:rPr>
      </w:pPr>
    </w:p>
    <w:p w:rsidR="00933AD8" w:rsidRDefault="00933AD8" w:rsidP="00933AD8">
      <w:pPr>
        <w:pStyle w:val="CorpoA"/>
        <w:spacing w:after="0" w:line="312" w:lineRule="auto"/>
        <w:ind w:left="709"/>
        <w:jc w:val="both"/>
        <w:rPr>
          <w:rFonts w:ascii="Times New Roman" w:hAnsi="Times New Roman" w:cs="Times New Roman"/>
          <w:i/>
          <w:sz w:val="24"/>
          <w:szCs w:val="24"/>
          <w:lang w:val="pt-BR"/>
        </w:rPr>
      </w:pPr>
      <w:r>
        <w:rPr>
          <w:rFonts w:ascii="Times New Roman" w:hAnsi="Times New Roman" w:cs="Times New Roman"/>
          <w:i/>
          <w:sz w:val="24"/>
          <w:szCs w:val="24"/>
          <w:lang w:val="pt-BR"/>
        </w:rPr>
        <w:t>Art. 13.  Considera-se infração grave, para os efeitos do § 3° do artigo 11 da Lei n° 6.385, de 7 de dezembro de 1976, a realização de ofertas públicas de distribuição de notas promissórias:</w:t>
      </w:r>
    </w:p>
    <w:p w:rsidR="00933AD8" w:rsidRDefault="00933AD8" w:rsidP="00A93F2F">
      <w:pPr>
        <w:pStyle w:val="CorpoA"/>
        <w:spacing w:after="0" w:line="312" w:lineRule="auto"/>
        <w:ind w:firstLine="709"/>
        <w:jc w:val="both"/>
        <w:rPr>
          <w:rFonts w:ascii="Times New Roman" w:hAnsi="Times New Roman" w:cs="Times New Roman"/>
          <w:i/>
          <w:sz w:val="24"/>
          <w:szCs w:val="24"/>
          <w:lang w:val="pt-BR"/>
        </w:rPr>
      </w:pPr>
    </w:p>
    <w:p w:rsidR="00933AD8" w:rsidRPr="00933AD8" w:rsidRDefault="00933AD8" w:rsidP="00A93F2F">
      <w:pPr>
        <w:pStyle w:val="CorpoA"/>
        <w:spacing w:after="0" w:line="312" w:lineRule="auto"/>
        <w:ind w:firstLine="709"/>
        <w:jc w:val="both"/>
        <w:rPr>
          <w:rFonts w:ascii="Times New Roman" w:hAnsi="Times New Roman" w:cs="Times New Roman"/>
          <w:i/>
          <w:sz w:val="24"/>
          <w:szCs w:val="24"/>
          <w:lang w:val="pt-BR"/>
        </w:rPr>
      </w:pPr>
      <w:r>
        <w:rPr>
          <w:rFonts w:ascii="Times New Roman" w:hAnsi="Times New Roman" w:cs="Times New Roman"/>
          <w:i/>
          <w:sz w:val="24"/>
          <w:szCs w:val="24"/>
          <w:lang w:val="pt-BR"/>
        </w:rPr>
        <w:t>I – em condições diversas das constantes no registro ou das regras desta Instrução; ou</w:t>
      </w:r>
    </w:p>
    <w:p w:rsidR="00933AD8" w:rsidRPr="002A7F74" w:rsidRDefault="00933AD8" w:rsidP="00A93F2F">
      <w:pPr>
        <w:pStyle w:val="CorpoA"/>
        <w:spacing w:after="0" w:line="312" w:lineRule="auto"/>
        <w:ind w:firstLine="709"/>
        <w:jc w:val="both"/>
        <w:rPr>
          <w:rFonts w:ascii="Times New Roman" w:hAnsi="Times New Roman" w:cs="Times New Roman"/>
          <w:sz w:val="24"/>
          <w:szCs w:val="24"/>
          <w:lang w:val="pt-BR"/>
        </w:rPr>
      </w:pPr>
    </w:p>
    <w:p w:rsidR="00C64B39" w:rsidRPr="00933AD8" w:rsidRDefault="00C64B39" w:rsidP="00933AD8">
      <w:pPr>
        <w:pStyle w:val="PargrafodaLista"/>
        <w:spacing w:line="312" w:lineRule="auto"/>
        <w:ind w:left="709"/>
        <w:rPr>
          <w:i/>
          <w:lang w:val="pt-BR"/>
        </w:rPr>
      </w:pPr>
      <w:r w:rsidRPr="00933AD8">
        <w:rPr>
          <w:i/>
          <w:lang w:val="pt-BR"/>
        </w:rPr>
        <w:t xml:space="preserve">II – com </w:t>
      </w:r>
      <w:r w:rsidRPr="00933AD8">
        <w:rPr>
          <w:i/>
          <w:color w:val="0066FF"/>
          <w:u w:val="double"/>
          <w:lang w:val="pt-BR"/>
        </w:rPr>
        <w:t>a omissão ou</w:t>
      </w:r>
      <w:r w:rsidRPr="00933AD8">
        <w:rPr>
          <w:i/>
          <w:lang w:val="pt-BR"/>
        </w:rPr>
        <w:t xml:space="preserve"> prestação de informações</w:t>
      </w:r>
      <w:r w:rsidRPr="00933AD8">
        <w:rPr>
          <w:i/>
          <w:strike/>
          <w:color w:val="FF0000"/>
          <w:lang w:val="pt-BR"/>
        </w:rPr>
        <w:t xml:space="preserve"> falsas ou</w:t>
      </w:r>
      <w:r w:rsidRPr="00933AD8">
        <w:rPr>
          <w:i/>
          <w:color w:val="FF0000"/>
          <w:lang w:val="pt-BR"/>
        </w:rPr>
        <w:t xml:space="preserve"> </w:t>
      </w:r>
      <w:r w:rsidRPr="00933AD8">
        <w:rPr>
          <w:i/>
          <w:lang w:val="pt-BR"/>
        </w:rPr>
        <w:t>que possam levar o investidor a erro</w:t>
      </w:r>
      <w:r w:rsidRPr="00933AD8">
        <w:rPr>
          <w:i/>
          <w:color w:val="4F81BD"/>
          <w:lang w:val="pt-BR"/>
        </w:rPr>
        <w:t xml:space="preserve">, </w:t>
      </w:r>
      <w:r w:rsidRPr="00933AD8">
        <w:rPr>
          <w:i/>
          <w:color w:val="0066FF"/>
          <w:u w:val="double"/>
          <w:lang w:val="pt-BR"/>
        </w:rPr>
        <w:t>ou a prestação de informações falsas</w:t>
      </w:r>
      <w:r w:rsidRPr="00933AD8">
        <w:rPr>
          <w:i/>
          <w:lang w:val="pt-BR"/>
        </w:rPr>
        <w:t xml:space="preserve"> no âmbito da oferta e em seus documentos.</w:t>
      </w:r>
    </w:p>
    <w:p w:rsidR="00D9084C" w:rsidRPr="002A7F74" w:rsidRDefault="00D9084C" w:rsidP="00A93F2F">
      <w:pPr>
        <w:pStyle w:val="CorpoA"/>
        <w:widowControl w:val="0"/>
        <w:spacing w:after="0" w:line="312" w:lineRule="auto"/>
        <w:jc w:val="both"/>
        <w:rPr>
          <w:rFonts w:ascii="Times New Roman" w:eastAsia="Times New Roman" w:hAnsi="Times New Roman" w:cs="Times New Roman"/>
          <w:sz w:val="24"/>
          <w:szCs w:val="24"/>
          <w:lang w:val="pt-BR"/>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533EEE">
        <w:trPr>
          <w:trHeight w:val="360"/>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D85A96" w:rsidRDefault="00930ECE" w:rsidP="00D85A96">
            <w:pPr>
              <w:spacing w:line="312" w:lineRule="auto"/>
              <w:ind w:firstLine="567"/>
              <w:jc w:val="both"/>
              <w:rPr>
                <w:lang w:val="pt-BR"/>
              </w:rPr>
            </w:pPr>
            <w:r>
              <w:rPr>
                <w:lang w:val="pt-BR"/>
              </w:rPr>
              <w:t xml:space="preserve">A CVM </w:t>
            </w:r>
            <w:r w:rsidR="00AB27AC" w:rsidRPr="00AB27AC">
              <w:rPr>
                <w:lang w:val="pt-BR"/>
              </w:rPr>
              <w:t xml:space="preserve">ajustou a redação do dispositivo para especificar os artigos da Instrução cuja violação se considera grave e para esclarecer o fato de que, por força do art. 8° da Minuta, </w:t>
            </w:r>
            <w:r w:rsidR="00D85A96">
              <w:rPr>
                <w:lang w:val="pt-BR"/>
              </w:rPr>
              <w:t>que determina a</w:t>
            </w:r>
            <w:r w:rsidR="00AB27AC" w:rsidRPr="00AB27AC">
              <w:rPr>
                <w:lang w:val="pt-BR"/>
              </w:rPr>
              <w:t xml:space="preserve"> aplicação geral da regulamentação específica sobre ofertas públicas de distribuição de valores mobiliários, preocupações como a do participante já se encontram atendidas.</w:t>
            </w:r>
            <w:r>
              <w:rPr>
                <w:lang w:val="pt-BR"/>
              </w:rPr>
              <w:t xml:space="preserve"> </w:t>
            </w:r>
          </w:p>
        </w:tc>
      </w:tr>
    </w:tbl>
    <w:p w:rsidR="00D9084C" w:rsidRPr="002A7F74" w:rsidRDefault="00D9084C" w:rsidP="00A93F2F">
      <w:pPr>
        <w:pStyle w:val="CorpoA"/>
        <w:spacing w:after="0" w:line="312" w:lineRule="auto"/>
        <w:ind w:firstLine="709"/>
        <w:jc w:val="both"/>
        <w:rPr>
          <w:rFonts w:ascii="Times New Roman" w:eastAsia="Times New Roman" w:hAnsi="Times New Roman" w:cs="Times New Roman"/>
          <w:sz w:val="24"/>
          <w:szCs w:val="24"/>
          <w:lang w:val="pt-BR"/>
        </w:rPr>
      </w:pPr>
    </w:p>
    <w:p w:rsidR="00F32C17" w:rsidRPr="002A7F74" w:rsidRDefault="001E4402" w:rsidP="00A93F2F">
      <w:pPr>
        <w:pStyle w:val="CorpoA"/>
        <w:spacing w:after="0" w:line="312" w:lineRule="auto"/>
        <w:jc w:val="both"/>
        <w:rPr>
          <w:rFonts w:ascii="Times New Roman" w:eastAsia="Times New Roman" w:hAnsi="Times New Roman" w:cs="Times New Roman"/>
          <w:b/>
          <w:bCs/>
          <w:sz w:val="24"/>
          <w:szCs w:val="24"/>
          <w:lang w:val="pt-BR"/>
        </w:rPr>
      </w:pPr>
      <w:r>
        <w:rPr>
          <w:rFonts w:ascii="Times New Roman" w:hAnsi="Times New Roman" w:cs="Times New Roman"/>
          <w:b/>
          <w:bCs/>
          <w:sz w:val="24"/>
          <w:szCs w:val="24"/>
          <w:lang w:val="pt-BR"/>
        </w:rPr>
        <w:t>3.16</w:t>
      </w:r>
      <w:r w:rsidR="00F32C17" w:rsidRPr="002A7F74">
        <w:rPr>
          <w:rFonts w:ascii="Times New Roman" w:hAnsi="Times New Roman" w:cs="Times New Roman"/>
          <w:b/>
          <w:bCs/>
          <w:sz w:val="24"/>
          <w:szCs w:val="24"/>
          <w:lang w:val="pt-BR"/>
        </w:rPr>
        <w:t xml:space="preserve">.  </w:t>
      </w:r>
      <w:r w:rsidR="008972B4" w:rsidRPr="002A7F74">
        <w:rPr>
          <w:rFonts w:ascii="Times New Roman" w:hAnsi="Times New Roman" w:cs="Times New Roman"/>
          <w:b/>
          <w:bCs/>
          <w:sz w:val="24"/>
          <w:szCs w:val="24"/>
          <w:lang w:val="pt-BR"/>
        </w:rPr>
        <w:t>Vigência</w:t>
      </w:r>
      <w:r w:rsidR="00161D9F" w:rsidRPr="002A7F74">
        <w:rPr>
          <w:rFonts w:ascii="Times New Roman" w:hAnsi="Times New Roman" w:cs="Times New Roman"/>
          <w:b/>
          <w:bCs/>
          <w:sz w:val="24"/>
          <w:szCs w:val="24"/>
          <w:lang w:val="pt-BR"/>
        </w:rPr>
        <w:t xml:space="preserve"> da Norma </w:t>
      </w:r>
      <w:r w:rsidR="008972B4">
        <w:rPr>
          <w:rFonts w:ascii="Times New Roman" w:hAnsi="Times New Roman" w:cs="Times New Roman"/>
          <w:b/>
          <w:bCs/>
          <w:sz w:val="24"/>
          <w:szCs w:val="24"/>
          <w:lang w:val="pt-BR"/>
        </w:rPr>
        <w:t>(</w:t>
      </w:r>
      <w:r w:rsidR="00F32C17" w:rsidRPr="002A7F74">
        <w:rPr>
          <w:rFonts w:ascii="Times New Roman" w:hAnsi="Times New Roman" w:cs="Times New Roman"/>
          <w:b/>
          <w:bCs/>
          <w:sz w:val="24"/>
          <w:szCs w:val="24"/>
          <w:lang w:val="pt-BR"/>
        </w:rPr>
        <w:t xml:space="preserve">art. </w:t>
      </w:r>
      <w:r w:rsidR="00D85A96">
        <w:rPr>
          <w:rFonts w:ascii="Times New Roman" w:hAnsi="Times New Roman" w:cs="Times New Roman"/>
          <w:b/>
          <w:bCs/>
          <w:sz w:val="24"/>
          <w:szCs w:val="24"/>
          <w:lang w:val="pt-BR"/>
        </w:rPr>
        <w:t xml:space="preserve">15 – atual art. </w:t>
      </w:r>
      <w:r w:rsidR="00F32C17" w:rsidRPr="002A7F74">
        <w:rPr>
          <w:rFonts w:ascii="Times New Roman" w:hAnsi="Times New Roman" w:cs="Times New Roman"/>
          <w:b/>
          <w:bCs/>
          <w:sz w:val="24"/>
          <w:szCs w:val="24"/>
          <w:lang w:val="pt-BR"/>
        </w:rPr>
        <w:t>16)</w:t>
      </w:r>
    </w:p>
    <w:p w:rsidR="00F32C17" w:rsidRPr="002A7F74" w:rsidRDefault="00F32C17" w:rsidP="00A93F2F">
      <w:pPr>
        <w:pStyle w:val="CorpoA"/>
        <w:spacing w:after="0" w:line="312" w:lineRule="auto"/>
        <w:ind w:firstLine="709"/>
        <w:jc w:val="both"/>
        <w:rPr>
          <w:rFonts w:ascii="Times New Roman" w:eastAsia="Times New Roman" w:hAnsi="Times New Roman" w:cs="Times New Roman"/>
          <w:sz w:val="24"/>
          <w:szCs w:val="24"/>
          <w:lang w:val="pt-BR"/>
        </w:rPr>
      </w:pPr>
    </w:p>
    <w:p w:rsidR="00F32C17" w:rsidRPr="002A7F74" w:rsidRDefault="00F32C17" w:rsidP="00A93F2F">
      <w:pPr>
        <w:pStyle w:val="CorpoA"/>
        <w:spacing w:after="0" w:line="312" w:lineRule="auto"/>
        <w:ind w:firstLine="709"/>
        <w:jc w:val="both"/>
        <w:rPr>
          <w:rFonts w:ascii="Times New Roman" w:hAnsi="Times New Roman" w:cs="Times New Roman"/>
          <w:sz w:val="24"/>
          <w:szCs w:val="24"/>
          <w:lang w:val="pt-BR"/>
        </w:rPr>
      </w:pPr>
      <w:r w:rsidRPr="002A7F74">
        <w:rPr>
          <w:rFonts w:ascii="Times New Roman" w:hAnsi="Times New Roman" w:cs="Times New Roman"/>
          <w:sz w:val="24"/>
          <w:szCs w:val="24"/>
          <w:lang w:val="pt-BR"/>
        </w:rPr>
        <w:t xml:space="preserve">A CETIP </w:t>
      </w:r>
      <w:r w:rsidR="008972B4" w:rsidRPr="002A7F74">
        <w:rPr>
          <w:rFonts w:ascii="Times New Roman" w:hAnsi="Times New Roman" w:cs="Times New Roman"/>
          <w:sz w:val="24"/>
          <w:szCs w:val="24"/>
          <w:lang w:val="pt-BR"/>
        </w:rPr>
        <w:t>propõe</w:t>
      </w:r>
      <w:r w:rsidRPr="002A7F74">
        <w:rPr>
          <w:rFonts w:ascii="Times New Roman" w:hAnsi="Times New Roman" w:cs="Times New Roman"/>
          <w:sz w:val="24"/>
          <w:szCs w:val="24"/>
          <w:lang w:val="pt-BR"/>
        </w:rPr>
        <w:t xml:space="preserve"> que </w:t>
      </w:r>
      <w:r w:rsidR="008972B4">
        <w:rPr>
          <w:rFonts w:ascii="Times New Roman" w:hAnsi="Times New Roman" w:cs="Times New Roman"/>
          <w:sz w:val="24"/>
          <w:szCs w:val="24"/>
          <w:lang w:val="pt-BR"/>
        </w:rPr>
        <w:t xml:space="preserve">a Instrução resultante da Minuta </w:t>
      </w:r>
      <w:r w:rsidRPr="002A7F74">
        <w:rPr>
          <w:rFonts w:ascii="Times New Roman" w:hAnsi="Times New Roman" w:cs="Times New Roman"/>
          <w:sz w:val="24"/>
          <w:szCs w:val="24"/>
          <w:lang w:val="pt-BR"/>
        </w:rPr>
        <w:t xml:space="preserve">entre em vigor 120 </w:t>
      </w:r>
      <w:r w:rsidR="0028705B">
        <w:rPr>
          <w:rFonts w:ascii="Times New Roman" w:hAnsi="Times New Roman" w:cs="Times New Roman"/>
          <w:sz w:val="24"/>
          <w:szCs w:val="24"/>
          <w:lang w:val="pt-BR"/>
        </w:rPr>
        <w:t xml:space="preserve">(cento e vinte) </w:t>
      </w:r>
      <w:r w:rsidRPr="002A7F74">
        <w:rPr>
          <w:rFonts w:ascii="Times New Roman" w:hAnsi="Times New Roman" w:cs="Times New Roman"/>
          <w:sz w:val="24"/>
          <w:szCs w:val="24"/>
          <w:lang w:val="pt-BR"/>
        </w:rPr>
        <w:t>dias após sua publicação, para permitir a adaptação dos ambientes e sistemas dos mercados organizados às novas regras.</w:t>
      </w:r>
    </w:p>
    <w:p w:rsidR="00F32C17" w:rsidRPr="002A7F74" w:rsidRDefault="00F32C17" w:rsidP="00A93F2F">
      <w:pPr>
        <w:pStyle w:val="CorpoA"/>
        <w:widowControl w:val="0"/>
        <w:spacing w:after="0" w:line="312" w:lineRule="auto"/>
        <w:jc w:val="both"/>
        <w:rPr>
          <w:rFonts w:ascii="Times New Roman" w:eastAsia="Times New Roman" w:hAnsi="Times New Roman" w:cs="Times New Roman"/>
          <w:sz w:val="24"/>
          <w:szCs w:val="24"/>
          <w:lang w:val="pt-BR"/>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F32C17" w:rsidRPr="00533EEE" w:rsidTr="00F32C17">
        <w:trPr>
          <w:trHeight w:val="360"/>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28705B" w:rsidRDefault="0028705B" w:rsidP="008972B4">
            <w:pPr>
              <w:spacing w:line="312" w:lineRule="auto"/>
              <w:ind w:firstLine="567"/>
              <w:jc w:val="both"/>
              <w:rPr>
                <w:lang w:val="pt-BR"/>
              </w:rPr>
            </w:pPr>
            <w:r w:rsidRPr="0028705B">
              <w:rPr>
                <w:lang w:val="pt-BR"/>
              </w:rPr>
              <w:t>A Instrução CVM n° 554, de 17 de dezembro de 2014, alterou as Instruções C</w:t>
            </w:r>
            <w:r w:rsidR="002D2036">
              <w:rPr>
                <w:lang w:val="pt-BR"/>
              </w:rPr>
              <w:t>VM n° 155 e 429, de 1991 e 2006</w:t>
            </w:r>
            <w:r w:rsidRPr="0028705B">
              <w:rPr>
                <w:lang w:val="pt-BR"/>
              </w:rPr>
              <w:t xml:space="preserve"> respectivamente, para substituir referências a valores unitários mínimo</w:t>
            </w:r>
            <w:r>
              <w:rPr>
                <w:lang w:val="pt-BR"/>
              </w:rPr>
              <w:t xml:space="preserve">s </w:t>
            </w:r>
            <w:r w:rsidRPr="0028705B">
              <w:rPr>
                <w:lang w:val="pt-BR"/>
              </w:rPr>
              <w:t xml:space="preserve">pela condição de </w:t>
            </w:r>
            <w:r>
              <w:rPr>
                <w:lang w:val="pt-BR"/>
              </w:rPr>
              <w:t>“</w:t>
            </w:r>
            <w:r w:rsidRPr="0028705B">
              <w:rPr>
                <w:lang w:val="pt-BR"/>
              </w:rPr>
              <w:t>investidor profissional</w:t>
            </w:r>
            <w:r>
              <w:rPr>
                <w:lang w:val="pt-BR"/>
              </w:rPr>
              <w:t>” dos destinatários das notas promissórias ofertadas pelo procedimento de registro automático.</w:t>
            </w:r>
          </w:p>
          <w:p w:rsidR="0028705B" w:rsidRDefault="0028705B" w:rsidP="008972B4">
            <w:pPr>
              <w:spacing w:line="312" w:lineRule="auto"/>
              <w:ind w:firstLine="567"/>
              <w:jc w:val="both"/>
              <w:rPr>
                <w:lang w:val="pt-BR"/>
              </w:rPr>
            </w:pPr>
          </w:p>
          <w:p w:rsidR="0028705B" w:rsidRDefault="0028705B" w:rsidP="008972B4">
            <w:pPr>
              <w:spacing w:line="312" w:lineRule="auto"/>
              <w:ind w:firstLine="567"/>
              <w:jc w:val="both"/>
              <w:rPr>
                <w:lang w:val="pt-BR"/>
              </w:rPr>
            </w:pPr>
            <w:r>
              <w:rPr>
                <w:lang w:val="pt-BR"/>
              </w:rPr>
              <w:t>Tais alterações, contudo, passarão a viger apenas em 1° de outubro de 2015, conforme a redação dada ao art. 18 da Instrução CVM n° 554, de 2014, pelo art. 2° da Instrução CVM n° 564, de 11 de junho de 2015.</w:t>
            </w:r>
          </w:p>
          <w:p w:rsidR="0028705B" w:rsidRDefault="0028705B" w:rsidP="008972B4">
            <w:pPr>
              <w:spacing w:line="312" w:lineRule="auto"/>
              <w:ind w:firstLine="567"/>
              <w:jc w:val="both"/>
              <w:rPr>
                <w:lang w:val="pt-BR"/>
              </w:rPr>
            </w:pPr>
          </w:p>
          <w:p w:rsidR="0028705B" w:rsidRDefault="0028705B" w:rsidP="002D2036">
            <w:pPr>
              <w:spacing w:line="312" w:lineRule="auto"/>
              <w:ind w:firstLine="567"/>
              <w:jc w:val="both"/>
              <w:rPr>
                <w:lang w:val="pt-BR"/>
              </w:rPr>
            </w:pPr>
            <w:r>
              <w:rPr>
                <w:lang w:val="pt-BR"/>
              </w:rPr>
              <w:t xml:space="preserve">Se acatada a sugestão da CETIP, </w:t>
            </w:r>
            <w:r w:rsidR="002D2036">
              <w:rPr>
                <w:lang w:val="pt-BR"/>
              </w:rPr>
              <w:t xml:space="preserve">o mercado conviveria, no breve intervalo entre 1° de outubro de 2015 e o decurso dos 120 (cento e vinte) dias propostos pelo participante, com essa alteração pontual das Instruções CVM n° 155 e 429, de 1991 e 2006 respectivamente – dificultando ainda mais a adaptação de sistemas. </w:t>
            </w:r>
          </w:p>
          <w:p w:rsidR="002D2036" w:rsidRDefault="002D2036" w:rsidP="002D2036">
            <w:pPr>
              <w:spacing w:line="312" w:lineRule="auto"/>
              <w:ind w:firstLine="567"/>
              <w:jc w:val="both"/>
              <w:rPr>
                <w:lang w:val="pt-BR"/>
              </w:rPr>
            </w:pPr>
          </w:p>
          <w:p w:rsidR="00E307BE" w:rsidRDefault="002D2036" w:rsidP="002D2036">
            <w:pPr>
              <w:spacing w:line="312" w:lineRule="auto"/>
              <w:ind w:firstLine="567"/>
              <w:jc w:val="both"/>
              <w:rPr>
                <w:lang w:val="pt-BR"/>
              </w:rPr>
            </w:pPr>
            <w:r>
              <w:rPr>
                <w:lang w:val="pt-BR"/>
              </w:rPr>
              <w:t>Por conta disso, a CVM preferiu reverter</w:t>
            </w:r>
            <w:r w:rsidR="00E307BE">
              <w:rPr>
                <w:lang w:val="pt-BR"/>
              </w:rPr>
              <w:t>,</w:t>
            </w:r>
            <w:r>
              <w:rPr>
                <w:lang w:val="pt-BR"/>
              </w:rPr>
              <w:t xml:space="preserve"> </w:t>
            </w:r>
            <w:r w:rsidR="00E307BE">
              <w:rPr>
                <w:lang w:val="pt-BR"/>
              </w:rPr>
              <w:t xml:space="preserve">já na data de publicação da Minuta, </w:t>
            </w:r>
            <w:r>
              <w:rPr>
                <w:lang w:val="pt-BR"/>
              </w:rPr>
              <w:t>as alterações promovidas pela Instrução CVM n° 5</w:t>
            </w:r>
            <w:r w:rsidR="00327D69">
              <w:rPr>
                <w:lang w:val="pt-BR"/>
              </w:rPr>
              <w:t>5</w:t>
            </w:r>
            <w:r>
              <w:rPr>
                <w:lang w:val="pt-BR"/>
              </w:rPr>
              <w:t xml:space="preserve">4, de 2014, nas Instruções CVM n° 155 e 429, de 1991 e 2006 </w:t>
            </w:r>
            <w:r>
              <w:rPr>
                <w:lang w:val="pt-BR"/>
              </w:rPr>
              <w:lastRenderedPageBreak/>
              <w:t>resp</w:t>
            </w:r>
            <w:r w:rsidR="00E307BE">
              <w:rPr>
                <w:lang w:val="pt-BR"/>
              </w:rPr>
              <w:t>ectivamente.</w:t>
            </w:r>
          </w:p>
          <w:p w:rsidR="00E307BE" w:rsidRDefault="00E307BE" w:rsidP="002D2036">
            <w:pPr>
              <w:spacing w:line="312" w:lineRule="auto"/>
              <w:ind w:firstLine="567"/>
              <w:jc w:val="both"/>
              <w:rPr>
                <w:lang w:val="pt-BR"/>
              </w:rPr>
            </w:pPr>
          </w:p>
          <w:p w:rsidR="00E307BE" w:rsidRDefault="00E307BE" w:rsidP="00E307BE">
            <w:pPr>
              <w:spacing w:line="312" w:lineRule="auto"/>
              <w:ind w:firstLine="567"/>
              <w:jc w:val="both"/>
              <w:rPr>
                <w:lang w:val="pt-BR"/>
              </w:rPr>
            </w:pPr>
            <w:r>
              <w:rPr>
                <w:lang w:val="pt-BR"/>
              </w:rPr>
              <w:t>Já o prazo para a entrada em vigor da Minuta como um todo passa a ser 1° de outubro de 2015, data que já havia sido sinalizada como limite para a adaptação de sistemas</w:t>
            </w:r>
            <w:r w:rsidR="00327D69">
              <w:rPr>
                <w:lang w:val="pt-BR"/>
              </w:rPr>
              <w:t xml:space="preserve"> por ocasião da aprovação da Instrução CVM nº 564, de 2015</w:t>
            </w:r>
            <w:r>
              <w:rPr>
                <w:lang w:val="pt-BR"/>
              </w:rPr>
              <w:t>.</w:t>
            </w:r>
          </w:p>
          <w:p w:rsidR="00E307BE" w:rsidRDefault="00E307BE" w:rsidP="00E307BE">
            <w:pPr>
              <w:spacing w:line="312" w:lineRule="auto"/>
              <w:ind w:firstLine="567"/>
              <w:jc w:val="both"/>
              <w:rPr>
                <w:lang w:val="pt-BR"/>
              </w:rPr>
            </w:pPr>
          </w:p>
          <w:p w:rsidR="0086609E" w:rsidRDefault="00E307BE">
            <w:pPr>
              <w:spacing w:line="312" w:lineRule="auto"/>
              <w:ind w:firstLine="567"/>
              <w:jc w:val="both"/>
              <w:rPr>
                <w:highlight w:val="yellow"/>
                <w:lang w:val="pt-BR"/>
              </w:rPr>
            </w:pPr>
            <w:r>
              <w:rPr>
                <w:lang w:val="pt-BR"/>
              </w:rPr>
              <w:t xml:space="preserve">Isso significa que as Instruções CVM n° 155 e 429, de 1991 e 2006 respectivamente, permanecerão em vigor, com suas disposições atuais, até 1° de outubro de 2015, quando a </w:t>
            </w:r>
            <w:r w:rsidR="00401C41">
              <w:rPr>
                <w:lang w:val="pt-BR"/>
              </w:rPr>
              <w:t xml:space="preserve">Minuta </w:t>
            </w:r>
            <w:r>
              <w:rPr>
                <w:lang w:val="pt-BR"/>
              </w:rPr>
              <w:t>as revogará por completo.</w:t>
            </w:r>
          </w:p>
        </w:tc>
      </w:tr>
    </w:tbl>
    <w:p w:rsidR="00F32C17" w:rsidRPr="002A7F74" w:rsidRDefault="00F32C17" w:rsidP="00A93F2F">
      <w:pPr>
        <w:pStyle w:val="CorpoA"/>
        <w:spacing w:after="0" w:line="312" w:lineRule="auto"/>
        <w:jc w:val="both"/>
        <w:rPr>
          <w:rFonts w:ascii="Times New Roman" w:eastAsia="Times New Roman" w:hAnsi="Times New Roman" w:cs="Times New Roman"/>
          <w:sz w:val="24"/>
          <w:szCs w:val="24"/>
          <w:lang w:val="pt-BR"/>
        </w:rPr>
      </w:pPr>
    </w:p>
    <w:p w:rsidR="00D9084C" w:rsidRPr="002A7F74" w:rsidRDefault="005607BA" w:rsidP="00A93F2F">
      <w:pPr>
        <w:pStyle w:val="Ttulo2"/>
        <w:spacing w:before="0" w:line="312" w:lineRule="auto"/>
        <w:rPr>
          <w:lang w:val="pt-BR"/>
        </w:rPr>
      </w:pPr>
      <w:r w:rsidRPr="002A7F74">
        <w:rPr>
          <w:lang w:val="pt-BR"/>
        </w:rPr>
        <w:t>3.2.</w:t>
      </w:r>
      <w:r w:rsidRPr="002A7F74">
        <w:rPr>
          <w:lang w:val="pt-BR"/>
        </w:rPr>
        <w:tab/>
      </w:r>
      <w:r w:rsidR="00933AD8">
        <w:rPr>
          <w:lang w:val="pt-BR"/>
        </w:rPr>
        <w:t>Anexo I</w:t>
      </w:r>
      <w:r w:rsidRPr="002A7F74">
        <w:rPr>
          <w:lang w:val="pt-BR"/>
        </w:rPr>
        <w:tab/>
      </w:r>
    </w:p>
    <w:p w:rsidR="00CB3B28" w:rsidRPr="002A7F74" w:rsidRDefault="00CB3B28" w:rsidP="00A93F2F">
      <w:pPr>
        <w:pStyle w:val="CorpoA"/>
        <w:spacing w:after="0" w:line="312" w:lineRule="auto"/>
        <w:ind w:firstLine="709"/>
        <w:jc w:val="both"/>
        <w:rPr>
          <w:rFonts w:ascii="Times New Roman" w:hAnsi="Times New Roman" w:cs="Times New Roman"/>
          <w:sz w:val="24"/>
          <w:szCs w:val="24"/>
          <w:lang w:val="pt-BR"/>
        </w:rPr>
      </w:pPr>
    </w:p>
    <w:p w:rsidR="009A631F" w:rsidRPr="002A7F74" w:rsidRDefault="00D377CF" w:rsidP="00A93F2F">
      <w:pPr>
        <w:pStyle w:val="CorpoA"/>
        <w:widowControl w:val="0"/>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w:t>
      </w:r>
      <w:r w:rsidR="009A631F" w:rsidRPr="002A7F74">
        <w:rPr>
          <w:rFonts w:ascii="Times New Roman" w:hAnsi="Times New Roman" w:cs="Times New Roman"/>
          <w:sz w:val="24"/>
          <w:szCs w:val="24"/>
          <w:lang w:val="pt-BR"/>
        </w:rPr>
        <w:t xml:space="preserve">Salusse Marangoni propõe ajuste de redação no item 2.1 </w:t>
      </w:r>
      <w:r w:rsidR="00405B5E">
        <w:rPr>
          <w:rFonts w:ascii="Times New Roman" w:hAnsi="Times New Roman" w:cs="Times New Roman"/>
          <w:sz w:val="24"/>
          <w:szCs w:val="24"/>
          <w:lang w:val="pt-BR"/>
        </w:rPr>
        <w:t xml:space="preserve">do Anexo I – </w:t>
      </w:r>
      <w:r w:rsidR="00933AD8">
        <w:rPr>
          <w:rFonts w:ascii="Times New Roman" w:hAnsi="Times New Roman" w:cs="Times New Roman"/>
          <w:sz w:val="24"/>
          <w:szCs w:val="24"/>
          <w:lang w:val="pt-BR"/>
        </w:rPr>
        <w:t>“Identificação da companhia emissora”</w:t>
      </w:r>
      <w:r w:rsidR="00405B5E">
        <w:rPr>
          <w:rFonts w:ascii="Times New Roman" w:hAnsi="Times New Roman" w:cs="Times New Roman"/>
          <w:sz w:val="24"/>
          <w:szCs w:val="24"/>
          <w:lang w:val="pt-BR"/>
        </w:rPr>
        <w:t xml:space="preserve"> –</w:t>
      </w:r>
      <w:r w:rsidR="00933AD8">
        <w:rPr>
          <w:rFonts w:ascii="Times New Roman" w:hAnsi="Times New Roman" w:cs="Times New Roman"/>
          <w:sz w:val="24"/>
          <w:szCs w:val="24"/>
          <w:lang w:val="pt-BR"/>
        </w:rPr>
        <w:t xml:space="preserve"> para substituir </w:t>
      </w:r>
      <w:r w:rsidR="009A631F" w:rsidRPr="002A7F74">
        <w:rPr>
          <w:rFonts w:ascii="Times New Roman" w:hAnsi="Times New Roman" w:cs="Times New Roman"/>
          <w:sz w:val="24"/>
          <w:szCs w:val="24"/>
          <w:lang w:val="pt-BR"/>
        </w:rPr>
        <w:t xml:space="preserve">o termo </w:t>
      </w:r>
      <w:r w:rsidR="00F32C17" w:rsidRPr="002A7F74">
        <w:rPr>
          <w:rFonts w:ascii="Times New Roman" w:hAnsi="Times New Roman" w:cs="Times New Roman"/>
          <w:sz w:val="24"/>
          <w:szCs w:val="24"/>
          <w:lang w:val="pt-BR"/>
        </w:rPr>
        <w:t>“</w:t>
      </w:r>
      <w:r w:rsidR="009A631F" w:rsidRPr="002A7F74">
        <w:rPr>
          <w:rFonts w:ascii="Times New Roman" w:hAnsi="Times New Roman" w:cs="Times New Roman"/>
          <w:sz w:val="24"/>
          <w:szCs w:val="24"/>
          <w:lang w:val="pt-BR"/>
        </w:rPr>
        <w:t>comp</w:t>
      </w:r>
      <w:r w:rsidR="00F32C17" w:rsidRPr="002A7F74">
        <w:rPr>
          <w:rFonts w:ascii="Times New Roman" w:hAnsi="Times New Roman" w:cs="Times New Roman"/>
          <w:sz w:val="24"/>
          <w:szCs w:val="24"/>
          <w:lang w:val="pt-BR"/>
        </w:rPr>
        <w:t>a</w:t>
      </w:r>
      <w:r w:rsidR="009A631F" w:rsidRPr="002A7F74">
        <w:rPr>
          <w:rFonts w:ascii="Times New Roman" w:hAnsi="Times New Roman" w:cs="Times New Roman"/>
          <w:sz w:val="24"/>
          <w:szCs w:val="24"/>
          <w:lang w:val="pt-BR"/>
        </w:rPr>
        <w:t>nhia</w:t>
      </w:r>
      <w:r w:rsidR="00F32C17" w:rsidRPr="002A7F74">
        <w:rPr>
          <w:rFonts w:ascii="Times New Roman" w:hAnsi="Times New Roman" w:cs="Times New Roman"/>
          <w:sz w:val="24"/>
          <w:szCs w:val="24"/>
          <w:lang w:val="pt-BR"/>
        </w:rPr>
        <w:t>”</w:t>
      </w:r>
      <w:r w:rsidR="009A631F" w:rsidRPr="002A7F74">
        <w:rPr>
          <w:rFonts w:ascii="Times New Roman" w:hAnsi="Times New Roman" w:cs="Times New Roman"/>
          <w:sz w:val="24"/>
          <w:szCs w:val="24"/>
          <w:lang w:val="pt-BR"/>
        </w:rPr>
        <w:t xml:space="preserve"> por </w:t>
      </w:r>
      <w:r w:rsidR="00F32C17" w:rsidRPr="002A7F74">
        <w:rPr>
          <w:rFonts w:ascii="Times New Roman" w:hAnsi="Times New Roman" w:cs="Times New Roman"/>
          <w:sz w:val="24"/>
          <w:szCs w:val="24"/>
          <w:lang w:val="pt-BR"/>
        </w:rPr>
        <w:t>“</w:t>
      </w:r>
      <w:r w:rsidR="009A631F" w:rsidRPr="002A7F74">
        <w:rPr>
          <w:rFonts w:ascii="Times New Roman" w:hAnsi="Times New Roman" w:cs="Times New Roman"/>
          <w:sz w:val="24"/>
          <w:szCs w:val="24"/>
          <w:lang w:val="pt-BR"/>
        </w:rPr>
        <w:t>sociedade</w:t>
      </w:r>
      <w:r w:rsidR="00F32C17" w:rsidRPr="002A7F74">
        <w:rPr>
          <w:rFonts w:ascii="Times New Roman" w:hAnsi="Times New Roman" w:cs="Times New Roman"/>
          <w:sz w:val="24"/>
          <w:szCs w:val="24"/>
          <w:lang w:val="pt-BR"/>
        </w:rPr>
        <w:t>”</w:t>
      </w:r>
      <w:r w:rsidR="009A631F" w:rsidRPr="002A7F74">
        <w:rPr>
          <w:rFonts w:ascii="Times New Roman" w:hAnsi="Times New Roman" w:cs="Times New Roman"/>
          <w:sz w:val="24"/>
          <w:szCs w:val="24"/>
          <w:lang w:val="pt-BR"/>
        </w:rPr>
        <w:t xml:space="preserve"> e </w:t>
      </w:r>
      <w:r w:rsidR="00933AD8">
        <w:rPr>
          <w:rFonts w:ascii="Times New Roman" w:hAnsi="Times New Roman" w:cs="Times New Roman"/>
          <w:sz w:val="24"/>
          <w:szCs w:val="24"/>
          <w:lang w:val="pt-BR"/>
        </w:rPr>
        <w:t>incluir seu</w:t>
      </w:r>
      <w:r w:rsidR="009A631F" w:rsidRPr="002A7F74">
        <w:rPr>
          <w:rFonts w:ascii="Times New Roman" w:hAnsi="Times New Roman" w:cs="Times New Roman"/>
          <w:sz w:val="24"/>
          <w:szCs w:val="24"/>
          <w:lang w:val="pt-BR"/>
        </w:rPr>
        <w:t xml:space="preserve"> endereço na rede mundial de computadores.</w:t>
      </w:r>
    </w:p>
    <w:p w:rsidR="00D9084C" w:rsidRPr="002A7F74" w:rsidRDefault="009A631F" w:rsidP="00A93F2F">
      <w:pPr>
        <w:pStyle w:val="CorpoA"/>
        <w:widowControl w:val="0"/>
        <w:spacing w:after="0" w:line="312" w:lineRule="auto"/>
        <w:ind w:firstLine="709"/>
        <w:jc w:val="both"/>
        <w:rPr>
          <w:rFonts w:ascii="Times New Roman" w:eastAsia="Times New Roman" w:hAnsi="Times New Roman" w:cs="Times New Roman"/>
          <w:sz w:val="24"/>
          <w:szCs w:val="24"/>
          <w:lang w:val="pt-BR"/>
        </w:rPr>
      </w:pPr>
      <w:r w:rsidRPr="002A7F74">
        <w:rPr>
          <w:rFonts w:ascii="Times New Roman" w:hAnsi="Times New Roman" w:cs="Times New Roman"/>
          <w:sz w:val="24"/>
          <w:szCs w:val="24"/>
          <w:lang w:val="pt-BR"/>
        </w:rPr>
        <w:t xml:space="preserve"> </w:t>
      </w:r>
    </w:p>
    <w:tbl>
      <w:tblPr>
        <w:tblStyle w:val="TableNormal"/>
        <w:tblW w:w="1019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199"/>
      </w:tblGrid>
      <w:tr w:rsidR="00D9084C" w:rsidRPr="00533EEE" w:rsidTr="006D11E7">
        <w:trPr>
          <w:trHeight w:val="83"/>
        </w:trPr>
        <w:tc>
          <w:tcPr>
            <w:tcW w:w="10199"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B32CB" w:rsidRPr="002A7F74" w:rsidRDefault="00933AD8" w:rsidP="00E455D1">
            <w:pPr>
              <w:spacing w:line="312" w:lineRule="auto"/>
              <w:ind w:firstLine="567"/>
              <w:jc w:val="both"/>
              <w:rPr>
                <w:lang w:val="pt-BR"/>
              </w:rPr>
            </w:pPr>
            <w:r>
              <w:rPr>
                <w:lang w:val="pt-BR"/>
              </w:rPr>
              <w:t xml:space="preserve">A CVM alterou a referência para, em linha com as demais normas por ela editadas, </w:t>
            </w:r>
            <w:r w:rsidR="00E455D1">
              <w:rPr>
                <w:lang w:val="pt-BR"/>
              </w:rPr>
              <w:t xml:space="preserve">empregar o termo </w:t>
            </w:r>
            <w:r>
              <w:rPr>
                <w:lang w:val="pt-BR"/>
              </w:rPr>
              <w:t>“emissor” e incluir</w:t>
            </w:r>
            <w:r w:rsidR="00E455D1">
              <w:rPr>
                <w:lang w:val="pt-BR"/>
              </w:rPr>
              <w:t xml:space="preserve"> a divulgação de</w:t>
            </w:r>
            <w:r>
              <w:rPr>
                <w:lang w:val="pt-BR"/>
              </w:rPr>
              <w:t xml:space="preserve"> seu endereço na rede mundial de computadores.</w:t>
            </w:r>
          </w:p>
        </w:tc>
      </w:tr>
    </w:tbl>
    <w:p w:rsidR="00D9084C" w:rsidRPr="002A7F74" w:rsidRDefault="00D9084C" w:rsidP="00A93F2F">
      <w:pPr>
        <w:pStyle w:val="CorpoA"/>
        <w:spacing w:after="0" w:line="312" w:lineRule="auto"/>
        <w:jc w:val="both"/>
        <w:rPr>
          <w:rFonts w:ascii="Times New Roman" w:eastAsia="Times New Roman" w:hAnsi="Times New Roman" w:cs="Times New Roman"/>
          <w:sz w:val="24"/>
          <w:szCs w:val="24"/>
          <w:lang w:val="pt-BR"/>
        </w:rPr>
      </w:pPr>
    </w:p>
    <w:p w:rsidR="00233FAD" w:rsidRDefault="00D377CF" w:rsidP="00A93F2F">
      <w:pPr>
        <w:pStyle w:val="CorpoA"/>
        <w:widowControl w:val="0"/>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r w:rsidR="002A60CC" w:rsidRPr="00405B5E">
        <w:rPr>
          <w:rFonts w:ascii="Times New Roman" w:hAnsi="Times New Roman" w:cs="Times New Roman"/>
          <w:sz w:val="24"/>
          <w:szCs w:val="24"/>
          <w:lang w:val="pt-BR"/>
        </w:rPr>
        <w:t>ABRASCA</w:t>
      </w:r>
      <w:r w:rsidR="00005A1D" w:rsidRPr="00405B5E">
        <w:rPr>
          <w:rFonts w:ascii="Times New Roman" w:hAnsi="Times New Roman" w:cs="Times New Roman"/>
          <w:sz w:val="24"/>
          <w:szCs w:val="24"/>
          <w:lang w:val="pt-BR"/>
        </w:rPr>
        <w:t xml:space="preserve"> propõe ajuste de redação no item 5</w:t>
      </w:r>
      <w:r w:rsidR="00933AD8" w:rsidRPr="00405B5E">
        <w:rPr>
          <w:rFonts w:ascii="Times New Roman" w:hAnsi="Times New Roman" w:cs="Times New Roman"/>
          <w:sz w:val="24"/>
          <w:szCs w:val="24"/>
          <w:lang w:val="pt-BR"/>
        </w:rPr>
        <w:t xml:space="preserve"> do Anexo I</w:t>
      </w:r>
      <w:r w:rsidR="00405B5E" w:rsidRPr="00405B5E">
        <w:rPr>
          <w:rFonts w:ascii="Times New Roman" w:hAnsi="Times New Roman" w:cs="Times New Roman"/>
          <w:sz w:val="24"/>
          <w:szCs w:val="24"/>
          <w:lang w:val="pt-BR"/>
        </w:rPr>
        <w:t xml:space="preserve"> </w:t>
      </w:r>
      <w:r w:rsidR="00405B5E">
        <w:rPr>
          <w:rFonts w:ascii="Times New Roman" w:hAnsi="Times New Roman" w:cs="Times New Roman"/>
          <w:sz w:val="24"/>
          <w:szCs w:val="24"/>
          <w:lang w:val="pt-BR"/>
        </w:rPr>
        <w:t xml:space="preserve">– </w:t>
      </w:r>
      <w:r w:rsidR="00405B5E" w:rsidRPr="00405B5E">
        <w:rPr>
          <w:rFonts w:ascii="Times New Roman" w:hAnsi="Times New Roman" w:cs="Times New Roman"/>
          <w:sz w:val="24"/>
          <w:szCs w:val="24"/>
          <w:lang w:val="pt-BR"/>
        </w:rPr>
        <w:t>“Informações financeiras selecionadas (compreendendo os três últimos exercícios sociais, e informações trimestrais do exercício em curso, comparadas com igual período do anterior)”</w:t>
      </w:r>
      <w:r w:rsidR="00BB31E0">
        <w:rPr>
          <w:rFonts w:ascii="Times New Roman" w:hAnsi="Times New Roman" w:cs="Times New Roman"/>
          <w:sz w:val="24"/>
          <w:szCs w:val="24"/>
          <w:lang w:val="pt-BR"/>
        </w:rPr>
        <w:t xml:space="preserve">. </w:t>
      </w:r>
    </w:p>
    <w:p w:rsidR="00233FAD" w:rsidRDefault="00233FAD" w:rsidP="00A93F2F">
      <w:pPr>
        <w:pStyle w:val="CorpoA"/>
        <w:widowControl w:val="0"/>
        <w:spacing w:after="0" w:line="312" w:lineRule="auto"/>
        <w:ind w:firstLine="709"/>
        <w:jc w:val="both"/>
        <w:rPr>
          <w:rFonts w:ascii="Times New Roman" w:hAnsi="Times New Roman" w:cs="Times New Roman"/>
          <w:sz w:val="24"/>
          <w:szCs w:val="24"/>
          <w:lang w:val="pt-BR"/>
        </w:rPr>
      </w:pPr>
    </w:p>
    <w:p w:rsidR="00BB31E0" w:rsidRDefault="00BB31E0" w:rsidP="00A93F2F">
      <w:pPr>
        <w:pStyle w:val="CorpoA"/>
        <w:widowControl w:val="0"/>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O participante aponta que</w:t>
      </w:r>
      <w:r w:rsidR="00233FAD">
        <w:rPr>
          <w:rFonts w:ascii="Times New Roman" w:hAnsi="Times New Roman" w:cs="Times New Roman"/>
          <w:sz w:val="24"/>
          <w:szCs w:val="24"/>
          <w:lang w:val="pt-BR"/>
        </w:rPr>
        <w:t>, em outras normas da CVM (a exemplo do item 10.1(h) do Anexo 24 da Instrução CVM n° 480, de 2009),</w:t>
      </w:r>
      <w:r>
        <w:rPr>
          <w:rFonts w:ascii="Times New Roman" w:hAnsi="Times New Roman" w:cs="Times New Roman"/>
          <w:sz w:val="24"/>
          <w:szCs w:val="24"/>
          <w:lang w:val="pt-BR"/>
        </w:rPr>
        <w:t xml:space="preserve"> as informações trimestrais </w:t>
      </w:r>
      <w:r w:rsidR="00233FAD">
        <w:rPr>
          <w:rFonts w:ascii="Times New Roman" w:hAnsi="Times New Roman" w:cs="Times New Roman"/>
          <w:sz w:val="24"/>
          <w:szCs w:val="24"/>
          <w:lang w:val="pt-BR"/>
        </w:rPr>
        <w:t>costumam</w:t>
      </w:r>
      <w:r>
        <w:rPr>
          <w:rFonts w:ascii="Times New Roman" w:hAnsi="Times New Roman" w:cs="Times New Roman"/>
          <w:sz w:val="24"/>
          <w:szCs w:val="24"/>
          <w:lang w:val="pt-BR"/>
        </w:rPr>
        <w:t xml:space="preserve"> ser comparadas não com igual período do exercício anterior, mas com as contas do último exercício social encerrado </w:t>
      </w:r>
      <w:r w:rsidR="00233FAD">
        <w:rPr>
          <w:rFonts w:ascii="Times New Roman" w:hAnsi="Times New Roman" w:cs="Times New Roman"/>
          <w:sz w:val="24"/>
          <w:szCs w:val="24"/>
          <w:lang w:val="pt-BR"/>
        </w:rPr>
        <w:t>(por exemplo, balanço patrimonial com data-base de 30 de junho de 2014 comparado com a data-base de 31 de dezembro de 2013). Aponta ainda que a comparação das contas patrimoniais com o último exercício social encerrado segue o disposto no item 20, subitem “a”, do Pronunciamento Técnico CPC 21 (R1)</w:t>
      </w:r>
      <w:r w:rsidR="00233FAD">
        <w:rPr>
          <w:rStyle w:val="Refdenotaderodap"/>
          <w:rFonts w:ascii="Times New Roman" w:hAnsi="Times New Roman" w:cs="Times New Roman"/>
          <w:sz w:val="24"/>
          <w:szCs w:val="24"/>
          <w:lang w:val="pt-BR"/>
        </w:rPr>
        <w:footnoteReference w:id="5"/>
      </w:r>
      <w:r w:rsidR="00233FAD">
        <w:rPr>
          <w:rFonts w:ascii="Times New Roman" w:hAnsi="Times New Roman" w:cs="Times New Roman"/>
          <w:sz w:val="24"/>
          <w:szCs w:val="24"/>
          <w:lang w:val="pt-BR"/>
        </w:rPr>
        <w:t xml:space="preserve">. </w:t>
      </w:r>
    </w:p>
    <w:p w:rsidR="00BB31E0" w:rsidRDefault="00BB31E0" w:rsidP="00A93F2F">
      <w:pPr>
        <w:pStyle w:val="CorpoA"/>
        <w:widowControl w:val="0"/>
        <w:spacing w:after="0" w:line="312" w:lineRule="auto"/>
        <w:ind w:firstLine="709"/>
        <w:jc w:val="both"/>
        <w:rPr>
          <w:rFonts w:ascii="Times New Roman" w:hAnsi="Times New Roman" w:cs="Times New Roman"/>
          <w:sz w:val="24"/>
          <w:szCs w:val="24"/>
          <w:lang w:val="pt-BR"/>
        </w:rPr>
      </w:pPr>
    </w:p>
    <w:p w:rsidR="002D452E" w:rsidRDefault="002D452E" w:rsidP="00A93F2F">
      <w:pPr>
        <w:pStyle w:val="CorpoA"/>
        <w:widowControl w:val="0"/>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Por conta disso, a ABRASCA sugere a seguinte redação, caso a CVM entenda que a lâmina de </w:t>
      </w:r>
      <w:r>
        <w:rPr>
          <w:rFonts w:ascii="Times New Roman" w:hAnsi="Times New Roman" w:cs="Times New Roman"/>
          <w:sz w:val="24"/>
          <w:szCs w:val="24"/>
          <w:lang w:val="pt-BR"/>
        </w:rPr>
        <w:lastRenderedPageBreak/>
        <w:t>informações reduzidas do Anexo I deve seguir o disposto no Pronunciamento Técnico CPC 21 (R1):</w:t>
      </w:r>
    </w:p>
    <w:p w:rsidR="002D452E" w:rsidRDefault="002D452E" w:rsidP="00A93F2F">
      <w:pPr>
        <w:pStyle w:val="CorpoA"/>
        <w:widowControl w:val="0"/>
        <w:spacing w:after="0" w:line="312" w:lineRule="auto"/>
        <w:ind w:firstLine="709"/>
        <w:jc w:val="both"/>
        <w:rPr>
          <w:rFonts w:ascii="Times New Roman" w:hAnsi="Times New Roman" w:cs="Times New Roman"/>
          <w:sz w:val="24"/>
          <w:szCs w:val="24"/>
          <w:lang w:val="pt-BR"/>
        </w:rPr>
      </w:pPr>
    </w:p>
    <w:p w:rsidR="002D452E" w:rsidRPr="002D452E" w:rsidRDefault="002D452E" w:rsidP="003379CB">
      <w:pPr>
        <w:pStyle w:val="CorpoA"/>
        <w:widowControl w:val="0"/>
        <w:spacing w:after="0" w:line="312" w:lineRule="auto"/>
        <w:ind w:left="709"/>
        <w:jc w:val="both"/>
        <w:rPr>
          <w:rFonts w:ascii="Times New Roman" w:hAnsi="Times New Roman" w:cs="Times New Roman"/>
          <w:color w:val="0066FF"/>
          <w:sz w:val="24"/>
          <w:szCs w:val="24"/>
          <w:u w:val="single"/>
          <w:lang w:val="pt-BR"/>
        </w:rPr>
      </w:pPr>
      <w:r>
        <w:rPr>
          <w:rFonts w:ascii="Times New Roman" w:hAnsi="Times New Roman" w:cs="Times New Roman"/>
          <w:sz w:val="24"/>
          <w:szCs w:val="24"/>
          <w:lang w:val="pt-BR"/>
        </w:rPr>
        <w:t>“</w:t>
      </w:r>
      <w:r w:rsidRPr="002D452E">
        <w:rPr>
          <w:rFonts w:ascii="Times New Roman" w:hAnsi="Times New Roman" w:cs="Times New Roman"/>
          <w:i/>
          <w:sz w:val="24"/>
          <w:szCs w:val="24"/>
          <w:lang w:val="pt-BR"/>
        </w:rPr>
        <w:t>5. Informações financeiras selecionadas (compreendendo os três últimos exercícios sociais, e informações trimestrais do exercício em curso, comparadas com igual período do exercício anterior</w:t>
      </w:r>
      <w:r w:rsidRPr="002D452E">
        <w:rPr>
          <w:rFonts w:ascii="Times New Roman" w:hAnsi="Times New Roman" w:cs="Times New Roman"/>
          <w:i/>
          <w:color w:val="0066FF"/>
          <w:sz w:val="24"/>
          <w:szCs w:val="24"/>
          <w:u w:val="double" w:color="0066FF"/>
          <w:lang w:val="pt-BR"/>
        </w:rPr>
        <w:t>, sendo que exclusivamente as contas patrimoniais deverão ser comparadas com o exercício social anterior</w:t>
      </w:r>
      <w:r w:rsidRPr="002D452E">
        <w:rPr>
          <w:rFonts w:ascii="Times New Roman" w:hAnsi="Times New Roman" w:cs="Times New Roman"/>
          <w:i/>
          <w:sz w:val="24"/>
          <w:szCs w:val="24"/>
          <w:lang w:val="pt-BR"/>
        </w:rPr>
        <w:t>):</w:t>
      </w:r>
      <w:r>
        <w:rPr>
          <w:rFonts w:ascii="Times New Roman" w:hAnsi="Times New Roman" w:cs="Times New Roman"/>
          <w:sz w:val="24"/>
          <w:szCs w:val="24"/>
          <w:lang w:val="pt-BR"/>
        </w:rPr>
        <w:t>”</w:t>
      </w:r>
    </w:p>
    <w:p w:rsidR="002D452E" w:rsidRDefault="002D452E" w:rsidP="00A93F2F">
      <w:pPr>
        <w:pStyle w:val="CorpoA"/>
        <w:widowControl w:val="0"/>
        <w:spacing w:after="0" w:line="312" w:lineRule="auto"/>
        <w:ind w:firstLine="709"/>
        <w:jc w:val="both"/>
        <w:rPr>
          <w:rFonts w:ascii="Times New Roman" w:hAnsi="Times New Roman" w:cs="Times New Roman"/>
          <w:sz w:val="24"/>
          <w:szCs w:val="24"/>
          <w:lang w:val="pt-BR"/>
        </w:rPr>
      </w:pPr>
    </w:p>
    <w:p w:rsidR="002D452E" w:rsidRDefault="002D452E" w:rsidP="00A93F2F">
      <w:pPr>
        <w:pStyle w:val="CorpoA"/>
        <w:widowControl w:val="0"/>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Alternativamente, caso a CVM entenda que a divulgação das informações contidas na lâmina de informações reduzidas do Anexo I não deve necessariamente seguir o disposto no Pronunciamento Técnico CPC 21 (R1), a ABRASCA sugere deixar a critério do emissor e do intermediário líder da oferta a escolha entre comparar com o último exercício social encerrado ou igual período do exercício social anterior:</w:t>
      </w:r>
    </w:p>
    <w:p w:rsidR="002D452E" w:rsidRDefault="002D452E" w:rsidP="00A93F2F">
      <w:pPr>
        <w:pStyle w:val="CorpoA"/>
        <w:widowControl w:val="0"/>
        <w:spacing w:after="0" w:line="312" w:lineRule="auto"/>
        <w:ind w:firstLine="709"/>
        <w:jc w:val="both"/>
        <w:rPr>
          <w:rFonts w:ascii="Times New Roman" w:hAnsi="Times New Roman" w:cs="Times New Roman"/>
          <w:sz w:val="24"/>
          <w:szCs w:val="24"/>
          <w:lang w:val="pt-BR"/>
        </w:rPr>
      </w:pPr>
    </w:p>
    <w:p w:rsidR="002D452E" w:rsidRPr="002D452E" w:rsidRDefault="002D452E" w:rsidP="003379CB">
      <w:pPr>
        <w:pStyle w:val="CorpoA"/>
        <w:widowControl w:val="0"/>
        <w:spacing w:after="0" w:line="312" w:lineRule="auto"/>
        <w:ind w:left="709"/>
        <w:jc w:val="both"/>
        <w:rPr>
          <w:rFonts w:ascii="Times New Roman" w:hAnsi="Times New Roman" w:cs="Times New Roman"/>
          <w:color w:val="0066FF"/>
          <w:sz w:val="24"/>
          <w:szCs w:val="24"/>
          <w:u w:val="single"/>
          <w:lang w:val="pt-BR"/>
        </w:rPr>
      </w:pPr>
      <w:r>
        <w:rPr>
          <w:rFonts w:ascii="Times New Roman" w:hAnsi="Times New Roman" w:cs="Times New Roman"/>
          <w:sz w:val="24"/>
          <w:szCs w:val="24"/>
          <w:lang w:val="pt-BR"/>
        </w:rPr>
        <w:t>“</w:t>
      </w:r>
      <w:r w:rsidRPr="002D452E">
        <w:rPr>
          <w:rFonts w:ascii="Times New Roman" w:hAnsi="Times New Roman" w:cs="Times New Roman"/>
          <w:i/>
          <w:sz w:val="24"/>
          <w:szCs w:val="24"/>
          <w:lang w:val="pt-BR"/>
        </w:rPr>
        <w:t>5. Informações financeiras selecionadas (compreendendo os três últimos exercícios sociais, e informações trimestrais do exercício em curso, comparadas com igual período do exercício anterior</w:t>
      </w:r>
      <w:r w:rsidRPr="002D452E">
        <w:rPr>
          <w:rFonts w:ascii="Times New Roman" w:hAnsi="Times New Roman" w:cs="Times New Roman"/>
          <w:i/>
          <w:color w:val="0066FF"/>
          <w:sz w:val="24"/>
          <w:szCs w:val="24"/>
          <w:u w:val="double" w:color="0066FF"/>
          <w:lang w:val="pt-BR"/>
        </w:rPr>
        <w:t xml:space="preserve">, sendo que as contas patrimoniais </w:t>
      </w:r>
      <w:r>
        <w:rPr>
          <w:rFonts w:ascii="Times New Roman" w:hAnsi="Times New Roman" w:cs="Times New Roman"/>
          <w:i/>
          <w:color w:val="0066FF"/>
          <w:sz w:val="24"/>
          <w:szCs w:val="24"/>
          <w:u w:val="double" w:color="0066FF"/>
          <w:lang w:val="pt-BR"/>
        </w:rPr>
        <w:t>poderão</w:t>
      </w:r>
      <w:r w:rsidRPr="002D452E">
        <w:rPr>
          <w:rFonts w:ascii="Times New Roman" w:hAnsi="Times New Roman" w:cs="Times New Roman"/>
          <w:i/>
          <w:color w:val="0066FF"/>
          <w:sz w:val="24"/>
          <w:szCs w:val="24"/>
          <w:u w:val="double" w:color="0066FF"/>
          <w:lang w:val="pt-BR"/>
        </w:rPr>
        <w:t xml:space="preserve"> ser comparadas com o exercício social anterior</w:t>
      </w:r>
      <w:r>
        <w:rPr>
          <w:rFonts w:ascii="Times New Roman" w:hAnsi="Times New Roman" w:cs="Times New Roman"/>
          <w:i/>
          <w:color w:val="0066FF"/>
          <w:sz w:val="24"/>
          <w:szCs w:val="24"/>
          <w:u w:val="double" w:color="0066FF"/>
          <w:lang w:val="pt-BR"/>
        </w:rPr>
        <w:t xml:space="preserve"> ou com o trimestre imediatamente anterior</w:t>
      </w:r>
      <w:r w:rsidRPr="002D452E">
        <w:rPr>
          <w:rFonts w:ascii="Times New Roman" w:hAnsi="Times New Roman" w:cs="Times New Roman"/>
          <w:i/>
          <w:sz w:val="24"/>
          <w:szCs w:val="24"/>
          <w:lang w:val="pt-BR"/>
        </w:rPr>
        <w:t>):</w:t>
      </w:r>
      <w:r>
        <w:rPr>
          <w:rFonts w:ascii="Times New Roman" w:hAnsi="Times New Roman" w:cs="Times New Roman"/>
          <w:sz w:val="24"/>
          <w:szCs w:val="24"/>
          <w:lang w:val="pt-BR"/>
        </w:rPr>
        <w:t>”</w:t>
      </w:r>
    </w:p>
    <w:p w:rsidR="002D452E" w:rsidRDefault="002D452E" w:rsidP="00A93F2F">
      <w:pPr>
        <w:pStyle w:val="CorpoA"/>
        <w:widowControl w:val="0"/>
        <w:spacing w:after="0" w:line="312" w:lineRule="auto"/>
        <w:ind w:firstLine="709"/>
        <w:jc w:val="both"/>
        <w:rPr>
          <w:rFonts w:ascii="Times New Roman" w:hAnsi="Times New Roman" w:cs="Times New Roman"/>
          <w:sz w:val="24"/>
          <w:szCs w:val="24"/>
          <w:lang w:val="pt-BR"/>
        </w:rPr>
      </w:pPr>
    </w:p>
    <w:tbl>
      <w:tblPr>
        <w:tblStyle w:val="TableNormal"/>
        <w:tblW w:w="1019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199"/>
      </w:tblGrid>
      <w:tr w:rsidR="00005A1D" w:rsidRPr="00533EEE" w:rsidTr="00005A1D">
        <w:trPr>
          <w:trHeight w:val="83"/>
        </w:trPr>
        <w:tc>
          <w:tcPr>
            <w:tcW w:w="10199"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A53FBF" w:rsidRDefault="00A53FBF" w:rsidP="00A53FBF">
            <w:pPr>
              <w:spacing w:line="312" w:lineRule="auto"/>
              <w:ind w:firstLine="567"/>
              <w:jc w:val="both"/>
              <w:rPr>
                <w:lang w:val="pt-BR"/>
              </w:rPr>
            </w:pPr>
            <w:r w:rsidRPr="00A53FBF">
              <w:rPr>
                <w:lang w:val="pt-BR"/>
              </w:rPr>
              <w:t xml:space="preserve">A CVM </w:t>
            </w:r>
            <w:r>
              <w:rPr>
                <w:lang w:val="pt-BR"/>
              </w:rPr>
              <w:t xml:space="preserve">não acatou a redação proposta pelo participante, mas </w:t>
            </w:r>
            <w:r w:rsidRPr="00A53FBF">
              <w:rPr>
                <w:lang w:val="pt-BR"/>
              </w:rPr>
              <w:t xml:space="preserve">aproveitou </w:t>
            </w:r>
            <w:r>
              <w:rPr>
                <w:lang w:val="pt-BR"/>
              </w:rPr>
              <w:t>seu</w:t>
            </w:r>
            <w:r w:rsidRPr="00A53FBF">
              <w:rPr>
                <w:lang w:val="pt-BR"/>
              </w:rPr>
              <w:t xml:space="preserve"> comentário para ajustar </w:t>
            </w:r>
            <w:r>
              <w:rPr>
                <w:lang w:val="pt-BR"/>
              </w:rPr>
              <w:t>a redação d</w:t>
            </w:r>
            <w:r w:rsidRPr="00A53FBF">
              <w:rPr>
                <w:lang w:val="pt-BR"/>
              </w:rPr>
              <w:t>o item 5</w:t>
            </w:r>
            <w:r>
              <w:rPr>
                <w:lang w:val="pt-BR"/>
              </w:rPr>
              <w:t xml:space="preserve"> do Anexo I à Minuta</w:t>
            </w:r>
            <w:r w:rsidRPr="00A53FBF">
              <w:rPr>
                <w:lang w:val="pt-BR"/>
              </w:rPr>
              <w:t>, incluindo seus subitens, aos padrões contábeis atualmente em vigor.</w:t>
            </w:r>
            <w:r>
              <w:rPr>
                <w:lang w:val="pt-BR"/>
              </w:rPr>
              <w:t xml:space="preserve"> </w:t>
            </w:r>
          </w:p>
          <w:p w:rsidR="00A53FBF" w:rsidRDefault="00A53FBF" w:rsidP="00A53FBF">
            <w:pPr>
              <w:spacing w:line="312" w:lineRule="auto"/>
              <w:ind w:firstLine="567"/>
              <w:jc w:val="both"/>
              <w:rPr>
                <w:lang w:val="pt-BR"/>
              </w:rPr>
            </w:pPr>
          </w:p>
          <w:p w:rsidR="00A53FBF" w:rsidRPr="00A53FBF" w:rsidRDefault="00A53FBF" w:rsidP="00A53FBF">
            <w:pPr>
              <w:spacing w:line="312" w:lineRule="auto"/>
              <w:ind w:firstLine="567"/>
              <w:jc w:val="both"/>
              <w:rPr>
                <w:lang w:val="pt-BR"/>
              </w:rPr>
            </w:pPr>
            <w:r w:rsidRPr="00A53FBF">
              <w:rPr>
                <w:lang w:val="pt-BR"/>
              </w:rPr>
              <w:t xml:space="preserve">O modelo hoje praticado, no que concerne a informações </w:t>
            </w:r>
            <w:r>
              <w:rPr>
                <w:lang w:val="pt-BR"/>
              </w:rPr>
              <w:t xml:space="preserve">(i) </w:t>
            </w:r>
            <w:r w:rsidRPr="00A53FBF">
              <w:rPr>
                <w:lang w:val="pt-BR"/>
              </w:rPr>
              <w:t>do balanço patrimonial e</w:t>
            </w:r>
            <w:r>
              <w:rPr>
                <w:lang w:val="pt-BR"/>
              </w:rPr>
              <w:t xml:space="preserve"> (ii)</w:t>
            </w:r>
            <w:r w:rsidRPr="00A53FBF">
              <w:rPr>
                <w:lang w:val="pt-BR"/>
              </w:rPr>
              <w:t xml:space="preserve"> da demonstração do resultado do exercício e do resultado abrangente</w:t>
            </w:r>
            <w:r>
              <w:rPr>
                <w:lang w:val="pt-BR"/>
              </w:rPr>
              <w:t>,</w:t>
            </w:r>
            <w:r w:rsidRPr="00A53FBF">
              <w:rPr>
                <w:lang w:val="pt-BR"/>
              </w:rPr>
              <w:t xml:space="preserve"> </w:t>
            </w:r>
            <w:r>
              <w:rPr>
                <w:lang w:val="pt-BR"/>
              </w:rPr>
              <w:t>encontra-se previsto</w:t>
            </w:r>
            <w:r w:rsidR="00510692">
              <w:rPr>
                <w:lang w:val="pt-BR"/>
              </w:rPr>
              <w:t xml:space="preserve"> no item 20</w:t>
            </w:r>
            <w:r>
              <w:rPr>
                <w:lang w:val="pt-BR"/>
              </w:rPr>
              <w:t xml:space="preserve"> do </w:t>
            </w:r>
            <w:r w:rsidRPr="00A53FBF">
              <w:rPr>
                <w:lang w:val="pt-BR"/>
              </w:rPr>
              <w:t>Pronunciamento CPC 21 (R1), aprovado pela Deliberação CVM nº 673</w:t>
            </w:r>
            <w:r w:rsidR="00E548DC">
              <w:rPr>
                <w:lang w:val="pt-BR"/>
              </w:rPr>
              <w:t>, de</w:t>
            </w:r>
            <w:r w:rsidR="00EC41F6">
              <w:rPr>
                <w:lang w:val="pt-BR"/>
              </w:rPr>
              <w:t xml:space="preserve"> 20 de outubro de 20</w:t>
            </w:r>
            <w:r w:rsidRPr="00A53FBF">
              <w:rPr>
                <w:lang w:val="pt-BR"/>
              </w:rPr>
              <w:t>11</w:t>
            </w:r>
            <w:r>
              <w:rPr>
                <w:lang w:val="pt-BR"/>
              </w:rPr>
              <w:t>.</w:t>
            </w:r>
          </w:p>
          <w:p w:rsidR="00A53FBF" w:rsidRPr="00A53FBF" w:rsidRDefault="00A53FBF" w:rsidP="00A53FBF">
            <w:pPr>
              <w:spacing w:line="312" w:lineRule="auto"/>
              <w:ind w:firstLine="567"/>
              <w:jc w:val="both"/>
              <w:rPr>
                <w:lang w:val="pt-BR"/>
              </w:rPr>
            </w:pPr>
          </w:p>
          <w:p w:rsidR="00A53FBF" w:rsidRDefault="00A53FBF" w:rsidP="00A53FBF">
            <w:pPr>
              <w:spacing w:line="312" w:lineRule="auto"/>
              <w:ind w:firstLine="567"/>
              <w:jc w:val="both"/>
              <w:rPr>
                <w:lang w:val="pt-BR"/>
              </w:rPr>
            </w:pPr>
            <w:r w:rsidRPr="00A53FBF">
              <w:rPr>
                <w:lang w:val="pt-BR"/>
              </w:rPr>
              <w:t xml:space="preserve">No que se refere ao balanço patrimonial, o modelo de comparação previsto </w:t>
            </w:r>
            <w:r>
              <w:rPr>
                <w:lang w:val="pt-BR"/>
              </w:rPr>
              <w:t xml:space="preserve">nessa norma </w:t>
            </w:r>
            <w:r w:rsidRPr="00A53FBF">
              <w:rPr>
                <w:lang w:val="pt-BR"/>
              </w:rPr>
              <w:t>visa a permitir o acompanhamento da evolução patrimonial da entidade desde o último exercício social encerrado e o período intermediário informado.</w:t>
            </w:r>
          </w:p>
          <w:p w:rsidR="00A53FBF" w:rsidRPr="00A53FBF" w:rsidRDefault="00A53FBF" w:rsidP="00A53FBF">
            <w:pPr>
              <w:spacing w:line="312" w:lineRule="auto"/>
              <w:ind w:firstLine="567"/>
              <w:jc w:val="both"/>
              <w:rPr>
                <w:lang w:val="pt-BR"/>
              </w:rPr>
            </w:pPr>
          </w:p>
          <w:p w:rsidR="00A53FBF" w:rsidRDefault="00A53FBF" w:rsidP="00A53FBF">
            <w:pPr>
              <w:spacing w:line="312" w:lineRule="auto"/>
              <w:ind w:firstLine="567"/>
              <w:jc w:val="both"/>
              <w:rPr>
                <w:lang w:val="pt-BR"/>
              </w:rPr>
            </w:pPr>
            <w:r w:rsidRPr="00A53FBF">
              <w:rPr>
                <w:lang w:val="pt-BR"/>
              </w:rPr>
              <w:t xml:space="preserve">No que se refere ao resultado e ao resultado abrangente, o modelo de comparação </w:t>
            </w:r>
            <w:r>
              <w:rPr>
                <w:lang w:val="pt-BR"/>
              </w:rPr>
              <w:t>previsto nessa norma</w:t>
            </w:r>
            <w:r w:rsidRPr="00A53FBF">
              <w:rPr>
                <w:lang w:val="pt-BR"/>
              </w:rPr>
              <w:t xml:space="preserve"> visa a permitir o acompanhamento da performance da gestão no período (corrente e acumulado no ano) com as dos períodos intermediários do exercício an</w:t>
            </w:r>
            <w:r>
              <w:rPr>
                <w:lang w:val="pt-BR"/>
              </w:rPr>
              <w:t xml:space="preserve">terior (corrente </w:t>
            </w:r>
            <w:r w:rsidR="00401C41">
              <w:rPr>
                <w:lang w:val="pt-BR"/>
              </w:rPr>
              <w:t xml:space="preserve">e </w:t>
            </w:r>
            <w:r>
              <w:rPr>
                <w:lang w:val="pt-BR"/>
              </w:rPr>
              <w:t xml:space="preserve">acumulado). </w:t>
            </w:r>
          </w:p>
          <w:p w:rsidR="00A53FBF" w:rsidRDefault="00A53FBF" w:rsidP="00A53FBF">
            <w:pPr>
              <w:spacing w:line="312" w:lineRule="auto"/>
              <w:ind w:firstLine="567"/>
              <w:jc w:val="both"/>
              <w:rPr>
                <w:lang w:val="pt-BR"/>
              </w:rPr>
            </w:pPr>
          </w:p>
          <w:p w:rsidR="00E548DC" w:rsidRDefault="00A53FBF" w:rsidP="00E548DC">
            <w:pPr>
              <w:spacing w:line="312" w:lineRule="auto"/>
              <w:ind w:firstLine="567"/>
              <w:jc w:val="both"/>
              <w:rPr>
                <w:lang w:val="pt-BR"/>
              </w:rPr>
            </w:pPr>
            <w:r w:rsidRPr="00A53FBF">
              <w:rPr>
                <w:lang w:val="pt-BR"/>
              </w:rPr>
              <w:t xml:space="preserve">No entanto, no caso presente, dado que não haverá continuidade na prestação dessas informações, </w:t>
            </w:r>
            <w:r>
              <w:rPr>
                <w:lang w:val="pt-BR"/>
              </w:rPr>
              <w:t xml:space="preserve">a CVM considera </w:t>
            </w:r>
            <w:r w:rsidR="00E548DC">
              <w:rPr>
                <w:lang w:val="pt-BR"/>
              </w:rPr>
              <w:t>desnecessário</w:t>
            </w:r>
            <w:r>
              <w:rPr>
                <w:lang w:val="pt-BR"/>
              </w:rPr>
              <w:t xml:space="preserve"> </w:t>
            </w:r>
            <w:r w:rsidRPr="00A53FBF">
              <w:rPr>
                <w:lang w:val="pt-BR"/>
              </w:rPr>
              <w:t xml:space="preserve">exigir a informação relativa ao período intermediário corrente, </w:t>
            </w:r>
            <w:r w:rsidR="00E548DC">
              <w:rPr>
                <w:lang w:val="pt-BR"/>
              </w:rPr>
              <w:lastRenderedPageBreak/>
              <w:t>mantendo-se, contudo, a exigência de divulgar a informação</w:t>
            </w:r>
            <w:r w:rsidRPr="00A53FBF">
              <w:rPr>
                <w:lang w:val="pt-BR"/>
              </w:rPr>
              <w:t xml:space="preserve"> relativa ao período intermediário acumulado. </w:t>
            </w:r>
          </w:p>
          <w:p w:rsidR="00E548DC" w:rsidRDefault="00E548DC" w:rsidP="00E548DC">
            <w:pPr>
              <w:spacing w:line="312" w:lineRule="auto"/>
              <w:ind w:firstLine="567"/>
              <w:jc w:val="both"/>
              <w:rPr>
                <w:lang w:val="pt-BR"/>
              </w:rPr>
            </w:pPr>
          </w:p>
          <w:p w:rsidR="00A53FBF" w:rsidRPr="00826B5F" w:rsidRDefault="00A53FBF" w:rsidP="00EC41F6">
            <w:pPr>
              <w:spacing w:line="312" w:lineRule="auto"/>
              <w:ind w:firstLine="567"/>
              <w:jc w:val="both"/>
              <w:rPr>
                <w:highlight w:val="yellow"/>
                <w:lang w:val="pt-BR"/>
              </w:rPr>
            </w:pPr>
            <w:r w:rsidRPr="00A53FBF">
              <w:rPr>
                <w:lang w:val="pt-BR"/>
              </w:rPr>
              <w:t>Por exemplo, para informação intermediária com data base em 30/6/2015, a informação a ser requerida, para os itens de resultado e resultado abrangen</w:t>
            </w:r>
            <w:r w:rsidR="00EC41F6">
              <w:rPr>
                <w:lang w:val="pt-BR"/>
              </w:rPr>
              <w:t>te, seria a acumulada entre 1/1/2015 e 30/</w:t>
            </w:r>
            <w:r w:rsidRPr="00A53FBF">
              <w:rPr>
                <w:lang w:val="pt-BR"/>
              </w:rPr>
              <w:t>6/2015, c</w:t>
            </w:r>
            <w:r w:rsidR="00EC41F6">
              <w:rPr>
                <w:lang w:val="pt-BR"/>
              </w:rPr>
              <w:t xml:space="preserve">omparada com a acumulada entre </w:t>
            </w:r>
            <w:r w:rsidRPr="00A53FBF">
              <w:rPr>
                <w:lang w:val="pt-BR"/>
              </w:rPr>
              <w:t xml:space="preserve">1/1/2014 e </w:t>
            </w:r>
            <w:r w:rsidR="00EC41F6">
              <w:rPr>
                <w:lang w:val="pt-BR"/>
              </w:rPr>
              <w:t>30/</w:t>
            </w:r>
            <w:r w:rsidRPr="00A53FBF">
              <w:rPr>
                <w:lang w:val="pt-BR"/>
              </w:rPr>
              <w:t>6/2014.</w:t>
            </w:r>
          </w:p>
        </w:tc>
      </w:tr>
    </w:tbl>
    <w:p w:rsidR="00005A1D" w:rsidRPr="00826B5F" w:rsidRDefault="00005A1D" w:rsidP="00A93F2F">
      <w:pPr>
        <w:pStyle w:val="CorpoA"/>
        <w:spacing w:after="0" w:line="312" w:lineRule="auto"/>
        <w:jc w:val="both"/>
        <w:rPr>
          <w:rFonts w:ascii="Times New Roman" w:eastAsia="Times New Roman" w:hAnsi="Times New Roman" w:cs="Times New Roman"/>
          <w:sz w:val="24"/>
          <w:szCs w:val="24"/>
          <w:highlight w:val="yellow"/>
          <w:lang w:val="pt-BR"/>
        </w:rPr>
      </w:pPr>
    </w:p>
    <w:p w:rsidR="00005A1D" w:rsidRPr="002D452E" w:rsidRDefault="00C6488F" w:rsidP="00A93F2F">
      <w:pPr>
        <w:pStyle w:val="CorpoA"/>
        <w:widowControl w:val="0"/>
        <w:spacing w:after="0" w:line="312"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w:t>
      </w:r>
      <w:r w:rsidR="00405B5E" w:rsidRPr="002D452E">
        <w:rPr>
          <w:rFonts w:ascii="Times New Roman" w:hAnsi="Times New Roman" w:cs="Times New Roman"/>
          <w:sz w:val="24"/>
          <w:szCs w:val="24"/>
          <w:lang w:val="pt-BR"/>
        </w:rPr>
        <w:t>S</w:t>
      </w:r>
      <w:r w:rsidR="00005A1D" w:rsidRPr="002D452E">
        <w:rPr>
          <w:rFonts w:ascii="Times New Roman" w:hAnsi="Times New Roman" w:cs="Times New Roman"/>
          <w:sz w:val="24"/>
          <w:szCs w:val="24"/>
          <w:lang w:val="pt-BR"/>
        </w:rPr>
        <w:t xml:space="preserve">alusse Marangoni sugere </w:t>
      </w:r>
      <w:r w:rsidR="002D452E" w:rsidRPr="002D452E">
        <w:rPr>
          <w:rFonts w:ascii="Times New Roman" w:hAnsi="Times New Roman" w:cs="Times New Roman"/>
          <w:sz w:val="24"/>
          <w:szCs w:val="24"/>
          <w:lang w:val="pt-BR"/>
        </w:rPr>
        <w:t>incluir</w:t>
      </w:r>
      <w:r w:rsidR="00005A1D" w:rsidRPr="002D452E">
        <w:rPr>
          <w:rFonts w:ascii="Times New Roman" w:hAnsi="Times New Roman" w:cs="Times New Roman"/>
          <w:sz w:val="24"/>
          <w:szCs w:val="24"/>
          <w:lang w:val="pt-BR"/>
        </w:rPr>
        <w:t xml:space="preserve"> </w:t>
      </w:r>
      <w:r w:rsidR="002D452E" w:rsidRPr="002D452E">
        <w:rPr>
          <w:rFonts w:ascii="Times New Roman" w:hAnsi="Times New Roman" w:cs="Times New Roman"/>
          <w:sz w:val="24"/>
          <w:szCs w:val="24"/>
          <w:lang w:val="pt-BR"/>
        </w:rPr>
        <w:t>uma d</w:t>
      </w:r>
      <w:r w:rsidR="003933EF">
        <w:rPr>
          <w:rFonts w:ascii="Times New Roman" w:hAnsi="Times New Roman" w:cs="Times New Roman"/>
          <w:sz w:val="24"/>
          <w:szCs w:val="24"/>
          <w:lang w:val="pt-BR"/>
        </w:rPr>
        <w:t xml:space="preserve">eclaração do emissor </w:t>
      </w:r>
      <w:r w:rsidR="00005A1D" w:rsidRPr="002D452E">
        <w:rPr>
          <w:rFonts w:ascii="Times New Roman" w:hAnsi="Times New Roman" w:cs="Times New Roman"/>
          <w:sz w:val="24"/>
          <w:szCs w:val="24"/>
          <w:lang w:val="pt-BR"/>
        </w:rPr>
        <w:t xml:space="preserve">confirmando a aprovação das contas e eventuais ressalvas e notas explicativas indicadas pelos auditores independentes. </w:t>
      </w:r>
    </w:p>
    <w:p w:rsidR="00005A1D" w:rsidRPr="00826B5F" w:rsidRDefault="00005A1D" w:rsidP="00A93F2F">
      <w:pPr>
        <w:pStyle w:val="CorpoA"/>
        <w:widowControl w:val="0"/>
        <w:spacing w:after="0" w:line="312" w:lineRule="auto"/>
        <w:ind w:firstLine="709"/>
        <w:jc w:val="both"/>
        <w:rPr>
          <w:rFonts w:ascii="Times New Roman" w:eastAsia="Times New Roman" w:hAnsi="Times New Roman" w:cs="Times New Roman"/>
          <w:sz w:val="24"/>
          <w:szCs w:val="24"/>
          <w:highlight w:val="yellow"/>
          <w:lang w:val="pt-BR"/>
        </w:rPr>
      </w:pPr>
      <w:r w:rsidRPr="00826B5F">
        <w:rPr>
          <w:rFonts w:ascii="Times New Roman" w:hAnsi="Times New Roman" w:cs="Times New Roman"/>
          <w:sz w:val="24"/>
          <w:szCs w:val="24"/>
          <w:highlight w:val="yellow"/>
          <w:lang w:val="pt-BR"/>
        </w:rPr>
        <w:t xml:space="preserve"> </w:t>
      </w:r>
    </w:p>
    <w:tbl>
      <w:tblPr>
        <w:tblStyle w:val="TableNormal"/>
        <w:tblW w:w="1019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199"/>
      </w:tblGrid>
      <w:tr w:rsidR="00005A1D" w:rsidRPr="00831A0F" w:rsidTr="00005A1D">
        <w:trPr>
          <w:trHeight w:val="83"/>
        </w:trPr>
        <w:tc>
          <w:tcPr>
            <w:tcW w:w="10199"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005A1D" w:rsidRPr="002D452E" w:rsidRDefault="00746AC6" w:rsidP="003933EF">
            <w:pPr>
              <w:spacing w:line="312" w:lineRule="auto"/>
              <w:ind w:firstLine="567"/>
              <w:jc w:val="both"/>
              <w:rPr>
                <w:lang w:val="pt-BR"/>
              </w:rPr>
            </w:pPr>
            <w:r w:rsidRPr="002D452E">
              <w:rPr>
                <w:lang w:val="pt-BR"/>
              </w:rPr>
              <w:t xml:space="preserve">As informações constantes da </w:t>
            </w:r>
            <w:r w:rsidR="002D452E" w:rsidRPr="002D452E">
              <w:rPr>
                <w:lang w:val="pt-BR"/>
              </w:rPr>
              <w:t>lâmina</w:t>
            </w:r>
            <w:r w:rsidRPr="002D452E">
              <w:rPr>
                <w:lang w:val="pt-BR"/>
              </w:rPr>
              <w:t xml:space="preserve"> são </w:t>
            </w:r>
            <w:r w:rsidR="002D452E" w:rsidRPr="002D452E">
              <w:rPr>
                <w:lang w:val="pt-BR"/>
              </w:rPr>
              <w:t xml:space="preserve">fornecidas por </w:t>
            </w:r>
            <w:r w:rsidR="00161D9F" w:rsidRPr="002D452E">
              <w:rPr>
                <w:lang w:val="pt-BR"/>
              </w:rPr>
              <w:t>emissores registrados</w:t>
            </w:r>
            <w:r w:rsidR="002D452E" w:rsidRPr="002D452E">
              <w:rPr>
                <w:lang w:val="pt-BR"/>
              </w:rPr>
              <w:t xml:space="preserve"> e, por conta disso, a CVM considera que não há necessidade de incluir </w:t>
            </w:r>
            <w:r w:rsidR="003933EF">
              <w:rPr>
                <w:lang w:val="pt-BR"/>
              </w:rPr>
              <w:t>tal</w:t>
            </w:r>
            <w:r w:rsidR="002D452E" w:rsidRPr="002D452E">
              <w:rPr>
                <w:lang w:val="pt-BR"/>
              </w:rPr>
              <w:t xml:space="preserve"> declaração.</w:t>
            </w:r>
            <w:r w:rsidR="003933EF">
              <w:rPr>
                <w:lang w:val="pt-BR"/>
              </w:rPr>
              <w:t xml:space="preserve"> A sugestão do participante não foi acatada.</w:t>
            </w:r>
          </w:p>
        </w:tc>
      </w:tr>
    </w:tbl>
    <w:p w:rsidR="00005A1D" w:rsidRPr="002A7F74" w:rsidRDefault="00005A1D" w:rsidP="00A93F2F">
      <w:pPr>
        <w:pStyle w:val="CorpoA"/>
        <w:spacing w:after="0" w:line="312" w:lineRule="auto"/>
        <w:jc w:val="both"/>
        <w:rPr>
          <w:rFonts w:ascii="Times New Roman" w:eastAsia="Times New Roman" w:hAnsi="Times New Roman" w:cs="Times New Roman"/>
          <w:sz w:val="24"/>
          <w:szCs w:val="24"/>
          <w:lang w:val="pt-BR"/>
        </w:rPr>
      </w:pPr>
    </w:p>
    <w:p w:rsidR="00D9084C" w:rsidRPr="002A7F74" w:rsidRDefault="005607BA" w:rsidP="00A93F2F">
      <w:pPr>
        <w:pStyle w:val="Ttulo1"/>
        <w:spacing w:before="0" w:line="312" w:lineRule="auto"/>
        <w:rPr>
          <w:lang w:val="pt-BR"/>
        </w:rPr>
      </w:pPr>
      <w:r w:rsidRPr="002A7F74">
        <w:rPr>
          <w:lang w:val="pt-BR"/>
        </w:rPr>
        <w:t xml:space="preserve">4. </w:t>
      </w:r>
      <w:r w:rsidR="005A29B7">
        <w:rPr>
          <w:lang w:val="pt-BR"/>
        </w:rPr>
        <w:tab/>
      </w:r>
      <w:r w:rsidRPr="002A7F74">
        <w:rPr>
          <w:lang w:val="pt-BR"/>
        </w:rPr>
        <w:t>Proposta definitiva de instrução</w:t>
      </w:r>
    </w:p>
    <w:p w:rsidR="00D9084C" w:rsidRPr="002A7F74" w:rsidRDefault="00D9084C" w:rsidP="00A93F2F">
      <w:pPr>
        <w:pStyle w:val="CorpoA"/>
        <w:spacing w:after="0" w:line="312" w:lineRule="auto"/>
        <w:ind w:firstLine="709"/>
        <w:jc w:val="both"/>
        <w:rPr>
          <w:rFonts w:ascii="Times New Roman" w:eastAsia="Times New Roman" w:hAnsi="Times New Roman" w:cs="Times New Roman"/>
          <w:sz w:val="24"/>
          <w:szCs w:val="24"/>
          <w:lang w:val="pt-BR"/>
        </w:rPr>
      </w:pPr>
    </w:p>
    <w:p w:rsidR="00D9084C" w:rsidRPr="002A7F74" w:rsidRDefault="005607BA" w:rsidP="00A93F2F">
      <w:pPr>
        <w:pStyle w:val="CorpoA"/>
        <w:spacing w:after="0" w:line="312" w:lineRule="auto"/>
        <w:ind w:firstLine="709"/>
        <w:jc w:val="both"/>
        <w:rPr>
          <w:rFonts w:ascii="Times New Roman" w:eastAsia="Times New Roman" w:hAnsi="Times New Roman" w:cs="Times New Roman"/>
          <w:sz w:val="24"/>
          <w:szCs w:val="24"/>
          <w:lang w:val="pt-BR"/>
        </w:rPr>
      </w:pPr>
      <w:r w:rsidRPr="002A7F74">
        <w:rPr>
          <w:rFonts w:ascii="Times New Roman" w:hAnsi="Times New Roman" w:cs="Times New Roman"/>
          <w:sz w:val="24"/>
          <w:szCs w:val="24"/>
          <w:lang w:val="pt-BR"/>
        </w:rPr>
        <w:t xml:space="preserve">A proposta definitiva de </w:t>
      </w:r>
      <w:r w:rsidR="00D377CF">
        <w:rPr>
          <w:rFonts w:ascii="Times New Roman" w:hAnsi="Times New Roman" w:cs="Times New Roman"/>
          <w:sz w:val="24"/>
          <w:szCs w:val="24"/>
          <w:lang w:val="pt-BR"/>
        </w:rPr>
        <w:t>i</w:t>
      </w:r>
      <w:r w:rsidR="005A29B7">
        <w:rPr>
          <w:rFonts w:ascii="Times New Roman" w:hAnsi="Times New Roman" w:cs="Times New Roman"/>
          <w:sz w:val="24"/>
          <w:szCs w:val="24"/>
          <w:lang w:val="pt-BR"/>
        </w:rPr>
        <w:t xml:space="preserve">nstrução, incorporando </w:t>
      </w:r>
      <w:r w:rsidRPr="002A7F74">
        <w:rPr>
          <w:rFonts w:ascii="Times New Roman" w:hAnsi="Times New Roman" w:cs="Times New Roman"/>
          <w:sz w:val="24"/>
          <w:szCs w:val="24"/>
          <w:lang w:val="pt-BR"/>
        </w:rPr>
        <w:t xml:space="preserve">as sugestões </w:t>
      </w:r>
      <w:r w:rsidR="005A29B7">
        <w:rPr>
          <w:rFonts w:ascii="Times New Roman" w:hAnsi="Times New Roman" w:cs="Times New Roman"/>
          <w:sz w:val="24"/>
          <w:szCs w:val="24"/>
          <w:lang w:val="pt-BR"/>
        </w:rPr>
        <w:t xml:space="preserve">que tenham sido </w:t>
      </w:r>
      <w:r w:rsidRPr="002A7F74">
        <w:rPr>
          <w:rFonts w:ascii="Times New Roman" w:hAnsi="Times New Roman" w:cs="Times New Roman"/>
          <w:sz w:val="24"/>
          <w:szCs w:val="24"/>
          <w:lang w:val="pt-BR"/>
        </w:rPr>
        <w:t>acatadas</w:t>
      </w:r>
      <w:r w:rsidR="005A29B7">
        <w:rPr>
          <w:rFonts w:ascii="Times New Roman" w:hAnsi="Times New Roman" w:cs="Times New Roman"/>
          <w:sz w:val="24"/>
          <w:szCs w:val="24"/>
          <w:lang w:val="pt-BR"/>
        </w:rPr>
        <w:t>,</w:t>
      </w:r>
      <w:r w:rsidRPr="002A7F74">
        <w:rPr>
          <w:rFonts w:ascii="Times New Roman" w:hAnsi="Times New Roman" w:cs="Times New Roman"/>
          <w:sz w:val="24"/>
          <w:szCs w:val="24"/>
          <w:lang w:val="pt-BR"/>
        </w:rPr>
        <w:t xml:space="preserve"> segue em anexo ao presente relatório.</w:t>
      </w:r>
    </w:p>
    <w:p w:rsidR="00D9084C" w:rsidRDefault="00D9084C" w:rsidP="00A93F2F">
      <w:pPr>
        <w:pStyle w:val="CorpoA"/>
        <w:spacing w:after="0" w:line="312" w:lineRule="auto"/>
        <w:jc w:val="center"/>
        <w:rPr>
          <w:rFonts w:ascii="Times New Roman" w:eastAsia="Times New Roman" w:hAnsi="Times New Roman" w:cs="Times New Roman"/>
          <w:sz w:val="24"/>
          <w:szCs w:val="24"/>
          <w:lang w:val="pt-BR"/>
        </w:rPr>
      </w:pPr>
    </w:p>
    <w:p w:rsidR="005A29B7" w:rsidRPr="002A7F74" w:rsidRDefault="005A29B7" w:rsidP="00A93F2F">
      <w:pPr>
        <w:pStyle w:val="CorpoA"/>
        <w:spacing w:after="0" w:line="312" w:lineRule="auto"/>
        <w:jc w:val="center"/>
        <w:rPr>
          <w:rFonts w:ascii="Times New Roman" w:eastAsia="Times New Roman" w:hAnsi="Times New Roman" w:cs="Times New Roman"/>
          <w:sz w:val="24"/>
          <w:szCs w:val="24"/>
          <w:lang w:val="pt-BR"/>
        </w:rPr>
      </w:pPr>
    </w:p>
    <w:p w:rsidR="00D9084C" w:rsidRPr="002A7F74" w:rsidRDefault="005607BA" w:rsidP="00A93F2F">
      <w:pPr>
        <w:pStyle w:val="CorpoA"/>
        <w:spacing w:after="0" w:line="312" w:lineRule="auto"/>
        <w:jc w:val="center"/>
        <w:rPr>
          <w:rFonts w:ascii="Times New Roman" w:eastAsia="Times New Roman" w:hAnsi="Times New Roman" w:cs="Times New Roman"/>
          <w:sz w:val="24"/>
          <w:szCs w:val="24"/>
          <w:lang w:val="pt-BR"/>
        </w:rPr>
      </w:pPr>
      <w:r w:rsidRPr="002A7F74">
        <w:rPr>
          <w:rFonts w:ascii="Times New Roman" w:hAnsi="Times New Roman" w:cs="Times New Roman"/>
          <w:sz w:val="24"/>
          <w:szCs w:val="24"/>
          <w:lang w:val="pt-BR"/>
        </w:rPr>
        <w:t xml:space="preserve">Rio de Janeiro, </w:t>
      </w:r>
      <w:r w:rsidR="00533EEE">
        <w:rPr>
          <w:rFonts w:ascii="Times New Roman" w:hAnsi="Times New Roman" w:cs="Times New Roman"/>
          <w:sz w:val="24"/>
          <w:szCs w:val="24"/>
          <w:lang w:val="pt-BR"/>
        </w:rPr>
        <w:t>31</w:t>
      </w:r>
      <w:r w:rsidR="005511FD" w:rsidRPr="002A7F74">
        <w:rPr>
          <w:rFonts w:ascii="Times New Roman" w:hAnsi="Times New Roman" w:cs="Times New Roman"/>
          <w:sz w:val="24"/>
          <w:szCs w:val="24"/>
          <w:lang w:val="pt-BR"/>
        </w:rPr>
        <w:t xml:space="preserve"> </w:t>
      </w:r>
      <w:r w:rsidRPr="002A7F74">
        <w:rPr>
          <w:rFonts w:ascii="Times New Roman" w:hAnsi="Times New Roman" w:cs="Times New Roman"/>
          <w:sz w:val="24"/>
          <w:szCs w:val="24"/>
          <w:lang w:val="pt-BR"/>
        </w:rPr>
        <w:t xml:space="preserve">de </w:t>
      </w:r>
      <w:r w:rsidR="005511FD">
        <w:rPr>
          <w:rFonts w:ascii="Times New Roman" w:hAnsi="Times New Roman" w:cs="Times New Roman"/>
          <w:sz w:val="24"/>
          <w:szCs w:val="24"/>
          <w:lang w:val="pt-BR"/>
        </w:rPr>
        <w:t>julho</w:t>
      </w:r>
      <w:r w:rsidR="005511FD" w:rsidRPr="002A7F74">
        <w:rPr>
          <w:rFonts w:ascii="Times New Roman" w:hAnsi="Times New Roman" w:cs="Times New Roman"/>
          <w:sz w:val="24"/>
          <w:szCs w:val="24"/>
          <w:lang w:val="pt-BR"/>
        </w:rPr>
        <w:t xml:space="preserve"> </w:t>
      </w:r>
      <w:r w:rsidRPr="002A7F74">
        <w:rPr>
          <w:rFonts w:ascii="Times New Roman" w:hAnsi="Times New Roman" w:cs="Times New Roman"/>
          <w:sz w:val="24"/>
          <w:szCs w:val="24"/>
          <w:lang w:val="pt-BR"/>
        </w:rPr>
        <w:t>de 2015.</w:t>
      </w:r>
    </w:p>
    <w:p w:rsidR="00D9084C" w:rsidRPr="002A7F74" w:rsidRDefault="00D9084C" w:rsidP="00A93F2F">
      <w:pPr>
        <w:pStyle w:val="CorpoA"/>
        <w:spacing w:after="0" w:line="312" w:lineRule="auto"/>
        <w:jc w:val="center"/>
        <w:rPr>
          <w:rFonts w:ascii="Times New Roman" w:eastAsia="Times New Roman" w:hAnsi="Times New Roman" w:cs="Times New Roman"/>
          <w:i/>
          <w:iCs/>
          <w:sz w:val="24"/>
          <w:szCs w:val="24"/>
          <w:lang w:val="pt-BR"/>
        </w:rPr>
      </w:pPr>
    </w:p>
    <w:p w:rsidR="00D9084C" w:rsidRPr="002A7F74" w:rsidRDefault="005607BA" w:rsidP="00A93F2F">
      <w:pPr>
        <w:pStyle w:val="CorpoA"/>
        <w:spacing w:after="0" w:line="312" w:lineRule="auto"/>
        <w:jc w:val="center"/>
        <w:rPr>
          <w:rFonts w:ascii="Times New Roman" w:eastAsia="Times New Roman" w:hAnsi="Times New Roman" w:cs="Times New Roman"/>
          <w:sz w:val="24"/>
          <w:szCs w:val="24"/>
          <w:lang w:val="pt-BR"/>
        </w:rPr>
      </w:pPr>
      <w:r w:rsidRPr="002A7F74">
        <w:rPr>
          <w:rFonts w:ascii="Times New Roman" w:hAnsi="Times New Roman" w:cs="Times New Roman"/>
          <w:i/>
          <w:iCs/>
          <w:sz w:val="24"/>
          <w:szCs w:val="24"/>
          <w:lang w:val="pt-BR"/>
        </w:rPr>
        <w:t xml:space="preserve">Original assinado por </w:t>
      </w:r>
    </w:p>
    <w:p w:rsidR="00D9084C" w:rsidRPr="002A7F74" w:rsidRDefault="005607BA" w:rsidP="00A93F2F">
      <w:pPr>
        <w:pStyle w:val="CorpoA"/>
        <w:spacing w:after="0" w:line="312" w:lineRule="auto"/>
        <w:jc w:val="center"/>
        <w:rPr>
          <w:rFonts w:ascii="Times New Roman" w:eastAsia="Times New Roman" w:hAnsi="Times New Roman" w:cs="Times New Roman"/>
          <w:smallCaps/>
          <w:sz w:val="24"/>
          <w:szCs w:val="24"/>
          <w:lang w:val="pt-BR"/>
        </w:rPr>
      </w:pPr>
      <w:r w:rsidRPr="002A7F74">
        <w:rPr>
          <w:rFonts w:ascii="Times New Roman" w:hAnsi="Times New Roman" w:cs="Times New Roman"/>
          <w:b/>
          <w:bCs/>
          <w:smallCaps/>
          <w:sz w:val="24"/>
          <w:szCs w:val="24"/>
          <w:lang w:val="pt-BR"/>
        </w:rPr>
        <w:t xml:space="preserve">Antonio Carlos Berwanger </w:t>
      </w:r>
    </w:p>
    <w:p w:rsidR="00D9084C" w:rsidRPr="002A7F74" w:rsidRDefault="005607BA" w:rsidP="00A93F2F">
      <w:pPr>
        <w:pStyle w:val="CorpoA"/>
        <w:spacing w:after="0" w:line="312" w:lineRule="auto"/>
        <w:jc w:val="center"/>
        <w:rPr>
          <w:rFonts w:ascii="Times New Roman" w:hAnsi="Times New Roman" w:cs="Times New Roman"/>
          <w:sz w:val="24"/>
          <w:szCs w:val="24"/>
          <w:lang w:val="pt-BR"/>
        </w:rPr>
      </w:pPr>
      <w:r w:rsidRPr="002A7F74">
        <w:rPr>
          <w:rFonts w:ascii="Times New Roman" w:hAnsi="Times New Roman" w:cs="Times New Roman"/>
          <w:b/>
          <w:bCs/>
          <w:sz w:val="24"/>
          <w:szCs w:val="24"/>
          <w:lang w:val="pt-BR"/>
        </w:rPr>
        <w:t>Superintendente de Desenvolvimento de Mercado</w:t>
      </w:r>
    </w:p>
    <w:sectPr w:rsidR="00D9084C" w:rsidRPr="002A7F74" w:rsidSect="00D9084C">
      <w:headerReference w:type="default" r:id="rId9"/>
      <w:footerReference w:type="default" r:id="rId10"/>
      <w:pgSz w:w="11900" w:h="16840"/>
      <w:pgMar w:top="2410" w:right="567"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393" w:rsidRDefault="00B16393" w:rsidP="00D9084C">
      <w:r>
        <w:separator/>
      </w:r>
    </w:p>
  </w:endnote>
  <w:endnote w:type="continuationSeparator" w:id="0">
    <w:p w:rsidR="00B16393" w:rsidRDefault="00B16393" w:rsidP="00D90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70" w:rsidRPr="00F07AB6" w:rsidRDefault="003728E9">
    <w:pPr>
      <w:pStyle w:val="Rodap"/>
      <w:jc w:val="right"/>
      <w:rPr>
        <w:rFonts w:ascii="Times New Roman" w:hAnsi="Times New Roman" w:cs="Times New Roman"/>
        <w:sz w:val="24"/>
        <w:szCs w:val="24"/>
      </w:rPr>
    </w:pPr>
    <w:r w:rsidRPr="00F07AB6">
      <w:rPr>
        <w:rFonts w:ascii="Times New Roman" w:hAnsi="Times New Roman" w:cs="Times New Roman"/>
        <w:sz w:val="24"/>
        <w:szCs w:val="24"/>
      </w:rPr>
      <w:fldChar w:fldCharType="begin"/>
    </w:r>
    <w:r w:rsidR="009A1870" w:rsidRPr="00F07AB6">
      <w:rPr>
        <w:rFonts w:ascii="Times New Roman" w:hAnsi="Times New Roman" w:cs="Times New Roman"/>
        <w:sz w:val="24"/>
        <w:szCs w:val="24"/>
      </w:rPr>
      <w:instrText xml:space="preserve"> PAGE </w:instrText>
    </w:r>
    <w:r w:rsidRPr="00F07AB6">
      <w:rPr>
        <w:rFonts w:ascii="Times New Roman" w:hAnsi="Times New Roman" w:cs="Times New Roman"/>
        <w:sz w:val="24"/>
        <w:szCs w:val="24"/>
      </w:rPr>
      <w:fldChar w:fldCharType="separate"/>
    </w:r>
    <w:r w:rsidR="00393803">
      <w:rPr>
        <w:rFonts w:ascii="Times New Roman" w:hAnsi="Times New Roman" w:cs="Times New Roman"/>
        <w:noProof/>
        <w:sz w:val="24"/>
        <w:szCs w:val="24"/>
      </w:rPr>
      <w:t>1</w:t>
    </w:r>
    <w:r w:rsidRPr="00F07AB6">
      <w:rPr>
        <w:rFonts w:ascii="Times New Roman" w:hAnsi="Times New Roman" w:cs="Times New Roman"/>
        <w:noProof/>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393" w:rsidRDefault="00B16393">
      <w:r>
        <w:separator/>
      </w:r>
    </w:p>
  </w:footnote>
  <w:footnote w:type="continuationSeparator" w:id="0">
    <w:p w:rsidR="00B16393" w:rsidRDefault="00B16393">
      <w:r>
        <w:continuationSeparator/>
      </w:r>
    </w:p>
  </w:footnote>
  <w:footnote w:type="continuationNotice" w:id="1">
    <w:p w:rsidR="00B16393" w:rsidRDefault="00B16393"/>
  </w:footnote>
  <w:footnote w:id="2">
    <w:p w:rsidR="009A1870" w:rsidRPr="00233FAD" w:rsidRDefault="009A1870" w:rsidP="00233FAD">
      <w:pPr>
        <w:pStyle w:val="Textodenotaderodap"/>
        <w:spacing w:after="120" w:line="276" w:lineRule="auto"/>
        <w:rPr>
          <w:rFonts w:ascii="Times New Roman" w:hAnsi="Times New Roman" w:cs="Times New Roman"/>
        </w:rPr>
      </w:pPr>
      <w:r w:rsidRPr="00233FAD">
        <w:rPr>
          <w:rFonts w:ascii="Times New Roman" w:eastAsia="Times New Roman" w:hAnsi="Times New Roman" w:cs="Times New Roman"/>
          <w:vertAlign w:val="superscript"/>
        </w:rPr>
        <w:footnoteRef/>
      </w:r>
      <w:r w:rsidRPr="00233FAD">
        <w:rPr>
          <w:rFonts w:ascii="Times New Roman" w:hAnsi="Times New Roman" w:cs="Times New Roman"/>
        </w:rPr>
        <w:t xml:space="preserve"> Ver: </w:t>
      </w:r>
      <w:hyperlink r:id="rId1" w:history="1">
        <w:r w:rsidRPr="00233FAD">
          <w:rPr>
            <w:rStyle w:val="Hyperlink"/>
            <w:rFonts w:ascii="Times New Roman" w:hAnsi="Times New Roman" w:cs="Times New Roman"/>
          </w:rPr>
          <w:t>http://www.cvm.gov.br/audiencias_publicas/sdm/2015/sdm0115.html</w:t>
        </w:r>
      </w:hyperlink>
    </w:p>
  </w:footnote>
  <w:footnote w:id="3">
    <w:p w:rsidR="009A1870" w:rsidRPr="00233FAD" w:rsidRDefault="009A1870" w:rsidP="00233FAD">
      <w:pPr>
        <w:pStyle w:val="Textodenotaderodap"/>
        <w:spacing w:after="120" w:line="276" w:lineRule="auto"/>
        <w:rPr>
          <w:rFonts w:ascii="Times New Roman" w:hAnsi="Times New Roman" w:cs="Times New Roman"/>
          <w:lang w:val="pt-BR"/>
        </w:rPr>
      </w:pPr>
      <w:r w:rsidRPr="00233FAD">
        <w:rPr>
          <w:rStyle w:val="Refdenotaderodap"/>
          <w:rFonts w:ascii="Times New Roman" w:hAnsi="Times New Roman" w:cs="Times New Roman"/>
        </w:rPr>
        <w:footnoteRef/>
      </w:r>
      <w:r w:rsidRPr="00233FAD">
        <w:rPr>
          <w:rFonts w:ascii="Times New Roman" w:hAnsi="Times New Roman" w:cs="Times New Roman"/>
        </w:rPr>
        <w:t xml:space="preserve"> “</w:t>
      </w:r>
      <w:r w:rsidRPr="00233FAD">
        <w:rPr>
          <w:rFonts w:ascii="Times New Roman" w:hAnsi="Times New Roman" w:cs="Times New Roman"/>
          <w:i/>
        </w:rPr>
        <w:t>Art. 54. A nota promissória é uma promessa de pagamento e deve conter estes requisitos essenciais, lançados, por extenso no contexto:</w:t>
      </w:r>
      <w:r w:rsidRPr="00233FAD">
        <w:rPr>
          <w:rFonts w:ascii="Times New Roman" w:hAnsi="Times New Roman" w:cs="Times New Roman"/>
        </w:rPr>
        <w:t xml:space="preserve"> [...]  </w:t>
      </w:r>
      <w:r w:rsidRPr="00233FAD">
        <w:rPr>
          <w:rFonts w:ascii="Times New Roman" w:hAnsi="Times New Roman" w:cs="Times New Roman"/>
          <w:i/>
        </w:rPr>
        <w:t>III. o nome da pessoa a quem deve ser paga</w:t>
      </w:r>
      <w:r w:rsidRPr="00233FAD">
        <w:rPr>
          <w:rFonts w:ascii="Times New Roman" w:hAnsi="Times New Roman" w:cs="Times New Roman"/>
        </w:rPr>
        <w:t>”.</w:t>
      </w:r>
    </w:p>
  </w:footnote>
  <w:footnote w:id="4">
    <w:p w:rsidR="009A1870" w:rsidRPr="00233FAD" w:rsidRDefault="009A1870" w:rsidP="00233FAD">
      <w:pPr>
        <w:pStyle w:val="Textodenotaderodap"/>
        <w:spacing w:after="120" w:line="276" w:lineRule="auto"/>
        <w:rPr>
          <w:rFonts w:ascii="Times New Roman" w:hAnsi="Times New Roman" w:cs="Times New Roman"/>
          <w:lang w:val="pt-BR"/>
        </w:rPr>
      </w:pPr>
      <w:r w:rsidRPr="00233FAD">
        <w:rPr>
          <w:rStyle w:val="Refdenotaderodap"/>
          <w:rFonts w:ascii="Times New Roman" w:hAnsi="Times New Roman" w:cs="Times New Roman"/>
        </w:rPr>
        <w:footnoteRef/>
      </w:r>
      <w:r w:rsidRPr="00233FAD">
        <w:rPr>
          <w:rFonts w:ascii="Times New Roman" w:hAnsi="Times New Roman" w:cs="Times New Roman"/>
        </w:rPr>
        <w:t xml:space="preserve"> “</w:t>
      </w:r>
      <w:r w:rsidRPr="00233FAD">
        <w:rPr>
          <w:rFonts w:ascii="Times New Roman" w:hAnsi="Times New Roman" w:cs="Times New Roman"/>
          <w:i/>
        </w:rPr>
        <w:t>Art. 75 - A nota promissória contém:</w:t>
      </w:r>
      <w:r w:rsidRPr="00233FAD">
        <w:rPr>
          <w:rFonts w:ascii="Times New Roman" w:hAnsi="Times New Roman" w:cs="Times New Roman"/>
        </w:rPr>
        <w:t xml:space="preserve"> [...] </w:t>
      </w:r>
      <w:r w:rsidRPr="00233FAD">
        <w:rPr>
          <w:rFonts w:ascii="Times New Roman" w:hAnsi="Times New Roman" w:cs="Times New Roman"/>
          <w:i/>
        </w:rPr>
        <w:t>5 - O nome da pessoa a quem ou a ordem de quem deve ser paga</w:t>
      </w:r>
      <w:r w:rsidRPr="00233FAD">
        <w:rPr>
          <w:rFonts w:ascii="Times New Roman" w:hAnsi="Times New Roman" w:cs="Times New Roman"/>
        </w:rPr>
        <w:t>”.</w:t>
      </w:r>
    </w:p>
  </w:footnote>
  <w:footnote w:id="5">
    <w:p w:rsidR="009A1870" w:rsidRPr="00233FAD" w:rsidRDefault="009A1870" w:rsidP="00233FAD">
      <w:pPr>
        <w:pStyle w:val="Textoembloco"/>
        <w:spacing w:before="0" w:after="120" w:line="276" w:lineRule="auto"/>
        <w:ind w:left="0" w:firstLine="0"/>
        <w:jc w:val="both"/>
        <w:rPr>
          <w:rFonts w:ascii="Times New Roman" w:hAnsi="Times New Roman" w:cs="Times New Roman"/>
          <w:i/>
          <w:szCs w:val="20"/>
          <w:lang w:val="pt-BR"/>
        </w:rPr>
      </w:pPr>
      <w:r w:rsidRPr="00233FAD">
        <w:rPr>
          <w:rStyle w:val="Refdenotaderodap"/>
          <w:rFonts w:ascii="Times New Roman" w:hAnsi="Times New Roman" w:cs="Times New Roman"/>
          <w:szCs w:val="20"/>
        </w:rPr>
        <w:footnoteRef/>
      </w:r>
      <w:r w:rsidRPr="00233FAD">
        <w:rPr>
          <w:rFonts w:ascii="Times New Roman" w:hAnsi="Times New Roman" w:cs="Times New Roman"/>
          <w:szCs w:val="20"/>
        </w:rPr>
        <w:t xml:space="preserve">  “</w:t>
      </w:r>
      <w:r w:rsidRPr="00233FAD">
        <w:rPr>
          <w:rFonts w:ascii="Times New Roman" w:hAnsi="Times New Roman" w:cs="Times New Roman"/>
          <w:i/>
          <w:szCs w:val="20"/>
          <w:lang w:val="pt-BR"/>
        </w:rPr>
        <w:t>20. Demonstrações contábeis intermediárias devem incluir as demonstrações contábeis (condensadas ou completas) para os seguintes períodos:</w:t>
      </w:r>
    </w:p>
    <w:p w:rsidR="009A1870" w:rsidRPr="00233FAD" w:rsidRDefault="009A1870" w:rsidP="00233FAD">
      <w:pPr>
        <w:pStyle w:val="Textoembloco"/>
        <w:spacing w:before="0" w:after="120" w:line="276" w:lineRule="auto"/>
        <w:ind w:left="0" w:firstLine="0"/>
        <w:jc w:val="both"/>
        <w:rPr>
          <w:rFonts w:ascii="Times New Roman" w:hAnsi="Times New Roman" w:cs="Times New Roman"/>
          <w:szCs w:val="20"/>
          <w:lang w:val="pt-BR"/>
        </w:rPr>
      </w:pPr>
      <w:r w:rsidRPr="00233FAD">
        <w:rPr>
          <w:rFonts w:ascii="Times New Roman" w:hAnsi="Times New Roman" w:cs="Times New Roman"/>
          <w:i/>
          <w:szCs w:val="20"/>
          <w:lang w:val="pt-BR"/>
        </w:rPr>
        <w:t xml:space="preserve">(a) </w:t>
      </w:r>
      <w:r w:rsidRPr="00233FAD">
        <w:rPr>
          <w:rFonts w:ascii="Times New Roman" w:hAnsi="Times New Roman" w:cs="Times New Roman"/>
          <w:bCs/>
          <w:i/>
          <w:iCs/>
          <w:color w:val="000000"/>
          <w:szCs w:val="20"/>
          <w:lang w:val="pt-BR"/>
        </w:rPr>
        <w:t>balanço patrimonial ao fim do período intermediário corrente e o balanço patrimonial comparativo do final do exercício social imediatamente anterior</w:t>
      </w:r>
      <w:r w:rsidRPr="00233FAD">
        <w:rPr>
          <w:rFonts w:ascii="Times New Roman" w:hAnsi="Times New Roman" w:cs="Times New Roman"/>
          <w:bCs/>
          <w:iCs/>
          <w:color w:val="000000"/>
          <w:szCs w:val="20"/>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70" w:rsidRDefault="009A1870">
    <w:pPr>
      <w:pStyle w:val="Cabealho"/>
    </w:pPr>
    <w:r>
      <w:rPr>
        <w:noProof/>
        <w:sz w:val="24"/>
        <w:szCs w:val="24"/>
        <w:lang w:val="pt-BR"/>
      </w:rPr>
      <w:drawing>
        <wp:inline distT="0" distB="0" distL="0" distR="0">
          <wp:extent cx="4419600" cy="7715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1">
                    <a:extLst/>
                  </a:blip>
                  <a:stretch>
                    <a:fillRect/>
                  </a:stretch>
                </pic:blipFill>
                <pic:spPr>
                  <a:xfrm>
                    <a:off x="0" y="0"/>
                    <a:ext cx="4419600" cy="771525"/>
                  </a:xfrm>
                  <a:prstGeom prst="rect">
                    <a:avLst/>
                  </a:prstGeom>
                  <a:ln w="12700" cap="flat">
                    <a:noFill/>
                    <a:miter lim="400000"/>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81510"/>
    <w:multiLevelType w:val="multilevel"/>
    <w:tmpl w:val="93EE7D82"/>
    <w:styleLink w:val="Lista21"/>
    <w:lvl w:ilvl="0">
      <w:start w:val="5"/>
      <w:numFmt w:val="lowerRoman"/>
      <w:lvlText w:val="(%1)"/>
      <w:lvlJc w:val="left"/>
      <w:pPr>
        <w:tabs>
          <w:tab w:val="num" w:pos="709"/>
        </w:tabs>
        <w:ind w:left="709" w:hanging="709"/>
      </w:pPr>
      <w:rPr>
        <w:position w:val="0"/>
        <w:sz w:val="24"/>
        <w:szCs w:val="24"/>
        <w:rtl w:val="0"/>
        <w:lang w:val="pt-PT"/>
      </w:rPr>
    </w:lvl>
    <w:lvl w:ilvl="1">
      <w:start w:val="1"/>
      <w:numFmt w:val="lowerLetter"/>
      <w:lvlText w:val="%2."/>
      <w:lvlJc w:val="left"/>
      <w:pPr>
        <w:tabs>
          <w:tab w:val="num" w:pos="114"/>
        </w:tabs>
      </w:pPr>
      <w:rPr>
        <w:position w:val="0"/>
        <w:sz w:val="24"/>
        <w:szCs w:val="24"/>
        <w:rtl w:val="0"/>
        <w:lang w:val="pt-PT"/>
      </w:rPr>
    </w:lvl>
    <w:lvl w:ilvl="2">
      <w:start w:val="1"/>
      <w:numFmt w:val="lowerRoman"/>
      <w:lvlText w:val="%3."/>
      <w:lvlJc w:val="left"/>
      <w:pPr>
        <w:tabs>
          <w:tab w:val="num" w:pos="114"/>
        </w:tabs>
      </w:pPr>
      <w:rPr>
        <w:position w:val="0"/>
        <w:sz w:val="24"/>
        <w:szCs w:val="24"/>
        <w:rtl w:val="0"/>
        <w:lang w:val="pt-PT"/>
      </w:rPr>
    </w:lvl>
    <w:lvl w:ilvl="3">
      <w:start w:val="1"/>
      <w:numFmt w:val="decimal"/>
      <w:lvlText w:val="%4."/>
      <w:lvlJc w:val="left"/>
      <w:pPr>
        <w:tabs>
          <w:tab w:val="num" w:pos="114"/>
        </w:tabs>
      </w:pPr>
      <w:rPr>
        <w:position w:val="0"/>
        <w:sz w:val="24"/>
        <w:szCs w:val="24"/>
        <w:rtl w:val="0"/>
        <w:lang w:val="pt-PT"/>
      </w:rPr>
    </w:lvl>
    <w:lvl w:ilvl="4">
      <w:start w:val="1"/>
      <w:numFmt w:val="lowerLetter"/>
      <w:lvlText w:val="%5."/>
      <w:lvlJc w:val="left"/>
      <w:pPr>
        <w:tabs>
          <w:tab w:val="num" w:pos="114"/>
        </w:tabs>
      </w:pPr>
      <w:rPr>
        <w:position w:val="0"/>
        <w:sz w:val="24"/>
        <w:szCs w:val="24"/>
        <w:rtl w:val="0"/>
        <w:lang w:val="pt-PT"/>
      </w:rPr>
    </w:lvl>
    <w:lvl w:ilvl="5">
      <w:start w:val="1"/>
      <w:numFmt w:val="lowerRoman"/>
      <w:lvlText w:val="%6."/>
      <w:lvlJc w:val="left"/>
      <w:pPr>
        <w:tabs>
          <w:tab w:val="num" w:pos="114"/>
        </w:tabs>
      </w:pPr>
      <w:rPr>
        <w:position w:val="0"/>
        <w:sz w:val="24"/>
        <w:szCs w:val="24"/>
        <w:rtl w:val="0"/>
        <w:lang w:val="pt-PT"/>
      </w:rPr>
    </w:lvl>
    <w:lvl w:ilvl="6">
      <w:start w:val="1"/>
      <w:numFmt w:val="decimal"/>
      <w:lvlText w:val="%7."/>
      <w:lvlJc w:val="left"/>
      <w:pPr>
        <w:tabs>
          <w:tab w:val="num" w:pos="114"/>
        </w:tabs>
      </w:pPr>
      <w:rPr>
        <w:position w:val="0"/>
        <w:sz w:val="24"/>
        <w:szCs w:val="24"/>
        <w:rtl w:val="0"/>
        <w:lang w:val="pt-PT"/>
      </w:rPr>
    </w:lvl>
    <w:lvl w:ilvl="7">
      <w:start w:val="1"/>
      <w:numFmt w:val="lowerLetter"/>
      <w:lvlText w:val="%8."/>
      <w:lvlJc w:val="left"/>
      <w:pPr>
        <w:tabs>
          <w:tab w:val="num" w:pos="114"/>
        </w:tabs>
      </w:pPr>
      <w:rPr>
        <w:position w:val="0"/>
        <w:sz w:val="24"/>
        <w:szCs w:val="24"/>
        <w:rtl w:val="0"/>
        <w:lang w:val="pt-PT"/>
      </w:rPr>
    </w:lvl>
    <w:lvl w:ilvl="8">
      <w:start w:val="1"/>
      <w:numFmt w:val="lowerRoman"/>
      <w:lvlText w:val="%9."/>
      <w:lvlJc w:val="left"/>
      <w:pPr>
        <w:tabs>
          <w:tab w:val="num" w:pos="114"/>
        </w:tabs>
      </w:pPr>
      <w:rPr>
        <w:position w:val="0"/>
        <w:sz w:val="24"/>
        <w:szCs w:val="24"/>
        <w:rtl w:val="0"/>
        <w:lang w:val="pt-PT"/>
      </w:rPr>
    </w:lvl>
  </w:abstractNum>
  <w:abstractNum w:abstractNumId="1">
    <w:nsid w:val="11C26E0F"/>
    <w:multiLevelType w:val="multilevel"/>
    <w:tmpl w:val="25DA6736"/>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1A6C57BE"/>
    <w:multiLevelType w:val="multilevel"/>
    <w:tmpl w:val="9C6209E6"/>
    <w:styleLink w:val="List1"/>
    <w:lvl w:ilvl="0">
      <w:start w:val="4"/>
      <w:numFmt w:val="lowerRoman"/>
      <w:lvlText w:val="(%1)"/>
      <w:lvlJc w:val="left"/>
      <w:pPr>
        <w:tabs>
          <w:tab w:val="num" w:pos="650"/>
        </w:tabs>
        <w:ind w:left="650" w:hanging="650"/>
      </w:pPr>
      <w:rPr>
        <w:position w:val="0"/>
        <w:sz w:val="24"/>
        <w:szCs w:val="24"/>
        <w:lang w:val="pt-PT"/>
      </w:rPr>
    </w:lvl>
    <w:lvl w:ilvl="1">
      <w:start w:val="1"/>
      <w:numFmt w:val="lowerLetter"/>
      <w:lvlText w:val="%2."/>
      <w:lvlJc w:val="left"/>
      <w:pPr>
        <w:tabs>
          <w:tab w:val="num" w:pos="1440"/>
        </w:tabs>
        <w:ind w:left="1440" w:hanging="360"/>
      </w:pPr>
      <w:rPr>
        <w:position w:val="0"/>
        <w:sz w:val="24"/>
        <w:szCs w:val="24"/>
        <w:lang w:val="pt-PT"/>
      </w:rPr>
    </w:lvl>
    <w:lvl w:ilvl="2">
      <w:start w:val="1"/>
      <w:numFmt w:val="lowerRoman"/>
      <w:lvlText w:val="%3."/>
      <w:lvlJc w:val="left"/>
      <w:pPr>
        <w:tabs>
          <w:tab w:val="num" w:pos="2160"/>
        </w:tabs>
        <w:ind w:left="2160" w:hanging="296"/>
      </w:pPr>
      <w:rPr>
        <w:position w:val="0"/>
        <w:sz w:val="24"/>
        <w:szCs w:val="24"/>
        <w:lang w:val="pt-PT"/>
      </w:rPr>
    </w:lvl>
    <w:lvl w:ilvl="3">
      <w:start w:val="1"/>
      <w:numFmt w:val="decimal"/>
      <w:lvlText w:val="%4."/>
      <w:lvlJc w:val="left"/>
      <w:pPr>
        <w:tabs>
          <w:tab w:val="num" w:pos="2880"/>
        </w:tabs>
        <w:ind w:left="2880" w:hanging="360"/>
      </w:pPr>
      <w:rPr>
        <w:position w:val="0"/>
        <w:sz w:val="24"/>
        <w:szCs w:val="24"/>
        <w:lang w:val="pt-PT"/>
      </w:rPr>
    </w:lvl>
    <w:lvl w:ilvl="4">
      <w:start w:val="1"/>
      <w:numFmt w:val="lowerLetter"/>
      <w:lvlText w:val="%5."/>
      <w:lvlJc w:val="left"/>
      <w:pPr>
        <w:tabs>
          <w:tab w:val="num" w:pos="3600"/>
        </w:tabs>
        <w:ind w:left="3600" w:hanging="360"/>
      </w:pPr>
      <w:rPr>
        <w:position w:val="0"/>
        <w:sz w:val="24"/>
        <w:szCs w:val="24"/>
        <w:lang w:val="pt-PT"/>
      </w:rPr>
    </w:lvl>
    <w:lvl w:ilvl="5">
      <w:start w:val="1"/>
      <w:numFmt w:val="lowerRoman"/>
      <w:lvlText w:val="%6."/>
      <w:lvlJc w:val="left"/>
      <w:pPr>
        <w:tabs>
          <w:tab w:val="num" w:pos="4320"/>
        </w:tabs>
        <w:ind w:left="4320" w:hanging="296"/>
      </w:pPr>
      <w:rPr>
        <w:position w:val="0"/>
        <w:sz w:val="24"/>
        <w:szCs w:val="24"/>
        <w:lang w:val="pt-PT"/>
      </w:rPr>
    </w:lvl>
    <w:lvl w:ilvl="6">
      <w:start w:val="1"/>
      <w:numFmt w:val="decimal"/>
      <w:lvlText w:val="%7."/>
      <w:lvlJc w:val="left"/>
      <w:pPr>
        <w:tabs>
          <w:tab w:val="num" w:pos="5040"/>
        </w:tabs>
        <w:ind w:left="5040" w:hanging="360"/>
      </w:pPr>
      <w:rPr>
        <w:position w:val="0"/>
        <w:sz w:val="24"/>
        <w:szCs w:val="24"/>
        <w:lang w:val="pt-PT"/>
      </w:rPr>
    </w:lvl>
    <w:lvl w:ilvl="7">
      <w:start w:val="1"/>
      <w:numFmt w:val="lowerLetter"/>
      <w:lvlText w:val="%8."/>
      <w:lvlJc w:val="left"/>
      <w:pPr>
        <w:tabs>
          <w:tab w:val="num" w:pos="5760"/>
        </w:tabs>
        <w:ind w:left="5760" w:hanging="360"/>
      </w:pPr>
      <w:rPr>
        <w:position w:val="0"/>
        <w:sz w:val="24"/>
        <w:szCs w:val="24"/>
        <w:lang w:val="pt-PT"/>
      </w:rPr>
    </w:lvl>
    <w:lvl w:ilvl="8">
      <w:start w:val="1"/>
      <w:numFmt w:val="lowerRoman"/>
      <w:lvlText w:val="%9."/>
      <w:lvlJc w:val="left"/>
      <w:pPr>
        <w:tabs>
          <w:tab w:val="num" w:pos="6480"/>
        </w:tabs>
        <w:ind w:left="6480" w:hanging="296"/>
      </w:pPr>
      <w:rPr>
        <w:position w:val="0"/>
        <w:sz w:val="24"/>
        <w:szCs w:val="24"/>
        <w:lang w:val="pt-PT"/>
      </w:rPr>
    </w:lvl>
  </w:abstractNum>
  <w:abstractNum w:abstractNumId="3">
    <w:nsid w:val="43195AF1"/>
    <w:multiLevelType w:val="hybridMultilevel"/>
    <w:tmpl w:val="1EF879A0"/>
    <w:lvl w:ilvl="0" w:tplc="4EAA64E6">
      <w:start w:val="1"/>
      <w:numFmt w:val="lowerLetter"/>
      <w:lvlText w:val="(%1)"/>
      <w:lvlJc w:val="left"/>
      <w:pPr>
        <w:tabs>
          <w:tab w:val="num" w:pos="1070"/>
        </w:tabs>
        <w:ind w:left="1070" w:hanging="360"/>
      </w:pPr>
      <w:rPr>
        <w:rFonts w:ascii="Times New Roman" w:hAnsi="Times New Roman" w:cs="Times New Roman"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4F7178E3"/>
    <w:multiLevelType w:val="multilevel"/>
    <w:tmpl w:val="CA522140"/>
    <w:lvl w:ilvl="0">
      <w:start w:val="1"/>
      <w:numFmt w:val="lowerRoman"/>
      <w:lvlText w:val="(%1)"/>
      <w:lvlJc w:val="left"/>
      <w:pPr>
        <w:tabs>
          <w:tab w:val="num" w:pos="650"/>
        </w:tabs>
        <w:ind w:left="650" w:hanging="650"/>
      </w:pPr>
      <w:rPr>
        <w:position w:val="0"/>
        <w:sz w:val="24"/>
        <w:szCs w:val="24"/>
        <w:lang w:val="pt-PT"/>
      </w:rPr>
    </w:lvl>
    <w:lvl w:ilvl="1">
      <w:start w:val="1"/>
      <w:numFmt w:val="lowerLetter"/>
      <w:lvlText w:val="%2."/>
      <w:lvlJc w:val="left"/>
      <w:pPr>
        <w:tabs>
          <w:tab w:val="num" w:pos="1440"/>
        </w:tabs>
        <w:ind w:left="1440" w:hanging="360"/>
      </w:pPr>
      <w:rPr>
        <w:position w:val="0"/>
        <w:sz w:val="24"/>
        <w:szCs w:val="24"/>
        <w:lang w:val="pt-PT"/>
      </w:rPr>
    </w:lvl>
    <w:lvl w:ilvl="2">
      <w:start w:val="1"/>
      <w:numFmt w:val="lowerRoman"/>
      <w:lvlText w:val="%3."/>
      <w:lvlJc w:val="left"/>
      <w:pPr>
        <w:tabs>
          <w:tab w:val="num" w:pos="2160"/>
        </w:tabs>
        <w:ind w:left="2160" w:hanging="296"/>
      </w:pPr>
      <w:rPr>
        <w:position w:val="0"/>
        <w:sz w:val="24"/>
        <w:szCs w:val="24"/>
        <w:lang w:val="pt-PT"/>
      </w:rPr>
    </w:lvl>
    <w:lvl w:ilvl="3">
      <w:start w:val="1"/>
      <w:numFmt w:val="decimal"/>
      <w:lvlText w:val="%4."/>
      <w:lvlJc w:val="left"/>
      <w:pPr>
        <w:tabs>
          <w:tab w:val="num" w:pos="2880"/>
        </w:tabs>
        <w:ind w:left="2880" w:hanging="360"/>
      </w:pPr>
      <w:rPr>
        <w:position w:val="0"/>
        <w:sz w:val="24"/>
        <w:szCs w:val="24"/>
        <w:lang w:val="pt-PT"/>
      </w:rPr>
    </w:lvl>
    <w:lvl w:ilvl="4">
      <w:start w:val="1"/>
      <w:numFmt w:val="lowerLetter"/>
      <w:lvlText w:val="%5."/>
      <w:lvlJc w:val="left"/>
      <w:pPr>
        <w:tabs>
          <w:tab w:val="num" w:pos="3600"/>
        </w:tabs>
        <w:ind w:left="3600" w:hanging="360"/>
      </w:pPr>
      <w:rPr>
        <w:position w:val="0"/>
        <w:sz w:val="24"/>
        <w:szCs w:val="24"/>
        <w:lang w:val="pt-PT"/>
      </w:rPr>
    </w:lvl>
    <w:lvl w:ilvl="5">
      <w:start w:val="1"/>
      <w:numFmt w:val="lowerRoman"/>
      <w:lvlText w:val="%6."/>
      <w:lvlJc w:val="left"/>
      <w:pPr>
        <w:tabs>
          <w:tab w:val="num" w:pos="4320"/>
        </w:tabs>
        <w:ind w:left="4320" w:hanging="296"/>
      </w:pPr>
      <w:rPr>
        <w:position w:val="0"/>
        <w:sz w:val="24"/>
        <w:szCs w:val="24"/>
        <w:lang w:val="pt-PT"/>
      </w:rPr>
    </w:lvl>
    <w:lvl w:ilvl="6">
      <w:start w:val="1"/>
      <w:numFmt w:val="decimal"/>
      <w:lvlText w:val="%7."/>
      <w:lvlJc w:val="left"/>
      <w:pPr>
        <w:tabs>
          <w:tab w:val="num" w:pos="5040"/>
        </w:tabs>
        <w:ind w:left="5040" w:hanging="360"/>
      </w:pPr>
      <w:rPr>
        <w:position w:val="0"/>
        <w:sz w:val="24"/>
        <w:szCs w:val="24"/>
        <w:lang w:val="pt-PT"/>
      </w:rPr>
    </w:lvl>
    <w:lvl w:ilvl="7">
      <w:start w:val="1"/>
      <w:numFmt w:val="lowerLetter"/>
      <w:lvlText w:val="%8."/>
      <w:lvlJc w:val="left"/>
      <w:pPr>
        <w:tabs>
          <w:tab w:val="num" w:pos="5760"/>
        </w:tabs>
        <w:ind w:left="5760" w:hanging="360"/>
      </w:pPr>
      <w:rPr>
        <w:position w:val="0"/>
        <w:sz w:val="24"/>
        <w:szCs w:val="24"/>
        <w:lang w:val="pt-PT"/>
      </w:rPr>
    </w:lvl>
    <w:lvl w:ilvl="8">
      <w:start w:val="1"/>
      <w:numFmt w:val="lowerRoman"/>
      <w:lvlText w:val="%9."/>
      <w:lvlJc w:val="left"/>
      <w:pPr>
        <w:tabs>
          <w:tab w:val="num" w:pos="6480"/>
        </w:tabs>
        <w:ind w:left="6480" w:hanging="296"/>
      </w:pPr>
      <w:rPr>
        <w:position w:val="0"/>
        <w:sz w:val="24"/>
        <w:szCs w:val="24"/>
        <w:lang w:val="pt-PT"/>
      </w:rPr>
    </w:lvl>
  </w:abstractNum>
  <w:abstractNum w:abstractNumId="5">
    <w:nsid w:val="5B465BB1"/>
    <w:multiLevelType w:val="multilevel"/>
    <w:tmpl w:val="BCB6160E"/>
    <w:styleLink w:val="List0"/>
    <w:lvl w:ilvl="0">
      <w:start w:val="1"/>
      <w:numFmt w:val="lowerRoman"/>
      <w:lvlText w:val="(%1)"/>
      <w:lvlJc w:val="left"/>
      <w:pPr>
        <w:tabs>
          <w:tab w:val="num" w:pos="709"/>
        </w:tabs>
        <w:ind w:left="709" w:hanging="709"/>
      </w:pPr>
      <w:rPr>
        <w:position w:val="0"/>
        <w:sz w:val="24"/>
        <w:szCs w:val="24"/>
        <w:rtl w:val="0"/>
        <w:lang w:val="pt-PT"/>
      </w:rPr>
    </w:lvl>
    <w:lvl w:ilvl="1">
      <w:start w:val="1"/>
      <w:numFmt w:val="lowerLetter"/>
      <w:lvlText w:val="%2."/>
      <w:lvlJc w:val="left"/>
      <w:pPr>
        <w:tabs>
          <w:tab w:val="num" w:pos="114"/>
        </w:tabs>
      </w:pPr>
      <w:rPr>
        <w:position w:val="0"/>
        <w:sz w:val="24"/>
        <w:szCs w:val="24"/>
        <w:rtl w:val="0"/>
        <w:lang w:val="pt-PT"/>
      </w:rPr>
    </w:lvl>
    <w:lvl w:ilvl="2">
      <w:start w:val="1"/>
      <w:numFmt w:val="lowerRoman"/>
      <w:lvlText w:val="%3."/>
      <w:lvlJc w:val="left"/>
      <w:pPr>
        <w:tabs>
          <w:tab w:val="num" w:pos="114"/>
        </w:tabs>
      </w:pPr>
      <w:rPr>
        <w:position w:val="0"/>
        <w:sz w:val="24"/>
        <w:szCs w:val="24"/>
        <w:rtl w:val="0"/>
        <w:lang w:val="pt-PT"/>
      </w:rPr>
    </w:lvl>
    <w:lvl w:ilvl="3">
      <w:start w:val="1"/>
      <w:numFmt w:val="decimal"/>
      <w:lvlText w:val="%4."/>
      <w:lvlJc w:val="left"/>
      <w:pPr>
        <w:tabs>
          <w:tab w:val="num" w:pos="114"/>
        </w:tabs>
      </w:pPr>
      <w:rPr>
        <w:position w:val="0"/>
        <w:sz w:val="24"/>
        <w:szCs w:val="24"/>
        <w:rtl w:val="0"/>
        <w:lang w:val="pt-PT"/>
      </w:rPr>
    </w:lvl>
    <w:lvl w:ilvl="4">
      <w:start w:val="1"/>
      <w:numFmt w:val="lowerLetter"/>
      <w:lvlText w:val="%5."/>
      <w:lvlJc w:val="left"/>
      <w:pPr>
        <w:tabs>
          <w:tab w:val="num" w:pos="114"/>
        </w:tabs>
      </w:pPr>
      <w:rPr>
        <w:position w:val="0"/>
        <w:sz w:val="24"/>
        <w:szCs w:val="24"/>
        <w:rtl w:val="0"/>
        <w:lang w:val="pt-PT"/>
      </w:rPr>
    </w:lvl>
    <w:lvl w:ilvl="5">
      <w:start w:val="1"/>
      <w:numFmt w:val="lowerRoman"/>
      <w:lvlText w:val="%6."/>
      <w:lvlJc w:val="left"/>
      <w:pPr>
        <w:tabs>
          <w:tab w:val="num" w:pos="114"/>
        </w:tabs>
      </w:pPr>
      <w:rPr>
        <w:position w:val="0"/>
        <w:sz w:val="24"/>
        <w:szCs w:val="24"/>
        <w:rtl w:val="0"/>
        <w:lang w:val="pt-PT"/>
      </w:rPr>
    </w:lvl>
    <w:lvl w:ilvl="6">
      <w:start w:val="1"/>
      <w:numFmt w:val="decimal"/>
      <w:lvlText w:val="%7."/>
      <w:lvlJc w:val="left"/>
      <w:pPr>
        <w:tabs>
          <w:tab w:val="num" w:pos="114"/>
        </w:tabs>
      </w:pPr>
      <w:rPr>
        <w:position w:val="0"/>
        <w:sz w:val="24"/>
        <w:szCs w:val="24"/>
        <w:rtl w:val="0"/>
        <w:lang w:val="pt-PT"/>
      </w:rPr>
    </w:lvl>
    <w:lvl w:ilvl="7">
      <w:start w:val="1"/>
      <w:numFmt w:val="lowerLetter"/>
      <w:lvlText w:val="%8."/>
      <w:lvlJc w:val="left"/>
      <w:pPr>
        <w:tabs>
          <w:tab w:val="num" w:pos="114"/>
        </w:tabs>
      </w:pPr>
      <w:rPr>
        <w:position w:val="0"/>
        <w:sz w:val="24"/>
        <w:szCs w:val="24"/>
        <w:rtl w:val="0"/>
        <w:lang w:val="pt-PT"/>
      </w:rPr>
    </w:lvl>
    <w:lvl w:ilvl="8">
      <w:start w:val="1"/>
      <w:numFmt w:val="lowerRoman"/>
      <w:lvlText w:val="%9."/>
      <w:lvlJc w:val="left"/>
      <w:pPr>
        <w:tabs>
          <w:tab w:val="num" w:pos="114"/>
        </w:tabs>
      </w:pPr>
      <w:rPr>
        <w:position w:val="0"/>
        <w:sz w:val="24"/>
        <w:szCs w:val="24"/>
        <w:rtl w:val="0"/>
        <w:lang w:val="pt-PT"/>
      </w:rPr>
    </w:lvl>
  </w:abstractNum>
  <w:abstractNum w:abstractNumId="6">
    <w:nsid w:val="67686046"/>
    <w:multiLevelType w:val="multilevel"/>
    <w:tmpl w:val="31CA77B4"/>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nsid w:val="7BDB5C94"/>
    <w:multiLevelType w:val="multilevel"/>
    <w:tmpl w:val="C48CA712"/>
    <w:lvl w:ilvl="0">
      <w:start w:val="1"/>
      <w:numFmt w:val="lowerRoman"/>
      <w:lvlText w:val="(%1)"/>
      <w:lvlJc w:val="left"/>
      <w:pPr>
        <w:tabs>
          <w:tab w:val="num" w:pos="709"/>
        </w:tabs>
        <w:ind w:left="709" w:hanging="709"/>
      </w:pPr>
      <w:rPr>
        <w:position w:val="0"/>
        <w:sz w:val="24"/>
        <w:szCs w:val="24"/>
        <w:rtl w:val="0"/>
        <w:lang w:val="pt-PT"/>
      </w:rPr>
    </w:lvl>
    <w:lvl w:ilvl="1">
      <w:start w:val="1"/>
      <w:numFmt w:val="lowerLetter"/>
      <w:lvlText w:val="%2."/>
      <w:lvlJc w:val="left"/>
      <w:pPr>
        <w:tabs>
          <w:tab w:val="num" w:pos="114"/>
        </w:tabs>
      </w:pPr>
      <w:rPr>
        <w:position w:val="0"/>
        <w:sz w:val="24"/>
        <w:szCs w:val="24"/>
        <w:rtl w:val="0"/>
        <w:lang w:val="pt-PT"/>
      </w:rPr>
    </w:lvl>
    <w:lvl w:ilvl="2">
      <w:start w:val="1"/>
      <w:numFmt w:val="lowerRoman"/>
      <w:lvlText w:val="%3."/>
      <w:lvlJc w:val="left"/>
      <w:pPr>
        <w:tabs>
          <w:tab w:val="num" w:pos="114"/>
        </w:tabs>
      </w:pPr>
      <w:rPr>
        <w:position w:val="0"/>
        <w:sz w:val="24"/>
        <w:szCs w:val="24"/>
        <w:rtl w:val="0"/>
        <w:lang w:val="pt-PT"/>
      </w:rPr>
    </w:lvl>
    <w:lvl w:ilvl="3">
      <w:start w:val="1"/>
      <w:numFmt w:val="decimal"/>
      <w:lvlText w:val="%4."/>
      <w:lvlJc w:val="left"/>
      <w:pPr>
        <w:tabs>
          <w:tab w:val="num" w:pos="114"/>
        </w:tabs>
      </w:pPr>
      <w:rPr>
        <w:position w:val="0"/>
        <w:sz w:val="24"/>
        <w:szCs w:val="24"/>
        <w:rtl w:val="0"/>
        <w:lang w:val="pt-PT"/>
      </w:rPr>
    </w:lvl>
    <w:lvl w:ilvl="4">
      <w:start w:val="1"/>
      <w:numFmt w:val="lowerLetter"/>
      <w:lvlText w:val="%5."/>
      <w:lvlJc w:val="left"/>
      <w:pPr>
        <w:tabs>
          <w:tab w:val="num" w:pos="114"/>
        </w:tabs>
      </w:pPr>
      <w:rPr>
        <w:position w:val="0"/>
        <w:sz w:val="24"/>
        <w:szCs w:val="24"/>
        <w:rtl w:val="0"/>
        <w:lang w:val="pt-PT"/>
      </w:rPr>
    </w:lvl>
    <w:lvl w:ilvl="5">
      <w:start w:val="1"/>
      <w:numFmt w:val="lowerRoman"/>
      <w:lvlText w:val="%6."/>
      <w:lvlJc w:val="left"/>
      <w:pPr>
        <w:tabs>
          <w:tab w:val="num" w:pos="114"/>
        </w:tabs>
      </w:pPr>
      <w:rPr>
        <w:position w:val="0"/>
        <w:sz w:val="24"/>
        <w:szCs w:val="24"/>
        <w:rtl w:val="0"/>
        <w:lang w:val="pt-PT"/>
      </w:rPr>
    </w:lvl>
    <w:lvl w:ilvl="6">
      <w:start w:val="1"/>
      <w:numFmt w:val="decimal"/>
      <w:lvlText w:val="%7."/>
      <w:lvlJc w:val="left"/>
      <w:pPr>
        <w:tabs>
          <w:tab w:val="num" w:pos="114"/>
        </w:tabs>
      </w:pPr>
      <w:rPr>
        <w:position w:val="0"/>
        <w:sz w:val="24"/>
        <w:szCs w:val="24"/>
        <w:rtl w:val="0"/>
        <w:lang w:val="pt-PT"/>
      </w:rPr>
    </w:lvl>
    <w:lvl w:ilvl="7">
      <w:start w:val="1"/>
      <w:numFmt w:val="lowerLetter"/>
      <w:lvlText w:val="%8."/>
      <w:lvlJc w:val="left"/>
      <w:pPr>
        <w:tabs>
          <w:tab w:val="num" w:pos="114"/>
        </w:tabs>
      </w:pPr>
      <w:rPr>
        <w:position w:val="0"/>
        <w:sz w:val="24"/>
        <w:szCs w:val="24"/>
        <w:rtl w:val="0"/>
        <w:lang w:val="pt-PT"/>
      </w:rPr>
    </w:lvl>
    <w:lvl w:ilvl="8">
      <w:start w:val="1"/>
      <w:numFmt w:val="lowerRoman"/>
      <w:lvlText w:val="%9."/>
      <w:lvlJc w:val="left"/>
      <w:pPr>
        <w:tabs>
          <w:tab w:val="num" w:pos="114"/>
        </w:tabs>
      </w:pPr>
      <w:rPr>
        <w:position w:val="0"/>
        <w:sz w:val="24"/>
        <w:szCs w:val="24"/>
        <w:rtl w:val="0"/>
        <w:lang w:val="pt-PT"/>
      </w:rPr>
    </w:lvl>
  </w:abstractNum>
  <w:abstractNum w:abstractNumId="8">
    <w:nsid w:val="7E537A70"/>
    <w:multiLevelType w:val="multilevel"/>
    <w:tmpl w:val="DB72430A"/>
    <w:lvl w:ilvl="0">
      <w:start w:val="1"/>
      <w:numFmt w:val="lowerRoman"/>
      <w:lvlText w:val="(%1)"/>
      <w:lvlJc w:val="left"/>
      <w:pPr>
        <w:tabs>
          <w:tab w:val="num" w:pos="709"/>
        </w:tabs>
        <w:ind w:left="709" w:hanging="709"/>
      </w:pPr>
      <w:rPr>
        <w:position w:val="0"/>
        <w:sz w:val="24"/>
        <w:szCs w:val="24"/>
        <w:rtl w:val="0"/>
        <w:lang w:val="pt-PT"/>
      </w:rPr>
    </w:lvl>
    <w:lvl w:ilvl="1">
      <w:start w:val="1"/>
      <w:numFmt w:val="lowerLetter"/>
      <w:lvlText w:val="%2."/>
      <w:lvlJc w:val="left"/>
      <w:pPr>
        <w:tabs>
          <w:tab w:val="num" w:pos="114"/>
        </w:tabs>
      </w:pPr>
      <w:rPr>
        <w:position w:val="0"/>
        <w:sz w:val="24"/>
        <w:szCs w:val="24"/>
        <w:rtl w:val="0"/>
        <w:lang w:val="pt-PT"/>
      </w:rPr>
    </w:lvl>
    <w:lvl w:ilvl="2">
      <w:start w:val="1"/>
      <w:numFmt w:val="lowerRoman"/>
      <w:lvlText w:val="%3."/>
      <w:lvlJc w:val="left"/>
      <w:pPr>
        <w:tabs>
          <w:tab w:val="num" w:pos="114"/>
        </w:tabs>
      </w:pPr>
      <w:rPr>
        <w:position w:val="0"/>
        <w:sz w:val="24"/>
        <w:szCs w:val="24"/>
        <w:rtl w:val="0"/>
        <w:lang w:val="pt-PT"/>
      </w:rPr>
    </w:lvl>
    <w:lvl w:ilvl="3">
      <w:start w:val="1"/>
      <w:numFmt w:val="decimal"/>
      <w:lvlText w:val="%4."/>
      <w:lvlJc w:val="left"/>
      <w:pPr>
        <w:tabs>
          <w:tab w:val="num" w:pos="114"/>
        </w:tabs>
      </w:pPr>
      <w:rPr>
        <w:position w:val="0"/>
        <w:sz w:val="24"/>
        <w:szCs w:val="24"/>
        <w:rtl w:val="0"/>
        <w:lang w:val="pt-PT"/>
      </w:rPr>
    </w:lvl>
    <w:lvl w:ilvl="4">
      <w:start w:val="1"/>
      <w:numFmt w:val="lowerLetter"/>
      <w:lvlText w:val="%5."/>
      <w:lvlJc w:val="left"/>
      <w:pPr>
        <w:tabs>
          <w:tab w:val="num" w:pos="114"/>
        </w:tabs>
      </w:pPr>
      <w:rPr>
        <w:position w:val="0"/>
        <w:sz w:val="24"/>
        <w:szCs w:val="24"/>
        <w:rtl w:val="0"/>
        <w:lang w:val="pt-PT"/>
      </w:rPr>
    </w:lvl>
    <w:lvl w:ilvl="5">
      <w:start w:val="1"/>
      <w:numFmt w:val="lowerRoman"/>
      <w:lvlText w:val="%6."/>
      <w:lvlJc w:val="left"/>
      <w:pPr>
        <w:tabs>
          <w:tab w:val="num" w:pos="114"/>
        </w:tabs>
      </w:pPr>
      <w:rPr>
        <w:position w:val="0"/>
        <w:sz w:val="24"/>
        <w:szCs w:val="24"/>
        <w:rtl w:val="0"/>
        <w:lang w:val="pt-PT"/>
      </w:rPr>
    </w:lvl>
    <w:lvl w:ilvl="6">
      <w:start w:val="1"/>
      <w:numFmt w:val="decimal"/>
      <w:lvlText w:val="%7."/>
      <w:lvlJc w:val="left"/>
      <w:pPr>
        <w:tabs>
          <w:tab w:val="num" w:pos="114"/>
        </w:tabs>
      </w:pPr>
      <w:rPr>
        <w:position w:val="0"/>
        <w:sz w:val="24"/>
        <w:szCs w:val="24"/>
        <w:rtl w:val="0"/>
        <w:lang w:val="pt-PT"/>
      </w:rPr>
    </w:lvl>
    <w:lvl w:ilvl="7">
      <w:start w:val="1"/>
      <w:numFmt w:val="lowerLetter"/>
      <w:lvlText w:val="%8."/>
      <w:lvlJc w:val="left"/>
      <w:pPr>
        <w:tabs>
          <w:tab w:val="num" w:pos="114"/>
        </w:tabs>
      </w:pPr>
      <w:rPr>
        <w:position w:val="0"/>
        <w:sz w:val="24"/>
        <w:szCs w:val="24"/>
        <w:rtl w:val="0"/>
        <w:lang w:val="pt-PT"/>
      </w:rPr>
    </w:lvl>
    <w:lvl w:ilvl="8">
      <w:start w:val="1"/>
      <w:numFmt w:val="lowerRoman"/>
      <w:lvlText w:val="%9."/>
      <w:lvlJc w:val="left"/>
      <w:pPr>
        <w:tabs>
          <w:tab w:val="num" w:pos="114"/>
        </w:tabs>
      </w:pPr>
      <w:rPr>
        <w:position w:val="0"/>
        <w:sz w:val="24"/>
        <w:szCs w:val="24"/>
        <w:rtl w:val="0"/>
        <w:lang w:val="pt-PT"/>
      </w:rPr>
    </w:lvl>
  </w:abstractNum>
  <w:abstractNum w:abstractNumId="9">
    <w:nsid w:val="7F5A0236"/>
    <w:multiLevelType w:val="multilevel"/>
    <w:tmpl w:val="F6526DDE"/>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7"/>
  </w:num>
  <w:num w:numId="2">
    <w:abstractNumId w:val="6"/>
  </w:num>
  <w:num w:numId="3">
    <w:abstractNumId w:val="5"/>
  </w:num>
  <w:num w:numId="4">
    <w:abstractNumId w:val="4"/>
  </w:num>
  <w:num w:numId="5">
    <w:abstractNumId w:val="9"/>
  </w:num>
  <w:num w:numId="6">
    <w:abstractNumId w:val="2"/>
  </w:num>
  <w:num w:numId="7">
    <w:abstractNumId w:val="8"/>
  </w:num>
  <w:num w:numId="8">
    <w:abstractNumId w:val="1"/>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 w:id="1"/>
  </w:footnotePr>
  <w:endnotePr>
    <w:endnote w:id="-1"/>
    <w:endnote w:id="0"/>
  </w:endnotePr>
  <w:compat/>
  <w:rsids>
    <w:rsidRoot w:val="00D9084C"/>
    <w:rsid w:val="00005A1D"/>
    <w:rsid w:val="0001025D"/>
    <w:rsid w:val="0001458E"/>
    <w:rsid w:val="000154A4"/>
    <w:rsid w:val="000160B3"/>
    <w:rsid w:val="00026048"/>
    <w:rsid w:val="00026285"/>
    <w:rsid w:val="00034A9C"/>
    <w:rsid w:val="00040E6B"/>
    <w:rsid w:val="00040FBA"/>
    <w:rsid w:val="0004417E"/>
    <w:rsid w:val="00066C04"/>
    <w:rsid w:val="00075806"/>
    <w:rsid w:val="000827C3"/>
    <w:rsid w:val="000909E6"/>
    <w:rsid w:val="00092965"/>
    <w:rsid w:val="00094A6B"/>
    <w:rsid w:val="000A3377"/>
    <w:rsid w:val="000A349A"/>
    <w:rsid w:val="000A5536"/>
    <w:rsid w:val="000A5790"/>
    <w:rsid w:val="000B10F0"/>
    <w:rsid w:val="000B1AF9"/>
    <w:rsid w:val="000B2B54"/>
    <w:rsid w:val="000B2D11"/>
    <w:rsid w:val="000B3B37"/>
    <w:rsid w:val="000B78DE"/>
    <w:rsid w:val="000C11AF"/>
    <w:rsid w:val="000C207E"/>
    <w:rsid w:val="000C356C"/>
    <w:rsid w:val="000C6CBC"/>
    <w:rsid w:val="000D6065"/>
    <w:rsid w:val="000E0573"/>
    <w:rsid w:val="000E3C5C"/>
    <w:rsid w:val="000F1AC5"/>
    <w:rsid w:val="000F1B6C"/>
    <w:rsid w:val="000F6754"/>
    <w:rsid w:val="000F721D"/>
    <w:rsid w:val="000F732D"/>
    <w:rsid w:val="000F7738"/>
    <w:rsid w:val="001000E7"/>
    <w:rsid w:val="001003BB"/>
    <w:rsid w:val="0010656F"/>
    <w:rsid w:val="00106F38"/>
    <w:rsid w:val="00110888"/>
    <w:rsid w:val="0011143C"/>
    <w:rsid w:val="00111601"/>
    <w:rsid w:val="00113864"/>
    <w:rsid w:val="00122261"/>
    <w:rsid w:val="001249E9"/>
    <w:rsid w:val="00125C12"/>
    <w:rsid w:val="00135BD0"/>
    <w:rsid w:val="0014030C"/>
    <w:rsid w:val="00144249"/>
    <w:rsid w:val="00152F1D"/>
    <w:rsid w:val="00152F36"/>
    <w:rsid w:val="00153327"/>
    <w:rsid w:val="00161A68"/>
    <w:rsid w:val="00161D9F"/>
    <w:rsid w:val="001628F8"/>
    <w:rsid w:val="00162E91"/>
    <w:rsid w:val="00181C21"/>
    <w:rsid w:val="001A0389"/>
    <w:rsid w:val="001A0995"/>
    <w:rsid w:val="001A4799"/>
    <w:rsid w:val="001A71E8"/>
    <w:rsid w:val="001B08D9"/>
    <w:rsid w:val="001C2BA1"/>
    <w:rsid w:val="001C3009"/>
    <w:rsid w:val="001C45BF"/>
    <w:rsid w:val="001C5706"/>
    <w:rsid w:val="001C582D"/>
    <w:rsid w:val="001D2E51"/>
    <w:rsid w:val="001D47BE"/>
    <w:rsid w:val="001D57C9"/>
    <w:rsid w:val="001D5AAA"/>
    <w:rsid w:val="001E167B"/>
    <w:rsid w:val="001E3417"/>
    <w:rsid w:val="001E4402"/>
    <w:rsid w:val="001E5A0A"/>
    <w:rsid w:val="001E5A87"/>
    <w:rsid w:val="001E5AC4"/>
    <w:rsid w:val="001F0E8E"/>
    <w:rsid w:val="0020068A"/>
    <w:rsid w:val="00204560"/>
    <w:rsid w:val="002064C5"/>
    <w:rsid w:val="002069B7"/>
    <w:rsid w:val="0021198D"/>
    <w:rsid w:val="002139C8"/>
    <w:rsid w:val="00214CDC"/>
    <w:rsid w:val="002173D5"/>
    <w:rsid w:val="00217943"/>
    <w:rsid w:val="00221C0A"/>
    <w:rsid w:val="00223FA4"/>
    <w:rsid w:val="00225975"/>
    <w:rsid w:val="002276AD"/>
    <w:rsid w:val="00232EC9"/>
    <w:rsid w:val="00233FAD"/>
    <w:rsid w:val="0023793D"/>
    <w:rsid w:val="00240FB9"/>
    <w:rsid w:val="00254436"/>
    <w:rsid w:val="00261924"/>
    <w:rsid w:val="00261DEA"/>
    <w:rsid w:val="002626D3"/>
    <w:rsid w:val="00262A5D"/>
    <w:rsid w:val="00264339"/>
    <w:rsid w:val="002646B5"/>
    <w:rsid w:val="0026478B"/>
    <w:rsid w:val="0026645E"/>
    <w:rsid w:val="0027696B"/>
    <w:rsid w:val="00277D04"/>
    <w:rsid w:val="00280E12"/>
    <w:rsid w:val="00283CFE"/>
    <w:rsid w:val="00284471"/>
    <w:rsid w:val="0028705B"/>
    <w:rsid w:val="00287BB5"/>
    <w:rsid w:val="00287D58"/>
    <w:rsid w:val="00291F35"/>
    <w:rsid w:val="00297432"/>
    <w:rsid w:val="002A60CC"/>
    <w:rsid w:val="002A6133"/>
    <w:rsid w:val="002A7F74"/>
    <w:rsid w:val="002B1916"/>
    <w:rsid w:val="002C38C1"/>
    <w:rsid w:val="002D2036"/>
    <w:rsid w:val="002D452E"/>
    <w:rsid w:val="002D4FF4"/>
    <w:rsid w:val="002D5A6B"/>
    <w:rsid w:val="002D7A12"/>
    <w:rsid w:val="002E04A3"/>
    <w:rsid w:val="002E1582"/>
    <w:rsid w:val="002E621B"/>
    <w:rsid w:val="002F208E"/>
    <w:rsid w:val="002F613E"/>
    <w:rsid w:val="00300FA9"/>
    <w:rsid w:val="00301D2C"/>
    <w:rsid w:val="003034DE"/>
    <w:rsid w:val="00304F4E"/>
    <w:rsid w:val="00311883"/>
    <w:rsid w:val="003132FB"/>
    <w:rsid w:val="003239FB"/>
    <w:rsid w:val="003246CF"/>
    <w:rsid w:val="00327D69"/>
    <w:rsid w:val="003379CB"/>
    <w:rsid w:val="00341916"/>
    <w:rsid w:val="0034321D"/>
    <w:rsid w:val="003455D0"/>
    <w:rsid w:val="00347C86"/>
    <w:rsid w:val="003537DA"/>
    <w:rsid w:val="00353900"/>
    <w:rsid w:val="003728E9"/>
    <w:rsid w:val="00377C9B"/>
    <w:rsid w:val="00384110"/>
    <w:rsid w:val="00386266"/>
    <w:rsid w:val="00390C49"/>
    <w:rsid w:val="00392359"/>
    <w:rsid w:val="003933EF"/>
    <w:rsid w:val="00393803"/>
    <w:rsid w:val="00394E6F"/>
    <w:rsid w:val="00394E76"/>
    <w:rsid w:val="00394FA7"/>
    <w:rsid w:val="00395848"/>
    <w:rsid w:val="00396B6D"/>
    <w:rsid w:val="00396E55"/>
    <w:rsid w:val="003A0F3B"/>
    <w:rsid w:val="003A236D"/>
    <w:rsid w:val="003A4A99"/>
    <w:rsid w:val="003A74C7"/>
    <w:rsid w:val="003B0317"/>
    <w:rsid w:val="003B0355"/>
    <w:rsid w:val="003B534F"/>
    <w:rsid w:val="003B6F8B"/>
    <w:rsid w:val="003C68E0"/>
    <w:rsid w:val="003C71DB"/>
    <w:rsid w:val="003F1714"/>
    <w:rsid w:val="003F2F54"/>
    <w:rsid w:val="003F4E34"/>
    <w:rsid w:val="00401C41"/>
    <w:rsid w:val="00405B5E"/>
    <w:rsid w:val="00406B88"/>
    <w:rsid w:val="004108F5"/>
    <w:rsid w:val="00412411"/>
    <w:rsid w:val="00415EF6"/>
    <w:rsid w:val="004165E3"/>
    <w:rsid w:val="004202F2"/>
    <w:rsid w:val="00420AE8"/>
    <w:rsid w:val="00423075"/>
    <w:rsid w:val="004232F5"/>
    <w:rsid w:val="00424771"/>
    <w:rsid w:val="0042771C"/>
    <w:rsid w:val="0043229C"/>
    <w:rsid w:val="004353A1"/>
    <w:rsid w:val="00437EE2"/>
    <w:rsid w:val="00437F86"/>
    <w:rsid w:val="0044190F"/>
    <w:rsid w:val="00441954"/>
    <w:rsid w:val="0045063C"/>
    <w:rsid w:val="0045101E"/>
    <w:rsid w:val="004545DE"/>
    <w:rsid w:val="00454804"/>
    <w:rsid w:val="004551FD"/>
    <w:rsid w:val="00456F3B"/>
    <w:rsid w:val="00463827"/>
    <w:rsid w:val="00464D62"/>
    <w:rsid w:val="00465FF7"/>
    <w:rsid w:val="0047028A"/>
    <w:rsid w:val="004702FD"/>
    <w:rsid w:val="004712E2"/>
    <w:rsid w:val="00472F52"/>
    <w:rsid w:val="0047503B"/>
    <w:rsid w:val="00477226"/>
    <w:rsid w:val="00482C55"/>
    <w:rsid w:val="0048303D"/>
    <w:rsid w:val="00485E32"/>
    <w:rsid w:val="00490749"/>
    <w:rsid w:val="00494126"/>
    <w:rsid w:val="00494596"/>
    <w:rsid w:val="00495AFD"/>
    <w:rsid w:val="004A161A"/>
    <w:rsid w:val="004A1702"/>
    <w:rsid w:val="004A2E5D"/>
    <w:rsid w:val="004B1371"/>
    <w:rsid w:val="004B2698"/>
    <w:rsid w:val="004B479A"/>
    <w:rsid w:val="004B5568"/>
    <w:rsid w:val="004B781B"/>
    <w:rsid w:val="004C0927"/>
    <w:rsid w:val="004C3395"/>
    <w:rsid w:val="004C4AC3"/>
    <w:rsid w:val="004C6FB4"/>
    <w:rsid w:val="004D201C"/>
    <w:rsid w:val="004D4358"/>
    <w:rsid w:val="004D5548"/>
    <w:rsid w:val="004E424B"/>
    <w:rsid w:val="004E42AA"/>
    <w:rsid w:val="004F2376"/>
    <w:rsid w:val="004F40A1"/>
    <w:rsid w:val="00501E0E"/>
    <w:rsid w:val="00502D97"/>
    <w:rsid w:val="00502F0B"/>
    <w:rsid w:val="00505087"/>
    <w:rsid w:val="005059B3"/>
    <w:rsid w:val="00510692"/>
    <w:rsid w:val="00511926"/>
    <w:rsid w:val="00512C34"/>
    <w:rsid w:val="00513D87"/>
    <w:rsid w:val="00515FFF"/>
    <w:rsid w:val="00520FD0"/>
    <w:rsid w:val="00521E59"/>
    <w:rsid w:val="00522166"/>
    <w:rsid w:val="0052316D"/>
    <w:rsid w:val="00525933"/>
    <w:rsid w:val="00531B19"/>
    <w:rsid w:val="00533EEE"/>
    <w:rsid w:val="0053461F"/>
    <w:rsid w:val="00534BD1"/>
    <w:rsid w:val="005370CE"/>
    <w:rsid w:val="00537ABD"/>
    <w:rsid w:val="0054333C"/>
    <w:rsid w:val="0054443C"/>
    <w:rsid w:val="00544DB9"/>
    <w:rsid w:val="005511FD"/>
    <w:rsid w:val="005551D3"/>
    <w:rsid w:val="005607BA"/>
    <w:rsid w:val="00561468"/>
    <w:rsid w:val="00565011"/>
    <w:rsid w:val="00567869"/>
    <w:rsid w:val="0057164A"/>
    <w:rsid w:val="00573EC9"/>
    <w:rsid w:val="00576AF8"/>
    <w:rsid w:val="00577C3F"/>
    <w:rsid w:val="00580DD1"/>
    <w:rsid w:val="0058548F"/>
    <w:rsid w:val="0058683D"/>
    <w:rsid w:val="00595004"/>
    <w:rsid w:val="00596454"/>
    <w:rsid w:val="00597912"/>
    <w:rsid w:val="005A29B7"/>
    <w:rsid w:val="005B53BD"/>
    <w:rsid w:val="005B54BD"/>
    <w:rsid w:val="005B6FA7"/>
    <w:rsid w:val="005C224E"/>
    <w:rsid w:val="005C6B00"/>
    <w:rsid w:val="005D052D"/>
    <w:rsid w:val="005D39CC"/>
    <w:rsid w:val="005E6AD1"/>
    <w:rsid w:val="005F2800"/>
    <w:rsid w:val="00600942"/>
    <w:rsid w:val="00601704"/>
    <w:rsid w:val="006025C2"/>
    <w:rsid w:val="006044AE"/>
    <w:rsid w:val="0060683B"/>
    <w:rsid w:val="00606D03"/>
    <w:rsid w:val="00611A5B"/>
    <w:rsid w:val="00613A8A"/>
    <w:rsid w:val="006157FD"/>
    <w:rsid w:val="00621C10"/>
    <w:rsid w:val="00623058"/>
    <w:rsid w:val="00634184"/>
    <w:rsid w:val="00635994"/>
    <w:rsid w:val="00640AFE"/>
    <w:rsid w:val="00650E7B"/>
    <w:rsid w:val="0065291D"/>
    <w:rsid w:val="00654A7C"/>
    <w:rsid w:val="00655D75"/>
    <w:rsid w:val="00662A97"/>
    <w:rsid w:val="00673BC0"/>
    <w:rsid w:val="00675344"/>
    <w:rsid w:val="00686568"/>
    <w:rsid w:val="0069485C"/>
    <w:rsid w:val="00695FCA"/>
    <w:rsid w:val="006A0A0C"/>
    <w:rsid w:val="006A5FB4"/>
    <w:rsid w:val="006A73FE"/>
    <w:rsid w:val="006B07C6"/>
    <w:rsid w:val="006B0A15"/>
    <w:rsid w:val="006C40D2"/>
    <w:rsid w:val="006D0578"/>
    <w:rsid w:val="006D11E7"/>
    <w:rsid w:val="006D249F"/>
    <w:rsid w:val="006E4D3D"/>
    <w:rsid w:val="006E5886"/>
    <w:rsid w:val="006E628C"/>
    <w:rsid w:val="006E6BB8"/>
    <w:rsid w:val="006E77F5"/>
    <w:rsid w:val="006E7C94"/>
    <w:rsid w:val="006F5AB7"/>
    <w:rsid w:val="006F5DB8"/>
    <w:rsid w:val="007018A3"/>
    <w:rsid w:val="00702127"/>
    <w:rsid w:val="0070260F"/>
    <w:rsid w:val="007061B9"/>
    <w:rsid w:val="00714545"/>
    <w:rsid w:val="00714958"/>
    <w:rsid w:val="007249BC"/>
    <w:rsid w:val="00726710"/>
    <w:rsid w:val="00726BE0"/>
    <w:rsid w:val="00726D24"/>
    <w:rsid w:val="00741717"/>
    <w:rsid w:val="00743681"/>
    <w:rsid w:val="0074368D"/>
    <w:rsid w:val="00746AC6"/>
    <w:rsid w:val="00747398"/>
    <w:rsid w:val="00753EDE"/>
    <w:rsid w:val="007541E7"/>
    <w:rsid w:val="00763402"/>
    <w:rsid w:val="00764FCE"/>
    <w:rsid w:val="007761BE"/>
    <w:rsid w:val="007768BA"/>
    <w:rsid w:val="007816D1"/>
    <w:rsid w:val="00784B56"/>
    <w:rsid w:val="007858D7"/>
    <w:rsid w:val="00793EDF"/>
    <w:rsid w:val="00794CE5"/>
    <w:rsid w:val="00795381"/>
    <w:rsid w:val="00795407"/>
    <w:rsid w:val="00795505"/>
    <w:rsid w:val="0079644D"/>
    <w:rsid w:val="00796B1C"/>
    <w:rsid w:val="00796DB6"/>
    <w:rsid w:val="007A03C1"/>
    <w:rsid w:val="007A09CB"/>
    <w:rsid w:val="007A214F"/>
    <w:rsid w:val="007A7DC1"/>
    <w:rsid w:val="007B18FC"/>
    <w:rsid w:val="007B1ED8"/>
    <w:rsid w:val="007B38C7"/>
    <w:rsid w:val="007B6697"/>
    <w:rsid w:val="007B6D6D"/>
    <w:rsid w:val="007C329B"/>
    <w:rsid w:val="007C3344"/>
    <w:rsid w:val="007C62AA"/>
    <w:rsid w:val="007D303E"/>
    <w:rsid w:val="007D7777"/>
    <w:rsid w:val="007E0CB5"/>
    <w:rsid w:val="007E4E65"/>
    <w:rsid w:val="007E63DA"/>
    <w:rsid w:val="007F080D"/>
    <w:rsid w:val="007F44AF"/>
    <w:rsid w:val="00801A21"/>
    <w:rsid w:val="00802124"/>
    <w:rsid w:val="008021FC"/>
    <w:rsid w:val="0080319F"/>
    <w:rsid w:val="00805453"/>
    <w:rsid w:val="00806F96"/>
    <w:rsid w:val="00807DD0"/>
    <w:rsid w:val="00821A72"/>
    <w:rsid w:val="00822468"/>
    <w:rsid w:val="00823F37"/>
    <w:rsid w:val="008254EB"/>
    <w:rsid w:val="00825C63"/>
    <w:rsid w:val="00826B5F"/>
    <w:rsid w:val="00827412"/>
    <w:rsid w:val="00831256"/>
    <w:rsid w:val="00831A0F"/>
    <w:rsid w:val="00831CBB"/>
    <w:rsid w:val="00832FD2"/>
    <w:rsid w:val="00833004"/>
    <w:rsid w:val="00833B89"/>
    <w:rsid w:val="0083435F"/>
    <w:rsid w:val="008343E9"/>
    <w:rsid w:val="00834E5C"/>
    <w:rsid w:val="00834F5E"/>
    <w:rsid w:val="008410CA"/>
    <w:rsid w:val="00842927"/>
    <w:rsid w:val="00846C1F"/>
    <w:rsid w:val="00851943"/>
    <w:rsid w:val="008543FF"/>
    <w:rsid w:val="008628CB"/>
    <w:rsid w:val="008645F8"/>
    <w:rsid w:val="00865993"/>
    <w:rsid w:val="0086609E"/>
    <w:rsid w:val="00866ADA"/>
    <w:rsid w:val="008700BA"/>
    <w:rsid w:val="00872F75"/>
    <w:rsid w:val="008737DF"/>
    <w:rsid w:val="00877DF7"/>
    <w:rsid w:val="008838A4"/>
    <w:rsid w:val="008845E6"/>
    <w:rsid w:val="008848C0"/>
    <w:rsid w:val="0088690C"/>
    <w:rsid w:val="00890957"/>
    <w:rsid w:val="008932F6"/>
    <w:rsid w:val="00893B82"/>
    <w:rsid w:val="008972B4"/>
    <w:rsid w:val="008973FE"/>
    <w:rsid w:val="008A19F9"/>
    <w:rsid w:val="008A3960"/>
    <w:rsid w:val="008A489B"/>
    <w:rsid w:val="008A7AFD"/>
    <w:rsid w:val="008B159B"/>
    <w:rsid w:val="008B36DD"/>
    <w:rsid w:val="008B3B4F"/>
    <w:rsid w:val="008B4148"/>
    <w:rsid w:val="008B4602"/>
    <w:rsid w:val="008B5D52"/>
    <w:rsid w:val="008C1CC6"/>
    <w:rsid w:val="008C3B70"/>
    <w:rsid w:val="008C6298"/>
    <w:rsid w:val="008C6DEC"/>
    <w:rsid w:val="008D0DF5"/>
    <w:rsid w:val="008D2D7E"/>
    <w:rsid w:val="008D2F15"/>
    <w:rsid w:val="008D44A0"/>
    <w:rsid w:val="008D7342"/>
    <w:rsid w:val="008E1591"/>
    <w:rsid w:val="008E66FD"/>
    <w:rsid w:val="008E6F77"/>
    <w:rsid w:val="008F2219"/>
    <w:rsid w:val="008F63A8"/>
    <w:rsid w:val="008F66BD"/>
    <w:rsid w:val="00911F8C"/>
    <w:rsid w:val="00916942"/>
    <w:rsid w:val="0092011F"/>
    <w:rsid w:val="00930C2B"/>
    <w:rsid w:val="00930ECE"/>
    <w:rsid w:val="009328DC"/>
    <w:rsid w:val="00932FC6"/>
    <w:rsid w:val="00933AD8"/>
    <w:rsid w:val="009343BC"/>
    <w:rsid w:val="00935251"/>
    <w:rsid w:val="00936A8B"/>
    <w:rsid w:val="00940E4D"/>
    <w:rsid w:val="00950B6F"/>
    <w:rsid w:val="009552A9"/>
    <w:rsid w:val="00962CEB"/>
    <w:rsid w:val="0096356F"/>
    <w:rsid w:val="00965B69"/>
    <w:rsid w:val="009728B9"/>
    <w:rsid w:val="009740C3"/>
    <w:rsid w:val="009745EF"/>
    <w:rsid w:val="00976194"/>
    <w:rsid w:val="00990615"/>
    <w:rsid w:val="00993BA4"/>
    <w:rsid w:val="00997235"/>
    <w:rsid w:val="009A0457"/>
    <w:rsid w:val="009A04B2"/>
    <w:rsid w:val="009A1870"/>
    <w:rsid w:val="009A3011"/>
    <w:rsid w:val="009A631F"/>
    <w:rsid w:val="009B2AB8"/>
    <w:rsid w:val="009C73A3"/>
    <w:rsid w:val="009D2D0E"/>
    <w:rsid w:val="009D7836"/>
    <w:rsid w:val="009E230F"/>
    <w:rsid w:val="009E2922"/>
    <w:rsid w:val="009E2FD4"/>
    <w:rsid w:val="009E3FCE"/>
    <w:rsid w:val="009E55CF"/>
    <w:rsid w:val="009E770B"/>
    <w:rsid w:val="009F4800"/>
    <w:rsid w:val="009F5A3E"/>
    <w:rsid w:val="009F68BC"/>
    <w:rsid w:val="00A0562C"/>
    <w:rsid w:val="00A06CED"/>
    <w:rsid w:val="00A1355A"/>
    <w:rsid w:val="00A22B5B"/>
    <w:rsid w:val="00A2322E"/>
    <w:rsid w:val="00A3029A"/>
    <w:rsid w:val="00A35490"/>
    <w:rsid w:val="00A37920"/>
    <w:rsid w:val="00A42328"/>
    <w:rsid w:val="00A52074"/>
    <w:rsid w:val="00A53FBF"/>
    <w:rsid w:val="00A55C8F"/>
    <w:rsid w:val="00A5793E"/>
    <w:rsid w:val="00A72FEB"/>
    <w:rsid w:val="00A738BA"/>
    <w:rsid w:val="00A741CA"/>
    <w:rsid w:val="00A76D09"/>
    <w:rsid w:val="00A812FD"/>
    <w:rsid w:val="00A81614"/>
    <w:rsid w:val="00A81B24"/>
    <w:rsid w:val="00A8246D"/>
    <w:rsid w:val="00A83868"/>
    <w:rsid w:val="00A907D7"/>
    <w:rsid w:val="00A93F2F"/>
    <w:rsid w:val="00A9539C"/>
    <w:rsid w:val="00AA655A"/>
    <w:rsid w:val="00AB27AC"/>
    <w:rsid w:val="00AB2F70"/>
    <w:rsid w:val="00AB43BF"/>
    <w:rsid w:val="00AB7828"/>
    <w:rsid w:val="00AC1391"/>
    <w:rsid w:val="00AC70A3"/>
    <w:rsid w:val="00AD0A29"/>
    <w:rsid w:val="00AD1565"/>
    <w:rsid w:val="00AD75B1"/>
    <w:rsid w:val="00AE29B9"/>
    <w:rsid w:val="00AE4C84"/>
    <w:rsid w:val="00B00CD0"/>
    <w:rsid w:val="00B00D8A"/>
    <w:rsid w:val="00B01088"/>
    <w:rsid w:val="00B11D5C"/>
    <w:rsid w:val="00B11E2F"/>
    <w:rsid w:val="00B1442A"/>
    <w:rsid w:val="00B14EA6"/>
    <w:rsid w:val="00B16393"/>
    <w:rsid w:val="00B24361"/>
    <w:rsid w:val="00B260C2"/>
    <w:rsid w:val="00B26FC6"/>
    <w:rsid w:val="00B332B1"/>
    <w:rsid w:val="00B33636"/>
    <w:rsid w:val="00B6284C"/>
    <w:rsid w:val="00B708F9"/>
    <w:rsid w:val="00B77BBD"/>
    <w:rsid w:val="00B80CDA"/>
    <w:rsid w:val="00B844AF"/>
    <w:rsid w:val="00B86CF1"/>
    <w:rsid w:val="00B87134"/>
    <w:rsid w:val="00B9031A"/>
    <w:rsid w:val="00B9184D"/>
    <w:rsid w:val="00B919F5"/>
    <w:rsid w:val="00B91B46"/>
    <w:rsid w:val="00B94C8E"/>
    <w:rsid w:val="00B94DB3"/>
    <w:rsid w:val="00BA476E"/>
    <w:rsid w:val="00BA4D37"/>
    <w:rsid w:val="00BB0226"/>
    <w:rsid w:val="00BB0AFE"/>
    <w:rsid w:val="00BB1D7F"/>
    <w:rsid w:val="00BB31E0"/>
    <w:rsid w:val="00BC18C9"/>
    <w:rsid w:val="00BC2C3E"/>
    <w:rsid w:val="00BC33AC"/>
    <w:rsid w:val="00BC6346"/>
    <w:rsid w:val="00BC7130"/>
    <w:rsid w:val="00BC77C1"/>
    <w:rsid w:val="00BD06B1"/>
    <w:rsid w:val="00BD4061"/>
    <w:rsid w:val="00BD67E2"/>
    <w:rsid w:val="00BD69DC"/>
    <w:rsid w:val="00BE0204"/>
    <w:rsid w:val="00BE2830"/>
    <w:rsid w:val="00BE4385"/>
    <w:rsid w:val="00BE47DD"/>
    <w:rsid w:val="00BE4888"/>
    <w:rsid w:val="00BE4DD2"/>
    <w:rsid w:val="00BF3DF5"/>
    <w:rsid w:val="00BF7ED9"/>
    <w:rsid w:val="00C018D5"/>
    <w:rsid w:val="00C02FC2"/>
    <w:rsid w:val="00C0555B"/>
    <w:rsid w:val="00C056EB"/>
    <w:rsid w:val="00C06C5D"/>
    <w:rsid w:val="00C128C9"/>
    <w:rsid w:val="00C13298"/>
    <w:rsid w:val="00C21161"/>
    <w:rsid w:val="00C23D6E"/>
    <w:rsid w:val="00C25AD2"/>
    <w:rsid w:val="00C26A51"/>
    <w:rsid w:val="00C32A73"/>
    <w:rsid w:val="00C379CB"/>
    <w:rsid w:val="00C435BC"/>
    <w:rsid w:val="00C46026"/>
    <w:rsid w:val="00C514F8"/>
    <w:rsid w:val="00C51863"/>
    <w:rsid w:val="00C53361"/>
    <w:rsid w:val="00C62139"/>
    <w:rsid w:val="00C64550"/>
    <w:rsid w:val="00C6488F"/>
    <w:rsid w:val="00C64B39"/>
    <w:rsid w:val="00C66970"/>
    <w:rsid w:val="00C67446"/>
    <w:rsid w:val="00C70207"/>
    <w:rsid w:val="00C72DD6"/>
    <w:rsid w:val="00C73139"/>
    <w:rsid w:val="00C75872"/>
    <w:rsid w:val="00C76171"/>
    <w:rsid w:val="00C81D4B"/>
    <w:rsid w:val="00C85EA8"/>
    <w:rsid w:val="00C871CA"/>
    <w:rsid w:val="00C95919"/>
    <w:rsid w:val="00CB0D24"/>
    <w:rsid w:val="00CB1845"/>
    <w:rsid w:val="00CB19C6"/>
    <w:rsid w:val="00CB3B28"/>
    <w:rsid w:val="00CB3D8F"/>
    <w:rsid w:val="00CB3E82"/>
    <w:rsid w:val="00CC1A9A"/>
    <w:rsid w:val="00CC2D48"/>
    <w:rsid w:val="00CC6377"/>
    <w:rsid w:val="00CC6E99"/>
    <w:rsid w:val="00CD1BE7"/>
    <w:rsid w:val="00CE037D"/>
    <w:rsid w:val="00CE1357"/>
    <w:rsid w:val="00CE1618"/>
    <w:rsid w:val="00CE5584"/>
    <w:rsid w:val="00CE6D40"/>
    <w:rsid w:val="00CF0E3F"/>
    <w:rsid w:val="00CF50CD"/>
    <w:rsid w:val="00D02366"/>
    <w:rsid w:val="00D02D35"/>
    <w:rsid w:val="00D144C7"/>
    <w:rsid w:val="00D174F3"/>
    <w:rsid w:val="00D22A82"/>
    <w:rsid w:val="00D2341B"/>
    <w:rsid w:val="00D23AE3"/>
    <w:rsid w:val="00D23B2E"/>
    <w:rsid w:val="00D377CF"/>
    <w:rsid w:val="00D404F3"/>
    <w:rsid w:val="00D433B8"/>
    <w:rsid w:val="00D44E51"/>
    <w:rsid w:val="00D60CBF"/>
    <w:rsid w:val="00D66047"/>
    <w:rsid w:val="00D70B00"/>
    <w:rsid w:val="00D7245E"/>
    <w:rsid w:val="00D7547A"/>
    <w:rsid w:val="00D80C75"/>
    <w:rsid w:val="00D83EFC"/>
    <w:rsid w:val="00D85A96"/>
    <w:rsid w:val="00D85B20"/>
    <w:rsid w:val="00D8787A"/>
    <w:rsid w:val="00D9084C"/>
    <w:rsid w:val="00D91666"/>
    <w:rsid w:val="00D93417"/>
    <w:rsid w:val="00DA3FBE"/>
    <w:rsid w:val="00DB1E22"/>
    <w:rsid w:val="00DB32CB"/>
    <w:rsid w:val="00DC2975"/>
    <w:rsid w:val="00DC6A6D"/>
    <w:rsid w:val="00DD2EEB"/>
    <w:rsid w:val="00DD3894"/>
    <w:rsid w:val="00DD4FA1"/>
    <w:rsid w:val="00DD65F3"/>
    <w:rsid w:val="00DD6FE2"/>
    <w:rsid w:val="00DD7039"/>
    <w:rsid w:val="00DE2165"/>
    <w:rsid w:val="00DF237B"/>
    <w:rsid w:val="00DF32E3"/>
    <w:rsid w:val="00DF59D8"/>
    <w:rsid w:val="00E0103E"/>
    <w:rsid w:val="00E03B34"/>
    <w:rsid w:val="00E05C01"/>
    <w:rsid w:val="00E24FF3"/>
    <w:rsid w:val="00E26AB2"/>
    <w:rsid w:val="00E307BE"/>
    <w:rsid w:val="00E3144C"/>
    <w:rsid w:val="00E41A36"/>
    <w:rsid w:val="00E41B3B"/>
    <w:rsid w:val="00E42A57"/>
    <w:rsid w:val="00E455D1"/>
    <w:rsid w:val="00E46141"/>
    <w:rsid w:val="00E50CDF"/>
    <w:rsid w:val="00E5126A"/>
    <w:rsid w:val="00E536E8"/>
    <w:rsid w:val="00E548DC"/>
    <w:rsid w:val="00E55467"/>
    <w:rsid w:val="00E6191A"/>
    <w:rsid w:val="00E64E6C"/>
    <w:rsid w:val="00E65C25"/>
    <w:rsid w:val="00E67EBE"/>
    <w:rsid w:val="00E73C76"/>
    <w:rsid w:val="00E778B4"/>
    <w:rsid w:val="00E8670A"/>
    <w:rsid w:val="00E86A7C"/>
    <w:rsid w:val="00E87ED7"/>
    <w:rsid w:val="00E94B2A"/>
    <w:rsid w:val="00EA1B30"/>
    <w:rsid w:val="00EA61B7"/>
    <w:rsid w:val="00EA7B28"/>
    <w:rsid w:val="00EB0AC4"/>
    <w:rsid w:val="00EB24F0"/>
    <w:rsid w:val="00EB4D96"/>
    <w:rsid w:val="00EB56F0"/>
    <w:rsid w:val="00EC41F6"/>
    <w:rsid w:val="00EC72CD"/>
    <w:rsid w:val="00ED5DF3"/>
    <w:rsid w:val="00ED68CE"/>
    <w:rsid w:val="00EE2973"/>
    <w:rsid w:val="00EE7003"/>
    <w:rsid w:val="00EF032B"/>
    <w:rsid w:val="00EF0DB2"/>
    <w:rsid w:val="00EF2170"/>
    <w:rsid w:val="00EF2929"/>
    <w:rsid w:val="00EF2B8F"/>
    <w:rsid w:val="00EF7456"/>
    <w:rsid w:val="00EF7D56"/>
    <w:rsid w:val="00F04897"/>
    <w:rsid w:val="00F0572E"/>
    <w:rsid w:val="00F07AB6"/>
    <w:rsid w:val="00F1544A"/>
    <w:rsid w:val="00F2448F"/>
    <w:rsid w:val="00F24597"/>
    <w:rsid w:val="00F247B1"/>
    <w:rsid w:val="00F2589B"/>
    <w:rsid w:val="00F2798B"/>
    <w:rsid w:val="00F32C17"/>
    <w:rsid w:val="00F35015"/>
    <w:rsid w:val="00F42686"/>
    <w:rsid w:val="00F44763"/>
    <w:rsid w:val="00F45D35"/>
    <w:rsid w:val="00F51679"/>
    <w:rsid w:val="00F51971"/>
    <w:rsid w:val="00F51E66"/>
    <w:rsid w:val="00F53D3D"/>
    <w:rsid w:val="00F540C3"/>
    <w:rsid w:val="00F54907"/>
    <w:rsid w:val="00F551A0"/>
    <w:rsid w:val="00F55E1C"/>
    <w:rsid w:val="00F60C6B"/>
    <w:rsid w:val="00F6368A"/>
    <w:rsid w:val="00F65539"/>
    <w:rsid w:val="00F76780"/>
    <w:rsid w:val="00F81442"/>
    <w:rsid w:val="00F86CF5"/>
    <w:rsid w:val="00F927EE"/>
    <w:rsid w:val="00F92B77"/>
    <w:rsid w:val="00F93F61"/>
    <w:rsid w:val="00F96B9B"/>
    <w:rsid w:val="00FA6089"/>
    <w:rsid w:val="00FA60C9"/>
    <w:rsid w:val="00FB160D"/>
    <w:rsid w:val="00FB2F07"/>
    <w:rsid w:val="00FC0B68"/>
    <w:rsid w:val="00FC1FC1"/>
    <w:rsid w:val="00FC2523"/>
    <w:rsid w:val="00FC305A"/>
    <w:rsid w:val="00FD0809"/>
    <w:rsid w:val="00FD0A9A"/>
    <w:rsid w:val="00FD21B3"/>
    <w:rsid w:val="00FD51DD"/>
    <w:rsid w:val="00FE11CE"/>
    <w:rsid w:val="00FE6AD3"/>
    <w:rsid w:val="00FF11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084C"/>
    <w:rPr>
      <w:sz w:val="24"/>
      <w:szCs w:val="24"/>
      <w:lang w:val="en-US" w:eastAsia="en-US"/>
    </w:rPr>
  </w:style>
  <w:style w:type="paragraph" w:styleId="Ttulo1">
    <w:name w:val="heading 1"/>
    <w:next w:val="Ttulo2"/>
    <w:rsid w:val="00D9084C"/>
    <w:pPr>
      <w:keepNext/>
      <w:keepLines/>
      <w:tabs>
        <w:tab w:val="left" w:pos="709"/>
        <w:tab w:val="left" w:pos="851"/>
      </w:tabs>
      <w:spacing w:before="480" w:line="276" w:lineRule="auto"/>
      <w:outlineLvl w:val="0"/>
    </w:pPr>
    <w:rPr>
      <w:rFonts w:eastAsia="Times New Roman"/>
      <w:b/>
      <w:bCs/>
      <w:color w:val="000000"/>
      <w:sz w:val="24"/>
      <w:szCs w:val="24"/>
      <w:u w:color="000000"/>
      <w:lang w:val="pt-PT"/>
    </w:rPr>
  </w:style>
  <w:style w:type="paragraph" w:styleId="Ttulo2">
    <w:name w:val="heading 2"/>
    <w:next w:val="CorpoA"/>
    <w:rsid w:val="00D9084C"/>
    <w:pPr>
      <w:keepNext/>
      <w:keepLines/>
      <w:tabs>
        <w:tab w:val="left" w:pos="709"/>
        <w:tab w:val="left" w:pos="851"/>
      </w:tabs>
      <w:spacing w:before="200" w:line="276" w:lineRule="auto"/>
      <w:outlineLvl w:val="1"/>
    </w:pPr>
    <w:rPr>
      <w:rFonts w:eastAsia="Times New Roman"/>
      <w:b/>
      <w:bCs/>
      <w:color w:val="000000"/>
      <w:sz w:val="24"/>
      <w:szCs w:val="24"/>
      <w:u w:color="000000"/>
      <w:lang w:val="pt-PT"/>
    </w:rPr>
  </w:style>
  <w:style w:type="paragraph" w:styleId="Ttulo3">
    <w:name w:val="heading 3"/>
    <w:next w:val="CorpoA"/>
    <w:rsid w:val="00D9084C"/>
    <w:pPr>
      <w:keepNext/>
      <w:keepLines/>
      <w:tabs>
        <w:tab w:val="left" w:pos="709"/>
        <w:tab w:val="left" w:pos="851"/>
      </w:tabs>
      <w:spacing w:before="200" w:line="312" w:lineRule="auto"/>
      <w:outlineLvl w:val="2"/>
    </w:pPr>
    <w:rPr>
      <w:rFonts w:hAnsi="Arial Unicode MS" w:cs="Arial Unicode MS"/>
      <w:b/>
      <w:bCs/>
      <w:color w:val="000000"/>
      <w:sz w:val="24"/>
      <w:szCs w:val="24"/>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D9084C"/>
    <w:rPr>
      <w:u w:val="single"/>
    </w:rPr>
  </w:style>
  <w:style w:type="table" w:customStyle="1" w:styleId="TableNormal">
    <w:name w:val="Table Normal"/>
    <w:rsid w:val="00D9084C"/>
    <w:tblPr>
      <w:tblInd w:w="0" w:type="dxa"/>
      <w:tblCellMar>
        <w:top w:w="0" w:type="dxa"/>
        <w:left w:w="0" w:type="dxa"/>
        <w:bottom w:w="0" w:type="dxa"/>
        <w:right w:w="0" w:type="dxa"/>
      </w:tblCellMar>
    </w:tblPr>
  </w:style>
  <w:style w:type="paragraph" w:styleId="Cabealho">
    <w:name w:val="header"/>
    <w:rsid w:val="00D9084C"/>
    <w:pPr>
      <w:tabs>
        <w:tab w:val="center" w:pos="4252"/>
        <w:tab w:val="right" w:pos="8504"/>
      </w:tabs>
    </w:pPr>
    <w:rPr>
      <w:rFonts w:ascii="Calibri" w:eastAsia="Calibri" w:hAnsi="Calibri" w:cs="Calibri"/>
      <w:color w:val="000000"/>
      <w:sz w:val="22"/>
      <w:szCs w:val="22"/>
      <w:u w:color="000000"/>
      <w:lang w:val="pt-PT"/>
    </w:rPr>
  </w:style>
  <w:style w:type="paragraph" w:styleId="Rodap">
    <w:name w:val="footer"/>
    <w:rsid w:val="00D9084C"/>
    <w:pPr>
      <w:tabs>
        <w:tab w:val="center" w:pos="4252"/>
        <w:tab w:val="right" w:pos="8504"/>
      </w:tabs>
    </w:pPr>
    <w:rPr>
      <w:rFonts w:ascii="Calibri" w:eastAsia="Calibri" w:hAnsi="Calibri" w:cs="Calibri"/>
      <w:color w:val="000000"/>
      <w:sz w:val="22"/>
      <w:szCs w:val="22"/>
      <w:u w:color="000000"/>
      <w:lang w:val="pt-PT"/>
    </w:rPr>
  </w:style>
  <w:style w:type="paragraph" w:customStyle="1" w:styleId="CorpoA">
    <w:name w:val="Corpo A"/>
    <w:rsid w:val="00D9084C"/>
    <w:pPr>
      <w:spacing w:after="200" w:line="276" w:lineRule="auto"/>
    </w:pPr>
    <w:rPr>
      <w:rFonts w:ascii="Calibri" w:eastAsia="Calibri" w:hAnsi="Calibri" w:cs="Calibri"/>
      <w:color w:val="000000"/>
      <w:sz w:val="22"/>
      <w:szCs w:val="22"/>
      <w:u w:color="000000"/>
      <w:lang w:val="pt-PT"/>
    </w:rPr>
  </w:style>
  <w:style w:type="paragraph" w:customStyle="1" w:styleId="SDMTtulo2">
    <w:name w:val="SDM Título 2"/>
    <w:rsid w:val="00D9084C"/>
    <w:pPr>
      <w:keepNext/>
      <w:jc w:val="both"/>
    </w:pPr>
    <w:rPr>
      <w:rFonts w:hAnsi="Arial Unicode MS" w:cs="Arial Unicode MS"/>
      <w:b/>
      <w:bCs/>
      <w:color w:val="000000"/>
      <w:sz w:val="24"/>
      <w:szCs w:val="24"/>
      <w:u w:color="000000"/>
      <w:lang w:val="pt-PT"/>
    </w:rPr>
  </w:style>
  <w:style w:type="paragraph" w:styleId="Textodenotaderodap">
    <w:name w:val="footnote text"/>
    <w:rsid w:val="00D9084C"/>
    <w:rPr>
      <w:rFonts w:ascii="Calibri" w:eastAsia="Calibri" w:hAnsi="Calibri" w:cs="Calibri"/>
      <w:color w:val="000000"/>
      <w:u w:color="000000"/>
      <w:lang w:val="pt-PT"/>
    </w:rPr>
  </w:style>
  <w:style w:type="character" w:customStyle="1" w:styleId="Nenhum">
    <w:name w:val="Nenhum"/>
    <w:rsid w:val="00D9084C"/>
  </w:style>
  <w:style w:type="character" w:customStyle="1" w:styleId="Hyperlink0">
    <w:name w:val="Hyperlink.0"/>
    <w:basedOn w:val="Nenhum"/>
    <w:rsid w:val="00D9084C"/>
    <w:rPr>
      <w:color w:val="0000FF"/>
      <w:sz w:val="20"/>
      <w:szCs w:val="20"/>
      <w:u w:val="single" w:color="0000FF"/>
      <w:lang w:val="pt-PT"/>
    </w:rPr>
  </w:style>
  <w:style w:type="paragraph" w:customStyle="1" w:styleId="Default">
    <w:name w:val="Default"/>
    <w:rsid w:val="00D9084C"/>
    <w:rPr>
      <w:rFonts w:hAnsi="Arial Unicode MS" w:cs="Arial Unicode MS"/>
      <w:color w:val="000000"/>
      <w:sz w:val="24"/>
      <w:szCs w:val="24"/>
      <w:u w:color="000000"/>
      <w:lang w:val="pt-PT"/>
    </w:rPr>
  </w:style>
  <w:style w:type="numbering" w:customStyle="1" w:styleId="List0">
    <w:name w:val="List 0"/>
    <w:basedOn w:val="EstiloImportado1"/>
    <w:rsid w:val="00D9084C"/>
    <w:pPr>
      <w:numPr>
        <w:numId w:val="3"/>
      </w:numPr>
    </w:pPr>
  </w:style>
  <w:style w:type="numbering" w:customStyle="1" w:styleId="EstiloImportado1">
    <w:name w:val="Estilo Importado 1"/>
    <w:rsid w:val="00D9084C"/>
  </w:style>
  <w:style w:type="numbering" w:customStyle="1" w:styleId="List1">
    <w:name w:val="List 1"/>
    <w:basedOn w:val="EstiloImportado2"/>
    <w:rsid w:val="00D9084C"/>
    <w:pPr>
      <w:numPr>
        <w:numId w:val="6"/>
      </w:numPr>
    </w:pPr>
  </w:style>
  <w:style w:type="numbering" w:customStyle="1" w:styleId="EstiloImportado2">
    <w:name w:val="Estilo Importado 2"/>
    <w:rsid w:val="00D9084C"/>
  </w:style>
  <w:style w:type="numbering" w:customStyle="1" w:styleId="Lista21">
    <w:name w:val="Lista 21"/>
    <w:basedOn w:val="EstiloImportado3"/>
    <w:rsid w:val="00D9084C"/>
    <w:pPr>
      <w:numPr>
        <w:numId w:val="9"/>
      </w:numPr>
    </w:pPr>
  </w:style>
  <w:style w:type="numbering" w:customStyle="1" w:styleId="EstiloImportado3">
    <w:name w:val="Estilo Importado 3"/>
    <w:rsid w:val="00D9084C"/>
  </w:style>
  <w:style w:type="paragraph" w:styleId="Textodebalo">
    <w:name w:val="Balloon Text"/>
    <w:basedOn w:val="Normal"/>
    <w:link w:val="TextodebaloChar"/>
    <w:uiPriority w:val="99"/>
    <w:semiHidden/>
    <w:unhideWhenUsed/>
    <w:rsid w:val="00A35490"/>
    <w:rPr>
      <w:rFonts w:ascii="Tahoma" w:hAnsi="Tahoma" w:cs="Tahoma"/>
      <w:sz w:val="16"/>
      <w:szCs w:val="16"/>
    </w:rPr>
  </w:style>
  <w:style w:type="character" w:customStyle="1" w:styleId="TextodebaloChar">
    <w:name w:val="Texto de balão Char"/>
    <w:basedOn w:val="Fontepargpadro"/>
    <w:link w:val="Textodebalo"/>
    <w:uiPriority w:val="99"/>
    <w:semiHidden/>
    <w:rsid w:val="00A35490"/>
    <w:rPr>
      <w:rFonts w:ascii="Tahoma" w:hAnsi="Tahoma" w:cs="Tahoma"/>
      <w:sz w:val="16"/>
      <w:szCs w:val="16"/>
      <w:lang w:val="en-US" w:eastAsia="en-US"/>
    </w:rPr>
  </w:style>
  <w:style w:type="paragraph" w:styleId="Reviso">
    <w:name w:val="Revision"/>
    <w:hidden/>
    <w:uiPriority w:val="99"/>
    <w:semiHidden/>
    <w:rsid w:val="008343E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rte">
    <w:name w:val="Strong"/>
    <w:basedOn w:val="Fontepargpadro"/>
    <w:uiPriority w:val="22"/>
    <w:qFormat/>
    <w:rsid w:val="00EE7003"/>
    <w:rPr>
      <w:b/>
      <w:bCs/>
    </w:rPr>
  </w:style>
  <w:style w:type="paragraph" w:styleId="Ttulo">
    <w:name w:val="Title"/>
    <w:basedOn w:val="Normal"/>
    <w:link w:val="TtuloChar"/>
    <w:qFormat/>
    <w:rsid w:val="00C435B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bdr w:val="none" w:sz="0" w:space="0" w:color="auto"/>
      <w:lang w:val="pt-BR" w:eastAsia="pt-BR"/>
    </w:rPr>
  </w:style>
  <w:style w:type="character" w:customStyle="1" w:styleId="TtuloChar">
    <w:name w:val="Título Char"/>
    <w:basedOn w:val="Fontepargpadro"/>
    <w:link w:val="Ttulo"/>
    <w:rsid w:val="00C435BC"/>
    <w:rPr>
      <w:rFonts w:eastAsia="Times New Roman"/>
      <w:b/>
      <w:bCs/>
      <w:sz w:val="24"/>
      <w:szCs w:val="24"/>
      <w:bdr w:val="none" w:sz="0" w:space="0" w:color="auto"/>
    </w:rPr>
  </w:style>
  <w:style w:type="paragraph" w:styleId="PargrafodaLista">
    <w:name w:val="List Paragraph"/>
    <w:basedOn w:val="Normal"/>
    <w:uiPriority w:val="34"/>
    <w:qFormat/>
    <w:rsid w:val="00502F0B"/>
    <w:pPr>
      <w:ind w:left="720"/>
      <w:contextualSpacing/>
    </w:pPr>
  </w:style>
  <w:style w:type="paragraph" w:styleId="TextosemFormatao">
    <w:name w:val="Plain Text"/>
    <w:basedOn w:val="Normal"/>
    <w:link w:val="TextosemFormataoChar"/>
    <w:uiPriority w:val="99"/>
    <w:semiHidden/>
    <w:unhideWhenUsed/>
    <w:rsid w:val="00596454"/>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heme="minorHAnsi" w:hAnsi="Consolas" w:cstheme="minorBidi"/>
      <w:sz w:val="21"/>
      <w:szCs w:val="21"/>
      <w:bdr w:val="none" w:sz="0" w:space="0" w:color="auto"/>
      <w:lang w:val="pt-BR"/>
    </w:rPr>
  </w:style>
  <w:style w:type="character" w:customStyle="1" w:styleId="TextosemFormataoChar">
    <w:name w:val="Texto sem Formatação Char"/>
    <w:basedOn w:val="Fontepargpadro"/>
    <w:link w:val="TextosemFormatao"/>
    <w:uiPriority w:val="99"/>
    <w:semiHidden/>
    <w:rsid w:val="00596454"/>
    <w:rPr>
      <w:rFonts w:ascii="Consolas" w:eastAsiaTheme="minorHAnsi" w:hAnsi="Consolas" w:cstheme="minorBidi"/>
      <w:sz w:val="21"/>
      <w:szCs w:val="21"/>
      <w:bdr w:val="none" w:sz="0" w:space="0" w:color="auto"/>
      <w:lang w:eastAsia="en-US"/>
    </w:rPr>
  </w:style>
  <w:style w:type="character" w:customStyle="1" w:styleId="apple-converted-space">
    <w:name w:val="apple-converted-space"/>
    <w:basedOn w:val="Fontepargpadro"/>
    <w:rsid w:val="00AC1391"/>
  </w:style>
  <w:style w:type="character" w:styleId="Refdenotaderodap">
    <w:name w:val="footnote reference"/>
    <w:basedOn w:val="Fontepargpadro"/>
    <w:uiPriority w:val="99"/>
    <w:semiHidden/>
    <w:unhideWhenUsed/>
    <w:rsid w:val="00E05C01"/>
    <w:rPr>
      <w:vertAlign w:val="superscript"/>
    </w:rPr>
  </w:style>
  <w:style w:type="paragraph" w:styleId="Textoembloco">
    <w:name w:val="Block Text"/>
    <w:basedOn w:val="Normal"/>
    <w:uiPriority w:val="99"/>
    <w:rsid w:val="00233FA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804"/>
      </w:tabs>
      <w:spacing w:before="2" w:after="2" w:line="250" w:lineRule="auto"/>
      <w:ind w:left="336" w:right="57" w:hanging="279"/>
    </w:pPr>
    <w:rPr>
      <w:rFonts w:ascii="Arial" w:eastAsia="Times New Roman" w:hAnsi="Arial" w:cs="Arial"/>
      <w:sz w:val="20"/>
      <w:bdr w:val="none" w:sz="0" w:space="0" w:color="auto"/>
      <w:lang w:val="pt-PT" w:eastAsia="pt-BR"/>
    </w:rPr>
  </w:style>
</w:styles>
</file>

<file path=word/webSettings.xml><?xml version="1.0" encoding="utf-8"?>
<w:webSettings xmlns:r="http://schemas.openxmlformats.org/officeDocument/2006/relationships" xmlns:w="http://schemas.openxmlformats.org/wordprocessingml/2006/main">
  <w:divs>
    <w:div w:id="574171750">
      <w:bodyDiv w:val="1"/>
      <w:marLeft w:val="0"/>
      <w:marRight w:val="0"/>
      <w:marTop w:val="0"/>
      <w:marBottom w:val="0"/>
      <w:divBdr>
        <w:top w:val="none" w:sz="0" w:space="0" w:color="auto"/>
        <w:left w:val="none" w:sz="0" w:space="0" w:color="auto"/>
        <w:bottom w:val="none" w:sz="0" w:space="0" w:color="auto"/>
        <w:right w:val="none" w:sz="0" w:space="0" w:color="auto"/>
      </w:divBdr>
    </w:div>
    <w:div w:id="629286252">
      <w:bodyDiv w:val="1"/>
      <w:marLeft w:val="0"/>
      <w:marRight w:val="0"/>
      <w:marTop w:val="0"/>
      <w:marBottom w:val="0"/>
      <w:divBdr>
        <w:top w:val="none" w:sz="0" w:space="0" w:color="auto"/>
        <w:left w:val="none" w:sz="0" w:space="0" w:color="auto"/>
        <w:bottom w:val="none" w:sz="0" w:space="0" w:color="auto"/>
        <w:right w:val="none" w:sz="0" w:space="0" w:color="auto"/>
      </w:divBdr>
    </w:div>
    <w:div w:id="958682728">
      <w:bodyDiv w:val="1"/>
      <w:marLeft w:val="0"/>
      <w:marRight w:val="0"/>
      <w:marTop w:val="0"/>
      <w:marBottom w:val="0"/>
      <w:divBdr>
        <w:top w:val="none" w:sz="0" w:space="0" w:color="auto"/>
        <w:left w:val="none" w:sz="0" w:space="0" w:color="auto"/>
        <w:bottom w:val="none" w:sz="0" w:space="0" w:color="auto"/>
        <w:right w:val="none" w:sz="0" w:space="0" w:color="auto"/>
      </w:divBdr>
    </w:div>
    <w:div w:id="1577546400">
      <w:bodyDiv w:val="1"/>
      <w:marLeft w:val="0"/>
      <w:marRight w:val="0"/>
      <w:marTop w:val="0"/>
      <w:marBottom w:val="0"/>
      <w:divBdr>
        <w:top w:val="none" w:sz="0" w:space="0" w:color="auto"/>
        <w:left w:val="none" w:sz="0" w:space="0" w:color="auto"/>
        <w:bottom w:val="none" w:sz="0" w:space="0" w:color="auto"/>
        <w:right w:val="none" w:sz="0" w:space="0" w:color="auto"/>
      </w:divBdr>
    </w:div>
    <w:div w:id="1683170106">
      <w:bodyDiv w:val="1"/>
      <w:marLeft w:val="0"/>
      <w:marRight w:val="0"/>
      <w:marTop w:val="0"/>
      <w:marBottom w:val="0"/>
      <w:divBdr>
        <w:top w:val="none" w:sz="0" w:space="0" w:color="auto"/>
        <w:left w:val="none" w:sz="0" w:space="0" w:color="auto"/>
        <w:bottom w:val="none" w:sz="0" w:space="0" w:color="auto"/>
        <w:right w:val="none" w:sz="0" w:space="0" w:color="auto"/>
      </w:divBdr>
    </w:div>
    <w:div w:id="2032761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vm.gov.br/audiencias_publicas/sdm/2015/sdm011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F3D4D-2D2D-4AF7-A5DF-6E3DB5CF5CFA}">
  <ds:schemaRefs>
    <ds:schemaRef ds:uri="http://schemas.openxmlformats.org/officeDocument/2006/bibliography"/>
  </ds:schemaRefs>
</ds:datastoreItem>
</file>

<file path=customXml/itemProps2.xml><?xml version="1.0" encoding="utf-8"?>
<ds:datastoreItem xmlns:ds="http://schemas.openxmlformats.org/officeDocument/2006/customXml" ds:itemID="{3D467170-7359-48C6-9100-DC516CA3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6982</Words>
  <Characters>37707</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Hasler</dc:creator>
  <cp:lastModifiedBy>CVM</cp:lastModifiedBy>
  <cp:revision>2</cp:revision>
  <cp:lastPrinted>2015-06-18T15:27:00Z</cp:lastPrinted>
  <dcterms:created xsi:type="dcterms:W3CDTF">2015-07-31T14:40:00Z</dcterms:created>
  <dcterms:modified xsi:type="dcterms:W3CDTF">2015-07-31T14:40:00Z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gFAA9xAl/vizjZg+gfpVhoXBPQwpLZtIhvXsUKZsVE1WgZUucQO8lwmwisgRGjKtL7Yh9PO08vPqYpKy
xVbL+E0RYZxthUZtzftbTJ16p7kkpabOiCU5JbXP4n33iECs0NMFJXo1njgi4fS40WbO9a3yGsXC
N9W86H52Ix2gp9E0W/c/6G3Ssfngc/OsG8yO1P9bvMGsp899ZPEFFoQvSw5TxEROYGTzqrlOXD7K
4MM4ZDp9GBm89gMV6</vt:lpwstr>
  </property>
  <property fmtid="{D5CDD505-2E9C-101B-9397-08002B2CF9AE}" pid="3" name="MAIL_MSG_ID2">
    <vt:lpwstr>NFYttUXeJ4bd1RRmWUi48RIcCRUxckWnHWUnhhI3BQtHxt4L+dB/WnUnIwd
MbHfP9OAXKi97SzJyDL2V2Gam10w7OMZQhw3Dw==</vt:lpwstr>
  </property>
  <property fmtid="{D5CDD505-2E9C-101B-9397-08002B2CF9AE}" pid="4" name="RESPONSE_SENDER_NAME">
    <vt:lpwstr>4AAA6DouqOs9baEHOvu8W3CEw3WD0IcV5ncOsIrDqNKFcuxSki+HvVcyeg==</vt:lpwstr>
  </property>
  <property fmtid="{D5CDD505-2E9C-101B-9397-08002B2CF9AE}" pid="5" name="EMAIL_OWNER_ADDRESS">
    <vt:lpwstr>sAAA2RgG6J6jCJ1//jjw5Zw8yz+TDinkBfmLbbyHgj9OdPo=</vt:lpwstr>
  </property>
</Properties>
</file>