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7E0D" w14:textId="77777777" w:rsidR="00C22E67" w:rsidRDefault="000A0BC2">
      <w:pPr>
        <w:pStyle w:val="Ttulo"/>
        <w:rPr>
          <w:sz w:val="42"/>
          <w:szCs w:val="42"/>
        </w:rPr>
      </w:pPr>
      <w:r>
        <w:rPr>
          <w:sz w:val="42"/>
          <w:szCs w:val="42"/>
        </w:rPr>
        <w:t>Relatório de status de execução de compromisso</w:t>
      </w:r>
    </w:p>
    <w:p w14:paraId="34F6B82D" w14:textId="77777777" w:rsidR="00C22E67" w:rsidRDefault="000A0BC2">
      <w:pPr>
        <w:pStyle w:val="ttulo1"/>
      </w:pPr>
      <w:r>
        <w:t>Resumo do compromisso</w:t>
      </w:r>
    </w:p>
    <w:tbl>
      <w:tblPr>
        <w:tblStyle w:val="Tabeladorelatriodestatus"/>
        <w:tblW w:w="5000" w:type="pct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61"/>
        <w:gridCol w:w="3546"/>
        <w:gridCol w:w="3534"/>
      </w:tblGrid>
      <w:tr w:rsidR="00C22E67" w14:paraId="2C03195E" w14:textId="77777777" w:rsidTr="00C22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046F0F" w14:textId="77777777" w:rsidR="00C22E67" w:rsidRDefault="000A0BC2">
            <w:r>
              <w:t>Data do relatório</w:t>
            </w:r>
          </w:p>
        </w:tc>
        <w:tc>
          <w:tcPr>
            <w:tcW w:w="3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25950C" w14:textId="77777777" w:rsidR="00C22E67" w:rsidRDefault="000A0BC2">
            <w:r>
              <w:t>compromisso</w:t>
            </w:r>
          </w:p>
        </w:tc>
        <w:tc>
          <w:tcPr>
            <w:tcW w:w="3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D3DE48" w14:textId="77777777" w:rsidR="00C22E67" w:rsidRDefault="000A0BC2">
            <w:r>
              <w:t>Preparado por</w:t>
            </w:r>
          </w:p>
        </w:tc>
      </w:tr>
      <w:tr w:rsidR="006A2265" w:rsidRPr="006A2265" w14:paraId="3B67527B" w14:textId="77777777" w:rsidTr="00C22E67"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1013F" w14:textId="781608BE" w:rsidR="00C22E67" w:rsidRPr="006A2265" w:rsidRDefault="00430A4F">
            <w:pPr>
              <w:rPr>
                <w:rFonts w:asciiTheme="majorHAnsi" w:hAnsiTheme="majorHAnsi"/>
                <w:color w:val="auto"/>
              </w:rPr>
            </w:pPr>
            <w:sdt>
              <w:sdtPr>
                <w:rPr>
                  <w:color w:val="auto"/>
                </w:rPr>
                <w:id w:val="1043798674"/>
                <w:date w:fullDate="2021-06-15T00:00:00Z">
                  <w:dateFormat w:val="d 'de' MMMM 'de' 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07CF8">
                  <w:rPr>
                    <w:color w:val="auto"/>
                  </w:rPr>
                  <w:t>15 de junho de 2021</w:t>
                </w:r>
              </w:sdtContent>
            </w:sdt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C9760C" w14:textId="77777777" w:rsidR="00C22E67" w:rsidRPr="006A2265" w:rsidRDefault="000A0BC2">
            <w:pPr>
              <w:rPr>
                <w:rFonts w:asciiTheme="majorHAnsi" w:hAnsiTheme="majorHAnsi"/>
                <w:color w:val="auto"/>
              </w:rPr>
            </w:pPr>
            <w:r w:rsidRPr="006A2265">
              <w:rPr>
                <w:rFonts w:asciiTheme="majorHAnsi" w:hAnsiTheme="majorHAnsi"/>
                <w:color w:val="auto"/>
              </w:rPr>
              <w:t xml:space="preserve">Compromisso 8. </w:t>
            </w:r>
            <w:r w:rsidRPr="006A2265">
              <w:rPr>
                <w:rFonts w:asciiTheme="majorHAnsi" w:hAnsiTheme="majorHAnsi"/>
                <w:b/>
                <w:color w:val="auto"/>
              </w:rPr>
              <w:t>Implementar as bases cadastrais rurais (Cadastro Nacional de Imóveis Rurais - CNIR) e urbanas de forma integrada, disponibilizando os dados à sociedade, com vistas à operacionalização do Sistema Nacional de Gestão de Informações Territoriais (SINTER)</w:t>
            </w:r>
            <w:r w:rsidR="00B94D82">
              <w:rPr>
                <w:rFonts w:asciiTheme="majorHAnsi" w:hAnsiTheme="majorHAnsi"/>
                <w:b/>
                <w:color w:val="auto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C291FC" w14:textId="59351333" w:rsidR="00C22E67" w:rsidRPr="006A2265" w:rsidRDefault="00FB79E1" w:rsidP="00412EDB">
            <w:pPr>
              <w:rPr>
                <w:rFonts w:asciiTheme="majorHAnsi" w:hAnsiTheme="majorHAnsi"/>
                <w:color w:val="auto"/>
              </w:rPr>
            </w:pPr>
            <w:r w:rsidRPr="006A2265">
              <w:rPr>
                <w:rFonts w:asciiTheme="majorHAnsi" w:hAnsiTheme="majorHAnsi"/>
                <w:color w:val="auto"/>
              </w:rPr>
              <w:t>Celso</w:t>
            </w:r>
            <w:r w:rsidR="00364B9D">
              <w:rPr>
                <w:rFonts w:asciiTheme="majorHAnsi" w:hAnsiTheme="majorHAnsi"/>
                <w:color w:val="auto"/>
              </w:rPr>
              <w:t xml:space="preserve"> Menezes de Souza – Coordenador-</w:t>
            </w:r>
            <w:r w:rsidRPr="006A2265">
              <w:rPr>
                <w:rFonts w:asciiTheme="majorHAnsi" w:hAnsiTheme="majorHAnsi"/>
                <w:color w:val="auto"/>
              </w:rPr>
              <w:t xml:space="preserve">Geral de </w:t>
            </w:r>
            <w:r w:rsidR="00412EDB">
              <w:rPr>
                <w:rFonts w:asciiTheme="majorHAnsi" w:hAnsiTheme="majorHAnsi"/>
                <w:color w:val="auto"/>
              </w:rPr>
              <w:t>Regularização Fundiária (DFR</w:t>
            </w:r>
            <w:r w:rsidRPr="006A2265">
              <w:rPr>
                <w:rFonts w:asciiTheme="majorHAnsi" w:hAnsiTheme="majorHAnsi"/>
                <w:color w:val="auto"/>
              </w:rPr>
              <w:t>/INCRA).</w:t>
            </w:r>
          </w:p>
        </w:tc>
      </w:tr>
    </w:tbl>
    <w:p w14:paraId="05D3FBAC" w14:textId="77777777" w:rsidR="00C22E67" w:rsidRDefault="000A0BC2">
      <w:pPr>
        <w:pStyle w:val="ttulo1"/>
      </w:pPr>
      <w:r>
        <w:t>Órgão Responsável e entidades Participantes</w:t>
      </w:r>
    </w:p>
    <w:p w14:paraId="306AB7CC" w14:textId="77777777" w:rsidR="00C22E67" w:rsidRDefault="00C22E67">
      <w:pPr>
        <w:rPr>
          <w:rFonts w:asciiTheme="majorHAnsi" w:hAnsiTheme="majorHAnsi"/>
        </w:rPr>
      </w:pPr>
    </w:p>
    <w:tbl>
      <w:tblPr>
        <w:tblStyle w:val="Tabeladorelatriodestatus"/>
        <w:tblW w:w="5000" w:type="pct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1276"/>
        <w:gridCol w:w="6625"/>
      </w:tblGrid>
      <w:tr w:rsidR="00C22E67" w14:paraId="740AC08D" w14:textId="77777777" w:rsidTr="00C22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9DD70" w14:textId="77777777" w:rsidR="00C22E67" w:rsidRDefault="000A0BC2">
            <w:pPr>
              <w:rPr>
                <w:rFonts w:ascii="Calibri" w:hAnsi="Calibri"/>
              </w:rPr>
            </w:pPr>
            <w:r>
              <w:rPr>
                <w:rFonts w:ascii="Calibri" w:hAnsi="Calibri"/>
                <w:caps w:val="0"/>
              </w:rPr>
              <w:t>Órgão coordenador</w:t>
            </w:r>
          </w:p>
        </w:tc>
        <w:tc>
          <w:tcPr>
            <w:tcW w:w="66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50BA60" w14:textId="77777777" w:rsidR="00C22E67" w:rsidRDefault="000A0BC2">
            <w:pPr>
              <w:rPr>
                <w:rFonts w:ascii="Calibri" w:hAnsi="Calibri"/>
              </w:rPr>
            </w:pPr>
            <w:r>
              <w:rPr>
                <w:rFonts w:ascii="Calibri" w:hAnsi="Calibri"/>
                <w:caps w:val="0"/>
              </w:rPr>
              <w:t>Instituto Nacional de Colonização e Reforma Agrária – INCRA</w:t>
            </w:r>
          </w:p>
        </w:tc>
      </w:tr>
      <w:tr w:rsidR="006A2265" w:rsidRPr="006A2265" w14:paraId="425AA34F" w14:textId="77777777" w:rsidTr="00C22E67">
        <w:tc>
          <w:tcPr>
            <w:tcW w:w="1841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9CC98" w14:textId="77777777" w:rsidR="00C22E67" w:rsidRPr="006A2265" w:rsidRDefault="000A0BC2">
            <w:pPr>
              <w:rPr>
                <w:rFonts w:asciiTheme="majorHAnsi" w:hAnsiTheme="majorHAnsi"/>
                <w:color w:val="auto"/>
              </w:rPr>
            </w:pPr>
            <w:r w:rsidRPr="006A2265">
              <w:rPr>
                <w:rFonts w:asciiTheme="majorHAnsi" w:hAnsiTheme="majorHAnsi"/>
                <w:color w:val="auto"/>
              </w:rPr>
              <w:t>Atores Envolvidos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7AC84C" w14:textId="77777777" w:rsidR="00C22E67" w:rsidRPr="006A2265" w:rsidRDefault="000A0BC2">
            <w:pPr>
              <w:jc w:val="both"/>
              <w:rPr>
                <w:rFonts w:asciiTheme="majorHAnsi" w:hAnsiTheme="majorHAnsi"/>
                <w:color w:val="auto"/>
              </w:rPr>
            </w:pPr>
            <w:r w:rsidRPr="006A2265">
              <w:rPr>
                <w:rFonts w:asciiTheme="majorHAnsi" w:hAnsiTheme="majorHAnsi"/>
                <w:color w:val="auto"/>
              </w:rPr>
              <w:t>Governo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62E6BA" w14:textId="11B9DAC4" w:rsidR="00C22E67" w:rsidRPr="006A2265" w:rsidRDefault="000A0BC2">
            <w:pPr>
              <w:rPr>
                <w:rFonts w:asciiTheme="majorHAnsi" w:hAnsiTheme="majorHAnsi"/>
                <w:color w:val="auto"/>
              </w:rPr>
            </w:pPr>
            <w:r w:rsidRPr="00430A4F">
              <w:rPr>
                <w:rFonts w:asciiTheme="majorHAnsi" w:hAnsiTheme="majorHAnsi"/>
                <w:color w:val="auto"/>
              </w:rPr>
              <w:t>Ministério d</w:t>
            </w:r>
            <w:r w:rsidR="00364B9D" w:rsidRPr="00430A4F">
              <w:rPr>
                <w:rFonts w:asciiTheme="majorHAnsi" w:hAnsiTheme="majorHAnsi"/>
                <w:color w:val="auto"/>
              </w:rPr>
              <w:t>a</w:t>
            </w:r>
            <w:r w:rsidRPr="00430A4F">
              <w:rPr>
                <w:rFonts w:asciiTheme="majorHAnsi" w:hAnsiTheme="majorHAnsi"/>
                <w:color w:val="auto"/>
              </w:rPr>
              <w:t xml:space="preserve"> </w:t>
            </w:r>
            <w:r w:rsidR="00364B9D" w:rsidRPr="00430A4F">
              <w:rPr>
                <w:rFonts w:asciiTheme="majorHAnsi" w:hAnsiTheme="majorHAnsi"/>
                <w:color w:val="auto"/>
              </w:rPr>
              <w:t>Agricultura, Pecuária e Abastecimento - MAPA</w:t>
            </w:r>
          </w:p>
          <w:p w14:paraId="1A3A1C41" w14:textId="77777777" w:rsidR="00C22E67" w:rsidRPr="006A2265" w:rsidRDefault="000A0BC2">
            <w:pPr>
              <w:rPr>
                <w:rFonts w:asciiTheme="majorHAnsi" w:hAnsiTheme="majorHAnsi"/>
                <w:color w:val="auto"/>
              </w:rPr>
            </w:pPr>
            <w:r w:rsidRPr="006A2265">
              <w:rPr>
                <w:rFonts w:asciiTheme="majorHAnsi" w:hAnsiTheme="majorHAnsi"/>
                <w:color w:val="auto"/>
              </w:rPr>
              <w:t>Secretaria da Receita Federal</w:t>
            </w:r>
          </w:p>
        </w:tc>
      </w:tr>
      <w:tr w:rsidR="00C22E67" w14:paraId="033869C9" w14:textId="77777777" w:rsidTr="00C22E67">
        <w:tc>
          <w:tcPr>
            <w:tcW w:w="1841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37E24B" w14:textId="77777777" w:rsidR="00C22E67" w:rsidRDefault="00C22E6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F133DC" w14:textId="77777777" w:rsidR="00C22E67" w:rsidRPr="006A2265" w:rsidRDefault="000A0BC2">
            <w:pPr>
              <w:jc w:val="both"/>
              <w:rPr>
                <w:rFonts w:asciiTheme="majorHAnsi" w:hAnsiTheme="majorHAnsi"/>
                <w:color w:val="auto"/>
              </w:rPr>
            </w:pPr>
            <w:r w:rsidRPr="006A2265">
              <w:rPr>
                <w:rFonts w:asciiTheme="majorHAnsi" w:hAnsiTheme="majorHAnsi"/>
                <w:color w:val="auto"/>
              </w:rPr>
              <w:t>Sociedade Civil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5F45E2" w14:textId="77777777" w:rsidR="00C22E67" w:rsidRPr="006A2265" w:rsidRDefault="000A0BC2">
            <w:pPr>
              <w:rPr>
                <w:rFonts w:asciiTheme="majorHAnsi" w:hAnsiTheme="majorHAnsi"/>
                <w:color w:val="auto"/>
              </w:rPr>
            </w:pPr>
            <w:r w:rsidRPr="006A2265">
              <w:rPr>
                <w:rFonts w:asciiTheme="majorHAnsi" w:hAnsiTheme="majorHAnsi"/>
                <w:color w:val="auto"/>
              </w:rPr>
              <w:t>Observatório do código Florestal – OCF</w:t>
            </w:r>
          </w:p>
          <w:p w14:paraId="3E08A31A" w14:textId="77777777" w:rsidR="00C22E67" w:rsidRPr="006A2265" w:rsidRDefault="000A0BC2">
            <w:pPr>
              <w:rPr>
                <w:rFonts w:asciiTheme="majorHAnsi" w:hAnsiTheme="majorHAnsi"/>
                <w:color w:val="auto"/>
              </w:rPr>
            </w:pPr>
            <w:r w:rsidRPr="006A2265">
              <w:rPr>
                <w:rFonts w:asciiTheme="majorHAnsi" w:hAnsiTheme="majorHAnsi"/>
                <w:color w:val="auto"/>
              </w:rPr>
              <w:t>Universidade de Campinas – Unicamp</w:t>
            </w:r>
          </w:p>
          <w:p w14:paraId="6C65F888" w14:textId="77777777" w:rsidR="00C22E67" w:rsidRPr="006A2265" w:rsidRDefault="000A0BC2">
            <w:pPr>
              <w:rPr>
                <w:rFonts w:asciiTheme="majorHAnsi" w:hAnsiTheme="majorHAnsi"/>
                <w:color w:val="auto"/>
              </w:rPr>
            </w:pPr>
            <w:r w:rsidRPr="006A2265">
              <w:rPr>
                <w:rFonts w:asciiTheme="majorHAnsi" w:hAnsiTheme="majorHAnsi"/>
                <w:color w:val="auto"/>
              </w:rPr>
              <w:t>Associação Brasileira de Reforma Agrária – ABRA</w:t>
            </w:r>
          </w:p>
          <w:p w14:paraId="1EFC5C50" w14:textId="77777777" w:rsidR="00C22E67" w:rsidRPr="006A2265" w:rsidRDefault="000A0BC2">
            <w:pPr>
              <w:rPr>
                <w:rFonts w:asciiTheme="majorHAnsi" w:hAnsiTheme="majorHAnsi"/>
                <w:color w:val="auto"/>
              </w:rPr>
            </w:pPr>
            <w:r w:rsidRPr="006A2265">
              <w:rPr>
                <w:rFonts w:asciiTheme="majorHAnsi" w:hAnsiTheme="majorHAnsi"/>
                <w:color w:val="auto"/>
              </w:rPr>
              <w:t>Confederação Nacional da Agricultura – CNA</w:t>
            </w:r>
          </w:p>
          <w:p w14:paraId="526E39E9" w14:textId="77777777" w:rsidR="00C22E67" w:rsidRPr="006A2265" w:rsidRDefault="000A0BC2">
            <w:pPr>
              <w:rPr>
                <w:rFonts w:asciiTheme="majorHAnsi" w:hAnsiTheme="majorHAnsi"/>
                <w:color w:val="auto"/>
              </w:rPr>
            </w:pPr>
            <w:r w:rsidRPr="006A2265">
              <w:rPr>
                <w:rFonts w:asciiTheme="majorHAnsi" w:hAnsiTheme="majorHAnsi"/>
                <w:color w:val="auto"/>
              </w:rPr>
              <w:t>Organização das Nações Unidas para Agricultura e Alimentação na América Latina e Caribe – FAO</w:t>
            </w:r>
          </w:p>
          <w:p w14:paraId="69B0791B" w14:textId="77777777" w:rsidR="00C22E67" w:rsidRPr="006A2265" w:rsidRDefault="000A0BC2">
            <w:pPr>
              <w:rPr>
                <w:rFonts w:asciiTheme="majorHAnsi" w:hAnsiTheme="majorHAnsi"/>
                <w:color w:val="auto"/>
              </w:rPr>
            </w:pPr>
            <w:r w:rsidRPr="006A2265">
              <w:rPr>
                <w:rFonts w:asciiTheme="majorHAnsi" w:hAnsiTheme="majorHAnsi"/>
                <w:color w:val="auto"/>
              </w:rPr>
              <w:t>Instituto de Pesquisa Ambiental da Amazônia – IPAM</w:t>
            </w:r>
          </w:p>
          <w:p w14:paraId="3222FC5E" w14:textId="77777777" w:rsidR="00C22E67" w:rsidRPr="006A2265" w:rsidRDefault="000A0BC2">
            <w:pPr>
              <w:rPr>
                <w:rFonts w:asciiTheme="majorHAnsi" w:hAnsiTheme="majorHAnsi"/>
                <w:color w:val="auto"/>
              </w:rPr>
            </w:pPr>
            <w:r w:rsidRPr="006A2265">
              <w:rPr>
                <w:rFonts w:asciiTheme="majorHAnsi" w:hAnsiTheme="majorHAnsi"/>
                <w:color w:val="auto"/>
              </w:rPr>
              <w:t>Instituto de Manejo e Certificação Florestal e Agrícola – IMAFLORA</w:t>
            </w:r>
          </w:p>
        </w:tc>
      </w:tr>
    </w:tbl>
    <w:p w14:paraId="263EEA03" w14:textId="77777777" w:rsidR="00C22E67" w:rsidRDefault="00C22E67">
      <w:pPr>
        <w:rPr>
          <w:rFonts w:asciiTheme="majorHAnsi" w:hAnsiTheme="majorHAnsi"/>
        </w:rPr>
      </w:pPr>
    </w:p>
    <w:p w14:paraId="56A42C17" w14:textId="77777777" w:rsidR="00C22E67" w:rsidRDefault="000A0BC2">
      <w:pPr>
        <w:pStyle w:val="ttulo1"/>
      </w:pPr>
      <w:r>
        <w:t>VISÃO GERAL DO COMPROMISSO</w:t>
      </w:r>
    </w:p>
    <w:p w14:paraId="733C4545" w14:textId="77777777" w:rsidR="00C22E67" w:rsidRPr="006A2265" w:rsidRDefault="000A0BC2">
      <w:pPr>
        <w:rPr>
          <w:rFonts w:asciiTheme="majorHAnsi" w:hAnsiTheme="majorHAnsi"/>
          <w:color w:val="auto"/>
        </w:rPr>
      </w:pPr>
      <w:r w:rsidRPr="006A2265">
        <w:rPr>
          <w:rFonts w:asciiTheme="majorHAnsi" w:hAnsiTheme="majorHAnsi"/>
          <w:color w:val="auto"/>
        </w:rPr>
        <w:t>Implementação de base cadastral única de imóvel, urbano e rural, de forma a disponibilizar dados à sociedade por meio do Sistema Nacional de Gestão de Informações Territoriais – SINTER, garantindo assim, a transparência fundiária.</w:t>
      </w:r>
    </w:p>
    <w:p w14:paraId="5C0A0478" w14:textId="435407B9" w:rsidR="00C130FE" w:rsidRDefault="00C130FE">
      <w:pPr>
        <w:spacing w:before="0" w:after="0"/>
        <w:rPr>
          <w:rFonts w:asciiTheme="majorHAnsi" w:hAnsiTheme="majorHAnsi"/>
        </w:rPr>
      </w:pPr>
    </w:p>
    <w:p w14:paraId="075A5C8B" w14:textId="77777777" w:rsidR="00C22E67" w:rsidRDefault="000A0BC2">
      <w:pPr>
        <w:pStyle w:val="ttulo1"/>
      </w:pPr>
      <w:r>
        <w:t>Visão geral do marco / PRAZOS</w:t>
      </w:r>
    </w:p>
    <w:tbl>
      <w:tblPr>
        <w:tblStyle w:val="Tabeladorelatriodestatus"/>
        <w:tblW w:w="5000" w:type="pct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809"/>
        <w:gridCol w:w="1035"/>
        <w:gridCol w:w="852"/>
        <w:gridCol w:w="1077"/>
        <w:gridCol w:w="2345"/>
        <w:gridCol w:w="2632"/>
      </w:tblGrid>
      <w:tr w:rsidR="00E42313" w14:paraId="73A4CB78" w14:textId="14D9E49D" w:rsidTr="00FD6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9CF805" w14:textId="69E18091" w:rsidR="00E42313" w:rsidRDefault="00E42313" w:rsidP="00E42313">
            <w:r w:rsidRPr="00BE5546">
              <w:rPr>
                <w:rFonts w:cstheme="majorHAnsi"/>
                <w:sz w:val="18"/>
                <w:szCs w:val="18"/>
              </w:rPr>
              <w:t>MARCOS</w:t>
            </w:r>
          </w:p>
        </w:tc>
        <w:tc>
          <w:tcPr>
            <w:tcW w:w="8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E3A226" w14:textId="38216783" w:rsidR="00E42313" w:rsidRDefault="00E42313" w:rsidP="00E42313">
            <w:r w:rsidRPr="00BE5546">
              <w:rPr>
                <w:rFonts w:cstheme="majorHAnsi"/>
                <w:sz w:val="18"/>
                <w:szCs w:val="18"/>
              </w:rPr>
              <w:t>% conclusão</w:t>
            </w:r>
          </w:p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D0467A" w14:textId="5A4054DA" w:rsidR="00E42313" w:rsidRDefault="00E42313" w:rsidP="00E42313">
            <w:r w:rsidRPr="00BE5546">
              <w:rPr>
                <w:rFonts w:cstheme="majorHAnsi"/>
                <w:sz w:val="18"/>
                <w:szCs w:val="18"/>
              </w:rPr>
              <w:t>Data para conclusão original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0406A2" w14:textId="3AAA7EC2" w:rsidR="00E42313" w:rsidRPr="00BE5546" w:rsidRDefault="00E42313" w:rsidP="00E42313">
            <w:pPr>
              <w:spacing w:before="100" w:beforeAutospacing="1" w:after="100" w:afterAutospacing="1"/>
              <w:jc w:val="both"/>
              <w:rPr>
                <w:rFonts w:cstheme="majorHAnsi"/>
                <w:sz w:val="18"/>
                <w:szCs w:val="18"/>
              </w:rPr>
            </w:pPr>
            <w:r w:rsidRPr="00BE5546">
              <w:rPr>
                <w:rFonts w:cstheme="majorHAnsi"/>
                <w:b/>
                <w:bCs/>
                <w:sz w:val="18"/>
                <w:szCs w:val="18"/>
              </w:rPr>
              <w:t>Nova data de conclusão</w:t>
            </w:r>
            <w:r w:rsidRPr="00BE5546">
              <w:rPr>
                <w:rFonts w:cstheme="majorHAnsi"/>
                <w:b/>
                <w:bCs/>
                <w:sz w:val="18"/>
                <w:szCs w:val="18"/>
              </w:rPr>
              <w:br/>
            </w:r>
            <w:r w:rsidRPr="00BE5546">
              <w:rPr>
                <w:rFonts w:cstheme="majorHAnsi"/>
                <w:b/>
                <w:bCs/>
                <w:sz w:val="18"/>
                <w:szCs w:val="18"/>
              </w:rPr>
              <w:br/>
            </w:r>
            <w:r w:rsidRPr="00BE5546">
              <w:rPr>
                <w:rFonts w:cstheme="majorHAnsi"/>
                <w:caps w:val="0"/>
                <w:sz w:val="18"/>
                <w:szCs w:val="18"/>
              </w:rPr>
              <w:lastRenderedPageBreak/>
              <w:t xml:space="preserve">(alterada devido </w:t>
            </w:r>
            <w:r w:rsidR="0082588F">
              <w:rPr>
                <w:rFonts w:cstheme="majorHAnsi"/>
                <w:caps w:val="0"/>
                <w:sz w:val="18"/>
                <w:szCs w:val="18"/>
              </w:rPr>
              <w:t>à</w:t>
            </w:r>
            <w:r w:rsidRPr="00BE5546">
              <w:rPr>
                <w:rFonts w:cstheme="majorHAnsi"/>
                <w:caps w:val="0"/>
                <w:sz w:val="18"/>
                <w:szCs w:val="18"/>
              </w:rPr>
              <w:t xml:space="preserve"> pandemia)</w:t>
            </w:r>
            <w:r w:rsidRPr="00BE5546">
              <w:rPr>
                <w:rFonts w:cstheme="majorHAnsi"/>
                <w:sz w:val="18"/>
                <w:szCs w:val="18"/>
              </w:rPr>
              <w:t xml:space="preserve">  </w:t>
            </w:r>
          </w:p>
          <w:p w14:paraId="34814849" w14:textId="427F7414" w:rsidR="00E42313" w:rsidRDefault="00E42313" w:rsidP="00E42313">
            <w:r w:rsidRPr="00BE5546">
              <w:rPr>
                <w:rFonts w:cstheme="majorHAnsi"/>
                <w:caps w:val="0"/>
                <w:sz w:val="18"/>
                <w:szCs w:val="18"/>
              </w:rPr>
              <w:t>Prazo limite</w:t>
            </w:r>
            <w:r w:rsidRPr="00BE5546">
              <w:rPr>
                <w:rFonts w:cstheme="majorHAnsi"/>
                <w:sz w:val="18"/>
                <w:szCs w:val="18"/>
              </w:rPr>
              <w:t xml:space="preserve">: 31/12/2020  </w:t>
            </w:r>
          </w:p>
        </w:tc>
        <w:tc>
          <w:tcPr>
            <w:tcW w:w="1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2C7269" w14:textId="27372A08" w:rsidR="00E42313" w:rsidRDefault="00E42313" w:rsidP="00E42313">
            <w:r w:rsidRPr="00BE5546">
              <w:rPr>
                <w:rFonts w:cstheme="majorHAnsi"/>
                <w:sz w:val="18"/>
                <w:szCs w:val="18"/>
              </w:rPr>
              <w:lastRenderedPageBreak/>
              <w:t>Responsável</w:t>
            </w:r>
          </w:p>
        </w:tc>
        <w:tc>
          <w:tcPr>
            <w:tcW w:w="23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2E19E9" w14:textId="5BA931BC" w:rsidR="00E42313" w:rsidRDefault="00E42313" w:rsidP="00E42313">
            <w:r w:rsidRPr="00BE5546">
              <w:rPr>
                <w:rFonts w:cstheme="majorHAnsi"/>
                <w:sz w:val="18"/>
                <w:szCs w:val="18"/>
              </w:rPr>
              <w:t xml:space="preserve">Observações </w:t>
            </w:r>
            <w:r>
              <w:rPr>
                <w:rFonts w:cstheme="majorHAnsi"/>
                <w:sz w:val="18"/>
                <w:szCs w:val="18"/>
              </w:rPr>
              <w:t xml:space="preserve">e evidências </w:t>
            </w:r>
            <w:r w:rsidRPr="00BE5546">
              <w:rPr>
                <w:rFonts w:cstheme="majorHAnsi"/>
                <w:sz w:val="18"/>
                <w:szCs w:val="18"/>
              </w:rPr>
              <w:t>sobre o andamento do marco</w:t>
            </w:r>
          </w:p>
        </w:tc>
        <w:tc>
          <w:tcPr>
            <w:tcW w:w="2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240B11" w14:textId="3C15DD15" w:rsidR="00E42313" w:rsidRDefault="00E42313" w:rsidP="00E42313">
            <w:r w:rsidRPr="00BE5546">
              <w:rPr>
                <w:rFonts w:cstheme="majorHAnsi"/>
                <w:b/>
                <w:bCs/>
                <w:sz w:val="18"/>
                <w:szCs w:val="18"/>
              </w:rPr>
              <w:t xml:space="preserve">justificativa que demonstre a necessidade de extensão do prazo de conclusão frente </w:t>
            </w:r>
            <w:r w:rsidR="0082588F">
              <w:rPr>
                <w:rFonts w:cstheme="majorHAnsi"/>
                <w:b/>
                <w:bCs/>
                <w:sz w:val="18"/>
                <w:szCs w:val="18"/>
              </w:rPr>
              <w:t xml:space="preserve">À </w:t>
            </w:r>
            <w:r w:rsidRPr="00BE5546">
              <w:rPr>
                <w:rFonts w:cstheme="majorHAnsi"/>
                <w:b/>
                <w:bCs/>
                <w:sz w:val="18"/>
                <w:szCs w:val="18"/>
              </w:rPr>
              <w:t>pandemia</w:t>
            </w:r>
          </w:p>
        </w:tc>
      </w:tr>
      <w:tr w:rsidR="00E42313" w:rsidRPr="00430A4F" w14:paraId="6BD9C2E7" w14:textId="2FC94F36" w:rsidTr="00430A4F"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1EB3E8" w14:textId="77777777" w:rsidR="00E42313" w:rsidRPr="00430A4F" w:rsidRDefault="00E42313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  <w:color w:val="auto"/>
              </w:rPr>
              <w:t>1 – Envolvimento da Casa Civil na discussão sobre a efetivação do CNIR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E881C0" w14:textId="77777777" w:rsidR="00E42313" w:rsidRPr="00430A4F" w:rsidRDefault="00E42313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C6A4FB" w14:textId="77777777" w:rsidR="00E42313" w:rsidRPr="00430A4F" w:rsidRDefault="00E42313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Concluso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F1C5F" w14:textId="77777777" w:rsidR="00E42313" w:rsidRPr="00430A4F" w:rsidRDefault="00E42313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B3D8FA" w14:textId="5EBEE4DF" w:rsidR="00E42313" w:rsidRPr="00430A4F" w:rsidRDefault="00E42313">
            <w:pPr>
              <w:rPr>
                <w:rFonts w:asciiTheme="majorHAnsi" w:hAnsiTheme="majorHAnsi"/>
                <w:lang w:val="en-US"/>
              </w:rPr>
            </w:pPr>
            <w:r w:rsidRPr="00430A4F">
              <w:rPr>
                <w:rFonts w:asciiTheme="majorHAnsi" w:hAnsiTheme="majorHAnsi"/>
                <w:lang w:val="en-US"/>
              </w:rPr>
              <w:t>RFB*</w:t>
            </w:r>
          </w:p>
          <w:p w14:paraId="6B978D3D" w14:textId="77777777" w:rsidR="00E42313" w:rsidRPr="00430A4F" w:rsidRDefault="00E42313">
            <w:pPr>
              <w:rPr>
                <w:rFonts w:asciiTheme="majorHAnsi" w:hAnsiTheme="majorHAnsi"/>
                <w:lang w:val="en-US"/>
              </w:rPr>
            </w:pPr>
            <w:r w:rsidRPr="00430A4F">
              <w:rPr>
                <w:rFonts w:asciiTheme="majorHAnsi" w:hAnsiTheme="majorHAnsi"/>
                <w:lang w:val="en-US"/>
              </w:rPr>
              <w:t>INCRA*</w:t>
            </w:r>
          </w:p>
          <w:p w14:paraId="301253A0" w14:textId="77777777" w:rsidR="00E42313" w:rsidRPr="00430A4F" w:rsidRDefault="00E42313">
            <w:pPr>
              <w:rPr>
                <w:rFonts w:asciiTheme="majorHAnsi" w:hAnsiTheme="majorHAnsi"/>
                <w:lang w:val="en-US"/>
              </w:rPr>
            </w:pPr>
            <w:r w:rsidRPr="00430A4F">
              <w:rPr>
                <w:rFonts w:asciiTheme="majorHAnsi" w:hAnsiTheme="majorHAnsi"/>
                <w:lang w:val="en-US"/>
              </w:rPr>
              <w:t>CNA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1EF246" w14:textId="77777777" w:rsidR="00E42313" w:rsidRPr="00430A4F" w:rsidRDefault="00E42313" w:rsidP="00C130FE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430A4F">
              <w:rPr>
                <w:rFonts w:asciiTheme="majorHAnsi" w:hAnsiTheme="majorHAnsi" w:cstheme="majorHAnsi"/>
                <w:b/>
                <w:color w:val="auto"/>
                <w:u w:val="single"/>
              </w:rPr>
              <w:t>Informo que</w:t>
            </w:r>
            <w:r w:rsidRPr="00430A4F">
              <w:rPr>
                <w:rFonts w:asciiTheme="majorHAnsi" w:hAnsiTheme="majorHAnsi" w:cstheme="majorHAnsi"/>
                <w:color w:val="auto"/>
              </w:rPr>
              <w:t>:</w:t>
            </w:r>
          </w:p>
          <w:p w14:paraId="00D0F87F" w14:textId="57468DBD" w:rsidR="00E42313" w:rsidRPr="00430A4F" w:rsidRDefault="00E42313" w:rsidP="002717B6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>O envolvimento da Casa Civil ocorreu, tanto é que a conclusão do Marco é de 100%. Entretanto ainda há problemas a serem superados e entendemos pertinente que haja o envolvimento do Ministério da Agricultura e Ministério da Economia, conjuntamente com INCRA e Receita Federal do Brasil de forma a superar totalmente as divergências.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F0A1C2" w14:textId="7E2DF4A9" w:rsidR="00E42313" w:rsidRPr="00430A4F" w:rsidRDefault="00E42313" w:rsidP="0063683A">
            <w:pPr>
              <w:jc w:val="both"/>
              <w:rPr>
                <w:rFonts w:asciiTheme="majorHAnsi" w:hAnsiTheme="majorHAnsi" w:cstheme="majorHAnsi"/>
                <w:b/>
                <w:color w:val="auto"/>
                <w:u w:val="single"/>
              </w:rPr>
            </w:pPr>
          </w:p>
        </w:tc>
      </w:tr>
      <w:tr w:rsidR="00E42313" w:rsidRPr="00430A4F" w14:paraId="0DCA7FD0" w14:textId="227A72D5" w:rsidTr="00430A4F"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6FC8D" w14:textId="77777777" w:rsidR="00E42313" w:rsidRPr="00430A4F" w:rsidRDefault="00E42313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  <w:color w:val="auto"/>
              </w:rPr>
              <w:t>2 – Definição entre INCRA e Receita Federal sobre a hospedagem da informação cartográfica do CNIR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E36A24" w14:textId="54DAF441" w:rsidR="00E42313" w:rsidRPr="00430A4F" w:rsidRDefault="00026857" w:rsidP="0043573E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9</w:t>
            </w:r>
            <w:r w:rsidR="00E42313" w:rsidRPr="00430A4F">
              <w:rPr>
                <w:rFonts w:asciiTheme="majorHAnsi" w:hAnsiTheme="majorHAnsi"/>
              </w:rPr>
              <w:t>0%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6BB468" w14:textId="77777777" w:rsidR="00E42313" w:rsidRPr="00430A4F" w:rsidRDefault="00E42313" w:rsidP="00C62FBF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31/07/2020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6B72E7" w14:textId="13099844" w:rsidR="00E42313" w:rsidRPr="00430A4F" w:rsidRDefault="005216BA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31/12/2020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F4BEA4" w14:textId="47D04ECA" w:rsidR="00E42313" w:rsidRPr="00430A4F" w:rsidRDefault="00E42313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RFB*</w:t>
            </w:r>
          </w:p>
          <w:p w14:paraId="4D4270A5" w14:textId="77777777" w:rsidR="00E42313" w:rsidRPr="00430A4F" w:rsidRDefault="00E42313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INCRA*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E84655" w14:textId="77777777" w:rsidR="00E42313" w:rsidRPr="00430A4F" w:rsidRDefault="00E42313" w:rsidP="004C2969">
            <w:pPr>
              <w:jc w:val="both"/>
              <w:rPr>
                <w:rFonts w:asciiTheme="majorHAnsi" w:hAnsiTheme="majorHAnsi" w:cstheme="majorHAnsi"/>
                <w:b/>
                <w:color w:val="auto"/>
                <w:u w:val="single"/>
              </w:rPr>
            </w:pPr>
            <w:r w:rsidRPr="00430A4F">
              <w:rPr>
                <w:rFonts w:asciiTheme="majorHAnsi" w:hAnsiTheme="majorHAnsi" w:cstheme="majorHAnsi"/>
                <w:b/>
                <w:color w:val="auto"/>
                <w:u w:val="single"/>
              </w:rPr>
              <w:t>Informo que:</w:t>
            </w:r>
          </w:p>
          <w:p w14:paraId="25B437B9" w14:textId="162D4BF6" w:rsidR="0043573E" w:rsidRPr="00430A4F" w:rsidRDefault="00807CF8" w:rsidP="0043573E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 xml:space="preserve">O Incra disponibilizou API para a transferência dos dados do SIGEF para o CNIR. Ainda se encontra pendente de desenvolvimento a funcionalidade para, a partir da leitura dos dados da API, armazenar as informações do </w:t>
            </w:r>
            <w:proofErr w:type="spellStart"/>
            <w:r w:rsidRPr="00430A4F">
              <w:rPr>
                <w:rFonts w:asciiTheme="majorHAnsi" w:hAnsiTheme="majorHAnsi" w:cstheme="majorHAnsi"/>
                <w:color w:val="auto"/>
              </w:rPr>
              <w:t>Sigef</w:t>
            </w:r>
            <w:proofErr w:type="spellEnd"/>
            <w:r w:rsidRPr="00430A4F">
              <w:rPr>
                <w:rFonts w:asciiTheme="majorHAnsi" w:hAnsiTheme="majorHAnsi" w:cstheme="majorHAnsi"/>
                <w:color w:val="auto"/>
              </w:rPr>
              <w:t xml:space="preserve"> no CNIR.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9429AC" w14:textId="3FD7CAC2" w:rsidR="00E42313" w:rsidRPr="00430A4F" w:rsidRDefault="00E42313" w:rsidP="005216BA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E42313" w:rsidRPr="00430A4F" w14:paraId="1C90E298" w14:textId="250F9296" w:rsidTr="00430A4F"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60C9B" w14:textId="77777777" w:rsidR="00E42313" w:rsidRPr="00430A4F" w:rsidRDefault="00E42313">
            <w:pPr>
              <w:rPr>
                <w:rFonts w:asciiTheme="majorHAnsi" w:hAnsiTheme="majorHAnsi"/>
                <w:color w:val="auto"/>
              </w:rPr>
            </w:pPr>
            <w:r w:rsidRPr="00430A4F">
              <w:rPr>
                <w:rFonts w:asciiTheme="majorHAnsi" w:hAnsiTheme="majorHAnsi"/>
                <w:color w:val="auto"/>
              </w:rPr>
              <w:t>3 – Apresentação, pelo Governo, das categorias de dados que compõem o CNIR e as bases cadastrais associadas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6E5913" w14:textId="77777777" w:rsidR="00E42313" w:rsidRPr="00430A4F" w:rsidRDefault="00E42313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5BDB50" w14:textId="77777777" w:rsidR="00E42313" w:rsidRPr="00430A4F" w:rsidRDefault="00E42313" w:rsidP="00C62FBF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Concluso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ED904" w14:textId="77777777" w:rsidR="00E42313" w:rsidRPr="00430A4F" w:rsidRDefault="00E42313">
            <w:pPr>
              <w:rPr>
                <w:rFonts w:asciiTheme="majorHAnsi" w:hAnsiTheme="majorHAnsi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F94262" w14:textId="3E23C163" w:rsidR="00E42313" w:rsidRPr="00430A4F" w:rsidRDefault="00E42313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RFB*</w:t>
            </w:r>
          </w:p>
          <w:p w14:paraId="3E749DE4" w14:textId="77777777" w:rsidR="00E42313" w:rsidRPr="00430A4F" w:rsidRDefault="00E42313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INCRA*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01598C" w14:textId="77777777" w:rsidR="003254B8" w:rsidRPr="00430A4F" w:rsidRDefault="003254B8" w:rsidP="003254B8">
            <w:pPr>
              <w:jc w:val="both"/>
              <w:rPr>
                <w:rFonts w:asciiTheme="majorHAnsi" w:hAnsiTheme="majorHAnsi" w:cstheme="majorHAnsi"/>
                <w:b/>
                <w:color w:val="auto"/>
                <w:u w:val="single"/>
              </w:rPr>
            </w:pPr>
            <w:r w:rsidRPr="00430A4F">
              <w:rPr>
                <w:rFonts w:asciiTheme="majorHAnsi" w:hAnsiTheme="majorHAnsi" w:cstheme="majorHAnsi"/>
                <w:b/>
                <w:color w:val="auto"/>
                <w:u w:val="single"/>
              </w:rPr>
              <w:t>Informo que:</w:t>
            </w:r>
          </w:p>
          <w:p w14:paraId="1ADA0A13" w14:textId="77777777" w:rsidR="00E42313" w:rsidRPr="00430A4F" w:rsidRDefault="00E42313">
            <w:pPr>
              <w:jc w:val="both"/>
              <w:rPr>
                <w:rFonts w:asciiTheme="majorHAnsi" w:hAnsiTheme="majorHAnsi" w:cstheme="majorHAnsi"/>
                <w:b/>
                <w:color w:val="auto"/>
              </w:rPr>
            </w:pPr>
            <w:r w:rsidRPr="00430A4F">
              <w:rPr>
                <w:rFonts w:asciiTheme="majorHAnsi" w:hAnsiTheme="majorHAnsi" w:cstheme="majorHAnsi"/>
                <w:color w:val="000000" w:themeColor="text1"/>
              </w:rPr>
              <w:t>Foi sugerido pela CGU durante a 1ª reunião do compromisso em epígrafe, realizada em 10/12/2018, tendo como</w:t>
            </w:r>
            <w:r w:rsidRPr="00430A4F">
              <w:rPr>
                <w:rFonts w:asciiTheme="majorHAnsi" w:hAnsiTheme="majorHAnsi" w:cstheme="majorHAnsi"/>
                <w:b/>
                <w:color w:val="000000" w:themeColor="text1"/>
              </w:rPr>
              <w:t xml:space="preserve"> ponto de partida </w:t>
            </w:r>
            <w:r w:rsidRPr="00430A4F">
              <w:rPr>
                <w:rFonts w:asciiTheme="majorHAnsi" w:hAnsiTheme="majorHAnsi" w:cstheme="majorHAnsi"/>
                <w:color w:val="000000" w:themeColor="text1"/>
              </w:rPr>
              <w:t>para execução do marco, que os órgãos verifiquem em seus Planos de Dados Abertos (PDAs) as informações já destacadas em seus inventários</w:t>
            </w:r>
            <w:r w:rsidRPr="00430A4F">
              <w:rPr>
                <w:rFonts w:asciiTheme="majorHAnsi" w:hAnsiTheme="majorHAnsi" w:cstheme="majorHAnsi"/>
              </w:rPr>
              <w:t xml:space="preserve">. </w:t>
            </w:r>
            <w:r w:rsidRPr="00430A4F">
              <w:rPr>
                <w:rFonts w:asciiTheme="majorHAnsi" w:hAnsiTheme="majorHAnsi" w:cstheme="majorHAnsi"/>
                <w:b/>
                <w:i/>
                <w:color w:val="auto"/>
              </w:rPr>
              <w:t xml:space="preserve">Primeiramente, com relação aos dados do CNIR </w:t>
            </w:r>
            <w:r w:rsidRPr="00430A4F">
              <w:rPr>
                <w:rFonts w:asciiTheme="majorHAnsi" w:hAnsiTheme="majorHAnsi" w:cstheme="majorHAnsi"/>
                <w:b/>
                <w:color w:val="auto"/>
              </w:rPr>
              <w:t xml:space="preserve">estes não estão disponibilizados sob a forma de dados abertos. </w:t>
            </w:r>
            <w:r w:rsidRPr="00430A4F">
              <w:rPr>
                <w:rFonts w:asciiTheme="majorHAnsi" w:hAnsiTheme="majorHAnsi" w:cstheme="majorHAnsi"/>
                <w:b/>
                <w:color w:val="auto"/>
              </w:rPr>
              <w:lastRenderedPageBreak/>
              <w:t xml:space="preserve">A estrutura de banco de dados do CNIR encontra-se detalhada no documento em anexo (ER NUCLEO ESTRUTURAL CNIR).  </w:t>
            </w:r>
          </w:p>
          <w:p w14:paraId="39C13100" w14:textId="2E2EDB22" w:rsidR="00E42313" w:rsidRPr="00430A4F" w:rsidRDefault="00E42313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 xml:space="preserve">No que tange aos dados abertos geridos pelo INCRA, destacamos os dados do SNCR e que integram o CNIR estão disponíveis em consulta pública, ressalvado os sigilosos, através do link </w:t>
            </w:r>
            <w:hyperlink r:id="rId11">
              <w:r w:rsidRPr="00430A4F">
                <w:rPr>
                  <w:rStyle w:val="LinkdaInternet"/>
                  <w:rFonts w:asciiTheme="majorHAnsi" w:hAnsiTheme="majorHAnsi" w:cstheme="majorHAnsi"/>
                </w:rPr>
                <w:t>http://www.incra.gov.br/consulta-imoveis-rurais</w:t>
              </w:r>
            </w:hyperlink>
            <w:r w:rsidRPr="00430A4F">
              <w:rPr>
                <w:rFonts w:asciiTheme="majorHAnsi" w:hAnsiTheme="majorHAnsi" w:cstheme="majorHAnsi"/>
                <w:color w:val="auto"/>
              </w:rPr>
              <w:t xml:space="preserve">, e os dados gráficos a serem integrados ao CNIR que podem ser obtidos através do acervo fundiário pelo link </w:t>
            </w:r>
            <w:hyperlink r:id="rId12">
              <w:r w:rsidRPr="00430A4F">
                <w:rPr>
                  <w:rStyle w:val="LinkdaInternet"/>
                  <w:rFonts w:asciiTheme="majorHAnsi" w:hAnsiTheme="majorHAnsi" w:cstheme="majorHAnsi"/>
                </w:rPr>
                <w:t>http://acervofundiario.incra.gov.br/acervo/acv.php</w:t>
              </w:r>
            </w:hyperlink>
            <w:r w:rsidRPr="00430A4F">
              <w:rPr>
                <w:rFonts w:asciiTheme="majorHAnsi" w:hAnsiTheme="majorHAnsi" w:cstheme="majorHAnsi"/>
                <w:color w:val="auto"/>
              </w:rPr>
              <w:t>. Com relação a RFB, os dados abertos disponíveis são:</w:t>
            </w:r>
            <w:r w:rsidR="00807CF8" w:rsidRPr="00430A4F">
              <w:rPr>
                <w:rFonts w:asciiTheme="majorHAnsi" w:hAnsiTheme="majorHAnsi" w:cstheme="majorHAnsi"/>
                <w:color w:val="auto"/>
              </w:rPr>
              <w:t xml:space="preserve"> Base de dados do CNPJ no link </w:t>
            </w:r>
            <w:hyperlink r:id="rId13" w:tgtFrame="_blank">
              <w:r w:rsidRPr="00430A4F">
                <w:rPr>
                  <w:rStyle w:val="LinkdaInternet"/>
                  <w:rFonts w:asciiTheme="majorHAnsi" w:hAnsiTheme="majorHAnsi" w:cstheme="majorHAnsi"/>
                </w:rPr>
                <w:t>http://receita.economia.gov.br/orientacao/tributaria/cadastros/cadastro-nacional-de-pessoas-juridicas-cnpj/dados-publicos-cnpj</w:t>
              </w:r>
            </w:hyperlink>
            <w:r w:rsidR="00807CF8" w:rsidRPr="00430A4F">
              <w:rPr>
                <w:rFonts w:asciiTheme="majorHAnsi" w:hAnsiTheme="majorHAnsi" w:cstheme="majorHAnsi"/>
                <w:color w:val="auto"/>
              </w:rPr>
              <w:t xml:space="preserve"> e </w:t>
            </w:r>
            <w:r w:rsidRPr="00430A4F">
              <w:rPr>
                <w:rFonts w:asciiTheme="majorHAnsi" w:hAnsiTheme="majorHAnsi" w:cstheme="majorHAnsi"/>
                <w:color w:val="auto"/>
              </w:rPr>
              <w:t>Consulta aberta aos dados do CAFIR no link</w:t>
            </w:r>
            <w:r w:rsidR="00807CF8" w:rsidRPr="00430A4F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430A4F">
              <w:rPr>
                <w:rFonts w:asciiTheme="majorHAnsi" w:hAnsiTheme="majorHAnsi" w:cstheme="majorHAnsi"/>
                <w:color w:val="auto"/>
              </w:rPr>
              <w:br/>
            </w:r>
            <w:hyperlink r:id="rId14" w:tgtFrame="_blank">
              <w:r w:rsidRPr="00430A4F">
                <w:rPr>
                  <w:rStyle w:val="LinkdaInternet"/>
                  <w:rFonts w:asciiTheme="majorHAnsi" w:hAnsiTheme="majorHAnsi" w:cstheme="majorHAnsi"/>
                </w:rPr>
                <w:t>https://coletorcafir.receita.fazenda.gov.br/coletor/consulta/consultaCafir.jsf;jsessionid=xE2ihHVLToYUz5cDaMxh1H+D.coletor1</w:t>
              </w:r>
            </w:hyperlink>
            <w:r w:rsidR="00807CF8" w:rsidRPr="00430A4F">
              <w:rPr>
                <w:rFonts w:asciiTheme="majorHAnsi" w:hAnsiTheme="majorHAnsi" w:cstheme="majorHAnsi"/>
                <w:color w:val="auto"/>
              </w:rPr>
              <w:t xml:space="preserve">. Necessário </w:t>
            </w:r>
            <w:r w:rsidRPr="00430A4F">
              <w:rPr>
                <w:rFonts w:asciiTheme="majorHAnsi" w:hAnsiTheme="majorHAnsi" w:cstheme="majorHAnsi"/>
                <w:color w:val="auto"/>
              </w:rPr>
              <w:t>se faz ampliar a gestão junto aos demais órgãos</w:t>
            </w:r>
            <w:r w:rsidR="00807CF8" w:rsidRPr="00430A4F">
              <w:rPr>
                <w:rFonts w:asciiTheme="majorHAnsi" w:hAnsiTheme="majorHAnsi" w:cstheme="majorHAnsi"/>
                <w:color w:val="auto"/>
              </w:rPr>
              <w:t xml:space="preserve"> p</w:t>
            </w:r>
            <w:r w:rsidRPr="00430A4F">
              <w:rPr>
                <w:rFonts w:asciiTheme="majorHAnsi" w:hAnsiTheme="majorHAnsi" w:cstheme="majorHAnsi"/>
                <w:color w:val="auto"/>
              </w:rPr>
              <w:t>ara disponibilização dos dados que irão integrar o CNIR.</w:t>
            </w:r>
          </w:p>
          <w:p w14:paraId="4381AC62" w14:textId="77777777" w:rsidR="00E42313" w:rsidRPr="00430A4F" w:rsidRDefault="00E42313" w:rsidP="004F622D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430A4F">
              <w:rPr>
                <w:rFonts w:asciiTheme="majorHAnsi" w:hAnsiTheme="majorHAnsi" w:cstheme="majorHAnsi"/>
                <w:b/>
                <w:color w:val="auto"/>
                <w:u w:val="single"/>
              </w:rPr>
              <w:t>Informo que</w:t>
            </w:r>
            <w:r w:rsidRPr="00430A4F">
              <w:rPr>
                <w:rFonts w:asciiTheme="majorHAnsi" w:hAnsiTheme="majorHAnsi" w:cstheme="majorHAnsi"/>
                <w:color w:val="auto"/>
              </w:rPr>
              <w:t>:</w:t>
            </w:r>
          </w:p>
          <w:p w14:paraId="60BF0E35" w14:textId="77777777" w:rsidR="00E42313" w:rsidRPr="00430A4F" w:rsidRDefault="00E42313" w:rsidP="00A9679D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 xml:space="preserve">A Receita Federal do Brasil publicou os dados abertos do CAFIR, cuja consulta pode ser realizada no endereço eletrônico  </w:t>
            </w:r>
            <w:hyperlink r:id="rId15" w:history="1">
              <w:r w:rsidRPr="00430A4F">
                <w:rPr>
                  <w:rStyle w:val="Hyperlink"/>
                  <w:rFonts w:asciiTheme="majorHAnsi" w:hAnsiTheme="majorHAnsi" w:cstheme="majorHAnsi"/>
                  <w:color w:val="0000FF"/>
                </w:rPr>
                <w:t>https://receita.economia.gov.br/orientacao/tributaria/cadastros/consultas/consultas</w:t>
              </w:r>
            </w:hyperlink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775BEF" w14:textId="44100336" w:rsidR="00E42313" w:rsidRPr="00430A4F" w:rsidRDefault="00E4231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F214B" w:rsidRPr="00430A4F" w14:paraId="7C14CB61" w14:textId="3B0EB8B1" w:rsidTr="00430A4F"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1A4CD" w14:textId="77777777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  <w:color w:val="auto"/>
              </w:rPr>
              <w:t>4 – Apresent</w:t>
            </w:r>
            <w:r w:rsidRPr="00430A4F">
              <w:rPr>
                <w:rFonts w:asciiTheme="majorHAnsi" w:hAnsiTheme="majorHAnsi"/>
                <w:color w:val="auto"/>
              </w:rPr>
              <w:lastRenderedPageBreak/>
              <w:t>ação, pela sociedade civil, de demandas por dados do CNIR e as bases associadas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2C4688" w14:textId="77777777" w:rsidR="00CF214B" w:rsidRPr="00430A4F" w:rsidRDefault="00CF214B" w:rsidP="00CF214B">
            <w:pPr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hAnsiTheme="majorHAnsi"/>
                <w:color w:val="000000" w:themeColor="text1"/>
              </w:rPr>
              <w:lastRenderedPageBreak/>
              <w:t>100%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9AA532" w14:textId="34850EBB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Concluso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5EDCDF" w14:textId="77777777" w:rsidR="00CF214B" w:rsidRPr="00430A4F" w:rsidRDefault="00CF214B" w:rsidP="00CF214B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C06E8B" w14:textId="4098576E" w:rsidR="00CF214B" w:rsidRPr="00430A4F" w:rsidRDefault="00CF214B" w:rsidP="00CF214B">
            <w:pPr>
              <w:rPr>
                <w:rFonts w:asciiTheme="majorHAnsi" w:hAnsiTheme="majorHAnsi"/>
                <w:lang w:val="en-US"/>
              </w:rPr>
            </w:pPr>
            <w:r w:rsidRPr="00430A4F">
              <w:rPr>
                <w:rFonts w:asciiTheme="majorHAnsi" w:hAnsiTheme="majorHAnsi"/>
                <w:lang w:val="en-US"/>
              </w:rPr>
              <w:t>OCF*</w:t>
            </w:r>
          </w:p>
          <w:p w14:paraId="615D9C3E" w14:textId="77777777" w:rsidR="00CF214B" w:rsidRPr="00430A4F" w:rsidRDefault="00CF214B" w:rsidP="00CF214B">
            <w:pPr>
              <w:rPr>
                <w:rFonts w:asciiTheme="majorHAnsi" w:hAnsiTheme="majorHAnsi"/>
                <w:lang w:val="en-US"/>
              </w:rPr>
            </w:pPr>
            <w:r w:rsidRPr="00430A4F">
              <w:rPr>
                <w:rFonts w:asciiTheme="majorHAnsi" w:hAnsiTheme="majorHAnsi"/>
                <w:lang w:val="en-US"/>
              </w:rPr>
              <w:t>ABRA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3FD6E1" w14:textId="77777777" w:rsidR="00CF214B" w:rsidRPr="00430A4F" w:rsidRDefault="00CF214B" w:rsidP="00CF214B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hAnsiTheme="majorHAnsi"/>
                <w:b/>
                <w:color w:val="000000" w:themeColor="text1"/>
                <w:u w:val="single"/>
              </w:rPr>
              <w:t>Informo que</w:t>
            </w:r>
            <w:r w:rsidRPr="00430A4F">
              <w:rPr>
                <w:rFonts w:asciiTheme="majorHAnsi" w:hAnsiTheme="majorHAnsi"/>
                <w:color w:val="000000" w:themeColor="text1"/>
              </w:rPr>
              <w:t>:</w:t>
            </w:r>
          </w:p>
          <w:p w14:paraId="2F236635" w14:textId="77777777" w:rsidR="00CF214B" w:rsidRPr="00430A4F" w:rsidRDefault="00CF214B" w:rsidP="00CF214B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hAnsiTheme="majorHAnsi"/>
                <w:color w:val="000000" w:themeColor="text1"/>
              </w:rPr>
              <w:lastRenderedPageBreak/>
              <w:t>O documento encaminhado pela Associação Brasileira de Reforma Agrária – ABRA e Observatório do Código Florestal – OCF, com demandas por dados do CNIR, bem como relato sobre os dados já disponibilizados à sociedade civil pelos órgãos da administração pública, com destaque para o INCRA, RFB e SFB, foi respondido no dia 20 de dezembro de 2019.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D0221C" w14:textId="75A7EC9C" w:rsidR="00CF214B" w:rsidRPr="00430A4F" w:rsidRDefault="00CF214B" w:rsidP="00CF214B">
            <w:pPr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</w:p>
        </w:tc>
      </w:tr>
      <w:tr w:rsidR="00CF214B" w:rsidRPr="00430A4F" w14:paraId="06D61091" w14:textId="51B974C5" w:rsidTr="00430A4F"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CB370F" w14:textId="77777777" w:rsidR="00CF214B" w:rsidRPr="00430A4F" w:rsidRDefault="00CF214B" w:rsidP="00CF214B">
            <w:pPr>
              <w:rPr>
                <w:rFonts w:asciiTheme="majorHAnsi" w:hAnsiTheme="majorHAnsi"/>
              </w:rPr>
            </w:pPr>
            <w:bookmarkStart w:id="0" w:name="__DdeLink__508_254522953"/>
            <w:bookmarkEnd w:id="0"/>
            <w:r w:rsidRPr="00430A4F">
              <w:rPr>
                <w:rFonts w:asciiTheme="majorHAnsi" w:hAnsiTheme="majorHAnsi"/>
                <w:color w:val="auto"/>
              </w:rPr>
              <w:t>5 – Criação de um comitê da sociedade civil e governo para o acompanhamento da implementação da interface pública do CNIR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0C06CD" w14:textId="3C1395CC" w:rsidR="00CF214B" w:rsidRPr="00430A4F" w:rsidRDefault="0043573E" w:rsidP="00CF214B">
            <w:pPr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hAnsiTheme="majorHAnsi"/>
                <w:color w:val="000000" w:themeColor="text1"/>
              </w:rPr>
              <w:t>10</w:t>
            </w:r>
            <w:r w:rsidR="00CF214B" w:rsidRPr="00430A4F">
              <w:rPr>
                <w:rFonts w:asciiTheme="majorHAnsi" w:hAnsiTheme="majorHAnsi"/>
                <w:color w:val="000000" w:themeColor="text1"/>
              </w:rPr>
              <w:t>0%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6DC3D5" w14:textId="77777777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31/07/2020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FEFEA" w14:textId="46A95181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31/12/2020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FEA8A7" w14:textId="654C1C8B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OCF*</w:t>
            </w:r>
          </w:p>
          <w:p w14:paraId="74990C8B" w14:textId="77777777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INCRA</w:t>
            </w:r>
          </w:p>
          <w:p w14:paraId="2E8336B2" w14:textId="77777777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RFB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D67FCE" w14:textId="2784FDAE" w:rsidR="003254B8" w:rsidRPr="00430A4F" w:rsidRDefault="003254B8" w:rsidP="003254B8">
            <w:pPr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  <w:r w:rsidRPr="00430A4F">
              <w:rPr>
                <w:rFonts w:asciiTheme="majorHAnsi" w:hAnsiTheme="majorHAnsi"/>
                <w:b/>
                <w:color w:val="000000" w:themeColor="text1"/>
                <w:u w:val="single"/>
              </w:rPr>
              <w:t>Informo que:</w:t>
            </w:r>
          </w:p>
          <w:p w14:paraId="546020C5" w14:textId="1B6517E1" w:rsidR="0099033C" w:rsidRPr="00430A4F" w:rsidRDefault="00026857" w:rsidP="00784C32">
            <w:pPr>
              <w:jc w:val="both"/>
              <w:rPr>
                <w:rFonts w:asciiTheme="majorHAnsi" w:hAnsiTheme="majorHAnsi" w:cstheme="majorHAnsi"/>
                <w:color w:val="auto"/>
                <w:shd w:val="clear" w:color="auto" w:fill="FFFFFF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>INCRA e Receita Federal do Brasil assinaram em agosto de 2020 a Nota Técnica CNIR nº 005/2020 (em anexo), que trata das “Reuniões com a Sociedade Civil para acompanhamento da implementação e interface pública do CNIR. Foram realizadas duas reuniões, sendo uma no dia 30 de setembro de 2020 e outra no dia 30 de novembro de 2020. A próxima reunião está pré-agendada para o início do mês de março de 2021.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C19949" w14:textId="3285C506" w:rsidR="009C66AF" w:rsidRPr="00430A4F" w:rsidRDefault="009C66AF" w:rsidP="009C66AF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F214B" w:rsidRPr="00430A4F" w14:paraId="0EFC9131" w14:textId="682258B0" w:rsidTr="00430A4F"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464CD6" w14:textId="77777777" w:rsidR="00CF214B" w:rsidRPr="00430A4F" w:rsidRDefault="00CF214B" w:rsidP="00CF214B">
            <w:pPr>
              <w:rPr>
                <w:rFonts w:asciiTheme="majorHAnsi" w:hAnsiTheme="majorHAnsi"/>
                <w:color w:val="auto"/>
              </w:rPr>
            </w:pPr>
            <w:r w:rsidRPr="00430A4F">
              <w:rPr>
                <w:rFonts w:asciiTheme="majorHAnsi" w:hAnsiTheme="majorHAnsi"/>
                <w:color w:val="auto"/>
              </w:rPr>
              <w:t>6 – Realização de oficina para apresentação e discussão da interface pública do CNIR junto à sociedade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FE967D" w14:textId="09FED79A" w:rsidR="00CF214B" w:rsidRPr="00430A4F" w:rsidRDefault="00807CF8" w:rsidP="00807CF8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hAnsiTheme="majorHAnsi"/>
                <w:color w:val="000000" w:themeColor="text1"/>
              </w:rPr>
              <w:t>100</w:t>
            </w:r>
            <w:r w:rsidR="00CF214B" w:rsidRPr="00430A4F">
              <w:rPr>
                <w:rFonts w:asciiTheme="majorHAnsi" w:hAnsiTheme="majorHAnsi"/>
                <w:color w:val="000000" w:themeColor="text1"/>
              </w:rPr>
              <w:t>%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E03710" w14:textId="77777777" w:rsidR="00CF214B" w:rsidRPr="00430A4F" w:rsidRDefault="00CF214B" w:rsidP="00CF214B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hAnsiTheme="majorHAnsi"/>
                <w:color w:val="000000" w:themeColor="text1"/>
              </w:rPr>
              <w:t>31/07/2020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B998E8" w14:textId="35A1CB9A" w:rsidR="00CF214B" w:rsidRPr="00430A4F" w:rsidRDefault="009C66AF" w:rsidP="00CF214B">
            <w:pPr>
              <w:jc w:val="both"/>
              <w:textAlignment w:val="baseline"/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hAnsiTheme="majorHAnsi"/>
                <w:color w:val="000000" w:themeColor="text1"/>
              </w:rPr>
              <w:t>31/12/2020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AD522E" w14:textId="16D3C1AC" w:rsidR="00CF214B" w:rsidRPr="00430A4F" w:rsidRDefault="00CF214B" w:rsidP="00CF214B">
            <w:pPr>
              <w:jc w:val="both"/>
              <w:textAlignment w:val="baseline"/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hAnsiTheme="majorHAnsi"/>
                <w:color w:val="000000" w:themeColor="text1"/>
              </w:rPr>
              <w:t>INCRA*</w:t>
            </w:r>
          </w:p>
          <w:p w14:paraId="1D3681CF" w14:textId="77777777" w:rsidR="00CF214B" w:rsidRPr="00430A4F" w:rsidRDefault="00CF214B" w:rsidP="00CF214B">
            <w:pPr>
              <w:jc w:val="both"/>
              <w:textAlignment w:val="baseline"/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hAnsiTheme="majorHAnsi"/>
                <w:color w:val="000000" w:themeColor="text1"/>
              </w:rPr>
              <w:t>RFB*</w:t>
            </w:r>
          </w:p>
          <w:p w14:paraId="4F1EA689" w14:textId="77777777" w:rsidR="00CF214B" w:rsidRPr="00430A4F" w:rsidRDefault="00CF214B" w:rsidP="00CF214B">
            <w:pPr>
              <w:jc w:val="both"/>
              <w:textAlignment w:val="baseline"/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hAnsiTheme="majorHAnsi"/>
                <w:color w:val="000000" w:themeColor="text1"/>
              </w:rPr>
              <w:t>MMA</w:t>
            </w:r>
          </w:p>
          <w:p w14:paraId="65E7A26B" w14:textId="77777777" w:rsidR="00CF214B" w:rsidRPr="00430A4F" w:rsidRDefault="00CF214B" w:rsidP="00CF214B">
            <w:pPr>
              <w:jc w:val="both"/>
              <w:textAlignment w:val="baseline"/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hAnsiTheme="majorHAnsi"/>
                <w:color w:val="000000" w:themeColor="text1"/>
              </w:rPr>
              <w:t>CNA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1CFC22" w14:textId="77777777" w:rsidR="00003E97" w:rsidRPr="00430A4F" w:rsidRDefault="00003E97" w:rsidP="00807CF8">
            <w:pPr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  <w:r w:rsidRPr="00430A4F">
              <w:rPr>
                <w:rFonts w:asciiTheme="majorHAnsi" w:hAnsiTheme="majorHAnsi"/>
                <w:b/>
                <w:color w:val="000000" w:themeColor="text1"/>
                <w:u w:val="single"/>
              </w:rPr>
              <w:t>Informo que:</w:t>
            </w:r>
          </w:p>
          <w:p w14:paraId="5D0E771E" w14:textId="272971BD" w:rsidR="00674663" w:rsidRPr="00430A4F" w:rsidRDefault="00807CF8" w:rsidP="00807CF8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eastAsia="Cambria" w:hAnsiTheme="majorHAnsi" w:cstheme="majorHAnsi"/>
                <w:color w:val="auto"/>
                <w:kern w:val="3"/>
              </w:rPr>
              <w:t>A Oficina foi realizada nos dias 13 e 14 de abril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1499B" w14:textId="465B2FE8" w:rsidR="00CF214B" w:rsidRPr="00430A4F" w:rsidRDefault="00CF214B" w:rsidP="00CF214B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CF214B" w:rsidRPr="00430A4F" w14:paraId="7AE9A128" w14:textId="146187D8" w:rsidTr="00430A4F"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ACFBC" w14:textId="77777777" w:rsidR="00CF214B" w:rsidRPr="00430A4F" w:rsidRDefault="00CF214B" w:rsidP="00CF214B">
            <w:pPr>
              <w:rPr>
                <w:rFonts w:asciiTheme="majorHAnsi" w:hAnsiTheme="majorHAnsi"/>
                <w:color w:val="auto"/>
              </w:rPr>
            </w:pPr>
            <w:r w:rsidRPr="00430A4F">
              <w:rPr>
                <w:rFonts w:asciiTheme="majorHAnsi" w:hAnsiTheme="majorHAnsi"/>
                <w:color w:val="auto"/>
              </w:rPr>
              <w:t>7 – Proposição de um modelo de cadastro urbano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E004FC" w14:textId="5170F1B3" w:rsidR="00CF214B" w:rsidRPr="00430A4F" w:rsidRDefault="00CF214B" w:rsidP="0043573E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2</w:t>
            </w:r>
            <w:r w:rsidR="0043573E" w:rsidRPr="00430A4F">
              <w:rPr>
                <w:rFonts w:asciiTheme="majorHAnsi" w:hAnsiTheme="majorHAnsi"/>
              </w:rPr>
              <w:t>5</w:t>
            </w:r>
            <w:r w:rsidRPr="00430A4F">
              <w:rPr>
                <w:rFonts w:asciiTheme="majorHAnsi" w:hAnsiTheme="majorHAnsi"/>
              </w:rPr>
              <w:t>%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2C1F66" w14:textId="77777777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31/12/2019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B0732F" w14:textId="5D885477" w:rsidR="00CF214B" w:rsidRPr="00430A4F" w:rsidRDefault="009C66AF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31/12/2020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BD5C74" w14:textId="6F2BE9AD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RFB*</w:t>
            </w:r>
          </w:p>
          <w:p w14:paraId="0390A42A" w14:textId="77777777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e INCRA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F68073" w14:textId="0F5CED9C" w:rsidR="00CF214B" w:rsidRPr="00430A4F" w:rsidRDefault="00CF214B" w:rsidP="00CF214B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430A4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u w:val="single"/>
              </w:rPr>
              <w:t>Informo que</w:t>
            </w:r>
            <w:r w:rsidRPr="00430A4F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:</w:t>
            </w:r>
          </w:p>
          <w:p w14:paraId="7B142CB2" w14:textId="1CF0477E" w:rsidR="00026857" w:rsidRPr="00430A4F" w:rsidRDefault="00026857" w:rsidP="00CF214B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>Não houve alteração em relação ao relatório anterior</w:t>
            </w:r>
            <w:r w:rsidR="00981BA6" w:rsidRPr="00430A4F">
              <w:rPr>
                <w:rFonts w:asciiTheme="majorHAnsi" w:hAnsiTheme="majorHAnsi" w:cstheme="majorHAnsi"/>
                <w:color w:val="auto"/>
              </w:rPr>
              <w:t>.</w:t>
            </w:r>
          </w:p>
          <w:p w14:paraId="6E246AEF" w14:textId="77777777" w:rsidR="00D441BE" w:rsidRPr="00430A4F" w:rsidRDefault="00CF76F2" w:rsidP="00CF76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30A4F">
              <w:rPr>
                <w:rFonts w:asciiTheme="majorHAnsi" w:hAnsiTheme="majorHAnsi" w:cstheme="majorHAnsi"/>
                <w:color w:val="000000" w:themeColor="text1"/>
              </w:rPr>
              <w:t xml:space="preserve">O módulo CADURB, do SINTER, está em </w:t>
            </w:r>
            <w:r w:rsidRPr="00430A4F">
              <w:rPr>
                <w:rFonts w:asciiTheme="majorHAnsi" w:hAnsiTheme="majorHAnsi" w:cstheme="majorHAnsi"/>
                <w:color w:val="000000" w:themeColor="text1"/>
              </w:rPr>
              <w:lastRenderedPageBreak/>
              <w:t>construção pela RFB no Projeto SINTER.</w:t>
            </w:r>
          </w:p>
          <w:p w14:paraId="6B85D0FF" w14:textId="77777777" w:rsidR="007C29DF" w:rsidRPr="00430A4F" w:rsidRDefault="00D441BE" w:rsidP="00CF76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30A4F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="00CF76F2" w:rsidRPr="00430A4F">
              <w:rPr>
                <w:rFonts w:asciiTheme="majorHAnsi" w:hAnsiTheme="majorHAnsi" w:cstheme="majorHAnsi"/>
                <w:color w:val="000000" w:themeColor="text1"/>
              </w:rPr>
              <w:t>abe observar que o CADURB é um módulo integrador de cadastros urbanos.</w:t>
            </w:r>
            <w:r w:rsidRPr="00430A4F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CF76F2" w:rsidRPr="00430A4F">
              <w:rPr>
                <w:rFonts w:asciiTheme="majorHAnsi" w:hAnsiTheme="majorHAnsi" w:cstheme="majorHAnsi"/>
                <w:color w:val="000000" w:themeColor="text1"/>
              </w:rPr>
              <w:t>A Receita Federal não vai propor nenhum modelo de cadastro urbano. Essa é uma atribuição constitucional dos municípios brasileiros. Cada município define o seu próprio modelo de cadastros.</w:t>
            </w:r>
            <w:r w:rsidR="007C29DF" w:rsidRPr="00430A4F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CF76F2" w:rsidRPr="00430A4F">
              <w:rPr>
                <w:rFonts w:asciiTheme="majorHAnsi" w:hAnsiTheme="majorHAnsi" w:cstheme="majorHAnsi"/>
                <w:color w:val="000000" w:themeColor="text1"/>
              </w:rPr>
              <w:t>Portanto, não existe expectativa de cumprimento do compromisso 7, pela RFB, nos termos em que ele está redigido.</w:t>
            </w:r>
          </w:p>
          <w:p w14:paraId="31AAA787" w14:textId="54D9CA43" w:rsidR="00CF76F2" w:rsidRPr="00430A4F" w:rsidRDefault="007C29DF" w:rsidP="00CF214B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30A4F"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="00CF76F2" w:rsidRPr="00430A4F">
              <w:rPr>
                <w:rFonts w:asciiTheme="majorHAnsi" w:hAnsiTheme="majorHAnsi" w:cstheme="majorHAnsi"/>
                <w:color w:val="000000" w:themeColor="text1"/>
              </w:rPr>
              <w:t xml:space="preserve">e o compromisso pode ser substituído pela entrega do módulo CADURB, do </w:t>
            </w:r>
            <w:proofErr w:type="spellStart"/>
            <w:r w:rsidR="00CF76F2" w:rsidRPr="00430A4F">
              <w:rPr>
                <w:rFonts w:asciiTheme="majorHAnsi" w:hAnsiTheme="majorHAnsi" w:cstheme="majorHAnsi"/>
                <w:color w:val="000000" w:themeColor="text1"/>
              </w:rPr>
              <w:t>Sinter</w:t>
            </w:r>
            <w:proofErr w:type="spellEnd"/>
            <w:r w:rsidR="00CF76F2" w:rsidRPr="00430A4F">
              <w:rPr>
                <w:rFonts w:asciiTheme="majorHAnsi" w:hAnsiTheme="majorHAnsi" w:cstheme="majorHAnsi"/>
                <w:color w:val="000000" w:themeColor="text1"/>
              </w:rPr>
              <w:t>, informo que, no prazo de 12 (doze) meses, há expectativa do povoamento do CADURB com os dados cadastrais urbanos dos municípios de Campinas/SP, Belo Horizonte/BH e Fortaleza/CE.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88A4DD" w14:textId="09AE63CF" w:rsidR="009C66AF" w:rsidRPr="00430A4F" w:rsidRDefault="009C66AF" w:rsidP="009C66AF">
            <w:pPr>
              <w:jc w:val="both"/>
              <w:rPr>
                <w:rFonts w:asciiTheme="majorHAnsi" w:hAnsiTheme="majorHAnsi"/>
                <w:color w:val="auto"/>
              </w:rPr>
            </w:pPr>
          </w:p>
          <w:p w14:paraId="7CA51659" w14:textId="5781A70C" w:rsidR="00CF214B" w:rsidRPr="00430A4F" w:rsidRDefault="00CF214B" w:rsidP="009C66AF">
            <w:pPr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u w:val="single"/>
              </w:rPr>
            </w:pPr>
          </w:p>
        </w:tc>
      </w:tr>
      <w:tr w:rsidR="00CF214B" w:rsidRPr="00430A4F" w14:paraId="55295EBB" w14:textId="64574CF7" w:rsidTr="00430A4F"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887CB" w14:textId="77777777" w:rsidR="00CF214B" w:rsidRPr="00430A4F" w:rsidRDefault="00CF214B" w:rsidP="00CF214B">
            <w:pPr>
              <w:rPr>
                <w:rFonts w:asciiTheme="majorHAnsi" w:hAnsiTheme="majorHAnsi"/>
                <w:color w:val="auto"/>
              </w:rPr>
            </w:pPr>
            <w:r w:rsidRPr="00430A4F">
              <w:rPr>
                <w:rFonts w:asciiTheme="majorHAnsi" w:hAnsiTheme="majorHAnsi"/>
                <w:color w:val="auto"/>
              </w:rPr>
              <w:t>8 – Conclusão das especificações, definições e implementação do SIGEF 2.0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DE7825" w14:textId="77777777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20%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B417F4" w14:textId="77777777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30/07/2022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AE4701" w14:textId="642E7BD1" w:rsidR="00CF214B" w:rsidRPr="00430A4F" w:rsidRDefault="00ED2524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30/07/2022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07D6CB" w14:textId="463F83C0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INCRA*</w:t>
            </w:r>
          </w:p>
          <w:p w14:paraId="18C7D37C" w14:textId="77777777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SEAF*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08F631" w14:textId="4766C6DF" w:rsidR="00CF214B" w:rsidRPr="00430A4F" w:rsidRDefault="00CF214B" w:rsidP="00CF214B">
            <w:pPr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u w:val="single"/>
              </w:rPr>
            </w:pPr>
            <w:r w:rsidRPr="00430A4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u w:val="single"/>
              </w:rPr>
              <w:t>Informo que:</w:t>
            </w:r>
          </w:p>
          <w:p w14:paraId="44D40EF9" w14:textId="33F6F5E4" w:rsidR="00026857" w:rsidRPr="00430A4F" w:rsidRDefault="00026857" w:rsidP="00CF214B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>Não houve alteração em relação ao relatório anterior.</w:t>
            </w:r>
          </w:p>
          <w:p w14:paraId="03D98DD8" w14:textId="77777777" w:rsidR="00CF214B" w:rsidRPr="00430A4F" w:rsidRDefault="00CF214B" w:rsidP="00CF214B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hAnsiTheme="majorHAnsi"/>
                <w:color w:val="000000" w:themeColor="text1"/>
              </w:rPr>
              <w:t>O “Documento de Visão</w:t>
            </w:r>
            <w:r w:rsidRPr="00430A4F">
              <w:rPr>
                <w:rFonts w:asciiTheme="majorHAnsi" w:hAnsiTheme="majorHAnsi" w:cstheme="majorHAnsi"/>
                <w:color w:val="000000" w:themeColor="text1"/>
              </w:rPr>
              <w:t xml:space="preserve">” </w:t>
            </w:r>
            <w:r w:rsidRPr="00430A4F">
              <w:rPr>
                <w:rFonts w:asciiTheme="majorHAnsi" w:hAnsiTheme="majorHAnsi"/>
                <w:color w:val="000000" w:themeColor="text1"/>
              </w:rPr>
              <w:t>(que é o requisito mínimo para iniciar um projeto de desenvolvimento de software) e artefatos já concluídos.</w:t>
            </w:r>
          </w:p>
          <w:p w14:paraId="2A7E1C2B" w14:textId="77777777" w:rsidR="00981BA6" w:rsidRPr="00430A4F" w:rsidRDefault="00CF214B" w:rsidP="00981BA6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30A4F">
              <w:rPr>
                <w:rFonts w:asciiTheme="majorHAnsi" w:hAnsiTheme="majorHAnsi"/>
                <w:color w:val="000000" w:themeColor="text1"/>
              </w:rPr>
              <w:t xml:space="preserve">Iniciou-se a </w:t>
            </w:r>
            <w:proofErr w:type="spellStart"/>
            <w:r w:rsidRPr="00430A4F">
              <w:rPr>
                <w:rFonts w:asciiTheme="majorHAnsi" w:hAnsiTheme="majorHAnsi"/>
                <w:color w:val="000000" w:themeColor="text1"/>
              </w:rPr>
              <w:t>pré</w:t>
            </w:r>
            <w:proofErr w:type="spellEnd"/>
            <w:r w:rsidRPr="00430A4F">
              <w:rPr>
                <w:rFonts w:asciiTheme="majorHAnsi" w:hAnsiTheme="majorHAnsi"/>
                <w:color w:val="000000" w:themeColor="text1"/>
              </w:rPr>
              <w:t xml:space="preserve">-especificação do projeto e, até o momento foi gerada parte das especificações subsequentes, como diagramas de objetos, mapeamento de alguns processos, telas (interface). Estima-se que o trabalho esteja concluso em cerca de 5% da documentação total (que </w:t>
            </w:r>
            <w:proofErr w:type="gramStart"/>
            <w:r w:rsidRPr="00430A4F">
              <w:rPr>
                <w:rFonts w:asciiTheme="majorHAnsi" w:hAnsiTheme="majorHAnsi"/>
                <w:color w:val="000000" w:themeColor="text1"/>
              </w:rPr>
              <w:t>via de regra</w:t>
            </w:r>
            <w:proofErr w:type="gramEnd"/>
            <w:r w:rsidRPr="00430A4F">
              <w:rPr>
                <w:rFonts w:asciiTheme="majorHAnsi" w:hAnsiTheme="majorHAnsi"/>
                <w:color w:val="000000" w:themeColor="text1"/>
              </w:rPr>
              <w:t xml:space="preserve"> é levantada em conjunto com a </w:t>
            </w:r>
            <w:r w:rsidRPr="00430A4F">
              <w:rPr>
                <w:rFonts w:asciiTheme="majorHAnsi" w:hAnsiTheme="majorHAnsi"/>
                <w:color w:val="000000" w:themeColor="text1"/>
              </w:rPr>
              <w:lastRenderedPageBreak/>
              <w:t xml:space="preserve">empresa que desenvolve o sistema). </w:t>
            </w:r>
          </w:p>
          <w:p w14:paraId="26A9A4F0" w14:textId="70F60DD8" w:rsidR="007C29DF" w:rsidRPr="00430A4F" w:rsidRDefault="00026857" w:rsidP="00981BA6">
            <w:pPr>
              <w:jc w:val="both"/>
              <w:rPr>
                <w:rFonts w:ascii="Calibri" w:hAnsi="Calibri" w:cs="Calibri"/>
                <w:bCs/>
                <w:color w:val="000000"/>
                <w:shd w:val="clear" w:color="auto" w:fill="FFFFFF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 xml:space="preserve">Importante frisar que, atualmente a equipe INCRA, tendo participação de todas as diretorias da Autarquia, além de outros órgãos que compõem o Ministério da Agricultura, Pecuária e Abastecimento – MAPA, trabalha no Projeto Estratégico Corporativo (PEC) Integra Brasil Fundiário, que tem por objeto, “Aperfeiçoar a governança fundiária por meio da integração de sistemas fundiários do INCRA, do aperfeiçoamento do processo de regularização fundiária e da gestão da informação”, trabalhando na especificação de um Sistema fundiário rural integrado, contemplando informações de base fundiária, ambiental, de infraestrutura, dentre outras. Trata -se de um trabalho tão amplo quanto o Projeto SIGEF 2.0 e que deverá culminar na criação do Cadastro Integrado de Governança Fundiária do INCRA contemplando SNCR, SIGEF como núcleo do novo sistema Cadastral e vários outros sistemas como Cadastros Temáticos, onde se destacam SIPRA, </w:t>
            </w:r>
            <w:proofErr w:type="spellStart"/>
            <w:r w:rsidRPr="00430A4F">
              <w:rPr>
                <w:rFonts w:asciiTheme="majorHAnsi" w:hAnsiTheme="majorHAnsi" w:cstheme="majorHAnsi"/>
                <w:color w:val="auto"/>
              </w:rPr>
              <w:t>TDCalc</w:t>
            </w:r>
            <w:proofErr w:type="spellEnd"/>
            <w:r w:rsidRPr="00430A4F">
              <w:rPr>
                <w:rFonts w:asciiTheme="majorHAnsi" w:hAnsiTheme="majorHAnsi" w:cstheme="majorHAnsi"/>
                <w:color w:val="auto"/>
              </w:rPr>
              <w:t>, SIGEF Titulação, CAR, entre outros do INCRA e do próprio Ministério (MAPA).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308AA8" w14:textId="04E22AAE" w:rsidR="00CF214B" w:rsidRPr="00430A4F" w:rsidRDefault="00CF214B" w:rsidP="00ED2524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CF214B" w14:paraId="68235041" w14:textId="55440A39" w:rsidTr="00430A4F"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241A14" w14:textId="77777777" w:rsidR="00CF214B" w:rsidRPr="00430A4F" w:rsidRDefault="00CF214B" w:rsidP="00CF214B">
            <w:pPr>
              <w:jc w:val="both"/>
              <w:rPr>
                <w:rFonts w:asciiTheme="majorHAnsi" w:hAnsiTheme="majorHAnsi"/>
                <w:color w:val="auto"/>
              </w:rPr>
            </w:pPr>
            <w:r w:rsidRPr="00430A4F">
              <w:rPr>
                <w:rFonts w:asciiTheme="majorHAnsi" w:hAnsiTheme="majorHAnsi"/>
                <w:color w:val="auto"/>
              </w:rPr>
              <w:t>9 – Articulação de parceria para a realização de estudo para avaliar as iniciativa</w:t>
            </w:r>
            <w:r w:rsidRPr="00430A4F">
              <w:rPr>
                <w:rFonts w:asciiTheme="majorHAnsi" w:hAnsiTheme="majorHAnsi"/>
                <w:color w:val="auto"/>
              </w:rPr>
              <w:lastRenderedPageBreak/>
              <w:t>s do Poder Público em relação ao cadastro urbano e rural, com apresentação de proposta de soluções técnicas para a efetivação de uma política nacional de cadastro, preferencialmente por meio de consultoria especializada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094B8F" w14:textId="76CB0333" w:rsidR="00CF214B" w:rsidRPr="00430A4F" w:rsidRDefault="00CF214B" w:rsidP="0043573E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lastRenderedPageBreak/>
              <w:t>2</w:t>
            </w:r>
            <w:r w:rsidR="0043573E" w:rsidRPr="00430A4F">
              <w:rPr>
                <w:rFonts w:asciiTheme="majorHAnsi" w:hAnsiTheme="majorHAnsi"/>
              </w:rPr>
              <w:t>5</w:t>
            </w:r>
            <w:r w:rsidRPr="00430A4F">
              <w:rPr>
                <w:rFonts w:asciiTheme="majorHAnsi" w:hAnsiTheme="majorHAnsi"/>
              </w:rPr>
              <w:t>%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A45BB4" w14:textId="77777777" w:rsidR="00CF214B" w:rsidRPr="00430A4F" w:rsidRDefault="00CF214B" w:rsidP="00CF214B">
            <w:pPr>
              <w:rPr>
                <w:rFonts w:asciiTheme="majorHAnsi" w:hAnsiTheme="majorHAnsi"/>
              </w:rPr>
            </w:pPr>
            <w:r w:rsidRPr="00430A4F">
              <w:rPr>
                <w:rFonts w:asciiTheme="majorHAnsi" w:hAnsiTheme="majorHAnsi"/>
              </w:rPr>
              <w:t>31/12/2019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42F2C9" w14:textId="436080FA" w:rsidR="00CF214B" w:rsidRPr="00430A4F" w:rsidRDefault="00ED2524" w:rsidP="00CF214B">
            <w:pPr>
              <w:rPr>
                <w:rFonts w:asciiTheme="majorHAnsi" w:hAnsiTheme="majorHAnsi"/>
                <w:lang w:val="en-US"/>
              </w:rPr>
            </w:pPr>
            <w:r w:rsidRPr="00430A4F">
              <w:rPr>
                <w:rFonts w:asciiTheme="majorHAnsi" w:hAnsiTheme="majorHAnsi"/>
                <w:lang w:val="en-US"/>
              </w:rPr>
              <w:t>31/12/2020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5EEF6A" w14:textId="71E6AB35" w:rsidR="00CF214B" w:rsidRPr="00430A4F" w:rsidRDefault="00CF214B" w:rsidP="00CF214B">
            <w:pPr>
              <w:rPr>
                <w:rFonts w:asciiTheme="majorHAnsi" w:hAnsiTheme="majorHAnsi"/>
                <w:lang w:val="en-US"/>
              </w:rPr>
            </w:pPr>
            <w:r w:rsidRPr="00430A4F">
              <w:rPr>
                <w:rFonts w:asciiTheme="majorHAnsi" w:hAnsiTheme="majorHAnsi"/>
                <w:lang w:val="en-US"/>
              </w:rPr>
              <w:t>SEAF*</w:t>
            </w:r>
          </w:p>
          <w:p w14:paraId="4B13AC58" w14:textId="77777777" w:rsidR="00CF214B" w:rsidRPr="00430A4F" w:rsidRDefault="00CF214B" w:rsidP="00CF214B">
            <w:pPr>
              <w:rPr>
                <w:rFonts w:asciiTheme="majorHAnsi" w:hAnsiTheme="majorHAnsi"/>
                <w:lang w:val="en-US"/>
              </w:rPr>
            </w:pPr>
            <w:r w:rsidRPr="00430A4F">
              <w:rPr>
                <w:rFonts w:asciiTheme="majorHAnsi" w:hAnsiTheme="majorHAnsi"/>
                <w:lang w:val="en-US"/>
              </w:rPr>
              <w:t>RFB</w:t>
            </w:r>
          </w:p>
          <w:p w14:paraId="4CC7891B" w14:textId="77777777" w:rsidR="00CF214B" w:rsidRPr="00430A4F" w:rsidRDefault="00CF214B" w:rsidP="00CF214B">
            <w:pPr>
              <w:rPr>
                <w:rFonts w:asciiTheme="majorHAnsi" w:hAnsiTheme="majorHAnsi"/>
                <w:lang w:val="en-US"/>
              </w:rPr>
            </w:pPr>
            <w:r w:rsidRPr="00430A4F">
              <w:rPr>
                <w:rFonts w:asciiTheme="majorHAnsi" w:hAnsiTheme="majorHAnsi"/>
                <w:lang w:val="en-US"/>
              </w:rPr>
              <w:t>INCRA</w:t>
            </w:r>
          </w:p>
          <w:p w14:paraId="1DE3A22F" w14:textId="77777777" w:rsidR="00CF214B" w:rsidRPr="00430A4F" w:rsidRDefault="00CF214B" w:rsidP="00CF214B">
            <w:pPr>
              <w:rPr>
                <w:rFonts w:asciiTheme="majorHAnsi" w:hAnsiTheme="majorHAnsi"/>
                <w:lang w:val="en-US"/>
              </w:rPr>
            </w:pPr>
            <w:r w:rsidRPr="00430A4F">
              <w:rPr>
                <w:rFonts w:asciiTheme="majorHAnsi" w:hAnsiTheme="majorHAnsi"/>
                <w:lang w:val="en-US"/>
              </w:rPr>
              <w:t>FAO</w:t>
            </w:r>
          </w:p>
          <w:p w14:paraId="40D1A297" w14:textId="77777777" w:rsidR="00CF214B" w:rsidRPr="00430A4F" w:rsidRDefault="00CF214B" w:rsidP="00CF214B">
            <w:pPr>
              <w:rPr>
                <w:rFonts w:asciiTheme="majorHAnsi" w:hAnsiTheme="majorHAnsi"/>
                <w:lang w:val="en-US"/>
              </w:rPr>
            </w:pPr>
            <w:r w:rsidRPr="00430A4F">
              <w:rPr>
                <w:rFonts w:asciiTheme="majorHAnsi" w:hAnsiTheme="majorHAnsi"/>
                <w:lang w:val="en-US"/>
              </w:rPr>
              <w:t>OCF</w:t>
            </w:r>
          </w:p>
          <w:p w14:paraId="45575991" w14:textId="77777777" w:rsidR="00CF214B" w:rsidRPr="00430A4F" w:rsidRDefault="00CF214B" w:rsidP="00CF214B">
            <w:pPr>
              <w:rPr>
                <w:rFonts w:asciiTheme="majorHAnsi" w:hAnsiTheme="majorHAnsi"/>
                <w:lang w:val="en-US"/>
              </w:rPr>
            </w:pPr>
            <w:r w:rsidRPr="00430A4F">
              <w:rPr>
                <w:rFonts w:asciiTheme="majorHAnsi" w:hAnsiTheme="majorHAnsi"/>
                <w:lang w:val="en-US"/>
              </w:rPr>
              <w:t>CNA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C3F8EE" w14:textId="77777777" w:rsidR="00026857" w:rsidRPr="00430A4F" w:rsidRDefault="00CF214B" w:rsidP="00CF214B">
            <w:pPr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u w:val="single"/>
              </w:rPr>
            </w:pPr>
            <w:r w:rsidRPr="00430A4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u w:val="single"/>
              </w:rPr>
              <w:t>Informo que:</w:t>
            </w:r>
            <w:r w:rsidR="00026857" w:rsidRPr="00430A4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u w:val="single"/>
              </w:rPr>
              <w:t xml:space="preserve"> </w:t>
            </w:r>
          </w:p>
          <w:p w14:paraId="4313D9EE" w14:textId="1F0BC3CC" w:rsidR="00CF214B" w:rsidRPr="00430A4F" w:rsidRDefault="00026857" w:rsidP="00CF214B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>Não houve alteração em relação ao relatório anterior.</w:t>
            </w:r>
          </w:p>
          <w:p w14:paraId="07B9B26F" w14:textId="779B741B" w:rsidR="00CF214B" w:rsidRPr="00430A4F" w:rsidRDefault="00CF214B" w:rsidP="00CF214B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 xml:space="preserve">Em contato com a Receita Federal do Brasil - RFB fomos informados que o Módulo de Cadastro Urbano do </w:t>
            </w:r>
            <w:proofErr w:type="spellStart"/>
            <w:r w:rsidRPr="00430A4F">
              <w:rPr>
                <w:rFonts w:asciiTheme="majorHAnsi" w:hAnsiTheme="majorHAnsi" w:cstheme="majorHAnsi"/>
                <w:color w:val="auto"/>
              </w:rPr>
              <w:t>Sinter</w:t>
            </w:r>
            <w:proofErr w:type="spellEnd"/>
            <w:r w:rsidRPr="00430A4F">
              <w:rPr>
                <w:rFonts w:asciiTheme="majorHAnsi" w:hAnsiTheme="majorHAnsi" w:cstheme="majorHAnsi"/>
                <w:color w:val="auto"/>
              </w:rPr>
              <w:t xml:space="preserve"> - </w:t>
            </w:r>
            <w:proofErr w:type="spellStart"/>
            <w:r w:rsidRPr="00430A4F">
              <w:rPr>
                <w:rFonts w:asciiTheme="majorHAnsi" w:hAnsiTheme="majorHAnsi" w:cstheme="majorHAnsi"/>
                <w:color w:val="auto"/>
              </w:rPr>
              <w:t>CadUrb</w:t>
            </w:r>
            <w:proofErr w:type="spellEnd"/>
            <w:r w:rsidRPr="00430A4F">
              <w:rPr>
                <w:rFonts w:asciiTheme="majorHAnsi" w:hAnsiTheme="majorHAnsi" w:cstheme="majorHAnsi"/>
                <w:color w:val="auto"/>
              </w:rPr>
              <w:t xml:space="preserve"> está sendo desenvolvido </w:t>
            </w:r>
            <w:r w:rsidRPr="00430A4F">
              <w:rPr>
                <w:rFonts w:asciiTheme="majorHAnsi" w:hAnsiTheme="majorHAnsi" w:cstheme="majorHAnsi"/>
                <w:color w:val="auto"/>
              </w:rPr>
              <w:lastRenderedPageBreak/>
              <w:t xml:space="preserve">pela Receita Federal do Brasil em conjunto com as prefeituras de Belo Horizonte, de Fortaleza, de Campinas e de Caucaia e o Distrito Federal, que fazem parte do projeto piloto </w:t>
            </w:r>
            <w:proofErr w:type="spellStart"/>
            <w:r w:rsidRPr="00430A4F">
              <w:rPr>
                <w:rFonts w:asciiTheme="majorHAnsi" w:hAnsiTheme="majorHAnsi" w:cstheme="majorHAnsi"/>
                <w:color w:val="auto"/>
              </w:rPr>
              <w:t>CadUrb</w:t>
            </w:r>
            <w:proofErr w:type="spellEnd"/>
            <w:r w:rsidRPr="00430A4F">
              <w:rPr>
                <w:rFonts w:asciiTheme="majorHAnsi" w:hAnsiTheme="majorHAnsi" w:cstheme="majorHAnsi"/>
                <w:color w:val="auto"/>
              </w:rPr>
              <w:t xml:space="preserve">. O </w:t>
            </w:r>
            <w:proofErr w:type="spellStart"/>
            <w:r w:rsidRPr="00430A4F">
              <w:rPr>
                <w:rFonts w:asciiTheme="majorHAnsi" w:hAnsiTheme="majorHAnsi" w:cstheme="majorHAnsi"/>
                <w:color w:val="auto"/>
              </w:rPr>
              <w:t>Sinter</w:t>
            </w:r>
            <w:proofErr w:type="spellEnd"/>
            <w:r w:rsidRPr="00430A4F">
              <w:rPr>
                <w:rFonts w:asciiTheme="majorHAnsi" w:hAnsiTheme="majorHAnsi" w:cstheme="majorHAnsi"/>
                <w:color w:val="auto"/>
              </w:rPr>
              <w:t xml:space="preserve"> receberá dados urbanos das prefeituras que possuírem cadastro territorial georreferenciado.</w:t>
            </w:r>
          </w:p>
          <w:p w14:paraId="3A3F6196" w14:textId="62931059" w:rsidR="00F37F52" w:rsidRPr="00430A4F" w:rsidRDefault="00F37F52" w:rsidP="00F37F52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>O módulo CADURB, do SINTER, está em construção pela RFB no Projeto SINTER.</w:t>
            </w:r>
          </w:p>
          <w:p w14:paraId="2C8F97A0" w14:textId="77777777" w:rsidR="00F37F52" w:rsidRPr="00430A4F" w:rsidRDefault="00F37F52" w:rsidP="00F37F52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>Cabe observar que o CADURB é um módulo integrador de cadastros urbanos. A Receita Federal não vai propor nenhum modelo de cadastro urbano. Essa é uma atribuição constitucional dos municípios brasileiros. Cada município define o seu próprio modelo de cadastros. Portanto, não existe expectativa de cumprimento do compromisso 7, pela RFB, nos termos em que ele está redigido.</w:t>
            </w:r>
          </w:p>
          <w:p w14:paraId="21C21989" w14:textId="1BB8B0B1" w:rsidR="00E36900" w:rsidRPr="00430A4F" w:rsidRDefault="00F37F52" w:rsidP="00F37F52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 xml:space="preserve">Se o compromisso pode ser substituído pela entrega do módulo CADURB, do </w:t>
            </w:r>
            <w:proofErr w:type="spellStart"/>
            <w:r w:rsidRPr="00430A4F">
              <w:rPr>
                <w:rFonts w:asciiTheme="majorHAnsi" w:hAnsiTheme="majorHAnsi" w:cstheme="majorHAnsi"/>
                <w:color w:val="auto"/>
              </w:rPr>
              <w:t>Sinter</w:t>
            </w:r>
            <w:proofErr w:type="spellEnd"/>
            <w:r w:rsidRPr="00430A4F">
              <w:rPr>
                <w:rFonts w:asciiTheme="majorHAnsi" w:hAnsiTheme="majorHAnsi" w:cstheme="majorHAnsi"/>
                <w:color w:val="auto"/>
              </w:rPr>
              <w:t>, informo que, no prazo de 12 (doze) meses, há expectativa do povoamento do CADURB com os dados cadastrais urbanos dos municípios de Campinas/SP, Belo Horizonte/BH e Fortaleza/CE.</w:t>
            </w:r>
          </w:p>
          <w:p w14:paraId="6B9C5986" w14:textId="658F10DB" w:rsidR="00CF214B" w:rsidRPr="0018772F" w:rsidRDefault="00E36900" w:rsidP="00CF214B">
            <w:pPr>
              <w:jc w:val="both"/>
              <w:rPr>
                <w:rFonts w:ascii="Calibri" w:hAnsi="Calibri" w:cs="Calibri"/>
                <w:bCs/>
                <w:color w:val="000000"/>
                <w:shd w:val="clear" w:color="auto" w:fill="FFFFFF"/>
              </w:rPr>
            </w:pPr>
            <w:r w:rsidRPr="00430A4F">
              <w:rPr>
                <w:rFonts w:asciiTheme="majorHAnsi" w:hAnsiTheme="majorHAnsi" w:cstheme="majorHAnsi"/>
                <w:color w:val="auto"/>
              </w:rPr>
              <w:t>A RFB confirma a expectativa de entrega do CADURB povoado com os dados cadastrais urbanos dos municípios de Campinas/SP, Belo Horizonte/BH e Fortaleza/CE, no prazo de 12 meses.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491994" w14:textId="18F7A89F" w:rsidR="00CF214B" w:rsidRPr="003D5CC6" w:rsidRDefault="00CF214B" w:rsidP="00ED2524">
            <w:pPr>
              <w:jc w:val="both"/>
              <w:rPr>
                <w:rFonts w:ascii="Calibri" w:hAnsi="Calibri" w:cs="Calibri"/>
                <w:b/>
                <w:bCs/>
                <w:iCs/>
                <w:color w:val="000000"/>
                <w:u w:val="single"/>
                <w:shd w:val="clear" w:color="auto" w:fill="FFFFFF"/>
              </w:rPr>
            </w:pPr>
          </w:p>
        </w:tc>
      </w:tr>
    </w:tbl>
    <w:p w14:paraId="6A844636" w14:textId="77777777" w:rsidR="00C22E67" w:rsidRDefault="000A0BC2">
      <w:pPr>
        <w:pStyle w:val="ttulo1"/>
      </w:pPr>
      <w:r>
        <w:lastRenderedPageBreak/>
        <w:t>riscos e problemas / SOLUÇÕES A SEREM tomadas</w:t>
      </w:r>
    </w:p>
    <w:tbl>
      <w:tblPr>
        <w:tblStyle w:val="Tabeladorelatriodestatus"/>
        <w:tblW w:w="5000" w:type="pct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82"/>
        <w:gridCol w:w="3622"/>
        <w:gridCol w:w="2437"/>
      </w:tblGrid>
      <w:tr w:rsidR="00C22E67" w14:paraId="40CC19C5" w14:textId="77777777" w:rsidTr="007E5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8668BF" w14:textId="77777777" w:rsidR="00C22E67" w:rsidRDefault="000A0BC2">
            <w:r>
              <w:t>Problema</w:t>
            </w:r>
          </w:p>
        </w:tc>
        <w:tc>
          <w:tcPr>
            <w:tcW w:w="3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6D4D24" w14:textId="77777777" w:rsidR="00C22E67" w:rsidRDefault="000A0BC2">
            <w:r>
              <w:t>causa</w:t>
            </w:r>
          </w:p>
        </w:tc>
        <w:tc>
          <w:tcPr>
            <w:tcW w:w="2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352B55" w14:textId="77777777" w:rsidR="00C22E67" w:rsidRDefault="000A0BC2">
            <w:r>
              <w:t>solução</w:t>
            </w:r>
          </w:p>
        </w:tc>
      </w:tr>
      <w:tr w:rsidR="00C22E67" w14:paraId="28B9B963" w14:textId="77777777" w:rsidTr="007E5FFE">
        <w:tc>
          <w:tcPr>
            <w:tcW w:w="36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83491F" w14:textId="79AC0374" w:rsidR="00C22E67" w:rsidRDefault="007952B9" w:rsidP="00CF4A98">
            <w:pPr>
              <w:rPr>
                <w:rFonts w:asciiTheme="majorHAnsi" w:hAnsiTheme="majorHAnsi"/>
                <w:color w:val="000000" w:themeColor="text1"/>
              </w:rPr>
            </w:pPr>
            <w:r w:rsidRPr="007952B9">
              <w:rPr>
                <w:rFonts w:asciiTheme="majorHAnsi" w:hAnsiTheme="majorHAnsi"/>
                <w:color w:val="000000" w:themeColor="text1"/>
              </w:rPr>
              <w:tab/>
              <w:t xml:space="preserve"> 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992C90" w14:textId="542D140F" w:rsidR="00C22E67" w:rsidRDefault="00C22E67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0C377F" w14:textId="60676574" w:rsidR="00C22E67" w:rsidRDefault="00C22E67" w:rsidP="007952B9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22E67" w14:paraId="67D07044" w14:textId="77777777" w:rsidTr="007E5FFE">
        <w:tc>
          <w:tcPr>
            <w:tcW w:w="36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09D1EB" w14:textId="03923F4C" w:rsidR="00C22E67" w:rsidRPr="00591F45" w:rsidRDefault="00C22E67">
            <w:pPr>
              <w:rPr>
                <w:rFonts w:asciiTheme="majorHAnsi" w:hAnsiTheme="majorHAnsi"/>
              </w:rPr>
            </w:pP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C72519" w14:textId="45D7D1A3" w:rsidR="00C22E67" w:rsidRPr="00591F45" w:rsidRDefault="00C22E6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E70C52" w14:textId="2DE50404" w:rsidR="00C22E67" w:rsidRPr="00591F45" w:rsidRDefault="00C22E67" w:rsidP="00591F45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</w:tbl>
    <w:p w14:paraId="426FCFAC" w14:textId="77777777" w:rsidR="00C22E67" w:rsidRDefault="000A0BC2">
      <w:pPr>
        <w:pStyle w:val="ttulo1"/>
        <w:shd w:val="clear" w:color="auto" w:fill="7E97AD"/>
        <w:jc w:val="both"/>
        <w:rPr>
          <w:sz w:val="14"/>
        </w:rPr>
      </w:pPr>
      <w:r>
        <w:t xml:space="preserve">ConclusãO (recomendações/observações/NECESSIDADE DE REPLANEJAMENTO) </w:t>
      </w:r>
    </w:p>
    <w:p w14:paraId="567ED3B2" w14:textId="77777777" w:rsidR="00C22E67" w:rsidRPr="007952B9" w:rsidRDefault="000A0BC2">
      <w:pPr>
        <w:jc w:val="both"/>
        <w:rPr>
          <w:rFonts w:asciiTheme="majorHAnsi" w:hAnsiTheme="majorHAnsi" w:cstheme="majorHAnsi"/>
          <w:color w:val="000000" w:themeColor="text1"/>
        </w:rPr>
      </w:pPr>
      <w:r w:rsidRPr="007952B9">
        <w:rPr>
          <w:rFonts w:asciiTheme="majorHAnsi" w:hAnsiTheme="majorHAnsi" w:cstheme="majorHAnsi"/>
          <w:color w:val="000000" w:themeColor="text1"/>
        </w:rPr>
        <w:t xml:space="preserve">Necessário se faz a realização de reuniões periódicas com os órgãos partícipes deste compromisso, objetivando descentralizar tarefas entre as partes, quando possível, no intuito de alcançar as metas estipuladas dentro dos prazos estabelecidos. </w:t>
      </w:r>
    </w:p>
    <w:p w14:paraId="5A8C482D" w14:textId="77777777" w:rsidR="00C22E67" w:rsidRPr="006D1CD7" w:rsidRDefault="000A0BC2">
      <w:pPr>
        <w:jc w:val="both"/>
        <w:rPr>
          <w:rFonts w:asciiTheme="majorHAnsi" w:hAnsiTheme="majorHAnsi" w:cstheme="majorHAnsi"/>
          <w:color w:val="000000" w:themeColor="text1"/>
        </w:rPr>
      </w:pPr>
      <w:r w:rsidRPr="006D1CD7">
        <w:rPr>
          <w:rFonts w:asciiTheme="majorHAnsi" w:hAnsiTheme="majorHAnsi" w:cstheme="majorHAnsi"/>
          <w:color w:val="000000" w:themeColor="text1"/>
        </w:rPr>
        <w:t>Convidar representante do Ministério de Desenvolvimento Regional (absorveu as funções do extinto Ministério das Cidades) para integrar o grupo responsável pelo Compromisso 8. Destaca-se que o extinto Ministério das Cidades vinha atuando na construção de um cadastro urbano.</w:t>
      </w:r>
    </w:p>
    <w:p w14:paraId="52B9D17F" w14:textId="77777777" w:rsidR="00C22E67" w:rsidRDefault="00C22E67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DA6C53C" w14:textId="77777777" w:rsidR="00C22E67" w:rsidRDefault="00C22E67">
      <w:pPr>
        <w:jc w:val="both"/>
      </w:pPr>
    </w:p>
    <w:sectPr w:rsidR="00C22E67" w:rsidSect="00FD6AB7">
      <w:footerReference w:type="default" r:id="rId16"/>
      <w:headerReference w:type="first" r:id="rId17"/>
      <w:pgSz w:w="11906" w:h="16838"/>
      <w:pgMar w:top="1080" w:right="1080" w:bottom="1418" w:left="1080" w:header="864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FFD5" w14:textId="77777777" w:rsidR="009054E2" w:rsidRDefault="009054E2">
      <w:pPr>
        <w:spacing w:before="0" w:after="0"/>
      </w:pPr>
      <w:r>
        <w:separator/>
      </w:r>
    </w:p>
  </w:endnote>
  <w:endnote w:type="continuationSeparator" w:id="0">
    <w:p w14:paraId="3D9410A4" w14:textId="77777777" w:rsidR="009054E2" w:rsidRDefault="009054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1F95" w14:textId="557244F3" w:rsidR="00C22E67" w:rsidRDefault="000A0BC2">
    <w:pPr>
      <w:pStyle w:val="rodap"/>
    </w:pPr>
    <w:r>
      <w:t>Página</w:t>
    </w:r>
    <w:r>
      <w:fldChar w:fldCharType="begin"/>
    </w:r>
    <w:r>
      <w:instrText>PAGE</w:instrText>
    </w:r>
    <w:r>
      <w:fldChar w:fldCharType="separate"/>
    </w:r>
    <w:r w:rsidR="0001065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6D83" w14:textId="77777777" w:rsidR="009054E2" w:rsidRDefault="009054E2">
      <w:pPr>
        <w:spacing w:before="0" w:after="0"/>
      </w:pPr>
      <w:r>
        <w:separator/>
      </w:r>
    </w:p>
  </w:footnote>
  <w:footnote w:type="continuationSeparator" w:id="0">
    <w:p w14:paraId="11B545E2" w14:textId="77777777" w:rsidR="009054E2" w:rsidRDefault="009054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746"/>
    </w:tblGrid>
    <w:tr w:rsidR="00C22E67" w14:paraId="3B09DFFE" w14:textId="77777777">
      <w:tc>
        <w:tcPr>
          <w:tcW w:w="9746" w:type="dxa"/>
          <w:shd w:val="clear" w:color="auto" w:fill="auto"/>
          <w:vAlign w:val="bottom"/>
        </w:tcPr>
        <w:p w14:paraId="2B8957DA" w14:textId="77777777" w:rsidR="00C22E67" w:rsidRDefault="000A0BC2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Ministério da Transparência, Fiscalização e Controladoria-Geral da União</w:t>
          </w:r>
        </w:p>
        <w:p w14:paraId="4EFC0AC1" w14:textId="77777777" w:rsidR="00C22E67" w:rsidRDefault="000A0BC2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Parceria para Governo Aberto – Open </w:t>
          </w:r>
          <w:proofErr w:type="spellStart"/>
          <w:r>
            <w:rPr>
              <w:b/>
              <w:sz w:val="24"/>
              <w:szCs w:val="24"/>
            </w:rPr>
            <w:t>Government</w:t>
          </w:r>
          <w:proofErr w:type="spellEnd"/>
          <w:r>
            <w:rPr>
              <w:b/>
              <w:sz w:val="24"/>
              <w:szCs w:val="24"/>
            </w:rPr>
            <w:t xml:space="preserve"> </w:t>
          </w:r>
          <w:proofErr w:type="spellStart"/>
          <w:r>
            <w:rPr>
              <w:b/>
              <w:sz w:val="24"/>
              <w:szCs w:val="24"/>
            </w:rPr>
            <w:t>Partnership</w:t>
          </w:r>
          <w:proofErr w:type="spellEnd"/>
          <w:r>
            <w:rPr>
              <w:b/>
              <w:sz w:val="24"/>
              <w:szCs w:val="24"/>
            </w:rPr>
            <w:t xml:space="preserve"> - OGP</w:t>
          </w:r>
        </w:p>
        <w:p w14:paraId="36356FAC" w14:textId="77777777" w:rsidR="00C22E67" w:rsidRDefault="00C22E67">
          <w:pPr>
            <w:spacing w:before="0" w:after="0"/>
            <w:rPr>
              <w:b/>
              <w:sz w:val="24"/>
              <w:szCs w:val="24"/>
            </w:rPr>
          </w:pPr>
        </w:p>
      </w:tc>
    </w:tr>
  </w:tbl>
  <w:p w14:paraId="04E2EA32" w14:textId="77777777" w:rsidR="00C22E67" w:rsidRDefault="00C22E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67"/>
    <w:rsid w:val="00003E97"/>
    <w:rsid w:val="0001065F"/>
    <w:rsid w:val="00026857"/>
    <w:rsid w:val="00033E3C"/>
    <w:rsid w:val="00053030"/>
    <w:rsid w:val="00060604"/>
    <w:rsid w:val="00073D35"/>
    <w:rsid w:val="000A0BC2"/>
    <w:rsid w:val="000B31AE"/>
    <w:rsid w:val="000C74C4"/>
    <w:rsid w:val="000D5D49"/>
    <w:rsid w:val="000E487C"/>
    <w:rsid w:val="00114763"/>
    <w:rsid w:val="00176514"/>
    <w:rsid w:val="00177FB8"/>
    <w:rsid w:val="00183649"/>
    <w:rsid w:val="0018772F"/>
    <w:rsid w:val="001A7D33"/>
    <w:rsid w:val="001A7F5E"/>
    <w:rsid w:val="001E6C9E"/>
    <w:rsid w:val="00222541"/>
    <w:rsid w:val="00262559"/>
    <w:rsid w:val="002717B6"/>
    <w:rsid w:val="00294BA5"/>
    <w:rsid w:val="002A62D7"/>
    <w:rsid w:val="002B50A0"/>
    <w:rsid w:val="00317380"/>
    <w:rsid w:val="003254B8"/>
    <w:rsid w:val="00364B9D"/>
    <w:rsid w:val="003B7A50"/>
    <w:rsid w:val="003D5CC6"/>
    <w:rsid w:val="00412EDB"/>
    <w:rsid w:val="00415696"/>
    <w:rsid w:val="00420B0A"/>
    <w:rsid w:val="00430A4F"/>
    <w:rsid w:val="0043573E"/>
    <w:rsid w:val="0047745B"/>
    <w:rsid w:val="004B4E0F"/>
    <w:rsid w:val="004B5D7C"/>
    <w:rsid w:val="004B6F60"/>
    <w:rsid w:val="004C2969"/>
    <w:rsid w:val="004D6269"/>
    <w:rsid w:val="004F622D"/>
    <w:rsid w:val="00514271"/>
    <w:rsid w:val="00517C06"/>
    <w:rsid w:val="005216BA"/>
    <w:rsid w:val="00524EAA"/>
    <w:rsid w:val="0054204C"/>
    <w:rsid w:val="00553337"/>
    <w:rsid w:val="005604FE"/>
    <w:rsid w:val="00575ECA"/>
    <w:rsid w:val="00591F45"/>
    <w:rsid w:val="005A297B"/>
    <w:rsid w:val="005B3AB5"/>
    <w:rsid w:val="005D1A4F"/>
    <w:rsid w:val="00607138"/>
    <w:rsid w:val="00631C4B"/>
    <w:rsid w:val="006336F8"/>
    <w:rsid w:val="0063683A"/>
    <w:rsid w:val="006373CC"/>
    <w:rsid w:val="006410E9"/>
    <w:rsid w:val="006660D6"/>
    <w:rsid w:val="00674663"/>
    <w:rsid w:val="006957F8"/>
    <w:rsid w:val="006A2265"/>
    <w:rsid w:val="006D1CD7"/>
    <w:rsid w:val="006E1CC8"/>
    <w:rsid w:val="00701DC0"/>
    <w:rsid w:val="007035FA"/>
    <w:rsid w:val="00761A23"/>
    <w:rsid w:val="007674A7"/>
    <w:rsid w:val="00772A42"/>
    <w:rsid w:val="00784C32"/>
    <w:rsid w:val="007952B9"/>
    <w:rsid w:val="007B33A4"/>
    <w:rsid w:val="007C29DF"/>
    <w:rsid w:val="007D2F63"/>
    <w:rsid w:val="007E5FFE"/>
    <w:rsid w:val="00807CF8"/>
    <w:rsid w:val="0082588F"/>
    <w:rsid w:val="00893260"/>
    <w:rsid w:val="008A6DCF"/>
    <w:rsid w:val="00904721"/>
    <w:rsid w:val="00905198"/>
    <w:rsid w:val="009054E2"/>
    <w:rsid w:val="0095021F"/>
    <w:rsid w:val="0097269B"/>
    <w:rsid w:val="00973CBC"/>
    <w:rsid w:val="00981BA6"/>
    <w:rsid w:val="0099033C"/>
    <w:rsid w:val="009A7655"/>
    <w:rsid w:val="009B1158"/>
    <w:rsid w:val="009B2E84"/>
    <w:rsid w:val="009C66AF"/>
    <w:rsid w:val="009C7037"/>
    <w:rsid w:val="009F7DB0"/>
    <w:rsid w:val="00A4611F"/>
    <w:rsid w:val="00A9679D"/>
    <w:rsid w:val="00AB479C"/>
    <w:rsid w:val="00AC408B"/>
    <w:rsid w:val="00AD58B0"/>
    <w:rsid w:val="00B05825"/>
    <w:rsid w:val="00B10C32"/>
    <w:rsid w:val="00B11CDB"/>
    <w:rsid w:val="00B3242C"/>
    <w:rsid w:val="00B40B91"/>
    <w:rsid w:val="00B8507A"/>
    <w:rsid w:val="00B94D82"/>
    <w:rsid w:val="00BC0713"/>
    <w:rsid w:val="00BD205C"/>
    <w:rsid w:val="00BD721D"/>
    <w:rsid w:val="00BF2628"/>
    <w:rsid w:val="00BF54F5"/>
    <w:rsid w:val="00C130FE"/>
    <w:rsid w:val="00C172E7"/>
    <w:rsid w:val="00C22E67"/>
    <w:rsid w:val="00C25D07"/>
    <w:rsid w:val="00C318C1"/>
    <w:rsid w:val="00C32FD5"/>
    <w:rsid w:val="00C4114B"/>
    <w:rsid w:val="00C62FBF"/>
    <w:rsid w:val="00CB4463"/>
    <w:rsid w:val="00CD3109"/>
    <w:rsid w:val="00CF214B"/>
    <w:rsid w:val="00CF4A98"/>
    <w:rsid w:val="00CF76F2"/>
    <w:rsid w:val="00D15D29"/>
    <w:rsid w:val="00D222D6"/>
    <w:rsid w:val="00D35059"/>
    <w:rsid w:val="00D36C32"/>
    <w:rsid w:val="00D441BE"/>
    <w:rsid w:val="00DA33B9"/>
    <w:rsid w:val="00DD193A"/>
    <w:rsid w:val="00DF4F09"/>
    <w:rsid w:val="00E138FD"/>
    <w:rsid w:val="00E36900"/>
    <w:rsid w:val="00E42313"/>
    <w:rsid w:val="00ED2524"/>
    <w:rsid w:val="00EE1507"/>
    <w:rsid w:val="00F0784A"/>
    <w:rsid w:val="00F3130C"/>
    <w:rsid w:val="00F37F52"/>
    <w:rsid w:val="00F41F0B"/>
    <w:rsid w:val="00F439CE"/>
    <w:rsid w:val="00F4459A"/>
    <w:rsid w:val="00F4740C"/>
    <w:rsid w:val="00F815D8"/>
    <w:rsid w:val="00F90F85"/>
    <w:rsid w:val="00F95124"/>
    <w:rsid w:val="00FB1996"/>
    <w:rsid w:val="00FB79E1"/>
    <w:rsid w:val="00FC3524"/>
    <w:rsid w:val="00FD6AB7"/>
    <w:rsid w:val="00FE1458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BEFB"/>
  <w15:docId w15:val="{4D207C4C-547E-4C9C-AA41-67F6340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docabealho">
    <w:name w:val="Carac do cabeçalho"/>
    <w:basedOn w:val="Fontepargpadro"/>
    <w:link w:val="cabealho"/>
    <w:uiPriority w:val="99"/>
    <w:qFormat/>
    <w:rPr>
      <w:kern w:val="2"/>
    </w:rPr>
  </w:style>
  <w:style w:type="character" w:customStyle="1" w:styleId="Caracdorodap">
    <w:name w:val="Carac do rodapé"/>
    <w:basedOn w:val="Fontepargpadro"/>
    <w:link w:val="rodap"/>
    <w:uiPriority w:val="99"/>
    <w:qFormat/>
    <w:rPr>
      <w:kern w:val="2"/>
    </w:rPr>
  </w:style>
  <w:style w:type="character" w:styleId="Forte">
    <w:name w:val="Strong"/>
    <w:basedOn w:val="Fontepargpadro"/>
    <w:uiPriority w:val="22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  <w:qFormat/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caps/>
      <w:color w:val="7E97AD" w:themeColor="accent1"/>
      <w:kern w:val="2"/>
      <w:sz w:val="48"/>
      <w:szCs w:val="48"/>
    </w:rPr>
  </w:style>
  <w:style w:type="character" w:customStyle="1" w:styleId="Textodoespaoreservado">
    <w:name w:val="Texto do espaço reservado"/>
    <w:basedOn w:val="Fontepargpadro"/>
    <w:uiPriority w:val="99"/>
    <w:semiHidden/>
    <w:qFormat/>
    <w:rPr>
      <w:color w:val="808080"/>
    </w:rPr>
  </w:style>
  <w:style w:type="character" w:customStyle="1" w:styleId="EncerramentoChar">
    <w:name w:val="Encerramento Char"/>
    <w:basedOn w:val="Fontepargpadro"/>
    <w:link w:val="Encerramento"/>
    <w:uiPriority w:val="99"/>
    <w:qFormat/>
    <w:rPr>
      <w:kern w:val="2"/>
    </w:rPr>
  </w:style>
  <w:style w:type="character" w:customStyle="1" w:styleId="Caracdottulo1">
    <w:name w:val="Carac do título 1"/>
    <w:basedOn w:val="Fontepargpadro"/>
    <w:link w:val="ttulo1"/>
    <w:uiPriority w:val="9"/>
    <w:qFormat/>
    <w:rPr>
      <w:rFonts w:asciiTheme="majorHAnsi" w:eastAsiaTheme="majorEastAsia" w:hAnsiTheme="majorHAnsi" w:cstheme="majorBidi"/>
      <w:caps/>
      <w:color w:val="FFFFFF" w:themeColor="background1"/>
      <w:kern w:val="2"/>
      <w:sz w:val="22"/>
      <w:szCs w:val="22"/>
      <w:shd w:val="clear" w:color="auto" w:fill="7E97AD"/>
    </w:rPr>
  </w:style>
  <w:style w:type="character" w:customStyle="1" w:styleId="CabealhoChar">
    <w:name w:val="Cabeçalho Char"/>
    <w:basedOn w:val="Fontepargpadro"/>
    <w:link w:val="Cabealho0"/>
    <w:uiPriority w:val="99"/>
    <w:qFormat/>
    <w:rsid w:val="00493B3D"/>
    <w:rPr>
      <w:kern w:val="2"/>
    </w:rPr>
  </w:style>
  <w:style w:type="character" w:customStyle="1" w:styleId="RodapChar">
    <w:name w:val="Rodapé Char"/>
    <w:basedOn w:val="Fontepargpadro"/>
    <w:link w:val="Rodap0"/>
    <w:uiPriority w:val="99"/>
    <w:qFormat/>
    <w:rsid w:val="00493B3D"/>
    <w:rPr>
      <w:kern w:val="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84918"/>
    <w:rPr>
      <w:rFonts w:ascii="Segoe UI" w:hAnsi="Segoe UI" w:cs="Segoe UI"/>
      <w:kern w:val="2"/>
      <w:sz w:val="18"/>
      <w:szCs w:val="18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B608BD"/>
    <w:rPr>
      <w:color w:val="0000FF"/>
      <w:u w:val="single"/>
    </w:rPr>
  </w:style>
  <w:style w:type="character" w:customStyle="1" w:styleId="object">
    <w:name w:val="object"/>
    <w:basedOn w:val="Fontepargpadro"/>
    <w:qFormat/>
    <w:rsid w:val="00FD4AE1"/>
  </w:style>
  <w:style w:type="paragraph" w:styleId="Ttulo">
    <w:name w:val="Title"/>
    <w:basedOn w:val="Normal"/>
    <w:next w:val="Corpodetexto"/>
    <w:link w:val="Ttulo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sz w:val="48"/>
      <w:szCs w:val="48"/>
    </w:rPr>
  </w:style>
  <w:style w:type="paragraph" w:styleId="Corpodetexto">
    <w:name w:val="Body Text"/>
    <w:basedOn w:val="Normal"/>
    <w:pPr>
      <w:spacing w:before="0"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qFormat/>
    <w:pPr>
      <w:tabs>
        <w:tab w:val="center" w:pos="4680"/>
        <w:tab w:val="right" w:pos="9360"/>
      </w:tabs>
      <w:spacing w:before="0" w:after="0"/>
      <w:jc w:val="right"/>
    </w:pPr>
  </w:style>
  <w:style w:type="paragraph" w:customStyle="1" w:styleId="rodap">
    <w:name w:val="rodapé"/>
    <w:basedOn w:val="Normal"/>
    <w:link w:val="Caracdorodap"/>
    <w:uiPriority w:val="99"/>
    <w:unhideWhenUsed/>
    <w:qFormat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paragraph" w:customStyle="1" w:styleId="Semespaamento">
    <w:name w:val="Sem espaçamento"/>
    <w:link w:val="Semcaracdeespaamento"/>
    <w:uiPriority w:val="1"/>
    <w:qFormat/>
  </w:style>
  <w:style w:type="paragraph" w:styleId="Encerramento">
    <w:name w:val="Closing"/>
    <w:basedOn w:val="Normal"/>
    <w:link w:val="EncerramentoChar"/>
    <w:uiPriority w:val="99"/>
    <w:unhideWhenUsed/>
    <w:qFormat/>
    <w:pPr>
      <w:spacing w:before="600" w:after="80"/>
    </w:p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84918"/>
    <w:pPr>
      <w:spacing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057EE7"/>
    <w:pPr>
      <w:spacing w:before="0" w:after="160" w:line="259" w:lineRule="auto"/>
    </w:pPr>
    <w:rPr>
      <w:rFonts w:ascii="Times New Roman" w:hAnsi="Times New Roman" w:cs="Times New Roman"/>
      <w:color w:val="00000A"/>
      <w:kern w:val="0"/>
      <w:sz w:val="24"/>
      <w:szCs w:val="24"/>
      <w:lang w:val="en-US" w:eastAsia="en-US"/>
    </w:rPr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FFFFFF" w:themeColor="background1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table" w:styleId="Tabelacomgrade">
    <w:name w:val="Table Grid"/>
    <w:basedOn w:val="Tabelanormal"/>
    <w:uiPriority w:val="59"/>
    <w:rsid w:val="007E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53030"/>
    <w:rPr>
      <w:color w:val="646464" w:themeColor="hyperlink"/>
      <w:u w:val="single"/>
    </w:rPr>
  </w:style>
  <w:style w:type="paragraph" w:customStyle="1" w:styleId="Standard">
    <w:name w:val="Standard"/>
    <w:rsid w:val="00003E97"/>
    <w:pPr>
      <w:suppressAutoHyphens/>
      <w:autoSpaceDN w:val="0"/>
      <w:spacing w:before="40" w:after="40"/>
      <w:textAlignment w:val="baseline"/>
    </w:pPr>
    <w:rPr>
      <w:rFonts w:ascii="Cambria" w:eastAsia="Cambria" w:hAnsi="Cambria" w:cs="F"/>
      <w:color w:val="595959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eceita.economia.gov.br/orientacao/tributaria/cadastros/cadastro-nacional-de-pessoas-juridicas-cnpj/dados-publicos-cnp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cervofundiario.incra.gov.br/acervo/acv.ph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cra.gov.br/consulta-imoveis-rurai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receita.economia.gov.br/orientacao/tributaria/cadastros/consultas/consulta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letorcafir.receita.fazenda.gov.br/coletor/consulta/consultaCafir.jsf;jsessionid=xE2ihHVLToYUz5cDaMxh1H+D.coletor1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d0ff93-9992-4754-ba7a-dbbf76807a01">
      <UserInfo>
        <DisplayName/>
        <AccountId xsi:nil="true"/>
        <AccountType/>
      </UserInfo>
    </SharedWithUsers>
  </documentManagement>
</p:properties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5DB345C3DD4EAF4B67B8D324887D" ma:contentTypeVersion="11" ma:contentTypeDescription="Create a new document." ma:contentTypeScope="" ma:versionID="50bd2cd6028c18a3755dae936038636a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5d300d1f0d10c412cb281e80f567fa2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C130E-C8B6-4CEB-9B97-18B511103F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33696-A212-40F0-BD65-748D5CD0F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84C18-9977-4014-9C1D-E35A174DE77B}">
  <ds:schemaRefs>
    <ds:schemaRef ds:uri="http://schemas.microsoft.com/office/2006/metadata/properties"/>
    <ds:schemaRef ds:uri="http://schemas.microsoft.com/office/infopath/2007/PartnerControls"/>
    <ds:schemaRef ds:uri="67d0ff93-9992-4754-ba7a-dbbf76807a01"/>
  </ds:schemaRefs>
</ds:datastoreItem>
</file>

<file path=customXml/itemProps4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5.xml><?xml version="1.0" encoding="utf-8"?>
<ds:datastoreItem xmlns:ds="http://schemas.openxmlformats.org/officeDocument/2006/customXml" ds:itemID="{3AD60D27-36D2-47AC-BA24-FAF5C58D1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1723</Words>
  <Characters>9308</Characters>
  <Application>Microsoft Office Word</Application>
  <DocSecurity>4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Aureliano Vogado Rodrigues Junior</dc:creator>
  <dc:description/>
  <cp:lastModifiedBy>Maíra Souza Rodrigues Póvoa</cp:lastModifiedBy>
  <cp:revision>2</cp:revision>
  <cp:lastPrinted>2017-01-03T14:43:00Z</cp:lastPrinted>
  <dcterms:created xsi:type="dcterms:W3CDTF">2021-06-15T18:30:00Z</dcterms:created>
  <dcterms:modified xsi:type="dcterms:W3CDTF">2021-06-15T18:30:00Z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TC027909449991</vt:lpwstr>
  </property>
  <property fmtid="{D5CDD505-2E9C-101B-9397-08002B2CF9AE}" pid="9" name="ContentTypeId">
    <vt:lpwstr>0x0101001E465DB345C3DD4EAF4B67B8D324887D</vt:lpwstr>
  </property>
  <property fmtid="{D5CDD505-2E9C-101B-9397-08002B2CF9AE}" pid="10" name="Order">
    <vt:r8>523300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</Properties>
</file>