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3CC" w:rsidRPr="009721DB" w:rsidRDefault="00B513CC" w:rsidP="00B513CC">
      <w:pPr>
        <w:pStyle w:val="Corpodetexto22"/>
        <w:pageBreakBefore/>
        <w:jc w:val="center"/>
        <w:rPr>
          <w:rFonts w:ascii="Arial" w:hAnsi="Arial" w:cs="Arial"/>
          <w:position w:val="-16"/>
          <w:sz w:val="20"/>
        </w:rPr>
      </w:pPr>
      <w:r w:rsidRPr="009721DB">
        <w:rPr>
          <w:rFonts w:ascii="Arial" w:hAnsi="Arial" w:cs="Arial"/>
          <w:noProof/>
          <w:sz w:val="20"/>
          <w:lang w:eastAsia="pt-BR"/>
        </w:rPr>
        <w:drawing>
          <wp:inline distT="0" distB="0" distL="0" distR="0">
            <wp:extent cx="897255" cy="871220"/>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7255" cy="871220"/>
                    </a:xfrm>
                    <a:prstGeom prst="rect">
                      <a:avLst/>
                    </a:prstGeom>
                    <a:solidFill>
                      <a:srgbClr val="FFFFFF"/>
                    </a:solidFill>
                    <a:ln>
                      <a:noFill/>
                    </a:ln>
                  </pic:spPr>
                </pic:pic>
              </a:graphicData>
            </a:graphic>
          </wp:inline>
        </w:drawing>
      </w:r>
    </w:p>
    <w:p w:rsidR="00B513CC" w:rsidRPr="009721DB" w:rsidRDefault="00E2413F" w:rsidP="00B513CC">
      <w:pPr>
        <w:jc w:val="center"/>
        <w:rPr>
          <w:rFonts w:ascii="Arial" w:hAnsi="Arial" w:cs="Arial"/>
          <w:position w:val="-16"/>
        </w:rPr>
      </w:pPr>
      <w:r w:rsidRPr="009721DB">
        <w:rPr>
          <w:rFonts w:ascii="Arial" w:hAnsi="Arial" w:cs="Arial"/>
          <w:position w:val="-16"/>
        </w:rPr>
        <w:t xml:space="preserve">MINISTÉRIO DA TRANSPARÊNCIA E </w:t>
      </w:r>
      <w:r w:rsidR="00B513CC" w:rsidRPr="009721DB">
        <w:rPr>
          <w:rFonts w:ascii="Arial" w:hAnsi="Arial" w:cs="Arial"/>
          <w:position w:val="-16"/>
        </w:rPr>
        <w:t>CONTROLADORIA-GERAL DA UNIÃO</w:t>
      </w:r>
    </w:p>
    <w:p w:rsidR="00B513CC" w:rsidRPr="009721DB" w:rsidRDefault="00B513CC" w:rsidP="00B513CC">
      <w:pPr>
        <w:jc w:val="center"/>
        <w:rPr>
          <w:rFonts w:ascii="Arial" w:hAnsi="Arial" w:cs="Arial"/>
          <w:position w:val="-16"/>
        </w:rPr>
      </w:pPr>
      <w:r w:rsidRPr="009721DB">
        <w:rPr>
          <w:rFonts w:ascii="Arial" w:hAnsi="Arial" w:cs="Arial"/>
          <w:position w:val="-16"/>
        </w:rPr>
        <w:t>DIRETORIA DE GESTÃO INTERNA</w:t>
      </w:r>
    </w:p>
    <w:p w:rsidR="00B513CC" w:rsidRPr="009721DB" w:rsidRDefault="00B513CC" w:rsidP="00B513CC">
      <w:pPr>
        <w:jc w:val="center"/>
        <w:rPr>
          <w:rFonts w:ascii="Arial" w:hAnsi="Arial" w:cs="Arial"/>
          <w:b/>
          <w:u w:val="single"/>
        </w:rPr>
      </w:pPr>
    </w:p>
    <w:p w:rsidR="00C2775E" w:rsidRPr="009721DB" w:rsidRDefault="00C2775E" w:rsidP="00B513CC">
      <w:pPr>
        <w:jc w:val="center"/>
        <w:rPr>
          <w:rFonts w:ascii="Arial" w:hAnsi="Arial" w:cs="Arial"/>
          <w:b/>
          <w:u w:val="single"/>
        </w:rPr>
      </w:pPr>
    </w:p>
    <w:p w:rsidR="00B513CC" w:rsidRPr="009721DB" w:rsidRDefault="00B513CC" w:rsidP="00B513CC">
      <w:pPr>
        <w:jc w:val="center"/>
        <w:rPr>
          <w:rFonts w:ascii="Arial" w:hAnsi="Arial" w:cs="Arial"/>
          <w:b/>
          <w:u w:val="single"/>
        </w:rPr>
      </w:pPr>
      <w:r w:rsidRPr="009721DB">
        <w:rPr>
          <w:rFonts w:ascii="Arial" w:hAnsi="Arial" w:cs="Arial"/>
          <w:b/>
          <w:u w:val="single"/>
        </w:rPr>
        <w:t>PEDIDO DE ESCLARECIMENTO Nº 0</w:t>
      </w:r>
      <w:r w:rsidR="006E1F6E">
        <w:rPr>
          <w:rFonts w:ascii="Arial" w:hAnsi="Arial" w:cs="Arial"/>
          <w:b/>
          <w:u w:val="single"/>
        </w:rPr>
        <w:t>2</w:t>
      </w:r>
      <w:r w:rsidRPr="009721DB">
        <w:rPr>
          <w:rFonts w:ascii="Arial" w:hAnsi="Arial" w:cs="Arial"/>
          <w:b/>
          <w:u w:val="single"/>
        </w:rPr>
        <w:t xml:space="preserve"> – PE Nº 0</w:t>
      </w:r>
      <w:r w:rsidR="00AD292E" w:rsidRPr="009721DB">
        <w:rPr>
          <w:rFonts w:ascii="Arial" w:hAnsi="Arial" w:cs="Arial"/>
          <w:b/>
          <w:u w:val="single"/>
        </w:rPr>
        <w:t>6/</w:t>
      </w:r>
      <w:r w:rsidR="00DE048F">
        <w:rPr>
          <w:rFonts w:ascii="Arial" w:hAnsi="Arial" w:cs="Arial"/>
          <w:b/>
          <w:u w:val="single"/>
        </w:rPr>
        <w:t>20</w:t>
      </w:r>
      <w:r w:rsidRPr="009721DB">
        <w:rPr>
          <w:rFonts w:ascii="Arial" w:hAnsi="Arial" w:cs="Arial"/>
          <w:b/>
          <w:u w:val="single"/>
        </w:rPr>
        <w:t>1</w:t>
      </w:r>
      <w:r w:rsidR="00E2413F" w:rsidRPr="009721DB">
        <w:rPr>
          <w:rFonts w:ascii="Arial" w:hAnsi="Arial" w:cs="Arial"/>
          <w:b/>
          <w:u w:val="single"/>
        </w:rPr>
        <w:t>7</w:t>
      </w:r>
    </w:p>
    <w:p w:rsidR="00B513CC" w:rsidRPr="009721DB" w:rsidRDefault="00B513CC" w:rsidP="00B513CC">
      <w:pPr>
        <w:jc w:val="both"/>
        <w:rPr>
          <w:rFonts w:ascii="Arial" w:hAnsi="Arial" w:cs="Arial"/>
          <w:b/>
          <w:u w:val="single"/>
        </w:rPr>
      </w:pPr>
    </w:p>
    <w:p w:rsidR="00B513CC" w:rsidRPr="009721DB" w:rsidRDefault="00B513CC" w:rsidP="00B513CC">
      <w:pPr>
        <w:jc w:val="both"/>
        <w:rPr>
          <w:rFonts w:ascii="Arial" w:eastAsia="Calibri" w:hAnsi="Arial" w:cs="Arial"/>
        </w:rPr>
      </w:pPr>
    </w:p>
    <w:p w:rsidR="00B513CC" w:rsidRPr="009721DB" w:rsidRDefault="00802085" w:rsidP="00B513CC">
      <w:pPr>
        <w:jc w:val="both"/>
        <w:rPr>
          <w:rFonts w:ascii="Arial" w:eastAsia="Calibri" w:hAnsi="Arial" w:cs="Arial"/>
          <w:b/>
          <w:bCs/>
          <w:u w:val="single"/>
          <w:lang w:eastAsia="en-US"/>
        </w:rPr>
      </w:pPr>
      <w:r w:rsidRPr="009721DB">
        <w:rPr>
          <w:rFonts w:ascii="Arial" w:eastAsia="Calibri" w:hAnsi="Arial" w:cs="Arial"/>
          <w:b/>
          <w:bCs/>
          <w:u w:val="single"/>
          <w:lang w:eastAsia="en-US"/>
        </w:rPr>
        <w:t xml:space="preserve">Pedido de Esclarecimento </w:t>
      </w:r>
      <w:r w:rsidR="006E1F6E">
        <w:rPr>
          <w:rFonts w:ascii="Arial" w:eastAsia="Calibri" w:hAnsi="Arial" w:cs="Arial"/>
          <w:b/>
          <w:bCs/>
          <w:u w:val="single"/>
          <w:lang w:eastAsia="en-US"/>
        </w:rPr>
        <w:t>2</w:t>
      </w:r>
      <w:r w:rsidRPr="009721DB">
        <w:rPr>
          <w:rFonts w:ascii="Arial" w:eastAsia="Calibri" w:hAnsi="Arial" w:cs="Arial"/>
          <w:b/>
          <w:bCs/>
          <w:u w:val="single"/>
          <w:lang w:eastAsia="en-US"/>
        </w:rPr>
        <w:t xml:space="preserve">: </w:t>
      </w:r>
    </w:p>
    <w:p w:rsidR="0086187C" w:rsidRPr="009721DB" w:rsidRDefault="0086187C">
      <w:pPr>
        <w:rPr>
          <w:rFonts w:ascii="Arial" w:hAnsi="Arial" w:cs="Arial"/>
        </w:rPr>
      </w:pPr>
    </w:p>
    <w:p w:rsidR="009721DB" w:rsidRDefault="009721DB" w:rsidP="00DE048F">
      <w:pPr>
        <w:pStyle w:val="PargrafodaLista"/>
        <w:numPr>
          <w:ilvl w:val="0"/>
          <w:numId w:val="1"/>
        </w:numPr>
        <w:shd w:val="clear" w:color="auto" w:fill="FFFFFF"/>
        <w:spacing w:before="0" w:after="0" w:line="240" w:lineRule="auto"/>
        <w:ind w:left="0" w:firstLine="0"/>
        <w:rPr>
          <w:bCs/>
          <w:iCs/>
          <w:sz w:val="20"/>
          <w:szCs w:val="20"/>
        </w:rPr>
      </w:pPr>
      <w:r w:rsidRPr="009721DB">
        <w:rPr>
          <w:bCs/>
          <w:iCs/>
          <w:sz w:val="20"/>
          <w:szCs w:val="20"/>
        </w:rPr>
        <w:t xml:space="preserve">Visto que, conforme jurisprudência do Tribunal de Contas da União, o Órgão Licitante não pode estabelecer o salário da categoria, qual será o critério de aceitação para os valores ofertados pelos licitantes? Qual será o critério utilizado para aferição da exequibilidade dos valores propostos no tocante aos salários e demais itens? </w:t>
      </w:r>
    </w:p>
    <w:p w:rsidR="009721DB" w:rsidRPr="009721DB" w:rsidRDefault="009721DB" w:rsidP="00DE048F">
      <w:pPr>
        <w:pStyle w:val="PargrafodaLista"/>
        <w:shd w:val="clear" w:color="auto" w:fill="FFFFFF"/>
        <w:spacing w:before="0" w:after="0" w:line="240" w:lineRule="auto"/>
        <w:ind w:left="0"/>
        <w:rPr>
          <w:bCs/>
          <w:iCs/>
          <w:sz w:val="20"/>
          <w:szCs w:val="20"/>
        </w:rPr>
      </w:pPr>
    </w:p>
    <w:p w:rsidR="009721DB" w:rsidRDefault="009721DB" w:rsidP="00DE048F">
      <w:pPr>
        <w:pStyle w:val="PargrafodaLista"/>
        <w:numPr>
          <w:ilvl w:val="0"/>
          <w:numId w:val="1"/>
        </w:numPr>
        <w:shd w:val="clear" w:color="auto" w:fill="FFFFFF"/>
        <w:spacing w:before="0" w:after="0" w:line="240" w:lineRule="auto"/>
        <w:ind w:left="0" w:firstLine="0"/>
        <w:rPr>
          <w:bCs/>
          <w:iCs/>
          <w:sz w:val="20"/>
          <w:szCs w:val="20"/>
        </w:rPr>
      </w:pPr>
      <w:r w:rsidRPr="009721DB">
        <w:rPr>
          <w:bCs/>
          <w:iCs/>
          <w:sz w:val="20"/>
          <w:szCs w:val="20"/>
        </w:rPr>
        <w:t xml:space="preserve">Caso exista discordância entre os percentuais e valores propostos pelo licitante em decorrência do entendimento do Pregoeiro e da Área Técnica, haverá possibilidade de correção de erros considerados formais. </w:t>
      </w:r>
    </w:p>
    <w:p w:rsidR="009721DB" w:rsidRPr="009721DB" w:rsidRDefault="009721DB" w:rsidP="00DE048F">
      <w:pPr>
        <w:pStyle w:val="PargrafodaLista"/>
        <w:shd w:val="clear" w:color="auto" w:fill="FFFFFF"/>
        <w:spacing w:before="0" w:after="0" w:line="240" w:lineRule="auto"/>
        <w:ind w:left="0"/>
        <w:rPr>
          <w:bCs/>
          <w:iCs/>
          <w:sz w:val="20"/>
          <w:szCs w:val="20"/>
        </w:rPr>
      </w:pPr>
    </w:p>
    <w:p w:rsidR="009721DB" w:rsidRDefault="009721DB" w:rsidP="00DE048F">
      <w:pPr>
        <w:pStyle w:val="PargrafodaLista"/>
        <w:numPr>
          <w:ilvl w:val="0"/>
          <w:numId w:val="1"/>
        </w:numPr>
        <w:shd w:val="clear" w:color="auto" w:fill="FFFFFF"/>
        <w:spacing w:before="0" w:after="0" w:line="240" w:lineRule="auto"/>
        <w:ind w:left="0" w:firstLine="0"/>
        <w:rPr>
          <w:bCs/>
          <w:iCs/>
          <w:sz w:val="20"/>
          <w:szCs w:val="20"/>
        </w:rPr>
      </w:pPr>
      <w:r w:rsidRPr="009721DB">
        <w:rPr>
          <w:bCs/>
          <w:iCs/>
          <w:sz w:val="20"/>
          <w:szCs w:val="20"/>
        </w:rPr>
        <w:t xml:space="preserve">Valores ou percentuais irrisórios inseridos na planilha de composição de custos serão fatores suficientes para que seja declarada a inexequibilidade da proposta de preços apresentada pela empresa licitante? </w:t>
      </w:r>
    </w:p>
    <w:p w:rsidR="009721DB" w:rsidRPr="009721DB" w:rsidRDefault="009721DB" w:rsidP="00DE048F">
      <w:pPr>
        <w:pStyle w:val="PargrafodaLista"/>
        <w:shd w:val="clear" w:color="auto" w:fill="FFFFFF"/>
        <w:spacing w:before="0" w:after="0" w:line="240" w:lineRule="auto"/>
        <w:ind w:left="0"/>
        <w:rPr>
          <w:bCs/>
          <w:iCs/>
          <w:sz w:val="20"/>
          <w:szCs w:val="20"/>
        </w:rPr>
      </w:pPr>
    </w:p>
    <w:p w:rsidR="009721DB" w:rsidRDefault="009721DB" w:rsidP="00DE048F">
      <w:pPr>
        <w:pStyle w:val="PargrafodaLista"/>
        <w:numPr>
          <w:ilvl w:val="0"/>
          <w:numId w:val="1"/>
        </w:numPr>
        <w:shd w:val="clear" w:color="auto" w:fill="FFFFFF"/>
        <w:spacing w:before="0" w:after="0" w:line="240" w:lineRule="auto"/>
        <w:ind w:left="0" w:firstLine="0"/>
        <w:rPr>
          <w:bCs/>
          <w:iCs/>
          <w:sz w:val="20"/>
          <w:szCs w:val="20"/>
        </w:rPr>
      </w:pPr>
      <w:r w:rsidRPr="009721DB">
        <w:rPr>
          <w:bCs/>
          <w:iCs/>
          <w:sz w:val="20"/>
          <w:szCs w:val="20"/>
        </w:rPr>
        <w:t>Para fins de exequibilidade das propostas de preços, será considerado o custo mínimo necessário para que a empresa vencedora consiga executar o contrato? Nesse contexto, a proposta de preços, em seu valor global, deve abarcar todas as despesas necessárias para a execução do contrato, ainda que determinados valores não possam ser apresentados na planilha de formação de preços, como, por exemplo, os custos referentes ao imposto de renda de pessoa jurídica (IRPJ) e a contribuição social sobre o lucro líquido (CSLL)?</w:t>
      </w:r>
    </w:p>
    <w:p w:rsidR="009721DB" w:rsidRPr="009721DB" w:rsidRDefault="009721DB" w:rsidP="00DE048F">
      <w:pPr>
        <w:shd w:val="clear" w:color="auto" w:fill="FFFFFF"/>
        <w:jc w:val="both"/>
        <w:rPr>
          <w:bCs/>
          <w:iCs/>
        </w:rPr>
      </w:pPr>
    </w:p>
    <w:p w:rsidR="009721DB" w:rsidRDefault="009721DB" w:rsidP="00DE048F">
      <w:pPr>
        <w:pStyle w:val="PargrafodaLista"/>
        <w:numPr>
          <w:ilvl w:val="0"/>
          <w:numId w:val="1"/>
        </w:numPr>
        <w:shd w:val="clear" w:color="auto" w:fill="FFFFFF"/>
        <w:spacing w:before="0" w:after="0" w:line="240" w:lineRule="auto"/>
        <w:ind w:left="0" w:firstLine="0"/>
        <w:rPr>
          <w:bCs/>
          <w:iCs/>
          <w:sz w:val="20"/>
          <w:szCs w:val="20"/>
        </w:rPr>
      </w:pPr>
      <w:r w:rsidRPr="009721DB">
        <w:rPr>
          <w:bCs/>
          <w:iCs/>
          <w:sz w:val="20"/>
          <w:szCs w:val="20"/>
        </w:rPr>
        <w:t xml:space="preserve">Serão realizadas, pelo Pregoeiro, as diligências necessárias para certificar que a planilha de composição de custos contém os valores referentes aos custos da execução do contrato, tendo em vista a demonstração inequívoca da exequibilidade da proposta? </w:t>
      </w:r>
    </w:p>
    <w:p w:rsidR="009721DB" w:rsidRPr="009721DB" w:rsidRDefault="009721DB" w:rsidP="00DE048F">
      <w:pPr>
        <w:shd w:val="clear" w:color="auto" w:fill="FFFFFF"/>
        <w:jc w:val="both"/>
        <w:rPr>
          <w:bCs/>
          <w:iCs/>
        </w:rPr>
      </w:pPr>
    </w:p>
    <w:p w:rsidR="009721DB" w:rsidRDefault="009721DB" w:rsidP="00DE048F">
      <w:pPr>
        <w:pStyle w:val="PargrafodaLista"/>
        <w:numPr>
          <w:ilvl w:val="0"/>
          <w:numId w:val="1"/>
        </w:numPr>
        <w:shd w:val="clear" w:color="auto" w:fill="FFFFFF"/>
        <w:spacing w:before="0" w:after="0" w:line="240" w:lineRule="auto"/>
        <w:ind w:left="0" w:firstLine="0"/>
        <w:rPr>
          <w:bCs/>
          <w:iCs/>
          <w:sz w:val="20"/>
          <w:szCs w:val="20"/>
        </w:rPr>
      </w:pPr>
      <w:r w:rsidRPr="009721DB">
        <w:rPr>
          <w:bCs/>
          <w:iCs/>
          <w:sz w:val="20"/>
          <w:szCs w:val="20"/>
        </w:rPr>
        <w:t xml:space="preserve">Serão realizadas diligências no tocante à abertura e à decomposição da planilha de custos indiretos apresentada pela empresa vencedora do certâmen? </w:t>
      </w:r>
    </w:p>
    <w:p w:rsidR="009721DB" w:rsidRPr="009721DB" w:rsidRDefault="009721DB" w:rsidP="00DE048F">
      <w:pPr>
        <w:shd w:val="clear" w:color="auto" w:fill="FFFFFF"/>
        <w:jc w:val="both"/>
        <w:rPr>
          <w:bCs/>
          <w:iCs/>
        </w:rPr>
      </w:pPr>
    </w:p>
    <w:p w:rsidR="009721DB" w:rsidRPr="009721DB" w:rsidRDefault="009721DB" w:rsidP="00DE048F">
      <w:pPr>
        <w:pStyle w:val="PargrafodaLista"/>
        <w:numPr>
          <w:ilvl w:val="0"/>
          <w:numId w:val="1"/>
        </w:numPr>
        <w:shd w:val="clear" w:color="auto" w:fill="FFFFFF"/>
        <w:spacing w:before="0" w:after="0" w:line="240" w:lineRule="auto"/>
        <w:ind w:left="0" w:firstLine="0"/>
        <w:rPr>
          <w:bCs/>
          <w:iCs/>
          <w:sz w:val="20"/>
          <w:szCs w:val="20"/>
        </w:rPr>
      </w:pPr>
      <w:r w:rsidRPr="009721DB">
        <w:rPr>
          <w:bCs/>
          <w:iCs/>
          <w:sz w:val="20"/>
          <w:szCs w:val="20"/>
        </w:rPr>
        <w:t xml:space="preserve">No que diz respeito à </w:t>
      </w:r>
      <w:proofErr w:type="spellStart"/>
      <w:r w:rsidRPr="009721DB">
        <w:rPr>
          <w:bCs/>
          <w:iCs/>
          <w:sz w:val="20"/>
          <w:szCs w:val="20"/>
        </w:rPr>
        <w:t>reoneração</w:t>
      </w:r>
      <w:proofErr w:type="spellEnd"/>
      <w:r w:rsidRPr="009721DB">
        <w:rPr>
          <w:bCs/>
          <w:iCs/>
          <w:sz w:val="20"/>
          <w:szCs w:val="20"/>
        </w:rPr>
        <w:t xml:space="preserve"> da folha de pagamentos estabelecida pela Medida Provisória nº 774/2017, de 30/03/2017, a qual produzirá efeitos apenas a partir de 1º/07/2017, e ainda depende de aprovação do Congresso Nacional para transformação definitiva em lei, cabendo ressaltar que, durante o trâmite legislativo, as disposições da referida Medida Provisória poderão ser rejeitadas pelo Congresso Nacional, ou até mesmo alteradas substancialmente. Será concedida revisão dos valores quando da efetiva entrada em vigor da MP 774/2017, ou já deverá ser considerada a </w:t>
      </w:r>
      <w:proofErr w:type="spellStart"/>
      <w:r w:rsidRPr="009721DB">
        <w:rPr>
          <w:bCs/>
          <w:iCs/>
          <w:sz w:val="20"/>
          <w:szCs w:val="20"/>
        </w:rPr>
        <w:t>reoneração</w:t>
      </w:r>
      <w:proofErr w:type="spellEnd"/>
      <w:r w:rsidRPr="009721DB">
        <w:rPr>
          <w:bCs/>
          <w:iCs/>
          <w:sz w:val="20"/>
          <w:szCs w:val="20"/>
        </w:rPr>
        <w:t xml:space="preserve"> nos preços do pregão? </w:t>
      </w:r>
    </w:p>
    <w:p w:rsidR="00B513CC" w:rsidRPr="009721DB" w:rsidRDefault="00B513CC">
      <w:pPr>
        <w:rPr>
          <w:rFonts w:ascii="Arial" w:hAnsi="Arial" w:cs="Arial"/>
        </w:rPr>
      </w:pPr>
    </w:p>
    <w:p w:rsidR="00B513CC" w:rsidRPr="009721DB" w:rsidRDefault="00B513CC">
      <w:pPr>
        <w:rPr>
          <w:rFonts w:ascii="Arial" w:hAnsi="Arial" w:cs="Arial"/>
        </w:rPr>
      </w:pPr>
    </w:p>
    <w:p w:rsidR="00B513CC" w:rsidRPr="009721DB" w:rsidRDefault="00B513CC" w:rsidP="00B513CC">
      <w:pPr>
        <w:jc w:val="both"/>
        <w:rPr>
          <w:rFonts w:ascii="Arial" w:eastAsia="Calibri" w:hAnsi="Arial" w:cs="Arial"/>
          <w:b/>
          <w:u w:val="single"/>
          <w:lang w:eastAsia="en-US"/>
        </w:rPr>
      </w:pPr>
      <w:r w:rsidRPr="009721DB">
        <w:rPr>
          <w:rFonts w:ascii="Arial" w:eastAsia="Calibri" w:hAnsi="Arial" w:cs="Arial"/>
          <w:b/>
          <w:u w:val="single"/>
          <w:lang w:eastAsia="en-US"/>
        </w:rPr>
        <w:t>RESPOSTA</w:t>
      </w:r>
      <w:bookmarkStart w:id="0" w:name="_GoBack"/>
      <w:bookmarkEnd w:id="0"/>
      <w:r w:rsidRPr="009721DB">
        <w:rPr>
          <w:rFonts w:ascii="Arial" w:eastAsia="Calibri" w:hAnsi="Arial" w:cs="Arial"/>
          <w:b/>
          <w:u w:val="single"/>
          <w:lang w:eastAsia="en-US"/>
        </w:rPr>
        <w:t>:</w:t>
      </w:r>
    </w:p>
    <w:p w:rsidR="00B513CC" w:rsidRDefault="00B513CC">
      <w:pPr>
        <w:rPr>
          <w:rFonts w:ascii="Arial" w:hAnsi="Arial" w:cs="Arial"/>
        </w:rPr>
      </w:pPr>
    </w:p>
    <w:p w:rsidR="0032607D" w:rsidRPr="0032607D" w:rsidRDefault="0032607D" w:rsidP="00DE048F">
      <w:pPr>
        <w:jc w:val="both"/>
        <w:rPr>
          <w:rFonts w:ascii="Arial" w:hAnsi="Arial" w:cs="Arial"/>
        </w:rPr>
      </w:pPr>
      <w:r w:rsidRPr="0032607D">
        <w:rPr>
          <w:rFonts w:ascii="Arial" w:hAnsi="Arial" w:cs="Arial"/>
          <w:b/>
        </w:rPr>
        <w:t>Conforme manifestação da área técnica desta CGU</w:t>
      </w:r>
      <w:r w:rsidR="00DE048F">
        <w:rPr>
          <w:rFonts w:ascii="Arial" w:hAnsi="Arial" w:cs="Arial"/>
        </w:rPr>
        <w:t>, u</w:t>
      </w:r>
      <w:r w:rsidRPr="0032607D">
        <w:rPr>
          <w:rFonts w:ascii="Arial" w:hAnsi="Arial" w:cs="Arial"/>
        </w:rPr>
        <w:t xml:space="preserve">ma vez que a presente licitação </w:t>
      </w:r>
      <w:proofErr w:type="gramStart"/>
      <w:r w:rsidRPr="0032607D">
        <w:rPr>
          <w:rFonts w:ascii="Arial" w:hAnsi="Arial" w:cs="Arial"/>
        </w:rPr>
        <w:t>trata-se</w:t>
      </w:r>
      <w:proofErr w:type="gramEnd"/>
      <w:r w:rsidRPr="0032607D">
        <w:rPr>
          <w:rFonts w:ascii="Arial" w:hAnsi="Arial" w:cs="Arial"/>
        </w:rPr>
        <w:t xml:space="preserve"> de </w:t>
      </w:r>
      <w:r w:rsidRPr="0032607D">
        <w:rPr>
          <w:rFonts w:ascii="Arial" w:hAnsi="Arial" w:cs="Arial"/>
          <w:u w:val="single"/>
        </w:rPr>
        <w:t>contratação de prestação de serviço</w:t>
      </w:r>
      <w:r w:rsidRPr="0032607D">
        <w:rPr>
          <w:rFonts w:ascii="Arial" w:hAnsi="Arial" w:cs="Arial"/>
        </w:rPr>
        <w:t xml:space="preserve">, </w:t>
      </w:r>
      <w:r w:rsidRPr="0032607D">
        <w:rPr>
          <w:rFonts w:ascii="Arial" w:hAnsi="Arial" w:cs="Arial"/>
          <w:b/>
          <w:bCs/>
        </w:rPr>
        <w:t>sem</w:t>
      </w:r>
      <w:r w:rsidRPr="0032607D">
        <w:rPr>
          <w:rFonts w:ascii="Arial" w:hAnsi="Arial" w:cs="Arial"/>
        </w:rPr>
        <w:t xml:space="preserve"> </w:t>
      </w:r>
      <w:r w:rsidRPr="0032607D">
        <w:rPr>
          <w:rFonts w:ascii="Arial" w:hAnsi="Arial" w:cs="Arial"/>
          <w:u w:val="single"/>
        </w:rPr>
        <w:t>alocação de posto de trabalho</w:t>
      </w:r>
      <w:r w:rsidRPr="0032607D">
        <w:rPr>
          <w:rFonts w:ascii="Arial" w:hAnsi="Arial" w:cs="Arial"/>
        </w:rPr>
        <w:t xml:space="preserve"> e </w:t>
      </w:r>
      <w:r w:rsidRPr="0032607D">
        <w:rPr>
          <w:rFonts w:ascii="Arial" w:hAnsi="Arial" w:cs="Arial"/>
          <w:b/>
          <w:bCs/>
        </w:rPr>
        <w:t>sem</w:t>
      </w:r>
      <w:r w:rsidRPr="0032607D">
        <w:rPr>
          <w:rFonts w:ascii="Arial" w:hAnsi="Arial" w:cs="Arial"/>
        </w:rPr>
        <w:t xml:space="preserve"> </w:t>
      </w:r>
      <w:r w:rsidRPr="0032607D">
        <w:rPr>
          <w:rFonts w:ascii="Arial" w:hAnsi="Arial" w:cs="Arial"/>
          <w:u w:val="single"/>
        </w:rPr>
        <w:t>dedicação exclusiva de mão de obra</w:t>
      </w:r>
      <w:r w:rsidRPr="0032607D">
        <w:rPr>
          <w:rFonts w:ascii="Arial" w:hAnsi="Arial" w:cs="Arial"/>
        </w:rPr>
        <w:t xml:space="preserve">, não há o que se falar em Planilha de Composição de Custos.  Quanto a exequibilidade da proposta, </w:t>
      </w:r>
      <w:r w:rsidR="00DE048F">
        <w:rPr>
          <w:rFonts w:ascii="Arial" w:hAnsi="Arial" w:cs="Arial"/>
        </w:rPr>
        <w:t xml:space="preserve">caso seja necessário, </w:t>
      </w:r>
      <w:r w:rsidRPr="0032607D">
        <w:rPr>
          <w:rFonts w:ascii="Arial" w:hAnsi="Arial" w:cs="Arial"/>
        </w:rPr>
        <w:t>será dada oportunidade à licitante melhor classificada no pregão de demonstrar que sua proposta não é inexequível</w:t>
      </w:r>
      <w:proofErr w:type="gramStart"/>
      <w:r w:rsidR="00DE048F">
        <w:rPr>
          <w:rFonts w:ascii="Arial" w:hAnsi="Arial" w:cs="Arial"/>
        </w:rPr>
        <w:t xml:space="preserve">, </w:t>
      </w:r>
      <w:r w:rsidRPr="0032607D">
        <w:rPr>
          <w:rFonts w:ascii="Arial" w:hAnsi="Arial" w:cs="Arial"/>
        </w:rPr>
        <w:t>.</w:t>
      </w:r>
      <w:proofErr w:type="gramEnd"/>
    </w:p>
    <w:p w:rsidR="0032607D" w:rsidRPr="009721DB" w:rsidRDefault="0032607D">
      <w:pPr>
        <w:rPr>
          <w:rFonts w:ascii="Arial" w:hAnsi="Arial" w:cs="Arial"/>
        </w:rPr>
      </w:pPr>
    </w:p>
    <w:sectPr w:rsidR="0032607D" w:rsidRPr="009721DB" w:rsidSect="00AD292E">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B0D10"/>
    <w:multiLevelType w:val="hybridMultilevel"/>
    <w:tmpl w:val="E0E6547E"/>
    <w:lvl w:ilvl="0" w:tplc="CDD046BA">
      <w:start w:val="1"/>
      <w:numFmt w:val="decimal"/>
      <w:lvlText w:val="%1."/>
      <w:lvlJc w:val="left"/>
      <w:pPr>
        <w:ind w:left="930" w:hanging="570"/>
      </w:pPr>
      <w:rPr>
        <w:rFonts w:ascii="Calibri" w:hAnsi="Calibri" w:hint="default"/>
        <w:color w:val="2121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CC"/>
    <w:rsid w:val="00011907"/>
    <w:rsid w:val="00027EC5"/>
    <w:rsid w:val="00324BB2"/>
    <w:rsid w:val="0032607D"/>
    <w:rsid w:val="005177BC"/>
    <w:rsid w:val="005C004A"/>
    <w:rsid w:val="006E1F6E"/>
    <w:rsid w:val="007646B8"/>
    <w:rsid w:val="00802085"/>
    <w:rsid w:val="0086187C"/>
    <w:rsid w:val="008B1892"/>
    <w:rsid w:val="00955DE6"/>
    <w:rsid w:val="009721DB"/>
    <w:rsid w:val="00986E4D"/>
    <w:rsid w:val="00A876B0"/>
    <w:rsid w:val="00AD292E"/>
    <w:rsid w:val="00B217D7"/>
    <w:rsid w:val="00B513CC"/>
    <w:rsid w:val="00B569DC"/>
    <w:rsid w:val="00BF3D3B"/>
    <w:rsid w:val="00C13D78"/>
    <w:rsid w:val="00C2775E"/>
    <w:rsid w:val="00C44780"/>
    <w:rsid w:val="00CB5A6E"/>
    <w:rsid w:val="00DE048F"/>
    <w:rsid w:val="00DE55FD"/>
    <w:rsid w:val="00DF0C94"/>
    <w:rsid w:val="00E2413F"/>
    <w:rsid w:val="00E55C2A"/>
    <w:rsid w:val="00EE733E"/>
    <w:rsid w:val="00F442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BA56F"/>
  <w15:docId w15:val="{7270F9A2-D089-4AFD-8696-7FF6E2FD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513C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2">
    <w:name w:val="Corpo de texto 22"/>
    <w:basedOn w:val="Normal"/>
    <w:rsid w:val="00B513CC"/>
    <w:pPr>
      <w:suppressAutoHyphens/>
      <w:jc w:val="both"/>
    </w:pPr>
    <w:rPr>
      <w:sz w:val="24"/>
      <w:lang w:eastAsia="ar-SA"/>
    </w:rPr>
  </w:style>
  <w:style w:type="paragraph" w:styleId="Textodebalo">
    <w:name w:val="Balloon Text"/>
    <w:basedOn w:val="Normal"/>
    <w:link w:val="TextodebaloChar"/>
    <w:uiPriority w:val="99"/>
    <w:semiHidden/>
    <w:unhideWhenUsed/>
    <w:rsid w:val="00B513CC"/>
    <w:rPr>
      <w:rFonts w:ascii="Tahoma" w:hAnsi="Tahoma" w:cs="Tahoma"/>
      <w:sz w:val="16"/>
      <w:szCs w:val="16"/>
    </w:rPr>
  </w:style>
  <w:style w:type="character" w:customStyle="1" w:styleId="TextodebaloChar">
    <w:name w:val="Texto de balão Char"/>
    <w:basedOn w:val="Fontepargpadro"/>
    <w:link w:val="Textodebalo"/>
    <w:uiPriority w:val="99"/>
    <w:semiHidden/>
    <w:rsid w:val="00B513CC"/>
    <w:rPr>
      <w:rFonts w:ascii="Tahoma" w:eastAsia="Times New Roman" w:hAnsi="Tahoma" w:cs="Tahoma"/>
      <w:sz w:val="16"/>
      <w:szCs w:val="16"/>
      <w:lang w:eastAsia="pt-BR"/>
    </w:rPr>
  </w:style>
  <w:style w:type="character" w:customStyle="1" w:styleId="PargrafodaListaChar">
    <w:name w:val="Parágrafo da Lista Char"/>
    <w:basedOn w:val="Fontepargpadro"/>
    <w:link w:val="PargrafodaLista"/>
    <w:uiPriority w:val="34"/>
    <w:locked/>
    <w:rsid w:val="009721DB"/>
    <w:rPr>
      <w:rFonts w:ascii="Arial" w:hAnsi="Arial" w:cs="Arial"/>
      <w:lang w:eastAsia="zh-CN"/>
    </w:rPr>
  </w:style>
  <w:style w:type="paragraph" w:styleId="PargrafodaLista">
    <w:name w:val="List Paragraph"/>
    <w:basedOn w:val="Normal"/>
    <w:link w:val="PargrafodaListaChar"/>
    <w:uiPriority w:val="34"/>
    <w:qFormat/>
    <w:rsid w:val="009721DB"/>
    <w:pPr>
      <w:spacing w:before="120" w:after="120" w:line="260" w:lineRule="exact"/>
      <w:ind w:left="720"/>
      <w:contextualSpacing/>
      <w:jc w:val="both"/>
    </w:pPr>
    <w:rPr>
      <w:rFonts w:ascii="Arial" w:eastAsiaTheme="minorHAnsi"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1892">
      <w:bodyDiv w:val="1"/>
      <w:marLeft w:val="0"/>
      <w:marRight w:val="0"/>
      <w:marTop w:val="0"/>
      <w:marBottom w:val="0"/>
      <w:divBdr>
        <w:top w:val="none" w:sz="0" w:space="0" w:color="auto"/>
        <w:left w:val="none" w:sz="0" w:space="0" w:color="auto"/>
        <w:bottom w:val="none" w:sz="0" w:space="0" w:color="auto"/>
        <w:right w:val="none" w:sz="0" w:space="0" w:color="auto"/>
      </w:divBdr>
    </w:div>
    <w:div w:id="1498689607">
      <w:bodyDiv w:val="1"/>
      <w:marLeft w:val="0"/>
      <w:marRight w:val="0"/>
      <w:marTop w:val="0"/>
      <w:marBottom w:val="0"/>
      <w:divBdr>
        <w:top w:val="none" w:sz="0" w:space="0" w:color="auto"/>
        <w:left w:val="none" w:sz="0" w:space="0" w:color="auto"/>
        <w:bottom w:val="none" w:sz="0" w:space="0" w:color="auto"/>
        <w:right w:val="none" w:sz="0" w:space="0" w:color="auto"/>
      </w:divBdr>
    </w:div>
    <w:div w:id="176738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454</Words>
  <Characters>2456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Controladoria-Geral da União</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Cristina Lessa Enders</dc:creator>
  <cp:lastModifiedBy>Joao Paulo Machado Goncalves</cp:lastModifiedBy>
  <cp:revision>7</cp:revision>
  <dcterms:created xsi:type="dcterms:W3CDTF">2017-07-06T11:32:00Z</dcterms:created>
  <dcterms:modified xsi:type="dcterms:W3CDTF">2017-07-06T13:38:00Z</dcterms:modified>
</cp:coreProperties>
</file>