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C6" w:rsidRPr="00B23CA9" w:rsidRDefault="00335EC6" w:rsidP="00687515">
      <w:pPr>
        <w:pStyle w:val="SemEspaamento"/>
        <w:jc w:val="center"/>
        <w:rPr>
          <w:position w:val="-16"/>
        </w:rPr>
      </w:pPr>
      <w:r w:rsidRPr="00B23CA9">
        <w:rPr>
          <w:noProof/>
        </w:rPr>
        <w:drawing>
          <wp:inline distT="0" distB="0" distL="0" distR="0" wp14:anchorId="56A89D26" wp14:editId="1DA1B0BF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EC6" w:rsidRPr="00B23CA9" w:rsidRDefault="00335EC6" w:rsidP="00335EC6">
      <w:pPr>
        <w:jc w:val="center"/>
        <w:rPr>
          <w:position w:val="-16"/>
          <w:sz w:val="24"/>
          <w:szCs w:val="24"/>
        </w:rPr>
      </w:pPr>
      <w:r w:rsidRPr="00B23CA9">
        <w:rPr>
          <w:position w:val="-16"/>
          <w:sz w:val="24"/>
          <w:szCs w:val="24"/>
        </w:rPr>
        <w:t>CONTROLADORIA-GERAL DA UNIÃO</w:t>
      </w:r>
    </w:p>
    <w:p w:rsidR="00335EC6" w:rsidRPr="00B23CA9" w:rsidRDefault="00335EC6" w:rsidP="00335EC6">
      <w:pPr>
        <w:jc w:val="center"/>
        <w:rPr>
          <w:position w:val="-16"/>
          <w:sz w:val="24"/>
          <w:szCs w:val="24"/>
        </w:rPr>
      </w:pPr>
      <w:r w:rsidRPr="00B23CA9">
        <w:rPr>
          <w:position w:val="-16"/>
          <w:sz w:val="24"/>
          <w:szCs w:val="24"/>
        </w:rPr>
        <w:t>DIRETORIA DE GESTÃO INTERNA</w:t>
      </w:r>
    </w:p>
    <w:p w:rsidR="00335EC6" w:rsidRPr="00B23CA9" w:rsidRDefault="00335EC6" w:rsidP="00335EC6">
      <w:pPr>
        <w:jc w:val="center"/>
        <w:rPr>
          <w:b/>
          <w:sz w:val="24"/>
          <w:szCs w:val="24"/>
          <w:u w:val="single"/>
        </w:rPr>
      </w:pPr>
    </w:p>
    <w:p w:rsidR="00335EC6" w:rsidRPr="00B23CA9" w:rsidRDefault="00335EC6" w:rsidP="00335EC6">
      <w:pPr>
        <w:jc w:val="center"/>
        <w:rPr>
          <w:b/>
          <w:sz w:val="24"/>
          <w:szCs w:val="24"/>
          <w:u w:val="single"/>
        </w:rPr>
      </w:pPr>
    </w:p>
    <w:p w:rsidR="00335EC6" w:rsidRPr="00B23CA9" w:rsidRDefault="00335EC6" w:rsidP="00335EC6">
      <w:pPr>
        <w:jc w:val="center"/>
        <w:rPr>
          <w:b/>
          <w:sz w:val="24"/>
          <w:szCs w:val="24"/>
          <w:u w:val="single"/>
        </w:rPr>
      </w:pPr>
      <w:r w:rsidRPr="00B23CA9">
        <w:rPr>
          <w:b/>
          <w:sz w:val="24"/>
          <w:szCs w:val="24"/>
          <w:u w:val="single"/>
        </w:rPr>
        <w:t xml:space="preserve">PEDIDO DE </w:t>
      </w:r>
      <w:r w:rsidR="00623A70">
        <w:rPr>
          <w:b/>
          <w:sz w:val="24"/>
          <w:szCs w:val="24"/>
          <w:u w:val="single"/>
        </w:rPr>
        <w:t xml:space="preserve">ESCLARECIMENTO </w:t>
      </w:r>
      <w:r w:rsidR="00C263D9">
        <w:rPr>
          <w:b/>
          <w:sz w:val="24"/>
          <w:szCs w:val="24"/>
          <w:u w:val="single"/>
        </w:rPr>
        <w:t>Nº 02</w:t>
      </w:r>
      <w:r w:rsidR="001967F7">
        <w:rPr>
          <w:b/>
          <w:sz w:val="24"/>
          <w:szCs w:val="24"/>
          <w:u w:val="single"/>
        </w:rPr>
        <w:t xml:space="preserve"> – PE Nº 20</w:t>
      </w:r>
      <w:r w:rsidRPr="00B23CA9">
        <w:rPr>
          <w:b/>
          <w:sz w:val="24"/>
          <w:szCs w:val="24"/>
          <w:u w:val="single"/>
        </w:rPr>
        <w:t>/2015</w:t>
      </w:r>
    </w:p>
    <w:p w:rsidR="00EF06F9" w:rsidRDefault="00EF06F9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FC68AD" w:rsidRDefault="00FC68AD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3C111F" w:rsidRDefault="003C111F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B23CA9">
        <w:rPr>
          <w:rFonts w:eastAsia="Calibri"/>
          <w:b/>
          <w:bCs/>
          <w:sz w:val="24"/>
          <w:szCs w:val="24"/>
          <w:u w:val="single"/>
          <w:lang w:eastAsia="en-US"/>
        </w:rPr>
        <w:t>QUESTIONAMENTO</w:t>
      </w:r>
      <w:r w:rsidR="00FC68AD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 01</w:t>
      </w:r>
      <w:r w:rsidRPr="00B23CA9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: </w:t>
      </w:r>
    </w:p>
    <w:p w:rsidR="00782142" w:rsidRDefault="00782142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C263D9" w:rsidRPr="00C263D9" w:rsidRDefault="00C263D9" w:rsidP="00C263D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263D9">
        <w:rPr>
          <w:rFonts w:eastAsiaTheme="minorHAnsi"/>
          <w:b/>
          <w:bCs/>
          <w:sz w:val="24"/>
          <w:szCs w:val="24"/>
          <w:lang w:eastAsia="en-US"/>
        </w:rPr>
        <w:t>No item, 12. DA HABILITAÇÃO, subitem a.2) consta a seguinte exigência "Para o item 2, um único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C263D9">
        <w:rPr>
          <w:rFonts w:eastAsiaTheme="minorHAnsi"/>
          <w:b/>
          <w:bCs/>
          <w:sz w:val="24"/>
          <w:szCs w:val="24"/>
          <w:lang w:eastAsia="en-US"/>
        </w:rPr>
        <w:t>atestado deverá comprovar o montante mínimo de 250 Pontos de Função na tecnologia</w:t>
      </w:r>
    </w:p>
    <w:p w:rsidR="00C263D9" w:rsidRPr="00C263D9" w:rsidRDefault="00C263D9" w:rsidP="00C263D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proofErr w:type="spellStart"/>
      <w:r w:rsidRPr="00C263D9">
        <w:rPr>
          <w:rFonts w:eastAsiaTheme="minorHAnsi"/>
          <w:b/>
          <w:bCs/>
          <w:sz w:val="24"/>
          <w:szCs w:val="24"/>
          <w:lang w:eastAsia="en-US"/>
        </w:rPr>
        <w:t>Zope</w:t>
      </w:r>
      <w:proofErr w:type="spellEnd"/>
      <w:r w:rsidRPr="00C263D9">
        <w:rPr>
          <w:rFonts w:eastAsiaTheme="minorHAnsi"/>
          <w:b/>
          <w:bCs/>
          <w:sz w:val="24"/>
          <w:szCs w:val="24"/>
          <w:lang w:eastAsia="en-US"/>
        </w:rPr>
        <w:t>/</w:t>
      </w:r>
      <w:proofErr w:type="spellStart"/>
      <w:r w:rsidRPr="00C263D9">
        <w:rPr>
          <w:rFonts w:eastAsiaTheme="minorHAnsi"/>
          <w:b/>
          <w:bCs/>
          <w:sz w:val="24"/>
          <w:szCs w:val="24"/>
          <w:lang w:eastAsia="en-US"/>
        </w:rPr>
        <w:t>Plone</w:t>
      </w:r>
      <w:proofErr w:type="spellEnd"/>
      <w:r w:rsidRPr="00C263D9">
        <w:rPr>
          <w:rFonts w:eastAsiaTheme="minorHAnsi"/>
          <w:b/>
          <w:bCs/>
          <w:sz w:val="24"/>
          <w:szCs w:val="24"/>
          <w:lang w:eastAsia="en-US"/>
        </w:rPr>
        <w:t>/Python", questiona-se o seguinte:</w:t>
      </w:r>
    </w:p>
    <w:p w:rsidR="003C111F" w:rsidRPr="00C263D9" w:rsidRDefault="00C263D9" w:rsidP="00C263D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263D9">
        <w:rPr>
          <w:rFonts w:eastAsiaTheme="minorHAnsi"/>
          <w:b/>
          <w:bCs/>
          <w:sz w:val="24"/>
          <w:szCs w:val="24"/>
          <w:lang w:eastAsia="en-US"/>
        </w:rPr>
        <w:t>Considerando que a Plataforma PZP (</w:t>
      </w:r>
      <w:proofErr w:type="spellStart"/>
      <w:r w:rsidRPr="00C263D9">
        <w:rPr>
          <w:rFonts w:eastAsiaTheme="minorHAnsi"/>
          <w:b/>
          <w:bCs/>
          <w:sz w:val="24"/>
          <w:szCs w:val="24"/>
          <w:lang w:eastAsia="en-US"/>
        </w:rPr>
        <w:t>Zope</w:t>
      </w:r>
      <w:proofErr w:type="spellEnd"/>
      <w:r w:rsidRPr="00C263D9">
        <w:rPr>
          <w:rFonts w:eastAsiaTheme="minorHAnsi"/>
          <w:b/>
          <w:bCs/>
          <w:sz w:val="24"/>
          <w:szCs w:val="24"/>
          <w:lang w:eastAsia="en-US"/>
        </w:rPr>
        <w:t>/</w:t>
      </w:r>
      <w:proofErr w:type="spellStart"/>
      <w:r w:rsidRPr="00C263D9">
        <w:rPr>
          <w:rFonts w:eastAsiaTheme="minorHAnsi"/>
          <w:b/>
          <w:bCs/>
          <w:sz w:val="24"/>
          <w:szCs w:val="24"/>
          <w:lang w:eastAsia="en-US"/>
        </w:rPr>
        <w:t>Plone</w:t>
      </w:r>
      <w:proofErr w:type="spellEnd"/>
      <w:r w:rsidRPr="00C263D9">
        <w:rPr>
          <w:rFonts w:eastAsiaTheme="minorHAnsi"/>
          <w:b/>
          <w:bCs/>
          <w:sz w:val="24"/>
          <w:szCs w:val="24"/>
          <w:lang w:eastAsia="en-US"/>
        </w:rPr>
        <w:t>/</w:t>
      </w:r>
      <w:proofErr w:type="spellStart"/>
      <w:r w:rsidRPr="00C263D9">
        <w:rPr>
          <w:rFonts w:eastAsiaTheme="minorHAnsi"/>
          <w:b/>
          <w:bCs/>
          <w:sz w:val="24"/>
          <w:szCs w:val="24"/>
          <w:lang w:eastAsia="en-US"/>
        </w:rPr>
        <w:t>Pytho</w:t>
      </w:r>
      <w:proofErr w:type="spellEnd"/>
      <w:r w:rsidRPr="00C263D9">
        <w:rPr>
          <w:rFonts w:eastAsiaTheme="minorHAnsi"/>
          <w:b/>
          <w:bCs/>
          <w:sz w:val="24"/>
          <w:szCs w:val="24"/>
          <w:lang w:eastAsia="en-US"/>
        </w:rPr>
        <w:t>) oferece soluções para portais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C263D9">
        <w:rPr>
          <w:rFonts w:eastAsiaTheme="minorHAnsi"/>
          <w:b/>
          <w:bCs/>
          <w:sz w:val="24"/>
          <w:szCs w:val="24"/>
          <w:lang w:eastAsia="en-US"/>
        </w:rPr>
        <w:t>de gestão de conteúdo web - CMS (</w:t>
      </w:r>
      <w:proofErr w:type="spellStart"/>
      <w:r w:rsidRPr="00C263D9">
        <w:rPr>
          <w:rFonts w:eastAsiaTheme="minorHAnsi"/>
          <w:b/>
          <w:bCs/>
          <w:sz w:val="24"/>
          <w:szCs w:val="24"/>
          <w:lang w:eastAsia="en-US"/>
        </w:rPr>
        <w:t>Content</w:t>
      </w:r>
      <w:proofErr w:type="spellEnd"/>
      <w:r w:rsidRPr="00C263D9">
        <w:rPr>
          <w:rFonts w:eastAsiaTheme="minorHAnsi"/>
          <w:b/>
          <w:bCs/>
          <w:sz w:val="24"/>
          <w:szCs w:val="24"/>
          <w:lang w:eastAsia="en-US"/>
        </w:rPr>
        <w:t xml:space="preserve"> Management System), cuja as contratações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C263D9">
        <w:rPr>
          <w:rFonts w:eastAsiaTheme="minorHAnsi"/>
          <w:b/>
          <w:bCs/>
          <w:sz w:val="24"/>
          <w:szCs w:val="24"/>
          <w:lang w:eastAsia="en-US"/>
        </w:rPr>
        <w:t>são realizadas em sua ampla maioria utilizando-se métricas que divergem do Ponto de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C263D9">
        <w:rPr>
          <w:rFonts w:eastAsiaTheme="minorHAnsi"/>
          <w:b/>
          <w:bCs/>
          <w:sz w:val="24"/>
          <w:szCs w:val="24"/>
          <w:lang w:eastAsia="en-US"/>
        </w:rPr>
        <w:t>Função, entre elas, destacam-se HST (Hora de Serviço Técnico), UST (Unidade de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C263D9">
        <w:rPr>
          <w:rFonts w:eastAsiaTheme="minorHAnsi"/>
          <w:b/>
          <w:bCs/>
          <w:sz w:val="24"/>
          <w:szCs w:val="24"/>
          <w:lang w:eastAsia="en-US"/>
        </w:rPr>
        <w:t>Serviço Técnico). Dadas as particularidades das métricas utilizadas na Plataforma PZP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C263D9">
        <w:rPr>
          <w:rFonts w:eastAsiaTheme="minorHAnsi"/>
          <w:b/>
          <w:bCs/>
          <w:sz w:val="24"/>
          <w:szCs w:val="24"/>
          <w:lang w:eastAsia="en-US"/>
        </w:rPr>
        <w:t>(</w:t>
      </w:r>
      <w:proofErr w:type="spellStart"/>
      <w:r w:rsidRPr="00C263D9">
        <w:rPr>
          <w:rFonts w:eastAsiaTheme="minorHAnsi"/>
          <w:b/>
          <w:bCs/>
          <w:sz w:val="24"/>
          <w:szCs w:val="24"/>
          <w:lang w:eastAsia="en-US"/>
        </w:rPr>
        <w:t>Zope</w:t>
      </w:r>
      <w:proofErr w:type="spellEnd"/>
      <w:r w:rsidRPr="00C263D9">
        <w:rPr>
          <w:rFonts w:eastAsiaTheme="minorHAnsi"/>
          <w:b/>
          <w:bCs/>
          <w:sz w:val="24"/>
          <w:szCs w:val="24"/>
          <w:lang w:eastAsia="en-US"/>
        </w:rPr>
        <w:t>/</w:t>
      </w:r>
      <w:proofErr w:type="spellStart"/>
      <w:r w:rsidRPr="00C263D9">
        <w:rPr>
          <w:rFonts w:eastAsiaTheme="minorHAnsi"/>
          <w:b/>
          <w:bCs/>
          <w:sz w:val="24"/>
          <w:szCs w:val="24"/>
          <w:lang w:eastAsia="en-US"/>
        </w:rPr>
        <w:t>Plone</w:t>
      </w:r>
      <w:proofErr w:type="spellEnd"/>
      <w:r w:rsidRPr="00C263D9">
        <w:rPr>
          <w:rFonts w:eastAsiaTheme="minorHAnsi"/>
          <w:b/>
          <w:bCs/>
          <w:sz w:val="24"/>
          <w:szCs w:val="24"/>
          <w:lang w:eastAsia="en-US"/>
        </w:rPr>
        <w:t>/</w:t>
      </w:r>
      <w:proofErr w:type="spellStart"/>
      <w:r w:rsidRPr="00C263D9">
        <w:rPr>
          <w:rFonts w:eastAsiaTheme="minorHAnsi"/>
          <w:b/>
          <w:bCs/>
          <w:sz w:val="24"/>
          <w:szCs w:val="24"/>
          <w:lang w:eastAsia="en-US"/>
        </w:rPr>
        <w:t>Pytho</w:t>
      </w:r>
      <w:proofErr w:type="spellEnd"/>
      <w:r w:rsidRPr="00C263D9">
        <w:rPr>
          <w:rFonts w:eastAsiaTheme="minorHAnsi"/>
          <w:b/>
          <w:bCs/>
          <w:sz w:val="24"/>
          <w:szCs w:val="24"/>
          <w:lang w:eastAsia="en-US"/>
        </w:rPr>
        <w:t>), entendemos que serão aceitos, excepcionalmente para esse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C263D9">
        <w:rPr>
          <w:rFonts w:eastAsiaTheme="minorHAnsi"/>
          <w:b/>
          <w:bCs/>
          <w:sz w:val="24"/>
          <w:szCs w:val="24"/>
          <w:lang w:eastAsia="en-US"/>
        </w:rPr>
        <w:t>item, atestados emitidos em HST/UST, considerando o volume de 12 (doze) horas para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01 (um) Ponto de Função</w:t>
      </w:r>
      <w:r w:rsidRPr="00C263D9">
        <w:rPr>
          <w:rFonts w:eastAsiaTheme="minorHAnsi"/>
          <w:b/>
          <w:bCs/>
          <w:sz w:val="24"/>
          <w:szCs w:val="24"/>
          <w:lang w:eastAsia="en-US"/>
        </w:rPr>
        <w:t>. Está correto o nosso entendimento?</w:t>
      </w:r>
    </w:p>
    <w:p w:rsidR="00C263D9" w:rsidRPr="00BA770E" w:rsidRDefault="00C263D9" w:rsidP="00335EC6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3C111F" w:rsidRDefault="003C111F" w:rsidP="003C111F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BA770E">
        <w:rPr>
          <w:rFonts w:eastAsia="Calibri"/>
          <w:b/>
          <w:sz w:val="24"/>
          <w:szCs w:val="24"/>
          <w:u w:val="single"/>
          <w:lang w:eastAsia="en-US"/>
        </w:rPr>
        <w:t>RESPOSTA</w:t>
      </w:r>
      <w:r w:rsidR="00FC68AD">
        <w:rPr>
          <w:rFonts w:eastAsia="Calibri"/>
          <w:b/>
          <w:sz w:val="24"/>
          <w:szCs w:val="24"/>
          <w:u w:val="single"/>
          <w:lang w:eastAsia="en-US"/>
        </w:rPr>
        <w:t xml:space="preserve"> 01</w:t>
      </w:r>
      <w:r w:rsidRPr="00BA770E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:rsidR="00AC536D" w:rsidRPr="00BA770E" w:rsidRDefault="00AC536D" w:rsidP="003C111F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:rsidR="003C111F" w:rsidRDefault="0008063E" w:rsidP="00335EC6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O objetivo do atestado é avaliar a capacidade da licitante de produzir produtos (sistemas) equivalentes, em tamanho funcional, aos produtos já produzidos na CGU. Assim, o atestado em horas não comprova a entrega de produtos, somente comprova a alocação de recursos na produção destes.</w:t>
      </w:r>
    </w:p>
    <w:p w:rsidR="0008063E" w:rsidRDefault="0008063E" w:rsidP="00335EC6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08063E" w:rsidRDefault="0008063E" w:rsidP="00335EC6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Além disso, para o aceite de atestados em horas por parte da CGU teríamos que definir uma relação de produtividade (horas por PF), o que não atenderia as especificidades do mercado, que não apresenta produtividade padrão consensual.</w:t>
      </w:r>
    </w:p>
    <w:p w:rsidR="0008063E" w:rsidRDefault="0008063E" w:rsidP="00335EC6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08063E" w:rsidRDefault="0008063E" w:rsidP="00335EC6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Por fim, o artigo 25 da IN 04/2014 veda a pontuação de atestados baseados nas durações dos serviços executados (vide alínea “d” transcrita abaixo):</w:t>
      </w:r>
    </w:p>
    <w:p w:rsidR="0008063E" w:rsidRDefault="0008063E" w:rsidP="00335EC6">
      <w:pPr>
        <w:jc w:val="both"/>
        <w:rPr>
          <w:rFonts w:eastAsia="Calibri"/>
          <w:bCs/>
          <w:sz w:val="24"/>
          <w:szCs w:val="24"/>
          <w:lang w:eastAsia="en-US"/>
        </w:rPr>
      </w:pPr>
      <w:bookmarkStart w:id="0" w:name="_GoBack"/>
      <w:bookmarkEnd w:id="0"/>
    </w:p>
    <w:p w:rsidR="0008063E" w:rsidRPr="0008063E" w:rsidRDefault="0008063E" w:rsidP="0008063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08063E">
        <w:rPr>
          <w:rFonts w:eastAsia="Calibri"/>
          <w:bCs/>
          <w:sz w:val="24"/>
          <w:szCs w:val="24"/>
          <w:lang w:eastAsia="en-US"/>
        </w:rPr>
        <w:t>INSTRUÇÃO NORMATIVA N° 4,</w:t>
      </w:r>
      <w:r w:rsidR="00674D59">
        <w:rPr>
          <w:rFonts w:eastAsia="Calibri"/>
          <w:bCs/>
          <w:sz w:val="24"/>
          <w:szCs w:val="24"/>
          <w:lang w:eastAsia="en-US"/>
        </w:rPr>
        <w:t xml:space="preserve"> DE 11 DE SETEMBRO DE 2014.</w:t>
      </w:r>
    </w:p>
    <w:p w:rsidR="0008063E" w:rsidRPr="0008063E" w:rsidRDefault="0008063E" w:rsidP="0008063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08063E">
        <w:rPr>
          <w:rFonts w:eastAsia="Calibri"/>
          <w:bCs/>
          <w:sz w:val="24"/>
          <w:szCs w:val="24"/>
          <w:lang w:eastAsia="en-US"/>
        </w:rPr>
        <w:t>Art. 25. A definição, pelo Integrante Técnico, dos critérios técnicos de julgamento das</w:t>
      </w:r>
    </w:p>
    <w:p w:rsidR="0008063E" w:rsidRPr="0008063E" w:rsidRDefault="0008063E" w:rsidP="0008063E">
      <w:pPr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08063E">
        <w:rPr>
          <w:rFonts w:eastAsia="Calibri"/>
          <w:bCs/>
          <w:sz w:val="24"/>
          <w:szCs w:val="24"/>
          <w:lang w:eastAsia="en-US"/>
        </w:rPr>
        <w:t>propostas</w:t>
      </w:r>
      <w:proofErr w:type="gramEnd"/>
      <w:r w:rsidRPr="0008063E">
        <w:rPr>
          <w:rFonts w:eastAsia="Calibri"/>
          <w:bCs/>
          <w:sz w:val="24"/>
          <w:szCs w:val="24"/>
          <w:lang w:eastAsia="en-US"/>
        </w:rPr>
        <w:t xml:space="preserve"> para a fase de Seleção do Fornecedor, deverá observar o seguinte:</w:t>
      </w:r>
    </w:p>
    <w:p w:rsidR="0008063E" w:rsidRPr="0008063E" w:rsidRDefault="0008063E" w:rsidP="0008063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08063E">
        <w:rPr>
          <w:rFonts w:eastAsia="Calibri"/>
          <w:bCs/>
          <w:sz w:val="24"/>
          <w:szCs w:val="24"/>
          <w:lang w:eastAsia="en-US"/>
        </w:rPr>
        <w:t>a) a utilização de critérios correntes no mercado;</w:t>
      </w:r>
    </w:p>
    <w:p w:rsidR="0008063E" w:rsidRPr="0008063E" w:rsidRDefault="0008063E" w:rsidP="0008063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08063E">
        <w:rPr>
          <w:rFonts w:eastAsia="Calibri"/>
          <w:bCs/>
          <w:sz w:val="24"/>
          <w:szCs w:val="24"/>
          <w:lang w:eastAsia="en-US"/>
        </w:rPr>
        <w:t>b) a possibilidade de considerar mais de um atestado relativo ao mesmo quesito de</w:t>
      </w:r>
    </w:p>
    <w:p w:rsidR="0008063E" w:rsidRPr="0008063E" w:rsidRDefault="0008063E" w:rsidP="0008063E">
      <w:pPr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08063E">
        <w:rPr>
          <w:rFonts w:eastAsia="Calibri"/>
          <w:bCs/>
          <w:sz w:val="24"/>
          <w:szCs w:val="24"/>
          <w:lang w:eastAsia="en-US"/>
        </w:rPr>
        <w:t>capacidade</w:t>
      </w:r>
      <w:proofErr w:type="gramEnd"/>
      <w:r w:rsidRPr="0008063E">
        <w:rPr>
          <w:rFonts w:eastAsia="Calibri"/>
          <w:bCs/>
          <w:sz w:val="24"/>
          <w:szCs w:val="24"/>
          <w:lang w:eastAsia="en-US"/>
        </w:rPr>
        <w:t xml:space="preserve"> técnica, quando necessário para a comprovação da aptidão;</w:t>
      </w:r>
    </w:p>
    <w:p w:rsidR="0008063E" w:rsidRPr="0008063E" w:rsidRDefault="0008063E" w:rsidP="0008063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08063E">
        <w:rPr>
          <w:rFonts w:eastAsia="Calibri"/>
          <w:bCs/>
          <w:sz w:val="24"/>
          <w:szCs w:val="24"/>
          <w:lang w:eastAsia="en-US"/>
        </w:rPr>
        <w:t>c) a vedação da indicação de entidade certificadora, exceto nos casos previamente</w:t>
      </w:r>
    </w:p>
    <w:p w:rsidR="0008063E" w:rsidRPr="0008063E" w:rsidRDefault="0008063E" w:rsidP="0008063E">
      <w:pPr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08063E">
        <w:rPr>
          <w:rFonts w:eastAsia="Calibri"/>
          <w:bCs/>
          <w:sz w:val="24"/>
          <w:szCs w:val="24"/>
          <w:lang w:eastAsia="en-US"/>
        </w:rPr>
        <w:t>dispostos</w:t>
      </w:r>
      <w:proofErr w:type="gramEnd"/>
      <w:r w:rsidRPr="0008063E">
        <w:rPr>
          <w:rFonts w:eastAsia="Calibri"/>
          <w:bCs/>
          <w:sz w:val="24"/>
          <w:szCs w:val="24"/>
          <w:lang w:eastAsia="en-US"/>
        </w:rPr>
        <w:t xml:space="preserve"> em normas do governo federal;</w:t>
      </w:r>
    </w:p>
    <w:p w:rsidR="0008063E" w:rsidRPr="00B76938" w:rsidRDefault="0008063E" w:rsidP="0008063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B76938">
        <w:rPr>
          <w:rFonts w:eastAsia="Calibri"/>
          <w:bCs/>
          <w:sz w:val="24"/>
          <w:szCs w:val="24"/>
          <w:lang w:eastAsia="en-US"/>
        </w:rPr>
        <w:t>d) a vedação de pontuação com base em atestados relativos à duração de trabalhos</w:t>
      </w:r>
    </w:p>
    <w:p w:rsidR="0008063E" w:rsidRPr="00AC536D" w:rsidRDefault="0008063E" w:rsidP="0008063E">
      <w:pPr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B76938">
        <w:rPr>
          <w:rFonts w:eastAsia="Calibri"/>
          <w:bCs/>
          <w:sz w:val="24"/>
          <w:szCs w:val="24"/>
          <w:lang w:eastAsia="en-US"/>
        </w:rPr>
        <w:t>realizados</w:t>
      </w:r>
      <w:proofErr w:type="gramEnd"/>
      <w:r w:rsidRPr="00B76938">
        <w:rPr>
          <w:rFonts w:eastAsia="Calibri"/>
          <w:bCs/>
          <w:sz w:val="24"/>
          <w:szCs w:val="24"/>
          <w:lang w:eastAsia="en-US"/>
        </w:rPr>
        <w:t xml:space="preserve"> pelo licitante;</w:t>
      </w:r>
      <w:r w:rsidR="00B76938">
        <w:rPr>
          <w:rFonts w:eastAsia="Calibri"/>
          <w:bCs/>
          <w:sz w:val="24"/>
          <w:szCs w:val="24"/>
          <w:lang w:eastAsia="en-US"/>
        </w:rPr>
        <w:t xml:space="preserve"> (...)</w:t>
      </w:r>
    </w:p>
    <w:sectPr w:rsidR="0008063E" w:rsidRPr="00AC536D" w:rsidSect="00772983">
      <w:headerReference w:type="default" r:id="rId8"/>
      <w:footerReference w:type="default" r:id="rId9"/>
      <w:pgSz w:w="11907" w:h="16840" w:code="9"/>
      <w:pgMar w:top="1276" w:right="1134" w:bottom="1276" w:left="1134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E2" w:rsidRDefault="002D76A2">
      <w:r>
        <w:separator/>
      </w:r>
    </w:p>
  </w:endnote>
  <w:endnote w:type="continuationSeparator" w:id="0">
    <w:p w:rsidR="00C807E2" w:rsidRDefault="002D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21C" w:rsidRDefault="00B76938">
    <w:pPr>
      <w:pStyle w:val="Rodap"/>
    </w:pPr>
  </w:p>
  <w:p w:rsidR="0069421C" w:rsidRDefault="00B76938">
    <w:pPr>
      <w:pStyle w:val="Rodap"/>
    </w:pPr>
  </w:p>
  <w:p w:rsidR="0069421C" w:rsidRDefault="00B769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E2" w:rsidRDefault="002D76A2">
      <w:r>
        <w:separator/>
      </w:r>
    </w:p>
  </w:footnote>
  <w:footnote w:type="continuationSeparator" w:id="0">
    <w:p w:rsidR="00C807E2" w:rsidRDefault="002D7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21C" w:rsidRDefault="00B76938" w:rsidP="005C5A58">
    <w:pPr>
      <w:pStyle w:val="Cabealho"/>
      <w:jc w:val="center"/>
      <w:rPr>
        <w:noProof/>
      </w:rPr>
    </w:pPr>
  </w:p>
  <w:p w:rsidR="0069421C" w:rsidRDefault="00B76938" w:rsidP="005C5A5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E14F4"/>
    <w:multiLevelType w:val="multilevel"/>
    <w:tmpl w:val="0750D3B2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color w:val="1F497D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color w:val="1F497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color w:val="1F497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color w:val="1F497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color w:val="1F497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color w:val="1F497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color w:val="1F497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color w:val="1F497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color w:val="1F497D"/>
      </w:rPr>
    </w:lvl>
  </w:abstractNum>
  <w:abstractNum w:abstractNumId="1">
    <w:nsid w:val="5792399D"/>
    <w:multiLevelType w:val="multilevel"/>
    <w:tmpl w:val="146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16"/>
    <w:rsid w:val="00027A9E"/>
    <w:rsid w:val="0008063E"/>
    <w:rsid w:val="000D326B"/>
    <w:rsid w:val="001967F7"/>
    <w:rsid w:val="00227649"/>
    <w:rsid w:val="002320EB"/>
    <w:rsid w:val="002B11D8"/>
    <w:rsid w:val="002D76A2"/>
    <w:rsid w:val="00306816"/>
    <w:rsid w:val="00335EC6"/>
    <w:rsid w:val="003C111F"/>
    <w:rsid w:val="003E14B7"/>
    <w:rsid w:val="00405214"/>
    <w:rsid w:val="00411099"/>
    <w:rsid w:val="004112EE"/>
    <w:rsid w:val="0041316B"/>
    <w:rsid w:val="00512CFF"/>
    <w:rsid w:val="00526BD5"/>
    <w:rsid w:val="005F3E69"/>
    <w:rsid w:val="00623A70"/>
    <w:rsid w:val="00635298"/>
    <w:rsid w:val="00674D59"/>
    <w:rsid w:val="00687515"/>
    <w:rsid w:val="006D4F36"/>
    <w:rsid w:val="00701268"/>
    <w:rsid w:val="00772983"/>
    <w:rsid w:val="00782142"/>
    <w:rsid w:val="00823575"/>
    <w:rsid w:val="008A1E87"/>
    <w:rsid w:val="0095632F"/>
    <w:rsid w:val="009B5363"/>
    <w:rsid w:val="00A43C11"/>
    <w:rsid w:val="00AC536D"/>
    <w:rsid w:val="00B23CA9"/>
    <w:rsid w:val="00B76938"/>
    <w:rsid w:val="00BA770E"/>
    <w:rsid w:val="00C130DC"/>
    <w:rsid w:val="00C14654"/>
    <w:rsid w:val="00C263D9"/>
    <w:rsid w:val="00C807E2"/>
    <w:rsid w:val="00CD0D2F"/>
    <w:rsid w:val="00CD53CD"/>
    <w:rsid w:val="00D3089E"/>
    <w:rsid w:val="00DE45C5"/>
    <w:rsid w:val="00DE54FC"/>
    <w:rsid w:val="00EF06F9"/>
    <w:rsid w:val="00F94EC3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CC908-7C52-4DCE-B98A-B76A0115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35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2">
    <w:name w:val="Corpo de texto 22"/>
    <w:basedOn w:val="Normal"/>
    <w:rsid w:val="00335EC6"/>
    <w:pPr>
      <w:suppressAutoHyphens/>
      <w:jc w:val="both"/>
    </w:pPr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335EC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EC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Corpodetexto2">
    <w:name w:val="WW-Corpo de texto 2"/>
    <w:basedOn w:val="Normal"/>
    <w:rsid w:val="009B5363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NormalWeb">
    <w:name w:val="Normal (Web)"/>
    <w:basedOn w:val="Normal"/>
    <w:uiPriority w:val="99"/>
    <w:unhideWhenUsed/>
    <w:rsid w:val="009B5363"/>
    <w:pPr>
      <w:widowControl w:val="0"/>
      <w:suppressAutoHyphens/>
      <w:autoSpaceDN w:val="0"/>
      <w:spacing w:before="100" w:beforeAutospacing="1" w:after="100" w:afterAutospacing="1"/>
      <w:textAlignment w:val="baseline"/>
    </w:pPr>
    <w:rPr>
      <w:kern w:val="3"/>
      <w:sz w:val="24"/>
      <w:szCs w:val="24"/>
      <w:lang w:bidi="hi-IN"/>
    </w:rPr>
  </w:style>
  <w:style w:type="paragraph" w:customStyle="1" w:styleId="TCU-Epgrafe">
    <w:name w:val="TCU - Epígrafe"/>
    <w:basedOn w:val="Normal"/>
    <w:uiPriority w:val="99"/>
    <w:rsid w:val="00B23CA9"/>
    <w:pPr>
      <w:ind w:left="2835"/>
      <w:jc w:val="both"/>
    </w:pPr>
    <w:rPr>
      <w:rFonts w:eastAsiaTheme="minorHAnsi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3A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3A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7821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bject">
    <w:name w:val="object"/>
    <w:basedOn w:val="Fontepargpadro"/>
    <w:rsid w:val="00782142"/>
  </w:style>
  <w:style w:type="paragraph" w:customStyle="1" w:styleId="Standard">
    <w:name w:val="Standard"/>
    <w:basedOn w:val="Normal"/>
    <w:rsid w:val="00BA770E"/>
    <w:pPr>
      <w:autoSpaceDN w:val="0"/>
    </w:pPr>
    <w:rPr>
      <w:rFonts w:eastAsiaTheme="minorHAnsi"/>
      <w:sz w:val="24"/>
      <w:szCs w:val="24"/>
    </w:rPr>
  </w:style>
  <w:style w:type="paragraph" w:styleId="SemEspaamento">
    <w:name w:val="No Spacing"/>
    <w:uiPriority w:val="1"/>
    <w:qFormat/>
    <w:rsid w:val="0077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Joyce Mourao Beserra Lima</dc:creator>
  <cp:lastModifiedBy>Renato Araujo</cp:lastModifiedBy>
  <cp:revision>10</cp:revision>
  <dcterms:created xsi:type="dcterms:W3CDTF">2015-11-25T11:35:00Z</dcterms:created>
  <dcterms:modified xsi:type="dcterms:W3CDTF">2015-11-30T16:44:00Z</dcterms:modified>
</cp:coreProperties>
</file>