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EC6" w:rsidRPr="00B23CA9" w:rsidRDefault="00335EC6" w:rsidP="00335EC6">
      <w:pPr>
        <w:pStyle w:val="Corpodetexto22"/>
        <w:pageBreakBefore/>
        <w:jc w:val="center"/>
        <w:rPr>
          <w:position w:val="-16"/>
          <w:szCs w:val="24"/>
        </w:rPr>
      </w:pPr>
      <w:r w:rsidRPr="00B23CA9">
        <w:rPr>
          <w:noProof/>
          <w:szCs w:val="24"/>
          <w:lang w:eastAsia="pt-BR"/>
        </w:rPr>
        <w:drawing>
          <wp:inline distT="0" distB="0" distL="0" distR="0" wp14:anchorId="6CD3CA30" wp14:editId="140092BE">
            <wp:extent cx="897255" cy="871220"/>
            <wp:effectExtent l="0" t="0" r="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7255" cy="871220"/>
                    </a:xfrm>
                    <a:prstGeom prst="rect">
                      <a:avLst/>
                    </a:prstGeom>
                    <a:solidFill>
                      <a:srgbClr val="FFFFFF"/>
                    </a:solidFill>
                    <a:ln>
                      <a:noFill/>
                    </a:ln>
                  </pic:spPr>
                </pic:pic>
              </a:graphicData>
            </a:graphic>
          </wp:inline>
        </w:drawing>
      </w:r>
    </w:p>
    <w:p w:rsidR="00335EC6" w:rsidRPr="00B23CA9" w:rsidRDefault="00335EC6" w:rsidP="00335EC6">
      <w:pPr>
        <w:jc w:val="center"/>
        <w:rPr>
          <w:position w:val="-16"/>
          <w:sz w:val="24"/>
          <w:szCs w:val="24"/>
        </w:rPr>
      </w:pPr>
      <w:r w:rsidRPr="00B23CA9">
        <w:rPr>
          <w:position w:val="-16"/>
          <w:sz w:val="24"/>
          <w:szCs w:val="24"/>
        </w:rPr>
        <w:t>CONTROLADORIA-GERAL DA UNIÃO</w:t>
      </w:r>
    </w:p>
    <w:p w:rsidR="00335EC6" w:rsidRPr="00B23CA9" w:rsidRDefault="00335EC6" w:rsidP="00335EC6">
      <w:pPr>
        <w:jc w:val="center"/>
        <w:rPr>
          <w:position w:val="-16"/>
          <w:sz w:val="24"/>
          <w:szCs w:val="24"/>
        </w:rPr>
      </w:pPr>
      <w:r w:rsidRPr="00B23CA9">
        <w:rPr>
          <w:position w:val="-16"/>
          <w:sz w:val="24"/>
          <w:szCs w:val="24"/>
        </w:rPr>
        <w:t>DIRETORIA DE GESTÃO INTERNA</w:t>
      </w:r>
    </w:p>
    <w:p w:rsidR="00335EC6" w:rsidRPr="00B23CA9" w:rsidRDefault="00335EC6" w:rsidP="00335EC6">
      <w:pPr>
        <w:jc w:val="center"/>
        <w:rPr>
          <w:b/>
          <w:sz w:val="24"/>
          <w:szCs w:val="24"/>
          <w:u w:val="single"/>
        </w:rPr>
      </w:pPr>
    </w:p>
    <w:p w:rsidR="00335EC6" w:rsidRPr="00B23CA9" w:rsidRDefault="00335EC6" w:rsidP="00335EC6">
      <w:pPr>
        <w:jc w:val="center"/>
        <w:rPr>
          <w:b/>
          <w:sz w:val="24"/>
          <w:szCs w:val="24"/>
          <w:u w:val="single"/>
        </w:rPr>
      </w:pPr>
    </w:p>
    <w:p w:rsidR="00335EC6" w:rsidRPr="00B23CA9" w:rsidRDefault="00335EC6" w:rsidP="00335EC6">
      <w:pPr>
        <w:jc w:val="center"/>
        <w:rPr>
          <w:b/>
          <w:sz w:val="24"/>
          <w:szCs w:val="24"/>
          <w:u w:val="single"/>
        </w:rPr>
      </w:pPr>
      <w:r w:rsidRPr="00B23CA9">
        <w:rPr>
          <w:b/>
          <w:sz w:val="24"/>
          <w:szCs w:val="24"/>
          <w:u w:val="single"/>
        </w:rPr>
        <w:t>PEDIDO DE IMPUGNAÇÃO Nº 01 – PE Nº 12/2015</w:t>
      </w:r>
    </w:p>
    <w:p w:rsidR="00335EC6" w:rsidRPr="00B23CA9" w:rsidRDefault="00335EC6" w:rsidP="00335EC6">
      <w:pPr>
        <w:jc w:val="both"/>
        <w:rPr>
          <w:b/>
          <w:sz w:val="24"/>
          <w:szCs w:val="24"/>
          <w:u w:val="single"/>
        </w:rPr>
      </w:pPr>
    </w:p>
    <w:p w:rsidR="00EF06F9" w:rsidRDefault="00EF06F9" w:rsidP="003C111F">
      <w:pPr>
        <w:jc w:val="both"/>
        <w:rPr>
          <w:rFonts w:eastAsia="Calibri"/>
          <w:b/>
          <w:bCs/>
          <w:sz w:val="24"/>
          <w:szCs w:val="24"/>
          <w:u w:val="single"/>
          <w:lang w:eastAsia="en-US"/>
        </w:rPr>
      </w:pPr>
    </w:p>
    <w:p w:rsidR="003C111F" w:rsidRPr="00B23CA9" w:rsidRDefault="003C111F" w:rsidP="003C111F">
      <w:pPr>
        <w:jc w:val="both"/>
        <w:rPr>
          <w:rFonts w:eastAsia="Calibri"/>
          <w:b/>
          <w:bCs/>
          <w:sz w:val="24"/>
          <w:szCs w:val="24"/>
          <w:u w:val="single"/>
          <w:lang w:eastAsia="en-US"/>
        </w:rPr>
      </w:pPr>
      <w:r w:rsidRPr="00B23CA9">
        <w:rPr>
          <w:rFonts w:eastAsia="Calibri"/>
          <w:b/>
          <w:bCs/>
          <w:sz w:val="24"/>
          <w:szCs w:val="24"/>
          <w:u w:val="single"/>
          <w:lang w:eastAsia="en-US"/>
        </w:rPr>
        <w:t xml:space="preserve">QUESTIONAMENTO: </w:t>
      </w:r>
    </w:p>
    <w:p w:rsidR="003C111F" w:rsidRPr="00B23CA9" w:rsidRDefault="003C111F" w:rsidP="003C111F">
      <w:pPr>
        <w:jc w:val="both"/>
        <w:rPr>
          <w:rFonts w:eastAsia="Calibri"/>
          <w:b/>
          <w:bCs/>
          <w:sz w:val="24"/>
          <w:szCs w:val="24"/>
          <w:u w:val="single"/>
          <w:lang w:eastAsia="en-US"/>
        </w:rPr>
      </w:pPr>
    </w:p>
    <w:p w:rsidR="003C111F" w:rsidRPr="00B23CA9" w:rsidRDefault="009B5363" w:rsidP="003C111F">
      <w:pPr>
        <w:jc w:val="both"/>
        <w:rPr>
          <w:rFonts w:eastAsia="Calibri"/>
          <w:b/>
          <w:bCs/>
          <w:sz w:val="24"/>
          <w:szCs w:val="24"/>
          <w:lang w:eastAsia="en-US"/>
        </w:rPr>
      </w:pPr>
      <w:r w:rsidRPr="00B23CA9">
        <w:rPr>
          <w:rFonts w:eastAsia="Calibri"/>
          <w:bCs/>
          <w:sz w:val="24"/>
          <w:szCs w:val="24"/>
          <w:lang w:eastAsia="en-US"/>
        </w:rPr>
        <w:t>P</w:t>
      </w:r>
      <w:r w:rsidR="003C111F" w:rsidRPr="00B23CA9">
        <w:rPr>
          <w:rFonts w:eastAsia="Calibri"/>
          <w:bCs/>
          <w:sz w:val="24"/>
          <w:szCs w:val="24"/>
          <w:lang w:eastAsia="en-US"/>
        </w:rPr>
        <w:t xml:space="preserve">edido de impugnação enviado pela empresa </w:t>
      </w:r>
      <w:r w:rsidR="003C111F" w:rsidRPr="00B23CA9">
        <w:rPr>
          <w:rFonts w:eastAsia="Calibri"/>
          <w:b/>
          <w:bCs/>
          <w:sz w:val="24"/>
          <w:szCs w:val="24"/>
          <w:lang w:eastAsia="en-US"/>
        </w:rPr>
        <w:t>DRB TRANSPORTES LTDA:</w:t>
      </w:r>
    </w:p>
    <w:p w:rsidR="00C130DC" w:rsidRPr="00B23CA9" w:rsidRDefault="00C130DC" w:rsidP="003C111F">
      <w:pPr>
        <w:jc w:val="both"/>
        <w:rPr>
          <w:rFonts w:eastAsia="Calibri"/>
          <w:b/>
          <w:bCs/>
          <w:sz w:val="24"/>
          <w:szCs w:val="24"/>
          <w:lang w:eastAsia="en-US"/>
        </w:rPr>
      </w:pPr>
    </w:p>
    <w:p w:rsidR="00335EC6" w:rsidRPr="00B23CA9" w:rsidRDefault="00335EC6" w:rsidP="00335EC6">
      <w:pPr>
        <w:jc w:val="both"/>
        <w:rPr>
          <w:b/>
          <w:color w:val="000000"/>
          <w:sz w:val="24"/>
          <w:szCs w:val="24"/>
          <w:u w:val="single"/>
        </w:rPr>
      </w:pPr>
    </w:p>
    <w:p w:rsidR="00C130DC" w:rsidRPr="00B23CA9" w:rsidRDefault="00C130DC" w:rsidP="00C130DC">
      <w:pPr>
        <w:shd w:val="clear" w:color="auto" w:fill="FAFAFA"/>
        <w:spacing w:after="150" w:line="300" w:lineRule="atLeast"/>
        <w:jc w:val="center"/>
        <w:rPr>
          <w:i/>
          <w:sz w:val="24"/>
          <w:szCs w:val="24"/>
        </w:rPr>
      </w:pPr>
      <w:r w:rsidRPr="00B23CA9">
        <w:rPr>
          <w:i/>
          <w:sz w:val="24"/>
          <w:szCs w:val="24"/>
        </w:rPr>
        <w:t xml:space="preserve">DRB Transportes, Locação de Equipamentos e Veículo LTDA, pessoa jurídica de direito privado, inscrita no CNPJ/MF sob nº 11.831.975/0001-88, com sede na </w:t>
      </w:r>
      <w:proofErr w:type="spellStart"/>
      <w:proofErr w:type="gramStart"/>
      <w:r w:rsidRPr="00B23CA9">
        <w:rPr>
          <w:i/>
          <w:sz w:val="24"/>
          <w:szCs w:val="24"/>
        </w:rPr>
        <w:t>AV.</w:t>
      </w:r>
      <w:proofErr w:type="gramEnd"/>
      <w:r w:rsidRPr="00B23CA9">
        <w:rPr>
          <w:i/>
          <w:sz w:val="24"/>
          <w:szCs w:val="24"/>
        </w:rPr>
        <w:t>Presidente</w:t>
      </w:r>
      <w:proofErr w:type="spellEnd"/>
      <w:r w:rsidRPr="00B23CA9">
        <w:rPr>
          <w:i/>
          <w:sz w:val="24"/>
          <w:szCs w:val="24"/>
        </w:rPr>
        <w:t xml:space="preserve"> </w:t>
      </w:r>
      <w:proofErr w:type="spellStart"/>
      <w:r w:rsidRPr="00B23CA9">
        <w:rPr>
          <w:i/>
          <w:sz w:val="24"/>
          <w:szCs w:val="24"/>
        </w:rPr>
        <w:t>altino</w:t>
      </w:r>
      <w:proofErr w:type="spellEnd"/>
      <w:r w:rsidRPr="00B23CA9">
        <w:rPr>
          <w:i/>
          <w:sz w:val="24"/>
          <w:szCs w:val="24"/>
        </w:rPr>
        <w:t xml:space="preserve">, n º 1879, prédio </w:t>
      </w:r>
      <w:proofErr w:type="spellStart"/>
      <w:r w:rsidRPr="00B23CA9">
        <w:rPr>
          <w:i/>
          <w:sz w:val="24"/>
          <w:szCs w:val="24"/>
        </w:rPr>
        <w:t>ii</w:t>
      </w:r>
      <w:proofErr w:type="spellEnd"/>
      <w:r w:rsidRPr="00B23CA9">
        <w:rPr>
          <w:i/>
          <w:sz w:val="24"/>
          <w:szCs w:val="24"/>
        </w:rPr>
        <w:t xml:space="preserve">, </w:t>
      </w:r>
      <w:proofErr w:type="spellStart"/>
      <w:r w:rsidRPr="00B23CA9">
        <w:rPr>
          <w:i/>
          <w:sz w:val="24"/>
          <w:szCs w:val="24"/>
        </w:rPr>
        <w:t>Cep</w:t>
      </w:r>
      <w:proofErr w:type="spellEnd"/>
      <w:r w:rsidRPr="00B23CA9">
        <w:rPr>
          <w:i/>
          <w:sz w:val="24"/>
          <w:szCs w:val="24"/>
        </w:rPr>
        <w:t xml:space="preserve">: 05.323-002, na cidade de  São Paulo , estado de São Paulo, por seu representante legal infra assinado, vem, baseado </w:t>
      </w:r>
      <w:proofErr w:type="spellStart"/>
      <w:r w:rsidRPr="00B23CA9">
        <w:rPr>
          <w:i/>
          <w:sz w:val="24"/>
          <w:szCs w:val="24"/>
        </w:rPr>
        <w:t>ro</w:t>
      </w:r>
      <w:proofErr w:type="spellEnd"/>
      <w:r w:rsidRPr="00B23CA9">
        <w:rPr>
          <w:i/>
          <w:sz w:val="24"/>
          <w:szCs w:val="24"/>
        </w:rPr>
        <w:t xml:space="preserve"> no § 2º, do art. 41, da Lei nº 8666/93, em tempo hábil, à presença de ( Vossa Excelência ou Vossa Senhoria ) a fim de</w:t>
      </w:r>
    </w:p>
    <w:p w:rsidR="00C130DC" w:rsidRPr="00B23CA9" w:rsidRDefault="00C130DC" w:rsidP="00C130DC">
      <w:pPr>
        <w:shd w:val="clear" w:color="auto" w:fill="FAFAFA"/>
        <w:spacing w:before="150" w:after="150" w:line="600" w:lineRule="atLeast"/>
        <w:jc w:val="center"/>
        <w:outlineLvl w:val="1"/>
        <w:rPr>
          <w:i/>
          <w:sz w:val="24"/>
          <w:szCs w:val="24"/>
        </w:rPr>
      </w:pPr>
      <w:r w:rsidRPr="00B23CA9">
        <w:rPr>
          <w:bCs/>
          <w:i/>
          <w:iCs/>
          <w:sz w:val="24"/>
          <w:szCs w:val="24"/>
        </w:rPr>
        <w:t>I M P U G N A R</w:t>
      </w:r>
    </w:p>
    <w:p w:rsidR="00C130DC" w:rsidRPr="00B23CA9" w:rsidRDefault="00C130DC" w:rsidP="00C130DC">
      <w:pPr>
        <w:shd w:val="clear" w:color="auto" w:fill="FAFAFA"/>
        <w:spacing w:after="150" w:line="300" w:lineRule="atLeast"/>
        <w:jc w:val="center"/>
        <w:rPr>
          <w:i/>
          <w:sz w:val="24"/>
          <w:szCs w:val="24"/>
        </w:rPr>
      </w:pPr>
      <w:r w:rsidRPr="00B23CA9">
        <w:rPr>
          <w:i/>
          <w:sz w:val="24"/>
          <w:szCs w:val="24"/>
        </w:rPr>
        <w:t xml:space="preserve">Os termos do Edital em referência, que adiante </w:t>
      </w:r>
      <w:proofErr w:type="gramStart"/>
      <w:r w:rsidRPr="00B23CA9">
        <w:rPr>
          <w:i/>
          <w:sz w:val="24"/>
          <w:szCs w:val="24"/>
        </w:rPr>
        <w:t>especifica,</w:t>
      </w:r>
      <w:proofErr w:type="gramEnd"/>
      <w:r w:rsidRPr="00B23CA9">
        <w:rPr>
          <w:i/>
          <w:sz w:val="24"/>
          <w:szCs w:val="24"/>
        </w:rPr>
        <w:t xml:space="preserve"> o que faz na conformidade seguinte:</w:t>
      </w:r>
    </w:p>
    <w:p w:rsidR="00335EC6" w:rsidRPr="00B23CA9" w:rsidRDefault="00335EC6" w:rsidP="00335EC6">
      <w:pPr>
        <w:jc w:val="both"/>
        <w:rPr>
          <w:rFonts w:eastAsia="Calibri"/>
          <w:b/>
          <w:bCs/>
          <w:sz w:val="24"/>
          <w:szCs w:val="24"/>
          <w:u w:val="single"/>
          <w:lang w:eastAsia="en-US"/>
        </w:rPr>
      </w:pPr>
    </w:p>
    <w:p w:rsidR="009B5363" w:rsidRPr="00B23CA9" w:rsidRDefault="009B5363" w:rsidP="009B5363">
      <w:pPr>
        <w:shd w:val="clear" w:color="auto" w:fill="FAFAFA"/>
        <w:spacing w:before="150" w:after="150" w:line="600" w:lineRule="atLeast"/>
        <w:jc w:val="center"/>
        <w:outlineLvl w:val="1"/>
        <w:rPr>
          <w:i/>
          <w:sz w:val="24"/>
          <w:szCs w:val="24"/>
        </w:rPr>
      </w:pPr>
      <w:r w:rsidRPr="00B23CA9">
        <w:rPr>
          <w:bCs/>
          <w:i/>
          <w:sz w:val="24"/>
          <w:szCs w:val="24"/>
        </w:rPr>
        <w:t>I – DOS FATOS</w:t>
      </w:r>
    </w:p>
    <w:p w:rsidR="009B5363" w:rsidRPr="00B23CA9" w:rsidRDefault="009B5363" w:rsidP="009B5363">
      <w:pPr>
        <w:shd w:val="clear" w:color="auto" w:fill="FAFAFA"/>
        <w:spacing w:after="150" w:line="300" w:lineRule="atLeast"/>
        <w:jc w:val="center"/>
        <w:rPr>
          <w:i/>
          <w:sz w:val="24"/>
          <w:szCs w:val="24"/>
        </w:rPr>
      </w:pPr>
      <w:r w:rsidRPr="00B23CA9">
        <w:rPr>
          <w:i/>
          <w:sz w:val="24"/>
          <w:szCs w:val="24"/>
        </w:rPr>
        <w:t xml:space="preserve">A </w:t>
      </w:r>
      <w:proofErr w:type="spellStart"/>
      <w:r w:rsidRPr="00B23CA9">
        <w:rPr>
          <w:i/>
          <w:sz w:val="24"/>
          <w:szCs w:val="24"/>
        </w:rPr>
        <w:t>subscrevente</w:t>
      </w:r>
      <w:proofErr w:type="spellEnd"/>
      <w:r w:rsidRPr="00B23CA9">
        <w:rPr>
          <w:i/>
          <w:sz w:val="24"/>
          <w:szCs w:val="24"/>
        </w:rPr>
        <w:t xml:space="preserve"> tendo interesse em participar da licitação supramencionada, adquiriu o respectivo Edital, pelo portal de compras federais- </w:t>
      </w:r>
      <w:proofErr w:type="spellStart"/>
      <w:proofErr w:type="gramStart"/>
      <w:r w:rsidRPr="00B23CA9">
        <w:rPr>
          <w:i/>
          <w:sz w:val="24"/>
          <w:szCs w:val="24"/>
        </w:rPr>
        <w:t>comprasnet</w:t>
      </w:r>
      <w:proofErr w:type="spellEnd"/>
      <w:proofErr w:type="gramEnd"/>
    </w:p>
    <w:p w:rsidR="009B5363" w:rsidRPr="00B23CA9" w:rsidRDefault="009B5363" w:rsidP="009B5363">
      <w:pPr>
        <w:shd w:val="clear" w:color="auto" w:fill="FAFAFA"/>
        <w:spacing w:after="150" w:line="300" w:lineRule="atLeast"/>
        <w:jc w:val="center"/>
        <w:rPr>
          <w:i/>
          <w:sz w:val="24"/>
          <w:szCs w:val="24"/>
        </w:rPr>
      </w:pPr>
      <w:r w:rsidRPr="00B23CA9">
        <w:rPr>
          <w:i/>
          <w:sz w:val="24"/>
          <w:szCs w:val="24"/>
        </w:rPr>
        <w:t>Ao verificar as condições para participação no pleito em tela, deparou-se a mesma com a exigência formulada no item nº 9.4 que vem assim escrita:</w:t>
      </w:r>
    </w:p>
    <w:p w:rsidR="009B5363" w:rsidRPr="00B23CA9" w:rsidRDefault="009B5363" w:rsidP="009B5363">
      <w:pPr>
        <w:tabs>
          <w:tab w:val="left" w:pos="851"/>
        </w:tabs>
        <w:rPr>
          <w:i/>
          <w:sz w:val="24"/>
          <w:szCs w:val="24"/>
        </w:rPr>
      </w:pPr>
      <w:r w:rsidRPr="00B23CA9">
        <w:rPr>
          <w:i/>
          <w:sz w:val="24"/>
          <w:szCs w:val="24"/>
        </w:rPr>
        <w:t>9.4.</w:t>
      </w:r>
      <w:r w:rsidRPr="00B23CA9">
        <w:rPr>
          <w:i/>
          <w:sz w:val="24"/>
          <w:szCs w:val="24"/>
        </w:rPr>
        <w:tab/>
        <w:t>Deverá ser encaminhada/anexada a seguinte documentação complementar ao SICAF:</w:t>
      </w:r>
    </w:p>
    <w:p w:rsidR="009B5363" w:rsidRPr="00B23CA9" w:rsidRDefault="009B5363" w:rsidP="009B5363">
      <w:pPr>
        <w:rPr>
          <w:i/>
          <w:sz w:val="24"/>
          <w:szCs w:val="24"/>
        </w:rPr>
      </w:pPr>
    </w:p>
    <w:p w:rsidR="009B5363" w:rsidRPr="00B23CA9" w:rsidRDefault="009B5363" w:rsidP="009B5363">
      <w:pPr>
        <w:pStyle w:val="WW-Corpodetexto2"/>
        <w:suppressAutoHyphens w:val="0"/>
        <w:jc w:val="left"/>
        <w:rPr>
          <w:rFonts w:ascii="Times New Roman" w:hAnsi="Times New Roman" w:cs="Times New Roman"/>
          <w:i/>
          <w:sz w:val="24"/>
          <w:szCs w:val="24"/>
        </w:rPr>
      </w:pPr>
      <w:r w:rsidRPr="00B23CA9">
        <w:rPr>
          <w:rFonts w:ascii="Times New Roman" w:hAnsi="Times New Roman" w:cs="Times New Roman"/>
          <w:i/>
          <w:sz w:val="24"/>
          <w:szCs w:val="24"/>
        </w:rPr>
        <w:t>a) No mínimo, 01 (um) atestado fornecido por pessoa jurídica de direito público ou privado, o qual comprove que a licitante prestou ou está prestando, de forma satisfatória, serviços pertinentes e compatíveis em características e prazo com o objeto do Termo de Referência (Anexo I deste Edital).</w:t>
      </w:r>
    </w:p>
    <w:p w:rsidR="009B5363" w:rsidRPr="00B23CA9" w:rsidRDefault="009B5363" w:rsidP="009B5363">
      <w:pPr>
        <w:autoSpaceDE w:val="0"/>
        <w:rPr>
          <w:i/>
          <w:sz w:val="24"/>
          <w:szCs w:val="24"/>
        </w:rPr>
      </w:pPr>
    </w:p>
    <w:p w:rsidR="009B5363" w:rsidRPr="00B23CA9" w:rsidRDefault="009B5363" w:rsidP="009B5363">
      <w:pPr>
        <w:autoSpaceDE w:val="0"/>
        <w:ind w:left="708"/>
        <w:rPr>
          <w:i/>
          <w:sz w:val="24"/>
          <w:szCs w:val="24"/>
        </w:rPr>
      </w:pPr>
      <w:proofErr w:type="gramStart"/>
      <w:r w:rsidRPr="00B23CA9">
        <w:rPr>
          <w:i/>
          <w:sz w:val="24"/>
          <w:szCs w:val="24"/>
        </w:rPr>
        <w:t>a.</w:t>
      </w:r>
      <w:proofErr w:type="gramEnd"/>
      <w:r w:rsidRPr="00B23CA9">
        <w:rPr>
          <w:i/>
          <w:sz w:val="24"/>
          <w:szCs w:val="24"/>
        </w:rPr>
        <w:t>1) Considerar-se-á compatível com o objeto do Termo de Referência, o serviço de transporte de bens, em trechos interestaduais, em quantidade não inferior a 50% (cinquenta por cento) da estimativa em metros cúbicos (m³) a serem transportados;</w:t>
      </w:r>
    </w:p>
    <w:p w:rsidR="009B5363" w:rsidRPr="00B23CA9" w:rsidRDefault="009B5363" w:rsidP="009B5363">
      <w:pPr>
        <w:autoSpaceDE w:val="0"/>
        <w:ind w:left="708"/>
        <w:rPr>
          <w:i/>
          <w:sz w:val="24"/>
          <w:szCs w:val="24"/>
        </w:rPr>
      </w:pPr>
    </w:p>
    <w:p w:rsidR="009B5363" w:rsidRPr="00B23CA9" w:rsidRDefault="009B5363" w:rsidP="009B5363">
      <w:pPr>
        <w:autoSpaceDE w:val="0"/>
        <w:ind w:left="1416"/>
        <w:rPr>
          <w:i/>
          <w:sz w:val="24"/>
          <w:szCs w:val="24"/>
        </w:rPr>
      </w:pPr>
      <w:proofErr w:type="gramStart"/>
      <w:r w:rsidRPr="00B23CA9">
        <w:rPr>
          <w:i/>
          <w:sz w:val="24"/>
          <w:szCs w:val="24"/>
        </w:rPr>
        <w:t>a.</w:t>
      </w:r>
      <w:proofErr w:type="gramEnd"/>
      <w:r w:rsidRPr="00B23CA9">
        <w:rPr>
          <w:i/>
          <w:sz w:val="24"/>
          <w:szCs w:val="24"/>
        </w:rPr>
        <w:t>1.1) O(s) atestado(s) destinado(s) à comprovação do quantitativo de 50% (cinquenta por cento) exigido na alínea “a.1” deverá(</w:t>
      </w:r>
      <w:proofErr w:type="spellStart"/>
      <w:r w:rsidRPr="00B23CA9">
        <w:rPr>
          <w:i/>
          <w:sz w:val="24"/>
          <w:szCs w:val="24"/>
        </w:rPr>
        <w:t>ão</w:t>
      </w:r>
      <w:proofErr w:type="spellEnd"/>
      <w:r w:rsidRPr="00B23CA9">
        <w:rPr>
          <w:i/>
          <w:sz w:val="24"/>
          <w:szCs w:val="24"/>
        </w:rPr>
        <w:t>) demonstrar, ainda, que os serviços foram ou estão sendo prestados em todas as 27 unidades federativas.</w:t>
      </w:r>
    </w:p>
    <w:p w:rsidR="009B5363" w:rsidRPr="00B23CA9" w:rsidRDefault="009B5363" w:rsidP="009B5363">
      <w:pPr>
        <w:autoSpaceDE w:val="0"/>
        <w:ind w:left="1418" w:hanging="2"/>
        <w:rPr>
          <w:i/>
          <w:sz w:val="24"/>
          <w:szCs w:val="24"/>
        </w:rPr>
      </w:pPr>
    </w:p>
    <w:p w:rsidR="009B5363" w:rsidRPr="00B23CA9" w:rsidRDefault="009B5363" w:rsidP="009B5363">
      <w:pPr>
        <w:autoSpaceDE w:val="0"/>
        <w:ind w:left="1418" w:hanging="2"/>
        <w:rPr>
          <w:i/>
          <w:sz w:val="24"/>
          <w:szCs w:val="24"/>
        </w:rPr>
      </w:pPr>
      <w:proofErr w:type="gramStart"/>
      <w:r w:rsidRPr="00B23CA9">
        <w:rPr>
          <w:i/>
          <w:sz w:val="24"/>
          <w:szCs w:val="24"/>
        </w:rPr>
        <w:t>a.</w:t>
      </w:r>
      <w:proofErr w:type="gramEnd"/>
      <w:r w:rsidRPr="00B23CA9">
        <w:rPr>
          <w:i/>
          <w:sz w:val="24"/>
          <w:szCs w:val="24"/>
        </w:rPr>
        <w:t>1.2) A fim de comprovar os requisitos acima, a licitante, caso julgue necessário, poderá encaminhar, juntamente com o(s) atestado(s), Ordens de Serviços (devidamente assinadas), Notas Fiscais/Faturas ou outros documentos equivalentes, os quais também poderão ser requeridos por meio de diligência.</w:t>
      </w:r>
    </w:p>
    <w:p w:rsidR="009B5363" w:rsidRPr="00B23CA9" w:rsidRDefault="009B5363" w:rsidP="009B5363">
      <w:pPr>
        <w:autoSpaceDE w:val="0"/>
        <w:rPr>
          <w:i/>
          <w:sz w:val="24"/>
          <w:szCs w:val="24"/>
        </w:rPr>
      </w:pPr>
    </w:p>
    <w:p w:rsidR="009B5363" w:rsidRPr="00B23CA9" w:rsidRDefault="009B5363" w:rsidP="009B5363">
      <w:pPr>
        <w:autoSpaceDE w:val="0"/>
        <w:ind w:left="708"/>
        <w:rPr>
          <w:i/>
          <w:sz w:val="24"/>
          <w:szCs w:val="24"/>
        </w:rPr>
      </w:pPr>
      <w:proofErr w:type="gramStart"/>
      <w:r w:rsidRPr="00B23CA9">
        <w:rPr>
          <w:i/>
          <w:sz w:val="24"/>
          <w:szCs w:val="24"/>
        </w:rPr>
        <w:t>a.</w:t>
      </w:r>
      <w:proofErr w:type="gramEnd"/>
      <w:r w:rsidRPr="00B23CA9">
        <w:rPr>
          <w:i/>
          <w:sz w:val="24"/>
          <w:szCs w:val="24"/>
        </w:rPr>
        <w:t>2) Somente será aceito atestado expedido após a conclusão do contrato ou se decorrido, pelo menos, 01 (um) ano do início de sua execução.</w:t>
      </w:r>
    </w:p>
    <w:p w:rsidR="009B5363" w:rsidRPr="00B23CA9" w:rsidRDefault="009B5363" w:rsidP="009B5363">
      <w:pPr>
        <w:autoSpaceDE w:val="0"/>
        <w:ind w:left="708"/>
        <w:rPr>
          <w:i/>
          <w:sz w:val="24"/>
          <w:szCs w:val="24"/>
        </w:rPr>
      </w:pPr>
    </w:p>
    <w:p w:rsidR="009B5363" w:rsidRPr="00B23CA9" w:rsidRDefault="009B5363" w:rsidP="009B5363">
      <w:pPr>
        <w:autoSpaceDE w:val="0"/>
        <w:ind w:left="708"/>
        <w:rPr>
          <w:i/>
          <w:sz w:val="24"/>
          <w:szCs w:val="24"/>
        </w:rPr>
      </w:pPr>
      <w:proofErr w:type="gramStart"/>
      <w:r w:rsidRPr="00B23CA9">
        <w:rPr>
          <w:i/>
          <w:sz w:val="24"/>
          <w:szCs w:val="24"/>
        </w:rPr>
        <w:t>a.</w:t>
      </w:r>
      <w:proofErr w:type="gramEnd"/>
      <w:r w:rsidRPr="00B23CA9">
        <w:rPr>
          <w:i/>
          <w:sz w:val="24"/>
          <w:szCs w:val="24"/>
        </w:rPr>
        <w:t>3) Será aceito o somatório de atestados, desde que atendido o limite temporal fixado na alínea “a.2”.</w:t>
      </w:r>
    </w:p>
    <w:p w:rsidR="009B5363" w:rsidRPr="00B23CA9" w:rsidRDefault="009B5363" w:rsidP="009B5363">
      <w:pPr>
        <w:autoSpaceDE w:val="0"/>
        <w:ind w:left="708"/>
        <w:rPr>
          <w:i/>
          <w:sz w:val="24"/>
          <w:szCs w:val="24"/>
        </w:rPr>
      </w:pPr>
    </w:p>
    <w:p w:rsidR="009B5363" w:rsidRPr="00B23CA9" w:rsidRDefault="009B5363" w:rsidP="009B5363">
      <w:pPr>
        <w:autoSpaceDE w:val="0"/>
        <w:ind w:left="1418" w:hanging="2"/>
        <w:rPr>
          <w:i/>
          <w:sz w:val="24"/>
          <w:szCs w:val="24"/>
        </w:rPr>
      </w:pPr>
      <w:proofErr w:type="gramStart"/>
      <w:r w:rsidRPr="00B23CA9">
        <w:rPr>
          <w:i/>
          <w:sz w:val="24"/>
          <w:szCs w:val="24"/>
        </w:rPr>
        <w:t>a.</w:t>
      </w:r>
      <w:proofErr w:type="gramEnd"/>
      <w:r w:rsidRPr="00B23CA9">
        <w:rPr>
          <w:i/>
          <w:sz w:val="24"/>
          <w:szCs w:val="24"/>
        </w:rPr>
        <w:t>3.1)</w:t>
      </w:r>
      <w:r w:rsidRPr="00B23CA9">
        <w:rPr>
          <w:i/>
          <w:sz w:val="24"/>
          <w:szCs w:val="24"/>
        </w:rPr>
        <w:tab/>
        <w:t>Para a comprovação da prestação dos serviços em todas as unidades da federação, levando-se em conta que tal requisito está diretamente ligado com a disponibilização de estrutura logística adequada, por parte da licitante, somente serão considerados, para fins de somatório, os atestados que contemplem períodos concomitantes.</w:t>
      </w:r>
    </w:p>
    <w:p w:rsidR="009B5363" w:rsidRPr="00B23CA9" w:rsidRDefault="009B5363" w:rsidP="009B5363">
      <w:pPr>
        <w:autoSpaceDE w:val="0"/>
        <w:ind w:left="1418" w:hanging="2"/>
        <w:rPr>
          <w:i/>
          <w:sz w:val="24"/>
          <w:szCs w:val="24"/>
        </w:rPr>
      </w:pPr>
    </w:p>
    <w:p w:rsidR="009B5363" w:rsidRPr="00B23CA9" w:rsidRDefault="009B5363" w:rsidP="009B5363">
      <w:pPr>
        <w:ind w:left="1418"/>
        <w:rPr>
          <w:i/>
          <w:sz w:val="24"/>
          <w:szCs w:val="24"/>
        </w:rPr>
      </w:pPr>
      <w:proofErr w:type="gramStart"/>
      <w:r w:rsidRPr="00B23CA9">
        <w:rPr>
          <w:i/>
          <w:sz w:val="24"/>
          <w:szCs w:val="24"/>
        </w:rPr>
        <w:t>a.</w:t>
      </w:r>
      <w:proofErr w:type="gramEnd"/>
      <w:r w:rsidRPr="00B23CA9">
        <w:rPr>
          <w:i/>
          <w:sz w:val="24"/>
          <w:szCs w:val="24"/>
        </w:rPr>
        <w:t>3.2) O atestado de capacidade técnico-operacional deverá referir-se a serviços prestados no âmbito da atividade econômica principal ou secundária da licitante, especificadas no contrato social vigente.</w:t>
      </w:r>
    </w:p>
    <w:p w:rsidR="009B5363" w:rsidRPr="00B23CA9" w:rsidRDefault="009B5363" w:rsidP="009B5363">
      <w:pPr>
        <w:autoSpaceDE w:val="0"/>
        <w:ind w:left="1418" w:hanging="2"/>
        <w:rPr>
          <w:i/>
          <w:sz w:val="24"/>
          <w:szCs w:val="24"/>
        </w:rPr>
      </w:pPr>
    </w:p>
    <w:p w:rsidR="009B5363" w:rsidRPr="00B23CA9" w:rsidRDefault="009B5363" w:rsidP="009B5363">
      <w:pPr>
        <w:shd w:val="clear" w:color="auto" w:fill="FAFAFA"/>
        <w:spacing w:after="150" w:line="300" w:lineRule="atLeast"/>
        <w:rPr>
          <w:i/>
          <w:sz w:val="24"/>
          <w:szCs w:val="24"/>
        </w:rPr>
      </w:pPr>
    </w:p>
    <w:p w:rsidR="009B5363" w:rsidRPr="00B23CA9" w:rsidRDefault="009B5363" w:rsidP="009B5363">
      <w:pPr>
        <w:shd w:val="clear" w:color="auto" w:fill="FAFAFA"/>
        <w:spacing w:after="150" w:line="300" w:lineRule="atLeast"/>
        <w:rPr>
          <w:i/>
          <w:sz w:val="24"/>
          <w:szCs w:val="24"/>
        </w:rPr>
      </w:pPr>
      <w:r w:rsidRPr="00B23CA9">
        <w:rPr>
          <w:i/>
          <w:sz w:val="24"/>
          <w:szCs w:val="24"/>
        </w:rPr>
        <w:t>Sucede que, tal exigência se mostra ilegal, pois afronta às normas que regem o procedimento licitatório, como à frente será demonstrado.</w:t>
      </w:r>
    </w:p>
    <w:p w:rsidR="009B5363" w:rsidRPr="00B23CA9" w:rsidRDefault="009B5363" w:rsidP="009B5363">
      <w:pPr>
        <w:shd w:val="clear" w:color="auto" w:fill="FAFAFA"/>
        <w:spacing w:before="150" w:after="150" w:line="600" w:lineRule="atLeast"/>
        <w:jc w:val="center"/>
        <w:outlineLvl w:val="1"/>
        <w:rPr>
          <w:i/>
          <w:sz w:val="24"/>
          <w:szCs w:val="24"/>
        </w:rPr>
      </w:pPr>
      <w:r w:rsidRPr="00B23CA9">
        <w:rPr>
          <w:bCs/>
          <w:i/>
          <w:sz w:val="24"/>
          <w:szCs w:val="24"/>
        </w:rPr>
        <w:t>II – DA ILEGALIDADE</w:t>
      </w:r>
    </w:p>
    <w:p w:rsidR="009B5363" w:rsidRPr="00B23CA9" w:rsidRDefault="00EF06F9" w:rsidP="009B5363">
      <w:pPr>
        <w:spacing w:before="100" w:beforeAutospacing="1" w:after="100" w:afterAutospacing="1"/>
        <w:jc w:val="center"/>
        <w:rPr>
          <w:i/>
          <w:sz w:val="24"/>
          <w:szCs w:val="24"/>
        </w:rPr>
      </w:pPr>
      <w:hyperlink r:id="rId9" w:history="1">
        <w:r w:rsidR="009B5363" w:rsidRPr="00B23CA9">
          <w:rPr>
            <w:bCs/>
            <w:i/>
            <w:sz w:val="24"/>
            <w:szCs w:val="24"/>
          </w:rPr>
          <w:t xml:space="preserve">DECRETO Nº 3.555, DE </w:t>
        </w:r>
        <w:proofErr w:type="gramStart"/>
        <w:r w:rsidR="009B5363" w:rsidRPr="00B23CA9">
          <w:rPr>
            <w:bCs/>
            <w:i/>
            <w:sz w:val="24"/>
            <w:szCs w:val="24"/>
          </w:rPr>
          <w:t>8</w:t>
        </w:r>
        <w:proofErr w:type="gramEnd"/>
        <w:r w:rsidR="009B5363" w:rsidRPr="00B23CA9">
          <w:rPr>
            <w:bCs/>
            <w:i/>
            <w:sz w:val="24"/>
            <w:szCs w:val="24"/>
          </w:rPr>
          <w:t xml:space="preserve"> DE AGOSTO DE 2000.</w:t>
        </w:r>
      </w:hyperlink>
    </w:p>
    <w:p w:rsidR="009B5363" w:rsidRPr="00B23CA9" w:rsidRDefault="009B5363" w:rsidP="009B5363">
      <w:pPr>
        <w:spacing w:before="100" w:beforeAutospacing="1" w:after="100" w:afterAutospacing="1"/>
        <w:jc w:val="center"/>
        <w:rPr>
          <w:i/>
          <w:sz w:val="24"/>
          <w:szCs w:val="24"/>
        </w:rPr>
      </w:pPr>
      <w:r w:rsidRPr="00B23CA9">
        <w:rPr>
          <w:bCs/>
          <w:i/>
          <w:sz w:val="24"/>
          <w:szCs w:val="24"/>
        </w:rPr>
        <w:t>O PRESIDENTE DA REPÚBLICA,</w:t>
      </w:r>
      <w:r w:rsidRPr="00B23CA9">
        <w:rPr>
          <w:i/>
          <w:sz w:val="24"/>
          <w:szCs w:val="24"/>
        </w:rPr>
        <w:t> no uso das atribuições que lhe confere o art. 84, incisos IV e VI, da Constituição e tendo em vista o disposto na Medida Provisória n</w:t>
      </w:r>
      <w:r w:rsidRPr="00B23CA9">
        <w:rPr>
          <w:bCs/>
          <w:i/>
          <w:strike/>
          <w:sz w:val="24"/>
          <w:szCs w:val="24"/>
        </w:rPr>
        <w:t>º</w:t>
      </w:r>
      <w:r w:rsidRPr="00B23CA9">
        <w:rPr>
          <w:i/>
          <w:sz w:val="24"/>
          <w:szCs w:val="24"/>
        </w:rPr>
        <w:t> 2.026-3, de 28 de julho de 2000,</w:t>
      </w:r>
    </w:p>
    <w:p w:rsidR="009B5363" w:rsidRPr="00B23CA9" w:rsidRDefault="009B5363" w:rsidP="009B5363">
      <w:pPr>
        <w:spacing w:before="100" w:beforeAutospacing="1" w:after="100" w:afterAutospacing="1"/>
        <w:jc w:val="center"/>
        <w:rPr>
          <w:i/>
          <w:sz w:val="24"/>
          <w:szCs w:val="24"/>
        </w:rPr>
      </w:pPr>
      <w:r w:rsidRPr="00B23CA9">
        <w:rPr>
          <w:bCs/>
          <w:i/>
          <w:sz w:val="24"/>
          <w:szCs w:val="24"/>
        </w:rPr>
        <w:t>DECRETA:</w:t>
      </w:r>
    </w:p>
    <w:p w:rsidR="009B5363" w:rsidRPr="00B23CA9" w:rsidRDefault="009B5363" w:rsidP="009B5363">
      <w:pPr>
        <w:pStyle w:val="NormalWeb"/>
        <w:jc w:val="center"/>
        <w:rPr>
          <w:i/>
        </w:rPr>
      </w:pPr>
      <w:r w:rsidRPr="00B23CA9">
        <w:rPr>
          <w:i/>
        </w:rPr>
        <w:t>Art. 4</w:t>
      </w:r>
      <w:r w:rsidRPr="00B23CA9">
        <w:rPr>
          <w:i/>
          <w:strike/>
        </w:rPr>
        <w:t>º</w:t>
      </w:r>
      <w:r w:rsidRPr="00B23CA9">
        <w:rPr>
          <w:i/>
        </w:rPr>
        <w:t>  A licitação na modalidade de pregão é juridicamente condicionada aos princípios básicos da legalidade, da impessoalidade, da moralidade, da igualdade, da publicidade, da probidade administrativa, da vinculação ao instrumento convocatório, do julgamento objetivo, bem assim aos princípios correlatos da celeridade, finalidade, razoabilidade, proporcionalidade, competitividade, justo preço, seletividade e comparação objetiva das propostas.</w:t>
      </w:r>
    </w:p>
    <w:p w:rsidR="009B5363" w:rsidRPr="00B23CA9" w:rsidRDefault="009B5363" w:rsidP="009B5363">
      <w:pPr>
        <w:spacing w:before="100" w:beforeAutospacing="1" w:after="100" w:afterAutospacing="1"/>
        <w:jc w:val="center"/>
        <w:rPr>
          <w:i/>
          <w:sz w:val="24"/>
          <w:szCs w:val="24"/>
        </w:rPr>
      </w:pPr>
      <w:r w:rsidRPr="00B23CA9">
        <w:rPr>
          <w:i/>
          <w:sz w:val="24"/>
          <w:szCs w:val="24"/>
        </w:rPr>
        <w:t>Parágrafo único.  As normas disciplinadoras da licitação serão sempre interpretadas em favor da ampliação da disputa entre os interessados, desde que não comprometam o interesse da Administração, a finalidade e a segurança da contratação.</w:t>
      </w:r>
    </w:p>
    <w:p w:rsidR="009B5363" w:rsidRPr="00B23CA9" w:rsidRDefault="009B5363" w:rsidP="009B5363">
      <w:pPr>
        <w:shd w:val="clear" w:color="auto" w:fill="FAFAFA"/>
        <w:spacing w:after="150" w:line="300" w:lineRule="atLeast"/>
        <w:jc w:val="center"/>
        <w:rPr>
          <w:i/>
          <w:sz w:val="24"/>
          <w:szCs w:val="24"/>
        </w:rPr>
      </w:pPr>
      <w:r w:rsidRPr="00B23CA9">
        <w:rPr>
          <w:i/>
          <w:sz w:val="24"/>
          <w:szCs w:val="24"/>
        </w:rPr>
        <w:t xml:space="preserve">Criando assim um obstáculo que não existe na legalidade e na lei, onde prevê o principio da eficiência administrativa publica, fazendo </w:t>
      </w:r>
      <w:proofErr w:type="gramStart"/>
      <w:r w:rsidRPr="00B23CA9">
        <w:rPr>
          <w:i/>
          <w:sz w:val="24"/>
          <w:szCs w:val="24"/>
        </w:rPr>
        <w:t>deste então seleção</w:t>
      </w:r>
      <w:proofErr w:type="gramEnd"/>
      <w:r w:rsidRPr="00B23CA9">
        <w:rPr>
          <w:i/>
          <w:sz w:val="24"/>
          <w:szCs w:val="24"/>
        </w:rPr>
        <w:t xml:space="preserve"> e evitando que empresas que </w:t>
      </w:r>
      <w:r w:rsidRPr="00B23CA9">
        <w:rPr>
          <w:i/>
          <w:sz w:val="24"/>
          <w:szCs w:val="24"/>
        </w:rPr>
        <w:lastRenderedPageBreak/>
        <w:t>possuem também capacidade de atender ao objeto desta licitação participem, privado  então a ampliação da disputa.</w:t>
      </w:r>
    </w:p>
    <w:p w:rsidR="009B5363" w:rsidRPr="00B23CA9" w:rsidRDefault="009B5363" w:rsidP="009B5363">
      <w:pPr>
        <w:shd w:val="clear" w:color="auto" w:fill="FAFAFA"/>
        <w:spacing w:before="150" w:after="150" w:line="600" w:lineRule="atLeast"/>
        <w:jc w:val="center"/>
        <w:outlineLvl w:val="1"/>
        <w:rPr>
          <w:i/>
          <w:sz w:val="24"/>
          <w:szCs w:val="24"/>
        </w:rPr>
      </w:pPr>
      <w:r w:rsidRPr="00B23CA9">
        <w:rPr>
          <w:bCs/>
          <w:i/>
          <w:sz w:val="24"/>
          <w:szCs w:val="24"/>
        </w:rPr>
        <w:t>III – DO PEDIDO</w:t>
      </w:r>
    </w:p>
    <w:p w:rsidR="009B5363" w:rsidRPr="00B23CA9" w:rsidRDefault="009B5363" w:rsidP="009B5363">
      <w:pPr>
        <w:shd w:val="clear" w:color="auto" w:fill="FAFAFA"/>
        <w:spacing w:after="150" w:line="300" w:lineRule="atLeast"/>
        <w:jc w:val="center"/>
        <w:rPr>
          <w:i/>
          <w:sz w:val="24"/>
          <w:szCs w:val="24"/>
        </w:rPr>
      </w:pPr>
      <w:r w:rsidRPr="00B23CA9">
        <w:rPr>
          <w:i/>
          <w:sz w:val="24"/>
          <w:szCs w:val="24"/>
        </w:rPr>
        <w:t>Em face do exposto, requer-se seja a presente IMPUGNAÇÃO julgada procedente, com efeito para:</w:t>
      </w:r>
    </w:p>
    <w:p w:rsidR="009B5363" w:rsidRPr="00B23CA9" w:rsidRDefault="009B5363" w:rsidP="009B5363">
      <w:pPr>
        <w:shd w:val="clear" w:color="auto" w:fill="FAFAFA"/>
        <w:spacing w:after="150" w:line="300" w:lineRule="atLeast"/>
        <w:jc w:val="center"/>
        <w:rPr>
          <w:i/>
          <w:sz w:val="24"/>
          <w:szCs w:val="24"/>
        </w:rPr>
      </w:pPr>
    </w:p>
    <w:p w:rsidR="009B5363" w:rsidRPr="00B23CA9" w:rsidRDefault="009B5363" w:rsidP="009B5363">
      <w:pPr>
        <w:numPr>
          <w:ilvl w:val="0"/>
          <w:numId w:val="1"/>
        </w:numPr>
        <w:shd w:val="clear" w:color="auto" w:fill="FAFAFA"/>
        <w:spacing w:before="100" w:beforeAutospacing="1" w:after="100" w:afterAutospacing="1" w:line="300" w:lineRule="atLeast"/>
        <w:ind w:left="375"/>
        <w:jc w:val="center"/>
        <w:rPr>
          <w:i/>
          <w:sz w:val="24"/>
          <w:szCs w:val="24"/>
        </w:rPr>
      </w:pPr>
      <w:proofErr w:type="gramStart"/>
      <w:r w:rsidRPr="00B23CA9">
        <w:rPr>
          <w:i/>
          <w:sz w:val="24"/>
          <w:szCs w:val="24"/>
        </w:rPr>
        <w:t>declarar</w:t>
      </w:r>
      <w:proofErr w:type="gramEnd"/>
      <w:r w:rsidRPr="00B23CA9">
        <w:rPr>
          <w:i/>
          <w:sz w:val="24"/>
          <w:szCs w:val="24"/>
        </w:rPr>
        <w:t>-se nulo o item atacado;</w:t>
      </w:r>
    </w:p>
    <w:p w:rsidR="009B5363" w:rsidRPr="00B23CA9" w:rsidRDefault="009B5363" w:rsidP="009B5363">
      <w:pPr>
        <w:numPr>
          <w:ilvl w:val="0"/>
          <w:numId w:val="1"/>
        </w:numPr>
        <w:shd w:val="clear" w:color="auto" w:fill="FAFAFA"/>
        <w:spacing w:before="100" w:beforeAutospacing="1" w:after="100" w:afterAutospacing="1" w:line="300" w:lineRule="atLeast"/>
        <w:ind w:left="375"/>
        <w:jc w:val="center"/>
        <w:rPr>
          <w:i/>
          <w:sz w:val="24"/>
          <w:szCs w:val="24"/>
        </w:rPr>
      </w:pPr>
      <w:proofErr w:type="gramStart"/>
      <w:r w:rsidRPr="00B23CA9">
        <w:rPr>
          <w:i/>
          <w:sz w:val="24"/>
          <w:szCs w:val="24"/>
        </w:rPr>
        <w:t>determinar</w:t>
      </w:r>
      <w:proofErr w:type="gramEnd"/>
      <w:r w:rsidRPr="00B23CA9">
        <w:rPr>
          <w:i/>
          <w:sz w:val="24"/>
          <w:szCs w:val="24"/>
        </w:rPr>
        <w:t>-se a republicação do Edital, devidamente corrigido, reabrindo-se o prazo inicialmente previsto, conforme § 4º, do art. 21, da Lei nº 8666/93.</w:t>
      </w:r>
    </w:p>
    <w:p w:rsidR="009B5363" w:rsidRPr="00B23CA9" w:rsidRDefault="009B5363" w:rsidP="009B5363">
      <w:pPr>
        <w:numPr>
          <w:ilvl w:val="0"/>
          <w:numId w:val="1"/>
        </w:numPr>
        <w:shd w:val="clear" w:color="auto" w:fill="FAFAFA"/>
        <w:spacing w:before="100" w:beforeAutospacing="1" w:after="100" w:afterAutospacing="1" w:line="300" w:lineRule="atLeast"/>
        <w:ind w:left="375"/>
        <w:jc w:val="center"/>
        <w:rPr>
          <w:i/>
          <w:sz w:val="24"/>
          <w:szCs w:val="24"/>
        </w:rPr>
      </w:pPr>
      <w:r w:rsidRPr="00B23CA9">
        <w:rPr>
          <w:i/>
          <w:sz w:val="24"/>
          <w:szCs w:val="24"/>
        </w:rPr>
        <w:t>Fazer alterações conforme o decreto nº 5.450/2005, do art. 09º, conforme § 5º.</w:t>
      </w:r>
    </w:p>
    <w:p w:rsidR="003C111F" w:rsidRPr="00B23CA9" w:rsidRDefault="003C111F" w:rsidP="00335EC6">
      <w:pPr>
        <w:jc w:val="both"/>
        <w:rPr>
          <w:rFonts w:eastAsia="Calibri"/>
          <w:b/>
          <w:bCs/>
          <w:sz w:val="24"/>
          <w:szCs w:val="24"/>
          <w:u w:val="single"/>
          <w:lang w:eastAsia="en-US"/>
        </w:rPr>
      </w:pPr>
    </w:p>
    <w:p w:rsidR="003C111F" w:rsidRPr="00B23CA9" w:rsidRDefault="003C111F" w:rsidP="00335EC6">
      <w:pPr>
        <w:jc w:val="both"/>
        <w:rPr>
          <w:rFonts w:eastAsia="Calibri"/>
          <w:b/>
          <w:bCs/>
          <w:sz w:val="24"/>
          <w:szCs w:val="24"/>
          <w:u w:val="single"/>
          <w:lang w:eastAsia="en-US"/>
        </w:rPr>
      </w:pPr>
    </w:p>
    <w:p w:rsidR="003C111F" w:rsidRPr="00B23CA9" w:rsidRDefault="003C111F" w:rsidP="003C111F">
      <w:pPr>
        <w:jc w:val="both"/>
        <w:rPr>
          <w:rFonts w:eastAsia="Calibri"/>
          <w:b/>
          <w:sz w:val="24"/>
          <w:szCs w:val="24"/>
          <w:u w:val="single"/>
          <w:lang w:eastAsia="en-US"/>
        </w:rPr>
      </w:pPr>
      <w:r w:rsidRPr="00B23CA9">
        <w:rPr>
          <w:rFonts w:eastAsia="Calibri"/>
          <w:b/>
          <w:sz w:val="24"/>
          <w:szCs w:val="24"/>
          <w:u w:val="single"/>
          <w:lang w:eastAsia="en-US"/>
        </w:rPr>
        <w:t>RESPOSTA:</w:t>
      </w:r>
    </w:p>
    <w:p w:rsidR="003C111F" w:rsidRPr="00B23CA9" w:rsidRDefault="003C111F" w:rsidP="00335EC6">
      <w:pPr>
        <w:jc w:val="both"/>
        <w:rPr>
          <w:rFonts w:eastAsia="Calibri"/>
          <w:b/>
          <w:bCs/>
          <w:sz w:val="24"/>
          <w:szCs w:val="24"/>
          <w:u w:val="single"/>
          <w:lang w:eastAsia="en-US"/>
        </w:rPr>
      </w:pPr>
    </w:p>
    <w:p w:rsidR="002D76A2" w:rsidRPr="00B23CA9" w:rsidRDefault="00C14654" w:rsidP="00B23CA9">
      <w:pPr>
        <w:pStyle w:val="PargrafodaLista"/>
        <w:spacing w:after="240"/>
        <w:ind w:left="0" w:firstLine="720"/>
        <w:jc w:val="both"/>
        <w:rPr>
          <w:rFonts w:ascii="Times New Roman" w:hAnsi="Times New Roman"/>
          <w:sz w:val="24"/>
          <w:szCs w:val="24"/>
        </w:rPr>
      </w:pPr>
      <w:bookmarkStart w:id="0" w:name="_GoBack"/>
      <w:r w:rsidRPr="00B23CA9">
        <w:rPr>
          <w:rFonts w:ascii="Times New Roman" w:hAnsi="Times New Roman"/>
          <w:sz w:val="24"/>
          <w:szCs w:val="24"/>
        </w:rPr>
        <w:t>Considerando o posicionamento enviado pela área técnica desta CGU-PR, segue abaixo a resposta ao Pedido de Impugnação 01 – PE n.º 12/2015:</w:t>
      </w:r>
    </w:p>
    <w:p w:rsidR="00B23CA9" w:rsidRPr="00B23CA9" w:rsidRDefault="00CD53CD" w:rsidP="00B23CA9">
      <w:pPr>
        <w:spacing w:after="240"/>
        <w:ind w:firstLine="708"/>
        <w:jc w:val="both"/>
        <w:rPr>
          <w:color w:val="000000" w:themeColor="text1"/>
          <w:sz w:val="24"/>
          <w:szCs w:val="24"/>
        </w:rPr>
      </w:pPr>
      <w:r>
        <w:rPr>
          <w:color w:val="000000" w:themeColor="text1"/>
          <w:sz w:val="24"/>
          <w:szCs w:val="24"/>
        </w:rPr>
        <w:t>D</w:t>
      </w:r>
      <w:r w:rsidR="00B23CA9" w:rsidRPr="00B23CA9">
        <w:rPr>
          <w:color w:val="000000" w:themeColor="text1"/>
          <w:sz w:val="24"/>
          <w:szCs w:val="24"/>
        </w:rPr>
        <w:t>estac</w:t>
      </w:r>
      <w:r>
        <w:rPr>
          <w:color w:val="000000" w:themeColor="text1"/>
          <w:sz w:val="24"/>
          <w:szCs w:val="24"/>
        </w:rPr>
        <w:t>o</w:t>
      </w:r>
      <w:r w:rsidR="00B23CA9" w:rsidRPr="00B23CA9">
        <w:rPr>
          <w:color w:val="000000" w:themeColor="text1"/>
          <w:sz w:val="24"/>
          <w:szCs w:val="24"/>
        </w:rPr>
        <w:t xml:space="preserve"> que as regras fixadas no T</w:t>
      </w:r>
      <w:r w:rsidR="00DE54FC">
        <w:rPr>
          <w:color w:val="000000" w:themeColor="text1"/>
          <w:sz w:val="24"/>
          <w:szCs w:val="24"/>
        </w:rPr>
        <w:t>ermo de Referência</w:t>
      </w:r>
      <w:r w:rsidR="00B23CA9" w:rsidRPr="00B23CA9">
        <w:rPr>
          <w:color w:val="000000" w:themeColor="text1"/>
          <w:sz w:val="24"/>
          <w:szCs w:val="24"/>
        </w:rPr>
        <w:t xml:space="preserve">, e que são ora atacadas, via impugnação, são exigências respaldadas nos parâmetros expressamente previstos nos § 5º </w:t>
      </w:r>
      <w:proofErr w:type="gramStart"/>
      <w:r w:rsidR="00B23CA9" w:rsidRPr="00B23CA9">
        <w:rPr>
          <w:color w:val="000000" w:themeColor="text1"/>
          <w:sz w:val="24"/>
          <w:szCs w:val="24"/>
        </w:rPr>
        <w:t>ao 12</w:t>
      </w:r>
      <w:proofErr w:type="gramEnd"/>
      <w:r w:rsidR="00B23CA9" w:rsidRPr="00B23CA9">
        <w:rPr>
          <w:color w:val="000000" w:themeColor="text1"/>
          <w:sz w:val="24"/>
          <w:szCs w:val="24"/>
        </w:rPr>
        <w:t>, do art. 19, da IN SLTI/MPOG n.º 02/2008, atendendo, assim, aos Princípios indicados pela impugnante, a saber, razoabilidade, proporcionalidade, e a seleção da proposta mais vantajosa para a administração.</w:t>
      </w:r>
    </w:p>
    <w:p w:rsidR="00B23CA9" w:rsidRPr="00B23CA9" w:rsidRDefault="00CD53CD" w:rsidP="00DE54FC">
      <w:pPr>
        <w:ind w:firstLine="708"/>
        <w:rPr>
          <w:color w:val="000000" w:themeColor="text1"/>
          <w:sz w:val="24"/>
          <w:szCs w:val="24"/>
        </w:rPr>
      </w:pPr>
      <w:r>
        <w:rPr>
          <w:color w:val="000000" w:themeColor="text1"/>
          <w:sz w:val="24"/>
          <w:szCs w:val="24"/>
        </w:rPr>
        <w:t>Assim</w:t>
      </w:r>
      <w:r w:rsidR="00B23CA9">
        <w:rPr>
          <w:color w:val="000000" w:themeColor="text1"/>
          <w:sz w:val="24"/>
          <w:szCs w:val="24"/>
        </w:rPr>
        <w:t xml:space="preserve">, informo que as </w:t>
      </w:r>
      <w:r w:rsidR="00B23CA9" w:rsidRPr="00B23CA9">
        <w:rPr>
          <w:color w:val="000000" w:themeColor="text1"/>
          <w:sz w:val="24"/>
          <w:szCs w:val="24"/>
        </w:rPr>
        <w:t>exigências estão em consonância com os normativos que regulam o assunto, com a Jurisprudência do Tribunal de Contas da União – TCU</w:t>
      </w:r>
      <w:r w:rsidR="00DE54FC">
        <w:rPr>
          <w:color w:val="000000" w:themeColor="text1"/>
          <w:sz w:val="24"/>
          <w:szCs w:val="24"/>
        </w:rPr>
        <w:t xml:space="preserve"> (</w:t>
      </w:r>
      <w:r w:rsidR="00DE54FC">
        <w:rPr>
          <w:sz w:val="24"/>
          <w:szCs w:val="22"/>
          <w:lang w:eastAsia="en-US"/>
        </w:rPr>
        <w:t xml:space="preserve">ACÓRDÃO Nº </w:t>
      </w:r>
      <w:r w:rsidR="00DE54FC" w:rsidRPr="00DE54FC">
        <w:rPr>
          <w:sz w:val="24"/>
          <w:szCs w:val="22"/>
          <w:lang w:eastAsia="en-US"/>
        </w:rPr>
        <w:t>1214/2013 – TCU – Plenário</w:t>
      </w:r>
      <w:r w:rsidR="00DE54FC">
        <w:rPr>
          <w:sz w:val="24"/>
          <w:szCs w:val="22"/>
          <w:lang w:eastAsia="en-US"/>
        </w:rPr>
        <w:t>)</w:t>
      </w:r>
      <w:r w:rsidR="00B23CA9" w:rsidRPr="00B23CA9">
        <w:rPr>
          <w:color w:val="000000" w:themeColor="text1"/>
          <w:sz w:val="24"/>
          <w:szCs w:val="24"/>
        </w:rPr>
        <w:t xml:space="preserve">, bem como com o entendimento doutrinário dominante, como, por exemplo, do Professor Hely Lopes Meirelles (Licitação e Contrato Administrativo. 14. ed. atual. </w:t>
      </w:r>
      <w:proofErr w:type="gramStart"/>
      <w:r w:rsidR="00B23CA9" w:rsidRPr="00B23CA9">
        <w:rPr>
          <w:color w:val="000000" w:themeColor="text1"/>
          <w:sz w:val="24"/>
          <w:szCs w:val="24"/>
        </w:rPr>
        <w:t>2</w:t>
      </w:r>
      <w:proofErr w:type="gramEnd"/>
      <w:r w:rsidR="00B23CA9" w:rsidRPr="00B23CA9">
        <w:rPr>
          <w:color w:val="000000" w:themeColor="text1"/>
          <w:sz w:val="24"/>
          <w:szCs w:val="24"/>
        </w:rPr>
        <w:t>. Tiragem. São Paulo: Malheiros, 2007) que se posicionam no sentido de que “</w:t>
      </w:r>
      <w:r w:rsidR="00B23CA9" w:rsidRPr="00B23CA9">
        <w:rPr>
          <w:b/>
          <w:bCs/>
          <w:i/>
          <w:iCs/>
          <w:color w:val="000000" w:themeColor="text1"/>
          <w:sz w:val="24"/>
          <w:szCs w:val="24"/>
        </w:rPr>
        <w:t>os requisitos diretamente ligados à disponibilização de estrutura logística adequada, por parte da licitante, visam verificar se a empresa tem capacidade efetiva de disponibilizar seus serviços quando demandados, pois a Administração deve verificar, ainda, se a capacidade operacional está disponível, já que de nada adianta a empresa possuir equipamento e pessoal se eles não estiverem efetivamente disponíveis</w:t>
      </w:r>
      <w:r w:rsidR="00B23CA9" w:rsidRPr="00B23CA9">
        <w:rPr>
          <w:color w:val="000000" w:themeColor="text1"/>
          <w:sz w:val="24"/>
          <w:szCs w:val="24"/>
        </w:rPr>
        <w:t>” no momento em que se fazem necessários.</w:t>
      </w:r>
    </w:p>
    <w:p w:rsidR="00B23CA9" w:rsidRPr="00B23CA9" w:rsidRDefault="00B23CA9" w:rsidP="00B23CA9">
      <w:pPr>
        <w:jc w:val="both"/>
        <w:rPr>
          <w:color w:val="000000" w:themeColor="text1"/>
          <w:sz w:val="24"/>
          <w:szCs w:val="24"/>
        </w:rPr>
      </w:pPr>
    </w:p>
    <w:p w:rsidR="002D76A2" w:rsidRPr="00B23CA9" w:rsidRDefault="00B23CA9" w:rsidP="00B23CA9">
      <w:pPr>
        <w:jc w:val="both"/>
        <w:rPr>
          <w:rFonts w:eastAsia="Calibri"/>
          <w:b/>
          <w:bCs/>
          <w:sz w:val="24"/>
          <w:szCs w:val="24"/>
          <w:u w:val="single"/>
          <w:lang w:eastAsia="en-US"/>
        </w:rPr>
      </w:pPr>
      <w:r w:rsidRPr="00B23CA9" w:rsidDel="00B23CA9">
        <w:rPr>
          <w:color w:val="000000" w:themeColor="text1"/>
          <w:sz w:val="24"/>
          <w:szCs w:val="24"/>
        </w:rPr>
        <w:t xml:space="preserve"> </w:t>
      </w:r>
    </w:p>
    <w:p w:rsidR="002D76A2" w:rsidRPr="00B23CA9" w:rsidRDefault="002D76A2" w:rsidP="00B23CA9">
      <w:pPr>
        <w:pStyle w:val="PargrafodaLista"/>
        <w:ind w:left="0" w:firstLine="720"/>
        <w:jc w:val="both"/>
        <w:rPr>
          <w:rFonts w:ascii="Times New Roman" w:hAnsi="Times New Roman"/>
          <w:sz w:val="24"/>
          <w:szCs w:val="24"/>
        </w:rPr>
      </w:pPr>
      <w:r w:rsidRPr="00B23CA9">
        <w:rPr>
          <w:rFonts w:ascii="Times New Roman" w:hAnsi="Times New Roman"/>
          <w:sz w:val="24"/>
          <w:szCs w:val="24"/>
        </w:rPr>
        <w:t xml:space="preserve">Assim, considera-se </w:t>
      </w:r>
      <w:r w:rsidR="00D3089E" w:rsidRPr="00B23CA9">
        <w:rPr>
          <w:rFonts w:ascii="Times New Roman" w:hAnsi="Times New Roman"/>
          <w:b/>
          <w:sz w:val="24"/>
          <w:szCs w:val="24"/>
        </w:rPr>
        <w:t>IMPROCEDENTE</w:t>
      </w:r>
      <w:r w:rsidRPr="00B23CA9">
        <w:rPr>
          <w:rFonts w:ascii="Times New Roman" w:hAnsi="Times New Roman"/>
          <w:sz w:val="24"/>
          <w:szCs w:val="24"/>
        </w:rPr>
        <w:t xml:space="preserve"> a impugnação em causa.</w:t>
      </w:r>
    </w:p>
    <w:bookmarkEnd w:id="0"/>
    <w:p w:rsidR="002D76A2" w:rsidRPr="00B23CA9" w:rsidRDefault="002D76A2" w:rsidP="00B23CA9">
      <w:pPr>
        <w:jc w:val="both"/>
        <w:rPr>
          <w:rFonts w:eastAsia="Calibri"/>
          <w:b/>
          <w:bCs/>
          <w:sz w:val="24"/>
          <w:szCs w:val="24"/>
          <w:u w:val="single"/>
          <w:lang w:eastAsia="en-US"/>
        </w:rPr>
      </w:pPr>
    </w:p>
    <w:sectPr w:rsidR="002D76A2" w:rsidRPr="00B23CA9" w:rsidSect="00A72C8F">
      <w:headerReference w:type="default" r:id="rId10"/>
      <w:footerReference w:type="default" r:id="rId11"/>
      <w:pgSz w:w="11907" w:h="16840" w:code="9"/>
      <w:pgMar w:top="1276" w:right="1134" w:bottom="1560" w:left="1134" w:header="284" w:footer="28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7E2" w:rsidRDefault="002D76A2">
      <w:r>
        <w:separator/>
      </w:r>
    </w:p>
  </w:endnote>
  <w:endnote w:type="continuationSeparator" w:id="0">
    <w:p w:rsidR="00C807E2" w:rsidRDefault="002D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21C" w:rsidRDefault="00EF06F9">
    <w:pPr>
      <w:pStyle w:val="Rodap"/>
    </w:pPr>
  </w:p>
  <w:p w:rsidR="0069421C" w:rsidRDefault="00EF06F9">
    <w:pPr>
      <w:pStyle w:val="Rodap"/>
    </w:pPr>
  </w:p>
  <w:p w:rsidR="0069421C" w:rsidRDefault="00EF06F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7E2" w:rsidRDefault="002D76A2">
      <w:r>
        <w:separator/>
      </w:r>
    </w:p>
  </w:footnote>
  <w:footnote w:type="continuationSeparator" w:id="0">
    <w:p w:rsidR="00C807E2" w:rsidRDefault="002D76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21C" w:rsidRDefault="00EF06F9" w:rsidP="005C5A58">
    <w:pPr>
      <w:pStyle w:val="Cabealho"/>
      <w:jc w:val="center"/>
      <w:rPr>
        <w:noProof/>
      </w:rPr>
    </w:pPr>
  </w:p>
  <w:p w:rsidR="0069421C" w:rsidRDefault="00EF06F9" w:rsidP="005C5A58">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2399D"/>
    <w:multiLevelType w:val="multilevel"/>
    <w:tmpl w:val="1468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816"/>
    <w:rsid w:val="000D326B"/>
    <w:rsid w:val="002B11D8"/>
    <w:rsid w:val="002D76A2"/>
    <w:rsid w:val="00306816"/>
    <w:rsid w:val="00335EC6"/>
    <w:rsid w:val="003C111F"/>
    <w:rsid w:val="00526BD5"/>
    <w:rsid w:val="005F3E69"/>
    <w:rsid w:val="00823575"/>
    <w:rsid w:val="008A1E87"/>
    <w:rsid w:val="009B5363"/>
    <w:rsid w:val="00B23CA9"/>
    <w:rsid w:val="00C130DC"/>
    <w:rsid w:val="00C14654"/>
    <w:rsid w:val="00C807E2"/>
    <w:rsid w:val="00CD53CD"/>
    <w:rsid w:val="00D3089E"/>
    <w:rsid w:val="00DE45C5"/>
    <w:rsid w:val="00DE54FC"/>
    <w:rsid w:val="00EF06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EC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35EC6"/>
    <w:pPr>
      <w:tabs>
        <w:tab w:val="center" w:pos="4252"/>
        <w:tab w:val="right" w:pos="8504"/>
      </w:tabs>
    </w:pPr>
  </w:style>
  <w:style w:type="character" w:customStyle="1" w:styleId="CabealhoChar">
    <w:name w:val="Cabeçalho Char"/>
    <w:basedOn w:val="Fontepargpadro"/>
    <w:link w:val="Cabealho"/>
    <w:rsid w:val="00335EC6"/>
    <w:rPr>
      <w:rFonts w:ascii="Times New Roman" w:eastAsia="Times New Roman" w:hAnsi="Times New Roman" w:cs="Times New Roman"/>
      <w:sz w:val="20"/>
      <w:szCs w:val="20"/>
      <w:lang w:eastAsia="pt-BR"/>
    </w:rPr>
  </w:style>
  <w:style w:type="paragraph" w:styleId="Rodap">
    <w:name w:val="footer"/>
    <w:basedOn w:val="Normal"/>
    <w:link w:val="RodapChar"/>
    <w:rsid w:val="00335EC6"/>
    <w:pPr>
      <w:tabs>
        <w:tab w:val="center" w:pos="4252"/>
        <w:tab w:val="right" w:pos="8504"/>
      </w:tabs>
    </w:pPr>
  </w:style>
  <w:style w:type="character" w:customStyle="1" w:styleId="RodapChar">
    <w:name w:val="Rodapé Char"/>
    <w:basedOn w:val="Fontepargpadro"/>
    <w:link w:val="Rodap"/>
    <w:rsid w:val="00335EC6"/>
    <w:rPr>
      <w:rFonts w:ascii="Times New Roman" w:eastAsia="Times New Roman" w:hAnsi="Times New Roman" w:cs="Times New Roman"/>
      <w:sz w:val="20"/>
      <w:szCs w:val="20"/>
      <w:lang w:eastAsia="pt-BR"/>
    </w:rPr>
  </w:style>
  <w:style w:type="paragraph" w:customStyle="1" w:styleId="Corpodetexto22">
    <w:name w:val="Corpo de texto 22"/>
    <w:basedOn w:val="Normal"/>
    <w:rsid w:val="00335EC6"/>
    <w:pPr>
      <w:suppressAutoHyphens/>
      <w:jc w:val="both"/>
    </w:pPr>
    <w:rPr>
      <w:sz w:val="24"/>
      <w:lang w:eastAsia="ar-SA"/>
    </w:rPr>
  </w:style>
  <w:style w:type="paragraph" w:styleId="PargrafodaLista">
    <w:name w:val="List Paragraph"/>
    <w:basedOn w:val="Normal"/>
    <w:uiPriority w:val="34"/>
    <w:qFormat/>
    <w:rsid w:val="00335EC6"/>
    <w:pPr>
      <w:ind w:left="720"/>
    </w:pPr>
    <w:rPr>
      <w:rFonts w:ascii="Calibri" w:eastAsia="Calibri" w:hAnsi="Calibri"/>
      <w:sz w:val="22"/>
      <w:szCs w:val="22"/>
      <w:lang w:eastAsia="en-US"/>
    </w:rPr>
  </w:style>
  <w:style w:type="paragraph" w:styleId="Textodebalo">
    <w:name w:val="Balloon Text"/>
    <w:basedOn w:val="Normal"/>
    <w:link w:val="TextodebaloChar"/>
    <w:uiPriority w:val="99"/>
    <w:semiHidden/>
    <w:unhideWhenUsed/>
    <w:rsid w:val="00335EC6"/>
    <w:rPr>
      <w:rFonts w:ascii="Tahoma" w:hAnsi="Tahoma" w:cs="Tahoma"/>
      <w:sz w:val="16"/>
      <w:szCs w:val="16"/>
    </w:rPr>
  </w:style>
  <w:style w:type="character" w:customStyle="1" w:styleId="TextodebaloChar">
    <w:name w:val="Texto de balão Char"/>
    <w:basedOn w:val="Fontepargpadro"/>
    <w:link w:val="Textodebalo"/>
    <w:uiPriority w:val="99"/>
    <w:semiHidden/>
    <w:rsid w:val="00335EC6"/>
    <w:rPr>
      <w:rFonts w:ascii="Tahoma" w:eastAsia="Times New Roman" w:hAnsi="Tahoma" w:cs="Tahoma"/>
      <w:sz w:val="16"/>
      <w:szCs w:val="16"/>
      <w:lang w:eastAsia="pt-BR"/>
    </w:rPr>
  </w:style>
  <w:style w:type="paragraph" w:customStyle="1" w:styleId="WW-Corpodetexto2">
    <w:name w:val="WW-Corpo de texto 2"/>
    <w:basedOn w:val="Normal"/>
    <w:rsid w:val="009B5363"/>
    <w:pPr>
      <w:suppressAutoHyphens/>
      <w:jc w:val="both"/>
    </w:pPr>
    <w:rPr>
      <w:rFonts w:ascii="Arial" w:hAnsi="Arial" w:cs="Arial"/>
      <w:sz w:val="22"/>
      <w:lang w:eastAsia="ar-SA"/>
    </w:rPr>
  </w:style>
  <w:style w:type="paragraph" w:styleId="NormalWeb">
    <w:name w:val="Normal (Web)"/>
    <w:basedOn w:val="Normal"/>
    <w:uiPriority w:val="99"/>
    <w:unhideWhenUsed/>
    <w:rsid w:val="009B5363"/>
    <w:pPr>
      <w:widowControl w:val="0"/>
      <w:suppressAutoHyphens/>
      <w:autoSpaceDN w:val="0"/>
      <w:spacing w:before="100" w:beforeAutospacing="1" w:after="100" w:afterAutospacing="1"/>
      <w:textAlignment w:val="baseline"/>
    </w:pPr>
    <w:rPr>
      <w:kern w:val="3"/>
      <w:sz w:val="24"/>
      <w:szCs w:val="24"/>
      <w:lang w:bidi="hi-IN"/>
    </w:rPr>
  </w:style>
  <w:style w:type="paragraph" w:customStyle="1" w:styleId="TCU-Epgrafe">
    <w:name w:val="TCU - Epígrafe"/>
    <w:basedOn w:val="Normal"/>
    <w:uiPriority w:val="99"/>
    <w:rsid w:val="00B23CA9"/>
    <w:pPr>
      <w:ind w:left="2835"/>
      <w:jc w:val="both"/>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EC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35EC6"/>
    <w:pPr>
      <w:tabs>
        <w:tab w:val="center" w:pos="4252"/>
        <w:tab w:val="right" w:pos="8504"/>
      </w:tabs>
    </w:pPr>
  </w:style>
  <w:style w:type="character" w:customStyle="1" w:styleId="CabealhoChar">
    <w:name w:val="Cabeçalho Char"/>
    <w:basedOn w:val="Fontepargpadro"/>
    <w:link w:val="Cabealho"/>
    <w:rsid w:val="00335EC6"/>
    <w:rPr>
      <w:rFonts w:ascii="Times New Roman" w:eastAsia="Times New Roman" w:hAnsi="Times New Roman" w:cs="Times New Roman"/>
      <w:sz w:val="20"/>
      <w:szCs w:val="20"/>
      <w:lang w:eastAsia="pt-BR"/>
    </w:rPr>
  </w:style>
  <w:style w:type="paragraph" w:styleId="Rodap">
    <w:name w:val="footer"/>
    <w:basedOn w:val="Normal"/>
    <w:link w:val="RodapChar"/>
    <w:rsid w:val="00335EC6"/>
    <w:pPr>
      <w:tabs>
        <w:tab w:val="center" w:pos="4252"/>
        <w:tab w:val="right" w:pos="8504"/>
      </w:tabs>
    </w:pPr>
  </w:style>
  <w:style w:type="character" w:customStyle="1" w:styleId="RodapChar">
    <w:name w:val="Rodapé Char"/>
    <w:basedOn w:val="Fontepargpadro"/>
    <w:link w:val="Rodap"/>
    <w:rsid w:val="00335EC6"/>
    <w:rPr>
      <w:rFonts w:ascii="Times New Roman" w:eastAsia="Times New Roman" w:hAnsi="Times New Roman" w:cs="Times New Roman"/>
      <w:sz w:val="20"/>
      <w:szCs w:val="20"/>
      <w:lang w:eastAsia="pt-BR"/>
    </w:rPr>
  </w:style>
  <w:style w:type="paragraph" w:customStyle="1" w:styleId="Corpodetexto22">
    <w:name w:val="Corpo de texto 22"/>
    <w:basedOn w:val="Normal"/>
    <w:rsid w:val="00335EC6"/>
    <w:pPr>
      <w:suppressAutoHyphens/>
      <w:jc w:val="both"/>
    </w:pPr>
    <w:rPr>
      <w:sz w:val="24"/>
      <w:lang w:eastAsia="ar-SA"/>
    </w:rPr>
  </w:style>
  <w:style w:type="paragraph" w:styleId="PargrafodaLista">
    <w:name w:val="List Paragraph"/>
    <w:basedOn w:val="Normal"/>
    <w:uiPriority w:val="34"/>
    <w:qFormat/>
    <w:rsid w:val="00335EC6"/>
    <w:pPr>
      <w:ind w:left="720"/>
    </w:pPr>
    <w:rPr>
      <w:rFonts w:ascii="Calibri" w:eastAsia="Calibri" w:hAnsi="Calibri"/>
      <w:sz w:val="22"/>
      <w:szCs w:val="22"/>
      <w:lang w:eastAsia="en-US"/>
    </w:rPr>
  </w:style>
  <w:style w:type="paragraph" w:styleId="Textodebalo">
    <w:name w:val="Balloon Text"/>
    <w:basedOn w:val="Normal"/>
    <w:link w:val="TextodebaloChar"/>
    <w:uiPriority w:val="99"/>
    <w:semiHidden/>
    <w:unhideWhenUsed/>
    <w:rsid w:val="00335EC6"/>
    <w:rPr>
      <w:rFonts w:ascii="Tahoma" w:hAnsi="Tahoma" w:cs="Tahoma"/>
      <w:sz w:val="16"/>
      <w:szCs w:val="16"/>
    </w:rPr>
  </w:style>
  <w:style w:type="character" w:customStyle="1" w:styleId="TextodebaloChar">
    <w:name w:val="Texto de balão Char"/>
    <w:basedOn w:val="Fontepargpadro"/>
    <w:link w:val="Textodebalo"/>
    <w:uiPriority w:val="99"/>
    <w:semiHidden/>
    <w:rsid w:val="00335EC6"/>
    <w:rPr>
      <w:rFonts w:ascii="Tahoma" w:eastAsia="Times New Roman" w:hAnsi="Tahoma" w:cs="Tahoma"/>
      <w:sz w:val="16"/>
      <w:szCs w:val="16"/>
      <w:lang w:eastAsia="pt-BR"/>
    </w:rPr>
  </w:style>
  <w:style w:type="paragraph" w:customStyle="1" w:styleId="WW-Corpodetexto2">
    <w:name w:val="WW-Corpo de texto 2"/>
    <w:basedOn w:val="Normal"/>
    <w:rsid w:val="009B5363"/>
    <w:pPr>
      <w:suppressAutoHyphens/>
      <w:jc w:val="both"/>
    </w:pPr>
    <w:rPr>
      <w:rFonts w:ascii="Arial" w:hAnsi="Arial" w:cs="Arial"/>
      <w:sz w:val="22"/>
      <w:lang w:eastAsia="ar-SA"/>
    </w:rPr>
  </w:style>
  <w:style w:type="paragraph" w:styleId="NormalWeb">
    <w:name w:val="Normal (Web)"/>
    <w:basedOn w:val="Normal"/>
    <w:uiPriority w:val="99"/>
    <w:unhideWhenUsed/>
    <w:rsid w:val="009B5363"/>
    <w:pPr>
      <w:widowControl w:val="0"/>
      <w:suppressAutoHyphens/>
      <w:autoSpaceDN w:val="0"/>
      <w:spacing w:before="100" w:beforeAutospacing="1" w:after="100" w:afterAutospacing="1"/>
      <w:textAlignment w:val="baseline"/>
    </w:pPr>
    <w:rPr>
      <w:kern w:val="3"/>
      <w:sz w:val="24"/>
      <w:szCs w:val="24"/>
      <w:lang w:bidi="hi-IN"/>
    </w:rPr>
  </w:style>
  <w:style w:type="paragraph" w:customStyle="1" w:styleId="TCU-Epgrafe">
    <w:name w:val="TCU - Epígrafe"/>
    <w:basedOn w:val="Normal"/>
    <w:uiPriority w:val="99"/>
    <w:rsid w:val="00B23CA9"/>
    <w:pPr>
      <w:ind w:left="2835"/>
      <w:jc w:val="both"/>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29574">
      <w:bodyDiv w:val="1"/>
      <w:marLeft w:val="0"/>
      <w:marRight w:val="0"/>
      <w:marTop w:val="0"/>
      <w:marBottom w:val="0"/>
      <w:divBdr>
        <w:top w:val="none" w:sz="0" w:space="0" w:color="auto"/>
        <w:left w:val="none" w:sz="0" w:space="0" w:color="auto"/>
        <w:bottom w:val="none" w:sz="0" w:space="0" w:color="auto"/>
        <w:right w:val="none" w:sz="0" w:space="0" w:color="auto"/>
      </w:divBdr>
    </w:div>
    <w:div w:id="535584972">
      <w:bodyDiv w:val="1"/>
      <w:marLeft w:val="0"/>
      <w:marRight w:val="0"/>
      <w:marTop w:val="0"/>
      <w:marBottom w:val="0"/>
      <w:divBdr>
        <w:top w:val="none" w:sz="0" w:space="0" w:color="auto"/>
        <w:left w:val="none" w:sz="0" w:space="0" w:color="auto"/>
        <w:bottom w:val="none" w:sz="0" w:space="0" w:color="auto"/>
        <w:right w:val="none" w:sz="0" w:space="0" w:color="auto"/>
      </w:divBdr>
    </w:div>
    <w:div w:id="549459814">
      <w:bodyDiv w:val="1"/>
      <w:marLeft w:val="0"/>
      <w:marRight w:val="0"/>
      <w:marTop w:val="0"/>
      <w:marBottom w:val="0"/>
      <w:divBdr>
        <w:top w:val="none" w:sz="0" w:space="0" w:color="auto"/>
        <w:left w:val="none" w:sz="0" w:space="0" w:color="auto"/>
        <w:bottom w:val="none" w:sz="0" w:space="0" w:color="auto"/>
        <w:right w:val="none" w:sz="0" w:space="0" w:color="auto"/>
      </w:divBdr>
    </w:div>
    <w:div w:id="659650064">
      <w:bodyDiv w:val="1"/>
      <w:marLeft w:val="0"/>
      <w:marRight w:val="0"/>
      <w:marTop w:val="0"/>
      <w:marBottom w:val="0"/>
      <w:divBdr>
        <w:top w:val="none" w:sz="0" w:space="0" w:color="auto"/>
        <w:left w:val="none" w:sz="0" w:space="0" w:color="auto"/>
        <w:bottom w:val="none" w:sz="0" w:space="0" w:color="auto"/>
        <w:right w:val="none" w:sz="0" w:space="0" w:color="auto"/>
      </w:divBdr>
    </w:div>
    <w:div w:id="1476290396">
      <w:bodyDiv w:val="1"/>
      <w:marLeft w:val="0"/>
      <w:marRight w:val="0"/>
      <w:marTop w:val="0"/>
      <w:marBottom w:val="0"/>
      <w:divBdr>
        <w:top w:val="none" w:sz="0" w:space="0" w:color="auto"/>
        <w:left w:val="none" w:sz="0" w:space="0" w:color="auto"/>
        <w:bottom w:val="none" w:sz="0" w:space="0" w:color="auto"/>
        <w:right w:val="none" w:sz="0" w:space="0" w:color="auto"/>
      </w:divBdr>
    </w:div>
    <w:div w:id="201892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egislacao.planalto.gov.br/legisla/legislacao.nsf/Viw_Identificacao/DEC%203.555-2000?OpenDocumen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992</Words>
  <Characters>5363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Controladoria-Geral da União</Company>
  <LinksUpToDate>false</LinksUpToDate>
  <CharactersWithSpaces>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Joyce Mourao Beserra Lima</dc:creator>
  <cp:keywords/>
  <dc:description/>
  <cp:lastModifiedBy>Joao Paulo Machado Goncalves</cp:lastModifiedBy>
  <cp:revision>16</cp:revision>
  <dcterms:created xsi:type="dcterms:W3CDTF">2015-07-22T15:02:00Z</dcterms:created>
  <dcterms:modified xsi:type="dcterms:W3CDTF">2015-07-23T17:00:00Z</dcterms:modified>
</cp:coreProperties>
</file>