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85pt;margin-top:1.2pt;width:340.3pt;height:5.e-002pt;z-index:-125829376;mso-wrap-distance-left:5.pt;mso-wrap-distance-top:1.2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466"/>
                    <w:gridCol w:w="1459"/>
                    <w:gridCol w:w="1882"/>
                  </w:tblGrid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NOME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COTAS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VALOR - R$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Raul Rothschild de Abreu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49.500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49.500,00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Bianca Pereira Godoi Batista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T OT 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50.000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50.000,00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369.85pt;margin-top:70.1pt;width:340.3pt;height:5.e-002pt;z-index:-125829375;mso-wrap-distance-left:5.pt;mso-wrap-distance-top:25.7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680"/>
                    <w:gridCol w:w="2126"/>
                  </w:tblGrid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NOME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CARGO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Raul Rothschild de Abreu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Administrador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22" w:line="180" w:lineRule="exact"/>
        <w:ind w:left="0" w:right="0" w:firstLine="0"/>
      </w:pPr>
      <w:bookmarkStart w:id="0" w:name="bookmark0"/>
      <w:r>
        <w:rPr>
          <w:rStyle w:val="CharStyle8"/>
          <w:b/>
          <w:bCs/>
        </w:rPr>
        <w:t>PORTARIA MCTI N° 6.028, DE 22 DE JUNHO DE 2022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/>
        <w:ind w:left="2860" w:right="0" w:firstLine="0"/>
      </w:pPr>
      <w:r>
        <w:rPr>
          <w:rStyle w:val="CharStyle14"/>
        </w:rPr>
        <w:t>Revoga atos normativos inferiores a decreto, no âmbito do Ministério da Ciência, Tecnologia e Inovações.</w:t>
      </w:r>
    </w:p>
    <w:p>
      <w:pPr>
        <w:pStyle w:val="Style3"/>
        <w:numPr>
          <w:ilvl w:val="0"/>
          <w:numId w:val="1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MINISTRO DE ESTADO DA CIÊNCIA, TECNOLOGIA E INOVAÇÕES, no uso das atribuições que lhe confere o artigo 87, parágrafo único, inciso II, da Constituição Federal, e tendo em vista o disposto no Decreto N° 10.139, de 28 de novembro de 2019, resolve: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Art. 1° Revogar os seguintes atos normativos:</w:t>
      </w:r>
    </w:p>
    <w:p>
      <w:pPr>
        <w:pStyle w:val="Style3"/>
        <w:numPr>
          <w:ilvl w:val="0"/>
          <w:numId w:val="1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- Portaria N° 260, de 14 de março de 2014, do Ministro de Estado da Ciência, Tecnologia e Inovação;</w:t>
      </w:r>
    </w:p>
    <w:p>
      <w:pPr>
        <w:pStyle w:val="Style3"/>
        <w:numPr>
          <w:ilvl w:val="0"/>
          <w:numId w:val="3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- Portaria N° 682, de 7 de julho de 2014, do Ministro de Estado da Ciência, Tecnologia e Inovação; e</w:t>
      </w:r>
    </w:p>
    <w:p>
      <w:pPr>
        <w:pStyle w:val="Style3"/>
        <w:numPr>
          <w:ilvl w:val="0"/>
          <w:numId w:val="3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- Portaria N° 5.796, de 23 de outubro de 2019, do Ministro de Estado da Ciência, Tecnologia, Inovações e Comunicações.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8"/>
        <w:ind w:left="0" w:right="0" w:firstLine="880"/>
      </w:pPr>
      <w:r>
        <w:rPr>
          <w:rStyle w:val="CharStyle14"/>
        </w:rPr>
        <w:t>Art. 2° Esta Portaria entra em vigor em 1° de julho de 2022.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0" w:line="180" w:lineRule="exact"/>
        <w:ind w:left="2860" w:right="0" w:firstLine="0"/>
      </w:pPr>
      <w:r>
        <w:rPr>
          <w:rStyle w:val="CharStyle14"/>
        </w:rPr>
        <w:t>PAULO CESAR REZENDE DE CARVALHO ALVIM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98" w:line="240" w:lineRule="exact"/>
        <w:ind w:left="0" w:right="0" w:firstLine="0"/>
      </w:pPr>
      <w:bookmarkStart w:id="1" w:name="bookmark1"/>
      <w:r>
        <w:rPr>
          <w:rStyle w:val="CharStyle17"/>
          <w:b/>
          <w:bCs/>
        </w:rPr>
        <w:t>CENTRO DE TECNOLOGIA MINERAL</w:t>
      </w:r>
      <w:bookmarkEnd w:id="1"/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22" w:line="180" w:lineRule="exact"/>
        <w:ind w:left="0" w:right="0" w:firstLine="0"/>
      </w:pPr>
      <w:bookmarkStart w:id="2" w:name="bookmark2"/>
      <w:r>
        <w:rPr>
          <w:rStyle w:val="CharStyle8"/>
          <w:b/>
          <w:bCs/>
        </w:rPr>
        <w:t>PORTARIA CETEM N° 68, DE 22 DE JUNHO DE 2022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 DIRETORA DO CENTRO DE TECNOLOGIA MINERAL - CETEM, no uso de suas atribuições que lhe foram conferidas pela Portaria n° 407, de 29 de junho de 2006, publicada no Diário Oficial da União de 30 de junho de 2006, tendo em vista o disposto na Lei n° 12.527, de 18 de novembro de 2011, no Decreto n° 8.777, de 11 de maio de 2016, e na Resolução n° 3, de 13 de outubro de 2017, do Comitê Gestor da Infraestrutura Nacional de Dados Abertos, e no processo n° 01245.004398/2022-67 resolve: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Art. 1° Instituir o Plano de Dados Abertos - PDA, que terá vigência de dois anos, contados da data de publicação desta Portaria, como o documento orientador para as ações de implementação e promoção de abertura de dados do Centro de Tecnologia Mineral - CETEM.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8"/>
        <w:ind w:left="0" w:right="0" w:firstLine="880"/>
      </w:pPr>
      <w:r>
        <w:rPr>
          <w:rStyle w:val="CharStyle14"/>
        </w:rPr>
        <w:t xml:space="preserve">Art. 2° O Plano de Dados Abertos encontra-se disponível no sítio eletrônico do Centro de Tecnologia Mineral, na seção "Acesso à Informação", em: </w:t>
      </w:r>
      <w:r>
        <w:fldChar w:fldCharType="begin"/>
      </w:r>
      <w:r>
        <w:rPr>
          <w:rStyle w:val="CharStyle14"/>
        </w:rPr>
        <w:instrText> HYPERLINK "https://www.gov.br/cetem/pt-br/acesso-a-informacao/dados-abertos" </w:instrText>
      </w:r>
      <w:r>
        <w:fldChar w:fldCharType="separate"/>
      </w:r>
      <w:r>
        <w:rPr>
          <w:rStyle w:val="Hyperlink"/>
          <w:lang w:val="en-US" w:eastAsia="en-US" w:bidi="en-US"/>
        </w:rPr>
        <w:t>https://www.gov.br/cetem/pt-br/acesso-a-informacao/dados-abertos</w:t>
      </w:r>
      <w:r>
        <w:fldChar w:fldCharType="end"/>
      </w:r>
      <w:r>
        <w:rPr>
          <w:rStyle w:val="CharStyle14"/>
          <w:lang w:val="en-US" w:eastAsia="en-US" w:bidi="en-US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49" w:line="180" w:lineRule="exact"/>
        <w:ind w:left="0" w:right="940" w:firstLine="0"/>
      </w:pPr>
      <w:r>
        <w:rPr>
          <w:rStyle w:val="CharStyle14"/>
        </w:rPr>
        <w:t>SILVIA CRISTINA ALVES FRANÇA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32" w:line="240" w:lineRule="exact"/>
        <w:ind w:left="0" w:right="0" w:firstLine="0"/>
      </w:pPr>
      <w:bookmarkStart w:id="3" w:name="bookmark3"/>
      <w:r>
        <w:rPr>
          <w:rStyle w:val="CharStyle17"/>
          <w:b/>
          <w:bCs/>
        </w:rPr>
        <w:t>COMISSÃO TÉCNICA NACIONAL DE BIOSSEGURANÇA</w:t>
      </w:r>
      <w:bookmarkEnd w:id="3"/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27" w:line="180" w:lineRule="exact"/>
        <w:ind w:left="0" w:right="0" w:firstLine="0"/>
      </w:pPr>
      <w:bookmarkStart w:id="4" w:name="bookmark4"/>
      <w:r>
        <w:rPr>
          <w:rStyle w:val="CharStyle8"/>
          <w:b/>
          <w:bCs/>
        </w:rPr>
        <w:t>EXTRATO DE PARECER TÉCNICO N° 8.070/2022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 Presidência da Comissão Técnica Nacional de Biossegurança - CTNBio, no uso de suas atribuições e de acordo com o artigo 14, inciso XIX, da Lei 11.105/05 e do Art. 5°, inciso XIX do Decreto 5.591/05, torna público que na 252§ Reunião Ordinária da CTNBio, realizada em 02 de junho de 2022, a CTNBio apreciou e emitiu parecer técnico para o seguinte processo: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Processo: 01245.010618/2020-20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Requerente: Fundação Universidade Federal do ABC - UFABC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CQB: 304/10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Assunto: Extensão de CQB.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 CTNBio, após análise do pedido de extensão de CQB, deliberou pelo DEFERIMENTO conforme esse parecer técnico. A requerente solicita extensão de Certificado de Qualidade em Biossegurança para inclusão de cinco áreas, sendo 1) Laboratório 102 para manipulação de OGMS vegetais e microrganismos (NB1); 2) Biotério e Laboratório para Manipulação de Animais (NB1) - Salas 116, 120 e 121 - ambas no Bloco Delta da unidade de São Bernardo do Campo; 3) Biotério de Criação e Experimentação, no subsolo do Bloco A (NB1); 4) Laboratório 502-3 do Bloco A para pesquisa com microrganismos e células mamíferas geneticamente modificadas NB1 ; e 5) laboratório 203, 2° andar Bloco B trabalhos com células de mamíferos de risco NB1 e NB2; sendo estes três últimos na unidade de Santo André. A atividade a ser desenvolvida é pesquisa em regime de contenção de plantas e microrganismos geneticamente modificados pentecentes à Classe de risco 01 e 02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No âmbito das competências dispostas na Lei 11.105/05 e seu decreto 5.591/05, a CTNBio concluiu que o presente pedido atende às normas e legislação pertinentes que visam garantir a biossegurança do meio ambiente, agricultura, saúde humana e animal.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14"/>
        </w:rPr>
        <w:t>A CTNBio esclarece que este extrato não exime a requerente do cumprimento das demais legislações vigentes no país, aplicáveis ao objeto do requerimento.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880"/>
      </w:pPr>
      <w:r>
        <w:rPr>
          <w:rStyle w:val="CharStyle14"/>
        </w:rPr>
        <w:t xml:space="preserve">Este é um extrato do Parecer Técnico da CTNBio. Sua íntegra, assim como todos os documentos referentes à solicitação, constam do processo armazenado na CTNBio. Informações complementares poderão ser solicitadas por meio do Serviço de Informação ao Cidadão - SIC ou pelo sistema FALABR, pelo sítio eletrônico </w:t>
      </w:r>
      <w:r>
        <w:fldChar w:fldCharType="begin"/>
      </w:r>
      <w:r>
        <w:rPr>
          <w:rStyle w:val="CharStyle14"/>
        </w:rPr>
        <w:instrText> HYPERLINK "https://esic.cgu.gov.br/" </w:instrText>
      </w:r>
      <w:r>
        <w:fldChar w:fldCharType="separate"/>
      </w:r>
      <w:r>
        <w:rPr>
          <w:rStyle w:val="Hyperlink"/>
          <w:lang w:val="en-US" w:eastAsia="en-US" w:bidi="en-US"/>
        </w:rPr>
        <w:t>https://esic.cgu.gov.br/</w:t>
      </w:r>
      <w:r>
        <w:fldChar w:fldCharType="end"/>
      </w:r>
      <w:r>
        <w:rPr>
          <w:rStyle w:val="CharStyle14"/>
          <w:lang w:val="en-US" w:eastAsia="en-US" w:bidi="en-US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82" w:line="182" w:lineRule="exact"/>
        <w:ind w:left="0" w:right="940" w:firstLine="0"/>
      </w:pPr>
      <w:r>
        <w:rPr>
          <w:rStyle w:val="CharStyle14"/>
        </w:rPr>
        <w:t>PAULO AUGUSTO VIANNA BARROSO</w:t>
        <w:br/>
        <w:t>Presidente da Comissão</w:t>
      </w:r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32" w:line="180" w:lineRule="exact"/>
        <w:ind w:left="0" w:right="0" w:firstLine="0"/>
      </w:pPr>
      <w:bookmarkStart w:id="5" w:name="bookmark5"/>
      <w:r>
        <w:rPr>
          <w:rStyle w:val="CharStyle8"/>
          <w:b/>
          <w:bCs/>
        </w:rPr>
        <w:t>RETIFICAÇÃO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8"/>
        <w:ind w:left="0" w:right="0" w:firstLine="880"/>
      </w:pPr>
      <w:r>
        <w:rPr>
          <w:rStyle w:val="CharStyle14"/>
        </w:rPr>
        <w:t>No Extrato de Parecer Técnico 8064/2022, publicado no D.O.U. N° 109 de 09/06/2022, Seção 1, página 22; onde se lê: "[...] vento EH913 para seu uso comercial, liberação planejada no meio ambiente, e [...]", leia-se: "[...] vento EH913 para seu uso comercial, consumo humano e animal, liberação no meio ambiente, e [...]"</w:t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150" w:line="280" w:lineRule="exact"/>
        <w:ind w:left="0" w:right="0" w:firstLine="0"/>
      </w:pPr>
      <w:bookmarkStart w:id="6" w:name="bookmark6"/>
      <w:r>
        <w:rPr>
          <w:rStyle w:val="CharStyle20"/>
          <w:b/>
          <w:bCs/>
        </w:rPr>
        <w:t>Ministério das Comunicações</w:t>
      </w:r>
      <w:bookmarkEnd w:id="6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98" w:line="240" w:lineRule="exact"/>
        <w:ind w:left="0" w:right="0" w:firstLine="0"/>
      </w:pPr>
      <w:bookmarkStart w:id="7" w:name="bookmark7"/>
      <w:r>
        <w:rPr>
          <w:rStyle w:val="CharStyle17"/>
          <w:b/>
          <w:bCs/>
        </w:rPr>
        <w:t>GABINETE DO MINISTRO</w:t>
      </w:r>
      <w:bookmarkEnd w:id="7"/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15" w:line="180" w:lineRule="exact"/>
        <w:ind w:left="0" w:right="0" w:firstLine="0"/>
      </w:pPr>
      <w:bookmarkStart w:id="8" w:name="bookmark8"/>
      <w:r>
        <w:rPr>
          <w:rStyle w:val="CharStyle8"/>
          <w:b/>
          <w:bCs/>
        </w:rPr>
        <w:t>PORTARIA MCOM N° 5.872, DE 6 DE JUNHO DE 2022</w:t>
      </w:r>
      <w:bookmarkEnd w:id="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880"/>
      </w:pPr>
      <w:r>
        <w:rPr>
          <w:rStyle w:val="CharStyle14"/>
        </w:rPr>
        <w:t>O MINISTRO DE ESTADO DAS COMUNICAÇÕES, no uso da atribuição que lhe confere o art. 87, parágrafo único, inciso IV, da Constituição Federal, em conformidade com o disposto no artigo 38, alínea "c", da Lei n.° 4.117, de 27 de agosto de 1962, o disposto no artigo 90, inciso I do Regulamento dos Serviços de Radiodifusão, aprovado pelo Decreto n.° 52.795, de 31 de outubro de 1963, e tendo em vista o que consta do Processo Administrativo n° 01250.043383/2019-40, invocando as razões presentes na Nota Técnica n.° 5597/2022/SEI-MCOM e na Nota Técnica n° 7508/2022/SEI-MCOM, chancelada pelo Parecer Jurídico n° 00371/2022/CONJUR- M CO M / CG U / AG U 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880"/>
      </w:pPr>
      <w:r>
        <w:rPr>
          <w:rStyle w:val="CharStyle14"/>
        </w:rPr>
        <w:t>Art. 1° Transferir a permissão outorgada à Torres &amp; Camargo Ltda, inscrita no C.N.P.J. n° 03.736.059/0001-30, por meio Portaria n° 1.999, de 08 de agosto de 2002, publicada em 10 de outubro de 2002, aprovada pelo Congresso Nacional através do Decreto Legislativo n° 540, de 2004, publicado em 18 de agosto de 2004, para a Rádio Top FM Campinas Ltda, inscrita no C.N.P.J. n° 28.688.514/0001-09, para executar, sem direito de exclusividade, o serviço de radiodifusão sonora em frequência modulada, vinculado ao Fistel n° 50401455351, no município de Hortolândia, estado de São Paulo.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880"/>
      </w:pPr>
      <w:r>
        <w:rPr>
          <w:rStyle w:val="CharStyle14"/>
        </w:rPr>
        <w:t>Art. 2° Os quadros societário e diretivo da cessionária, após a operação realizada, ficarão assim constituídos: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00"/>
      </w:pPr>
      <w:r>
        <w:br w:type="column"/>
      </w:r>
      <w:r>
        <w:rPr>
          <w:rStyle w:val="CharStyle14"/>
        </w:rPr>
        <w:t>Art. 3° A execução do serviço de radiodifusão, cuja outorga é transferida por esta Portaria, reger-se-á de acordo com o Código Brasileiro de Telecomunicações, leis subsequentes e seus regulamentos.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5" w:line="274" w:lineRule="exact"/>
        <w:ind w:left="0" w:right="0" w:firstLine="900"/>
      </w:pPr>
      <w:r>
        <w:rPr>
          <w:rStyle w:val="CharStyle14"/>
        </w:rPr>
        <w:t>Art. 4° Esta Portaria entra em vigor na data de sua publicação.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7" w:line="180" w:lineRule="exact"/>
        <w:ind w:left="4100" w:right="0" w:firstLine="0"/>
      </w:pPr>
      <w:r>
        <w:rPr>
          <w:rStyle w:val="CharStyle14"/>
        </w:rPr>
        <w:t>FÁBIO FARIA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98" w:line="240" w:lineRule="exact"/>
        <w:ind w:left="0" w:right="0" w:firstLine="0"/>
      </w:pPr>
      <w:bookmarkStart w:id="9" w:name="bookmark9"/>
      <w:r>
        <w:rPr>
          <w:rStyle w:val="CharStyle17"/>
          <w:b/>
          <w:bCs/>
        </w:rPr>
        <w:t>SECRETARIA DE RADIODIFUSÃO</w:t>
      </w:r>
      <w:bookmarkEnd w:id="9"/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46" w:line="180" w:lineRule="exact"/>
        <w:ind w:left="0" w:right="0" w:firstLine="0"/>
      </w:pPr>
      <w:bookmarkStart w:id="10" w:name="bookmark10"/>
      <w:r>
        <w:rPr>
          <w:rStyle w:val="CharStyle8"/>
          <w:b/>
          <w:bCs/>
        </w:rPr>
        <w:t>PORTARIA MCOM N° 5.792, DE 22 DE JUNHO DE 2022</w:t>
      </w:r>
      <w:bookmarkEnd w:id="1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900"/>
      </w:pPr>
      <w:r>
        <w:rPr>
          <w:rStyle w:val="CharStyle14"/>
        </w:rPr>
        <w:t>O SECRETÁRIO DE RADIODIFUSÃO, no uso de suas atribuições, e observado o disposto no Decreto n° 5.820, de 29 de junho de 2006, na Portaria n° 4.287, de 21 de setembro de 2015, e na Portaria n° 2.524, de 04 de maio de 2021, e considerando o que consta do Processo n° 01250.019592/2020-14, resolve: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900"/>
      </w:pPr>
      <w:r>
        <w:rPr>
          <w:rStyle w:val="CharStyle14"/>
        </w:rPr>
        <w:t>Art. 1° Consignar à entidade JET RADIODIFUSÃO LTDA., CNPJ n° 07.714.595/0001-96, autorizatária do Serviço de Retransmissão de Televisão, na localidade de JOSÉ DE FREITAS/PI, o canal 33 (trinta e três), em caráter primário, para transmissão digital do mesmo serviço e na mesma localidade, no âmbito do Sistema Brasileiro de Televisão Digital Terrestre.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900"/>
      </w:pPr>
      <w:r>
        <w:rPr>
          <w:rStyle w:val="CharStyle14"/>
        </w:rPr>
        <w:t>Art. 2° A presente consignação reger-se-á pelas disposições do Código Brasileiro de Telecomunicações, leis subsequentes e seus regulamentos, bem como pelo Decreto n° 5.820, de 2006.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900"/>
      </w:pPr>
      <w:r>
        <w:rPr>
          <w:rStyle w:val="CharStyle14"/>
        </w:rPr>
        <w:t>Art. 3° Para fins de execução do referido serviço, deverão ser observado os prazos para a obtenção da autorização de uso de radiofrequência junto à Anatel e solicitação do licenciamento da estação, conforme previsto na Portaria n° 4.287, de 21 de setembro de 2015 e na Portaria n° 2.524, de 04 de maio de 2021.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8"/>
        <w:ind w:left="0" w:right="0" w:firstLine="900"/>
      </w:pPr>
      <w:r>
        <w:rPr>
          <w:rStyle w:val="CharStyle14"/>
        </w:rPr>
        <w:t>Art. 4° Esta Portaria entra em vigor na data de sua publicação.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9" w:line="180" w:lineRule="exact"/>
        <w:ind w:left="3100" w:right="0" w:firstLine="0"/>
      </w:pPr>
      <w:r>
        <w:rPr>
          <w:rStyle w:val="CharStyle14"/>
        </w:rPr>
        <w:t>MAXIMILIANO SALVADORI MARTINHÃO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34" w:line="240" w:lineRule="exact"/>
        <w:ind w:left="0" w:right="0" w:firstLine="0"/>
      </w:pPr>
      <w:bookmarkStart w:id="11" w:name="bookmark11"/>
      <w:r>
        <w:rPr>
          <w:rStyle w:val="CharStyle17"/>
          <w:b/>
          <w:bCs/>
        </w:rPr>
        <w:t>AGÊNCIA NACIONAL DE TELECOMUNICAÇÕES</w:t>
      </w:r>
      <w:bookmarkEnd w:id="11"/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72" w:line="240" w:lineRule="exact"/>
        <w:ind w:left="0" w:right="0" w:firstLine="0"/>
      </w:pPr>
      <w:r>
        <w:rPr>
          <w:rStyle w:val="CharStyle23"/>
        </w:rPr>
        <w:t>CONSELHO DIRETOR</w:t>
      </w:r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27" w:line="180" w:lineRule="exact"/>
        <w:ind w:left="0" w:right="0" w:firstLine="0"/>
      </w:pPr>
      <w:bookmarkStart w:id="12" w:name="bookmark12"/>
      <w:r>
        <w:rPr>
          <w:rStyle w:val="CharStyle8"/>
          <w:b/>
          <w:bCs/>
        </w:rPr>
        <w:t>RESOLUÇÃO ANATEL N° 752, DE 22 DE JUNHO DE 2022</w:t>
      </w:r>
      <w:bookmarkEnd w:id="1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6"/>
        <w:ind w:left="2880" w:right="0" w:firstLine="0"/>
      </w:pPr>
      <w:r>
        <w:rPr>
          <w:rStyle w:val="CharStyle14"/>
        </w:rPr>
        <w:t>Revoga e altera Resoluções expedidas pela Agência (Guilhotina Regulatória).</w:t>
      </w:r>
    </w:p>
    <w:p>
      <w:pPr>
        <w:pStyle w:val="Style3"/>
        <w:numPr>
          <w:ilvl w:val="0"/>
          <w:numId w:val="5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CONSELHO DIRETOR DA AGÊNCIA NACIONAL DE TELECOMUNICAÇÕES, no uso das atribuições que lhe foram conferidas pelo art. 22 da Lei n° 9.472, de 16 de julho de 1997, e pelo art. 35 do Regulamento da Agência Nacional de Telecomunicações, aprovado pelo Decreto n° 2.338, de 7 de outubro de 1997,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CONSIDERANDO o art. 4° da Lei n° 13.848, de 25 de junho de 2019;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CONSIDERANDO o art. 4° da Lei n° 13.874, de 20 de setembro de 2019;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CONSIDERANDO a diretriz da Anatel de simplificação regulatória, como forma de otimizar a transparência da Agência e seu relacionamento com a sociedade;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CONSIDERANDO os comentários recebidos decorrentes da Consulta Pública n° 72, de 3 de novembro de 2020, publicada no Diário Oficial da União do dia 5 de novembro de 2020;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CONSIDERANDO deliberação tomada em sua Reunião Extraordinária n° 22, de 21 de junho de 2022;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CONSIDERANDO o constante dos autos do Processo n° 53500.012180/2019- 16, resolve: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Art. 1° Revogar as seguintes Resoluções expedidas pela Agência:</w:t>
      </w:r>
    </w:p>
    <w:p>
      <w:pPr>
        <w:pStyle w:val="Style3"/>
        <w:numPr>
          <w:ilvl w:val="0"/>
          <w:numId w:val="5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31, de 30 de junho de 1998, publicada no DOU de 1° de julho de 1998 (Aprova as Diretrizes para a Licitação de Autorizações para Exploração do Serviço Telefônico Fixo Comutado);</w:t>
      </w:r>
    </w:p>
    <w:p>
      <w:pPr>
        <w:pStyle w:val="Style3"/>
        <w:numPr>
          <w:ilvl w:val="0"/>
          <w:numId w:val="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46, de 7 de agosto de 1998, publicada no DOU de 10 de agosto de 1998 (Diretrizes para Uso de Radiofrequências pelas Concessionárias e Autorizadas de Serviço Telefônico Fixo Comutado para Sistemas de Acesso Fixo sem Fio);</w:t>
      </w:r>
    </w:p>
    <w:p>
      <w:pPr>
        <w:pStyle w:val="Style3"/>
        <w:numPr>
          <w:ilvl w:val="0"/>
          <w:numId w:val="7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50, de 2 de setembro de 1998, publicada no DOU de 3 de setembro de 1998 (Altera as Diretrizes para a Licitação das Autorizações para Exploração do Serviço Telefônico Fixo Comutado);</w:t>
      </w:r>
    </w:p>
    <w:p>
      <w:pPr>
        <w:pStyle w:val="Style3"/>
        <w:numPr>
          <w:ilvl w:val="0"/>
          <w:numId w:val="7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66, de 9 de novembro de 1998, publicada no DOU de 10 de novembro de 1998 (Regulamento sobre Divulgação de Listas de Assinantes e de Edição e Distribuição de Lista Telefônica Obrigatória e Gratuita);</w:t>
      </w:r>
    </w:p>
    <w:p>
      <w:pPr>
        <w:pStyle w:val="Style3"/>
        <w:numPr>
          <w:ilvl w:val="0"/>
          <w:numId w:val="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102, de 24 de fevereiro de 1999, publicada no DOU de 26 de fevereiro de 1999 (Aprova inclusões e adaptações no "Plano de Contas Padrão para Serviços Públicos de Telecomunicações");</w:t>
      </w:r>
    </w:p>
    <w:p>
      <w:pPr>
        <w:pStyle w:val="Style3"/>
        <w:numPr>
          <w:ilvl w:val="0"/>
          <w:numId w:val="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146, de 16 de julho de 1999, publicada no DOU de 22 de julho de 1999 (Regulamento para Certificação de Sistemas de Acesso Fixo sem Fio para a Prestação do Serviço Telefônico Fixo Comutado Destinado ao Uso do Público em Geral - STFC);</w:t>
      </w:r>
    </w:p>
    <w:p>
      <w:pPr>
        <w:pStyle w:val="Style3"/>
        <w:numPr>
          <w:ilvl w:val="0"/>
          <w:numId w:val="7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251, de 19 de dezembro de 2000, publicada no DOU de 20 de dezembro de 2000 (Aprova o Regulamento de Recursos Humanos da Anatel);</w:t>
      </w:r>
    </w:p>
    <w:p>
      <w:pPr>
        <w:pStyle w:val="Style3"/>
        <w:numPr>
          <w:ilvl w:val="0"/>
          <w:numId w:val="7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272, de 9 de agosto de 2001, publicada no DOU de 10 de agosto de 2001 (Aprova o Regulamento do Serviço de Comunicação Multimídia);</w:t>
      </w:r>
    </w:p>
    <w:p>
      <w:pPr>
        <w:pStyle w:val="Style3"/>
        <w:numPr>
          <w:ilvl w:val="0"/>
          <w:numId w:val="7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328, de 29 de janeiro de 2003, publicada no DOU de 3 de fevereiro de 2003 (Aprova os modelos de Termo de Autorização para Exploração do Serviço de Comunicação Multimídia, de interesse coletivo);</w:t>
      </w:r>
    </w:p>
    <w:p>
      <w:pPr>
        <w:pStyle w:val="Style3"/>
        <w:numPr>
          <w:ilvl w:val="0"/>
          <w:numId w:val="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333, de 20 de fevereiro de 2003, publicada no DOU de 27 de fevereiro de 2003 (Revoga a Resolução n° 88/99, que aprova o Regulamento de Acesso Direto à INTELSAT);</w:t>
      </w:r>
    </w:p>
    <w:p>
      <w:pPr>
        <w:pStyle w:val="Style3"/>
        <w:numPr>
          <w:ilvl w:val="0"/>
          <w:numId w:val="7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339, de 22 de maio de 2003, publicada no DOU de 23 de maio de 2003 (Dispõe sobre os aspectos técnico-operacionais da implementação do Código de Seleção de Prestadora - CSP no Serviço Móvel Pessoal - SMP);</w:t>
      </w:r>
    </w:p>
    <w:p>
      <w:pPr>
        <w:pStyle w:val="Style3"/>
        <w:numPr>
          <w:ilvl w:val="0"/>
          <w:numId w:val="7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344, de 18 de julho de 2003, publicada no DOU de 21 de julho de 2003 (Aprova o Regulamento de Aplicação de Sanções Administrativas);</w:t>
      </w:r>
    </w:p>
    <w:p>
      <w:pPr>
        <w:pStyle w:val="Style3"/>
        <w:numPr>
          <w:ilvl w:val="0"/>
          <w:numId w:val="7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345, de 18 de julho de 2003, publicada no DOU de 21 de julho de 2003 (Aprova o Regulamento sobre Fornecimento da Relação de Assinantes pelas Prestadoras do Serviço Telefônico Fixo Comutado na Modalidade de Serviço Local);</w:t>
      </w:r>
    </w:p>
    <w:p>
      <w:pPr>
        <w:pStyle w:val="Style3"/>
        <w:numPr>
          <w:ilvl w:val="0"/>
          <w:numId w:val="7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</w:pPr>
      <w:r>
        <w:rPr>
          <w:rStyle w:val="CharStyle14"/>
        </w:rPr>
        <w:t>- Resolução n° 405, de 5 de maio de 2005, publicada no DOU de 5 de maio de 2005 (Plano Geral de Autorizações do Serviço Móvel Especializado - SME);</w:t>
      </w:r>
    </w:p>
    <w:p>
      <w:pPr>
        <w:pStyle w:val="Style3"/>
        <w:numPr>
          <w:ilvl w:val="0"/>
          <w:numId w:val="7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90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6840" w:h="23800"/>
          <w:pgMar w:top="1450" w:left="1306" w:right="1306" w:bottom="596" w:header="0" w:footer="3" w:gutter="0"/>
          <w:rtlGutter w:val="0"/>
          <w:cols w:num="2" w:space="499"/>
          <w:noEndnote/>
          <w:docGrid w:linePitch="360"/>
        </w:sectPr>
      </w:pPr>
      <w:r>
        <w:rPr>
          <w:rStyle w:val="CharStyle14"/>
        </w:rPr>
        <w:t>- Resolução n° 419, de 24 de novembro de 2005, publicada no DOU de 30 de novembro de 2005 (Aprova o prazo para apresentação, pelas Concessionárias do STFC, do Documento de Separação e Alocação de Contas - DSAC);</w:t>
      </w:r>
    </w:p>
    <w:p>
      <w:pPr>
        <w:widowControl w:val="0"/>
        <w:spacing w:line="101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23800"/>
          <w:pgMar w:top="1495" w:left="0" w:right="0" w:bottom="64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tabs>
          <w:tab w:leader="none" w:pos="2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pict>
          <v:shape id="_x0000_s1029" type="#_x0000_t202" style="position:absolute;margin-left:34.05pt;margin-top:0;width:208.3pt;height:17.2pt;z-index:-125829374;mso-wrap-distance-left:5.pt;mso-wrap-distance-right:108.7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6"/>
                    </w:rPr>
                    <w:t xml:space="preserve">Este documento pode ser verificado no endereço eletrônico </w:t>
                  </w:r>
                  <w:r>
                    <w:fldChar w:fldCharType="begin"/>
                  </w:r>
                  <w:r>
                    <w:rPr>
                      <w:rStyle w:val="CharStyle26"/>
                    </w:rPr>
                    <w:instrText> HYPERLINK "http://www.in.gov.br/autenticidade.html"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http://www.in.gov.br/autenticidade.html</w:t>
                  </w:r>
                  <w:r>
                    <w:fldChar w:fldCharType="end"/>
                  </w:r>
                  <w:r>
                    <w:rPr>
                      <w:rStyle w:val="CharStyle26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CharStyle26"/>
                    </w:rPr>
                    <w:t>pelo código 05152022062400020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.7pt;margin-top:0;width:26.4pt;height:23.5pt;z-index:-125829373;mso-wrap-distance-left:5.pt;mso-wrap-distance-right:108.7pt;mso-position-horizontal-relative:margin">
            <v:imagedata r:id="rId6" r:href="rId7"/>
            <w10:wrap type="square" side="right" anchorx="margin"/>
          </v:shape>
        </w:pict>
      </w:r>
      <w:r>
        <w:rPr>
          <w:rStyle w:val="CharStyle29"/>
        </w:rPr>
        <w:t>20</w:t>
        <w:tab/>
        <w:t xml:space="preserve">Documento assinado digitalmente conforme MP n° 2.200*2 de 24/08/2001, </w:t>
      </w:r>
      <w:r>
        <w:rPr>
          <w:rStyle w:val="CharStyle30"/>
        </w:rPr>
        <w:t>icp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860" w:right="0" w:firstLine="0"/>
      </w:pPr>
      <w:r>
        <w:rPr>
          <w:rStyle w:val="CharStyle29"/>
        </w:rPr>
        <w:t>que institui a Infraestrutura de Chaves Públicas Brasileira - ICP-Brasil.</w:t>
      </w:r>
    </w:p>
    <w:sectPr>
      <w:type w:val="continuous"/>
      <w:pgSz w:w="16840" w:h="23800"/>
      <w:pgMar w:top="1495" w:left="1306" w:right="1301" w:bottom="64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7.pt;margin-top:36.85pt;width:707.75pt;height:19.2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0" w:val="left"/>
                    <w:tab w:leader="none" w:pos="948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DIÁRIO OFICIAL DA UNIÃO </w:t>
                </w:r>
                <w:r>
                  <w:rPr>
                    <w:rStyle w:val="CharStyle12"/>
                  </w:rPr>
                  <w:t>- Seção 1</w:t>
                  <w:tab/>
                </w:r>
                <w:r>
                  <w:rPr>
                    <w:rStyle w:val="CharStyle13"/>
                    <w:b w:val="0"/>
                    <w:bCs w:val="0"/>
                  </w:rPr>
                  <w:t>N° 118, sexta-feira, 24 de junho de 2022</w:t>
                  <w:tab/>
                  <w:t>ISSN 1677-7042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pt-BR" w:eastAsia="pt-BR" w:bidi="pt-BR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upperRoman"/>
      <w:lvlText w:val="%1"/>
      <w:rPr>
        <w:lang w:val="pt-BR" w:eastAsia="pt-BR" w:bidi="pt-BR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0"/>
      <w:numFmt w:val="decimal"/>
      <w:lvlText w:val="%1"/>
      <w:rPr>
        <w:lang w:val="pt-BR" w:eastAsia="pt-BR" w:bidi="pt-BR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"/>
      <w:rPr>
        <w:lang w:val="pt-BR" w:eastAsia="pt-BR" w:bidi="pt-BR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t-BR" w:eastAsia="pt-BR" w:bidi="pt-B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t-BR" w:eastAsia="pt-BR" w:bidi="pt-B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exto do corpo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5">
    <w:name w:val="Texto do corpo (2)"/>
    <w:basedOn w:val="CharStyle4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7">
    <w:name w:val="Título #3_"/>
    <w:basedOn w:val="DefaultParagraphFont"/>
    <w:link w:val="Style6"/>
    <w:rPr>
      <w:b/>
      <w:bCs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8">
    <w:name w:val="Título #3"/>
    <w:basedOn w:val="CharStyle7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10">
    <w:name w:val="Cabeçalho ou rodapé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1">
    <w:name w:val="Cabeçalho ou rodapé + Century Schoolbook,15 pt,Negrito"/>
    <w:basedOn w:val="CharStyle10"/>
    <w:rPr>
      <w:lang w:val="pt-BR" w:eastAsia="pt-BR" w:bidi="pt-BR"/>
      <w:b/>
      <w:bCs/>
      <w:sz w:val="30"/>
      <w:szCs w:val="30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12">
    <w:name w:val="Cabeçalho ou rodapé + 13 pt,Negrito"/>
    <w:basedOn w:val="CharStyle10"/>
    <w:rPr>
      <w:lang w:val="pt-BR" w:eastAsia="pt-BR" w:bidi="pt-BR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3">
    <w:name w:val="Cabeçalho ou rodapé"/>
    <w:basedOn w:val="CharStyle10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14">
    <w:name w:val="Texto do corpo (2)"/>
    <w:basedOn w:val="CharStyle4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16">
    <w:name w:val="Título #2_"/>
    <w:basedOn w:val="DefaultParagraphFont"/>
    <w:link w:val="Style15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7">
    <w:name w:val="Título #2"/>
    <w:basedOn w:val="CharStyle16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19">
    <w:name w:val="Título #1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20">
    <w:name w:val="Título #1"/>
    <w:basedOn w:val="CharStyle19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22">
    <w:name w:val="Texto do corpo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3">
    <w:name w:val="Texto do corpo (3)"/>
    <w:basedOn w:val="CharStyle22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25">
    <w:name w:val="Legenda da figura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26">
    <w:name w:val="Legenda da figura Exact"/>
    <w:basedOn w:val="CharStyle25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28">
    <w:name w:val="Texto do corpo (4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29">
    <w:name w:val="Texto do corpo (4)"/>
    <w:basedOn w:val="CharStyle28"/>
    <w:rPr>
      <w:lang w:val="pt-BR" w:eastAsia="pt-BR" w:bidi="pt-BR"/>
      <w:w w:val="100"/>
      <w:spacing w:val="0"/>
      <w:color w:val="000000"/>
      <w:position w:val="0"/>
    </w:rPr>
  </w:style>
  <w:style w:type="character" w:customStyle="1" w:styleId="CharStyle30">
    <w:name w:val="Texto do corpo (4) + 14 pt,Negrito"/>
    <w:basedOn w:val="CharStyle28"/>
    <w:rPr>
      <w:lang w:val="pt-BR" w:eastAsia="pt-BR" w:bidi="pt-BR"/>
      <w:b/>
      <w:bCs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Texto do corpo (2)"/>
    <w:basedOn w:val="Normal"/>
    <w:link w:val="CharStyle4"/>
    <w:pPr>
      <w:widowControl w:val="0"/>
      <w:shd w:val="clear" w:color="auto" w:fill="FFFFFF"/>
      <w:jc w:val="both"/>
      <w:spacing w:before="180" w:after="180" w:line="17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6">
    <w:name w:val="Título #3"/>
    <w:basedOn w:val="Normal"/>
    <w:link w:val="CharStyle7"/>
    <w:pPr>
      <w:widowControl w:val="0"/>
      <w:shd w:val="clear" w:color="auto" w:fill="FFFFFF"/>
      <w:jc w:val="center"/>
      <w:outlineLvl w:val="2"/>
      <w:spacing w:after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9">
    <w:name w:val="Cabeçalho ou rodapé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5">
    <w:name w:val="Título #2"/>
    <w:basedOn w:val="Normal"/>
    <w:link w:val="CharStyle16"/>
    <w:pPr>
      <w:widowControl w:val="0"/>
      <w:shd w:val="clear" w:color="auto" w:fill="FFFFFF"/>
      <w:jc w:val="center"/>
      <w:outlineLvl w:val="1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18">
    <w:name w:val="Título #1"/>
    <w:basedOn w:val="Normal"/>
    <w:link w:val="CharStyle19"/>
    <w:pPr>
      <w:widowControl w:val="0"/>
      <w:shd w:val="clear" w:color="auto" w:fill="FFFFFF"/>
      <w:jc w:val="center"/>
      <w:outlineLvl w:val="0"/>
      <w:spacing w:before="180"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21">
    <w:name w:val="Texto do corpo (3)"/>
    <w:basedOn w:val="Normal"/>
    <w:link w:val="CharStyle22"/>
    <w:pPr>
      <w:widowControl w:val="0"/>
      <w:shd w:val="clear" w:color="auto" w:fill="FFFFFF"/>
      <w:jc w:val="center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4">
    <w:name w:val="Legenda da figura"/>
    <w:basedOn w:val="Normal"/>
    <w:link w:val="CharStyle25"/>
    <w:pPr>
      <w:widowControl w:val="0"/>
      <w:shd w:val="clear" w:color="auto" w:fill="FFFFFF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paragraph" w:customStyle="1" w:styleId="Style27">
    <w:name w:val="Texto do corpo (4)"/>
    <w:basedOn w:val="Normal"/>
    <w:link w:val="CharStyle2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