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A0" w:rsidRPr="00714DA0" w:rsidRDefault="00714DA0" w:rsidP="00714DA0">
      <w:pPr>
        <w:pStyle w:val="ForewordHeading"/>
        <w:rPr>
          <w:b/>
          <w:bCs w:val="0"/>
          <w:color w:val="4E81BD"/>
        </w:rPr>
      </w:pPr>
      <w:bookmarkStart w:id="0" w:name="_GoBack"/>
      <w:bookmarkEnd w:id="0"/>
      <w:r w:rsidRPr="00714DA0">
        <w:rPr>
          <w:b/>
          <w:bCs w:val="0"/>
          <w:color w:val="4E81BD"/>
        </w:rPr>
        <w:t>Foreword</w:t>
      </w:r>
    </w:p>
    <w:p w:rsidR="00714DA0" w:rsidRDefault="00714DA0" w:rsidP="00714DA0"/>
    <w:p w:rsidR="009164CF" w:rsidRDefault="009164CF" w:rsidP="005B12F1">
      <w:pPr>
        <w:pStyle w:val="BodyText"/>
      </w:pPr>
      <w:r>
        <w:t>I</w:t>
      </w:r>
      <w:r w:rsidR="000056E8">
        <w:t xml:space="preserve">nfrastructure is vital for </w:t>
      </w:r>
      <w:r>
        <w:t xml:space="preserve">all </w:t>
      </w:r>
      <w:r w:rsidR="000056E8">
        <w:t>citizens and businesses. From clean water to sustainable energy to</w:t>
      </w:r>
      <w:r>
        <w:t xml:space="preserve"> safe roads and public buildings such schools and hospitals. While there has been much attention on the mechanisms for financing infrastructure </w:t>
      </w:r>
      <w:r w:rsidR="005B12F1">
        <w:t>t</w:t>
      </w:r>
      <w:r>
        <w:t xml:space="preserve">here has been less on a determining factor </w:t>
      </w:r>
      <w:r w:rsidR="005B12F1">
        <w:t xml:space="preserve">to </w:t>
      </w:r>
      <w:r>
        <w:t>unlock the finance, which is how this infrastructure is managed or its “governance”.</w:t>
      </w:r>
      <w:r w:rsidR="000056E8">
        <w:t xml:space="preserve"> </w:t>
      </w:r>
    </w:p>
    <w:p w:rsidR="00682DAA" w:rsidRDefault="00682DAA" w:rsidP="009164CF">
      <w:pPr>
        <w:pStyle w:val="BodyText"/>
      </w:pPr>
      <w:r>
        <w:t xml:space="preserve">The OECD </w:t>
      </w:r>
      <w:r w:rsidR="009164CF">
        <w:t>ha</w:t>
      </w:r>
      <w:r>
        <w:t xml:space="preserve">s </w:t>
      </w:r>
      <w:r w:rsidR="009164CF">
        <w:t xml:space="preserve">been </w:t>
      </w:r>
      <w:r>
        <w:t>exploring the governance of public infrastructure, with the objective of developing a framework for the governance of public infrastructure that would provide practical guidance to governments on what would constitute an effective infrastructure policy system.</w:t>
      </w:r>
      <w:r w:rsidR="009164CF">
        <w:t xml:space="preserve"> What type of processes, tools, mechanisms for decision-making and institutions should be in place (OECD 2015).</w:t>
      </w:r>
    </w:p>
    <w:p w:rsidR="00682DAA" w:rsidRDefault="00682DAA" w:rsidP="00682DAA">
      <w:pPr>
        <w:pStyle w:val="BodyText"/>
      </w:pPr>
      <w:r>
        <w:t>Through the Network of Economic Regulators (NER), the OECD has been able to bring to bear the p</w:t>
      </w:r>
      <w:r w:rsidR="00573419">
        <w:t>erspectives and experiences of economic r</w:t>
      </w:r>
      <w:r>
        <w:t>egulators on the governan</w:t>
      </w:r>
      <w:r w:rsidR="00573419">
        <w:t>ce of infrastructure. Economic r</w:t>
      </w:r>
      <w:r>
        <w:t xml:space="preserve">egulators have responsibilities in relation to a wide range of </w:t>
      </w:r>
      <w:r w:rsidR="00573419">
        <w:t xml:space="preserve">public and private </w:t>
      </w:r>
      <w:r>
        <w:t xml:space="preserve">infrastructure industries, from energy, transport, water, and communications. </w:t>
      </w:r>
    </w:p>
    <w:p w:rsidR="005B12F1" w:rsidRDefault="005B12F1" w:rsidP="005B12F1">
      <w:pPr>
        <w:pStyle w:val="BodyText"/>
      </w:pPr>
      <w:r>
        <w:t xml:space="preserve">This report is based on a survey to members of the NER from 34 economic regulators, spanning 24 partner and non-partner countries, across 77 sectors and subsectors. </w:t>
      </w:r>
    </w:p>
    <w:p w:rsidR="003A1840" w:rsidRDefault="003A1840" w:rsidP="003A1840">
      <w:pPr>
        <w:pStyle w:val="BodyText"/>
      </w:pPr>
      <w:r>
        <w:t xml:space="preserve">Economic regulators are generally involved in infrastructure industries in limited circumstances where efficient delivery of infrastructure services is impeded by a lack of effective competition. However, where they are involved, they have an ongoing relationship with the operators of regulated infrastructure throughout the infrastructure lifecycle — from the identification of infrastructure needs, construction, maintenance to its eventual decommissioning. </w:t>
      </w:r>
    </w:p>
    <w:p w:rsidR="003A1840" w:rsidRDefault="003A1840" w:rsidP="003A1840">
      <w:pPr>
        <w:pStyle w:val="BodyText"/>
      </w:pPr>
      <w:r>
        <w:t xml:space="preserve">While government involvement in the provision of infrastructure services may be broader than that of economic regulators (indeed, some governments provide infrastructure services directly), there would appear to be a degree of alignment between the objectives of governments and the </w:t>
      </w:r>
      <w:r>
        <w:lastRenderedPageBreak/>
        <w:t xml:space="preserve">mandate of economic regulators — ensuring the efficient provision of infrastructure services.  </w:t>
      </w:r>
    </w:p>
    <w:p w:rsidR="005B12F1" w:rsidRDefault="005B12F1" w:rsidP="005B12F1">
      <w:pPr>
        <w:pStyle w:val="BodyText"/>
      </w:pPr>
      <w:r>
        <w:t xml:space="preserve">Beyond looking at the roles and functions of economic regulators in detail, the report examines topics ranging from the involvement of economic regulators in the infrastructure lifecycle, infrastructure needs in regulated industries, the use of data in the delivery of the mandate of economic regulators, change and the involvement of economic regulators in the policy process, and the challenges that economic regulators are currently facing in delivering their mandate.    </w:t>
      </w:r>
    </w:p>
    <w:p w:rsidR="00444F06" w:rsidRDefault="00682DAA" w:rsidP="00682DAA">
      <w:pPr>
        <w:pStyle w:val="BodyText"/>
      </w:pPr>
      <w:r>
        <w:t xml:space="preserve">  This report is carried out as part of the OECD work programme on the governance of regulators and regulatory policy led by the OECD Network of Economic Regulators and the OECD Regulatory Policy Committee with the support of the Regulatory Policy Division of the OECD Public Governance and Territorial Development Directorate. The Directorate’s mission is to help government at all levels design and implement strategic, evidence-based and innovative policies. The goal is to support countries in building better government systems and implementing policies at both national and regional level that lead to sustainable economic and social development.</w:t>
      </w:r>
    </w:p>
    <w:p w:rsidR="00444F06" w:rsidRPr="00714DA0" w:rsidRDefault="00444F06" w:rsidP="00714DA0">
      <w:pPr>
        <w:sectPr w:rsidR="00444F06" w:rsidRPr="00714DA0" w:rsidSect="00714DA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3119" w:right="2211" w:bottom="3119" w:left="2211" w:header="2608" w:footer="2722" w:gutter="0"/>
          <w:pgNumType w:start="3"/>
          <w:cols w:space="720"/>
          <w:docGrid w:linePitch="299"/>
        </w:sectPr>
      </w:pPr>
    </w:p>
    <w:p w:rsidR="008D5C08" w:rsidRPr="00714DA0" w:rsidRDefault="00714DA0" w:rsidP="00714DA0">
      <w:pPr>
        <w:pStyle w:val="AcknowledgementHeading"/>
        <w:rPr>
          <w:i/>
          <w:iCs/>
          <w:color w:val="4E81BD"/>
        </w:rPr>
      </w:pPr>
      <w:r w:rsidRPr="00714DA0">
        <w:rPr>
          <w:i/>
          <w:iCs/>
          <w:color w:val="4E81BD"/>
        </w:rPr>
        <w:lastRenderedPageBreak/>
        <w:t>A</w:t>
      </w:r>
      <w:r w:rsidRPr="00714DA0">
        <w:rPr>
          <w:i/>
          <w:iCs/>
          <w:caps w:val="0"/>
          <w:color w:val="4E81BD"/>
        </w:rPr>
        <w:t>cknowledgements</w:t>
      </w:r>
    </w:p>
    <w:p w:rsidR="008D5C08" w:rsidRDefault="008D5C08" w:rsidP="005B12F1">
      <w:pPr>
        <w:pStyle w:val="BodyText"/>
      </w:pPr>
      <w:r>
        <w:t>The work underlying this report was led by Faisal Naru and prepared by Mark McLeish</w:t>
      </w:r>
      <w:r w:rsidR="00895DAE">
        <w:t xml:space="preserve">, with </w:t>
      </w:r>
      <w:r w:rsidR="006936C1">
        <w:t xml:space="preserve">significant </w:t>
      </w:r>
      <w:r w:rsidR="00895DAE">
        <w:t xml:space="preserve">inputs from </w:t>
      </w:r>
      <w:r>
        <w:t>Filippo Cavasini</w:t>
      </w:r>
      <w:r w:rsidR="00895DAE">
        <w:t xml:space="preserve"> and Anna Pietkainen,</w:t>
      </w:r>
      <w:r>
        <w:t xml:space="preserve"> with the encouragement and support of Rolf Alter, Director, Public Governance and Territorial Development Directorate, and Nick Malyshev, Head, Regulatory Policy Division, Public Governance and Territorial Development Directorate. </w:t>
      </w:r>
      <w:r w:rsidR="005B12F1">
        <w:t xml:space="preserve">Carole Biau </w:t>
      </w:r>
      <w:r>
        <w:t>and Cristiana Vitale provided inputs and comments.</w:t>
      </w:r>
      <w:r w:rsidR="00895DAE">
        <w:t xml:space="preserve"> Allessandro Lupi and Sara Hermanutz assisted with the data and charts.</w:t>
      </w:r>
      <w:r>
        <w:t xml:space="preserve"> Jennifer Stein co-ordinated the editorial process.</w:t>
      </w:r>
      <w:r w:rsidR="00895DAE">
        <w:t xml:space="preserve"> Kate Lancaster and Andrea Uhrhammer provided editorial support.</w:t>
      </w:r>
    </w:p>
    <w:p w:rsidR="00DD2A9C" w:rsidRPr="00431C4F" w:rsidRDefault="00BA28BF" w:rsidP="00431C4F">
      <w:pPr>
        <w:pStyle w:val="BodyText"/>
      </w:pPr>
      <w:r>
        <w:t>The report would not have been possible without the</w:t>
      </w:r>
      <w:r w:rsidR="00B33842">
        <w:t xml:space="preserve"> feedback and</w:t>
      </w:r>
      <w:r>
        <w:t xml:space="preserve"> survey responses from members of the OECD Network of Economic Regulators. Thanks are extended to all of them, and in particular</w:t>
      </w:r>
      <w:r w:rsidR="00450991">
        <w:t>,</w:t>
      </w:r>
      <w:r>
        <w:t xml:space="preserve"> </w:t>
      </w:r>
      <w:r w:rsidR="00431C4F">
        <w:rPr>
          <w:lang w:val="en-GB"/>
        </w:rPr>
        <w:t xml:space="preserve">Cristina Cifuentes, Commissioner, Australian Competition and Consumer Commission, Australia, </w:t>
      </w:r>
      <w:r w:rsidR="00431C4F" w:rsidRPr="00450991">
        <w:rPr>
          <w:lang w:val="en-GB"/>
        </w:rPr>
        <w:t>Katharina Tappeiner, International Policy and Projects, E-Control, Austria</w:t>
      </w:r>
      <w:r w:rsidR="00431C4F">
        <w:rPr>
          <w:lang w:val="en-GB"/>
        </w:rPr>
        <w:t xml:space="preserve">, </w:t>
      </w:r>
      <w:r w:rsidR="00DD2A9C" w:rsidRPr="00431C4F">
        <w:rPr>
          <w:lang w:val="en-GB"/>
        </w:rPr>
        <w:t>Alex Sandro Feil, Superintendent of Communication and Institutional Affairs, Electricity Regulatory Agency, Brazil,</w:t>
      </w:r>
      <w:r w:rsidR="00431C4F" w:rsidRPr="00431C4F">
        <w:rPr>
          <w:lang w:val="en-GB"/>
        </w:rPr>
        <w:t xml:space="preserve"> Josée Touchette, Chief Operating Officer, National Energy Board, Canada, </w:t>
      </w:r>
      <w:r w:rsidR="00DD2A9C" w:rsidRPr="00431C4F">
        <w:rPr>
          <w:lang w:val="en-GB"/>
        </w:rPr>
        <w:t>Annegret Groebel, Head of the International Relations and Postal Regulation Department, Federal Network Agency for Electricity, Gas, Telecommunications, Post and Railway, Germany</w:t>
      </w:r>
      <w:r w:rsidR="00431C4F">
        <w:rPr>
          <w:lang w:val="en-GB"/>
        </w:rPr>
        <w:t xml:space="preserve">, </w:t>
      </w:r>
      <w:r w:rsidR="00966227" w:rsidRPr="00431C4F">
        <w:rPr>
          <w:lang w:val="en-GB"/>
        </w:rPr>
        <w:t>Nicolò Di Gaetano, Senior Advisor, Regulatory Authority for Electricity, Gas and Water, Italy</w:t>
      </w:r>
      <w:r w:rsidR="00431C4F">
        <w:rPr>
          <w:lang w:val="en-GB"/>
        </w:rPr>
        <w:t xml:space="preserve">, </w:t>
      </w:r>
      <w:r w:rsidR="00966227" w:rsidRPr="00431C4F">
        <w:rPr>
          <w:lang w:val="en-GB"/>
        </w:rPr>
        <w:t>Ms. Lija M</w:t>
      </w:r>
      <w:r w:rsidR="00431C4F" w:rsidRPr="00431C4F">
        <w:rPr>
          <w:lang w:val="en-GB"/>
        </w:rPr>
        <w:t xml:space="preserve">akare, </w:t>
      </w:r>
      <w:r w:rsidR="00966227" w:rsidRPr="00431C4F">
        <w:rPr>
          <w:lang w:val="en-GB"/>
        </w:rPr>
        <w:t>Head, External Relations, Public Utilities Commission, Latvia</w:t>
      </w:r>
      <w:r w:rsidR="00431C4F">
        <w:rPr>
          <w:lang w:val="en-GB"/>
        </w:rPr>
        <w:t xml:space="preserve">, </w:t>
      </w:r>
      <w:r w:rsidR="00431C4F" w:rsidRPr="00431C4F">
        <w:rPr>
          <w:lang w:val="en-GB"/>
        </w:rPr>
        <w:t>Arturo L. Vásquez Cordano, Chief Economist, Manager of Regulatory Policy and Economic Analysis,  Supervisory Agency of Investment in Energy and Mining,  Peru</w:t>
      </w:r>
      <w:r w:rsidR="00431C4F">
        <w:rPr>
          <w:lang w:val="en-GB"/>
        </w:rPr>
        <w:t xml:space="preserve">, </w:t>
      </w:r>
      <w:r w:rsidR="00DD2A9C" w:rsidRPr="00431C4F">
        <w:rPr>
          <w:lang w:val="en-GB"/>
        </w:rPr>
        <w:t>Ana Barreto Albuquerque Member of the Board of Directors The Water and Waste Services Regulation Authority, Portugal</w:t>
      </w:r>
      <w:r w:rsidR="00431C4F">
        <w:rPr>
          <w:lang w:val="en-GB"/>
        </w:rPr>
        <w:t xml:space="preserve">, </w:t>
      </w:r>
      <w:r w:rsidR="00431C4F" w:rsidRPr="00431C4F">
        <w:rPr>
          <w:lang w:val="en-GB"/>
        </w:rPr>
        <w:t>Juan Gradolph, Director of International Affairs, National Authority for Markets and Competition, Spain</w:t>
      </w:r>
      <w:r w:rsidR="00431C4F">
        <w:t xml:space="preserve">, and </w:t>
      </w:r>
      <w:r w:rsidR="00DD2A9C" w:rsidRPr="00DD2A9C">
        <w:rPr>
          <w:lang w:val="en-GB"/>
        </w:rPr>
        <w:t>Jens Lundgren, Deputy Chief Economist, Swedish Energy Markets Inspectorate, Sweeden.</w:t>
      </w:r>
    </w:p>
    <w:p w:rsidR="00DD2A9C" w:rsidRPr="00F972CE" w:rsidRDefault="00DD2A9C" w:rsidP="006936C1">
      <w:pPr>
        <w:pStyle w:val="BodyText"/>
      </w:pPr>
      <w:r>
        <w:t xml:space="preserve">An initial draft of this </w:t>
      </w:r>
      <w:r w:rsidR="006936C1">
        <w:t xml:space="preserve">report </w:t>
      </w:r>
      <w:r>
        <w:t xml:space="preserve">was presented to the OECD Network of Economic Regulators for comments in November 2016. </w:t>
      </w:r>
    </w:p>
    <w:p w:rsidR="00DD2A9C" w:rsidRPr="00DD2A9C" w:rsidRDefault="00DD2A9C" w:rsidP="00450991">
      <w:pPr>
        <w:pStyle w:val="BodyText"/>
      </w:pPr>
    </w:p>
    <w:p w:rsidR="008D5C08" w:rsidRPr="00714DA0" w:rsidRDefault="00714DA0" w:rsidP="00714DA0">
      <w:pPr>
        <w:pStyle w:val="TableofContentsHeading"/>
        <w:rPr>
          <w:b/>
          <w:bCs w:val="0"/>
          <w:color w:val="4E81BD"/>
        </w:rPr>
      </w:pPr>
      <w:bookmarkStart w:id="1" w:name="TOC"/>
      <w:r w:rsidRPr="00714DA0">
        <w:rPr>
          <w:b/>
          <w:bCs w:val="0"/>
          <w:color w:val="4E81BD"/>
        </w:rPr>
        <w:lastRenderedPageBreak/>
        <w:t>Table of contents</w:t>
      </w:r>
    </w:p>
    <w:p w:rsidR="008D5C08" w:rsidRDefault="008D5C08">
      <w:pPr>
        <w:rPr>
          <w:b/>
          <w:noProof/>
        </w:rPr>
      </w:pPr>
    </w:p>
    <w:p w:rsidR="008D5C08" w:rsidRDefault="008D5C08" w:rsidP="008556B4">
      <w:pPr>
        <w:rPr>
          <w:noProof/>
        </w:rPr>
      </w:pPr>
    </w:p>
    <w:bookmarkEnd w:id="1"/>
    <w:p w:rsidR="00714DA0" w:rsidRDefault="00714DA0" w:rsidP="008556B4">
      <w:pPr>
        <w:rPr>
          <w:color w:val="4E81BD"/>
        </w:rPr>
        <w:sectPr w:rsidR="00714DA0" w:rsidSect="0087238D">
          <w:headerReference w:type="default" r:id="rId18"/>
          <w:endnotePr>
            <w:numFmt w:val="decimal"/>
          </w:endnotePr>
          <w:type w:val="oddPage"/>
          <w:pgSz w:w="11907" w:h="16840" w:code="9"/>
          <w:pgMar w:top="3119" w:right="2211" w:bottom="3119" w:left="2211" w:header="2608" w:footer="2722" w:gutter="0"/>
          <w:cols w:space="720"/>
          <w:docGrid w:linePitch="299"/>
        </w:sectPr>
      </w:pPr>
    </w:p>
    <w:p w:rsidR="008D5C08" w:rsidRPr="00AA1341" w:rsidRDefault="008D5C08" w:rsidP="00714DA0">
      <w:pPr>
        <w:pStyle w:val="Heading1"/>
        <w:rPr>
          <w:color w:val="4E81BD"/>
        </w:rPr>
      </w:pPr>
      <w:r w:rsidRPr="00AA1341">
        <w:rPr>
          <w:color w:val="4E81BD"/>
        </w:rPr>
        <w:lastRenderedPageBreak/>
        <w:fldChar w:fldCharType="begin"/>
      </w:r>
      <w:r w:rsidRPr="00AA1341">
        <w:rPr>
          <w:color w:val="4E81BD"/>
        </w:rPr>
        <w:instrText xml:space="preserve"> MACROBUTTON NUMBERING </w:instrText>
      </w:r>
      <w:r w:rsidRPr="00AA1341">
        <w:rPr>
          <w:color w:val="4E81BD"/>
        </w:rPr>
        <w:fldChar w:fldCharType="begin"/>
      </w:r>
      <w:r w:rsidRPr="00AA1341">
        <w:rPr>
          <w:color w:val="4E81BD"/>
        </w:rPr>
        <w:instrText xml:space="preserve"> SEQ  cpara \h \r 0</w:instrText>
      </w:r>
      <w:r w:rsidRPr="00AA1341">
        <w:rPr>
          <w:color w:val="4E81BD"/>
        </w:rPr>
        <w:fldChar w:fldCharType="end"/>
      </w:r>
      <w:r w:rsidRPr="00AA1341">
        <w:rPr>
          <w:color w:val="4E81BD"/>
        </w:rPr>
        <w:fldChar w:fldCharType="begin"/>
      </w:r>
      <w:r w:rsidRPr="00AA1341">
        <w:rPr>
          <w:color w:val="4E81BD"/>
        </w:rPr>
        <w:instrText xml:space="preserve"> SEQ  ccount \h</w:instrText>
      </w:r>
      <w:r w:rsidRPr="00AA1341">
        <w:rPr>
          <w:color w:val="4E81BD"/>
        </w:rPr>
        <w:fldChar w:fldCharType="end"/>
      </w:r>
      <w:bookmarkStart w:id="2" w:name="_Toc471464150"/>
      <w:r w:rsidRPr="00AA1341">
        <w:rPr>
          <w:color w:val="4E81BD"/>
        </w:rPr>
        <w:fldChar w:fldCharType="end"/>
      </w:r>
      <w:r w:rsidRPr="00AA1341">
        <w:rPr>
          <w:color w:val="4E81BD"/>
        </w:rPr>
        <w:t>Acronyms and abbreviations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5765"/>
      </w:tblGrid>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ESC</w:t>
            </w:r>
          </w:p>
        </w:tc>
        <w:tc>
          <w:tcPr>
            <w:tcW w:w="8138" w:type="dxa"/>
          </w:tcPr>
          <w:p w:rsidR="008D5C08" w:rsidRPr="00F65B30" w:rsidRDefault="008D5C08" w:rsidP="00354711">
            <w:pPr>
              <w:pStyle w:val="BodyText"/>
              <w:ind w:left="191" w:firstLine="0"/>
            </w:pPr>
            <w:r w:rsidRPr="00F65B30">
              <w:t>Essential Services Commission, Victoria, Australia</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EnWG</w:t>
            </w:r>
          </w:p>
        </w:tc>
        <w:tc>
          <w:tcPr>
            <w:tcW w:w="8138" w:type="dxa"/>
          </w:tcPr>
          <w:p w:rsidR="008D5C08" w:rsidRPr="00F65B30" w:rsidRDefault="008D5C08" w:rsidP="00354711">
            <w:pPr>
              <w:pStyle w:val="BodyText"/>
              <w:ind w:left="191" w:firstLine="0"/>
            </w:pPr>
            <w:r w:rsidRPr="00F65B30">
              <w:t>German Energy Law</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 xml:space="preserve">METI </w:t>
            </w:r>
          </w:p>
        </w:tc>
        <w:tc>
          <w:tcPr>
            <w:tcW w:w="8138" w:type="dxa"/>
          </w:tcPr>
          <w:p w:rsidR="008D5C08" w:rsidRPr="00F65B30" w:rsidRDefault="008D5C08" w:rsidP="00354711">
            <w:pPr>
              <w:pStyle w:val="BodyText"/>
              <w:ind w:left="191" w:firstLine="0"/>
            </w:pPr>
            <w:r w:rsidRPr="00F65B30">
              <w:t>Ministry of Economy, Trade and Industry, Japan</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NER</w:t>
            </w:r>
          </w:p>
        </w:tc>
        <w:tc>
          <w:tcPr>
            <w:tcW w:w="8138" w:type="dxa"/>
          </w:tcPr>
          <w:p w:rsidR="008D5C08" w:rsidRPr="00F65B30" w:rsidRDefault="008D5C08" w:rsidP="00354711">
            <w:pPr>
              <w:pStyle w:val="BodyText"/>
              <w:ind w:left="191" w:firstLine="0"/>
            </w:pPr>
            <w:r w:rsidRPr="00F65B30">
              <w:t>Network of Economic Regulators</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OECD</w:t>
            </w:r>
          </w:p>
        </w:tc>
        <w:tc>
          <w:tcPr>
            <w:tcW w:w="8138" w:type="dxa"/>
          </w:tcPr>
          <w:p w:rsidR="008D5C08" w:rsidRPr="00F65B30" w:rsidRDefault="008D5C08" w:rsidP="00354711">
            <w:pPr>
              <w:pStyle w:val="BodyText"/>
              <w:ind w:left="191" w:firstLine="0"/>
            </w:pPr>
            <w:r w:rsidRPr="00F65B30">
              <w:t>Organisation for Economic Co-operation and Development</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PAFER</w:t>
            </w:r>
          </w:p>
        </w:tc>
        <w:tc>
          <w:tcPr>
            <w:tcW w:w="8138" w:type="dxa"/>
          </w:tcPr>
          <w:p w:rsidR="008D5C08" w:rsidRPr="00F65B30" w:rsidRDefault="008D5C08" w:rsidP="00354711">
            <w:pPr>
              <w:pStyle w:val="BodyText"/>
              <w:ind w:left="191" w:firstLine="0"/>
            </w:pPr>
            <w:r w:rsidRPr="00F65B30">
              <w:t>Performance assessment framework for economic regulators</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SOE</w:t>
            </w:r>
          </w:p>
        </w:tc>
        <w:tc>
          <w:tcPr>
            <w:tcW w:w="8138" w:type="dxa"/>
          </w:tcPr>
          <w:p w:rsidR="008D5C08" w:rsidRPr="00F65B30" w:rsidRDefault="008D5C08" w:rsidP="00354711">
            <w:pPr>
              <w:pStyle w:val="BodyText"/>
              <w:ind w:left="191" w:firstLine="0"/>
            </w:pPr>
            <w:r w:rsidRPr="00F65B30">
              <w:t>State</w:t>
            </w:r>
            <w:r>
              <w:t>-</w:t>
            </w:r>
            <w:r w:rsidRPr="00F65B30">
              <w:t>owned enterprises</w:t>
            </w:r>
          </w:p>
        </w:tc>
      </w:tr>
      <w:tr w:rsidR="008D5C08" w:rsidRPr="00F65B30" w:rsidTr="00714DA0">
        <w:tc>
          <w:tcPr>
            <w:tcW w:w="950" w:type="dxa"/>
          </w:tcPr>
          <w:p w:rsidR="008D5C08" w:rsidRPr="00AA1341" w:rsidRDefault="008D5C08" w:rsidP="00714DA0">
            <w:pPr>
              <w:pStyle w:val="BodyText"/>
              <w:ind w:firstLine="0"/>
              <w:rPr>
                <w:b/>
                <w:bCs/>
                <w:color w:val="4E81BD"/>
              </w:rPr>
            </w:pPr>
            <w:r w:rsidRPr="00AA1341">
              <w:rPr>
                <w:b/>
                <w:bCs/>
                <w:color w:val="4E81BD"/>
              </w:rPr>
              <w:t>TSO</w:t>
            </w:r>
          </w:p>
        </w:tc>
        <w:tc>
          <w:tcPr>
            <w:tcW w:w="8138" w:type="dxa"/>
          </w:tcPr>
          <w:p w:rsidR="008D5C08" w:rsidRPr="00F65B30" w:rsidRDefault="008D5C08" w:rsidP="00354711">
            <w:pPr>
              <w:pStyle w:val="BodyText"/>
              <w:ind w:left="191" w:firstLine="0"/>
            </w:pPr>
            <w:r w:rsidRPr="00F65B30">
              <w:t>Transmission system operator</w:t>
            </w:r>
          </w:p>
        </w:tc>
      </w:tr>
      <w:tr w:rsidR="00573419" w:rsidRPr="00F65B30" w:rsidTr="00714DA0">
        <w:tc>
          <w:tcPr>
            <w:tcW w:w="950" w:type="dxa"/>
          </w:tcPr>
          <w:p w:rsidR="00573419" w:rsidRPr="00AA1341" w:rsidRDefault="00573419" w:rsidP="00714DA0">
            <w:pPr>
              <w:pStyle w:val="BodyText"/>
              <w:ind w:firstLine="0"/>
              <w:rPr>
                <w:b/>
                <w:bCs/>
                <w:color w:val="4E81BD"/>
              </w:rPr>
            </w:pPr>
            <w:r>
              <w:rPr>
                <w:b/>
                <w:bCs/>
                <w:color w:val="4E81BD"/>
              </w:rPr>
              <w:t>QOS</w:t>
            </w:r>
          </w:p>
        </w:tc>
        <w:tc>
          <w:tcPr>
            <w:tcW w:w="8138" w:type="dxa"/>
          </w:tcPr>
          <w:p w:rsidR="00573419" w:rsidRPr="00F65B30" w:rsidRDefault="00573419" w:rsidP="00354711">
            <w:pPr>
              <w:pStyle w:val="BodyText"/>
              <w:ind w:left="191" w:firstLine="0"/>
            </w:pPr>
            <w:r>
              <w:t>Quality of service</w:t>
            </w:r>
          </w:p>
        </w:tc>
      </w:tr>
    </w:tbl>
    <w:p w:rsidR="008D5C08" w:rsidRPr="00F562A2" w:rsidRDefault="008D5C08" w:rsidP="00714DA0"/>
    <w:p w:rsidR="00714DA0" w:rsidRDefault="00714DA0" w:rsidP="00714DA0">
      <w:pPr>
        <w:rPr>
          <w:color w:val="4E81BD"/>
        </w:rPr>
        <w:sectPr w:rsidR="00714DA0" w:rsidSect="0087238D">
          <w:headerReference w:type="default" r:id="rId19"/>
          <w:endnotePr>
            <w:numFmt w:val="decimal"/>
          </w:endnotePr>
          <w:type w:val="oddPage"/>
          <w:pgSz w:w="11907" w:h="16840" w:code="9"/>
          <w:pgMar w:top="3119" w:right="2211" w:bottom="3119" w:left="2211" w:header="2608" w:footer="2722" w:gutter="0"/>
          <w:cols w:space="720"/>
          <w:docGrid w:linePitch="299"/>
        </w:sectPr>
      </w:pPr>
      <w:bookmarkStart w:id="3" w:name="_Toc471464151"/>
    </w:p>
    <w:p w:rsidR="008D5C08" w:rsidRPr="00714DA0" w:rsidRDefault="008D5C08" w:rsidP="00714DA0">
      <w:pPr>
        <w:pStyle w:val="ExecutiveSummaryHeading"/>
        <w:rPr>
          <w:color w:val="4E81BD"/>
        </w:rPr>
      </w:pPr>
      <w:r w:rsidRPr="00714DA0">
        <w:rPr>
          <w:color w:val="4E81BD"/>
        </w:rPr>
        <w:lastRenderedPageBreak/>
        <w:t>Executive summary</w:t>
      </w:r>
      <w:bookmarkEnd w:id="3"/>
    </w:p>
    <w:p w:rsidR="008D5C08" w:rsidRDefault="008D5C08" w:rsidP="00714DA0">
      <w:pPr>
        <w:pStyle w:val="BodyText"/>
      </w:pPr>
      <w:r>
        <w:t>The “governance of infrastructure” is the processes, tools, and norms of interaction, decision-making and monitoring used by governmental organisations and their counterparts with respect to making infrastructure services available to the public and the public sector (OECD 2015). Governments continue to be involved in the delivery of infrastructure services</w:t>
      </w:r>
      <w:r w:rsidR="00354711">
        <w:t> – </w:t>
      </w:r>
      <w:r w:rsidRPr="00991B09">
        <w:t>from hospitals to utilities such as energy, water, communications and transport.</w:t>
      </w:r>
    </w:p>
    <w:p w:rsidR="008D5C08" w:rsidRPr="00EA3408" w:rsidRDefault="00676B8B" w:rsidP="00714DA0">
      <w:pPr>
        <w:pStyle w:val="BodyText"/>
      </w:pPr>
      <w:r w:rsidRPr="00676B8B">
        <w:t>Economic regulators regulate both publically and privately owned and operated infrastructure and markets and are tasked with the responsibility of setting tariffs and ensuring access to natural monopoly infrastructure, in order to prevent the exercise of market power and initiate/enable processes that ensure the efficient delivery of services to consumers by providing incentives for economically rational behavior/decisions by all actors.</w:t>
      </w:r>
      <w:r w:rsidR="008D5C08">
        <w:t xml:space="preserve"> </w:t>
      </w:r>
    </w:p>
    <w:p w:rsidR="008D5C08" w:rsidRPr="00B33842" w:rsidRDefault="008D5C08" w:rsidP="00714DA0">
      <w:pPr>
        <w:pStyle w:val="BodyText"/>
      </w:pPr>
      <w:r w:rsidRPr="00B33842">
        <w:t>The purpose of this report is to explore the role of economic regulators in relation to infrastructure, and draw out common issues and themes that are relevant to infrastructure governance.</w:t>
      </w:r>
    </w:p>
    <w:p w:rsidR="008D5C08" w:rsidRDefault="008D5C08" w:rsidP="00714DA0">
      <w:pPr>
        <w:pStyle w:val="BodyText"/>
      </w:pPr>
      <w:r w:rsidRPr="00B33842">
        <w:t>Thirty-</w:t>
      </w:r>
      <w:r w:rsidR="00045EBF" w:rsidRPr="00B33842">
        <w:t>four</w:t>
      </w:r>
      <w:r w:rsidRPr="00B33842">
        <w:t xml:space="preserve"> economic regulators from 24 countries responded to the survey, which contained information about 77 sectors (such as energy, communications, transport, and water) and subsectors (such as electricity distribution, transmission and generation) providing information on their roles and functions, evaluation and performance assessment, and the infrastructure lifecycle.</w:t>
      </w:r>
      <w:r>
        <w:t xml:space="preserve"> </w:t>
      </w:r>
    </w:p>
    <w:p w:rsidR="008D5C08" w:rsidRPr="004424CB" w:rsidRDefault="008D5C08" w:rsidP="00714DA0">
      <w:pPr>
        <w:pStyle w:val="BodyText"/>
      </w:pPr>
      <w:r>
        <w:t>Overall:</w:t>
      </w:r>
    </w:p>
    <w:p w:rsidR="008D5C08" w:rsidRPr="004424CB" w:rsidRDefault="008D5C08" w:rsidP="002649F9">
      <w:pPr>
        <w:pStyle w:val="ListBullet"/>
        <w:tabs>
          <w:tab w:val="clear" w:pos="1191"/>
        </w:tabs>
        <w:ind w:left="1191" w:hanging="340"/>
      </w:pPr>
      <w:r>
        <w:t>Economic regulators influence</w:t>
      </w:r>
      <w:r w:rsidRPr="004424CB">
        <w:t xml:space="preserve"> the investment environment for</w:t>
      </w:r>
      <w:r>
        <w:t xml:space="preserve"> key infrastructure sectors which support</w:t>
      </w:r>
      <w:r w:rsidRPr="004424CB">
        <w:t xml:space="preserve"> the delivery of services to consumers</w:t>
      </w:r>
      <w:r>
        <w:t>.</w:t>
      </w:r>
    </w:p>
    <w:p w:rsidR="008D5C08" w:rsidRPr="004424CB" w:rsidRDefault="008D5C08" w:rsidP="002649F9">
      <w:pPr>
        <w:pStyle w:val="ListBullet"/>
        <w:tabs>
          <w:tab w:val="clear" w:pos="1191"/>
        </w:tabs>
        <w:ind w:left="1191" w:hanging="340"/>
      </w:pPr>
      <w:r w:rsidRPr="004424CB">
        <w:t>To encourage efficient investment, economic regulators</w:t>
      </w:r>
      <w:r>
        <w:t xml:space="preserve"> need to</w:t>
      </w:r>
      <w:r w:rsidRPr="004424CB">
        <w:t xml:space="preserve"> provide a </w:t>
      </w:r>
      <w:r w:rsidRPr="004424CB">
        <w:rPr>
          <w:bCs/>
        </w:rPr>
        <w:t xml:space="preserve">stable investment environment </w:t>
      </w:r>
      <w:r w:rsidRPr="004424CB">
        <w:t xml:space="preserve">while at the same time ensuring that regulated firms </w:t>
      </w:r>
      <w:r>
        <w:t>efficiently provide services</w:t>
      </w:r>
      <w:r w:rsidRPr="004424CB">
        <w:t>.</w:t>
      </w:r>
    </w:p>
    <w:p w:rsidR="008D5C08" w:rsidRDefault="008D5C08" w:rsidP="002649F9">
      <w:pPr>
        <w:pStyle w:val="ListBullet"/>
        <w:tabs>
          <w:tab w:val="clear" w:pos="1191"/>
        </w:tabs>
        <w:ind w:left="1191" w:hanging="340"/>
      </w:pPr>
      <w:r w:rsidRPr="004424CB">
        <w:lastRenderedPageBreak/>
        <w:t xml:space="preserve">However, economic regulation is not static and regulators need to deliver stability in context of change (technology change, disruptive technology, increasing stakeholder expectations) to </w:t>
      </w:r>
      <w:r>
        <w:t>maintain incentives for efficient investment.</w:t>
      </w:r>
    </w:p>
    <w:p w:rsidR="008D5C08" w:rsidRPr="0067479C" w:rsidRDefault="008D5C08" w:rsidP="00714DA0">
      <w:pPr>
        <w:pStyle w:val="BodyText"/>
      </w:pPr>
      <w:r>
        <w:t xml:space="preserve">Drawing out the first overall finding; the survey found that </w:t>
      </w:r>
      <w:r w:rsidR="007A473C">
        <w:t xml:space="preserve">the majority of </w:t>
      </w:r>
      <w:r>
        <w:t xml:space="preserve">economic regulators are  not directly involved in decision making during the infrastructure lifecycle. Instead, economic regulators seek to achieve their mandate indirectly by leaving the decision making to the infrastructure operator itself and by making decisions that constrain or incentivise particular </w:t>
      </w:r>
      <w:r w:rsidR="00444F06">
        <w:t>behavior</w:t>
      </w:r>
      <w:r>
        <w:t>. For example, tariff decisions made by economic regulators constrain the prices charged infrastructure operators, but at the same time provide infrastructure operators with flexibility to determine how to manage their operations within that financial constraint.</w:t>
      </w:r>
    </w:p>
    <w:p w:rsidR="008D5C08" w:rsidRPr="00E5482A" w:rsidRDefault="008D5C08" w:rsidP="00714DA0">
      <w:pPr>
        <w:pStyle w:val="Heading4"/>
        <w:rPr>
          <w:i w:val="0"/>
          <w:iCs w:val="0"/>
        </w:rPr>
      </w:pPr>
      <w:r>
        <w:rPr>
          <w:i w:val="0"/>
          <w:iCs w:val="0"/>
        </w:rPr>
        <w:t>The key implications of the survey responses were:</w:t>
      </w:r>
    </w:p>
    <w:p w:rsidR="008D5C08" w:rsidRPr="00E5482A" w:rsidRDefault="008D5C08" w:rsidP="002649F9">
      <w:pPr>
        <w:pStyle w:val="ListBullet"/>
        <w:tabs>
          <w:tab w:val="clear" w:pos="1191"/>
        </w:tabs>
        <w:ind w:left="1191" w:hanging="340"/>
      </w:pPr>
      <w:r w:rsidRPr="00E5482A">
        <w:rPr>
          <w:b/>
        </w:rPr>
        <w:t>Effective governance arrangements are important to service delivery</w:t>
      </w:r>
      <w:r w:rsidR="00354711">
        <w:t> – </w:t>
      </w:r>
      <w:r w:rsidRPr="00E5482A">
        <w:t xml:space="preserve">The governance of </w:t>
      </w:r>
      <w:r>
        <w:t xml:space="preserve">economic </w:t>
      </w:r>
      <w:r w:rsidRPr="00E5482A">
        <w:t>regulators</w:t>
      </w:r>
      <w:r>
        <w:t xml:space="preserve"> themselves</w:t>
      </w:r>
      <w:r w:rsidRPr="00E5482A">
        <w:t xml:space="preserve"> is important to ensure efficient delivery of regulated services to consumers. </w:t>
      </w:r>
      <w:r>
        <w:t>As the survey indicates,</w:t>
      </w:r>
      <w:r w:rsidRPr="00E5482A">
        <w:t xml:space="preserve"> a number of</w:t>
      </w:r>
      <w:r>
        <w:t xml:space="preserve"> economic</w:t>
      </w:r>
      <w:r w:rsidRPr="00E5482A">
        <w:t xml:space="preserve"> regulators continue experience governance challenges. The existing body of work of the OECD on the governance of regulators stemming from the 2012 recommendation from the OECD council’s on Regulatory Policy and Governance </w:t>
      </w:r>
      <w:r>
        <w:t>is very relevant to considering the governance arrangements to apply to economic regulators</w:t>
      </w:r>
      <w:r w:rsidRPr="00E5482A">
        <w:t xml:space="preserve">. </w:t>
      </w:r>
    </w:p>
    <w:p w:rsidR="008D5C08" w:rsidRPr="00E5482A" w:rsidRDefault="008D5C08" w:rsidP="00444F06">
      <w:pPr>
        <w:pStyle w:val="ListBullet"/>
        <w:numPr>
          <w:ilvl w:val="0"/>
          <w:numId w:val="0"/>
        </w:numPr>
        <w:tabs>
          <w:tab w:val="clear" w:pos="1191"/>
        </w:tabs>
        <w:ind w:left="1191"/>
      </w:pPr>
      <w:r w:rsidRPr="00E5482A">
        <w:t>In particular, the OECD’s 2014 publication, “The Governance of Regulators” sets out best practice principles and practical guidance on established robust internal and external governance arrangements around seven principles of good governance, including role clarity, preventing undue influence and maintaining trust, decision making and governing body structure for independent regulators, accountability and transparency, engagement, funding, and performance evaluation.</w:t>
      </w:r>
      <w:r>
        <w:t xml:space="preserve"> </w:t>
      </w:r>
    </w:p>
    <w:p w:rsidR="008D5C08" w:rsidRPr="00E5482A" w:rsidRDefault="008D5C08" w:rsidP="002649F9">
      <w:pPr>
        <w:pStyle w:val="ListBullet"/>
        <w:tabs>
          <w:tab w:val="clear" w:pos="1191"/>
        </w:tabs>
        <w:ind w:left="1191" w:hanging="340"/>
      </w:pPr>
      <w:r w:rsidRPr="00E5482A">
        <w:rPr>
          <w:b/>
        </w:rPr>
        <w:t>Flexibility can assist economic regulators to deal with change</w:t>
      </w:r>
      <w:r w:rsidR="00444F06">
        <w:t> –</w:t>
      </w:r>
      <w:r w:rsidRPr="00E5482A">
        <w:t xml:space="preserve">Economic regulators are responsible for providing a stable investment environment, but at the same time </w:t>
      </w:r>
      <w:r>
        <w:t xml:space="preserve">have </w:t>
      </w:r>
      <w:r w:rsidRPr="00E5482A">
        <w:t>need</w:t>
      </w:r>
      <w:r>
        <w:t>ed to deliver their mandate during a time of substantial</w:t>
      </w:r>
      <w:r w:rsidRPr="00E5482A">
        <w:t xml:space="preserve"> change, </w:t>
      </w:r>
      <w:r>
        <w:t>primarily driven by technological change. Economic r</w:t>
      </w:r>
      <w:r w:rsidRPr="00E5482A">
        <w:t>egulators</w:t>
      </w:r>
      <w:r>
        <w:t xml:space="preserve"> need </w:t>
      </w:r>
      <w:r w:rsidRPr="00E5482A">
        <w:t xml:space="preserve">sufficient flexibility </w:t>
      </w:r>
      <w:r>
        <w:t xml:space="preserve">within their regulatory frameworks to address the impact of these changes on the delivery of their mandate. </w:t>
      </w:r>
      <w:r w:rsidR="004F253A">
        <w:t xml:space="preserve">A lack of </w:t>
      </w:r>
      <w:r w:rsidR="004F253A">
        <w:lastRenderedPageBreak/>
        <w:t>flexibility could have an impact new business models and emerging markets.</w:t>
      </w:r>
    </w:p>
    <w:p w:rsidR="008D5C08" w:rsidRPr="00444F06" w:rsidRDefault="008D5C08" w:rsidP="00444F06">
      <w:pPr>
        <w:pStyle w:val="ListBullet"/>
        <w:tabs>
          <w:tab w:val="clear" w:pos="1191"/>
        </w:tabs>
        <w:ind w:left="1191" w:hanging="340"/>
        <w:rPr>
          <w:b/>
        </w:rPr>
      </w:pPr>
      <w:r w:rsidRPr="00444F06">
        <w:rPr>
          <w:b/>
        </w:rPr>
        <w:t>Economic regulators have expertise and experience that can be harnessed to refine regulatory policy and address the tensions that sometimes arise between economic regulatory and policy objectives</w:t>
      </w:r>
      <w:r w:rsidR="00354711" w:rsidRPr="00444F06">
        <w:rPr>
          <w:b/>
        </w:rPr>
        <w:t> – </w:t>
      </w:r>
      <w:r w:rsidRPr="00444F06">
        <w:t>Economic regulators have experience in administering their regulatory frameworks over time, and also have access to sector specific expertise in light of their role. This specialist knowledge would benefit the development of regulatory policy over time. Furthermore, where there is tension between economic regulatory and policy objectives, economic regulators are well placed to ensure that policy makers have full information about the implications of specific policy choices for market structures, competition and the need for economic regulation.</w:t>
      </w:r>
      <w:r w:rsidRPr="00444F06">
        <w:rPr>
          <w:b/>
        </w:rPr>
        <w:t xml:space="preserve"> </w:t>
      </w:r>
    </w:p>
    <w:p w:rsidR="00FF4252" w:rsidRPr="00B33842" w:rsidRDefault="008D5C08" w:rsidP="00444F06">
      <w:pPr>
        <w:pStyle w:val="ListBullet"/>
        <w:tabs>
          <w:tab w:val="clear" w:pos="1191"/>
        </w:tabs>
        <w:ind w:left="1191" w:hanging="340"/>
        <w:rPr>
          <w:b/>
        </w:rPr>
      </w:pPr>
      <w:r w:rsidRPr="0036287B">
        <w:rPr>
          <w:b/>
        </w:rPr>
        <w:t>There appears scope to address the common challenges faced by economic regulators through collaboration</w:t>
      </w:r>
      <w:r w:rsidR="00354711">
        <w:rPr>
          <w:b/>
        </w:rPr>
        <w:t>.</w:t>
      </w:r>
      <w:r w:rsidR="00354711" w:rsidRPr="00444F06">
        <w:rPr>
          <w:b/>
        </w:rPr>
        <w:t xml:space="preserve"> </w:t>
      </w:r>
      <w:r w:rsidRPr="00444F06">
        <w:t>Economic regulators identified</w:t>
      </w:r>
      <w:r w:rsidR="00FF4252">
        <w:t xml:space="preserve"> the challenges that they faced in carrying out their role in response to the survey. Analysis of the survey responses indicated that a number of these challenges were common among economic regulators. </w:t>
      </w:r>
      <w:r w:rsidRPr="00444F06">
        <w:t xml:space="preserve"> </w:t>
      </w:r>
      <w:r w:rsidR="00FF4252">
        <w:t xml:space="preserve">The three most common challenges faced by economic regulators involved encouraging efficient investment, obtaining the right data to perform their role and functions and where there was scope for improvement in the governance of economic regulators.  </w:t>
      </w:r>
    </w:p>
    <w:p w:rsidR="00BA6923" w:rsidRDefault="00FF4252" w:rsidP="00B33842">
      <w:pPr>
        <w:pStyle w:val="ListBullet"/>
        <w:numPr>
          <w:ilvl w:val="0"/>
          <w:numId w:val="0"/>
        </w:numPr>
        <w:tabs>
          <w:tab w:val="clear" w:pos="1191"/>
        </w:tabs>
        <w:ind w:left="1191"/>
        <w:rPr>
          <w:b/>
        </w:rPr>
      </w:pPr>
      <w:r>
        <w:t xml:space="preserve">A range of other common challenges were identified; including:  </w:t>
      </w:r>
      <w:r w:rsidR="008D5C08" w:rsidRPr="00444F06">
        <w:t>, co-ordination, dealing with the impact of change and new technology, increasing complexity, and the impact of appeals to technical economic issues such as, addressing information asymmetry through data collection, tariff setting in the context of declining demand, and setting effective incentives arrangements.</w:t>
      </w:r>
      <w:r w:rsidR="008D5C08" w:rsidRPr="00444F06">
        <w:rPr>
          <w:b/>
        </w:rPr>
        <w:t xml:space="preserve"> </w:t>
      </w:r>
    </w:p>
    <w:p w:rsidR="008D5C08" w:rsidRPr="00444F06" w:rsidRDefault="00FF4252" w:rsidP="00B33842">
      <w:pPr>
        <w:pStyle w:val="ListBullet"/>
        <w:numPr>
          <w:ilvl w:val="0"/>
          <w:numId w:val="0"/>
        </w:numPr>
        <w:tabs>
          <w:tab w:val="clear" w:pos="1191"/>
        </w:tabs>
        <w:ind w:left="1191"/>
        <w:rPr>
          <w:b/>
        </w:rPr>
      </w:pPr>
      <w:r w:rsidRPr="00444F06">
        <w:t>In light of the degree of commonality of the challenges faced by economic regulators, there appears to be considerable scope for collaboration between economic regulators to address them.</w:t>
      </w:r>
    </w:p>
    <w:p w:rsidR="00714DA0" w:rsidRDefault="00714DA0" w:rsidP="00714DA0"/>
    <w:p w:rsidR="00714DA0" w:rsidRPr="00714DA0" w:rsidRDefault="00714DA0" w:rsidP="00714DA0">
      <w:pPr>
        <w:sectPr w:rsidR="00714DA0" w:rsidRPr="00714DA0" w:rsidSect="0087238D">
          <w:endnotePr>
            <w:numFmt w:val="decimal"/>
          </w:endnotePr>
          <w:type w:val="oddPage"/>
          <w:pgSz w:w="11907" w:h="16840" w:code="9"/>
          <w:pgMar w:top="3119" w:right="2211" w:bottom="3119" w:left="2211" w:header="2608" w:footer="2722" w:gutter="0"/>
          <w:cols w:space="720"/>
          <w:docGrid w:linePitch="299"/>
        </w:sectPr>
      </w:pPr>
    </w:p>
    <w:p w:rsidR="008D5C08" w:rsidRPr="00AA1341" w:rsidRDefault="008D5C08" w:rsidP="00714DA0">
      <w:pPr>
        <w:pStyle w:val="Heading1"/>
        <w:rPr>
          <w:color w:val="4E81BD"/>
        </w:rPr>
      </w:pPr>
      <w:r w:rsidRPr="00714DA0">
        <w:rPr>
          <w:b w:val="0"/>
          <w:bCs w:val="0"/>
          <w:i/>
          <w:iCs/>
        </w:rPr>
        <w:lastRenderedPageBreak/>
        <w:fldChar w:fldCharType="begin"/>
      </w:r>
      <w:r w:rsidRPr="00714DA0">
        <w:rPr>
          <w:b w:val="0"/>
          <w:bCs w:val="0"/>
          <w:i/>
          <w:iCs/>
        </w:rPr>
        <w:instrText xml:space="preserve"> MACROBUTTON NUMBERING </w:instrText>
      </w:r>
      <w:bookmarkStart w:id="4" w:name="_Toc471464152"/>
      <w:r w:rsidRPr="00714DA0">
        <w:rPr>
          <w:b w:val="0"/>
          <w:bCs w:val="0"/>
          <w:i/>
          <w:iCs/>
        </w:rPr>
        <w:fldChar w:fldCharType="end"/>
      </w:r>
      <w:r w:rsidRPr="00714DA0">
        <w:rPr>
          <w:b w:val="0"/>
          <w:bCs w:val="0"/>
          <w:i/>
          <w:iCs/>
        </w:rPr>
        <w:t>Chapter 1</w:t>
      </w:r>
      <w:r w:rsidRPr="00714DA0">
        <w:rPr>
          <w:b w:val="0"/>
          <w:bCs w:val="0"/>
          <w:i/>
          <w:iCs/>
        </w:rPr>
        <w:br/>
      </w:r>
      <w:r>
        <w:br/>
      </w:r>
      <w:r w:rsidR="00714DA0">
        <w:rPr>
          <w:color w:val="4E81BD"/>
        </w:rPr>
        <w:t>E</w:t>
      </w:r>
      <w:r w:rsidR="00714DA0" w:rsidRPr="00AA1341">
        <w:rPr>
          <w:color w:val="4E81BD"/>
        </w:rPr>
        <w:t>co</w:t>
      </w:r>
      <w:r w:rsidR="00714DA0">
        <w:rPr>
          <w:color w:val="4E81BD"/>
        </w:rPr>
        <w:t>nomic regulators and the govern</w:t>
      </w:r>
      <w:r w:rsidR="00714DA0" w:rsidRPr="00AA1341">
        <w:rPr>
          <w:color w:val="4E81BD"/>
        </w:rPr>
        <w:t>a</w:t>
      </w:r>
      <w:r w:rsidR="00714DA0">
        <w:rPr>
          <w:color w:val="4E81BD"/>
        </w:rPr>
        <w:t>n</w:t>
      </w:r>
      <w:r w:rsidR="00714DA0" w:rsidRPr="00AA1341">
        <w:rPr>
          <w:color w:val="4E81BD"/>
        </w:rPr>
        <w:t>ce of infrastructure</w:t>
      </w:r>
      <w:bookmarkEnd w:id="4"/>
    </w:p>
    <w:p w:rsidR="008D5C08" w:rsidRPr="000170D5" w:rsidRDefault="008D5C08" w:rsidP="00714DA0">
      <w:pPr>
        <w:pStyle w:val="Abstract"/>
        <w:rPr>
          <w:lang w:val="en-GB"/>
        </w:rPr>
      </w:pPr>
      <w:r>
        <w:t xml:space="preserve">Economic regulators have been involved in administering regulation to public infrastructure for some time. This chapter explains sets out the rationale for investigating the role of economic regulators in the governance of infrastructure in light of the OECD’s work in exploring the governance of public infrastructure. </w:t>
      </w:r>
    </w:p>
    <w:p w:rsidR="008D5C08" w:rsidRDefault="008D5C08" w:rsidP="00714DA0">
      <w:pPr>
        <w:pStyle w:val="BodyText"/>
      </w:pPr>
      <w:r>
        <w:br w:type="page"/>
      </w:r>
    </w:p>
    <w:p w:rsidR="008D5C08" w:rsidRPr="00AA1341" w:rsidRDefault="008D5C08" w:rsidP="00714DA0">
      <w:pPr>
        <w:pStyle w:val="Heading2"/>
        <w:rPr>
          <w:color w:val="4E81BD"/>
        </w:rPr>
      </w:pPr>
      <w:bookmarkStart w:id="5" w:name="_Toc471464153"/>
      <w:r w:rsidRPr="00AA1341">
        <w:rPr>
          <w:color w:val="4E81BD"/>
        </w:rPr>
        <w:lastRenderedPageBreak/>
        <w:t>Purpose</w:t>
      </w:r>
      <w:bookmarkEnd w:id="5"/>
      <w:r w:rsidRPr="00AA1341">
        <w:rPr>
          <w:color w:val="4E81BD"/>
        </w:rPr>
        <w:t xml:space="preserve"> </w:t>
      </w:r>
    </w:p>
    <w:p w:rsidR="008D5C08" w:rsidRDefault="008D5C08" w:rsidP="00714DA0">
      <w:pPr>
        <w:pStyle w:val="BodyText"/>
      </w:pPr>
      <w:r>
        <w:t xml:space="preserve">Poor governance arrangements can be detrimental to the delivery of infrastructure services. “Poor governance is major reason why infrastructure projects often fail to meet their timeframe, budget, and service delivery objectives” (OECD, 2016a). </w:t>
      </w:r>
    </w:p>
    <w:p w:rsidR="008D5C08" w:rsidRPr="00B33842" w:rsidRDefault="008D5C08" w:rsidP="00714DA0">
      <w:pPr>
        <w:pStyle w:val="BodyText"/>
      </w:pPr>
      <w:r>
        <w:t>T</w:t>
      </w:r>
      <w:r w:rsidRPr="009A711F">
        <w:t xml:space="preserve">he OECD </w:t>
      </w:r>
      <w:r>
        <w:t xml:space="preserve">has a work program on the governance of infrastructure, and it has developed a draft framework for the public governance and delivery of </w:t>
      </w:r>
      <w:r w:rsidRPr="00B33842">
        <w:t xml:space="preserve">infrastructure. “The ambition is to harness OECD country experience into a coherent tool that countries can apply to ensure that their infrastructure investment is effective, efficient, transparent, user-centric and affordable” (OECD, 2015a). </w:t>
      </w:r>
    </w:p>
    <w:p w:rsidR="008D5C08" w:rsidRPr="00B33842" w:rsidRDefault="008D5C08" w:rsidP="00714DA0">
      <w:pPr>
        <w:pStyle w:val="BodyText"/>
      </w:pPr>
      <w:r w:rsidRPr="00B33842">
        <w:t xml:space="preserve">Economic regulators (see Box 1.1) have experience in implementing regulations designed to encourage efficient delivery of services in a number of different infrastructure industries including telecommunications, transport, energy and water. This occurs over the long-term throughout the infrastructure lifecycle. </w:t>
      </w:r>
    </w:p>
    <w:p w:rsidR="008D5C08" w:rsidRPr="00B33842" w:rsidRDefault="008D5C08" w:rsidP="00714DA0">
      <w:pPr>
        <w:pStyle w:val="BodyText"/>
      </w:pPr>
      <w:r w:rsidRPr="00B33842">
        <w:t>The focus of this report is to explore the role of economic regulators in relation to infrastructure, and draw out common issues and themes that are relevant to the governance of infrastructure subject to economic regulation and to governance of infrastructure generally.</w:t>
      </w:r>
    </w:p>
    <w:tbl>
      <w:tblPr>
        <w:tblW w:w="6464"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4FFFF"/>
        <w:tblLayout w:type="fixed"/>
        <w:tblLook w:val="0000" w:firstRow="0" w:lastRow="0" w:firstColumn="0" w:lastColumn="0" w:noHBand="0" w:noVBand="0"/>
      </w:tblPr>
      <w:tblGrid>
        <w:gridCol w:w="6464"/>
      </w:tblGrid>
      <w:tr w:rsidR="008D5C08" w:rsidRPr="004447F7" w:rsidTr="00714DA0">
        <w:trPr>
          <w:jc w:val="center"/>
        </w:trPr>
        <w:tc>
          <w:tcPr>
            <w:tcW w:w="9684" w:type="dxa"/>
            <w:shd w:val="clear" w:color="auto" w:fill="F4FFFF"/>
          </w:tcPr>
          <w:p w:rsidR="008D5C08" w:rsidRPr="00B33842" w:rsidRDefault="008D5C08" w:rsidP="00714DA0">
            <w:pPr>
              <w:pStyle w:val="BoxHeading"/>
            </w:pPr>
            <w:r w:rsidRPr="00B33842">
              <w:rPr>
                <w:b w:val="0"/>
                <w:bCs w:val="0"/>
              </w:rPr>
              <w:t>Box 1.1.</w:t>
            </w:r>
            <w:r w:rsidRPr="00B33842">
              <w:t xml:space="preserve"> What is an economic regulator?</w:t>
            </w:r>
          </w:p>
          <w:p w:rsidR="008D5C08" w:rsidRPr="00B33842" w:rsidRDefault="008D5C08" w:rsidP="00714DA0">
            <w:pPr>
              <w:pStyle w:val="BoxBodyText"/>
            </w:pPr>
            <w:r w:rsidRPr="00B33842">
              <w:t xml:space="preserve">The OECD Best Practice Principles on the Governance of Regulators define a regulator as an entity authorised by statute to use legal tools to achieve policy objectives, imposing obligations or burdens through functions such as licensing, permitting, accrediting, approvals, inspection and enforcement. A </w:t>
            </w:r>
            <w:r w:rsidRPr="00B33842">
              <w:rPr>
                <w:i/>
              </w:rPr>
              <w:t>regulator</w:t>
            </w:r>
            <w:r w:rsidRPr="00B33842">
              <w:t xml:space="preserve"> can use other complementary tools such as information campaigns, to achieve the policy objectives, but it is the exercise of control through legal powers that makes the integrity of their decision-making processes, and thus their governance, very important. There are a number of different types of regulators with different roles and responsibilities – among others, economic, financial, overseeing competition and/or consumer protection or setting technical standards and/or a mix of some of these roles. </w:t>
            </w:r>
          </w:p>
          <w:p w:rsidR="008D5C08" w:rsidRPr="00B33842" w:rsidRDefault="008D5C08" w:rsidP="00714DA0">
            <w:pPr>
              <w:pStyle w:val="BoxBodyText"/>
            </w:pPr>
            <w:r w:rsidRPr="00B33842">
              <w:t xml:space="preserve">This report focuses on </w:t>
            </w:r>
            <w:r w:rsidRPr="00B33842">
              <w:rPr>
                <w:i/>
              </w:rPr>
              <w:t>economic regulators</w:t>
            </w:r>
            <w:r w:rsidRPr="00B33842">
              <w:t xml:space="preserve"> and regulators with both economic and competition/consumer protection responsibilities. Economic regulators seek to address market failures and promote competition where possible. Market failures have been present in a number of infrastructure industries such as in energy, telecommunications, water and transport. To address these market failures, Economic regulators generally seek to put in place arrangements to facilitate competition where possible, or alternatively seek to address the market </w:t>
            </w:r>
            <w:r w:rsidRPr="00B33842">
              <w:lastRenderedPageBreak/>
              <w:t xml:space="preserve">failure by making decisions on price and non-price terms for the services provided by the regulated businesses. </w:t>
            </w:r>
          </w:p>
          <w:p w:rsidR="008D5C08" w:rsidRDefault="008D5C08" w:rsidP="00714DA0">
            <w:pPr>
              <w:pStyle w:val="BoxSource"/>
            </w:pPr>
            <w:r w:rsidRPr="00B33842">
              <w:rPr>
                <w:i/>
              </w:rPr>
              <w:t xml:space="preserve">Source: </w:t>
            </w:r>
            <w:r w:rsidRPr="00B33842">
              <w:rPr>
                <w:lang w:val="en-GB"/>
              </w:rPr>
              <w:t>OECD (2014), </w:t>
            </w:r>
            <w:r w:rsidRPr="00B33842">
              <w:rPr>
                <w:i/>
                <w:iCs/>
                <w:lang w:val="en-GB"/>
              </w:rPr>
              <w:t>The Governance of Regulators</w:t>
            </w:r>
            <w:r w:rsidRPr="00B33842">
              <w:rPr>
                <w:lang w:val="en-GB"/>
              </w:rPr>
              <w:t xml:space="preserve">, OECD Publishing, Paris, </w:t>
            </w:r>
            <w:hyperlink r:id="rId20" w:tgtFrame="_blank" w:tooltip="http://dx.doi.org/10.1787/9789264209015-en" w:history="1">
              <w:r w:rsidRPr="00B33842">
                <w:rPr>
                  <w:rStyle w:val="Hyperlink"/>
                  <w:lang w:val="en-GB"/>
                </w:rPr>
                <w:t>http://dx.doi.org/10.1787/9789264209015-en</w:t>
              </w:r>
            </w:hyperlink>
            <w:r w:rsidRPr="00B33842">
              <w:t>.</w:t>
            </w:r>
          </w:p>
        </w:tc>
      </w:tr>
    </w:tbl>
    <w:p w:rsidR="008D5C08" w:rsidRDefault="008D5C08" w:rsidP="00714DA0">
      <w:pPr>
        <w:pStyle w:val="BodyText"/>
      </w:pPr>
    </w:p>
    <w:p w:rsidR="008D5C08" w:rsidRPr="00AA1341" w:rsidRDefault="008D5C08" w:rsidP="00714DA0">
      <w:pPr>
        <w:pStyle w:val="BodyText"/>
      </w:pPr>
      <w:r w:rsidRPr="00AA1341">
        <w:t xml:space="preserve">This report </w:t>
      </w:r>
      <w:r w:rsidRPr="00B33842">
        <w:t>responds to a request from members of the Network of Economic Regulators (see Box 1.2) to examine the approach that economic regulators take to the governance of infrastructure</w:t>
      </w:r>
      <w:r w:rsidRPr="00AA1341">
        <w:t xml:space="preserve">. </w:t>
      </w:r>
    </w:p>
    <w:tbl>
      <w:tblPr>
        <w:tblW w:w="6464"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4FFFF"/>
        <w:tblLayout w:type="fixed"/>
        <w:tblLook w:val="0000" w:firstRow="0" w:lastRow="0" w:firstColumn="0" w:lastColumn="0" w:noHBand="0" w:noVBand="0"/>
      </w:tblPr>
      <w:tblGrid>
        <w:gridCol w:w="6464"/>
      </w:tblGrid>
      <w:tr w:rsidR="008D5C08" w:rsidTr="00714DA0">
        <w:trPr>
          <w:jc w:val="center"/>
        </w:trPr>
        <w:tc>
          <w:tcPr>
            <w:tcW w:w="9684" w:type="dxa"/>
            <w:shd w:val="clear" w:color="auto" w:fill="F4FFFF"/>
          </w:tcPr>
          <w:p w:rsidR="008D5C08" w:rsidRDefault="008D5C08" w:rsidP="00714DA0">
            <w:pPr>
              <w:pStyle w:val="BoxHeading"/>
            </w:pPr>
            <w:r w:rsidRPr="00AA1341">
              <w:rPr>
                <w:b w:val="0"/>
                <w:bCs w:val="0"/>
              </w:rPr>
              <w:t xml:space="preserve">Box 1.2. </w:t>
            </w:r>
            <w:r>
              <w:t>The OECD Network of Economic Regulators</w:t>
            </w:r>
          </w:p>
          <w:p w:rsidR="008D5C08" w:rsidRDefault="008D5C08" w:rsidP="00714DA0">
            <w:pPr>
              <w:pStyle w:val="BoxBodyText"/>
            </w:pPr>
            <w:r>
              <w:t xml:space="preserve">What makes a “world-class regulator”? The OECD Network of Economic Regulators (NER) has been addressing this question through objective data, rigorous analysis and dialogue. A subsidiary body of the OECD Regulatory Policy Committee, the NER facilitates peer-to-peer learning and exchange of experience across approximately 80 regulators from OECD members and nonmembers responsible for network sectors such as communications, electricity, gas, payment services, transport and water. </w:t>
            </w:r>
          </w:p>
          <w:p w:rsidR="008D5C08" w:rsidRPr="00AD72BC" w:rsidRDefault="008D5C08" w:rsidP="00714DA0">
            <w:pPr>
              <w:pStyle w:val="BoxBodyText"/>
            </w:pPr>
            <w:r w:rsidRPr="004D3443">
              <w:t xml:space="preserve">The work of the NER builds on the recognition that governance matters to ensure good regulatory outcomes and the delivery of essential services to citizens. The NER has contributed to developing the 2014 OECD Best Practice Principles on the Governance of Regulators (OECD, 2014) to help regulators assess their governance arrangements and strengthen their performance. It has contributed to improving the relevance and focus of the first Product Market Regulator Survey on Regulatory Management of Network Regulators, which look at formal arrangements for independence, accountability and scope of action of regulators overseeing energy, telecommunications, rail, air transport and ports. In parallel, specific work on water has identified the governance arrangements of water regulators, based on a survey of 34 regulators. </w:t>
            </w:r>
            <w:r w:rsidR="006D58B6">
              <w:t xml:space="preserve">The work on formal arrangements has been complemented by an in-depth analysis of the practical arrangements for independence and accountability of regulators, informing the development of practical guidance for protecting regulators from undue influence and creating a culture of independence. </w:t>
            </w:r>
            <w:r w:rsidRPr="004D3443">
              <w:t>The NER has also developed a Performance Assessment Framework for Economic Regulators (PAFER) for reviewing regulators’ efforts towards measuring their own performance, which is being applied to a number of NER members, including regulators in Colombia, Latvia and Mexico.</w:t>
            </w:r>
          </w:p>
          <w:p w:rsidR="008D5C08" w:rsidRPr="00714DA0" w:rsidRDefault="008D5C08" w:rsidP="00714DA0">
            <w:pPr>
              <w:pStyle w:val="BoxSource"/>
            </w:pPr>
            <w:r w:rsidRPr="00714DA0">
              <w:rPr>
                <w:i/>
                <w:iCs/>
              </w:rPr>
              <w:t>Source</w:t>
            </w:r>
            <w:r w:rsidRPr="00714DA0">
              <w:t xml:space="preserve"> : OECD (2014), The Governance of Regulators, OECD Publishing, Paris, </w:t>
            </w:r>
            <w:hyperlink r:id="rId21" w:history="1">
              <w:r w:rsidR="00714DA0" w:rsidRPr="006B0EE0">
                <w:rPr>
                  <w:rStyle w:val="Hyperlink"/>
                </w:rPr>
                <w:t>http://dx.doi.org/10.1787/9789264209015-en</w:t>
              </w:r>
            </w:hyperlink>
            <w:r w:rsidR="00714DA0">
              <w:t>;</w:t>
            </w:r>
            <w:r w:rsidRPr="00714DA0">
              <w:t xml:space="preserve"> The OECD Network of Economic Regulators, </w:t>
            </w:r>
            <w:hyperlink r:id="rId22" w:history="1">
              <w:r w:rsidR="00714DA0" w:rsidRPr="006B0EE0">
                <w:rPr>
                  <w:rStyle w:val="Hyperlink"/>
                </w:rPr>
                <w:t>www.oecd.org/gov/regulatory-policy/ner.htm</w:t>
              </w:r>
            </w:hyperlink>
            <w:r w:rsidR="00714DA0">
              <w:t xml:space="preserve"> </w:t>
            </w:r>
            <w:r w:rsidRPr="00714DA0">
              <w:t xml:space="preserve">(accessed 22 December 2016), OECD (2016b), Being an Independent Regulator, OECD Publishing Paris, </w:t>
            </w:r>
            <w:hyperlink r:id="rId23" w:history="1">
              <w:r w:rsidR="00714DA0" w:rsidRPr="006B0EE0">
                <w:rPr>
                  <w:rStyle w:val="Hyperlink"/>
                </w:rPr>
                <w:t>http://dx.doi.org/10.1787/9789264255401-en</w:t>
              </w:r>
            </w:hyperlink>
            <w:r w:rsidR="006D58B6">
              <w:rPr>
                <w:rStyle w:val="Hyperlink"/>
              </w:rPr>
              <w:t xml:space="preserve">, Driving Performance of Regulators, </w:t>
            </w:r>
            <w:hyperlink r:id="rId24" w:history="1">
              <w:r w:rsidR="006D58B6" w:rsidRPr="00A91344">
                <w:rPr>
                  <w:rStyle w:val="Hyperlink"/>
                </w:rPr>
                <w:t>http://www.oecd.org/gov/regulatory-policy/driving-performance-of-regulators.htm</w:t>
              </w:r>
            </w:hyperlink>
            <w:r w:rsidR="006D58B6">
              <w:rPr>
                <w:rStyle w:val="Hyperlink"/>
              </w:rPr>
              <w:t xml:space="preserve"> </w:t>
            </w:r>
            <w:r w:rsidR="006D58B6" w:rsidRPr="003A1840">
              <w:t xml:space="preserve">(accessed 24 January 2017), Independence of Regulators and Protection against Undue </w:t>
            </w:r>
            <w:r w:rsidR="006D58B6" w:rsidRPr="003A1840">
              <w:lastRenderedPageBreak/>
              <w:t>Influence,</w:t>
            </w:r>
            <w:r w:rsidR="006D58B6">
              <w:rPr>
                <w:rStyle w:val="Hyperlink"/>
              </w:rPr>
              <w:t xml:space="preserve"> </w:t>
            </w:r>
            <w:hyperlink r:id="rId25" w:history="1">
              <w:r w:rsidR="006D58B6" w:rsidRPr="00A91344">
                <w:rPr>
                  <w:rStyle w:val="Hyperlink"/>
                </w:rPr>
                <w:t>http://www.oecd.org/gov/regulatory-policy/independence-of-regulators.htm</w:t>
              </w:r>
            </w:hyperlink>
            <w:r w:rsidR="006D58B6">
              <w:rPr>
                <w:rStyle w:val="Hyperlink"/>
              </w:rPr>
              <w:t xml:space="preserve">, </w:t>
            </w:r>
            <w:r w:rsidR="006D58B6" w:rsidRPr="003A1840">
              <w:t>(accessed 24 January 2017)</w:t>
            </w:r>
            <w:r w:rsidR="00714DA0" w:rsidRPr="00714DA0">
              <w:t xml:space="preserve">. </w:t>
            </w:r>
            <w:r w:rsidRPr="00714DA0">
              <w:t xml:space="preserve"> </w:t>
            </w:r>
          </w:p>
        </w:tc>
      </w:tr>
    </w:tbl>
    <w:p w:rsidR="008D5C08" w:rsidRDefault="008D5C08" w:rsidP="00714DA0">
      <w:pPr>
        <w:pStyle w:val="BodyText"/>
      </w:pPr>
    </w:p>
    <w:p w:rsidR="008D5C08" w:rsidRPr="00AA1341" w:rsidRDefault="008D5C08" w:rsidP="00714DA0">
      <w:pPr>
        <w:pStyle w:val="BodyText"/>
      </w:pPr>
      <w:r w:rsidRPr="003A1840">
        <w:t>To explore this issue this report draws on survey evidence from 34 regulators covering 77 sectors and subsectors, across a wide variety of economic regulators including energy, telecommunications, transport and water.</w:t>
      </w:r>
      <w:r w:rsidRPr="00AA1341">
        <w:t xml:space="preserve"> </w:t>
      </w:r>
    </w:p>
    <w:p w:rsidR="008D5C08" w:rsidRDefault="008D5C08" w:rsidP="00714DA0">
      <w:pPr>
        <w:pStyle w:val="BodyText"/>
      </w:pPr>
      <w:r w:rsidRPr="009F3A11">
        <w:t>The report examine</w:t>
      </w:r>
      <w:r>
        <w:t>s</w:t>
      </w:r>
      <w:r w:rsidRPr="009F3A11">
        <w:t xml:space="preserve"> a number of aspects of </w:t>
      </w:r>
      <w:r>
        <w:t xml:space="preserve">the </w:t>
      </w:r>
      <w:r w:rsidRPr="009F3A11">
        <w:t xml:space="preserve">economic </w:t>
      </w:r>
      <w:r>
        <w:t>regulators’ role in relation to infrastructure regulation in detail,</w:t>
      </w:r>
      <w:r w:rsidRPr="009F3A11">
        <w:t xml:space="preserve"> including</w:t>
      </w:r>
      <w:r>
        <w:t>:</w:t>
      </w:r>
    </w:p>
    <w:p w:rsidR="008D5C08" w:rsidRDefault="008D5C08" w:rsidP="002649F9">
      <w:pPr>
        <w:pStyle w:val="ListBullet"/>
        <w:numPr>
          <w:ilvl w:val="0"/>
          <w:numId w:val="15"/>
        </w:numPr>
        <w:tabs>
          <w:tab w:val="clear" w:pos="1191"/>
        </w:tabs>
        <w:ind w:left="1191" w:hanging="340"/>
      </w:pPr>
      <w:r w:rsidRPr="00683B39">
        <w:t>their roles and functions,</w:t>
      </w:r>
    </w:p>
    <w:p w:rsidR="008D5C08" w:rsidRDefault="008D5C08" w:rsidP="002649F9">
      <w:pPr>
        <w:pStyle w:val="ListBullet"/>
        <w:tabs>
          <w:tab w:val="clear" w:pos="1191"/>
        </w:tabs>
        <w:ind w:left="1191" w:hanging="340"/>
      </w:pPr>
      <w:r w:rsidRPr="00683B39">
        <w:t>infrastructure funding and delivery modality,</w:t>
      </w:r>
    </w:p>
    <w:p w:rsidR="008D5C08" w:rsidRDefault="008D5C08" w:rsidP="002649F9">
      <w:pPr>
        <w:pStyle w:val="ListBullet"/>
        <w:tabs>
          <w:tab w:val="clear" w:pos="1191"/>
        </w:tabs>
        <w:ind w:left="1191" w:hanging="340"/>
      </w:pPr>
      <w:r w:rsidRPr="00683B39">
        <w:t>infrastructure needs,</w:t>
      </w:r>
    </w:p>
    <w:p w:rsidR="008D5C08" w:rsidRDefault="008D5C08" w:rsidP="002649F9">
      <w:pPr>
        <w:pStyle w:val="ListBullet"/>
        <w:tabs>
          <w:tab w:val="clear" w:pos="1191"/>
        </w:tabs>
        <w:ind w:left="1191" w:hanging="340"/>
      </w:pPr>
      <w:r w:rsidRPr="00683B39">
        <w:t>involvement in the infrastructure lifecycle,</w:t>
      </w:r>
    </w:p>
    <w:p w:rsidR="008D5C08" w:rsidRDefault="008D5C08" w:rsidP="002649F9">
      <w:pPr>
        <w:pStyle w:val="ListBullet"/>
        <w:tabs>
          <w:tab w:val="clear" w:pos="1191"/>
        </w:tabs>
        <w:ind w:left="1191" w:hanging="340"/>
      </w:pPr>
      <w:r w:rsidRPr="00683B39">
        <w:t>relationship with policy makers and involvement in policy development process</w:t>
      </w:r>
      <w:r>
        <w:t>,</w:t>
      </w:r>
      <w:r w:rsidRPr="00683B39">
        <w:t xml:space="preserve"> and</w:t>
      </w:r>
    </w:p>
    <w:p w:rsidR="008D5C08" w:rsidRPr="00683B39" w:rsidRDefault="008D5C08" w:rsidP="002649F9">
      <w:pPr>
        <w:pStyle w:val="ListBullet"/>
        <w:tabs>
          <w:tab w:val="clear" w:pos="1191"/>
        </w:tabs>
        <w:ind w:left="1191" w:hanging="340"/>
      </w:pPr>
      <w:r w:rsidRPr="00683B39">
        <w:t xml:space="preserve">the common challenges that economic regulators face in implementing their mandate. </w:t>
      </w:r>
    </w:p>
    <w:p w:rsidR="008D5C08" w:rsidRPr="00F02D02" w:rsidRDefault="008D5C08" w:rsidP="00714DA0">
      <w:pPr>
        <w:pStyle w:val="Heading2"/>
        <w:rPr>
          <w:color w:val="4E81BD"/>
        </w:rPr>
      </w:pPr>
      <w:bookmarkStart w:id="6" w:name="_Toc471464154"/>
      <w:r w:rsidRPr="00F02D02">
        <w:rPr>
          <w:color w:val="4E81BD"/>
        </w:rPr>
        <w:t>Towards a framework for the governance of infrastructure</w:t>
      </w:r>
      <w:bookmarkEnd w:id="6"/>
    </w:p>
    <w:p w:rsidR="008D5C08" w:rsidRPr="003A1840" w:rsidRDefault="008D5C08" w:rsidP="00714DA0">
      <w:pPr>
        <w:pStyle w:val="BodyText"/>
      </w:pPr>
      <w:r>
        <w:t xml:space="preserve">Infrastructure is required for the delivery of a number of different </w:t>
      </w:r>
      <w:r w:rsidRPr="003A1840">
        <w:t>services throughout an economy. Furthermore, the services delivered using infrastructure are particularly important as they are an input to the production of other goods and services in an economy (such as electricity, transport, telecommunications, water, etc.).</w:t>
      </w:r>
    </w:p>
    <w:p w:rsidR="008D5C08" w:rsidRPr="003A1840" w:rsidRDefault="008D5C08" w:rsidP="00714DA0">
      <w:pPr>
        <w:pStyle w:val="BodyText"/>
      </w:pPr>
      <w:r w:rsidRPr="003A1840">
        <w:t xml:space="preserve">The OECD is currently in the process of developing a Framework for the governance of infrastructure (see Box 1.3). The objective of the framework is to ‘…harness OECD country experience into a coherent tool that countries can apply to ensure that their infrastructure investment is effective, efficient, transparent, user centric and affordable’ (OECD, 2015a). </w:t>
      </w:r>
    </w:p>
    <w:p w:rsidR="005C0B01" w:rsidRDefault="00B75977" w:rsidP="00714DA0">
      <w:pPr>
        <w:pStyle w:val="BodyText"/>
      </w:pPr>
      <w:r w:rsidRPr="003A1840">
        <w:t>While economic regulators are responsible for both</w:t>
      </w:r>
      <w:r>
        <w:t xml:space="preserve"> private and public infrastructure, the focus of the OECD’s work on the governance of infrastructure</w:t>
      </w:r>
      <w:r w:rsidR="008D5C08">
        <w:t xml:space="preserve"> is on public infrastructure. Public infrastructure is “… facilities, structures, networks, systems, plant, property, equipment, or physical assets</w:t>
      </w:r>
      <w:r w:rsidR="00354711">
        <w:t> – </w:t>
      </w:r>
      <w:r w:rsidR="008D5C08">
        <w:t>and the enterprises that employ them</w:t>
      </w:r>
      <w:r w:rsidR="00354711">
        <w:t> – </w:t>
      </w:r>
      <w:r w:rsidR="008D5C08">
        <w:t xml:space="preserve">that meet a politically mandated, fundamental need that the market is not able to provide </w:t>
      </w:r>
      <w:r w:rsidR="008D5C08">
        <w:lastRenderedPageBreak/>
        <w:t>on its own. This definition thus ranges from the direct provision of military installations to privately-owned and operated utilities under government regulation, such as energy (OECD, 2015a).</w:t>
      </w:r>
    </w:p>
    <w:p w:rsidR="005C0B01" w:rsidRDefault="005C0B01" w:rsidP="005C0B01">
      <w:pPr>
        <w:pStyle w:val="BodyText"/>
      </w:pPr>
      <w:r>
        <w:br w:type="page"/>
      </w:r>
    </w:p>
    <w:p w:rsidR="008D5C08" w:rsidRPr="009E265D" w:rsidRDefault="008D5C08" w:rsidP="00714DA0">
      <w:pPr>
        <w:pStyle w:val="BodyText"/>
      </w:pPr>
    </w:p>
    <w:tbl>
      <w:tblPr>
        <w:tblW w:w="6464"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4FFFF"/>
        <w:tblLayout w:type="fixed"/>
        <w:tblLook w:val="0000" w:firstRow="0" w:lastRow="0" w:firstColumn="0" w:lastColumn="0" w:noHBand="0" w:noVBand="0"/>
      </w:tblPr>
      <w:tblGrid>
        <w:gridCol w:w="6464"/>
      </w:tblGrid>
      <w:tr w:rsidR="008D5C08" w:rsidTr="00714DA0">
        <w:trPr>
          <w:jc w:val="center"/>
        </w:trPr>
        <w:tc>
          <w:tcPr>
            <w:tcW w:w="9684" w:type="dxa"/>
            <w:shd w:val="clear" w:color="auto" w:fill="F4FFFF"/>
          </w:tcPr>
          <w:p w:rsidR="008D5C08" w:rsidRDefault="008D5C08" w:rsidP="00714DA0">
            <w:pPr>
              <w:pStyle w:val="BoxHeading"/>
            </w:pPr>
            <w:r w:rsidRPr="00AA1341">
              <w:rPr>
                <w:b w:val="0"/>
                <w:bCs w:val="0"/>
              </w:rPr>
              <w:t xml:space="preserve">Box 1.3. </w:t>
            </w:r>
            <w:r>
              <w:t>What is infrastructure governance?</w:t>
            </w:r>
          </w:p>
          <w:p w:rsidR="008D5C08" w:rsidRPr="00AA1341" w:rsidRDefault="008D5C08" w:rsidP="00714DA0">
            <w:pPr>
              <w:pStyle w:val="BoxBodyText"/>
            </w:pPr>
            <w:r w:rsidRPr="00AA1341">
              <w:t xml:space="preserve">By the governance of infrastructure is meant the processes, tools, and norms of interaction, decision-making and monitoring used by governmental organisations and their counterparts with respect to making infrastructure services available to the public and the public sector. It thus relates to the interaction between government institutions internally, as well as their interaction with the public sector, users and citizens. It covers the entire life cycle of the asset, but the most resource intensive activities will typically take place in the planning and decision-making phase for most assets. More specifically it relates to the relationship between the delivery modality and the public and private sectors. </w:t>
            </w:r>
          </w:p>
          <w:p w:rsidR="008D5C08" w:rsidRDefault="008D5C08" w:rsidP="00714DA0">
            <w:pPr>
              <w:pStyle w:val="BoxSource"/>
            </w:pPr>
            <w:r w:rsidRPr="00DF699E">
              <w:rPr>
                <w:i/>
              </w:rPr>
              <w:t>Source</w:t>
            </w:r>
            <w:r>
              <w:t xml:space="preserve"> : OECD (2015), “</w:t>
            </w:r>
            <w:r w:rsidRPr="004447F7">
              <w:t>Towards a Framework for the Governance of Infrastructure</w:t>
            </w:r>
            <w:r>
              <w:t xml:space="preserve">”, </w:t>
            </w:r>
            <w:hyperlink r:id="rId26" w:history="1">
              <w:r w:rsidRPr="002F2B69">
                <w:rPr>
                  <w:rStyle w:val="Hyperlink"/>
                </w:rPr>
                <w:t>https://www.oecd.org/gov/budgeting/Towards-a-Framework-for-the-Governance-of-Infrastructure.pdf</w:t>
              </w:r>
            </w:hyperlink>
            <w:r>
              <w:t xml:space="preserve"> (accessed 15 December 2016).</w:t>
            </w:r>
          </w:p>
        </w:tc>
      </w:tr>
    </w:tbl>
    <w:p w:rsidR="008D5C08" w:rsidRDefault="008D5C08" w:rsidP="00714DA0">
      <w:pPr>
        <w:pStyle w:val="BodyText"/>
      </w:pPr>
    </w:p>
    <w:p w:rsidR="008D5C08" w:rsidRPr="00AA1341" w:rsidRDefault="008D5C08" w:rsidP="00714DA0">
      <w:pPr>
        <w:pStyle w:val="BodyText"/>
      </w:pPr>
      <w:r w:rsidRPr="00AA1341">
        <w:t xml:space="preserve">A general framework for the governance of infrastructure cuts across a number of different areas of the OECD. These areas include public-private partnerships, fiscal policy and governance across levels of government, regulatory policy, integrity and anti-corruption, budgeting and public sector innovation work (OECD, 2015a). </w:t>
      </w:r>
    </w:p>
    <w:p w:rsidR="008D5C08" w:rsidRPr="008B5D6B" w:rsidRDefault="008D5C08" w:rsidP="00714DA0">
      <w:pPr>
        <w:pStyle w:val="BodyText"/>
      </w:pPr>
      <w:r>
        <w:t xml:space="preserve">The </w:t>
      </w:r>
      <w:r w:rsidRPr="008B5D6B">
        <w:t>OECD</w:t>
      </w:r>
      <w:r>
        <w:t>’s Towards a Framework for the Governance of Infrastructure publication</w:t>
      </w:r>
      <w:r w:rsidRPr="008B5D6B">
        <w:t xml:space="preserve"> (</w:t>
      </w:r>
      <w:r>
        <w:t xml:space="preserve">OECD, </w:t>
      </w:r>
      <w:r w:rsidRPr="008B5D6B">
        <w:t xml:space="preserve">2015) </w:t>
      </w:r>
      <w:r>
        <w:t xml:space="preserve">sets out a number of </w:t>
      </w:r>
      <w:r w:rsidRPr="008B5D6B">
        <w:t xml:space="preserve">for </w:t>
      </w:r>
      <w:r>
        <w:t xml:space="preserve">the OECD’s focus </w:t>
      </w:r>
      <w:r w:rsidRPr="008B5D6B">
        <w:t>on infrastructure governance</w:t>
      </w:r>
      <w:r>
        <w:t>, including</w:t>
      </w:r>
      <w:r w:rsidRPr="008B5D6B">
        <w:t>:</w:t>
      </w:r>
    </w:p>
    <w:p w:rsidR="008D5C08" w:rsidRDefault="008D5C08" w:rsidP="002649F9">
      <w:pPr>
        <w:pStyle w:val="ListBullet"/>
        <w:tabs>
          <w:tab w:val="clear" w:pos="1191"/>
        </w:tabs>
        <w:ind w:left="1191" w:hanging="340"/>
      </w:pPr>
      <w:r>
        <w:t>there has not been sufficient attention paid to infrastructure governance vis a vis the question of infrastructure financing (OECD, 2015a)</w:t>
      </w:r>
    </w:p>
    <w:p w:rsidR="008D5C08" w:rsidRPr="007A5764" w:rsidRDefault="008D5C08" w:rsidP="002649F9">
      <w:pPr>
        <w:pStyle w:val="ListBullet"/>
        <w:tabs>
          <w:tab w:val="clear" w:pos="1191"/>
        </w:tabs>
        <w:ind w:left="1191" w:hanging="340"/>
      </w:pPr>
      <w:r>
        <w:t>OECD analysis has found that there is a relationship between the quality of governance arrangements and regional human development outcomes, and that the efficiency and effectiveness of public investment was to improve governance arrangements (OECD, 2013)</w:t>
      </w:r>
    </w:p>
    <w:p w:rsidR="008D5C08" w:rsidRDefault="008D5C08" w:rsidP="002649F9">
      <w:pPr>
        <w:pStyle w:val="ListBullet"/>
        <w:tabs>
          <w:tab w:val="clear" w:pos="1191"/>
        </w:tabs>
        <w:ind w:left="1191" w:hanging="340"/>
      </w:pPr>
      <w:r>
        <w:t>when governance arrangements “fall-short” this can result in poor outcomes</w:t>
      </w:r>
      <w:r w:rsidR="00354711">
        <w:t> – </w:t>
      </w:r>
      <w:r>
        <w:t xml:space="preserve">failing to meet their timeframe, budget, or service delivery objectives. As noted by the Australian Productivity Commission in its report on Public Infrastructure, “…institutional and governance arrangements for the provision of much of Australia’s Public Infrastructure are deficient and are a major </w:t>
      </w:r>
      <w:r>
        <w:lastRenderedPageBreak/>
        <w:t>contributor to unsatisfactory outcomes. It also noted that “…we have serious doubts about whether current land use / transport planning and decision</w:t>
      </w:r>
      <w:r w:rsidR="00F92F54">
        <w:t>-</w:t>
      </w:r>
      <w:r>
        <w:t>making processes are producing the right kind of projects” (Productivity Commission, 2014)</w:t>
      </w:r>
    </w:p>
    <w:p w:rsidR="008D5C08" w:rsidRPr="00776F9B" w:rsidRDefault="008D5C08" w:rsidP="002649F9">
      <w:pPr>
        <w:pStyle w:val="ListBullet"/>
        <w:tabs>
          <w:tab w:val="clear" w:pos="1191"/>
        </w:tabs>
        <w:ind w:left="1191" w:hanging="340"/>
      </w:pPr>
      <w:r>
        <w:t xml:space="preserve">a more comprehensive lifecycle approach to public infrastructure could result in efficiency gains (OECD, 2015a). </w:t>
      </w:r>
    </w:p>
    <w:p w:rsidR="008D5C08" w:rsidRPr="00AA1341" w:rsidRDefault="008D5C08" w:rsidP="00714DA0">
      <w:pPr>
        <w:pStyle w:val="Heading2"/>
        <w:rPr>
          <w:color w:val="4E81BD"/>
        </w:rPr>
      </w:pPr>
      <w:bookmarkStart w:id="7" w:name="_Toc471464155"/>
      <w:r w:rsidRPr="00AA1341">
        <w:rPr>
          <w:color w:val="4E81BD"/>
        </w:rPr>
        <w:t>The link between economic regulation and the governance of infrastructure</w:t>
      </w:r>
      <w:bookmarkEnd w:id="7"/>
    </w:p>
    <w:p w:rsidR="008D5C08" w:rsidRPr="003A1840" w:rsidRDefault="008D5C08" w:rsidP="00714DA0">
      <w:pPr>
        <w:pStyle w:val="BodyText"/>
      </w:pPr>
      <w:r>
        <w:t>Economic regulators continue to be an important element of the delivery of infrastructure services where competition for those services is insufficient (</w:t>
      </w:r>
      <w:r w:rsidR="00573419">
        <w:t xml:space="preserve">for example </w:t>
      </w:r>
      <w:r>
        <w:t xml:space="preserve">due to market failure, such as natural monopoly). As a result, the framework for the governance of infrastructure needs to ensure that governments and policy makers are aware of the need to put effective regulatory arrangement in place in these circumstances including consideration of the </w:t>
      </w:r>
      <w:r w:rsidRPr="003A1840">
        <w:t xml:space="preserve">governance of economic regulators. </w:t>
      </w:r>
    </w:p>
    <w:p w:rsidR="008D5C08" w:rsidRPr="003A1840" w:rsidRDefault="008D5C08" w:rsidP="00714DA0">
      <w:pPr>
        <w:pStyle w:val="BodyText"/>
      </w:pPr>
      <w:r w:rsidRPr="003A1840">
        <w:t xml:space="preserve">Further, economic regulators have had a mandate to ensure the efficient provision of services for some infrastructure industries for quite some time. As a result, the approaches that economic regulators have taken to delivering their mandate over time may have a broader relevance to other aspects of infrastructure governance. </w:t>
      </w:r>
    </w:p>
    <w:p w:rsidR="008D5C08" w:rsidRPr="009E265D" w:rsidRDefault="008D5C08" w:rsidP="00714DA0">
      <w:pPr>
        <w:pStyle w:val="BodyText"/>
      </w:pPr>
      <w:r w:rsidRPr="003A1840">
        <w:t>The OECD developed an initial list of governance challenges to infrastructure, and has more recently refined them (see Box 1.4) on the basis of further work and a survey of 26 OECD and partner countries. These governance challenges set out key policy questions and also i</w:t>
      </w:r>
      <w:r>
        <w:t xml:space="preserve">nclude indicators for measuring performance in light of these challenges. </w:t>
      </w:r>
    </w:p>
    <w:tbl>
      <w:tblPr>
        <w:tblW w:w="6464"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4FFFF"/>
        <w:tblLayout w:type="fixed"/>
        <w:tblLook w:val="0000" w:firstRow="0" w:lastRow="0" w:firstColumn="0" w:lastColumn="0" w:noHBand="0" w:noVBand="0"/>
      </w:tblPr>
      <w:tblGrid>
        <w:gridCol w:w="6464"/>
      </w:tblGrid>
      <w:tr w:rsidR="008D5C08" w:rsidTr="00714DA0">
        <w:trPr>
          <w:jc w:val="center"/>
        </w:trPr>
        <w:tc>
          <w:tcPr>
            <w:tcW w:w="9684" w:type="dxa"/>
            <w:shd w:val="clear" w:color="auto" w:fill="F4FFFF"/>
          </w:tcPr>
          <w:p w:rsidR="008D5C08" w:rsidRDefault="008D5C08" w:rsidP="00714DA0">
            <w:pPr>
              <w:pStyle w:val="BoxHeading"/>
            </w:pPr>
            <w:r w:rsidRPr="00AA1341">
              <w:rPr>
                <w:b w:val="0"/>
                <w:bCs w:val="0"/>
              </w:rPr>
              <w:t xml:space="preserve">Box 1.4. </w:t>
            </w:r>
            <w:r>
              <w:t xml:space="preserve">The ten key infrastructure governance challenges </w:t>
            </w:r>
          </w:p>
          <w:p w:rsidR="008D5C08" w:rsidRPr="00DF699E" w:rsidRDefault="008D5C08" w:rsidP="002649F9">
            <w:pPr>
              <w:pStyle w:val="ListBulletBox"/>
              <w:ind w:left="511" w:hanging="284"/>
            </w:pPr>
            <w:r>
              <w:t>Develop a strategic vision for infrastructure</w:t>
            </w:r>
          </w:p>
          <w:p w:rsidR="008D5C08" w:rsidRPr="00DF699E" w:rsidRDefault="008D5C08" w:rsidP="002649F9">
            <w:pPr>
              <w:pStyle w:val="ListBulletBox"/>
              <w:tabs>
                <w:tab w:val="clear" w:pos="510"/>
              </w:tabs>
              <w:ind w:left="511" w:hanging="284"/>
            </w:pPr>
            <w:r>
              <w:t>Manage the integrity and corruption threats throughout the project</w:t>
            </w:r>
          </w:p>
          <w:p w:rsidR="008D5C08" w:rsidRDefault="008D5C08" w:rsidP="002649F9">
            <w:pPr>
              <w:pStyle w:val="ListBulletBox"/>
              <w:tabs>
                <w:tab w:val="clear" w:pos="510"/>
              </w:tabs>
              <w:ind w:left="511" w:hanging="284"/>
            </w:pPr>
            <w:r>
              <w:t>Choose how to deliver the infrastructure</w:t>
            </w:r>
          </w:p>
          <w:p w:rsidR="008D5C08" w:rsidRPr="007408A4" w:rsidRDefault="008D5C08" w:rsidP="002649F9">
            <w:pPr>
              <w:pStyle w:val="ListBulletBox"/>
              <w:tabs>
                <w:tab w:val="clear" w:pos="510"/>
              </w:tabs>
              <w:ind w:left="511" w:hanging="284"/>
            </w:pPr>
            <w:r>
              <w:t>Ensure good regulatory design</w:t>
            </w:r>
          </w:p>
          <w:p w:rsidR="008D5C08" w:rsidRPr="00DF699E" w:rsidRDefault="008D5C08" w:rsidP="002649F9">
            <w:pPr>
              <w:pStyle w:val="ListBulletBox"/>
              <w:tabs>
                <w:tab w:val="clear" w:pos="510"/>
              </w:tabs>
              <w:ind w:left="511" w:hanging="284"/>
            </w:pPr>
            <w:r>
              <w:t>Integrate a consultation process</w:t>
            </w:r>
          </w:p>
          <w:p w:rsidR="008D5C08" w:rsidRPr="00DF699E" w:rsidRDefault="008D5C08" w:rsidP="002649F9">
            <w:pPr>
              <w:pStyle w:val="ListBulletBox"/>
              <w:tabs>
                <w:tab w:val="clear" w:pos="510"/>
              </w:tabs>
              <w:ind w:left="511" w:hanging="284"/>
            </w:pPr>
            <w:r>
              <w:t xml:space="preserve">Co-ordinate infrastructure policy across levels of government </w:t>
            </w:r>
          </w:p>
          <w:p w:rsidR="008D5C08" w:rsidRPr="00DF699E" w:rsidRDefault="008D5C08" w:rsidP="002649F9">
            <w:pPr>
              <w:pStyle w:val="ListBulletBox"/>
              <w:tabs>
                <w:tab w:val="clear" w:pos="510"/>
              </w:tabs>
              <w:ind w:left="511" w:hanging="284"/>
            </w:pPr>
            <w:r>
              <w:t>Guard affordability and value for money</w:t>
            </w:r>
          </w:p>
          <w:p w:rsidR="008D5C08" w:rsidRPr="00DF699E" w:rsidRDefault="008D5C08" w:rsidP="002649F9">
            <w:pPr>
              <w:pStyle w:val="ListBulletBox"/>
              <w:tabs>
                <w:tab w:val="clear" w:pos="510"/>
              </w:tabs>
              <w:ind w:left="511" w:hanging="284"/>
            </w:pPr>
            <w:r>
              <w:lastRenderedPageBreak/>
              <w:t>Generate, analyse and disclose useful data</w:t>
            </w:r>
          </w:p>
          <w:p w:rsidR="008D5C08" w:rsidRDefault="008D5C08" w:rsidP="002649F9">
            <w:pPr>
              <w:pStyle w:val="ListBulletBox"/>
              <w:tabs>
                <w:tab w:val="clear" w:pos="510"/>
              </w:tabs>
              <w:ind w:left="511" w:hanging="284"/>
            </w:pPr>
            <w:r>
              <w:t xml:space="preserve">Make sure the asset performs throughout its life </w:t>
            </w:r>
          </w:p>
          <w:p w:rsidR="008D5C08" w:rsidRPr="007408A4" w:rsidRDefault="008D5C08" w:rsidP="002649F9">
            <w:pPr>
              <w:pStyle w:val="ListBulletBox"/>
              <w:tabs>
                <w:tab w:val="clear" w:pos="510"/>
              </w:tabs>
              <w:ind w:left="511" w:hanging="284"/>
            </w:pPr>
            <w:r>
              <w:t>Public infrastructure needs to be resilient</w:t>
            </w:r>
            <w:r w:rsidR="002649F9">
              <w:t>.</w:t>
            </w:r>
          </w:p>
          <w:p w:rsidR="008D5C08" w:rsidRDefault="008D5C08" w:rsidP="00170EFE">
            <w:pPr>
              <w:pStyle w:val="BoxSource"/>
            </w:pPr>
            <w:r w:rsidRPr="00DF699E">
              <w:rPr>
                <w:i/>
              </w:rPr>
              <w:t>Source</w:t>
            </w:r>
            <w:r w:rsidR="00362CD2">
              <w:t>: OECD (2017</w:t>
            </w:r>
            <w:r>
              <w:t>), “</w:t>
            </w:r>
            <w:r w:rsidR="00170EFE">
              <w:t>Framework for the Governance of Public Infrastructure, The State of Play in Infrastructure Governance</w:t>
            </w:r>
            <w:r w:rsidR="00362CD2">
              <w:t>”, OECD, Forthcoming.</w:t>
            </w:r>
          </w:p>
        </w:tc>
      </w:tr>
    </w:tbl>
    <w:p w:rsidR="008D5C08" w:rsidRDefault="008D5C08" w:rsidP="00714DA0">
      <w:pPr>
        <w:pStyle w:val="BodyText"/>
      </w:pPr>
    </w:p>
    <w:p w:rsidR="008D5C08" w:rsidRPr="00AA1341" w:rsidRDefault="008D5C08" w:rsidP="00714DA0">
      <w:pPr>
        <w:pStyle w:val="BodyText"/>
      </w:pPr>
      <w:r w:rsidRPr="00AA1341">
        <w:t>While the experience of economic regulators is directly relevant to the fourth infrastructure governance challenge</w:t>
      </w:r>
      <w:r w:rsidR="00354711">
        <w:t> – </w:t>
      </w:r>
      <w:r w:rsidRPr="00AA1341">
        <w:t>ensure good regulatory design</w:t>
      </w:r>
      <w:r w:rsidR="00354711">
        <w:t> – </w:t>
      </w:r>
      <w:r w:rsidRPr="00AA1341">
        <w:t>because it directly relates to the experience of economic regulators, it also cuts across some of the other infrastructure governance challenges.</w:t>
      </w:r>
    </w:p>
    <w:p w:rsidR="00467035" w:rsidRDefault="00467035" w:rsidP="00714DA0">
      <w:pPr>
        <w:pStyle w:val="BodyText"/>
      </w:pPr>
      <w:r>
        <w:t>The “e</w:t>
      </w:r>
      <w:r w:rsidR="008D5C08">
        <w:t>nsuring good regulatory design</w:t>
      </w:r>
      <w:r>
        <w:t>” challenge</w:t>
      </w:r>
      <w:r w:rsidR="008D5C08">
        <w:t xml:space="preserve"> involves ensuring that the regulatory environment does not become an impediment to the efficient provision of infrastructure services.</w:t>
      </w:r>
      <w:r>
        <w:t xml:space="preserve"> </w:t>
      </w:r>
    </w:p>
    <w:p w:rsidR="008D5C08" w:rsidRDefault="00467035" w:rsidP="00714DA0">
      <w:pPr>
        <w:pStyle w:val="BodyText"/>
      </w:pPr>
      <w:r>
        <w:t>U</w:t>
      </w:r>
      <w:r w:rsidR="008D5C08">
        <w:t xml:space="preserve">ncertainty over the “rules of the game” or in regards to revenue flows and other sources of investment funding can provide a lack of confidence about </w:t>
      </w:r>
      <w:r>
        <w:t xml:space="preserve">the affordability of a project </w:t>
      </w:r>
      <w:r w:rsidR="008D5C08">
        <w:t>for both the publi</w:t>
      </w:r>
      <w:r w:rsidR="002B2AB5">
        <w:t>c and private sector (OECD 2017</w:t>
      </w:r>
      <w:r w:rsidR="008D5C08">
        <w:t xml:space="preserve">). Further, </w:t>
      </w:r>
      <w:r w:rsidR="002B2AB5">
        <w:t>good governance arrangements can provide an indicator of the quality of the investment regime, where regulators are perceived as “…taking</w:t>
      </w:r>
      <w:r w:rsidR="008D5C08">
        <w:t xml:space="preserve"> decisions on an objective, impartial, and consistent basis without conflict of interest, bias or </w:t>
      </w:r>
      <w:r w:rsidR="002B2AB5">
        <w:t>improper influence” (OECD, 2017</w:t>
      </w:r>
      <w:r w:rsidR="008D5C08">
        <w:t>).</w:t>
      </w:r>
    </w:p>
    <w:p w:rsidR="008D5C08" w:rsidRPr="004B1359" w:rsidRDefault="009E1132" w:rsidP="00714DA0">
      <w:pPr>
        <w:pStyle w:val="BodyText"/>
      </w:pPr>
      <w:r>
        <w:t>While, t</w:t>
      </w:r>
      <w:r w:rsidR="00467035">
        <w:t xml:space="preserve">he economic regulation </w:t>
      </w:r>
      <w:r w:rsidR="00573419">
        <w:t>seeks</w:t>
      </w:r>
      <w:r w:rsidR="00467035">
        <w:t xml:space="preserve"> to encourage the efficient delivery of infrastructure </w:t>
      </w:r>
      <w:r>
        <w:t xml:space="preserve">services, </w:t>
      </w:r>
      <w:r w:rsidR="00467035">
        <w:t xml:space="preserve">the approach that is taken to delivering this mandate is important — i.e. carrying out that mandate in a way that provides clarity of the rules of the game, and </w:t>
      </w:r>
      <w:r>
        <w:t xml:space="preserve">making decisions in a manner that promotes a stable investment environment. </w:t>
      </w:r>
    </w:p>
    <w:p w:rsidR="008D5C08" w:rsidRDefault="008D5C08" w:rsidP="00714DA0">
      <w:pPr>
        <w:pStyle w:val="BodyText"/>
      </w:pPr>
      <w:r>
        <w:t>In terms of the other infrastructure governance challenges:</w:t>
      </w:r>
    </w:p>
    <w:p w:rsidR="008D5C08" w:rsidRDefault="00354711" w:rsidP="00354711">
      <w:pPr>
        <w:pStyle w:val="ListBullet"/>
        <w:tabs>
          <w:tab w:val="clear" w:pos="1191"/>
        </w:tabs>
        <w:ind w:left="1191" w:hanging="340"/>
      </w:pPr>
      <w:r>
        <w:t>Challenge </w:t>
      </w:r>
      <w:r w:rsidR="008D5C08">
        <w:t>5</w:t>
      </w:r>
      <w:r>
        <w:t> – </w:t>
      </w:r>
      <w:r w:rsidR="008D5C08">
        <w:t>Integrate a consultation process: Stakeholder consultation is an essential part of making regulatory decisions and economic regulators have substantial experience in this area, but it is also an area which economic regulators are seeking to improve and refine.</w:t>
      </w:r>
    </w:p>
    <w:p w:rsidR="008D5C08" w:rsidRPr="00951EA9" w:rsidRDefault="008D5C08" w:rsidP="00354711">
      <w:pPr>
        <w:pStyle w:val="ListBullet"/>
        <w:tabs>
          <w:tab w:val="clear" w:pos="1191"/>
        </w:tabs>
        <w:ind w:left="1191" w:hanging="340"/>
      </w:pPr>
      <w:r>
        <w:t>Challenge</w:t>
      </w:r>
      <w:r w:rsidRPr="00951EA9">
        <w:t xml:space="preserve"> </w:t>
      </w:r>
      <w:r w:rsidR="00354711">
        <w:t>8 – </w:t>
      </w:r>
      <w:r>
        <w:t xml:space="preserve">Generate, analyse and disclose useful data: Economic regulators require access to data in order to implement their mandate. They have experience in seeking to address information asymmetry by establishing robust data collection arrangements over time. </w:t>
      </w:r>
    </w:p>
    <w:p w:rsidR="008D5C08" w:rsidRPr="00FD02E2" w:rsidRDefault="008D5C08" w:rsidP="00714DA0">
      <w:pPr>
        <w:pStyle w:val="BodyText"/>
      </w:pPr>
      <w:r>
        <w:lastRenderedPageBreak/>
        <w:t xml:space="preserve">As a result, more detailed analysis of role of economic regulators in relation to infrastructure, and infrastructure governance would provide valuable insights relevant to the development of the Framework of the governance of infrastructure. </w:t>
      </w:r>
    </w:p>
    <w:p w:rsidR="008D5C08" w:rsidRPr="00AA1341" w:rsidRDefault="008D5C08" w:rsidP="00714DA0">
      <w:pPr>
        <w:pStyle w:val="Heading2"/>
        <w:rPr>
          <w:color w:val="4E81BD"/>
        </w:rPr>
      </w:pPr>
      <w:bookmarkStart w:id="8" w:name="_Toc471464156"/>
      <w:r w:rsidRPr="00AA1341">
        <w:rPr>
          <w:color w:val="4E81BD"/>
        </w:rPr>
        <w:t>Survey results and implications</w:t>
      </w:r>
      <w:bookmarkEnd w:id="8"/>
    </w:p>
    <w:p w:rsidR="008D5C08" w:rsidRDefault="008D5C08" w:rsidP="00714DA0">
      <w:pPr>
        <w:pStyle w:val="BodyText"/>
      </w:pPr>
      <w:r>
        <w:t>In order to better understand the role of economic regulators in the governance of infrastructure the survey sought information and on a number of aspects of economic regulators, the infrastructure industries they regulate, and the relationship between economic regulators and the infrastructure industries that they regulate. These included:</w:t>
      </w:r>
    </w:p>
    <w:p w:rsidR="008D5C08" w:rsidRDefault="008D5C08" w:rsidP="002649F9">
      <w:pPr>
        <w:pStyle w:val="ListBullet"/>
        <w:tabs>
          <w:tab w:val="clear" w:pos="1191"/>
        </w:tabs>
        <w:ind w:left="1191" w:hanging="340"/>
      </w:pPr>
      <w:r>
        <w:t>Roles and functions</w:t>
      </w:r>
    </w:p>
    <w:p w:rsidR="008D5C08" w:rsidRDefault="008D5C08" w:rsidP="002649F9">
      <w:pPr>
        <w:pStyle w:val="ListBullet"/>
        <w:tabs>
          <w:tab w:val="clear" w:pos="1191"/>
        </w:tabs>
        <w:ind w:left="1191" w:hanging="340"/>
      </w:pPr>
      <w:r>
        <w:t>Infrastructure delivery mode and cost recovery</w:t>
      </w:r>
    </w:p>
    <w:p w:rsidR="008D5C08" w:rsidRDefault="008D5C08" w:rsidP="00354711">
      <w:pPr>
        <w:pStyle w:val="ListBullet"/>
        <w:tabs>
          <w:tab w:val="clear" w:pos="1191"/>
        </w:tabs>
        <w:ind w:left="1191" w:hanging="340"/>
      </w:pPr>
      <w:r>
        <w:t>The involvement of economic regulators in the infrastructure life</w:t>
      </w:r>
      <w:r w:rsidR="00354711">
        <w:noBreakHyphen/>
      </w:r>
      <w:r>
        <w:t>cycle</w:t>
      </w:r>
    </w:p>
    <w:p w:rsidR="008D5C08" w:rsidRDefault="008D5C08" w:rsidP="002649F9">
      <w:pPr>
        <w:pStyle w:val="ListBullet"/>
        <w:tabs>
          <w:tab w:val="clear" w:pos="1191"/>
        </w:tabs>
        <w:ind w:left="1191" w:hanging="340"/>
      </w:pPr>
      <w:r>
        <w:t>Infrastructure needs</w:t>
      </w:r>
    </w:p>
    <w:p w:rsidR="008D5C08" w:rsidRDefault="008D5C08" w:rsidP="002649F9">
      <w:pPr>
        <w:pStyle w:val="ListBullet"/>
        <w:tabs>
          <w:tab w:val="clear" w:pos="1191"/>
        </w:tabs>
        <w:ind w:left="1191" w:hanging="340"/>
      </w:pPr>
      <w:r>
        <w:t>How economic regulators use data in delivering their mandate?</w:t>
      </w:r>
    </w:p>
    <w:p w:rsidR="008D5C08" w:rsidRDefault="008D5C08" w:rsidP="002649F9">
      <w:pPr>
        <w:pStyle w:val="ListBullet"/>
        <w:tabs>
          <w:tab w:val="clear" w:pos="1191"/>
        </w:tabs>
        <w:ind w:left="1191" w:hanging="340"/>
      </w:pPr>
      <w:r>
        <w:t>Change and the interface between of economic regulators and the policy process</w:t>
      </w:r>
    </w:p>
    <w:p w:rsidR="008D5C08" w:rsidRPr="00D50BBD" w:rsidRDefault="008D5C08" w:rsidP="002649F9">
      <w:pPr>
        <w:pStyle w:val="ListBullet"/>
        <w:tabs>
          <w:tab w:val="clear" w:pos="1191"/>
        </w:tabs>
        <w:ind w:left="1191" w:hanging="340"/>
      </w:pPr>
      <w:r>
        <w:t xml:space="preserve">The challenges currently facing economic regulators. </w:t>
      </w:r>
    </w:p>
    <w:p w:rsidR="008D5C08" w:rsidRPr="000073A1" w:rsidRDefault="008D5C08" w:rsidP="00714DA0">
      <w:pPr>
        <w:pStyle w:val="Heading3"/>
      </w:pPr>
      <w:r w:rsidRPr="000073A1">
        <w:t>Roles and functions</w:t>
      </w:r>
    </w:p>
    <w:p w:rsidR="008D5C08" w:rsidRDefault="008D5C08" w:rsidP="00714DA0">
      <w:pPr>
        <w:pStyle w:val="BodyText"/>
      </w:pPr>
      <w:r>
        <w:t>Economic regulators are responsible for ensuring that</w:t>
      </w:r>
      <w:r w:rsidR="00573419">
        <w:t xml:space="preserve"> the lack of sufficient competition in some </w:t>
      </w:r>
      <w:r>
        <w:t>infrastructure industries</w:t>
      </w:r>
      <w:r w:rsidR="00573419">
        <w:t xml:space="preserve"> — such as </w:t>
      </w:r>
      <w:r>
        <w:t>energy, communications, transport and water</w:t>
      </w:r>
      <w:r w:rsidR="00573419">
        <w:t xml:space="preserve"> —</w:t>
      </w:r>
      <w:r>
        <w:t xml:space="preserve"> do not impede the efficient delivery of infrastructure services. </w:t>
      </w:r>
    </w:p>
    <w:p w:rsidR="008D5C08" w:rsidRPr="008D21F7" w:rsidRDefault="008D5C08" w:rsidP="00714DA0">
      <w:pPr>
        <w:pStyle w:val="BodyText"/>
      </w:pPr>
      <w:r w:rsidRPr="008D21F7">
        <w:t>For the sectors and subsectors surveyed, the most common functions of economic regulators include regulating tariffs</w:t>
      </w:r>
      <w:r>
        <w:t>, access regulation, monitoring,</w:t>
      </w:r>
      <w:r w:rsidRPr="008D21F7">
        <w:t xml:space="preserve"> dispute resolution</w:t>
      </w:r>
      <w:r>
        <w:t>,</w:t>
      </w:r>
      <w:r w:rsidRPr="008D21F7">
        <w:t xml:space="preserve"> </w:t>
      </w:r>
      <w:r>
        <w:t>and standard setting</w:t>
      </w:r>
      <w:r w:rsidRPr="008D21F7">
        <w:t xml:space="preserve">. Some economic regulators are responsible for a single </w:t>
      </w:r>
      <w:r>
        <w:t>industry sector (such as rail)</w:t>
      </w:r>
      <w:r w:rsidRPr="008D21F7">
        <w:t xml:space="preserve">, </w:t>
      </w:r>
      <w:r>
        <w:t>while</w:t>
      </w:r>
      <w:r w:rsidRPr="008D21F7">
        <w:t xml:space="preserve"> other economic regulators are multi-sector regulators that have responsibilities for the economic regulation of multiple infrastructure </w:t>
      </w:r>
      <w:r>
        <w:t>sectors (such as electricity, gas and oil)</w:t>
      </w:r>
      <w:r w:rsidRPr="008D21F7">
        <w:t>.</w:t>
      </w:r>
      <w:r>
        <w:t xml:space="preserve"> </w:t>
      </w:r>
    </w:p>
    <w:p w:rsidR="008D5C08" w:rsidRPr="009B2FE4" w:rsidRDefault="008D5C08" w:rsidP="00714DA0">
      <w:pPr>
        <w:pStyle w:val="Heading3"/>
      </w:pPr>
      <w:r>
        <w:lastRenderedPageBreak/>
        <w:t>Infrastructure delivery mode and cost recovery</w:t>
      </w:r>
    </w:p>
    <w:p w:rsidR="00573419" w:rsidRDefault="008D5C08" w:rsidP="00714DA0">
      <w:pPr>
        <w:pStyle w:val="BodyText"/>
      </w:pPr>
      <w:r>
        <w:t xml:space="preserve">Public infrastructure has a number of different delivery modalities, including direct provision, traditional public procurement, state owned enterprises, pubic private partnerships, concessions, and privatisation with regulation. </w:t>
      </w:r>
    </w:p>
    <w:p w:rsidR="008D5C08" w:rsidRPr="00227F56" w:rsidRDefault="008D5C08" w:rsidP="00714DA0">
      <w:pPr>
        <w:pStyle w:val="BodyText"/>
        <w:rPr>
          <w:b/>
        </w:rPr>
      </w:pPr>
      <w:r>
        <w:t xml:space="preserve">The two most common forms of infrastructure delivery in survey responses in sectors subject to economic regulation were privatisation with regulation and state owned enterprises (SOEs). </w:t>
      </w:r>
    </w:p>
    <w:p w:rsidR="008D5C08" w:rsidRDefault="00573419" w:rsidP="00714DA0">
      <w:pPr>
        <w:pStyle w:val="BodyText"/>
      </w:pPr>
      <w:r>
        <w:t xml:space="preserve">Infrastructure subject to economic regulation was funded primarily through tariffs. </w:t>
      </w:r>
    </w:p>
    <w:p w:rsidR="008D5C08" w:rsidRPr="000433D3" w:rsidRDefault="008D5C08" w:rsidP="00714DA0">
      <w:pPr>
        <w:pStyle w:val="Heading3"/>
        <w:rPr>
          <w:strike/>
        </w:rPr>
      </w:pPr>
      <w:r w:rsidRPr="000433D3">
        <w:t>Involvement of economic regulators in the infrastructure lifecycle</w:t>
      </w:r>
    </w:p>
    <w:p w:rsidR="008D5C08" w:rsidRDefault="008D5C08" w:rsidP="00714DA0">
      <w:pPr>
        <w:pStyle w:val="BodyText"/>
      </w:pPr>
      <w:r>
        <w:t xml:space="preserve"> Economic regulators deliver their mandate throughout the infrastructure lifecycle, from the identification of the need for the investment to decommissioning the asset at the end of its life. However, most economic regulators do not directly manage the infrastructure that they regulate</w:t>
      </w:r>
      <w:r w:rsidR="00354711">
        <w:t xml:space="preserve"> – </w:t>
      </w:r>
      <w:r>
        <w:t>instead they influence the behaviour of infrastructure operators to delivery their regulatory mandate indirectly. For example, while an economic regulator controls prices through its tariff determinations, the infrastructure operator is the free to decide how to operate and invest in its busine</w:t>
      </w:r>
      <w:r w:rsidR="00B30122">
        <w:t>ss independent of this decision (albeit guided by the incentives and constraints in the regulator’s decision).</w:t>
      </w:r>
    </w:p>
    <w:p w:rsidR="008D5C08" w:rsidRPr="00B50CCB" w:rsidRDefault="007A473C" w:rsidP="00714DA0">
      <w:pPr>
        <w:pStyle w:val="BodyText"/>
      </w:pPr>
      <w:r>
        <w:t>While the majority of economic regulators did not have a direct involvement in the infrastructure lifecycle,</w:t>
      </w:r>
      <w:r w:rsidR="008D5C08">
        <w:t xml:space="preserve"> there w</w:t>
      </w:r>
      <w:r>
        <w:t xml:space="preserve">as </w:t>
      </w:r>
      <w:r w:rsidR="008D5C08">
        <w:t xml:space="preserve">some </w:t>
      </w:r>
      <w:r>
        <w:t>direct involvement</w:t>
      </w:r>
      <w:r w:rsidR="008D5C08">
        <w:t xml:space="preserve">. The most common form of direct involvement in the infrastructure lifecycle involved reviewing long term investment plans separate from the tariffing process. For example, European energy regulators are involved in supervising the investment plans of their electricity transmission network operators with regard to the development plan for the grid in the European Union. </w:t>
      </w:r>
    </w:p>
    <w:p w:rsidR="008D5C08" w:rsidRDefault="008D5C08" w:rsidP="00714DA0">
      <w:pPr>
        <w:pStyle w:val="Heading3"/>
      </w:pPr>
      <w:r>
        <w:t>Infrastructure needs</w:t>
      </w:r>
    </w:p>
    <w:p w:rsidR="008D5C08" w:rsidRPr="006353E6" w:rsidRDefault="00C646CB" w:rsidP="00714DA0">
      <w:pPr>
        <w:pStyle w:val="BodyText"/>
      </w:pPr>
      <w:r>
        <w:t>As tariff setting can</w:t>
      </w:r>
      <w:r w:rsidR="008D5C08">
        <w:t xml:space="preserve"> involve assessing funding needed to meet the investment needs of infrastructure operators</w:t>
      </w:r>
      <w:r w:rsidR="008D5C08" w:rsidRPr="006353E6">
        <w:t xml:space="preserve">, economic regulators </w:t>
      </w:r>
      <w:r w:rsidR="008D5C08">
        <w:t>are attuned to</w:t>
      </w:r>
      <w:r w:rsidR="008D5C08" w:rsidRPr="006353E6">
        <w:t xml:space="preserve"> the most important infrastructure needs for the sectors and subsectors </w:t>
      </w:r>
      <w:r w:rsidR="008D5C08">
        <w:t>for which they have regulatory responsibility.</w:t>
      </w:r>
      <w:r w:rsidR="008D5C08" w:rsidRPr="006353E6">
        <w:t xml:space="preserve"> In particular,</w:t>
      </w:r>
      <w:r w:rsidR="008D5C08">
        <w:t xml:space="preserve"> over the last five years, while increasing capacity to meet demand and replacement and renewal of assets were the most commonly cited important infrastructure needs, </w:t>
      </w:r>
      <w:r w:rsidR="008D5C08" w:rsidRPr="006353E6">
        <w:t>upgrading to integrate new technologies</w:t>
      </w:r>
      <w:r w:rsidR="008D5C08">
        <w:t xml:space="preserve"> and </w:t>
      </w:r>
      <w:r w:rsidR="008D5C08">
        <w:lastRenderedPageBreak/>
        <w:t xml:space="preserve">maintaining or improving service quality were </w:t>
      </w:r>
      <w:r>
        <w:t xml:space="preserve">also </w:t>
      </w:r>
      <w:r w:rsidR="008D5C08">
        <w:t>important investment needs</w:t>
      </w:r>
      <w:r w:rsidR="008D5C08" w:rsidRPr="006353E6">
        <w:t xml:space="preserve">. </w:t>
      </w:r>
    </w:p>
    <w:p w:rsidR="008D5C08" w:rsidRPr="006353E6" w:rsidRDefault="008D5C08" w:rsidP="00354711">
      <w:pPr>
        <w:pStyle w:val="Heading3"/>
      </w:pPr>
      <w:r>
        <w:t>How do economic regulators use data to deliver their mandate?</w:t>
      </w:r>
    </w:p>
    <w:p w:rsidR="008D5C08" w:rsidRPr="003A1840" w:rsidRDefault="008D5C08" w:rsidP="00714DA0">
      <w:pPr>
        <w:pStyle w:val="BodyText"/>
      </w:pPr>
      <w:r w:rsidRPr="003A1840">
        <w:t>For economic regulators that are involved in tariff setting or access regulation, data on current and future investment needs, the efficiency of infrastructure operators, and quality of infrastructure services can all assist them to deliver their mandate. For the sectors and subsectors surveyed, around half of the respondents</w:t>
      </w:r>
      <w:r w:rsidRPr="003A1840">
        <w:rPr>
          <w:b/>
        </w:rPr>
        <w:t xml:space="preserve"> </w:t>
      </w:r>
      <w:r w:rsidRPr="003A1840">
        <w:t xml:space="preserve">collected data on current and future investment needs. Similarly, around half of the respondents collected information on the efficiency of infrastructure operators. A greater proportion (around 70%) of respondents collected data on the quality of infrastructure services delivered by infrastructure operators. </w:t>
      </w:r>
    </w:p>
    <w:p w:rsidR="008D5C08" w:rsidRDefault="008D5C08" w:rsidP="00714DA0">
      <w:pPr>
        <w:pStyle w:val="BodyText"/>
      </w:pPr>
      <w:r w:rsidRPr="003A1840">
        <w:t>Further, evaluation of the efficiency of an organisation’s internal processes and procedures is an important part of improving an economic performance over time. Around 60% of the respondents evaluated the efficiency and effectiveness of their internal procedures over time.</w:t>
      </w:r>
      <w:r>
        <w:t xml:space="preserve"> </w:t>
      </w:r>
    </w:p>
    <w:p w:rsidR="008D5C08" w:rsidRDefault="008D5C08" w:rsidP="00714DA0">
      <w:pPr>
        <w:pStyle w:val="Heading3"/>
      </w:pPr>
      <w:r>
        <w:t>Change and the involvement of economic regulators in regulatory policy</w:t>
      </w:r>
    </w:p>
    <w:p w:rsidR="008D5C08" w:rsidRPr="003A1840" w:rsidRDefault="008D5C08" w:rsidP="00714DA0">
      <w:pPr>
        <w:pStyle w:val="BodyText"/>
      </w:pPr>
      <w:r w:rsidRPr="003A1840">
        <w:t>Regulators have experienced a substantial amount of change with regard to the</w:t>
      </w:r>
      <w:r w:rsidR="00573419" w:rsidRPr="003A1840">
        <w:t xml:space="preserve">ir roles and responsibilities in the regulation of </w:t>
      </w:r>
      <w:r w:rsidRPr="003A1840">
        <w:t>infrastructure over the last five years. In particular, around</w:t>
      </w:r>
      <w:r w:rsidRPr="003A1840">
        <w:rPr>
          <w:b/>
        </w:rPr>
        <w:t xml:space="preserve"> </w:t>
      </w:r>
      <w:r w:rsidRPr="003A1840">
        <w:t xml:space="preserve">63% of survey respondents noted that they had experienced </w:t>
      </w:r>
      <w:r w:rsidR="00573419" w:rsidRPr="003A1840">
        <w:t>a</w:t>
      </w:r>
      <w:r w:rsidRPr="003A1840">
        <w:t xml:space="preserve"> change over the last five years. Common sources of this change were the impact of technology change on scope of the required regulatory role in some sectors, and also new functions and responsibilities placed on economic regulators by governments. </w:t>
      </w:r>
    </w:p>
    <w:p w:rsidR="008D5C08" w:rsidRDefault="008D5C08" w:rsidP="00714DA0">
      <w:pPr>
        <w:pStyle w:val="BodyText"/>
      </w:pPr>
      <w:r w:rsidRPr="003A1840">
        <w:t>Economic regulators have experience in administering their regulation over time, and also have specialist knowledge regarding the infrastructure sectors that they regulate. As a result, this experience can be bought to bear in the regulatory policy development process in refining and improving regulation over time. Almost all</w:t>
      </w:r>
      <w:r w:rsidR="009F30C8" w:rsidRPr="003A1840">
        <w:t xml:space="preserve"> survey respondents noted that they contributed to the policy development process</w:t>
      </w:r>
      <w:r w:rsidRPr="003A1840">
        <w:t>.</w:t>
      </w:r>
    </w:p>
    <w:p w:rsidR="008D5C08" w:rsidRDefault="008D5C08" w:rsidP="00714DA0">
      <w:pPr>
        <w:pStyle w:val="BodyText"/>
      </w:pPr>
      <w:r w:rsidRPr="004629A7">
        <w:t>Economic regulators generally have a mandate and roles and functions set out in legislation which set out specific objectives. However, at the same time governments can have policy objectives that conflict with these objectives.</w:t>
      </w:r>
      <w:r>
        <w:t xml:space="preserve"> The survey asked if regulators had experienced tension between government policy objectives and economic regulatory objectives for new or recently privatised infrastructure. </w:t>
      </w:r>
    </w:p>
    <w:p w:rsidR="008D5C08" w:rsidRPr="00E76479" w:rsidRDefault="008D5C08" w:rsidP="00714DA0">
      <w:pPr>
        <w:pStyle w:val="BodyText"/>
      </w:pPr>
      <w:r>
        <w:lastRenderedPageBreak/>
        <w:t xml:space="preserve">A number of economic regulators identified tensions between economic regulatory objectives and policy objectives. These tensions ranged from governments privatising assets without sufficient regulatory controls, investment decisions which were not economically viable and had an impact on tariffs, and decisions on market structure that </w:t>
      </w:r>
      <w:r w:rsidR="009F30C8">
        <w:t>reduced competition</w:t>
      </w:r>
      <w:r>
        <w:t xml:space="preserve">. </w:t>
      </w:r>
    </w:p>
    <w:p w:rsidR="008D5C08" w:rsidRPr="006D2518" w:rsidRDefault="008D5C08" w:rsidP="00714DA0">
      <w:pPr>
        <w:pStyle w:val="Heading3"/>
      </w:pPr>
      <w:r>
        <w:t>The challenges currently facing economic regulators</w:t>
      </w:r>
    </w:p>
    <w:p w:rsidR="008D5C08" w:rsidRDefault="008D5C08" w:rsidP="00714DA0">
      <w:pPr>
        <w:pStyle w:val="BodyText"/>
      </w:pPr>
      <w:r w:rsidRPr="003A1840">
        <w:t>Economic regulators a variety of challenges in carrying out their role</w:t>
      </w:r>
      <w:r w:rsidR="00354711" w:rsidRPr="003A1840">
        <w:t xml:space="preserve"> – </w:t>
      </w:r>
      <w:r w:rsidRPr="003A1840">
        <w:t>and a number of these challenges were common to multiple economic regulators. Eleven common challenges were identified in survey responses. The top three challenges were</w:t>
      </w:r>
      <w:r>
        <w:t xml:space="preserve"> maintaining encouraging efficient investment, data and information asymmetry and governance. </w:t>
      </w:r>
    </w:p>
    <w:p w:rsidR="008D5C08" w:rsidRPr="00B30122" w:rsidRDefault="008D5C08" w:rsidP="00B30122">
      <w:pPr>
        <w:pStyle w:val="ListBullet"/>
        <w:tabs>
          <w:tab w:val="clear" w:pos="1191"/>
        </w:tabs>
        <w:ind w:left="1191" w:hanging="340"/>
      </w:pPr>
      <w:r w:rsidRPr="00B30122">
        <w:t xml:space="preserve">Encouraging efficient investment was reported as a common challenge because economic regulators have a role in tariff setting, and the approach taken by economic regulators has a direct impact on incentives for the infrastructure operator to invest in a sector. Regulators were concerned about ensuring that they delivered efficient tariffs that also create incentives for efficient infrastructure investment. </w:t>
      </w:r>
    </w:p>
    <w:p w:rsidR="008D5C08" w:rsidRPr="00B30122" w:rsidRDefault="008D5C08" w:rsidP="00B30122">
      <w:pPr>
        <w:pStyle w:val="ListBullet"/>
        <w:tabs>
          <w:tab w:val="clear" w:pos="1191"/>
        </w:tabs>
        <w:ind w:left="1191" w:hanging="340"/>
      </w:pPr>
      <w:r w:rsidRPr="00B30122">
        <w:t xml:space="preserve">Data and information asymmetry was also reported as a common challenge. Economic regulators required information from infrastructure operators for decision making, however infrastructure operators have better information than the regulator. While economic regulators had data collection powers, some economic regulators identified challenges in obtaining the data that the needed from infrastructure operators. </w:t>
      </w:r>
    </w:p>
    <w:p w:rsidR="008D5C08" w:rsidRPr="00B30122" w:rsidRDefault="008D5C08" w:rsidP="00B30122">
      <w:pPr>
        <w:pStyle w:val="ListBullet"/>
        <w:tabs>
          <w:tab w:val="clear" w:pos="1191"/>
        </w:tabs>
        <w:ind w:left="1191" w:hanging="340"/>
      </w:pPr>
      <w:r w:rsidRPr="00B30122">
        <w:t xml:space="preserve">Governance encompassed a number of different issues that economic regulators felt were an impediment to delivering their mandate effectively. These issues ranged from funding, financial independence, and their powers. </w:t>
      </w:r>
    </w:p>
    <w:p w:rsidR="008D5C08" w:rsidRPr="00AD60EC" w:rsidRDefault="008D5C08" w:rsidP="00714DA0">
      <w:pPr>
        <w:pStyle w:val="Heading4"/>
      </w:pPr>
      <w:r>
        <w:t xml:space="preserve">Implications </w:t>
      </w:r>
    </w:p>
    <w:p w:rsidR="008D5C08" w:rsidRPr="00AD60EC" w:rsidRDefault="008D5C08" w:rsidP="00714DA0">
      <w:pPr>
        <w:pStyle w:val="BodyText"/>
      </w:pPr>
      <w:r>
        <w:t>A number of implications arise from the detailed investigation on the role of economic regulators regarding the governance of infrastructure:</w:t>
      </w:r>
    </w:p>
    <w:p w:rsidR="008D5C08" w:rsidRPr="00E5482A" w:rsidRDefault="008D5C08" w:rsidP="00354711">
      <w:pPr>
        <w:pStyle w:val="ListBullet"/>
        <w:tabs>
          <w:tab w:val="clear" w:pos="1191"/>
        </w:tabs>
        <w:ind w:left="1191" w:hanging="340"/>
      </w:pPr>
      <w:r w:rsidRPr="00E5482A">
        <w:rPr>
          <w:b/>
        </w:rPr>
        <w:t>Effective governance arrangemen</w:t>
      </w:r>
      <w:r w:rsidRPr="00B30122">
        <w:rPr>
          <w:b/>
        </w:rPr>
        <w:t xml:space="preserve">ts are important to </w:t>
      </w:r>
      <w:r w:rsidR="00B30122" w:rsidRPr="00B30122">
        <w:rPr>
          <w:b/>
          <w:iCs/>
        </w:rPr>
        <w:t xml:space="preserve">initiate processes for efficient </w:t>
      </w:r>
      <w:r w:rsidRPr="00E5482A">
        <w:rPr>
          <w:b/>
        </w:rPr>
        <w:t>service delivery</w:t>
      </w:r>
      <w:r w:rsidR="00354711">
        <w:rPr>
          <w:b/>
        </w:rPr>
        <w:t>.</w:t>
      </w:r>
      <w:r w:rsidR="00354711">
        <w:t xml:space="preserve"> </w:t>
      </w:r>
      <w:r w:rsidRPr="00E5482A">
        <w:t xml:space="preserve">The governance of </w:t>
      </w:r>
      <w:r>
        <w:t xml:space="preserve">economic </w:t>
      </w:r>
      <w:r w:rsidRPr="00E5482A">
        <w:t>regulators</w:t>
      </w:r>
      <w:r>
        <w:t xml:space="preserve"> themselves</w:t>
      </w:r>
      <w:r w:rsidRPr="00E5482A">
        <w:t xml:space="preserve"> is important to ensure efficient delivery of regulated services to consumers. </w:t>
      </w:r>
      <w:r>
        <w:t>As the survey indicates,</w:t>
      </w:r>
      <w:r w:rsidRPr="00E5482A">
        <w:t xml:space="preserve"> a number of</w:t>
      </w:r>
      <w:r>
        <w:t xml:space="preserve"> economic</w:t>
      </w:r>
      <w:r w:rsidRPr="00E5482A">
        <w:t xml:space="preserve"> regulators continue experience governance challenges. The existing body of work of the OECD on the </w:t>
      </w:r>
      <w:r w:rsidRPr="00E5482A">
        <w:lastRenderedPageBreak/>
        <w:t xml:space="preserve">governance of regulators stemming from the 2012 recommendation from the OECD council’s on Regulatory Policy and Governance </w:t>
      </w:r>
      <w:r>
        <w:t>is very relevant to considering the governance arrangements to apply to economic regulators</w:t>
      </w:r>
      <w:r w:rsidRPr="00E5482A">
        <w:t xml:space="preserve">. </w:t>
      </w:r>
    </w:p>
    <w:p w:rsidR="008D5C08" w:rsidRPr="00E5482A" w:rsidRDefault="008D5C08" w:rsidP="00B30122">
      <w:pPr>
        <w:pStyle w:val="ListBullet"/>
        <w:numPr>
          <w:ilvl w:val="0"/>
          <w:numId w:val="0"/>
        </w:numPr>
        <w:tabs>
          <w:tab w:val="clear" w:pos="1191"/>
        </w:tabs>
        <w:ind w:left="1191"/>
      </w:pPr>
      <w:r w:rsidRPr="00E5482A">
        <w:t>In particular, the OECD’s 2014 publication, “The Governance of Regulators” sets out best practice principles and practical guidance on established robust internal and external governance arrangements around seven principles of good governance, including role clarity, preventing undue influence and maintaining trust, decision making and governing body structure for independent regulators, accountability and transparency, engagement, funding, and performance evaluation.</w:t>
      </w:r>
      <w:r>
        <w:t xml:space="preserve"> </w:t>
      </w:r>
    </w:p>
    <w:p w:rsidR="00B30122" w:rsidRPr="00B30122" w:rsidRDefault="00B30122" w:rsidP="00354711">
      <w:pPr>
        <w:pStyle w:val="ListBullet"/>
        <w:tabs>
          <w:tab w:val="clear" w:pos="1191"/>
        </w:tabs>
        <w:ind w:left="1191" w:hanging="340"/>
      </w:pPr>
      <w:r w:rsidRPr="00B30122">
        <w:rPr>
          <w:b/>
          <w:iCs/>
        </w:rPr>
        <w:t>Flexibility can assist economic regulators to deal with change</w:t>
      </w:r>
      <w:r w:rsidRPr="00B30122">
        <w:rPr>
          <w:iCs/>
        </w:rPr>
        <w:t xml:space="preserve"> — Economic regulators are responsible for providing a stable and predictable regulatory environment for investment decisions, but at the same time need to deliver their mandate during a time of substantial change, primarily driven by technological change. Economic regulators thus need sufficient flexibility within their regulatory frameworks to address the impact of these changes on the delivery of their mandate. </w:t>
      </w:r>
    </w:p>
    <w:p w:rsidR="008D5C08" w:rsidRPr="00B30122" w:rsidRDefault="008D5C08" w:rsidP="00B30122">
      <w:pPr>
        <w:pStyle w:val="ListBullet"/>
        <w:tabs>
          <w:tab w:val="clear" w:pos="1191"/>
        </w:tabs>
        <w:ind w:left="1191" w:hanging="340"/>
        <w:rPr>
          <w:b/>
          <w:iCs/>
        </w:rPr>
      </w:pPr>
      <w:r w:rsidRPr="00B30122">
        <w:rPr>
          <w:b/>
          <w:iCs/>
        </w:rPr>
        <w:t>Economic regulators have expertise and experience that can be harnessed to refine regulatory policy and address the tensions that sometimes arise between economic regulatory and policy objectives</w:t>
      </w:r>
      <w:r w:rsidR="00B30122" w:rsidRPr="00B30122">
        <w:rPr>
          <w:b/>
          <w:iCs/>
        </w:rPr>
        <w:t xml:space="preserve"> — </w:t>
      </w:r>
      <w:r w:rsidRPr="00B30122">
        <w:rPr>
          <w:iCs/>
        </w:rPr>
        <w:t xml:space="preserve">Economic regulators have experience in administering their regulatory frameworks over time, and also have access to sector specific expertise in light of their role. This specialist knowledge would benefit the development of regulatory policy over time. Furthermore, where there is tension between economic regulatory and policy objectives, economic regulators are well placed to ensure that policy makers have full information about the implications of specific policy choices for market structures, competition and the need for economic regulation. </w:t>
      </w:r>
    </w:p>
    <w:p w:rsidR="008D5C08" w:rsidRPr="008257E5" w:rsidRDefault="008D5C08" w:rsidP="00354711">
      <w:pPr>
        <w:pStyle w:val="ListBullet"/>
        <w:tabs>
          <w:tab w:val="clear" w:pos="1191"/>
        </w:tabs>
        <w:ind w:left="1191" w:hanging="340"/>
      </w:pPr>
      <w:r w:rsidRPr="0036287B">
        <w:rPr>
          <w:b/>
        </w:rPr>
        <w:t>There appears scope to address the common challenges faced by economic regulators through collaboration</w:t>
      </w:r>
      <w:r w:rsidR="00354711">
        <w:rPr>
          <w:b/>
        </w:rPr>
        <w:t>.</w:t>
      </w:r>
      <w:r w:rsidR="00354711">
        <w:t xml:space="preserve"> </w:t>
      </w:r>
      <w:r>
        <w:t xml:space="preserve">In light of the degree of commonality of the challenges faced by economic regulators, there appears to be considerable scope for collaboration between economic regulators to address them. Economic regulators identified different categories of challenges in response to the survey, ranging from governance, engagement, co-ordination, dealing with the impact of change and new technology, increasing complexity, and the impact of appeals to technical economic issues </w:t>
      </w:r>
      <w:r>
        <w:lastRenderedPageBreak/>
        <w:t xml:space="preserve">such as encouraging efficient investment, addressing information asymmetry through data collection, tariff setting in the context of declining demand, and setting effective incentives arrangements. </w:t>
      </w:r>
    </w:p>
    <w:p w:rsidR="008D5C08" w:rsidRDefault="008D5C08">
      <w:pPr>
        <w:rPr>
          <w:b/>
          <w:bCs/>
        </w:rPr>
      </w:pPr>
      <w:r>
        <w:br w:type="page"/>
      </w:r>
    </w:p>
    <w:p w:rsidR="00714DA0" w:rsidRDefault="00714DA0" w:rsidP="00714DA0">
      <w:bookmarkStart w:id="9" w:name="_Toc471464157"/>
    </w:p>
    <w:p w:rsidR="008D5C08" w:rsidRPr="00714DA0" w:rsidRDefault="008D5C08" w:rsidP="00714DA0">
      <w:pPr>
        <w:pStyle w:val="BibliographyHeading"/>
        <w:rPr>
          <w:b/>
          <w:bCs w:val="0"/>
        </w:rPr>
      </w:pPr>
      <w:r w:rsidRPr="00714DA0">
        <w:rPr>
          <w:b/>
          <w:bCs w:val="0"/>
        </w:rPr>
        <w:t>References</w:t>
      </w:r>
      <w:bookmarkEnd w:id="9"/>
    </w:p>
    <w:p w:rsidR="008D5C08" w:rsidRPr="006C4825" w:rsidRDefault="008D5C08" w:rsidP="00714DA0">
      <w:pPr>
        <w:pStyle w:val="Biblio-Entry"/>
      </w:pPr>
      <w:r w:rsidRPr="006C4825">
        <w:t xml:space="preserve">Australian Productivity Commission (2014), “Public Infrastructure”, Productivity Commission Inquiry Report No. 71, Canberra. </w:t>
      </w:r>
    </w:p>
    <w:p w:rsidR="008D5C08" w:rsidRDefault="002B2AB5" w:rsidP="00714DA0">
      <w:pPr>
        <w:pStyle w:val="Biblio-Entry"/>
      </w:pPr>
      <w:r w:rsidRPr="002B2AB5">
        <w:t>OECD (2017), “Framework for the Governance of Public Infrastructure, The State of Play in Infrastructure Governance”, OECD, Forthcoming.</w:t>
      </w:r>
    </w:p>
    <w:p w:rsidR="00714DA0" w:rsidRPr="007645C2" w:rsidRDefault="00714DA0" w:rsidP="00714DA0">
      <w:pPr>
        <w:pStyle w:val="Biblio-Entry"/>
      </w:pPr>
      <w:r w:rsidRPr="007645C2">
        <w:t xml:space="preserve">OECD (2016b), </w:t>
      </w:r>
      <w:r w:rsidRPr="00D73914">
        <w:rPr>
          <w:i/>
          <w:iCs/>
        </w:rPr>
        <w:t>Being an Independent Regulator</w:t>
      </w:r>
      <w:r w:rsidRPr="007645C2">
        <w:t xml:space="preserve">, OECD Publishing Paris, </w:t>
      </w:r>
      <w:hyperlink r:id="rId27" w:history="1">
        <w:r w:rsidRPr="00C91EFF">
          <w:rPr>
            <w:rStyle w:val="Hyperlink"/>
          </w:rPr>
          <w:t>http://dx.doi.org/10.1787/9789264255401-en</w:t>
        </w:r>
      </w:hyperlink>
      <w:r>
        <w:t xml:space="preserve">. </w:t>
      </w:r>
    </w:p>
    <w:p w:rsidR="008D5C08" w:rsidRDefault="008D5C08" w:rsidP="00354711">
      <w:pPr>
        <w:pStyle w:val="Biblio-Entry"/>
        <w:jc w:val="left"/>
      </w:pPr>
      <w:r w:rsidRPr="006C4825">
        <w:t xml:space="preserve">OECD (2015), “Towards a Framework for the Governance of Infrastructure”, </w:t>
      </w:r>
      <w:hyperlink r:id="rId28" w:history="1">
        <w:r w:rsidRPr="006C4825">
          <w:rPr>
            <w:rStyle w:val="Hyperlink"/>
          </w:rPr>
          <w:t>https://www.oecd.org/gov/budgeting/Towards-a-Framework-for-the-Governance-of-Infrastructure.pdf</w:t>
        </w:r>
      </w:hyperlink>
      <w:r w:rsidRPr="006C4825">
        <w:t xml:space="preserve"> (accessed 15 December 2016).</w:t>
      </w:r>
    </w:p>
    <w:p w:rsidR="008D5C08" w:rsidRPr="006C4825" w:rsidRDefault="008D5C08" w:rsidP="00714DA0">
      <w:pPr>
        <w:pStyle w:val="Biblio-Entry"/>
      </w:pPr>
      <w:r w:rsidRPr="004447F7">
        <w:t>OECD (2014), </w:t>
      </w:r>
      <w:r w:rsidRPr="004447F7">
        <w:rPr>
          <w:i/>
          <w:iCs/>
        </w:rPr>
        <w:t>The Governance of Regulators</w:t>
      </w:r>
      <w:r>
        <w:t>, OECD Publishing, Paris,</w:t>
      </w:r>
      <w:r w:rsidRPr="004447F7">
        <w:t xml:space="preserve"> </w:t>
      </w:r>
      <w:hyperlink r:id="rId29" w:tgtFrame="_blank" w:tooltip="http://dx.doi.org/10.1787/9789264209015-en" w:history="1">
        <w:r w:rsidRPr="004447F7">
          <w:rPr>
            <w:rStyle w:val="Hyperlink"/>
          </w:rPr>
          <w:t>http://dx.doi.org/10.1787/9789264209015-en</w:t>
        </w:r>
      </w:hyperlink>
      <w:r>
        <w:t>.</w:t>
      </w:r>
    </w:p>
    <w:p w:rsidR="008D5C08" w:rsidRPr="00354711" w:rsidRDefault="008D5C08" w:rsidP="00354711">
      <w:pPr>
        <w:pStyle w:val="Biblio-Entry"/>
        <w:jc w:val="left"/>
      </w:pPr>
      <w:r w:rsidRPr="00354711">
        <w:rPr>
          <w:shd w:val="clear" w:color="auto" w:fill="FFFFFF"/>
        </w:rPr>
        <w:t>OECD (2013), </w:t>
      </w:r>
      <w:r w:rsidRPr="00354711">
        <w:rPr>
          <w:rStyle w:val="Emphasis"/>
          <w:bdr w:val="none" w:sz="0" w:space="0" w:color="auto" w:frame="1"/>
          <w:shd w:val="clear" w:color="auto" w:fill="FFFFFF"/>
        </w:rPr>
        <w:t>Investing Together: Working Effectively across Levels of Government</w:t>
      </w:r>
      <w:r w:rsidRPr="00354711">
        <w:rPr>
          <w:shd w:val="clear" w:color="auto" w:fill="FFFFFF"/>
        </w:rPr>
        <w:t xml:space="preserve">, OECD Publishing, Paris, </w:t>
      </w:r>
      <w:hyperlink r:id="rId30" w:tgtFrame="_blank" w:tooltip="http://dx.doi.org/10.1787/9789264197022-en" w:history="1">
        <w:r w:rsidRPr="00354711">
          <w:rPr>
            <w:rStyle w:val="Hyperlink"/>
            <w:bdr w:val="none" w:sz="0" w:space="0" w:color="auto" w:frame="1"/>
            <w:shd w:val="clear" w:color="auto" w:fill="FFFFFF"/>
          </w:rPr>
          <w:t>http://dx.doi.org/10.1787/9789264197022-en</w:t>
        </w:r>
      </w:hyperlink>
      <w:r w:rsidR="00354711" w:rsidRPr="00354711">
        <w:t>.</w:t>
      </w:r>
    </w:p>
    <w:p w:rsidR="008D5C08" w:rsidRDefault="008D5C08" w:rsidP="00354711">
      <w:pPr>
        <w:pStyle w:val="Biblio-Entry"/>
        <w:jc w:val="left"/>
      </w:pPr>
      <w:r>
        <w:t xml:space="preserve">The OECD Network of Economic Regulators, </w:t>
      </w:r>
      <w:hyperlink r:id="rId31" w:history="1">
        <w:r w:rsidRPr="00C91EFF">
          <w:rPr>
            <w:rStyle w:val="Hyperlink"/>
          </w:rPr>
          <w:t>www.oecd.org/gov/regulatory-policy/ner.htm</w:t>
        </w:r>
      </w:hyperlink>
      <w:r>
        <w:t xml:space="preserve"> (accessed 22 December 2016).</w:t>
      </w:r>
    </w:p>
    <w:p w:rsidR="008D5C08" w:rsidRDefault="008D5C08" w:rsidP="00714DA0"/>
    <w:p w:rsidR="00714DA0" w:rsidRDefault="00714DA0" w:rsidP="00714DA0">
      <w:pPr>
        <w:sectPr w:rsidR="00714DA0" w:rsidSect="0087238D">
          <w:headerReference w:type="even" r:id="rId32"/>
          <w:headerReference w:type="default" r:id="rId33"/>
          <w:endnotePr>
            <w:numFmt w:val="decimal"/>
          </w:endnotePr>
          <w:type w:val="oddPage"/>
          <w:pgSz w:w="11907" w:h="16840" w:code="9"/>
          <w:pgMar w:top="3119" w:right="2211" w:bottom="3119" w:left="2211" w:header="2608" w:footer="2722" w:gutter="0"/>
          <w:cols w:space="720"/>
          <w:docGrid w:linePitch="299"/>
        </w:sectPr>
      </w:pPr>
      <w:bookmarkStart w:id="10" w:name="_Toc471464158"/>
    </w:p>
    <w:p w:rsidR="008D5C08" w:rsidRPr="0087238D" w:rsidRDefault="008D5C08" w:rsidP="0087238D">
      <w:pPr>
        <w:pStyle w:val="Heading1"/>
        <w:rPr>
          <w:color w:val="4E81BD"/>
        </w:rPr>
      </w:pPr>
      <w:r w:rsidRPr="00714DA0">
        <w:rPr>
          <w:i/>
          <w:iCs/>
        </w:rPr>
        <w:lastRenderedPageBreak/>
        <w:t>Chapter 2</w:t>
      </w:r>
      <w:r w:rsidRPr="00714DA0">
        <w:rPr>
          <w:i/>
          <w:iCs/>
        </w:rPr>
        <w:br/>
      </w:r>
      <w:r>
        <w:br/>
      </w:r>
      <w:r w:rsidRPr="0087238D">
        <w:rPr>
          <w:color w:val="4E81BD"/>
        </w:rPr>
        <w:t>T</w:t>
      </w:r>
      <w:r w:rsidR="00714DA0" w:rsidRPr="0087238D">
        <w:rPr>
          <w:color w:val="4E81BD"/>
        </w:rPr>
        <w:t>he</w:t>
      </w:r>
      <w:r w:rsidRPr="0087238D">
        <w:rPr>
          <w:color w:val="4E81BD"/>
        </w:rPr>
        <w:t xml:space="preserve"> survey results in detail</w:t>
      </w:r>
      <w:bookmarkEnd w:id="10"/>
    </w:p>
    <w:p w:rsidR="008D5C08" w:rsidRPr="00231C4F" w:rsidRDefault="008D5C08" w:rsidP="00714DA0">
      <w:pPr>
        <w:pStyle w:val="Abstract"/>
      </w:pPr>
      <w:r>
        <w:t xml:space="preserve">In order to better understand the role of economic regulators in the governance of infrastructure the survey sought information and on a number of aspects of economic regulators, the infrastructure industries they regulate, and the relationship between economic regulators and the infrastructure industries that </w:t>
      </w:r>
      <w:r w:rsidR="00AA09F9">
        <w:t>they regulate. These included: roles and functions; i</w:t>
      </w:r>
      <w:r>
        <w:t>nfrastructure de</w:t>
      </w:r>
      <w:r w:rsidR="00AA09F9">
        <w:t>livery mode and cost recovery; t</w:t>
      </w:r>
      <w:r>
        <w:t xml:space="preserve">he involvement of economic regulators in </w:t>
      </w:r>
      <w:r w:rsidR="00AA09F9">
        <w:t>the infrastructure life-cycle; infrastructure needs; h</w:t>
      </w:r>
      <w:r>
        <w:t>ow economic regulators use d</w:t>
      </w:r>
      <w:r w:rsidR="00AA09F9">
        <w:t>ata in delivering their mandate; c</w:t>
      </w:r>
      <w:r>
        <w:t>hange and the in</w:t>
      </w:r>
      <w:r w:rsidR="00AA09F9">
        <w:t xml:space="preserve">volvement of </w:t>
      </w:r>
      <w:r>
        <w:t xml:space="preserve">economic regulators </w:t>
      </w:r>
      <w:r w:rsidR="00AA09F9">
        <w:t>in</w:t>
      </w:r>
      <w:r>
        <w:t xml:space="preserve"> the policy</w:t>
      </w:r>
      <w:r w:rsidR="00AA09F9">
        <w:t xml:space="preserve"> development</w:t>
      </w:r>
      <w:r>
        <w:t xml:space="preserve"> process;</w:t>
      </w:r>
      <w:r w:rsidR="00AA09F9">
        <w:t xml:space="preserve"> and</w:t>
      </w:r>
      <w:r>
        <w:t xml:space="preserve"> </w:t>
      </w:r>
      <w:r w:rsidR="00AA09F9">
        <w:t>t</w:t>
      </w:r>
      <w:r>
        <w:t xml:space="preserve">he challenges currently facing economic regulators. </w:t>
      </w:r>
      <w:r>
        <w:br w:type="page"/>
      </w:r>
    </w:p>
    <w:p w:rsidR="008D5C08" w:rsidRPr="001F40A9" w:rsidRDefault="008D5C08" w:rsidP="00714DA0">
      <w:pPr>
        <w:pStyle w:val="Heading2"/>
        <w:rPr>
          <w:color w:val="4E81BD"/>
        </w:rPr>
      </w:pPr>
      <w:bookmarkStart w:id="11" w:name="_Toc471464159"/>
      <w:r w:rsidRPr="001F40A9">
        <w:rPr>
          <w:color w:val="4E81BD"/>
        </w:rPr>
        <w:lastRenderedPageBreak/>
        <w:t>Composition of survey responses</w:t>
      </w:r>
      <w:bookmarkEnd w:id="11"/>
    </w:p>
    <w:p w:rsidR="008D5C08" w:rsidRPr="003A1840" w:rsidRDefault="008D5C08" w:rsidP="00714DA0">
      <w:pPr>
        <w:pStyle w:val="BodyText"/>
      </w:pPr>
      <w:r w:rsidRPr="003A1840">
        <w:t>Thirty-four responses were received from a ministry and economic regulators (for convenience, this report will refer to survey respondents as economic regulators) from 24 countries completed the infrastructure survey. Economic regulators provided responses to the survey in different ways – most provided responses by sector (i.e. electricity, gas, water, telecommunications), some provided information by subsector (i.e. electricity generation, electricity transmission, and electricity distribution), and some provided information for multiple sectors (i.e. roads, rail, and airports). In total, information was provided in responses that covered 77</w:t>
      </w:r>
      <w:r w:rsidR="005B0C4B" w:rsidRPr="003A1840">
        <w:t> </w:t>
      </w:r>
      <w:r w:rsidRPr="003A1840">
        <w:t>sectors and subsectors.</w:t>
      </w:r>
    </w:p>
    <w:p w:rsidR="008D5C08" w:rsidRPr="003A1840" w:rsidRDefault="008D5C08" w:rsidP="00714DA0">
      <w:pPr>
        <w:pStyle w:val="BodyText"/>
      </w:pPr>
      <w:r w:rsidRPr="003A1840">
        <w:t xml:space="preserve">The sectors and subsectors covered in the survey exceed the number of economic regulators because a large number of economic regulators regulate multiple sectors (for example, airports, energy, water, communications) and because some economic regulators provided information on the basis of subsectors (for example, electricity generation, electricity transmission, and electricity distribution). In light of the way data has been provided, figures in this report pool all of these different responses together. </w:t>
      </w:r>
    </w:p>
    <w:p w:rsidR="008D5C08" w:rsidRDefault="008D5C08" w:rsidP="00714DA0">
      <w:pPr>
        <w:pStyle w:val="BodyText"/>
      </w:pPr>
      <w:r w:rsidRPr="003A1840">
        <w:t xml:space="preserve"> In 6 countries, more than one regulator responded to the infrastructure survey. Respondents also included one sub-national regulator (the Essential Services Commission (ESC) of Victoria in Australia), and one Ministry (the Ministry of Trade, Economy and Industry of Japan (METI)). The number of sectors and subsectors in the survey are set out by country in Figure 2.1.</w:t>
      </w:r>
    </w:p>
    <w:p w:rsidR="008D5C08" w:rsidRDefault="008D5C08" w:rsidP="00714DA0">
      <w:pPr>
        <w:pStyle w:val="FigureTitle"/>
      </w:pPr>
      <w:r w:rsidRPr="001F40A9">
        <w:rPr>
          <w:b w:val="0"/>
          <w:bCs w:val="0"/>
        </w:rPr>
        <w:t>Figure 2.1.</w:t>
      </w:r>
      <w:r>
        <w:t xml:space="preserve"> Responses by country</w:t>
      </w:r>
      <w:r>
        <w:fldChar w:fldCharType="begin"/>
      </w:r>
      <w:r>
        <w:instrText xml:space="preserve"> TC \f f \l 2 "Figure 2.1. Responses by country"  </w:instrText>
      </w:r>
      <w:r>
        <w:fldChar w:fldCharType="end"/>
      </w:r>
    </w:p>
    <w:p w:rsidR="008D5C08" w:rsidRDefault="005B0C4B" w:rsidP="00714DA0">
      <w:pPr>
        <w:pStyle w:val="Graphic"/>
        <w:rPr>
          <w:lang w:eastAsia="en-GB"/>
        </w:rPr>
      </w:pPr>
      <w:r>
        <w:rPr>
          <w:noProof/>
          <w:lang w:eastAsia="en-GB"/>
        </w:rPr>
        <w:drawing>
          <wp:inline distT="0" distB="0" distL="0" distR="0" wp14:anchorId="5103E2AA" wp14:editId="1D1B7A7D">
            <wp:extent cx="4752975" cy="17418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eps"/>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752975" cy="1741805"/>
                    </a:xfrm>
                    <a:prstGeom prst="rect">
                      <a:avLst/>
                    </a:prstGeom>
                  </pic:spPr>
                </pic:pic>
              </a:graphicData>
            </a:graphic>
          </wp:inline>
        </w:drawing>
      </w:r>
    </w:p>
    <w:p w:rsidR="008D5C08" w:rsidRPr="00CB6675" w:rsidRDefault="008D5C08" w:rsidP="00714DA0">
      <w:pPr>
        <w:pStyle w:val="FigureNote"/>
      </w:pPr>
      <w:r>
        <w:rPr>
          <w:i/>
        </w:rPr>
        <w:t xml:space="preserve">Notes: </w:t>
      </w:r>
      <w:r>
        <w:t>This figure includes information from 77 sectors and subsectors.</w:t>
      </w:r>
    </w:p>
    <w:p w:rsidR="008D5C08" w:rsidRDefault="008D5C08" w:rsidP="00714DA0">
      <w:pPr>
        <w:pStyle w:val="SourceDescription"/>
      </w:pPr>
      <w:r w:rsidRPr="001346B3">
        <w:rPr>
          <w:i/>
        </w:rPr>
        <w:t>Source</w:t>
      </w:r>
      <w:r>
        <w:t>: The Role of Regulators in the Governance of Infrastructure Survey 2016.</w:t>
      </w:r>
    </w:p>
    <w:p w:rsidR="008D5C08" w:rsidRDefault="008D5C08" w:rsidP="00714DA0">
      <w:pPr>
        <w:pStyle w:val="BodyText"/>
      </w:pPr>
      <w:r w:rsidRPr="003A1840">
        <w:lastRenderedPageBreak/>
        <w:t>A large number of different regulated infrastructure industries are covered in the survey responses. Due to the large number of responses, the responses have been grouped into different industry groups. These include communications, energy, transport and water</w:t>
      </w:r>
      <w:r w:rsidR="00354711" w:rsidRPr="003A1840">
        <w:t>. This is illustrated in Figure </w:t>
      </w:r>
      <w:r w:rsidRPr="003A1840">
        <w:t>2.2.</w:t>
      </w:r>
    </w:p>
    <w:p w:rsidR="008D5C08" w:rsidRPr="00160B83" w:rsidRDefault="008D5C08" w:rsidP="00714DA0">
      <w:pPr>
        <w:pStyle w:val="FigureTitle"/>
      </w:pPr>
      <w:r w:rsidRPr="001F40A9">
        <w:rPr>
          <w:b w:val="0"/>
          <w:bCs w:val="0"/>
        </w:rPr>
        <w:t>Figure 2.2.</w:t>
      </w:r>
      <w:r>
        <w:t xml:space="preserve"> Sectors and subsectors</w:t>
      </w:r>
      <w:r>
        <w:fldChar w:fldCharType="begin"/>
      </w:r>
      <w:r>
        <w:instrText xml:space="preserve"> TC \f f \l 2 "Figure 2.2. Sectors and subsectors"  </w:instrText>
      </w:r>
      <w:r>
        <w:fldChar w:fldCharType="end"/>
      </w:r>
    </w:p>
    <w:p w:rsidR="008D5C08" w:rsidRDefault="005B0C4B" w:rsidP="00714DA0">
      <w:pPr>
        <w:pStyle w:val="Graphic"/>
        <w:spacing w:after="0"/>
        <w:rPr>
          <w:lang w:eastAsia="en-GB"/>
        </w:rPr>
      </w:pPr>
      <w:r>
        <w:rPr>
          <w:noProof/>
          <w:lang w:eastAsia="en-GB"/>
        </w:rPr>
        <w:drawing>
          <wp:inline distT="0" distB="0" distL="0" distR="0" wp14:anchorId="4236C203" wp14:editId="49BDB432">
            <wp:extent cx="4752975" cy="17418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2.eps"/>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752975" cy="1741805"/>
                    </a:xfrm>
                    <a:prstGeom prst="rect">
                      <a:avLst/>
                    </a:prstGeom>
                  </pic:spPr>
                </pic:pic>
              </a:graphicData>
            </a:graphic>
          </wp:inline>
        </w:drawing>
      </w:r>
    </w:p>
    <w:p w:rsidR="008D5C08" w:rsidRDefault="008D5C08" w:rsidP="00354711">
      <w:pPr>
        <w:pStyle w:val="FigureNote"/>
      </w:pPr>
      <w:r w:rsidRPr="001F40A9">
        <w:rPr>
          <w:i/>
          <w:iCs/>
        </w:rPr>
        <w:t>Note</w:t>
      </w:r>
      <w:r>
        <w:t xml:space="preserve">: This </w:t>
      </w:r>
      <w:r w:rsidR="00354711">
        <w:t>figure</w:t>
      </w:r>
      <w:r>
        <w:t xml:space="preserve"> includes information from 71 sectors and subsectors.</w:t>
      </w:r>
    </w:p>
    <w:p w:rsidR="008D5C08" w:rsidRDefault="008D5C08" w:rsidP="00714DA0">
      <w:pPr>
        <w:pStyle w:val="SourceDescription"/>
      </w:pPr>
      <w:r w:rsidRPr="001346B3">
        <w:rPr>
          <w:i/>
        </w:rPr>
        <w:t>Source</w:t>
      </w:r>
      <w:r>
        <w:t>: The Role of Regulators in the Governance of Infrastructure Survey 2016.</w:t>
      </w:r>
    </w:p>
    <w:p w:rsidR="008D5C08" w:rsidRDefault="008D5C08" w:rsidP="00714DA0">
      <w:pPr>
        <w:pStyle w:val="BodyText"/>
      </w:pPr>
      <w:r w:rsidRPr="003A1840">
        <w:t>Figure 2.3 shows the proportion of the responses from each industry group. Not all of the responses could be allocated to an industry group, but are included in Figures in this report which relate to all sectors and subsectors.</w:t>
      </w:r>
      <w:r>
        <w:t xml:space="preserve"> </w:t>
      </w:r>
    </w:p>
    <w:p w:rsidR="008D5C08" w:rsidRDefault="008D5C08" w:rsidP="00714DA0">
      <w:pPr>
        <w:pStyle w:val="FigureTitle"/>
      </w:pPr>
      <w:r w:rsidRPr="001F40A9">
        <w:rPr>
          <w:b w:val="0"/>
          <w:bCs w:val="0"/>
        </w:rPr>
        <w:lastRenderedPageBreak/>
        <w:t xml:space="preserve">Figure 2.3. </w:t>
      </w:r>
      <w:r>
        <w:t>Industry groups</w:t>
      </w:r>
      <w:r>
        <w:fldChar w:fldCharType="begin"/>
      </w:r>
      <w:r>
        <w:instrText xml:space="preserve"> TC \f f \l 2 "Figure 2.3. Industry groups"  </w:instrText>
      </w:r>
      <w:r>
        <w:fldChar w:fldCharType="end"/>
      </w:r>
    </w:p>
    <w:p w:rsidR="008D5C08" w:rsidRDefault="00D83FEB" w:rsidP="00714DA0">
      <w:pPr>
        <w:pStyle w:val="Graphic"/>
      </w:pPr>
      <w:r>
        <w:rPr>
          <w:noProof/>
          <w:lang w:eastAsia="en-GB"/>
        </w:rPr>
        <w:drawing>
          <wp:inline distT="0" distB="0" distL="0" distR="0" wp14:anchorId="0DB6CA78" wp14:editId="38820B13">
            <wp:extent cx="2095500" cy="2428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3.eps"/>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95500" cy="2428875"/>
                    </a:xfrm>
                    <a:prstGeom prst="rect">
                      <a:avLst/>
                    </a:prstGeom>
                  </pic:spPr>
                </pic:pic>
              </a:graphicData>
            </a:graphic>
          </wp:inline>
        </w:drawing>
      </w:r>
    </w:p>
    <w:p w:rsidR="008D5C08" w:rsidRPr="004157DF" w:rsidRDefault="008D5C08" w:rsidP="00354711">
      <w:pPr>
        <w:pStyle w:val="FigureNote"/>
      </w:pPr>
      <w:r>
        <w:rPr>
          <w:i/>
        </w:rPr>
        <w:t>Note</w:t>
      </w:r>
      <w:r w:rsidRPr="004157DF">
        <w:rPr>
          <w:i/>
        </w:rPr>
        <w:t xml:space="preserve">: </w:t>
      </w:r>
      <w:r w:rsidRPr="004157DF">
        <w:t xml:space="preserve">This </w:t>
      </w:r>
      <w:r w:rsidR="00354711">
        <w:t>figure</w:t>
      </w:r>
      <w:r w:rsidRPr="004157DF">
        <w:t xml:space="preserve"> includes information from 71 sectors and subsectors.</w:t>
      </w:r>
    </w:p>
    <w:p w:rsidR="008D5C08" w:rsidRDefault="008D5C08" w:rsidP="00714DA0">
      <w:pPr>
        <w:pStyle w:val="SourceDescription"/>
      </w:pPr>
      <w:r>
        <w:t>Source: The Role of Regulators in the Governance of Infrastructure Survey 2016.</w:t>
      </w:r>
    </w:p>
    <w:p w:rsidR="008D5C08" w:rsidRPr="005315EB" w:rsidRDefault="008D5C08" w:rsidP="00714DA0">
      <w:pPr>
        <w:pStyle w:val="BodyText"/>
      </w:pPr>
      <w:r w:rsidRPr="003A1840">
        <w:t>As Figure 2.3 shows, energy sectors and subsectors make up the largest proportion of survey responses from economic regulators, followed by transport, communications and water.</w:t>
      </w:r>
      <w:r>
        <w:t xml:space="preserve"> </w:t>
      </w:r>
    </w:p>
    <w:p w:rsidR="008D5C08" w:rsidRPr="00260463" w:rsidRDefault="008D5C08" w:rsidP="00714DA0">
      <w:pPr>
        <w:pStyle w:val="Heading2"/>
        <w:rPr>
          <w:color w:val="4E81BD"/>
        </w:rPr>
      </w:pPr>
      <w:bookmarkStart w:id="12" w:name="_Toc471464160"/>
      <w:r w:rsidRPr="00260463">
        <w:rPr>
          <w:color w:val="4E81BD"/>
        </w:rPr>
        <w:t>Methodology</w:t>
      </w:r>
      <w:bookmarkEnd w:id="12"/>
    </w:p>
    <w:p w:rsidR="008D5C08" w:rsidRPr="00231C4F" w:rsidRDefault="008D5C08" w:rsidP="00714DA0">
      <w:pPr>
        <w:pStyle w:val="BodyText"/>
      </w:pPr>
      <w:r w:rsidRPr="00231C4F">
        <w:t xml:space="preserve">The </w:t>
      </w:r>
      <w:r w:rsidRPr="00231C4F">
        <w:rPr>
          <w:b/>
          <w:i/>
        </w:rPr>
        <w:t>survey</w:t>
      </w:r>
      <w:r w:rsidRPr="00231C4F">
        <w:t xml:space="preserve"> was</w:t>
      </w:r>
      <w:r w:rsidR="00EA0D87">
        <w:t xml:space="preserve"> developed with inputs from members of the Network of Economic Regulators (NER). An early draft of the survey was discussed at the meeting of the NER in April 2016. The survey was</w:t>
      </w:r>
      <w:r w:rsidRPr="00231C4F">
        <w:t xml:space="preserve"> circulated on 17 June 2016 to members of the</w:t>
      </w:r>
      <w:r>
        <w:t xml:space="preserve"> Network of Economic Regulators (</w:t>
      </w:r>
      <w:r w:rsidRPr="00231C4F">
        <w:t>NER</w:t>
      </w:r>
      <w:r>
        <w:t>)</w:t>
      </w:r>
      <w:r w:rsidR="00EA0D87">
        <w:t xml:space="preserve"> for data collection</w:t>
      </w:r>
      <w:r w:rsidRPr="00231C4F">
        <w:t>. Responses were received up until the end of September 2016.</w:t>
      </w:r>
      <w:r>
        <w:t xml:space="preserve"> </w:t>
      </w:r>
    </w:p>
    <w:p w:rsidR="008D5C08" w:rsidRDefault="008D5C08" w:rsidP="00714DA0">
      <w:pPr>
        <w:pStyle w:val="BodyText"/>
      </w:pPr>
      <w:r w:rsidRPr="00231C4F">
        <w:t xml:space="preserve">The survey responses have been </w:t>
      </w:r>
      <w:r w:rsidRPr="00231C4F">
        <w:rPr>
          <w:b/>
          <w:i/>
        </w:rPr>
        <w:t xml:space="preserve">interpreted </w:t>
      </w:r>
      <w:r w:rsidRPr="00231C4F">
        <w:t xml:space="preserve">in order to present </w:t>
      </w:r>
      <w:r>
        <w:t xml:space="preserve">some of the information received in response to the survey </w:t>
      </w:r>
      <w:r w:rsidRPr="00231C4F">
        <w:t>graphically.</w:t>
      </w:r>
      <w:r>
        <w:t xml:space="preserve"> Some of the survey questions often contained multiple parts and as a result the responses to each of the survey questions included a substantial amount of information. The information in the responses has been reviewed, and where a number of survey responses addressed a specific issue, this information has been presented graphically. </w:t>
      </w:r>
      <w:r w:rsidRPr="00231C4F">
        <w:t xml:space="preserve">For example, the </w:t>
      </w:r>
      <w:r>
        <w:t xml:space="preserve">common </w:t>
      </w:r>
      <w:r w:rsidRPr="00231C4F">
        <w:t>challenges</w:t>
      </w:r>
      <w:r>
        <w:t xml:space="preserve"> faced by economic regulators</w:t>
      </w:r>
      <w:r w:rsidRPr="00231C4F">
        <w:t xml:space="preserve"> analysis was created by re</w:t>
      </w:r>
      <w:r>
        <w:t>viewing</w:t>
      </w:r>
      <w:r w:rsidRPr="00231C4F">
        <w:t xml:space="preserve"> each of the responses</w:t>
      </w:r>
      <w:r>
        <w:t>, identifying the common challenges, and then collecting information on the frequency with which that issue was raised.</w:t>
      </w:r>
    </w:p>
    <w:p w:rsidR="003A1840" w:rsidRDefault="008D5C08" w:rsidP="00714DA0">
      <w:pPr>
        <w:pStyle w:val="BodyText"/>
      </w:pPr>
      <w:r>
        <w:lastRenderedPageBreak/>
        <w:t xml:space="preserve">In some cases, the survey questions were </w:t>
      </w:r>
      <w:r w:rsidRPr="00431E38">
        <w:rPr>
          <w:b/>
          <w:i/>
        </w:rPr>
        <w:t>interpreted differently</w:t>
      </w:r>
      <w:r>
        <w:t xml:space="preserve"> by survey respondents. As a result, for some questions the information has been reviewed and coded in order to present consistent information graphically. </w:t>
      </w:r>
    </w:p>
    <w:p w:rsidR="008D5C08" w:rsidRPr="003A1840" w:rsidRDefault="008D5C08" w:rsidP="00714DA0">
      <w:pPr>
        <w:pStyle w:val="BodyText"/>
      </w:pPr>
      <w:r w:rsidRPr="003A1840">
        <w:t xml:space="preserve">For example, while a number of economic regulators considered that tariff regulation meant that they had a role in response to each of the stages of the infrastructure lifecycle, others considered that this was an indirect role and reported no involvement. As a result, Figure </w:t>
      </w:r>
      <w:r w:rsidR="003A1840" w:rsidRPr="003A1840">
        <w:t>2.10</w:t>
      </w:r>
      <w:r w:rsidRPr="003A1840">
        <w:t xml:space="preserve"> presents the extent to which economic regulators had a direct role in the infrastructure lifecycle, which has been prepared by excluding indirect roles such as tariff regulation, access regulation, general monitoring roles, and where the respondent simply received information from the infrastructure operator. </w:t>
      </w:r>
    </w:p>
    <w:p w:rsidR="008D5C08" w:rsidRDefault="008D5C08" w:rsidP="00714DA0">
      <w:pPr>
        <w:pStyle w:val="BodyText"/>
      </w:pPr>
      <w:r w:rsidRPr="003A1840">
        <w:t xml:space="preserve">Where possible, the survey responses have been disaggregated by </w:t>
      </w:r>
      <w:r w:rsidRPr="003A1840">
        <w:rPr>
          <w:b/>
          <w:i/>
        </w:rPr>
        <w:t>sector</w:t>
      </w:r>
      <w:r w:rsidRPr="003A1840">
        <w:rPr>
          <w:i/>
        </w:rPr>
        <w:t>.</w:t>
      </w:r>
      <w:r w:rsidRPr="003A1840">
        <w:t xml:space="preserve"> However,</w:t>
      </w:r>
      <w:r w:rsidRPr="003A1840">
        <w:rPr>
          <w:b/>
        </w:rPr>
        <w:t xml:space="preserve"> </w:t>
      </w:r>
      <w:r w:rsidRPr="003A1840">
        <w:t>as set out in Figure 2.2, not all survey responses could be separated by sector. Some survey responses reflect a group of sectors (electricity and gas), or were separated by sub-sector (electricity generation, electricity distribution, electricity transmission). The figures in this report pool these types of survey response together, and as a result the Figures are reflective of the sectors and subsectors regulated by the economic regulators that responded to the survey.</w:t>
      </w:r>
      <w:r>
        <w:t xml:space="preserve"> </w:t>
      </w:r>
    </w:p>
    <w:p w:rsidR="008D5C08" w:rsidRPr="00E46A31" w:rsidRDefault="008D5C08" w:rsidP="00442077">
      <w:pPr>
        <w:pStyle w:val="BodyText"/>
      </w:pPr>
      <w:r w:rsidRPr="00E46A31">
        <w:t xml:space="preserve">Differing amounts of information were provided in relation to each of the survey questions. This means that some survey respondents were </w:t>
      </w:r>
      <w:r w:rsidRPr="00E46A31">
        <w:rPr>
          <w:b/>
          <w:i/>
        </w:rPr>
        <w:t>incomplete</w:t>
      </w:r>
      <w:r w:rsidRPr="00E46A31">
        <w:t xml:space="preserve">, or provided answers to some parts of questions that included multiple parts. As a result, where relevant, the notes for each of the </w:t>
      </w:r>
      <w:r w:rsidR="00442077">
        <w:t xml:space="preserve">figures </w:t>
      </w:r>
      <w:r w:rsidRPr="00E46A31">
        <w:t xml:space="preserve">in this report set out the number of sectors and subsectors for which information in response to the question was provided in survey responses. </w:t>
      </w:r>
    </w:p>
    <w:p w:rsidR="008D5C08" w:rsidRPr="006031FE" w:rsidRDefault="008D5C08" w:rsidP="00714DA0">
      <w:pPr>
        <w:pStyle w:val="Heading2"/>
        <w:rPr>
          <w:color w:val="4E81BD"/>
        </w:rPr>
      </w:pPr>
      <w:bookmarkStart w:id="13" w:name="_Toc471464161"/>
      <w:r w:rsidRPr="006031FE">
        <w:rPr>
          <w:color w:val="4E81BD"/>
        </w:rPr>
        <w:t>The roles and functions of economic regulators</w:t>
      </w:r>
      <w:bookmarkEnd w:id="13"/>
    </w:p>
    <w:p w:rsidR="008D5C08" w:rsidRPr="003A1840" w:rsidRDefault="008D5C08" w:rsidP="00714DA0">
      <w:pPr>
        <w:pStyle w:val="BodyText"/>
      </w:pPr>
      <w:r>
        <w:t xml:space="preserve">Economic regulators are responsible for markets where there is insufficient competition and seek to ensure that efficient delivery of services in those markets. A number of infrastructure industries are subject to economic regulation because they are natural monopolies (i.e. where one firm can meet market demand at lower cost than more than one firm) and absent economic regulation, those infrastructure operators would be able to maximise their profits by exercise market power (i.e. set prices in excess of the </w:t>
      </w:r>
      <w:r w:rsidRPr="003A1840">
        <w:t>efficient costs) resulting in insufficient service delivery at too high a price. A number of those infrastructure industries subject to economic regulation are currently or were at one stage public infrastructure provided by government.</w:t>
      </w:r>
    </w:p>
    <w:p w:rsidR="008D5C08" w:rsidRDefault="008D5C08" w:rsidP="00714DA0">
      <w:pPr>
        <w:pStyle w:val="BodyText"/>
      </w:pPr>
      <w:r w:rsidRPr="003A1840">
        <w:t>Figure 2.4 sets out the five most common functions of economic regulators that responded to the survey.</w:t>
      </w:r>
    </w:p>
    <w:p w:rsidR="008D5C08" w:rsidRDefault="008D5C08" w:rsidP="00714DA0">
      <w:pPr>
        <w:pStyle w:val="FigureTitle"/>
      </w:pPr>
      <w:r w:rsidRPr="003433E9">
        <w:rPr>
          <w:b w:val="0"/>
          <w:bCs w:val="0"/>
        </w:rPr>
        <w:lastRenderedPageBreak/>
        <w:t>Figure 2.4.</w:t>
      </w:r>
      <w:r>
        <w:t xml:space="preserve"> Five most common functions of economic regulators</w:t>
      </w:r>
      <w:r>
        <w:fldChar w:fldCharType="begin"/>
      </w:r>
      <w:r>
        <w:instrText xml:space="preserve"> TC \f f \l 2 "Figure 2.4. Five most common functions of economic regulators"  </w:instrText>
      </w:r>
      <w:r>
        <w:fldChar w:fldCharType="end"/>
      </w:r>
    </w:p>
    <w:p w:rsidR="008D5C08" w:rsidRDefault="008D5C08" w:rsidP="00714DA0">
      <w:pPr>
        <w:pStyle w:val="Graphic"/>
      </w:pPr>
      <w:r>
        <w:rPr>
          <w:noProof/>
          <w:lang w:eastAsia="en-GB"/>
        </w:rPr>
        <w:drawing>
          <wp:inline distT="0" distB="0" distL="0" distR="0" wp14:anchorId="6FEFBB8E" wp14:editId="5AFB26C1">
            <wp:extent cx="1990725" cy="24288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990725" cy="2428875"/>
                    </a:xfrm>
                    <a:prstGeom prst="rect">
                      <a:avLst/>
                    </a:prstGeom>
                  </pic:spPr>
                </pic:pic>
              </a:graphicData>
            </a:graphic>
          </wp:inline>
        </w:drawing>
      </w:r>
    </w:p>
    <w:p w:rsidR="008D5C08" w:rsidRPr="00CB6675" w:rsidRDefault="008D5C08" w:rsidP="00442077">
      <w:pPr>
        <w:pStyle w:val="FigureNote"/>
      </w:pPr>
      <w:r>
        <w:rPr>
          <w:i/>
        </w:rPr>
        <w:t xml:space="preserve">Notes: </w:t>
      </w:r>
      <w:r>
        <w:t xml:space="preserve">This </w:t>
      </w:r>
      <w:r w:rsidR="00442077">
        <w:t>figure</w:t>
      </w:r>
      <w:r>
        <w:t xml:space="preserve"> includes information from 71 sectors and subsectors.</w:t>
      </w:r>
    </w:p>
    <w:p w:rsidR="008D5C08" w:rsidRDefault="008D5C08" w:rsidP="00714DA0">
      <w:pPr>
        <w:pStyle w:val="SourceDescription"/>
      </w:pPr>
      <w:r>
        <w:t>Source: The Role of Regulators in the Governance of Infrastructure Survey 2016.</w:t>
      </w:r>
    </w:p>
    <w:p w:rsidR="008D5C08" w:rsidRPr="008E0D9E" w:rsidRDefault="008D5C08" w:rsidP="00714DA0">
      <w:pPr>
        <w:pStyle w:val="BodyText"/>
      </w:pPr>
      <w:r w:rsidRPr="008E0D9E">
        <w:t xml:space="preserve">In order, the five most common </w:t>
      </w:r>
      <w:r>
        <w:t xml:space="preserve">roles and </w:t>
      </w:r>
      <w:r w:rsidRPr="008E0D9E">
        <w:t xml:space="preserve">functions cited by </w:t>
      </w:r>
      <w:r>
        <w:t xml:space="preserve">the </w:t>
      </w:r>
      <w:r w:rsidRPr="008E0D9E">
        <w:t>economic regulators</w:t>
      </w:r>
      <w:r>
        <w:t xml:space="preserve"> that responded to the survey</w:t>
      </w:r>
      <w:r w:rsidRPr="008E0D9E">
        <w:t xml:space="preserve"> </w:t>
      </w:r>
      <w:r>
        <w:t>were</w:t>
      </w:r>
      <w:r w:rsidRPr="008E0D9E">
        <w:t>:</w:t>
      </w:r>
    </w:p>
    <w:p w:rsidR="008D5C08" w:rsidRDefault="008D5C08" w:rsidP="00442077">
      <w:pPr>
        <w:pStyle w:val="ListBullet"/>
        <w:tabs>
          <w:tab w:val="clear" w:pos="1191"/>
        </w:tabs>
        <w:ind w:left="1191" w:hanging="340"/>
      </w:pPr>
      <w:r w:rsidRPr="00CF15BB">
        <w:rPr>
          <w:b/>
        </w:rPr>
        <w:t>Tariff regulation</w:t>
      </w:r>
      <w:r w:rsidR="00442077">
        <w:rPr>
          <w:b/>
        </w:rPr>
        <w:t>.</w:t>
      </w:r>
      <w:r w:rsidR="00442077">
        <w:t xml:space="preserve"> </w:t>
      </w:r>
      <w:r w:rsidRPr="00231C4F">
        <w:t>Tariff regulation involves making decisions to constrain the prices that can be levied by infrastructure operators.</w:t>
      </w:r>
    </w:p>
    <w:p w:rsidR="008D5C08" w:rsidRDefault="008D5C08" w:rsidP="00442077">
      <w:pPr>
        <w:pStyle w:val="ListBullet"/>
        <w:tabs>
          <w:tab w:val="clear" w:pos="1191"/>
        </w:tabs>
        <w:ind w:left="1191" w:hanging="340"/>
      </w:pPr>
      <w:r w:rsidRPr="00CF15BB">
        <w:rPr>
          <w:b/>
        </w:rPr>
        <w:t>Access regulation</w:t>
      </w:r>
      <w:r w:rsidR="00442077">
        <w:rPr>
          <w:b/>
        </w:rPr>
        <w:t>.</w:t>
      </w:r>
      <w:r w:rsidR="00442077">
        <w:t xml:space="preserve"> </w:t>
      </w:r>
      <w:r w:rsidRPr="00231C4F">
        <w:t>Access regulation</w:t>
      </w:r>
      <w:r>
        <w:t xml:space="preserve"> places an obligation on an infrastructure operator to provide access to that facility to third parties and can involve the regulator being involved in setting the terms on which this access occurs (tariff and non-tariff). Additionally, some respondents that cited access regulation among their functions had a role in assessing the level of competition in markets and whether access regulation was needed. </w:t>
      </w:r>
    </w:p>
    <w:p w:rsidR="008D5C08" w:rsidRPr="00DA15B1" w:rsidRDefault="008D5C08" w:rsidP="00C646CB">
      <w:pPr>
        <w:pStyle w:val="ListBullet"/>
        <w:numPr>
          <w:ilvl w:val="0"/>
          <w:numId w:val="0"/>
        </w:numPr>
        <w:tabs>
          <w:tab w:val="clear" w:pos="1191"/>
        </w:tabs>
        <w:ind w:left="1191"/>
      </w:pPr>
      <w:r w:rsidRPr="00DA15B1">
        <w:t xml:space="preserve">While </w:t>
      </w:r>
      <w:r>
        <w:t xml:space="preserve">tariff regulation could be considered to be a subset of access regulation </w:t>
      </w:r>
      <w:r w:rsidRPr="00DA15B1">
        <w:t xml:space="preserve">(as both </w:t>
      </w:r>
      <w:r>
        <w:t xml:space="preserve">can </w:t>
      </w:r>
      <w:r w:rsidRPr="00DA15B1">
        <w:t xml:space="preserve">involve </w:t>
      </w:r>
      <w:r>
        <w:t xml:space="preserve">the regulation of </w:t>
      </w:r>
      <w:r w:rsidRPr="00DA15B1">
        <w:t>tariff</w:t>
      </w:r>
      <w:r>
        <w:t>s</w:t>
      </w:r>
      <w:r w:rsidRPr="00DA15B1">
        <w:t xml:space="preserve">), </w:t>
      </w:r>
      <w:r>
        <w:t>they have been separated</w:t>
      </w:r>
      <w:r w:rsidR="00AA09F9">
        <w:t xml:space="preserve"> in the above Figure</w:t>
      </w:r>
      <w:r>
        <w:t xml:space="preserve"> because </w:t>
      </w:r>
      <w:r w:rsidRPr="00DA15B1">
        <w:t>some survey respondents reported being responsible for tariff regulation but not access regulation.</w:t>
      </w:r>
      <w:r>
        <w:t xml:space="preserve"> Responses that cited both tariff setting and access regulation were separately coded.</w:t>
      </w:r>
    </w:p>
    <w:p w:rsidR="008D5C08" w:rsidRPr="008F6298" w:rsidRDefault="008D5C08" w:rsidP="00442077">
      <w:pPr>
        <w:pStyle w:val="ListBullet"/>
        <w:tabs>
          <w:tab w:val="clear" w:pos="1191"/>
        </w:tabs>
        <w:ind w:left="1191" w:hanging="340"/>
      </w:pPr>
      <w:r w:rsidRPr="00CF15BB">
        <w:rPr>
          <w:b/>
        </w:rPr>
        <w:t>Monitoring</w:t>
      </w:r>
      <w:r w:rsidR="00442077">
        <w:rPr>
          <w:b/>
        </w:rPr>
        <w:t>.</w:t>
      </w:r>
      <w:r w:rsidR="00442077">
        <w:t xml:space="preserve"> </w:t>
      </w:r>
      <w:r>
        <w:t>Economic regulator</w:t>
      </w:r>
      <w:r w:rsidRPr="00231C4F">
        <w:t xml:space="preserve">s also commonly have roles in monitoring infrastructure industries. There are different rationales </w:t>
      </w:r>
      <w:r w:rsidRPr="00231C4F">
        <w:lastRenderedPageBreak/>
        <w:t>for monitoring. Monitoring can be to provide information (such as profitability or measures of quality of service) on the performance of an industry to government and stakeholders, to encourage competition through comparison, or as a light</w:t>
      </w:r>
      <w:r>
        <w:t>-</w:t>
      </w:r>
      <w:r w:rsidRPr="00231C4F">
        <w:t>handed form of regulation where there are concerns about the level of competition in an infrastructure industry where further information on the behaviour of the market participants may justify heavy</w:t>
      </w:r>
      <w:r>
        <w:t>-</w:t>
      </w:r>
      <w:r w:rsidRPr="00231C4F">
        <w:t>handed regulation in the future.</w:t>
      </w:r>
    </w:p>
    <w:p w:rsidR="008D5C08" w:rsidRDefault="008D5C08" w:rsidP="00442077">
      <w:pPr>
        <w:pStyle w:val="ListBullet"/>
        <w:tabs>
          <w:tab w:val="clear" w:pos="1191"/>
        </w:tabs>
        <w:ind w:left="1191" w:hanging="340"/>
      </w:pPr>
      <w:r w:rsidRPr="00CF15BB">
        <w:rPr>
          <w:b/>
        </w:rPr>
        <w:t>Dispute resolution</w:t>
      </w:r>
      <w:r w:rsidR="00442077">
        <w:rPr>
          <w:b/>
        </w:rPr>
        <w:t>.</w:t>
      </w:r>
      <w:r w:rsidR="00442077">
        <w:t xml:space="preserve"> </w:t>
      </w:r>
      <w:r>
        <w:t xml:space="preserve">In some instances, economic regulators can be involved in arbitrating and resolving disputes over the tariff and non-tariff conditions on which infrastructure operators provide services. </w:t>
      </w:r>
    </w:p>
    <w:p w:rsidR="008D5C08" w:rsidRDefault="008D5C08" w:rsidP="00442077">
      <w:pPr>
        <w:pStyle w:val="ListBullet"/>
        <w:tabs>
          <w:tab w:val="clear" w:pos="1191"/>
        </w:tabs>
        <w:ind w:left="1191" w:hanging="340"/>
      </w:pPr>
      <w:r w:rsidRPr="00CF15BB">
        <w:rPr>
          <w:b/>
        </w:rPr>
        <w:t>Standards</w:t>
      </w:r>
      <w:r w:rsidR="00442077">
        <w:rPr>
          <w:b/>
        </w:rPr>
        <w:t>.</w:t>
      </w:r>
      <w:r w:rsidR="00442077">
        <w:t xml:space="preserve"> S</w:t>
      </w:r>
      <w:r w:rsidRPr="00231C4F">
        <w:t>ome regulators are involved in setting technical standards in addition to conducting their economic regulatory functions. For example some water regulators are responsible for setting quality standards for drinking water.</w:t>
      </w:r>
      <w:r>
        <w:t xml:space="preserve"> </w:t>
      </w:r>
    </w:p>
    <w:p w:rsidR="008D5C08" w:rsidRPr="003433E9" w:rsidRDefault="008D5C08" w:rsidP="00714DA0">
      <w:pPr>
        <w:pStyle w:val="Heading2"/>
        <w:rPr>
          <w:color w:val="4E81BD"/>
        </w:rPr>
      </w:pPr>
      <w:bookmarkStart w:id="14" w:name="_Toc471464162"/>
      <w:r w:rsidRPr="003433E9">
        <w:rPr>
          <w:color w:val="4E81BD"/>
        </w:rPr>
        <w:t>How is infrastructure delivered and funded?</w:t>
      </w:r>
      <w:bookmarkEnd w:id="14"/>
    </w:p>
    <w:p w:rsidR="008D5C08" w:rsidRDefault="008D5C08" w:rsidP="00714DA0">
      <w:pPr>
        <w:pStyle w:val="BodyText"/>
      </w:pPr>
      <w:r>
        <w:t>A</w:t>
      </w:r>
      <w:r w:rsidRPr="00231C4F">
        <w:t>s set out in OECD (2015</w:t>
      </w:r>
      <w:r>
        <w:t>b</w:t>
      </w:r>
      <w:r w:rsidRPr="00231C4F">
        <w:t xml:space="preserve">), </w:t>
      </w:r>
      <w:r>
        <w:t>there are a number of approaches that can be used to deliver pubic infrastructure, and they are set out in Box 2.1.</w:t>
      </w:r>
    </w:p>
    <w:tbl>
      <w:tblPr>
        <w:tblStyle w:val="TableGrid"/>
        <w:tblW w:w="6464" w:type="dxa"/>
        <w:jc w:val="center"/>
        <w:shd w:val="clear" w:color="auto" w:fill="F4FFFF"/>
        <w:tblLook w:val="04A0" w:firstRow="1" w:lastRow="0" w:firstColumn="1" w:lastColumn="0" w:noHBand="0" w:noVBand="1"/>
      </w:tblPr>
      <w:tblGrid>
        <w:gridCol w:w="6464"/>
      </w:tblGrid>
      <w:tr w:rsidR="008D5C08" w:rsidTr="00C32CA6">
        <w:trPr>
          <w:jc w:val="center"/>
        </w:trPr>
        <w:tc>
          <w:tcPr>
            <w:tcW w:w="9684" w:type="dxa"/>
            <w:shd w:val="clear" w:color="auto" w:fill="F4FFFF"/>
          </w:tcPr>
          <w:p w:rsidR="008D5C08" w:rsidRDefault="008D5C08" w:rsidP="00714DA0">
            <w:pPr>
              <w:pStyle w:val="BoxHeading"/>
            </w:pPr>
            <w:r w:rsidRPr="003433E9">
              <w:rPr>
                <w:b w:val="0"/>
                <w:bCs w:val="0"/>
              </w:rPr>
              <w:t>Box 2.1.</w:t>
            </w:r>
            <w:r>
              <w:t xml:space="preserve"> Modes of infrastructure delivery </w:t>
            </w:r>
          </w:p>
          <w:p w:rsidR="008D5C08" w:rsidRPr="008E01CA" w:rsidRDefault="008D5C08" w:rsidP="00C646CB">
            <w:pPr>
              <w:pStyle w:val="BoxBodyText"/>
              <w:ind w:firstLine="0"/>
            </w:pPr>
            <w:r w:rsidRPr="008E01CA">
              <w:t>OECD (2015) defines a number of different modes of infrastructure delivery:</w:t>
            </w:r>
          </w:p>
          <w:p w:rsidR="008D5C08" w:rsidRPr="003A2F95" w:rsidRDefault="008D5C08" w:rsidP="00714DA0">
            <w:pPr>
              <w:pStyle w:val="BoxHeading2"/>
            </w:pPr>
            <w:r>
              <w:t>“</w:t>
            </w:r>
            <w:r w:rsidRPr="003A2F95">
              <w:t>Direct provision</w:t>
            </w:r>
            <w:r>
              <w:t>”</w:t>
            </w:r>
          </w:p>
          <w:p w:rsidR="008D5C08" w:rsidRPr="00346EED" w:rsidRDefault="008D5C08" w:rsidP="00714DA0">
            <w:pPr>
              <w:pStyle w:val="BoxBodyText"/>
            </w:pPr>
            <w:r w:rsidRPr="00346EED">
              <w:t xml:space="preserve">Direct provision of infrastructure involves the government taking responsibility for all aspects of infrastructure delivery, including financing, construction and subsequent service delivery. This mode affords the government a maximum level of control over the infrastructure asset. </w:t>
            </w:r>
          </w:p>
          <w:p w:rsidR="008D5C08" w:rsidRPr="003A2F95" w:rsidRDefault="008D5C08" w:rsidP="00714DA0">
            <w:pPr>
              <w:pStyle w:val="BoxHeading2"/>
            </w:pPr>
            <w:r w:rsidRPr="003A2F95">
              <w:t>Traditional public procurement</w:t>
            </w:r>
          </w:p>
          <w:p w:rsidR="008D5C08" w:rsidRPr="00346EED" w:rsidRDefault="008D5C08" w:rsidP="00714DA0">
            <w:pPr>
              <w:pStyle w:val="BoxBodyText"/>
            </w:pPr>
            <w:r>
              <w:t>I</w:t>
            </w:r>
            <w:r w:rsidRPr="00346EED">
              <w:t xml:space="preserve">n the traditional public procurement mode, a government body contracts with private partners to provide infrastructure-based goods and services. The government will contract separately for the design, construction, operation and maintenance of infrastructure assets. Contracts are allocated using competitive tender processes in order to obtain the optimal bundle of quality features and price. </w:t>
            </w:r>
          </w:p>
          <w:p w:rsidR="008D5C08" w:rsidRPr="003A2F95" w:rsidRDefault="008D5C08" w:rsidP="00714DA0">
            <w:pPr>
              <w:pStyle w:val="BoxHeading2"/>
            </w:pPr>
            <w:r w:rsidRPr="003A2F95">
              <w:t>State-owned enterprises (in full or in part)</w:t>
            </w:r>
          </w:p>
          <w:p w:rsidR="008D5C08" w:rsidRPr="00346EED" w:rsidRDefault="008D5C08" w:rsidP="00714DA0">
            <w:pPr>
              <w:pStyle w:val="BoxBodyText"/>
            </w:pPr>
            <w:r w:rsidRPr="00346EED">
              <w:lastRenderedPageBreak/>
              <w:t xml:space="preserve">Infrastructure, particularly in network industries such as water, public transport and electricity is often provided by state-owned enterprises (SOEs) that are owned (fully or partially) by the government. The government may relinquish infrastructure investments to an SOE if the latter is able to raise finance independently, although the actual investment decision may still be subject to government controls if they have fiscal implications. This may be an efficient mechanism for the delivery of infrastructure, especially if the SOE is be "corporatised" as an independent legal entity and subjected to commercial pressures. An efficient solution further calls for the state’s roles as enterprise owner and regulator to be conducted separately. </w:t>
            </w:r>
          </w:p>
          <w:p w:rsidR="008D5C08" w:rsidRPr="003A2F95" w:rsidRDefault="008D5C08" w:rsidP="00714DA0">
            <w:pPr>
              <w:pStyle w:val="BoxHeading2"/>
            </w:pPr>
            <w:r>
              <w:t>Public-p</w:t>
            </w:r>
            <w:r w:rsidRPr="003A2F95">
              <w:t xml:space="preserve">rivate </w:t>
            </w:r>
            <w:r>
              <w:t>p</w:t>
            </w:r>
            <w:r w:rsidRPr="003A2F95">
              <w:t xml:space="preserve">artnerships and </w:t>
            </w:r>
            <w:r>
              <w:t>c</w:t>
            </w:r>
            <w:r w:rsidRPr="003A2F95">
              <w:t>oncessions</w:t>
            </w:r>
          </w:p>
          <w:p w:rsidR="008D5C08" w:rsidRPr="00346EED" w:rsidRDefault="008D5C08" w:rsidP="00714DA0">
            <w:pPr>
              <w:pStyle w:val="BoxBodyText"/>
            </w:pPr>
            <w:r w:rsidRPr="00346EED">
              <w:t xml:space="preserve">Public-private partnerships (PPPs) involve private investors financing and managing the construction of an infrastructure asset, which they then typically operate and maintain for a long period, often extending to 20 or 30 years. In return, the private partner receives a stream of payments to cover the capital expense as well as the operating and maintenance costs. This payment stream may be derived from the national budget, user fees or a combination of the two. Private firms are responsible for financing, constructing and operating the infrastructure assets. Governments retain control over project selection, establish the framework conditions and retain some regulatory powers. </w:t>
            </w:r>
          </w:p>
          <w:p w:rsidR="008D5C08" w:rsidRPr="003A2F95" w:rsidRDefault="008D5C08" w:rsidP="00714DA0">
            <w:pPr>
              <w:pStyle w:val="BoxHeading2"/>
            </w:pPr>
            <w:r w:rsidRPr="003A2F95">
              <w:t>Privatisation with regulation</w:t>
            </w:r>
          </w:p>
          <w:p w:rsidR="008D5C08" w:rsidRDefault="008D5C08" w:rsidP="00714DA0">
            <w:pPr>
              <w:pStyle w:val="BoxBodyText"/>
            </w:pPr>
            <w:r w:rsidRPr="003A2F95">
              <w:t>When conditions for a competitive market exist in a particular sector, private firms subject to the discipline of market forces may provide the most efficient mechanism for the provision of infrastructure. In this mode of infrastructure delivery, private firms are not only responsible for the financing and delivery of infrastructure, but they also make investment decisions relating to which infrastructure assets to build. There are many cases of privatisation of sectors with market failures, e.g. water and energy. When privatisation has been the preferred option, governments have in parallel strengthened regulatory oversight in the sectors at stake – this has been notably the case with the establishment of independent regulators in the energy and water sectors when systems have been privatised.</w:t>
            </w:r>
            <w:r>
              <w:t>”</w:t>
            </w:r>
            <w:r w:rsidRPr="00346EED" w:rsidDel="00346EED">
              <w:t xml:space="preserve"> </w:t>
            </w:r>
          </w:p>
          <w:p w:rsidR="008D5C08" w:rsidRDefault="008D5C08" w:rsidP="00714DA0">
            <w:pPr>
              <w:pStyle w:val="BoxSource"/>
            </w:pPr>
            <w:r w:rsidRPr="008E01CA">
              <w:rPr>
                <w:i/>
                <w:iCs/>
              </w:rPr>
              <w:t>Source</w:t>
            </w:r>
            <w:r w:rsidRPr="003A2F95">
              <w:t xml:space="preserve"> : OECD (2015), “Towards a Framework for the Governance of Infrastructure”, </w:t>
            </w:r>
            <w:hyperlink r:id="rId38" w:history="1">
              <w:r w:rsidRPr="003F0D8E">
                <w:rPr>
                  <w:rStyle w:val="Hyperlink"/>
                </w:rPr>
                <w:t>https://www.oecd.org/gov/budgeting/Towards-a-Framework-for-the-Governance-of-Infrastructure.pdf</w:t>
              </w:r>
            </w:hyperlink>
            <w:r>
              <w:t xml:space="preserve"> (accessed 15 December 2016).</w:t>
            </w:r>
          </w:p>
        </w:tc>
      </w:tr>
    </w:tbl>
    <w:p w:rsidR="008D5C08" w:rsidRPr="00F8268F" w:rsidRDefault="008D5C08" w:rsidP="00714DA0">
      <w:pPr>
        <w:pStyle w:val="BodyText"/>
      </w:pPr>
    </w:p>
    <w:p w:rsidR="008D5C08" w:rsidRDefault="008D5C08" w:rsidP="00714DA0">
      <w:pPr>
        <w:pStyle w:val="BodyText"/>
      </w:pPr>
      <w:r w:rsidRPr="003A1840">
        <w:t>Figure 2.5 sets out methods of infrastructure delivery in survey responses.</w:t>
      </w:r>
      <w:r w:rsidRPr="00F8268F">
        <w:t xml:space="preserve"> </w:t>
      </w:r>
    </w:p>
    <w:p w:rsidR="008D5C08" w:rsidRDefault="008D5C08" w:rsidP="00714DA0">
      <w:pPr>
        <w:pStyle w:val="FigureTitle"/>
      </w:pPr>
      <w:r w:rsidRPr="008E01CA">
        <w:rPr>
          <w:b w:val="0"/>
          <w:bCs w:val="0"/>
        </w:rPr>
        <w:lastRenderedPageBreak/>
        <w:t>Figure 2.5.</w:t>
      </w:r>
      <w:r>
        <w:t xml:space="preserve"> Infrastructure delivery modes</w:t>
      </w:r>
      <w:r>
        <w:fldChar w:fldCharType="begin"/>
      </w:r>
      <w:r>
        <w:instrText xml:space="preserve"> TC \f f \l 2 "Figure 2.5. Infrastructure delivery modes"  </w:instrText>
      </w:r>
      <w:r>
        <w:fldChar w:fldCharType="end"/>
      </w:r>
    </w:p>
    <w:p w:rsidR="008D5C08" w:rsidRDefault="00D83FEB" w:rsidP="00714DA0">
      <w:pPr>
        <w:pStyle w:val="Graphic"/>
        <w:spacing w:after="0"/>
      </w:pPr>
      <w:r>
        <w:rPr>
          <w:noProof/>
          <w:lang w:eastAsia="en-GB"/>
        </w:rPr>
        <w:drawing>
          <wp:inline distT="0" distB="0" distL="0" distR="0" wp14:anchorId="700A90CD" wp14:editId="60620EBE">
            <wp:extent cx="4752975" cy="1730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5.eps"/>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752975" cy="1730375"/>
                    </a:xfrm>
                    <a:prstGeom prst="rect">
                      <a:avLst/>
                    </a:prstGeom>
                  </pic:spPr>
                </pic:pic>
              </a:graphicData>
            </a:graphic>
          </wp:inline>
        </w:drawing>
      </w:r>
    </w:p>
    <w:p w:rsidR="008D5C08" w:rsidRPr="00CB6675" w:rsidRDefault="008D5C08" w:rsidP="00F92F54">
      <w:pPr>
        <w:pStyle w:val="FigureNote"/>
      </w:pPr>
      <w:r>
        <w:rPr>
          <w:i/>
        </w:rPr>
        <w:t xml:space="preserve">Note: </w:t>
      </w:r>
      <w:r>
        <w:t xml:space="preserve">This </w:t>
      </w:r>
      <w:r w:rsidR="00442077">
        <w:t>figure</w:t>
      </w:r>
      <w:r>
        <w:t xml:space="preserve"> includes information from 68 sectors and subsectors.</w:t>
      </w:r>
    </w:p>
    <w:p w:rsidR="008D5C08" w:rsidRPr="003A1840" w:rsidRDefault="008D5C08" w:rsidP="00714DA0">
      <w:pPr>
        <w:pStyle w:val="SourceDescription"/>
      </w:pPr>
      <w:r w:rsidRPr="001346B3">
        <w:rPr>
          <w:i/>
        </w:rPr>
        <w:t>Source</w:t>
      </w:r>
      <w:r>
        <w:t xml:space="preserve">: </w:t>
      </w:r>
      <w:r w:rsidRPr="003A1840">
        <w:t>The Role of Regulators in the Governance of Infrastructure Survey 2016.</w:t>
      </w:r>
    </w:p>
    <w:p w:rsidR="008D5C08" w:rsidRPr="003A1840" w:rsidRDefault="008D5C08" w:rsidP="00714DA0">
      <w:pPr>
        <w:pStyle w:val="BodyText"/>
      </w:pPr>
      <w:r w:rsidRPr="003A1840">
        <w:t>Figure 2.5 shows that among the five alternative forms of infrastructure delivery mode, two modes stand out</w:t>
      </w:r>
      <w:r w:rsidR="00354711" w:rsidRPr="003A1840">
        <w:t> – </w:t>
      </w:r>
      <w:r w:rsidRPr="003A1840">
        <w:t xml:space="preserve">privatisation with regulation, and SOEs. Privatisation with regulation accounts for 41% of the reported delivery models, while SOEs account for 22% of the reported delivery models. The combination of privatisations with regulation and SOEs accounted for 63% of the total reported delivery modes. </w:t>
      </w:r>
    </w:p>
    <w:p w:rsidR="008D5C08" w:rsidRDefault="008D5C08" w:rsidP="00714DA0">
      <w:pPr>
        <w:pStyle w:val="BodyText"/>
      </w:pPr>
      <w:r w:rsidRPr="003A1840">
        <w:t>Figure 2.6 shows the extent to which tariffs set by economic regulators recover the costs of infrastructure.</w:t>
      </w:r>
      <w:r>
        <w:t xml:space="preserve"> </w:t>
      </w:r>
    </w:p>
    <w:p w:rsidR="008D5C08" w:rsidRDefault="008D5C08" w:rsidP="00714DA0">
      <w:pPr>
        <w:pStyle w:val="FigureTitle"/>
      </w:pPr>
      <w:r w:rsidRPr="008E01CA">
        <w:rPr>
          <w:b w:val="0"/>
          <w:bCs w:val="0"/>
        </w:rPr>
        <w:lastRenderedPageBreak/>
        <w:t>Figure 2.6.</w:t>
      </w:r>
      <w:r>
        <w:t xml:space="preserve"> Infrastructure cost recovery mechanisms</w:t>
      </w:r>
    </w:p>
    <w:p w:rsidR="008D5C08" w:rsidRDefault="00D83FEB" w:rsidP="00714DA0">
      <w:pPr>
        <w:pStyle w:val="Graphic"/>
      </w:pPr>
      <w:r>
        <w:rPr>
          <w:noProof/>
          <w:lang w:eastAsia="en-GB"/>
        </w:rPr>
        <w:drawing>
          <wp:inline distT="0" distB="0" distL="0" distR="0" wp14:anchorId="2CDC7C0C" wp14:editId="218F96DA">
            <wp:extent cx="1990725" cy="2476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6.eps"/>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990725" cy="2476500"/>
                    </a:xfrm>
                    <a:prstGeom prst="rect">
                      <a:avLst/>
                    </a:prstGeom>
                  </pic:spPr>
                </pic:pic>
              </a:graphicData>
            </a:graphic>
          </wp:inline>
        </w:drawing>
      </w:r>
    </w:p>
    <w:p w:rsidR="008D5C08" w:rsidRPr="003A1840" w:rsidRDefault="008D5C08" w:rsidP="00F92F54">
      <w:pPr>
        <w:pStyle w:val="FigureNote"/>
      </w:pPr>
      <w:r>
        <w:rPr>
          <w:i/>
        </w:rPr>
        <w:t xml:space="preserve">Note: </w:t>
      </w:r>
      <w:r w:rsidRPr="003A1840">
        <w:t xml:space="preserve">This </w:t>
      </w:r>
      <w:r w:rsidR="00442077" w:rsidRPr="003A1840">
        <w:t>figure</w:t>
      </w:r>
      <w:r w:rsidRPr="003A1840">
        <w:t xml:space="preserve"> includes information from 51 sectors and subsectors.</w:t>
      </w:r>
    </w:p>
    <w:p w:rsidR="008D5C08" w:rsidRPr="003A1840" w:rsidRDefault="008D5C08" w:rsidP="00714DA0">
      <w:pPr>
        <w:pStyle w:val="SourceDescription"/>
      </w:pPr>
      <w:r w:rsidRPr="003A1840">
        <w:rPr>
          <w:i/>
        </w:rPr>
        <w:t>Source</w:t>
      </w:r>
      <w:r w:rsidRPr="003A1840">
        <w:t>: The Role of Regulators in the Governance of Infrastructure Survey 2016.</w:t>
      </w:r>
    </w:p>
    <w:p w:rsidR="008D5C08" w:rsidRPr="003A1840" w:rsidRDefault="008D5C08" w:rsidP="00714DA0">
      <w:pPr>
        <w:pStyle w:val="BodyText"/>
      </w:pPr>
      <w:r w:rsidRPr="003A1840">
        <w:t>In Figure 2.6, infrastructure cost recovery is separated into three groups:</w:t>
      </w:r>
    </w:p>
    <w:p w:rsidR="008D5C08" w:rsidRPr="003A1840" w:rsidRDefault="008D5C08" w:rsidP="002649F9">
      <w:pPr>
        <w:pStyle w:val="ListBullet"/>
        <w:tabs>
          <w:tab w:val="clear" w:pos="1191"/>
        </w:tabs>
        <w:ind w:left="1191" w:hanging="340"/>
      </w:pPr>
      <w:r w:rsidRPr="003A1840">
        <w:rPr>
          <w:b/>
        </w:rPr>
        <w:t>Primarily tariffs</w:t>
      </w:r>
      <w:r w:rsidR="00354711" w:rsidRPr="003A1840">
        <w:t> – </w:t>
      </w:r>
      <w:r w:rsidRPr="003A1840">
        <w:t xml:space="preserve">where survey responses indicated that infrastructure cost recovery was between 85% and 100%. Within this category of responses are responses which indicated that tariffs recovered in excess of 95% of infrastructure costs, while also noting they had received some contributions from EU funds. </w:t>
      </w:r>
    </w:p>
    <w:p w:rsidR="008D5C08" w:rsidRPr="003A1840" w:rsidRDefault="008D5C08" w:rsidP="002649F9">
      <w:pPr>
        <w:pStyle w:val="ListBullet"/>
        <w:tabs>
          <w:tab w:val="clear" w:pos="1191"/>
        </w:tabs>
        <w:ind w:left="1191" w:hanging="340"/>
        <w:rPr>
          <w:b/>
        </w:rPr>
      </w:pPr>
      <w:r w:rsidRPr="003A1840">
        <w:rPr>
          <w:b/>
        </w:rPr>
        <w:t>Tariffs and subsidies</w:t>
      </w:r>
      <w:r w:rsidR="00354711" w:rsidRPr="003A1840">
        <w:t> – </w:t>
      </w:r>
      <w:r w:rsidRPr="003A1840">
        <w:t>where survey responses indicted that infrastructure cost recovery was less than 85%.</w:t>
      </w:r>
    </w:p>
    <w:p w:rsidR="008D5C08" w:rsidRPr="003A1840" w:rsidRDefault="008D5C08" w:rsidP="002649F9">
      <w:pPr>
        <w:pStyle w:val="ListBullet"/>
        <w:tabs>
          <w:tab w:val="clear" w:pos="1191"/>
        </w:tabs>
        <w:ind w:left="1191" w:hanging="340"/>
      </w:pPr>
      <w:r w:rsidRPr="003A1840">
        <w:rPr>
          <w:b/>
        </w:rPr>
        <w:t>Subsidies only</w:t>
      </w:r>
      <w:r w:rsidR="00354711" w:rsidRPr="003A1840">
        <w:t> – </w:t>
      </w:r>
      <w:r w:rsidRPr="003A1840">
        <w:t xml:space="preserve">where all infrastructure costs are borne by government. </w:t>
      </w:r>
    </w:p>
    <w:p w:rsidR="008D5C08" w:rsidRPr="00BE3BF1" w:rsidRDefault="008D5C08" w:rsidP="00714DA0">
      <w:pPr>
        <w:pStyle w:val="BodyText"/>
      </w:pPr>
      <w:r w:rsidRPr="003A1840">
        <w:t>Figure 2.6 shows that tariffs are the primary mechanism of recovering the costs of infrastructure for the sectors and subsectors surveyed (81%), while tariffs and subsides were the mechanism for cost recovery in 19% of the sectors and subsectors that responded to the question.</w:t>
      </w:r>
    </w:p>
    <w:p w:rsidR="008D5C08" w:rsidRPr="003150AE" w:rsidRDefault="008D5C08" w:rsidP="00714DA0">
      <w:pPr>
        <w:pStyle w:val="Heading2"/>
        <w:rPr>
          <w:color w:val="4E81BD"/>
        </w:rPr>
      </w:pPr>
      <w:bookmarkStart w:id="15" w:name="_Toc471464163"/>
      <w:r w:rsidRPr="003150AE">
        <w:rPr>
          <w:color w:val="4E81BD"/>
        </w:rPr>
        <w:lastRenderedPageBreak/>
        <w:t>Infrastructure needs</w:t>
      </w:r>
      <w:bookmarkEnd w:id="15"/>
    </w:p>
    <w:p w:rsidR="008D5C08" w:rsidRPr="00DE6C23" w:rsidRDefault="008D5C08" w:rsidP="00714DA0">
      <w:pPr>
        <w:pStyle w:val="BodyText"/>
      </w:pPr>
      <w:r>
        <w:t xml:space="preserve">The survey asked economic regulators to report identify the most important infrastructure needs in their sector, in light of the following categories: </w:t>
      </w:r>
    </w:p>
    <w:p w:rsidR="008D5C08" w:rsidRPr="00231C4F" w:rsidRDefault="008D5C08" w:rsidP="002649F9">
      <w:pPr>
        <w:pStyle w:val="ListBullet"/>
        <w:tabs>
          <w:tab w:val="clear" w:pos="1191"/>
        </w:tabs>
        <w:ind w:left="1191" w:hanging="340"/>
      </w:pPr>
      <w:r w:rsidRPr="00231C4F">
        <w:t>Increase in capacity to meet demand</w:t>
      </w:r>
    </w:p>
    <w:p w:rsidR="008D5C08" w:rsidRPr="00231C4F" w:rsidRDefault="008D5C08" w:rsidP="002649F9">
      <w:pPr>
        <w:pStyle w:val="ListBullet"/>
        <w:tabs>
          <w:tab w:val="clear" w:pos="1191"/>
        </w:tabs>
        <w:ind w:left="1191" w:hanging="340"/>
      </w:pPr>
      <w:r w:rsidRPr="00231C4F">
        <w:t>Replacement / renewal</w:t>
      </w:r>
    </w:p>
    <w:p w:rsidR="008D5C08" w:rsidRPr="00231C4F" w:rsidRDefault="008D5C08" w:rsidP="002649F9">
      <w:pPr>
        <w:pStyle w:val="ListBullet"/>
        <w:tabs>
          <w:tab w:val="clear" w:pos="1191"/>
        </w:tabs>
        <w:ind w:left="1191" w:hanging="340"/>
      </w:pPr>
      <w:r w:rsidRPr="00231C4F">
        <w:t>Investment to meet new regulatory obligations (safety, environmental, etc.)</w:t>
      </w:r>
    </w:p>
    <w:p w:rsidR="008D5C08" w:rsidRPr="003A1840" w:rsidRDefault="008D5C08" w:rsidP="002649F9">
      <w:pPr>
        <w:pStyle w:val="ListBullet"/>
        <w:tabs>
          <w:tab w:val="clear" w:pos="1191"/>
        </w:tabs>
        <w:ind w:left="1191" w:hanging="340"/>
      </w:pPr>
      <w:r w:rsidRPr="003A1840">
        <w:t>Maintenance</w:t>
      </w:r>
    </w:p>
    <w:p w:rsidR="008D5C08" w:rsidRPr="003A1840" w:rsidRDefault="008D5C08" w:rsidP="002649F9">
      <w:pPr>
        <w:pStyle w:val="ListBullet"/>
        <w:tabs>
          <w:tab w:val="clear" w:pos="1191"/>
        </w:tabs>
        <w:ind w:left="1191" w:hanging="340"/>
      </w:pPr>
      <w:r w:rsidRPr="003A1840">
        <w:t>Upgrade to integrate new technologies</w:t>
      </w:r>
    </w:p>
    <w:p w:rsidR="008D5C08" w:rsidRPr="003A1840" w:rsidRDefault="008D5C08" w:rsidP="002649F9">
      <w:pPr>
        <w:pStyle w:val="ListBullet"/>
        <w:tabs>
          <w:tab w:val="clear" w:pos="1191"/>
        </w:tabs>
        <w:ind w:left="1191" w:hanging="340"/>
      </w:pPr>
      <w:r w:rsidRPr="003A1840">
        <w:t>Maintaining or improving service quality (QOS)</w:t>
      </w:r>
    </w:p>
    <w:p w:rsidR="008D5C08" w:rsidRPr="003A1840" w:rsidRDefault="008D5C08" w:rsidP="002649F9">
      <w:pPr>
        <w:pStyle w:val="ListBullet"/>
        <w:tabs>
          <w:tab w:val="clear" w:pos="1191"/>
        </w:tabs>
        <w:ind w:left="1191" w:hanging="340"/>
      </w:pPr>
      <w:r w:rsidRPr="003A1840">
        <w:t>Decommissioning.</w:t>
      </w:r>
    </w:p>
    <w:p w:rsidR="008D5C08" w:rsidRDefault="008D5C08" w:rsidP="00714DA0">
      <w:pPr>
        <w:pStyle w:val="BodyText"/>
      </w:pPr>
      <w:r w:rsidRPr="003A1840">
        <w:t>Figure 2.7 sets out the most important infrastructure needs identified for sectors and subsectors subject to economic regulation over the last five years.</w:t>
      </w:r>
      <w:r>
        <w:t xml:space="preserve"> </w:t>
      </w:r>
    </w:p>
    <w:p w:rsidR="008D5C08" w:rsidRDefault="008D5C08" w:rsidP="00714DA0">
      <w:pPr>
        <w:pStyle w:val="FigureTitle"/>
      </w:pPr>
      <w:r w:rsidRPr="003150AE">
        <w:rPr>
          <w:b w:val="0"/>
          <w:bCs w:val="0"/>
        </w:rPr>
        <w:t>Figure 2.7.</w:t>
      </w:r>
      <w:r>
        <w:t xml:space="preserve"> Most important infrastructure needs over the last five years</w:t>
      </w:r>
      <w:r>
        <w:fldChar w:fldCharType="begin"/>
      </w:r>
      <w:r>
        <w:instrText xml:space="preserve"> TC \f f \l 2 "Figure 2.7. Most important infrastructure needs over the last five years"  </w:instrText>
      </w:r>
      <w:r>
        <w:fldChar w:fldCharType="end"/>
      </w:r>
    </w:p>
    <w:p w:rsidR="008D5C08" w:rsidRDefault="00D83FEB" w:rsidP="00714DA0">
      <w:pPr>
        <w:pStyle w:val="Graphic"/>
      </w:pPr>
      <w:r>
        <w:rPr>
          <w:noProof/>
          <w:lang w:eastAsia="en-GB"/>
        </w:rPr>
        <w:drawing>
          <wp:inline distT="0" distB="0" distL="0" distR="0" wp14:anchorId="1C9AEF68" wp14:editId="7EDF23D2">
            <wp:extent cx="1819275" cy="2476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8.eps"/>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19275" cy="2476500"/>
                    </a:xfrm>
                    <a:prstGeom prst="rect">
                      <a:avLst/>
                    </a:prstGeom>
                  </pic:spPr>
                </pic:pic>
              </a:graphicData>
            </a:graphic>
          </wp:inline>
        </w:drawing>
      </w:r>
    </w:p>
    <w:p w:rsidR="008D5C08" w:rsidRPr="003A1840" w:rsidRDefault="008D5C08" w:rsidP="00F92F54">
      <w:pPr>
        <w:pStyle w:val="FigureNote"/>
      </w:pPr>
      <w:r w:rsidRPr="00C35F23">
        <w:rPr>
          <w:i/>
        </w:rPr>
        <w:t xml:space="preserve">Note: </w:t>
      </w:r>
      <w:r w:rsidRPr="00C35F23">
        <w:t xml:space="preserve">This </w:t>
      </w:r>
      <w:r w:rsidR="00442077">
        <w:t>figure</w:t>
      </w:r>
      <w:r w:rsidRPr="00C35F23">
        <w:t xml:space="preserve"> </w:t>
      </w:r>
      <w:r w:rsidRPr="003A1840">
        <w:t>includes information from 63 sectors and subsectors.</w:t>
      </w:r>
    </w:p>
    <w:p w:rsidR="008D5C08" w:rsidRDefault="008D5C08" w:rsidP="00714DA0">
      <w:pPr>
        <w:pStyle w:val="SourceDescription"/>
      </w:pPr>
      <w:r w:rsidRPr="003A1840">
        <w:t>Source: The Role of Regulators in the Governance of Infrastructure Survey</w:t>
      </w:r>
      <w:r>
        <w:t xml:space="preserve"> 2016.</w:t>
      </w:r>
    </w:p>
    <w:p w:rsidR="008D5C08" w:rsidRPr="003A1840" w:rsidRDefault="008D5C08" w:rsidP="00714DA0">
      <w:pPr>
        <w:pStyle w:val="BodyText"/>
      </w:pPr>
      <w:r w:rsidRPr="00276F98">
        <w:lastRenderedPageBreak/>
        <w:t xml:space="preserve">In an environment with a steady policy environment and slow technology change, it could be expected that the key investment drivers would be </w:t>
      </w:r>
      <w:r w:rsidRPr="003A1840">
        <w:t xml:space="preserve">investment to increase capacity as demand increases, and replacement as assets age over time. Interestingly, Figure 2.8 demonstrates that while capacity and replacement are important investment drivers, so too are upgrading to new technologies, and maintaining or improving service quality. In contrast, decommissioning and meeting new regulatory obligations were the least cited infrastructure needs. </w:t>
      </w:r>
    </w:p>
    <w:p w:rsidR="008D5C08" w:rsidRDefault="008D5C08" w:rsidP="00714DA0">
      <w:pPr>
        <w:pStyle w:val="BodyText"/>
      </w:pPr>
      <w:r w:rsidRPr="003A1840">
        <w:t>Figure 2.8 shows the most important infrastructure needs over the last five years by industry sector.</w:t>
      </w:r>
      <w:r w:rsidRPr="00231C4F">
        <w:t xml:space="preserve"> </w:t>
      </w:r>
    </w:p>
    <w:p w:rsidR="008D5C08" w:rsidRPr="008328F4" w:rsidRDefault="008D5C08" w:rsidP="00714DA0">
      <w:pPr>
        <w:pStyle w:val="FigureTitle"/>
      </w:pPr>
      <w:r w:rsidRPr="003150AE">
        <w:rPr>
          <w:b w:val="0"/>
          <w:bCs w:val="0"/>
        </w:rPr>
        <w:lastRenderedPageBreak/>
        <w:t>Figure 2.8.</w:t>
      </w:r>
      <w:r>
        <w:t xml:space="preserve"> Most important infrastructure needs over the last five years, by industry</w:t>
      </w:r>
      <w:r w:rsidR="00AA09F9">
        <w:t xml:space="preserve"> group  </w:t>
      </w:r>
      <w:r>
        <w:fldChar w:fldCharType="begin"/>
      </w:r>
      <w:r>
        <w:instrText xml:space="preserve"> TC \f f \l 2 "Figure 2.8. Most important infrastructure needs over the last five years, by industry group"  </w:instrText>
      </w:r>
      <w:r>
        <w:fldChar w:fldCharType="end"/>
      </w:r>
    </w:p>
    <w:p w:rsidR="008D5C08" w:rsidRDefault="008D5C08" w:rsidP="00714DA0">
      <w:pPr>
        <w:pStyle w:val="Graphic"/>
      </w:pPr>
      <w:r>
        <w:rPr>
          <w:noProof/>
          <w:lang w:eastAsia="en-GB"/>
        </w:rPr>
        <w:drawing>
          <wp:inline distT="0" distB="0" distL="0" distR="0" wp14:anchorId="516E3496" wp14:editId="0BE43DBB">
            <wp:extent cx="5286375" cy="490537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286375" cy="4905375"/>
                    </a:xfrm>
                    <a:prstGeom prst="rect">
                      <a:avLst/>
                    </a:prstGeom>
                  </pic:spPr>
                </pic:pic>
              </a:graphicData>
            </a:graphic>
          </wp:inline>
        </w:drawing>
      </w:r>
    </w:p>
    <w:p w:rsidR="008D5C08" w:rsidRPr="003A1840" w:rsidRDefault="008D5C08" w:rsidP="00F92F54">
      <w:pPr>
        <w:pStyle w:val="FigureNote"/>
      </w:pPr>
      <w:r w:rsidRPr="00C35F23">
        <w:rPr>
          <w:i/>
        </w:rPr>
        <w:t>Note</w:t>
      </w:r>
      <w:r w:rsidRPr="003A1840">
        <w:rPr>
          <w:i/>
        </w:rPr>
        <w:t xml:space="preserve">: </w:t>
      </w:r>
      <w:r w:rsidRPr="003A1840">
        <w:t xml:space="preserve">This </w:t>
      </w:r>
      <w:r w:rsidR="00442077" w:rsidRPr="003A1840">
        <w:t>figure</w:t>
      </w:r>
      <w:r w:rsidRPr="003A1840">
        <w:t xml:space="preserve"> includes information from 11 communications, 28 energy, 12 transport, and 8 water sectors and subsectors.</w:t>
      </w:r>
    </w:p>
    <w:p w:rsidR="008D5C08" w:rsidRPr="003A1840" w:rsidRDefault="008D5C08" w:rsidP="00714DA0">
      <w:pPr>
        <w:pStyle w:val="SourceDescription"/>
      </w:pPr>
      <w:r w:rsidRPr="003A1840">
        <w:rPr>
          <w:i/>
        </w:rPr>
        <w:t>Source</w:t>
      </w:r>
      <w:r w:rsidRPr="003A1840">
        <w:t>: The Role of Regulators in the Governance of Infrastructure Survey 2016.</w:t>
      </w:r>
    </w:p>
    <w:p w:rsidR="008D5C08" w:rsidRDefault="008D5C08" w:rsidP="00714DA0">
      <w:pPr>
        <w:pStyle w:val="BodyText"/>
      </w:pPr>
      <w:r w:rsidRPr="003A1840">
        <w:t>Similar to the results for all survey respondents, capacity and replacement have been important infrastructure needs over the last five years across the four industry sectors.</w:t>
      </w:r>
      <w:r>
        <w:t xml:space="preserve"> </w:t>
      </w:r>
    </w:p>
    <w:p w:rsidR="008D5C08" w:rsidRPr="00A93E57" w:rsidRDefault="008D5C08" w:rsidP="00714DA0">
      <w:pPr>
        <w:pStyle w:val="BodyText"/>
      </w:pPr>
      <w:r w:rsidRPr="00A93E57">
        <w:lastRenderedPageBreak/>
        <w:t>Interestingly in communications and transport</w:t>
      </w:r>
      <w:r>
        <w:t>,</w:t>
      </w:r>
      <w:r w:rsidRPr="00A93E57">
        <w:t xml:space="preserve"> the capacity and replacement investment </w:t>
      </w:r>
      <w:r>
        <w:t>needs</w:t>
      </w:r>
      <w:r w:rsidRPr="00A93E57">
        <w:t xml:space="preserve"> were of equal importance to investment to upgrade to integrate new technologies. In particular, in communications this investment </w:t>
      </w:r>
      <w:r>
        <w:t>need</w:t>
      </w:r>
      <w:r w:rsidRPr="00A93E57">
        <w:t xml:space="preserve"> was substantially larger than the replacement and capacity investment </w:t>
      </w:r>
      <w:r>
        <w:t>need</w:t>
      </w:r>
      <w:r w:rsidRPr="00A93E57">
        <w:t>.</w:t>
      </w:r>
    </w:p>
    <w:p w:rsidR="008D5C08" w:rsidRDefault="008D5C08" w:rsidP="00714DA0">
      <w:pPr>
        <w:pStyle w:val="BodyText"/>
      </w:pPr>
      <w:r>
        <w:t>In contrast, investment</w:t>
      </w:r>
      <w:r w:rsidRPr="00231C4F">
        <w:t xml:space="preserve"> to upgrade to new technologies was less important in energy and water industry sectors. </w:t>
      </w:r>
      <w:r>
        <w:t xml:space="preserve">In water, maintain or improving service quality was more frequently cited than increasing capacity to meet demand and was almost as frequently cited as replacement and renewal. In energy, the need to increase capacity to meet demand and replacement and renewal were the most frequently cited important infrastructure needs, with upgrading to integrate new technologies, QOS, maintenance and investment to meet new regulatory obligations all less frequently cited. </w:t>
      </w:r>
    </w:p>
    <w:p w:rsidR="008D5C08" w:rsidRDefault="008D5C08" w:rsidP="002D07A1">
      <w:pPr>
        <w:pStyle w:val="BodyText"/>
      </w:pPr>
      <w:r>
        <w:t xml:space="preserve">For all of the sectors, decommissioning was the least cited important infrastructure need, which was uncited in the transport and water industry groups of survey respondents. Having said that, the decommissioning of assets was cited as an important infrastructure need in the energy and communications industry groups. Reasons cited for decommissioning as an investment driver included ensuring that funds were set aside to pay for the eventual abandonment of pipeline infrastructure and the progressive shutting down of traditional access networks in telecommunications. </w:t>
      </w:r>
    </w:p>
    <w:p w:rsidR="008D5C08" w:rsidRPr="003150AE" w:rsidRDefault="008D5C08" w:rsidP="00714DA0">
      <w:pPr>
        <w:pStyle w:val="Heading2"/>
        <w:rPr>
          <w:color w:val="4E81BD"/>
        </w:rPr>
      </w:pPr>
      <w:bookmarkStart w:id="16" w:name="_Toc471464164"/>
      <w:r w:rsidRPr="003150AE">
        <w:rPr>
          <w:color w:val="4E81BD"/>
        </w:rPr>
        <w:t>To what extent are economic regulators involved in the investment lifecycle?</w:t>
      </w:r>
      <w:bookmarkEnd w:id="16"/>
    </w:p>
    <w:p w:rsidR="008D5C08" w:rsidRPr="00231C4F" w:rsidRDefault="008D5C08" w:rsidP="00714DA0">
      <w:pPr>
        <w:pStyle w:val="BodyText"/>
      </w:pPr>
      <w:r w:rsidRPr="00231C4F">
        <w:t xml:space="preserve">As mentioned above, all </w:t>
      </w:r>
      <w:r>
        <w:t>economic regulator</w:t>
      </w:r>
      <w:r w:rsidRPr="00231C4F">
        <w:t xml:space="preserve">s have an impact on the investment environment by implementing their mandate and placing constraints on the way in which infrastructure operators </w:t>
      </w:r>
      <w:r>
        <w:t>deliver</w:t>
      </w:r>
      <w:r w:rsidRPr="00231C4F">
        <w:t xml:space="preserve"> infrastructure services to society. Decisions about tariff levels and which services are subject to access regulation have an impact on all stages of the investment lifecycle</w:t>
      </w:r>
      <w:r w:rsidR="00354711">
        <w:t> – </w:t>
      </w:r>
      <w:r w:rsidRPr="00231C4F">
        <w:t>however, these are not direct decisions</w:t>
      </w:r>
      <w:r>
        <w:t>,</w:t>
      </w:r>
      <w:r w:rsidRPr="00231C4F">
        <w:t xml:space="preserve"> they are decisions that indirect</w:t>
      </w:r>
      <w:r>
        <w:t>ly</w:t>
      </w:r>
      <w:r w:rsidRPr="00231C4F">
        <w:t xml:space="preserve"> affect the decision making of the infrastructure operator. </w:t>
      </w:r>
    </w:p>
    <w:p w:rsidR="008D5C08" w:rsidRPr="00231C4F" w:rsidRDefault="008D5C08" w:rsidP="00714DA0">
      <w:pPr>
        <w:pStyle w:val="BodyText"/>
        <w:rPr>
          <w:b/>
        </w:rPr>
      </w:pPr>
      <w:r w:rsidRPr="00231C4F">
        <w:t xml:space="preserve">However, the mandates of some of the </w:t>
      </w:r>
      <w:r>
        <w:t>economic regulator</w:t>
      </w:r>
      <w:r w:rsidRPr="00231C4F">
        <w:t>s who participated in the survey are sometimes broader than the economic regulatory functions of tariff and access regulation and monitoring. In some circumstances, the</w:t>
      </w:r>
      <w:r>
        <w:t>se</w:t>
      </w:r>
      <w:r w:rsidRPr="00231C4F">
        <w:t xml:space="preserve"> </w:t>
      </w:r>
      <w:r>
        <w:t>economic regulator</w:t>
      </w:r>
      <w:r w:rsidRPr="00231C4F">
        <w:t xml:space="preserve">s </w:t>
      </w:r>
      <w:r>
        <w:t>have functions that a have a more direct impact on the infrastructure operator</w:t>
      </w:r>
      <w:r w:rsidRPr="00231C4F">
        <w:t xml:space="preserve">. </w:t>
      </w:r>
    </w:p>
    <w:p w:rsidR="008D5C08" w:rsidRDefault="008D5C08" w:rsidP="00714DA0">
      <w:pPr>
        <w:pStyle w:val="BodyText"/>
      </w:pPr>
      <w:r>
        <w:lastRenderedPageBreak/>
        <w:t xml:space="preserve">Drawing on OECD (2015), the </w:t>
      </w:r>
      <w:r w:rsidRPr="003A1840">
        <w:t>survey sought information from economic regulators on their role in the infrastructure lifecycle. The six stages in the infrastructure lifecycle are set out in Figure 2.9 below.</w:t>
      </w:r>
      <w:r>
        <w:t xml:space="preserve"> </w:t>
      </w:r>
    </w:p>
    <w:p w:rsidR="008D5C08" w:rsidRPr="00231C4F" w:rsidRDefault="008D5C08" w:rsidP="00714DA0">
      <w:pPr>
        <w:pStyle w:val="FigureTitle"/>
      </w:pPr>
      <w:r w:rsidRPr="00CE400C">
        <w:rPr>
          <w:b w:val="0"/>
          <w:bCs w:val="0"/>
        </w:rPr>
        <w:t>Figure 2.9.</w:t>
      </w:r>
      <w:r>
        <w:t xml:space="preserve"> Six stages of the infrastructure lifecycle</w:t>
      </w:r>
      <w:r>
        <w:fldChar w:fldCharType="begin"/>
      </w:r>
      <w:r>
        <w:instrText xml:space="preserve"> TC \f f \l 2 "Figure 2.9. Six stages of the infrastructure lifecycle"  </w:instrText>
      </w:r>
      <w:r>
        <w:fldChar w:fldCharType="end"/>
      </w:r>
    </w:p>
    <w:p w:rsidR="008D5C08" w:rsidRDefault="008D5C08" w:rsidP="00714DA0">
      <w:pPr>
        <w:pStyle w:val="Graphic"/>
      </w:pPr>
      <w:r>
        <w:rPr>
          <w:noProof/>
          <w:lang w:eastAsia="en-GB"/>
        </w:rPr>
        <w:drawing>
          <wp:inline distT="0" distB="0" distL="0" distR="0" wp14:anchorId="4E20DD3D" wp14:editId="5DD450BD">
            <wp:extent cx="4384431" cy="2711939"/>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8D5C08" w:rsidRPr="00C35F23" w:rsidRDefault="008D5C08" w:rsidP="00714DA0">
      <w:pPr>
        <w:pStyle w:val="FigureNote"/>
      </w:pPr>
      <w:r w:rsidRPr="00CE400C">
        <w:rPr>
          <w:i/>
          <w:iCs/>
        </w:rPr>
        <w:t>Note</w:t>
      </w:r>
      <w:r w:rsidRPr="00C35F23">
        <w:t xml:space="preserve">: </w:t>
      </w:r>
      <w:r>
        <w:t xml:space="preserve">This </w:t>
      </w:r>
      <w:r w:rsidR="00442077">
        <w:t>figure</w:t>
      </w:r>
      <w:r>
        <w:t xml:space="preserve"> has been adapted from the infrastructure governance cycle presented in OECD (2015) to include an additional stage: Decommissioning.</w:t>
      </w:r>
    </w:p>
    <w:p w:rsidR="008D5C08" w:rsidRDefault="008D5C08" w:rsidP="00714DA0">
      <w:pPr>
        <w:pStyle w:val="SourceDescription"/>
      </w:pPr>
      <w:r w:rsidRPr="00CE400C">
        <w:rPr>
          <w:i/>
          <w:iCs/>
        </w:rPr>
        <w:t>Source</w:t>
      </w:r>
      <w:r>
        <w:t xml:space="preserve">: OECD (2015), “Towards a Framework for the Governance of Infrastructure”, </w:t>
      </w:r>
      <w:hyperlink r:id="rId48" w:history="1">
        <w:r w:rsidRPr="003F0D8E">
          <w:rPr>
            <w:rStyle w:val="Hyperlink"/>
          </w:rPr>
          <w:t>https://www.oecd.org/gov/budgeting/Towards-a-Framework-for-the-Governance-of-Infrastructure.pdf</w:t>
        </w:r>
      </w:hyperlink>
      <w:r>
        <w:t xml:space="preserve"> (accessed 15 December 2016).</w:t>
      </w:r>
    </w:p>
    <w:p w:rsidR="008D5C08" w:rsidRPr="00C95E17" w:rsidRDefault="008D5C08" w:rsidP="00714DA0">
      <w:pPr>
        <w:pStyle w:val="BodyText"/>
      </w:pPr>
      <w:r w:rsidRPr="00C95E17">
        <w:t xml:space="preserve">Given the indirect nature of functions exercised by economic regulators in relation to infrastructure industries, there was a degree in inconsistency in the way in which different economic regulators perceived their role when mapped against the infrastructure lifecycle. In particular, some respondents mapped their tariff and access roles against each of the stages in the infrastructure life-cycle whereas some did </w:t>
      </w:r>
      <w:r w:rsidRPr="003A1840">
        <w:t>not. In order to present a consistent representation of the roles of economic regulators in relation to the infrastructure lifecycle for the purposes of Figure 2.10, only direct roles were captured. In order to capture direct roles, indirect roles such as tariff regulation, access regulation, general monitoring or where the economic regulator simply receives information from the regulator have been excluded.</w:t>
      </w:r>
      <w:r>
        <w:t xml:space="preserve"> </w:t>
      </w:r>
    </w:p>
    <w:p w:rsidR="008D5C08" w:rsidRDefault="008D5C08" w:rsidP="00714DA0">
      <w:pPr>
        <w:pStyle w:val="BodyText"/>
      </w:pPr>
      <w:r w:rsidRPr="00A1471B">
        <w:lastRenderedPageBreak/>
        <w:t xml:space="preserve">Figure </w:t>
      </w:r>
      <w:r>
        <w:t>2.10</w:t>
      </w:r>
      <w:r w:rsidRPr="00A1471B">
        <w:t xml:space="preserve"> illustrates the extent to which economic regulators are involved in the infrastructure lifecycle. </w:t>
      </w:r>
    </w:p>
    <w:p w:rsidR="008D5C08" w:rsidRDefault="008D5C08" w:rsidP="00714DA0">
      <w:pPr>
        <w:pStyle w:val="FigureTitle"/>
      </w:pPr>
      <w:r w:rsidRPr="00CE400C">
        <w:rPr>
          <w:b w:val="0"/>
          <w:bCs w:val="0"/>
        </w:rPr>
        <w:t>Figure 2.10.</w:t>
      </w:r>
      <w:r>
        <w:t xml:space="preserve"> Direct involvement of infrastructure regulators in infrastructure lifecycle</w:t>
      </w:r>
      <w:r>
        <w:fldChar w:fldCharType="begin"/>
      </w:r>
      <w:r>
        <w:instrText xml:space="preserve"> TC \f f \l 2 "Figure 2.10. Direct involvement of infrastructure regulators in infrastructure lifecycle"  </w:instrText>
      </w:r>
      <w:r>
        <w:fldChar w:fldCharType="end"/>
      </w:r>
    </w:p>
    <w:p w:rsidR="008D5C08" w:rsidRDefault="00D83FEB" w:rsidP="00714DA0">
      <w:pPr>
        <w:pStyle w:val="Graphic"/>
      </w:pPr>
      <w:r>
        <w:rPr>
          <w:noProof/>
          <w:lang w:eastAsia="en-GB"/>
        </w:rPr>
        <w:drawing>
          <wp:inline distT="0" distB="0" distL="0" distR="0" wp14:anchorId="352A4BDC" wp14:editId="32AD11A9">
            <wp:extent cx="4752975" cy="17360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1.eps"/>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752975" cy="1736090"/>
                    </a:xfrm>
                    <a:prstGeom prst="rect">
                      <a:avLst/>
                    </a:prstGeom>
                  </pic:spPr>
                </pic:pic>
              </a:graphicData>
            </a:graphic>
          </wp:inline>
        </w:drawing>
      </w:r>
    </w:p>
    <w:p w:rsidR="008D5C08" w:rsidRPr="00C95E17" w:rsidRDefault="008D5C08" w:rsidP="00714DA0">
      <w:pPr>
        <w:pStyle w:val="FigureNote"/>
      </w:pPr>
      <w:r w:rsidRPr="00CE400C">
        <w:rPr>
          <w:i/>
          <w:iCs/>
        </w:rPr>
        <w:t>Note</w:t>
      </w:r>
      <w:r w:rsidRPr="00C35F23">
        <w:t xml:space="preserve">: </w:t>
      </w:r>
      <w:r w:rsidRPr="00C95E17">
        <w:t xml:space="preserve">This </w:t>
      </w:r>
      <w:r w:rsidR="00442077">
        <w:t>figure</w:t>
      </w:r>
      <w:r w:rsidRPr="00C95E17">
        <w:t xml:space="preserve"> includes information from 60 sectors and subsectors.</w:t>
      </w:r>
    </w:p>
    <w:p w:rsidR="008D5C08" w:rsidRDefault="008D5C08" w:rsidP="00714DA0">
      <w:pPr>
        <w:pStyle w:val="SourceDescription"/>
      </w:pPr>
      <w:r w:rsidRPr="001346B3">
        <w:rPr>
          <w:i/>
        </w:rPr>
        <w:t>Source</w:t>
      </w:r>
      <w:r>
        <w:t>: The Role of Regulators in the Governance of Infrastructure Survey 2016.</w:t>
      </w:r>
    </w:p>
    <w:p w:rsidR="008D5C08" w:rsidRPr="00FA044A" w:rsidRDefault="008D5C08" w:rsidP="00714DA0">
      <w:pPr>
        <w:pStyle w:val="BodyText"/>
      </w:pPr>
      <w:r w:rsidRPr="00FA044A">
        <w:t>It shows that the majority of economic regulators surveyed do not have a direct role in the infrastructure lifecycle. Despite the majority of regulators having no direct involvement in the investment lifecycle, the areas of greatest direct involvement was in the “evaluation of needs” and “decision and prioritisation” and the area of the lowest direct involvement was in “decommissioning”.</w:t>
      </w:r>
      <w:r>
        <w:t xml:space="preserve"> </w:t>
      </w:r>
    </w:p>
    <w:p w:rsidR="008D5C08" w:rsidRDefault="008D5C08" w:rsidP="00714DA0">
      <w:pPr>
        <w:pStyle w:val="BodyText"/>
      </w:pPr>
      <w:r>
        <w:t>E</w:t>
      </w:r>
      <w:r w:rsidRPr="00FA044A">
        <w:t>conomic regulators</w:t>
      </w:r>
      <w:r>
        <w:t xml:space="preserve"> in the energy industry group</w:t>
      </w:r>
      <w:r w:rsidRPr="00FA044A">
        <w:t xml:space="preserve"> were most involved in the “evaluation of needs” and “decision and prioritisation” stages of the infrastructure lifecycle. This is because a large </w:t>
      </w:r>
      <w:r>
        <w:t>number of energy regulators had</w:t>
      </w:r>
      <w:r w:rsidRPr="00FA044A">
        <w:t xml:space="preserve"> a role in</w:t>
      </w:r>
      <w:r>
        <w:t xml:space="preserve"> reviewing and</w:t>
      </w:r>
      <w:r w:rsidRPr="00FA044A">
        <w:t xml:space="preserve"> approving the infrastructure plans of their gas and electricity transmission networks. In particular, European energy regulators are involved in supervising the investment plans of their transmission networks with regard to their alignment with the development plan for the grid in the European Union.</w:t>
      </w:r>
    </w:p>
    <w:tbl>
      <w:tblPr>
        <w:tblStyle w:val="TableGrid"/>
        <w:tblW w:w="6464" w:type="dxa"/>
        <w:jc w:val="center"/>
        <w:shd w:val="clear" w:color="auto" w:fill="F4FFFF"/>
        <w:tblLook w:val="04A0" w:firstRow="1" w:lastRow="0" w:firstColumn="1" w:lastColumn="0" w:noHBand="0" w:noVBand="1"/>
      </w:tblPr>
      <w:tblGrid>
        <w:gridCol w:w="6464"/>
      </w:tblGrid>
      <w:tr w:rsidR="008D5C08" w:rsidTr="00C32CA6">
        <w:trPr>
          <w:jc w:val="center"/>
        </w:trPr>
        <w:tc>
          <w:tcPr>
            <w:tcW w:w="9684" w:type="dxa"/>
            <w:shd w:val="clear" w:color="auto" w:fill="F4FFFF"/>
          </w:tcPr>
          <w:p w:rsidR="008D5C08" w:rsidRDefault="008D5C08" w:rsidP="00714DA0">
            <w:pPr>
              <w:pStyle w:val="BoxHeading"/>
            </w:pPr>
            <w:r w:rsidRPr="007C7182">
              <w:rPr>
                <w:b w:val="0"/>
                <w:bCs w:val="0"/>
              </w:rPr>
              <w:t>Box 2.2</w:t>
            </w:r>
            <w:r>
              <w:rPr>
                <w:b w:val="0"/>
                <w:bCs w:val="0"/>
              </w:rPr>
              <w:t>.</w:t>
            </w:r>
            <w:r>
              <w:t xml:space="preserve"> </w:t>
            </w:r>
            <w:r w:rsidRPr="006D2452">
              <w:t>The role of the Bundesnetzagentur in the electricity transmission planning process</w:t>
            </w:r>
          </w:p>
          <w:p w:rsidR="008D5C08" w:rsidRPr="006D2452" w:rsidRDefault="008D5C08" w:rsidP="00714DA0">
            <w:pPr>
              <w:pStyle w:val="BoxBodyText"/>
              <w:rPr>
                <w:lang w:val="en-GB"/>
              </w:rPr>
            </w:pPr>
            <w:r w:rsidRPr="006D2452">
              <w:rPr>
                <w:lang w:val="en-GB"/>
              </w:rPr>
              <w:t xml:space="preserve">The German multisector economic </w:t>
            </w:r>
            <w:r>
              <w:rPr>
                <w:lang w:val="en-GB"/>
              </w:rPr>
              <w:t xml:space="preserve">regulator, the Bundesnetzagentur </w:t>
            </w:r>
            <w:r w:rsidRPr="006D2452">
              <w:rPr>
                <w:lang w:val="en-GB"/>
              </w:rPr>
              <w:t>has a role in the electricity transmission network planning process.</w:t>
            </w:r>
            <w:r>
              <w:rPr>
                <w:lang w:val="en-GB"/>
              </w:rPr>
              <w:t xml:space="preserve"> </w:t>
            </w:r>
          </w:p>
          <w:p w:rsidR="008D5C08" w:rsidRPr="006D2452" w:rsidRDefault="008D5C08" w:rsidP="00714DA0">
            <w:pPr>
              <w:pStyle w:val="BoxBodyText"/>
            </w:pPr>
            <w:r w:rsidRPr="006D2452">
              <w:t xml:space="preserve">The electricity transmission system operators (TSOs) work together to draw up </w:t>
            </w:r>
            <w:r w:rsidRPr="006D2452">
              <w:lastRenderedPageBreak/>
              <w:t xml:space="preserve">a draft scenario framework, which describes the anticipated developments in the fields of renewable energy sources, conventional energy sources and energy consumption and load in Germany. </w:t>
            </w:r>
          </w:p>
          <w:p w:rsidR="008D5C08" w:rsidRPr="006D2452" w:rsidRDefault="008D5C08" w:rsidP="00714DA0">
            <w:pPr>
              <w:pStyle w:val="BoxBodyText"/>
            </w:pPr>
            <w:r w:rsidRPr="006D2452">
              <w:t xml:space="preserve">The Bundesnetzagentur publishes this draft and gives the general public and downstream network operators an opportunity to express their opinions. Taking the results of this consultation phase into consideration, the Bundesnetzagentur approves the scenario framework. </w:t>
            </w:r>
          </w:p>
          <w:p w:rsidR="008D5C08" w:rsidRPr="006D2452" w:rsidRDefault="008D5C08" w:rsidP="00714DA0">
            <w:pPr>
              <w:pStyle w:val="BoxBodyText"/>
            </w:pPr>
            <w:r w:rsidRPr="006D2452">
              <w:t xml:space="preserve">With this as a basis, the TSOs then draft the Grid Development Plan and the Offshore Grid Development Plan. This plan “must contain all effective measures for the necessary optimisation, development and expansion of the network, which are required over the next ten years to ensure safe and reliable network operation,” (Section 12b I 2 </w:t>
            </w:r>
            <w:r>
              <w:t>German Energy Law [</w:t>
            </w:r>
            <w:r w:rsidRPr="006D2452">
              <w:t>EnWG</w:t>
            </w:r>
            <w:r>
              <w:t>]</w:t>
            </w:r>
            <w:r w:rsidRPr="006D2452">
              <w:t>).</w:t>
            </w:r>
          </w:p>
          <w:p w:rsidR="008D5C08" w:rsidRDefault="008D5C08" w:rsidP="00714DA0">
            <w:pPr>
              <w:pStyle w:val="BoxBodyText"/>
            </w:pPr>
            <w:r w:rsidRPr="006D2452">
              <w:t>The Grid Development Plan is again published and consulted with the public, before being approved (possibly subject to alterations) by the Bundesnetzagentur. If an investment measure is included in an approved Network Development Plan, the TSOs have a legally binding obligation to implement that measure.</w:t>
            </w:r>
          </w:p>
          <w:p w:rsidR="008D5C08" w:rsidRPr="008772BB" w:rsidRDefault="008D5C08" w:rsidP="00F92F54">
            <w:pPr>
              <w:pStyle w:val="BoxNote"/>
            </w:pPr>
            <w:r w:rsidRPr="008772BB">
              <w:t xml:space="preserve">Further information is available at: </w:t>
            </w:r>
            <w:hyperlink r:id="rId50" w:history="1">
              <w:r w:rsidRPr="003F0D8E">
                <w:rPr>
                  <w:rStyle w:val="Hyperlink"/>
                </w:rPr>
                <w:t>http://www.netzentwicklungsplan.de/en/content/process</w:t>
              </w:r>
            </w:hyperlink>
            <w:r>
              <w:t>.</w:t>
            </w:r>
          </w:p>
        </w:tc>
      </w:tr>
    </w:tbl>
    <w:p w:rsidR="008D5C08" w:rsidRPr="004D3443" w:rsidRDefault="008D5C08" w:rsidP="00714DA0">
      <w:pPr>
        <w:pStyle w:val="BodyText"/>
      </w:pPr>
    </w:p>
    <w:p w:rsidR="008D5C08" w:rsidRDefault="008D5C08" w:rsidP="00714DA0">
      <w:pPr>
        <w:pStyle w:val="BodyText"/>
      </w:pPr>
      <w:r w:rsidRPr="00FA044A">
        <w:t>Economic regulators</w:t>
      </w:r>
      <w:r>
        <w:t xml:space="preserve"> in the energy industry group</w:t>
      </w:r>
      <w:r w:rsidRPr="00FA044A">
        <w:t xml:space="preserve"> were also involved in the “decommissioning” stage of the investment lifecycle. While there were a diverse set of reasons for energy economic regulators being directly involved in decommissioning, a number of regulators had a direct role in ensuring that the environmental impacts were considered when assets were decommissioned. </w:t>
      </w:r>
    </w:p>
    <w:p w:rsidR="008D5C08" w:rsidRPr="007C7182" w:rsidRDefault="008D5C08" w:rsidP="00714DA0">
      <w:pPr>
        <w:pStyle w:val="Heading2"/>
        <w:rPr>
          <w:color w:val="4E81BD"/>
        </w:rPr>
      </w:pPr>
      <w:bookmarkStart w:id="17" w:name="_Toc471464165"/>
      <w:r w:rsidRPr="007C7182">
        <w:rPr>
          <w:color w:val="4E81BD"/>
        </w:rPr>
        <w:t>How do economic regulators use data to support the delivery of their mandate?</w:t>
      </w:r>
      <w:bookmarkEnd w:id="17"/>
    </w:p>
    <w:p w:rsidR="008D5C08" w:rsidRPr="00231C4F" w:rsidRDefault="008D5C08" w:rsidP="00714DA0">
      <w:pPr>
        <w:pStyle w:val="BodyText"/>
      </w:pPr>
      <w:r w:rsidRPr="00231C4F">
        <w:t xml:space="preserve">The most common functions of </w:t>
      </w:r>
      <w:r>
        <w:t>economic regulator</w:t>
      </w:r>
      <w:r w:rsidRPr="00231C4F">
        <w:t>s (tariff setting, access regulation, monitoring) all benefit substantially from the collection of data.</w:t>
      </w:r>
      <w:r>
        <w:t xml:space="preserve"> For example, i</w:t>
      </w:r>
      <w:r w:rsidRPr="00231C4F">
        <w:t>n tariff regulation, collecting data over time can</w:t>
      </w:r>
      <w:r>
        <w:t xml:space="preserve"> be used to support </w:t>
      </w:r>
      <w:r w:rsidRPr="00231C4F">
        <w:t xml:space="preserve">decisions on the amount of investment required in the next tariff period </w:t>
      </w:r>
      <w:r>
        <w:t>independent from information provided by the infrastructure operator</w:t>
      </w:r>
      <w:r w:rsidRPr="00231C4F">
        <w:t xml:space="preserve">. </w:t>
      </w:r>
    </w:p>
    <w:p w:rsidR="008D5C08" w:rsidRPr="003A1840" w:rsidRDefault="008D5C08" w:rsidP="00714DA0">
      <w:pPr>
        <w:pStyle w:val="BodyText"/>
      </w:pPr>
      <w:r w:rsidRPr="00231C4F">
        <w:t xml:space="preserve">Where an </w:t>
      </w:r>
      <w:r>
        <w:t>economic regulator</w:t>
      </w:r>
      <w:r w:rsidRPr="00231C4F">
        <w:t xml:space="preserve"> is responsible for regulating multiple infrastructure operators, it may be possible to collect data to enable cost comparisons and efficiency benchmarking. Further, where an </w:t>
      </w:r>
      <w:r>
        <w:t>economic regulator</w:t>
      </w:r>
      <w:r w:rsidRPr="00231C4F">
        <w:t xml:space="preserve"> administers incentive schemes that award financial rewards or penalties designed to e</w:t>
      </w:r>
      <w:r>
        <w:t>ncourage</w:t>
      </w:r>
      <w:r w:rsidRPr="00231C4F">
        <w:t xml:space="preserve"> particular behaviour (such as make efficient decisions about quality of service) robust data collection processes that are </w:t>
      </w:r>
      <w:r w:rsidRPr="00231C4F">
        <w:lastRenderedPageBreak/>
        <w:t xml:space="preserve">transparent and verifiable provide </w:t>
      </w:r>
      <w:r>
        <w:t xml:space="preserve">can provide </w:t>
      </w:r>
      <w:r w:rsidRPr="00231C4F">
        <w:t xml:space="preserve">infrastructure operators with </w:t>
      </w:r>
      <w:r w:rsidRPr="003A1840">
        <w:t>confidence about the financial consequences of their decisions.</w:t>
      </w:r>
    </w:p>
    <w:p w:rsidR="008D5C08" w:rsidRPr="003A1840" w:rsidRDefault="008D5C08" w:rsidP="00714DA0">
      <w:pPr>
        <w:pStyle w:val="Heading3"/>
      </w:pPr>
      <w:r w:rsidRPr="003A1840">
        <w:t>Current and future investment needs</w:t>
      </w:r>
    </w:p>
    <w:p w:rsidR="008D5C08" w:rsidRDefault="008D5C08" w:rsidP="00714DA0">
      <w:pPr>
        <w:pStyle w:val="BodyText"/>
      </w:pPr>
      <w:r w:rsidRPr="003A1840">
        <w:t>Figure 2.11 shows the proportion of sectors and subsectors subject to economic regulation for which data is collected on current and future investment needs.</w:t>
      </w:r>
    </w:p>
    <w:p w:rsidR="008D5C08" w:rsidRDefault="008D5C08" w:rsidP="00714DA0">
      <w:pPr>
        <w:pStyle w:val="FigureTitle"/>
      </w:pPr>
      <w:r w:rsidRPr="007C7182">
        <w:rPr>
          <w:b w:val="0"/>
          <w:bCs w:val="0"/>
        </w:rPr>
        <w:t>Figure 2.11</w:t>
      </w:r>
      <w:r>
        <w:rPr>
          <w:b w:val="0"/>
          <w:bCs w:val="0"/>
        </w:rPr>
        <w:t>.</w:t>
      </w:r>
      <w:r>
        <w:t xml:space="preserve"> Do you collect data to measure current and future investment needs (% yes)?</w:t>
      </w:r>
      <w:r>
        <w:fldChar w:fldCharType="begin"/>
      </w:r>
      <w:r>
        <w:instrText xml:space="preserve"> TC \f f \l 2 "Figure 2.11. Do you collect data to measure current and future investment needs (% yes)?"  </w:instrText>
      </w:r>
      <w:r>
        <w:fldChar w:fldCharType="end"/>
      </w:r>
    </w:p>
    <w:p w:rsidR="008D5C08" w:rsidRDefault="00D83FEB" w:rsidP="00714DA0">
      <w:pPr>
        <w:pStyle w:val="Graphic"/>
      </w:pPr>
      <w:r>
        <w:rPr>
          <w:noProof/>
          <w:lang w:eastAsia="en-GB"/>
        </w:rPr>
        <w:drawing>
          <wp:inline distT="0" distB="0" distL="0" distR="0" wp14:anchorId="348B58F6" wp14:editId="60E0A3AA">
            <wp:extent cx="4752975" cy="17595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2.eps"/>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752975" cy="1759585"/>
                    </a:xfrm>
                    <a:prstGeom prst="rect">
                      <a:avLst/>
                    </a:prstGeom>
                  </pic:spPr>
                </pic:pic>
              </a:graphicData>
            </a:graphic>
          </wp:inline>
        </w:drawing>
      </w:r>
    </w:p>
    <w:p w:rsidR="008D5C08" w:rsidRDefault="008D5C08" w:rsidP="00714DA0">
      <w:pPr>
        <w:pStyle w:val="FigureNote"/>
      </w:pPr>
      <w:r w:rsidRPr="007C7182">
        <w:rPr>
          <w:i/>
          <w:iCs/>
        </w:rPr>
        <w:t>Note</w:t>
      </w:r>
      <w:r>
        <w:t>: This figure includes information from 59 sectors and subsectors.</w:t>
      </w:r>
    </w:p>
    <w:p w:rsidR="008D5C08" w:rsidRPr="00D973B0" w:rsidRDefault="008D5C08" w:rsidP="00714DA0">
      <w:pPr>
        <w:pStyle w:val="SourceDescription"/>
      </w:pPr>
      <w:r w:rsidRPr="001346B3">
        <w:rPr>
          <w:i/>
        </w:rPr>
        <w:t>Source</w:t>
      </w:r>
      <w:r>
        <w:t>: The Role of Regulators in the Governance of Infrastructure Survey 2016.</w:t>
      </w:r>
    </w:p>
    <w:p w:rsidR="008D5C08" w:rsidRDefault="008D5C08" w:rsidP="00714DA0">
      <w:pPr>
        <w:pStyle w:val="BodyText"/>
      </w:pPr>
      <w:r w:rsidRPr="004837FB">
        <w:t>Figure 2.1</w:t>
      </w:r>
      <w:r>
        <w:t>1</w:t>
      </w:r>
      <w:r w:rsidRPr="004837FB">
        <w:t xml:space="preserve"> shows </w:t>
      </w:r>
      <w:r w:rsidRPr="003A1840">
        <w:t>that 53% of sectors and subsectors provided information to economic regulators to enable them to measure current and future investment needs. Across industry groups, a lower proportion of communications regulators reported collecting data on current and future investment needs compared to energy, transport and water</w:t>
      </w:r>
      <w:r w:rsidRPr="004837FB">
        <w:t xml:space="preserve"> regulators. </w:t>
      </w:r>
    </w:p>
    <w:p w:rsidR="008D5C08" w:rsidRPr="004837FB" w:rsidRDefault="008D5C08" w:rsidP="00714DA0">
      <w:pPr>
        <w:pStyle w:val="Heading3"/>
      </w:pPr>
      <w:r w:rsidRPr="004837FB">
        <w:t>The efficiency of infrastructure service providers</w:t>
      </w:r>
    </w:p>
    <w:p w:rsidR="008D5C08" w:rsidRDefault="008D5C08" w:rsidP="00714DA0">
      <w:pPr>
        <w:pStyle w:val="BodyText"/>
      </w:pPr>
      <w:r>
        <w:t>Figure 2.12</w:t>
      </w:r>
      <w:r w:rsidRPr="00231C4F">
        <w:t xml:space="preserve"> sets out the proportion of </w:t>
      </w:r>
      <w:r>
        <w:t xml:space="preserve">the sectors and subsectors subject to economic regulation for which data on the efficiency of </w:t>
      </w:r>
      <w:r w:rsidRPr="00231C4F">
        <w:t>service providers</w:t>
      </w:r>
      <w:r>
        <w:t xml:space="preserve"> is collected.</w:t>
      </w:r>
    </w:p>
    <w:p w:rsidR="008D5C08" w:rsidRDefault="008D5C08" w:rsidP="00714DA0">
      <w:pPr>
        <w:pStyle w:val="FigureTitle"/>
      </w:pPr>
      <w:r w:rsidRPr="007C7182">
        <w:rPr>
          <w:b w:val="0"/>
          <w:bCs w:val="0"/>
        </w:rPr>
        <w:lastRenderedPageBreak/>
        <w:t>Figure 2.12.</w:t>
      </w:r>
      <w:r>
        <w:t xml:space="preserve"> Do you collect data to measure the efficiency of infrastructure service providers (% yes)?</w:t>
      </w:r>
      <w:r>
        <w:fldChar w:fldCharType="begin"/>
      </w:r>
      <w:r>
        <w:instrText xml:space="preserve"> TC \f f \l 2 "Figure 2.12. Do you collect data to measure the efficiency of infrastructure service providers (% yes)?"  </w:instrText>
      </w:r>
      <w:r>
        <w:fldChar w:fldCharType="end"/>
      </w:r>
    </w:p>
    <w:p w:rsidR="008D5C08" w:rsidRDefault="00D83FEB" w:rsidP="00714DA0">
      <w:pPr>
        <w:pStyle w:val="Graphic"/>
      </w:pPr>
      <w:r>
        <w:rPr>
          <w:noProof/>
          <w:lang w:eastAsia="en-GB"/>
        </w:rPr>
        <w:drawing>
          <wp:inline distT="0" distB="0" distL="0" distR="0" wp14:anchorId="24F3A9D8" wp14:editId="32C78B53">
            <wp:extent cx="4752975" cy="17595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3.eps"/>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752975" cy="1759585"/>
                    </a:xfrm>
                    <a:prstGeom prst="rect">
                      <a:avLst/>
                    </a:prstGeom>
                  </pic:spPr>
                </pic:pic>
              </a:graphicData>
            </a:graphic>
          </wp:inline>
        </w:drawing>
      </w:r>
    </w:p>
    <w:p w:rsidR="008D5C08" w:rsidRPr="00C35F23" w:rsidRDefault="008D5C08" w:rsidP="00714DA0">
      <w:pPr>
        <w:pStyle w:val="FigureNote"/>
      </w:pPr>
      <w:r>
        <w:rPr>
          <w:i/>
        </w:rPr>
        <w:t>Note</w:t>
      </w:r>
      <w:r w:rsidRPr="00C35F23">
        <w:rPr>
          <w:i/>
        </w:rPr>
        <w:t xml:space="preserve">: </w:t>
      </w:r>
      <w:r w:rsidRPr="00C35F23">
        <w:t xml:space="preserve">This </w:t>
      </w:r>
      <w:r w:rsidR="00442077">
        <w:t>figure</w:t>
      </w:r>
      <w:r w:rsidRPr="00C35F23">
        <w:t xml:space="preserve"> includes information from </w:t>
      </w:r>
      <w:r>
        <w:t>55 s</w:t>
      </w:r>
      <w:r w:rsidRPr="00C35F23">
        <w:t>ectors and subsectors.</w:t>
      </w:r>
    </w:p>
    <w:p w:rsidR="008D5C08" w:rsidRPr="003A1840" w:rsidRDefault="008D5C08" w:rsidP="00714DA0">
      <w:pPr>
        <w:pStyle w:val="SourceDescription"/>
      </w:pPr>
      <w:r w:rsidRPr="001346B3">
        <w:rPr>
          <w:i/>
        </w:rPr>
        <w:t>Source</w:t>
      </w:r>
      <w:r>
        <w:t xml:space="preserve">: The </w:t>
      </w:r>
      <w:r w:rsidRPr="003A1840">
        <w:t>Role of Regulators in the Governance of Infrastructure Survey 2016.</w:t>
      </w:r>
    </w:p>
    <w:p w:rsidR="008D5C08" w:rsidRPr="008C6A53" w:rsidRDefault="008D5C08" w:rsidP="00714DA0">
      <w:pPr>
        <w:pStyle w:val="BodyText"/>
      </w:pPr>
      <w:r w:rsidRPr="003A1840">
        <w:t>Figure 2.12 shows that around half of the respondents collected data in order to measure the efficiency of the infrastructure of infrastructure operators. Similar to the</w:t>
      </w:r>
      <w:r w:rsidRPr="008C6A53">
        <w:t xml:space="preserve"> results for collecting data to measure investment needs, a larger proportion of energy and water regulators than communications regulators reported collecting data to measure the efficiency of infrastructure operators.</w:t>
      </w:r>
    </w:p>
    <w:p w:rsidR="008D5C08" w:rsidRDefault="008D5C08" w:rsidP="00714DA0">
      <w:pPr>
        <w:pStyle w:val="BodyText"/>
      </w:pPr>
      <w:r>
        <w:t xml:space="preserve">Economic regulators reported using a number of different techniques to assess efficiency, including </w:t>
      </w:r>
      <w:r w:rsidRPr="00231C4F">
        <w:t>benchmarking of specific processes, productivity measures such as total factor productivity, data envelopment analysis and stochastic frontier analysis, econometric modelling, and a number of different cost models.</w:t>
      </w:r>
      <w:r>
        <w:t xml:space="preserve"> </w:t>
      </w:r>
    </w:p>
    <w:p w:rsidR="008D5C08" w:rsidRPr="008C6A53" w:rsidRDefault="008D5C08" w:rsidP="00714DA0">
      <w:pPr>
        <w:pStyle w:val="Heading3"/>
      </w:pPr>
      <w:r>
        <w:t>Quality of service</w:t>
      </w:r>
    </w:p>
    <w:p w:rsidR="008D5C08" w:rsidRPr="00231C4F" w:rsidRDefault="008D5C08" w:rsidP="00714DA0">
      <w:pPr>
        <w:pStyle w:val="BodyText"/>
      </w:pPr>
      <w:r w:rsidRPr="00231C4F">
        <w:t xml:space="preserve">Where </w:t>
      </w:r>
      <w:r>
        <w:t>economic regulator</w:t>
      </w:r>
      <w:r w:rsidRPr="00231C4F">
        <w:t>s are involved in tariff setting</w:t>
      </w:r>
      <w:r>
        <w:t>,</w:t>
      </w:r>
      <w:r w:rsidRPr="00231C4F">
        <w:t xml:space="preserve"> measuring and setting incentives around quality of service is important. In the absence of quality of service measures and incentive schem</w:t>
      </w:r>
      <w:r>
        <w:t>es, infrastructure operators could</w:t>
      </w:r>
      <w:r w:rsidRPr="00231C4F">
        <w:t xml:space="preserve"> decide to reduce quality of service to increase their profitability rather than making cost reductions associated with genuine efficiency gains.</w:t>
      </w:r>
    </w:p>
    <w:p w:rsidR="008D5C08" w:rsidRPr="003A1840" w:rsidRDefault="008D5C08" w:rsidP="00714DA0">
      <w:pPr>
        <w:pStyle w:val="BodyText"/>
      </w:pPr>
      <w:r w:rsidRPr="00231C4F">
        <w:t xml:space="preserve">Quantitative measures of quality of service differ across the regulated sectors. In energy, </w:t>
      </w:r>
      <w:r>
        <w:t xml:space="preserve">survey respondents reported collecting information on </w:t>
      </w:r>
      <w:r w:rsidRPr="00231C4F">
        <w:t>the duration and frequency of outage</w:t>
      </w:r>
      <w:r>
        <w:t>s</w:t>
      </w:r>
      <w:r w:rsidRPr="00231C4F">
        <w:t xml:space="preserve"> and the time to resolve faults are measure</w:t>
      </w:r>
      <w:r>
        <w:t>d</w:t>
      </w:r>
      <w:r w:rsidRPr="00231C4F">
        <w:t>. In communications, call quality, network coverage, and broadband network quality (latency and packet loss) are collected.</w:t>
      </w:r>
      <w:r>
        <w:t xml:space="preserve"> </w:t>
      </w:r>
      <w:r w:rsidRPr="00231C4F">
        <w:t xml:space="preserve">In </w:t>
      </w:r>
      <w:r w:rsidRPr="00231C4F">
        <w:lastRenderedPageBreak/>
        <w:t xml:space="preserve">transport measures include track availability, cancellations for rail networks, average </w:t>
      </w:r>
      <w:r>
        <w:t>delays and speed for highways.</w:t>
      </w:r>
      <w:r w:rsidRPr="00231C4F">
        <w:t xml:space="preserve"> </w:t>
      </w:r>
      <w:r>
        <w:t>In w</w:t>
      </w:r>
      <w:r w:rsidRPr="00231C4F">
        <w:t xml:space="preserve">ater regulators </w:t>
      </w:r>
      <w:r>
        <w:t xml:space="preserve">reported </w:t>
      </w:r>
      <w:r w:rsidRPr="003A1840">
        <w:t xml:space="preserve">collecting data on water quality and pipeline bursts. </w:t>
      </w:r>
    </w:p>
    <w:p w:rsidR="008D5C08" w:rsidRDefault="008D5C08" w:rsidP="00714DA0">
      <w:pPr>
        <w:pStyle w:val="BodyText"/>
      </w:pPr>
      <w:r w:rsidRPr="003A1840">
        <w:t>Figure 2.13 sets out the proportion of the sectors and subsectors subject to economic regulation</w:t>
      </w:r>
      <w:r w:rsidRPr="00231C4F">
        <w:t xml:space="preserve"> </w:t>
      </w:r>
      <w:r>
        <w:t>for which</w:t>
      </w:r>
      <w:r w:rsidRPr="00231C4F">
        <w:t xml:space="preserve"> </w:t>
      </w:r>
      <w:r>
        <w:t xml:space="preserve">data is </w:t>
      </w:r>
      <w:r w:rsidRPr="00231C4F">
        <w:t>collect</w:t>
      </w:r>
      <w:r>
        <w:t>ed</w:t>
      </w:r>
      <w:r w:rsidRPr="00231C4F">
        <w:t xml:space="preserve"> data to measure the quality of service provided by infrastructure operators.</w:t>
      </w:r>
    </w:p>
    <w:p w:rsidR="008D5C08" w:rsidRPr="00E906F4" w:rsidRDefault="008D5C08" w:rsidP="00714DA0">
      <w:pPr>
        <w:pStyle w:val="FigureTitle"/>
      </w:pPr>
      <w:r w:rsidRPr="00141672">
        <w:rPr>
          <w:b w:val="0"/>
          <w:bCs w:val="0"/>
        </w:rPr>
        <w:t>Figure 2.13.</w:t>
      </w:r>
      <w:r>
        <w:t xml:space="preserve"> Do you collect data to measure quality of service (% yes)?</w:t>
      </w:r>
      <w:r>
        <w:fldChar w:fldCharType="begin"/>
      </w:r>
      <w:r>
        <w:instrText xml:space="preserve"> TC \f f \l 2 "Figure 2.13. Do you collect data to measure quality of service (% yes)?"  </w:instrText>
      </w:r>
      <w:r>
        <w:fldChar w:fldCharType="end"/>
      </w:r>
    </w:p>
    <w:p w:rsidR="008D5C08" w:rsidRDefault="00D83FEB" w:rsidP="00714DA0">
      <w:pPr>
        <w:pStyle w:val="Graphic"/>
      </w:pPr>
      <w:r>
        <w:rPr>
          <w:noProof/>
          <w:lang w:eastAsia="en-GB"/>
        </w:rPr>
        <w:drawing>
          <wp:inline distT="0" distB="0" distL="0" distR="0" wp14:anchorId="2C38D069" wp14:editId="1AA01D25">
            <wp:extent cx="4752975" cy="17519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4.eps"/>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752975" cy="1751965"/>
                    </a:xfrm>
                    <a:prstGeom prst="rect">
                      <a:avLst/>
                    </a:prstGeom>
                  </pic:spPr>
                </pic:pic>
              </a:graphicData>
            </a:graphic>
          </wp:inline>
        </w:drawing>
      </w:r>
    </w:p>
    <w:p w:rsidR="008D5C08" w:rsidRPr="00C35F23" w:rsidRDefault="008D5C08" w:rsidP="00714DA0">
      <w:pPr>
        <w:pStyle w:val="FigureNote"/>
      </w:pPr>
      <w:r w:rsidRPr="00C35F23">
        <w:rPr>
          <w:i/>
        </w:rPr>
        <w:t xml:space="preserve">Note: </w:t>
      </w:r>
      <w:r w:rsidRPr="00C35F23">
        <w:t xml:space="preserve">This </w:t>
      </w:r>
      <w:r>
        <w:t xml:space="preserve">figure </w:t>
      </w:r>
      <w:r w:rsidRPr="00C35F23">
        <w:t xml:space="preserve">includes information from </w:t>
      </w:r>
      <w:r>
        <w:t>59 s</w:t>
      </w:r>
      <w:r w:rsidRPr="00C35F23">
        <w:t>ectors and subsectors.</w:t>
      </w:r>
    </w:p>
    <w:p w:rsidR="008D5C08" w:rsidRDefault="008D5C08" w:rsidP="00714DA0">
      <w:pPr>
        <w:pStyle w:val="SourceDescription"/>
      </w:pPr>
      <w:r>
        <w:t>Source: The Role of Regulators in the Governance of Infrastructure Survey 2016</w:t>
      </w:r>
    </w:p>
    <w:p w:rsidR="008D5C08" w:rsidRPr="00B16500" w:rsidRDefault="008D5C08" w:rsidP="00714DA0">
      <w:pPr>
        <w:pStyle w:val="BodyText"/>
      </w:pPr>
      <w:r w:rsidRPr="003A1840">
        <w:t>Figure 2.13 shows that quality of service data was collected for the majority of sectors and subsectors subject to economic regulation. A slightly higher proportion of survey</w:t>
      </w:r>
      <w:r>
        <w:t xml:space="preserve"> respondents from the</w:t>
      </w:r>
      <w:r w:rsidRPr="00B16500">
        <w:t xml:space="preserve"> energy</w:t>
      </w:r>
      <w:r>
        <w:t>,</w:t>
      </w:r>
      <w:r w:rsidRPr="00B16500">
        <w:t xml:space="preserve"> communications</w:t>
      </w:r>
      <w:r>
        <w:t>, and water industry group collected</w:t>
      </w:r>
      <w:r w:rsidRPr="00B16500">
        <w:t xml:space="preserve"> quality of service data</w:t>
      </w:r>
      <w:r>
        <w:t>, compared to survey respondents from the transport industry group</w:t>
      </w:r>
      <w:r w:rsidRPr="00B16500">
        <w:t>.</w:t>
      </w:r>
    </w:p>
    <w:p w:rsidR="008D5C08" w:rsidRPr="00B16500" w:rsidRDefault="008D5C08" w:rsidP="00714DA0">
      <w:pPr>
        <w:pStyle w:val="Heading3"/>
      </w:pPr>
      <w:bookmarkStart w:id="18" w:name="_Toc461639744"/>
      <w:bookmarkStart w:id="19" w:name="_Toc461640582"/>
      <w:r>
        <w:t xml:space="preserve">Evaluating the efficiency and effectiveness of internal processes and procedures with regard to the governance of infrastructure </w:t>
      </w:r>
    </w:p>
    <w:p w:rsidR="008D5C08" w:rsidRDefault="008D5C08" w:rsidP="00714DA0">
      <w:pPr>
        <w:pStyle w:val="BodyText"/>
      </w:pPr>
      <w:r w:rsidRPr="00231C4F">
        <w:t xml:space="preserve">Measuring the efficiency and effectiveness of an </w:t>
      </w:r>
      <w:r>
        <w:t>economic regulator</w:t>
      </w:r>
      <w:r w:rsidRPr="00231C4F">
        <w:t xml:space="preserve">’s internal processes and procedures </w:t>
      </w:r>
      <w:r w:rsidRPr="003A1840">
        <w:t>enables economic regulators to improve its operational performance over time. Figure 2.14 shows the proportion of the sectors and subsectors subject to economic regulation for which economic regulators measure the efficiency</w:t>
      </w:r>
      <w:r>
        <w:t xml:space="preserve"> and effectiveness of their internal processes. </w:t>
      </w:r>
    </w:p>
    <w:p w:rsidR="008D5C08" w:rsidRDefault="008D5C08" w:rsidP="00714DA0">
      <w:pPr>
        <w:pStyle w:val="FigureTitle"/>
      </w:pPr>
      <w:r w:rsidRPr="00141672">
        <w:rPr>
          <w:b w:val="0"/>
          <w:bCs w:val="0"/>
        </w:rPr>
        <w:lastRenderedPageBreak/>
        <w:t>Figure 2.14.</w:t>
      </w:r>
      <w:r>
        <w:t xml:space="preserve"> Do you evaluate the efficiency and effectiveness of your internal processes (% yes)?</w:t>
      </w:r>
      <w:r>
        <w:fldChar w:fldCharType="begin"/>
      </w:r>
      <w:r>
        <w:instrText xml:space="preserve"> TC \f f \l 2 "Figure 2.14. Do you evaluate the efficiency and effectiveness of your internal processes (% yes)?"  </w:instrText>
      </w:r>
      <w:r>
        <w:fldChar w:fldCharType="end"/>
      </w:r>
    </w:p>
    <w:p w:rsidR="008D5C08" w:rsidRDefault="00D83FEB" w:rsidP="00714DA0">
      <w:pPr>
        <w:pStyle w:val="Graphic"/>
      </w:pPr>
      <w:r>
        <w:rPr>
          <w:noProof/>
          <w:lang w:eastAsia="en-GB"/>
        </w:rPr>
        <w:drawing>
          <wp:inline distT="0" distB="0" distL="0" distR="0" wp14:anchorId="0B8AD57C" wp14:editId="682C9CA2">
            <wp:extent cx="4752975" cy="1746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5.eps"/>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752975" cy="1746250"/>
                    </a:xfrm>
                    <a:prstGeom prst="rect">
                      <a:avLst/>
                    </a:prstGeom>
                  </pic:spPr>
                </pic:pic>
              </a:graphicData>
            </a:graphic>
          </wp:inline>
        </w:drawing>
      </w:r>
    </w:p>
    <w:p w:rsidR="008D5C08" w:rsidRPr="00C35F23" w:rsidRDefault="008D5C08" w:rsidP="00714DA0">
      <w:pPr>
        <w:pStyle w:val="FigureNote"/>
      </w:pPr>
      <w:r>
        <w:rPr>
          <w:i/>
        </w:rPr>
        <w:t>Note</w:t>
      </w:r>
      <w:r w:rsidRPr="00C35F23">
        <w:rPr>
          <w:i/>
        </w:rPr>
        <w:t xml:space="preserve">: </w:t>
      </w:r>
      <w:r w:rsidRPr="00C35F23">
        <w:t xml:space="preserve">This </w:t>
      </w:r>
      <w:r>
        <w:t>figure</w:t>
      </w:r>
      <w:r w:rsidRPr="00C35F23">
        <w:t xml:space="preserve"> includes information from </w:t>
      </w:r>
      <w:r>
        <w:t>48 s</w:t>
      </w:r>
      <w:r w:rsidRPr="00C35F23">
        <w:t>ectors and subsectors.</w:t>
      </w:r>
    </w:p>
    <w:p w:rsidR="008D5C08" w:rsidRPr="00D973B0" w:rsidRDefault="008D5C08" w:rsidP="00714DA0">
      <w:pPr>
        <w:pStyle w:val="SourceDescription"/>
      </w:pPr>
      <w:r w:rsidRPr="001346B3">
        <w:rPr>
          <w:i/>
        </w:rPr>
        <w:t>Source</w:t>
      </w:r>
      <w:r>
        <w:t>: The Role of Regulators in the Governance of Infrastructure Survey 2016.</w:t>
      </w:r>
    </w:p>
    <w:bookmarkEnd w:id="18"/>
    <w:bookmarkEnd w:id="19"/>
    <w:p w:rsidR="008D5C08" w:rsidRDefault="008D5C08" w:rsidP="00714DA0">
      <w:pPr>
        <w:pStyle w:val="BodyText"/>
      </w:pPr>
      <w:r w:rsidRPr="003A1840">
        <w:t>Figure 2.14 illustrates that the majority of survey respondents reported tracking the efficiency and effectiveness of their own internal processes and procedures.</w:t>
      </w:r>
      <w:r>
        <w:t xml:space="preserve"> </w:t>
      </w:r>
    </w:p>
    <w:p w:rsidR="008D5C08" w:rsidRPr="00141672" w:rsidRDefault="008D5C08" w:rsidP="00714DA0">
      <w:pPr>
        <w:pStyle w:val="Heading2"/>
        <w:rPr>
          <w:color w:val="4E81BD"/>
        </w:rPr>
      </w:pPr>
      <w:bookmarkStart w:id="20" w:name="_Toc471464166"/>
      <w:r w:rsidRPr="00141672">
        <w:rPr>
          <w:color w:val="4E81BD"/>
        </w:rPr>
        <w:t>Change and the interface between of economic regulators and the policy process</w:t>
      </w:r>
      <w:bookmarkEnd w:id="20"/>
    </w:p>
    <w:p w:rsidR="008D5C08" w:rsidRDefault="008D5C08" w:rsidP="00714DA0">
      <w:pPr>
        <w:pStyle w:val="BodyText"/>
      </w:pPr>
      <w:r w:rsidRPr="00D50BBD">
        <w:t xml:space="preserve">Infrastructure regulation is not static. Change comes from a number of different sources (changes in technology, government policy, stakeholder expectations, market structure and ownership, financial markets) and an important part of providing a stable investment environment is the approach that the economic regulator takes to dealing with change. </w:t>
      </w:r>
    </w:p>
    <w:p w:rsidR="008D5C08" w:rsidRPr="00D50BBD" w:rsidRDefault="008D5C08" w:rsidP="00714DA0">
      <w:pPr>
        <w:pStyle w:val="Heading3"/>
      </w:pPr>
      <w:r>
        <w:t>Economic regulators and change</w:t>
      </w:r>
    </w:p>
    <w:p w:rsidR="008D5C08" w:rsidRPr="003A1840" w:rsidRDefault="008D5C08" w:rsidP="00714DA0">
      <w:pPr>
        <w:pStyle w:val="BodyText"/>
      </w:pPr>
      <w:r w:rsidRPr="00231C4F">
        <w:t xml:space="preserve">Sources of change for the roles and functions of </w:t>
      </w:r>
      <w:r>
        <w:t>economic regulator</w:t>
      </w:r>
      <w:r w:rsidRPr="00231C4F">
        <w:t xml:space="preserve">s include </w:t>
      </w:r>
      <w:r w:rsidRPr="003A1840">
        <w:t xml:space="preserve">changes in government policy in relation to economic regulation (i.e. as the views and scope of the policy intervention in the sector changes), market structure, ownership and technology. </w:t>
      </w:r>
    </w:p>
    <w:p w:rsidR="008D5C08" w:rsidRDefault="008D5C08" w:rsidP="00714DA0">
      <w:pPr>
        <w:pStyle w:val="BodyText"/>
      </w:pPr>
      <w:r w:rsidRPr="003A1840">
        <w:t>Figure 2.15 sets</w:t>
      </w:r>
      <w:r w:rsidRPr="00850AE8">
        <w:t xml:space="preserve"> out the proportion of economic regulators that experienced change in their roles and functions over the last five years.</w:t>
      </w:r>
    </w:p>
    <w:p w:rsidR="008D5C08" w:rsidRDefault="008D5C08" w:rsidP="00714DA0">
      <w:pPr>
        <w:pStyle w:val="FigureTitle"/>
      </w:pPr>
      <w:r w:rsidRPr="00141672">
        <w:rPr>
          <w:b w:val="0"/>
          <w:bCs w:val="0"/>
        </w:rPr>
        <w:lastRenderedPageBreak/>
        <w:t>Figure 2.15.</w:t>
      </w:r>
      <w:r>
        <w:t xml:space="preserve"> Have you experienced a change in your roles and responsibilities</w:t>
      </w:r>
      <w:r w:rsidR="00AA09F9">
        <w:t xml:space="preserve"> with regard to the governance of infrastructure </w:t>
      </w:r>
      <w:r>
        <w:t>over the last five years (% yes)?</w:t>
      </w:r>
      <w:r>
        <w:fldChar w:fldCharType="begin"/>
      </w:r>
      <w:r>
        <w:instrText xml:space="preserve"> TC \f f \l 2 "Figure 2.15. Have you experienced a change in your roles and responsibilities over the last five years (% yes)?"  </w:instrText>
      </w:r>
      <w:r>
        <w:fldChar w:fldCharType="end"/>
      </w:r>
    </w:p>
    <w:p w:rsidR="008D5C08" w:rsidRDefault="0066583E" w:rsidP="00714DA0">
      <w:pPr>
        <w:pStyle w:val="Graphic"/>
        <w:rPr>
          <w:lang w:eastAsia="en-GB"/>
        </w:rPr>
      </w:pPr>
      <w:r>
        <w:rPr>
          <w:noProof/>
          <w:lang w:eastAsia="en-GB"/>
        </w:rPr>
        <w:drawing>
          <wp:inline distT="0" distB="0" distL="0" distR="0" wp14:anchorId="1281E199" wp14:editId="1BB86FE5">
            <wp:extent cx="4752975" cy="17595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6.eps"/>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752975" cy="1759585"/>
                    </a:xfrm>
                    <a:prstGeom prst="rect">
                      <a:avLst/>
                    </a:prstGeom>
                  </pic:spPr>
                </pic:pic>
              </a:graphicData>
            </a:graphic>
          </wp:inline>
        </w:drawing>
      </w:r>
    </w:p>
    <w:p w:rsidR="008D5C08" w:rsidRPr="00525A61" w:rsidRDefault="008D5C08" w:rsidP="00714DA0">
      <w:pPr>
        <w:pStyle w:val="FigureNote"/>
      </w:pPr>
      <w:r w:rsidRPr="00525A61">
        <w:rPr>
          <w:i/>
        </w:rPr>
        <w:t xml:space="preserve">Note: </w:t>
      </w:r>
      <w:r w:rsidRPr="00525A61">
        <w:t xml:space="preserve">This </w:t>
      </w:r>
      <w:r>
        <w:t>figure</w:t>
      </w:r>
      <w:r w:rsidRPr="00525A61">
        <w:t xml:space="preserve"> includes information from 64 sectors and subsectors.</w:t>
      </w:r>
    </w:p>
    <w:p w:rsidR="008D5C08" w:rsidRPr="00850AE8" w:rsidRDefault="008D5C08" w:rsidP="00714DA0">
      <w:pPr>
        <w:pStyle w:val="SourceDescription"/>
      </w:pPr>
      <w:r w:rsidRPr="001346B3">
        <w:rPr>
          <w:i/>
        </w:rPr>
        <w:t>Source</w:t>
      </w:r>
      <w:r>
        <w:t>: The Role of Regulators in the Governance of Infrastructure Survey 2016.</w:t>
      </w:r>
    </w:p>
    <w:p w:rsidR="008D5C08" w:rsidRDefault="008D5C08" w:rsidP="00714DA0">
      <w:pPr>
        <w:pStyle w:val="BodyText"/>
      </w:pPr>
      <w:bookmarkStart w:id="21" w:name="_Toc461639742"/>
      <w:bookmarkStart w:id="22" w:name="_Toc461640580"/>
      <w:r>
        <w:t xml:space="preserve">Figure </w:t>
      </w:r>
      <w:r w:rsidRPr="00D43A65">
        <w:t>2.15</w:t>
      </w:r>
      <w:r w:rsidRPr="00850AE8">
        <w:t xml:space="preserve"> shows that </w:t>
      </w:r>
      <w:r>
        <w:t xml:space="preserve">63% </w:t>
      </w:r>
      <w:r w:rsidRPr="00850AE8">
        <w:t>of economic regulators experienced a change in their role and functions over the last five years.</w:t>
      </w:r>
    </w:p>
    <w:p w:rsidR="008D5C08" w:rsidRDefault="008D5C08" w:rsidP="00714DA0">
      <w:pPr>
        <w:pStyle w:val="BodyText"/>
      </w:pPr>
      <w:r w:rsidRPr="00850AE8">
        <w:t>Changes in the roles and functions of economic regulators can involve regulating additional infrastructure, changes in the way in which infrastructure is regulated, and additional responsibilities (for example, an economic regulator being required to set technical standards</w:t>
      </w:r>
      <w:r>
        <w:t xml:space="preserve"> in addition to regulating tariffs</w:t>
      </w:r>
      <w:r w:rsidRPr="00850AE8">
        <w:t xml:space="preserve">). </w:t>
      </w:r>
    </w:p>
    <w:p w:rsidR="008D5C08" w:rsidRPr="00D50BBD" w:rsidRDefault="008D5C08" w:rsidP="00714DA0">
      <w:pPr>
        <w:pStyle w:val="Heading3"/>
      </w:pPr>
      <w:r>
        <w:t>Involvement of economic regulators in the policy process</w:t>
      </w:r>
    </w:p>
    <w:p w:rsidR="008D5C08" w:rsidRPr="00231C4F" w:rsidRDefault="008D5C08" w:rsidP="00714DA0">
      <w:pPr>
        <w:pStyle w:val="BodyText"/>
      </w:pPr>
      <w:r w:rsidRPr="00231C4F">
        <w:t>While there are some mechanisms that regulators administer that can influence the scope of their scope and functions (for example,</w:t>
      </w:r>
      <w:r>
        <w:t xml:space="preserve"> some</w:t>
      </w:r>
      <w:r w:rsidRPr="00231C4F">
        <w:t xml:space="preserve"> </w:t>
      </w:r>
      <w:r>
        <w:t>economic regulator</w:t>
      </w:r>
      <w:r w:rsidRPr="00231C4F">
        <w:t xml:space="preserve">s can made decisions about the need and scope of access regulation as competition in an industry changes), changes in </w:t>
      </w:r>
      <w:r>
        <w:t>economic regulator</w:t>
      </w:r>
      <w:r w:rsidRPr="00231C4F">
        <w:t xml:space="preserve">s’ roles and functions </w:t>
      </w:r>
      <w:r>
        <w:t xml:space="preserve">can </w:t>
      </w:r>
      <w:r w:rsidRPr="00231C4F">
        <w:t xml:space="preserve">also originate from government or an independent rule making body. </w:t>
      </w:r>
      <w:r>
        <w:t>Additionally, i</w:t>
      </w:r>
      <w:r w:rsidRPr="00231C4F">
        <w:t xml:space="preserve">n some circumstances, an </w:t>
      </w:r>
      <w:r>
        <w:t>economic regulator</w:t>
      </w:r>
      <w:r w:rsidRPr="00231C4F">
        <w:t xml:space="preserve"> may encounter an issue that the framework within which it operates is unable to address. </w:t>
      </w:r>
    </w:p>
    <w:p w:rsidR="008D5C08" w:rsidRPr="00F40A3D" w:rsidRDefault="008D5C08" w:rsidP="00714DA0">
      <w:pPr>
        <w:pStyle w:val="BodyText"/>
      </w:pPr>
      <w:r w:rsidRPr="00231C4F">
        <w:t xml:space="preserve">As a result, it can be important for </w:t>
      </w:r>
      <w:r>
        <w:t>economic regulator</w:t>
      </w:r>
      <w:r w:rsidRPr="00231C4F">
        <w:t xml:space="preserve">s to participate in the policy process. </w:t>
      </w:r>
      <w:r>
        <w:t>Economic regulator</w:t>
      </w:r>
      <w:r w:rsidRPr="00231C4F">
        <w:t xml:space="preserve">s can assist the </w:t>
      </w:r>
      <w:r>
        <w:t xml:space="preserve">economic regulatory policy </w:t>
      </w:r>
      <w:r w:rsidRPr="00231C4F">
        <w:t xml:space="preserve">process by providing policy makers with access to their industry knowledge and technical expertise that may not be within government. The independent status of </w:t>
      </w:r>
      <w:r>
        <w:t xml:space="preserve">economic </w:t>
      </w:r>
      <w:r w:rsidRPr="00F40A3D">
        <w:t xml:space="preserve">regulators puts them in the unique position </w:t>
      </w:r>
      <w:r w:rsidRPr="00F40A3D">
        <w:lastRenderedPageBreak/>
        <w:t>to be able to provide unbiased advice on specific policy in line with their overarching mandate.</w:t>
      </w:r>
    </w:p>
    <w:p w:rsidR="008D5C08" w:rsidRDefault="008D5C08" w:rsidP="00714DA0">
      <w:pPr>
        <w:pStyle w:val="BodyText"/>
      </w:pPr>
      <w:r w:rsidRPr="00231C4F">
        <w:t>Figure 2</w:t>
      </w:r>
      <w:r>
        <w:t>.16</w:t>
      </w:r>
      <w:r w:rsidRPr="00231C4F">
        <w:t xml:space="preserve"> illustrates the extent to which </w:t>
      </w:r>
      <w:r>
        <w:t>economic regulator</w:t>
      </w:r>
      <w:r w:rsidRPr="00231C4F">
        <w:t xml:space="preserve">s </w:t>
      </w:r>
      <w:r>
        <w:t xml:space="preserve">are involved in the regulatory policy development process. </w:t>
      </w:r>
    </w:p>
    <w:p w:rsidR="008D5C08" w:rsidRDefault="008D5C08" w:rsidP="00714DA0">
      <w:pPr>
        <w:pStyle w:val="FigureTitle"/>
      </w:pPr>
      <w:r w:rsidRPr="008A68F9">
        <w:rPr>
          <w:b w:val="0"/>
          <w:bCs w:val="0"/>
        </w:rPr>
        <w:t xml:space="preserve">Figure 2.16. </w:t>
      </w:r>
      <w:r w:rsidR="00AA09F9">
        <w:t>Involvement in the policy process</w:t>
      </w:r>
      <w:r>
        <w:t xml:space="preserve"> (% yes)?</w:t>
      </w:r>
      <w:r>
        <w:fldChar w:fldCharType="begin"/>
      </w:r>
      <w:r>
        <w:instrText xml:space="preserve"> TC \f f \l 2 "Figure 2.16. Are you involved in the policy development process (% yes)?"  </w:instrText>
      </w:r>
      <w:r>
        <w:fldChar w:fldCharType="end"/>
      </w:r>
    </w:p>
    <w:p w:rsidR="008D5C08" w:rsidRDefault="00D43A65" w:rsidP="00714DA0">
      <w:pPr>
        <w:pStyle w:val="Graphic"/>
      </w:pPr>
      <w:r>
        <w:rPr>
          <w:noProof/>
          <w:lang w:eastAsia="en-GB"/>
        </w:rPr>
        <w:drawing>
          <wp:inline distT="0" distB="0" distL="0" distR="0">
            <wp:extent cx="4752975" cy="1980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17.eps"/>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752975" cy="1980565"/>
                    </a:xfrm>
                    <a:prstGeom prst="rect">
                      <a:avLst/>
                    </a:prstGeom>
                  </pic:spPr>
                </pic:pic>
              </a:graphicData>
            </a:graphic>
          </wp:inline>
        </w:drawing>
      </w:r>
    </w:p>
    <w:p w:rsidR="008D5C08" w:rsidRPr="00525A61" w:rsidRDefault="008D5C08" w:rsidP="00714DA0">
      <w:pPr>
        <w:pStyle w:val="FigureNote"/>
      </w:pPr>
      <w:r>
        <w:rPr>
          <w:i/>
        </w:rPr>
        <w:t>Note</w:t>
      </w:r>
      <w:r w:rsidRPr="00525A61">
        <w:rPr>
          <w:i/>
        </w:rPr>
        <w:t xml:space="preserve">: </w:t>
      </w:r>
      <w:r w:rsidRPr="00525A61">
        <w:t xml:space="preserve">This </w:t>
      </w:r>
      <w:r>
        <w:t xml:space="preserve">figure </w:t>
      </w:r>
      <w:r w:rsidRPr="00525A61">
        <w:t>includes information from 27 sectors and subsectors respectively.</w:t>
      </w:r>
    </w:p>
    <w:p w:rsidR="008D5C08" w:rsidRPr="00C60EC0" w:rsidRDefault="008D5C08" w:rsidP="00714DA0">
      <w:pPr>
        <w:pStyle w:val="SourceDescription"/>
      </w:pPr>
      <w:r w:rsidRPr="001346B3">
        <w:rPr>
          <w:i/>
        </w:rPr>
        <w:t>Source</w:t>
      </w:r>
      <w:r>
        <w:t>: The Role of Regulators in the Governance of Infrastructure Survey 2016.</w:t>
      </w:r>
    </w:p>
    <w:p w:rsidR="008D5C08" w:rsidRDefault="008D5C08" w:rsidP="00714DA0">
      <w:pPr>
        <w:pStyle w:val="BodyText"/>
      </w:pPr>
      <w:r>
        <w:t>While the number of sectors and subsectors that responded to these survey questions was substantially smaller than for the other questions in the survey, Figure 2.27 shows that</w:t>
      </w:r>
      <w:r w:rsidRPr="00231C4F">
        <w:t xml:space="preserve"> while most </w:t>
      </w:r>
      <w:r>
        <w:t>economic regulator</w:t>
      </w:r>
      <w:r w:rsidRPr="00231C4F">
        <w:t xml:space="preserve">s the majority of </w:t>
      </w:r>
      <w:r>
        <w:t>economic regulator</w:t>
      </w:r>
      <w:r w:rsidRPr="00231C4F">
        <w:t>s contribute to the</w:t>
      </w:r>
      <w:r>
        <w:t xml:space="preserve"> regulatory</w:t>
      </w:r>
      <w:r w:rsidRPr="00231C4F">
        <w:t xml:space="preserve"> policy process</w:t>
      </w:r>
      <w:r>
        <w:t xml:space="preserve">. </w:t>
      </w:r>
    </w:p>
    <w:p w:rsidR="008D5C08" w:rsidRPr="00231C4F" w:rsidRDefault="008D5C08" w:rsidP="00714DA0">
      <w:pPr>
        <w:pStyle w:val="Heading3"/>
      </w:pPr>
      <w:bookmarkStart w:id="23" w:name="_Toc461827047"/>
      <w:bookmarkStart w:id="24" w:name="_Toc465252665"/>
      <w:r w:rsidRPr="00231C4F">
        <w:t>Tension between policy and economic regulatory objectives</w:t>
      </w:r>
      <w:bookmarkEnd w:id="23"/>
      <w:bookmarkEnd w:id="24"/>
    </w:p>
    <w:p w:rsidR="008D5C08" w:rsidRPr="00231C4F" w:rsidRDefault="008D5C08" w:rsidP="00714DA0">
      <w:pPr>
        <w:pStyle w:val="BodyText"/>
      </w:pPr>
      <w:r w:rsidRPr="00231C4F">
        <w:t xml:space="preserve">As identified in OECD 2016, one of the reasons for establishing separate bodies to administer infrastructure regulation separate from government is to insulate the regulator’s approach to administering its functions from the political process </w:t>
      </w:r>
      <w:r>
        <w:t>from the</w:t>
      </w:r>
      <w:r w:rsidRPr="00231C4F">
        <w:t xml:space="preserve"> election cycle. However, </w:t>
      </w:r>
      <w:r>
        <w:t>economic regulator</w:t>
      </w:r>
      <w:r w:rsidRPr="00231C4F">
        <w:t>s are not completely insulated from the political process and tensions sometimes exist between long-term economic objectives with short</w:t>
      </w:r>
      <w:r>
        <w:t>-</w:t>
      </w:r>
      <w:r w:rsidRPr="00231C4F">
        <w:t xml:space="preserve">term political goals. </w:t>
      </w:r>
    </w:p>
    <w:p w:rsidR="008D5C08" w:rsidRDefault="008D5C08" w:rsidP="00714DA0">
      <w:pPr>
        <w:pStyle w:val="BodyText"/>
      </w:pPr>
      <w:r>
        <w:t xml:space="preserve">The survey sought information from economic regulators on the extent to which there was tension between government policy objectives and economic regulatory objectives, for new or to be privatised infrastructure. Only a very small proportion of survey responses identified tension between economic regulatory and political objectives for new or to be privatised infrastructure. </w:t>
      </w:r>
    </w:p>
    <w:tbl>
      <w:tblPr>
        <w:tblStyle w:val="TableGrid"/>
        <w:tblW w:w="6464" w:type="dxa"/>
        <w:jc w:val="center"/>
        <w:shd w:val="clear" w:color="auto" w:fill="F4FFFF"/>
        <w:tblLook w:val="04A0" w:firstRow="1" w:lastRow="0" w:firstColumn="1" w:lastColumn="0" w:noHBand="0" w:noVBand="1"/>
      </w:tblPr>
      <w:tblGrid>
        <w:gridCol w:w="6464"/>
      </w:tblGrid>
      <w:tr w:rsidR="008D5C08" w:rsidTr="00F92F54">
        <w:trPr>
          <w:jc w:val="center"/>
        </w:trPr>
        <w:tc>
          <w:tcPr>
            <w:tcW w:w="9684" w:type="dxa"/>
            <w:shd w:val="clear" w:color="auto" w:fill="F4FFFF"/>
          </w:tcPr>
          <w:p w:rsidR="008D5C08" w:rsidRDefault="008D5C08" w:rsidP="00714DA0">
            <w:pPr>
              <w:pStyle w:val="BoxHeading"/>
            </w:pPr>
            <w:r>
              <w:lastRenderedPageBreak/>
              <w:t xml:space="preserve">Box 2.3 The ACCC’s advocacy for effective regulation for privatised infrastructure </w:t>
            </w:r>
          </w:p>
          <w:p w:rsidR="008D5C08" w:rsidRPr="000F1B5D" w:rsidRDefault="008D5C08" w:rsidP="00714DA0">
            <w:pPr>
              <w:pStyle w:val="BoxBodyText"/>
            </w:pPr>
            <w:r>
              <w:t>T</w:t>
            </w:r>
            <w:r w:rsidRPr="000F1B5D">
              <w:t xml:space="preserve">he ACCC agrees that there is a tension between government policy objectives and economic regulatory outcomes, particularly in the case of privatised infrastructure. </w:t>
            </w:r>
          </w:p>
          <w:p w:rsidR="008D5C08" w:rsidRPr="000F1B5D" w:rsidRDefault="008D5C08" w:rsidP="00714DA0">
            <w:pPr>
              <w:pStyle w:val="BoxBodyText"/>
            </w:pPr>
            <w:r w:rsidRPr="000F1B5D">
              <w:t>The ACCC is supportive of privatisations and has noted that State and Territory Governments are increasingly adopting a model in which commercial operations are run by the private sector unless there is a clear public policy objective that can demonstrably best be met by continuing public ownership. The ACCC considers this to be an effective approach to privatisation.</w:t>
            </w:r>
          </w:p>
          <w:p w:rsidR="008D5C08" w:rsidRPr="000F1B5D" w:rsidRDefault="008D5C08" w:rsidP="00714DA0">
            <w:pPr>
              <w:pStyle w:val="BoxBodyText"/>
            </w:pPr>
            <w:r w:rsidRPr="000F1B5D">
              <w:t xml:space="preserve">However, there are concerns that assets are being privatised in a manner that limits competition in order to maximise sale proceeds. For example, some Governments are privatising ports without appropriate regulatory regimes, or controls on pricing (e.g. the Port of Darwin). The ACCC has described this approach as one that increases the one-off sale proceeds by effectively taxing future generations and Australia’s future competitiveness. </w:t>
            </w:r>
          </w:p>
          <w:p w:rsidR="008D5C08" w:rsidRPr="000F1B5D" w:rsidRDefault="008D5C08" w:rsidP="00714DA0">
            <w:pPr>
              <w:pStyle w:val="BoxBodyText"/>
            </w:pPr>
            <w:r w:rsidRPr="000F1B5D">
              <w:t>The privatisation of Sydney Airport illustrates the tension between maximising sale proceeds and facilitating future economic efficiency. During the 2002 privatisation process the Australian Government provided the acquirer of Sydney (Kingsford Smith) Airport with the right of first refusal to develop and operate any second airport within 100 kilometres of the Sydney CBD. This term of sale prevented a new, separately owned major airport from being established in Western Sydney at Badgerys Creek</w:t>
            </w:r>
            <w:r>
              <w:t>.</w:t>
            </w:r>
          </w:p>
        </w:tc>
      </w:tr>
    </w:tbl>
    <w:p w:rsidR="008D5C08" w:rsidRPr="00E906F4" w:rsidRDefault="008D5C08" w:rsidP="00714DA0">
      <w:pPr>
        <w:pStyle w:val="BodyText"/>
      </w:pPr>
    </w:p>
    <w:p w:rsidR="008D5C08" w:rsidRDefault="008D5C08" w:rsidP="00714DA0">
      <w:pPr>
        <w:pStyle w:val="BodyText"/>
      </w:pPr>
      <w:r w:rsidRPr="00915918">
        <w:t>However, while noting that they had not identified any tension for new to be privatised infrastructure, some survey respondents identified a number of sources of tension that related to their ongoing regulatory role.</w:t>
      </w:r>
      <w:r>
        <w:t xml:space="preserve"> Some of the sources of tension identified by survey participants included where:</w:t>
      </w:r>
    </w:p>
    <w:p w:rsidR="008D5C08" w:rsidRDefault="008D5C08" w:rsidP="002649F9">
      <w:pPr>
        <w:pStyle w:val="ListBullet"/>
        <w:tabs>
          <w:tab w:val="clear" w:pos="1191"/>
        </w:tabs>
        <w:ind w:left="1191" w:hanging="340"/>
      </w:pPr>
      <w:r>
        <w:t>government privatised or sought to privatise infrastructure in markets characterised by limited competition and market failure</w:t>
      </w:r>
      <w:r w:rsidRPr="003D59BC">
        <w:t xml:space="preserve"> </w:t>
      </w:r>
      <w:r>
        <w:t>absent effective economic regulation.</w:t>
      </w:r>
    </w:p>
    <w:p w:rsidR="008D5C08" w:rsidRDefault="008D5C08" w:rsidP="002649F9">
      <w:pPr>
        <w:pStyle w:val="ListBullet"/>
        <w:tabs>
          <w:tab w:val="clear" w:pos="1191"/>
        </w:tabs>
        <w:ind w:left="1191" w:hanging="340"/>
      </w:pPr>
      <w:r>
        <w:t xml:space="preserve">cost of service approach to price regulation was implemented instead of incentive regulation. </w:t>
      </w:r>
    </w:p>
    <w:p w:rsidR="008D5C08" w:rsidRDefault="008D5C08" w:rsidP="002649F9">
      <w:pPr>
        <w:pStyle w:val="ListBullet"/>
        <w:tabs>
          <w:tab w:val="clear" w:pos="1191"/>
        </w:tabs>
        <w:ind w:left="1191" w:hanging="340"/>
      </w:pPr>
      <w:r>
        <w:t>governments supported specific investment projects despite them not being economic viable, the costs of which needed to be borne by customers through tariffs.</w:t>
      </w:r>
    </w:p>
    <w:p w:rsidR="008D5C08" w:rsidRDefault="00B33842" w:rsidP="002649F9">
      <w:pPr>
        <w:pStyle w:val="ListBullet"/>
        <w:tabs>
          <w:tab w:val="clear" w:pos="1191"/>
        </w:tabs>
        <w:ind w:left="1191" w:hanging="340"/>
      </w:pPr>
      <w:r>
        <w:t>the economic regime specified</w:t>
      </w:r>
      <w:r w:rsidR="008D5C08">
        <w:t xml:space="preserve"> an attractive rate of return, which may encourage over-investment</w:t>
      </w:r>
    </w:p>
    <w:p w:rsidR="008D5C08" w:rsidRDefault="008D5C08" w:rsidP="002649F9">
      <w:pPr>
        <w:pStyle w:val="ListBullet"/>
        <w:tabs>
          <w:tab w:val="clear" w:pos="1191"/>
        </w:tabs>
        <w:ind w:left="1191" w:hanging="340"/>
      </w:pPr>
      <w:r>
        <w:lastRenderedPageBreak/>
        <w:t>government made decisions affecting market structure which would</w:t>
      </w:r>
      <w:r w:rsidR="00B33842">
        <w:t xml:space="preserve"> have</w:t>
      </w:r>
      <w:r>
        <w:t xml:space="preserve"> implications for competition in those markets in the future. </w:t>
      </w:r>
    </w:p>
    <w:p w:rsidR="008D5C08" w:rsidRPr="002B59F1" w:rsidRDefault="008D5C08" w:rsidP="00714DA0">
      <w:pPr>
        <w:pStyle w:val="Heading2"/>
        <w:rPr>
          <w:color w:val="4E81BD"/>
        </w:rPr>
      </w:pPr>
      <w:bookmarkStart w:id="25" w:name="_Toc471464167"/>
      <w:bookmarkEnd w:id="21"/>
      <w:bookmarkEnd w:id="22"/>
      <w:r w:rsidRPr="002B59F1">
        <w:rPr>
          <w:color w:val="4E81BD"/>
        </w:rPr>
        <w:t>What are the challenges currently facing economic regulators?</w:t>
      </w:r>
      <w:bookmarkEnd w:id="25"/>
    </w:p>
    <w:p w:rsidR="008D5C08" w:rsidRPr="00231C4F" w:rsidRDefault="008D5C08" w:rsidP="00714DA0">
      <w:pPr>
        <w:pStyle w:val="BodyText"/>
      </w:pPr>
      <w:r>
        <w:t>Economic</w:t>
      </w:r>
      <w:r w:rsidRPr="00231C4F">
        <w:t xml:space="preserve"> regulation is tough. It is not simply an administrative role</w:t>
      </w:r>
      <w:r w:rsidR="00354711">
        <w:t> – </w:t>
      </w:r>
      <w:r w:rsidRPr="00231C4F">
        <w:t xml:space="preserve">it is complex and requires combining the technical expertise of experts from varying fields (economics, finance, engineering, law) to design a practical approach to implementing policy that affects the way in which infrastructure operators deliver services. There are often multiple solutions to problems and the </w:t>
      </w:r>
      <w:r>
        <w:t>economic regulator</w:t>
      </w:r>
      <w:r w:rsidRPr="00231C4F">
        <w:t xml:space="preserve"> needs to be able to communicate the reasons why its solution best meets its mandate often in an adversarial environment but also in a manner that </w:t>
      </w:r>
      <w:r>
        <w:t xml:space="preserve">is </w:t>
      </w:r>
      <w:r w:rsidRPr="00231C4F">
        <w:t xml:space="preserve">accessible to all stakeholders. The stakes are high and the implications of </w:t>
      </w:r>
      <w:r>
        <w:t>economic regulator</w:t>
      </w:r>
      <w:r w:rsidRPr="00231C4F">
        <w:t xml:space="preserve">s’ decisions are far reaching given the importance of infrastructure to the economy. </w:t>
      </w:r>
    </w:p>
    <w:p w:rsidR="008D5C08" w:rsidRPr="00231C4F" w:rsidRDefault="008D5C08" w:rsidP="00714DA0">
      <w:pPr>
        <w:pStyle w:val="BodyText"/>
      </w:pPr>
      <w:r w:rsidRPr="00231C4F">
        <w:t xml:space="preserve">In an environment where regulators frequently deal with changes in their roles and functions and where the approach to delivering on their mandate is not settled it is not surprising that </w:t>
      </w:r>
      <w:r>
        <w:t>economic regulator</w:t>
      </w:r>
      <w:r w:rsidRPr="00231C4F">
        <w:t xml:space="preserve">s face challenges in performing functions and carrying out their role. Identifying, and seeking to resolve the challenges faced by </w:t>
      </w:r>
      <w:r>
        <w:t>economic regulator</w:t>
      </w:r>
      <w:r w:rsidRPr="00231C4F">
        <w:t xml:space="preserve">s would enable them to better deliver their mandate, and may assist them </w:t>
      </w:r>
      <w:r>
        <w:t>in</w:t>
      </w:r>
      <w:r w:rsidRPr="00231C4F">
        <w:t xml:space="preserve"> provid</w:t>
      </w:r>
      <w:r>
        <w:t>ing</w:t>
      </w:r>
      <w:r w:rsidRPr="00231C4F">
        <w:t xml:space="preserve"> more certainty to infrastructure investors.</w:t>
      </w:r>
      <w:r>
        <w:t xml:space="preserve"> </w:t>
      </w:r>
    </w:p>
    <w:p w:rsidR="008D5C08" w:rsidRPr="00231C4F" w:rsidRDefault="008D5C08" w:rsidP="00714DA0">
      <w:pPr>
        <w:pStyle w:val="BodyText"/>
      </w:pPr>
      <w:r>
        <w:t>The</w:t>
      </w:r>
      <w:r w:rsidRPr="00231C4F">
        <w:t xml:space="preserve"> survey asked </w:t>
      </w:r>
      <w:r>
        <w:t>economic regulator</w:t>
      </w:r>
      <w:r w:rsidRPr="00231C4F">
        <w:t xml:space="preserve">s to identify the main challenges that they faced in carrying out their role. A large number of answers were received in response to this question. In order to provide an aggregate indication of the most common challenges faced by </w:t>
      </w:r>
      <w:r>
        <w:t>economic regulator</w:t>
      </w:r>
      <w:r w:rsidRPr="00231C4F">
        <w:t xml:space="preserve">s, a common set of challenges was developed. Challenges that were unique to a particular regulator are not presented in </w:t>
      </w:r>
      <w:r>
        <w:t>this section</w:t>
      </w:r>
      <w:r w:rsidRPr="00231C4F">
        <w:t>.</w:t>
      </w:r>
      <w:r>
        <w:t xml:space="preserve"> </w:t>
      </w:r>
    </w:p>
    <w:p w:rsidR="008D5C08" w:rsidRPr="00231C4F" w:rsidRDefault="008D5C08" w:rsidP="00714DA0">
      <w:pPr>
        <w:pStyle w:val="BodyText"/>
      </w:pPr>
      <w:r w:rsidRPr="00231C4F">
        <w:t>Figure 2</w:t>
      </w:r>
      <w:r w:rsidRPr="00D43A65">
        <w:t>.1</w:t>
      </w:r>
      <w:r>
        <w:t>7</w:t>
      </w:r>
      <w:r w:rsidRPr="00231C4F">
        <w:t xml:space="preserve"> shows the </w:t>
      </w:r>
      <w:r>
        <w:t xml:space="preserve">common </w:t>
      </w:r>
      <w:r w:rsidRPr="00231C4F">
        <w:t xml:space="preserve">challenges </w:t>
      </w:r>
      <w:r>
        <w:t>that more than one</w:t>
      </w:r>
      <w:r w:rsidRPr="00231C4F">
        <w:t xml:space="preserve"> </w:t>
      </w:r>
      <w:r>
        <w:t>economic regulator faced</w:t>
      </w:r>
      <w:r w:rsidRPr="00231C4F">
        <w:t xml:space="preserve">: </w:t>
      </w:r>
    </w:p>
    <w:p w:rsidR="008D5C08" w:rsidRPr="00231C4F" w:rsidRDefault="008D5C08" w:rsidP="002649F9">
      <w:pPr>
        <w:pStyle w:val="ListBullet"/>
        <w:tabs>
          <w:tab w:val="clear" w:pos="1191"/>
        </w:tabs>
        <w:ind w:left="1191" w:hanging="340"/>
      </w:pPr>
      <w:r>
        <w:rPr>
          <w:b/>
        </w:rPr>
        <w:t xml:space="preserve">Encouraging efficient investment </w:t>
      </w:r>
      <w:r w:rsidRPr="00231C4F">
        <w:t xml:space="preserve">– </w:t>
      </w:r>
      <w:r>
        <w:t>the challenge in</w:t>
      </w:r>
      <w:r w:rsidRPr="00231C4F">
        <w:t xml:space="preserve"> </w:t>
      </w:r>
      <w:r>
        <w:t xml:space="preserve">maintaining investment incentives while making decisions about tariffs or access to infrastructure. </w:t>
      </w:r>
    </w:p>
    <w:p w:rsidR="008D5C08" w:rsidRDefault="008D5C08" w:rsidP="002649F9">
      <w:pPr>
        <w:pStyle w:val="ListBullet"/>
        <w:tabs>
          <w:tab w:val="clear" w:pos="1191"/>
        </w:tabs>
        <w:ind w:left="1191" w:hanging="340"/>
      </w:pPr>
      <w:r w:rsidRPr="00231C4F">
        <w:rPr>
          <w:b/>
        </w:rPr>
        <w:t>Data</w:t>
      </w:r>
      <w:r>
        <w:rPr>
          <w:b/>
        </w:rPr>
        <w:t xml:space="preserve"> and information asymmetry</w:t>
      </w:r>
      <w:r w:rsidRPr="00231C4F">
        <w:t xml:space="preserve"> – challenges associated with information asymmetry and obtaining the right data to enable </w:t>
      </w:r>
      <w:r>
        <w:t>economic regulator</w:t>
      </w:r>
      <w:r w:rsidRPr="00231C4F">
        <w:t>s to perform their functions</w:t>
      </w:r>
      <w:r>
        <w:t xml:space="preserve">. </w:t>
      </w:r>
    </w:p>
    <w:p w:rsidR="008D5C08" w:rsidRPr="00D3111D" w:rsidRDefault="008D5C08" w:rsidP="002649F9">
      <w:pPr>
        <w:pStyle w:val="ListBullet"/>
        <w:tabs>
          <w:tab w:val="clear" w:pos="1191"/>
        </w:tabs>
        <w:ind w:left="1191" w:hanging="340"/>
        <w:rPr>
          <w:b/>
        </w:rPr>
      </w:pPr>
      <w:r w:rsidRPr="00231C4F">
        <w:rPr>
          <w:b/>
        </w:rPr>
        <w:t>Governance</w:t>
      </w:r>
      <w:r w:rsidRPr="00231C4F">
        <w:t xml:space="preserve"> – challenges associated with the governance of </w:t>
      </w:r>
      <w:r>
        <w:t>economic regulator</w:t>
      </w:r>
      <w:r w:rsidRPr="00231C4F">
        <w:t>s.</w:t>
      </w:r>
      <w:r w:rsidRPr="007F5E51">
        <w:t xml:space="preserve"> </w:t>
      </w:r>
    </w:p>
    <w:p w:rsidR="008D5C08" w:rsidRPr="007F5E51" w:rsidRDefault="008D5C08" w:rsidP="00D43A65">
      <w:pPr>
        <w:pStyle w:val="ListBullet"/>
        <w:tabs>
          <w:tab w:val="clear" w:pos="1191"/>
        </w:tabs>
        <w:ind w:left="1191" w:hanging="340"/>
      </w:pPr>
      <w:r w:rsidRPr="007F5E51">
        <w:rPr>
          <w:b/>
        </w:rPr>
        <w:lastRenderedPageBreak/>
        <w:t>New technology</w:t>
      </w:r>
      <w:r w:rsidR="00D43A65">
        <w:rPr>
          <w:b/>
        </w:rPr>
        <w:t>:</w:t>
      </w:r>
      <w:r w:rsidRPr="007F5E51">
        <w:t xml:space="preserve"> challenges associated with applying infrastructure regulation in the context of technology change. </w:t>
      </w:r>
    </w:p>
    <w:p w:rsidR="008D5C08" w:rsidRDefault="008D5C08" w:rsidP="00D43A65">
      <w:pPr>
        <w:pStyle w:val="ListBullet"/>
        <w:tabs>
          <w:tab w:val="clear" w:pos="1191"/>
        </w:tabs>
        <w:ind w:left="1191" w:hanging="340"/>
      </w:pPr>
      <w:r w:rsidRPr="00231C4F">
        <w:rPr>
          <w:b/>
        </w:rPr>
        <w:t>Change</w:t>
      </w:r>
      <w:r w:rsidR="00D43A65">
        <w:rPr>
          <w:b/>
        </w:rPr>
        <w:t>:</w:t>
      </w:r>
      <w:r w:rsidRPr="00231C4F">
        <w:t xml:space="preserve"> challenges associated with a change in mandate, responsibilities or functions</w:t>
      </w:r>
      <w:r>
        <w:t>.</w:t>
      </w:r>
      <w:r w:rsidRPr="007F5E51">
        <w:t xml:space="preserve"> </w:t>
      </w:r>
    </w:p>
    <w:p w:rsidR="008D5C08" w:rsidRPr="007F5E51" w:rsidRDefault="008D5C08" w:rsidP="00D43A65">
      <w:pPr>
        <w:pStyle w:val="ListBullet"/>
        <w:tabs>
          <w:tab w:val="clear" w:pos="1191"/>
        </w:tabs>
        <w:ind w:left="1191" w:hanging="340"/>
        <w:rPr>
          <w:b/>
        </w:rPr>
      </w:pPr>
      <w:r>
        <w:rPr>
          <w:b/>
        </w:rPr>
        <w:t>C</w:t>
      </w:r>
      <w:r w:rsidRPr="00D3111D">
        <w:rPr>
          <w:b/>
        </w:rPr>
        <w:t>o-ordination</w:t>
      </w:r>
      <w:r w:rsidR="00D43A65">
        <w:rPr>
          <w:b/>
        </w:rPr>
        <w:t>:</w:t>
      </w:r>
      <w:r>
        <w:rPr>
          <w:b/>
        </w:rPr>
        <w:t xml:space="preserve"> </w:t>
      </w:r>
      <w:r>
        <w:t xml:space="preserve">the challenge associated with co-ordinating with other stakeholders (users, industry, and government) in the delivery of roles and responsibilities. </w:t>
      </w:r>
    </w:p>
    <w:p w:rsidR="008D5C08" w:rsidRDefault="008D5C08" w:rsidP="00D43A65">
      <w:pPr>
        <w:pStyle w:val="ListBullet"/>
        <w:tabs>
          <w:tab w:val="clear" w:pos="1191"/>
        </w:tabs>
        <w:ind w:left="1191" w:hanging="340"/>
      </w:pPr>
      <w:r w:rsidRPr="00231C4F">
        <w:rPr>
          <w:b/>
        </w:rPr>
        <w:t>Engage</w:t>
      </w:r>
      <w:r>
        <w:rPr>
          <w:b/>
        </w:rPr>
        <w:t>ment</w:t>
      </w:r>
      <w:r w:rsidR="00D43A65">
        <w:rPr>
          <w:b/>
        </w:rPr>
        <w:t>:</w:t>
      </w:r>
      <w:r w:rsidRPr="00231C4F">
        <w:t xml:space="preserve"> challenges associated with engaging with stakeholders in making regulatory decisions</w:t>
      </w:r>
      <w:r>
        <w:t>.</w:t>
      </w:r>
      <w:r w:rsidRPr="007F5E51">
        <w:t xml:space="preserve"> </w:t>
      </w:r>
    </w:p>
    <w:p w:rsidR="008D5C08" w:rsidRPr="007F5E51" w:rsidRDefault="008D5C08" w:rsidP="00D43A65">
      <w:pPr>
        <w:pStyle w:val="ListBullet"/>
        <w:tabs>
          <w:tab w:val="clear" w:pos="1191"/>
        </w:tabs>
        <w:ind w:left="1191" w:hanging="340"/>
        <w:rPr>
          <w:b/>
        </w:rPr>
      </w:pPr>
      <w:r w:rsidRPr="007F5E51">
        <w:rPr>
          <w:b/>
        </w:rPr>
        <w:t>Complexity</w:t>
      </w:r>
      <w:r w:rsidR="00D43A65">
        <w:rPr>
          <w:b/>
        </w:rPr>
        <w:t>:</w:t>
      </w:r>
      <w:r w:rsidRPr="007F5E51">
        <w:rPr>
          <w:b/>
        </w:rPr>
        <w:t xml:space="preserve"> </w:t>
      </w:r>
      <w:r>
        <w:t>the challenge associated with decision making in an increasingly complex environment.</w:t>
      </w:r>
      <w:r w:rsidRPr="007F5E51">
        <w:t xml:space="preserve"> </w:t>
      </w:r>
    </w:p>
    <w:p w:rsidR="008D5C08" w:rsidRPr="00231C4F" w:rsidRDefault="008D5C08" w:rsidP="00D43A65">
      <w:pPr>
        <w:pStyle w:val="ListBullet"/>
        <w:tabs>
          <w:tab w:val="clear" w:pos="1191"/>
        </w:tabs>
        <w:ind w:left="1191" w:hanging="340"/>
        <w:rPr>
          <w:b/>
        </w:rPr>
      </w:pPr>
      <w:r w:rsidRPr="00231C4F">
        <w:rPr>
          <w:b/>
        </w:rPr>
        <w:t>Incentives</w:t>
      </w:r>
      <w:r w:rsidR="00D43A65">
        <w:rPr>
          <w:b/>
        </w:rPr>
        <w:t>:</w:t>
      </w:r>
      <w:r w:rsidRPr="00231C4F">
        <w:rPr>
          <w:b/>
        </w:rPr>
        <w:t xml:space="preserve"> </w:t>
      </w:r>
      <w:r w:rsidRPr="00231C4F">
        <w:t>challenges associated with seeking to create financial incentives to encourage particular behaviour from infrastructure operators</w:t>
      </w:r>
      <w:r>
        <w:t>.</w:t>
      </w:r>
      <w:r w:rsidRPr="007F5E51">
        <w:t xml:space="preserve"> </w:t>
      </w:r>
    </w:p>
    <w:p w:rsidR="008D5C08" w:rsidRPr="00D3111D" w:rsidRDefault="008D5C08" w:rsidP="00D43A65">
      <w:pPr>
        <w:pStyle w:val="ListBullet"/>
        <w:tabs>
          <w:tab w:val="clear" w:pos="1191"/>
        </w:tabs>
        <w:ind w:left="1191" w:hanging="340"/>
        <w:rPr>
          <w:b/>
        </w:rPr>
      </w:pPr>
      <w:r w:rsidRPr="00231C4F">
        <w:rPr>
          <w:b/>
        </w:rPr>
        <w:t>Declining demand</w:t>
      </w:r>
      <w:r w:rsidR="00D43A65">
        <w:rPr>
          <w:b/>
        </w:rPr>
        <w:t>:</w:t>
      </w:r>
      <w:r w:rsidRPr="00231C4F">
        <w:t xml:space="preserve"> challenges associated with regulating long-lived assets where demand for the services provided over that infrastructure is in decline.</w:t>
      </w:r>
      <w:r w:rsidRPr="007F5E51">
        <w:t xml:space="preserve"> </w:t>
      </w:r>
    </w:p>
    <w:p w:rsidR="008D5C08" w:rsidRDefault="008D5C08" w:rsidP="00D43A65">
      <w:pPr>
        <w:pStyle w:val="ListBullet"/>
        <w:tabs>
          <w:tab w:val="clear" w:pos="1191"/>
        </w:tabs>
        <w:ind w:left="1191" w:hanging="340"/>
      </w:pPr>
      <w:r w:rsidRPr="00231C4F">
        <w:rPr>
          <w:b/>
        </w:rPr>
        <w:t>Appeals</w:t>
      </w:r>
      <w:r w:rsidR="00D43A65">
        <w:rPr>
          <w:b/>
        </w:rPr>
        <w:t>:</w:t>
      </w:r>
      <w:r w:rsidRPr="00231C4F">
        <w:rPr>
          <w:b/>
        </w:rPr>
        <w:t xml:space="preserve"> </w:t>
      </w:r>
      <w:r w:rsidRPr="00231C4F">
        <w:t>challenges associated with decision maki</w:t>
      </w:r>
      <w:r>
        <w:t xml:space="preserve">ng in the context of legal review. </w:t>
      </w:r>
    </w:p>
    <w:p w:rsidR="008D5C08" w:rsidRPr="00231C4F" w:rsidRDefault="008D5C08" w:rsidP="00714DA0">
      <w:pPr>
        <w:pStyle w:val="FigureTitle"/>
      </w:pPr>
      <w:r w:rsidRPr="002B59F1">
        <w:rPr>
          <w:b w:val="0"/>
          <w:bCs w:val="0"/>
        </w:rPr>
        <w:lastRenderedPageBreak/>
        <w:t>Figure 2.17.</w:t>
      </w:r>
      <w:r>
        <w:t xml:space="preserve"> Common challenges faced by economic regulators</w:t>
      </w:r>
      <w:r>
        <w:fldChar w:fldCharType="begin"/>
      </w:r>
      <w:r>
        <w:instrText xml:space="preserve"> TC \f f \l 2 "Figure 2.17. Common challenges faced by economic regulators"  </w:instrText>
      </w:r>
      <w:r>
        <w:fldChar w:fldCharType="end"/>
      </w:r>
    </w:p>
    <w:p w:rsidR="008D5C08" w:rsidRDefault="008D5C08" w:rsidP="00714DA0">
      <w:pPr>
        <w:pStyle w:val="Graphic"/>
      </w:pPr>
      <w:r>
        <w:rPr>
          <w:noProof/>
          <w:lang w:eastAsia="en-GB"/>
        </w:rPr>
        <w:drawing>
          <wp:inline distT="0" distB="0" distL="0" distR="0" wp14:anchorId="3B5C0A67" wp14:editId="5507DB4C">
            <wp:extent cx="3457575" cy="33051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3457575" cy="3305175"/>
                    </a:xfrm>
                    <a:prstGeom prst="rect">
                      <a:avLst/>
                    </a:prstGeom>
                  </pic:spPr>
                </pic:pic>
              </a:graphicData>
            </a:graphic>
          </wp:inline>
        </w:drawing>
      </w:r>
    </w:p>
    <w:p w:rsidR="008D5C08" w:rsidRPr="00B17DF9" w:rsidRDefault="008D5C08" w:rsidP="00714DA0">
      <w:pPr>
        <w:pStyle w:val="FigureNote"/>
      </w:pPr>
      <w:r>
        <w:rPr>
          <w:i/>
        </w:rPr>
        <w:t>Note</w:t>
      </w:r>
      <w:r w:rsidRPr="00B17DF9">
        <w:rPr>
          <w:i/>
        </w:rPr>
        <w:t xml:space="preserve">: </w:t>
      </w:r>
      <w:r w:rsidRPr="00B17DF9">
        <w:t xml:space="preserve">This </w:t>
      </w:r>
      <w:r>
        <w:t xml:space="preserve">figure </w:t>
      </w:r>
      <w:r w:rsidRPr="00B17DF9">
        <w:t>includes information from 55 sectors and subsectors respectively.</w:t>
      </w:r>
    </w:p>
    <w:p w:rsidR="008D5C08" w:rsidRPr="00853629" w:rsidRDefault="008D5C08" w:rsidP="00714DA0">
      <w:pPr>
        <w:pStyle w:val="SourceDescription"/>
      </w:pPr>
      <w:r w:rsidRPr="00853629">
        <w:rPr>
          <w:i/>
          <w:iCs/>
        </w:rPr>
        <w:t>Source</w:t>
      </w:r>
      <w:r w:rsidRPr="00853629">
        <w:t>: The Role of Regulators in the Governance of Infrastructure Survey 2016.</w:t>
      </w:r>
    </w:p>
    <w:p w:rsidR="008D5C08" w:rsidRDefault="008D5C08" w:rsidP="00714DA0">
      <w:pPr>
        <w:pStyle w:val="BodyText"/>
      </w:pPr>
      <w:r w:rsidRPr="00B17DF9">
        <w:t>The most frequently cited challenges were “encouraging efficient investment” (which involves seeking to balance the objectives on encouraging investment and also efficiency), and “data” (which involves concerns about difficulty that information asymmetry poses in decision making and insufficient data for decision making).</w:t>
      </w:r>
      <w:r>
        <w:t xml:space="preserve"> </w:t>
      </w:r>
    </w:p>
    <w:p w:rsidR="008D5C08" w:rsidRPr="00B17DF9" w:rsidRDefault="008D5C08" w:rsidP="00714DA0">
      <w:pPr>
        <w:pStyle w:val="FigureTitle"/>
      </w:pPr>
      <w:r w:rsidRPr="000C7411">
        <w:rPr>
          <w:b w:val="0"/>
          <w:bCs w:val="0"/>
        </w:rPr>
        <w:lastRenderedPageBreak/>
        <w:t>Figure 2.18.</w:t>
      </w:r>
      <w:r>
        <w:t xml:space="preserve"> Common challenges faced by economic regulators, by industry group</w:t>
      </w:r>
      <w:r>
        <w:fldChar w:fldCharType="begin"/>
      </w:r>
      <w:r>
        <w:instrText xml:space="preserve"> TC \f f \l 2 "Figure 2.18. Common challenges faced by economic regulators, by industry group"  </w:instrText>
      </w:r>
      <w:r>
        <w:fldChar w:fldCharType="end"/>
      </w:r>
    </w:p>
    <w:p w:rsidR="008D5C08" w:rsidRDefault="008D5C08" w:rsidP="00714DA0">
      <w:pPr>
        <w:pStyle w:val="Graphic"/>
      </w:pPr>
      <w:r>
        <w:rPr>
          <w:noProof/>
          <w:lang w:eastAsia="en-GB"/>
        </w:rPr>
        <w:drawing>
          <wp:inline distT="0" distB="0" distL="0" distR="0" wp14:anchorId="2974D032" wp14:editId="0163E2FD">
            <wp:extent cx="5343525" cy="47910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343525" cy="4791075"/>
                    </a:xfrm>
                    <a:prstGeom prst="rect">
                      <a:avLst/>
                    </a:prstGeom>
                  </pic:spPr>
                </pic:pic>
              </a:graphicData>
            </a:graphic>
          </wp:inline>
        </w:drawing>
      </w:r>
    </w:p>
    <w:p w:rsidR="008D5C08" w:rsidRPr="00C35F23" w:rsidRDefault="008D5C08" w:rsidP="00714DA0">
      <w:pPr>
        <w:pStyle w:val="FigureNote"/>
      </w:pPr>
      <w:r>
        <w:rPr>
          <w:i/>
        </w:rPr>
        <w:t>Note</w:t>
      </w:r>
      <w:r w:rsidRPr="00C35F23">
        <w:rPr>
          <w:i/>
        </w:rPr>
        <w:t xml:space="preserve">: </w:t>
      </w:r>
      <w:r w:rsidRPr="00C35F23">
        <w:t xml:space="preserve">This </w:t>
      </w:r>
      <w:r>
        <w:t xml:space="preserve">figure </w:t>
      </w:r>
      <w:r w:rsidRPr="00C35F23">
        <w:t xml:space="preserve">includes information from </w:t>
      </w:r>
      <w:r>
        <w:t>10 communications, 21 energy, 14 transport, and 7 water sectors and subsectors.</w:t>
      </w:r>
    </w:p>
    <w:p w:rsidR="008D5C08" w:rsidRPr="00C60EC0" w:rsidRDefault="008D5C08" w:rsidP="00714DA0">
      <w:pPr>
        <w:pStyle w:val="SourceDescription"/>
      </w:pPr>
      <w:r w:rsidRPr="001346B3">
        <w:rPr>
          <w:i/>
        </w:rPr>
        <w:t>Source</w:t>
      </w:r>
      <w:r>
        <w:t>: The Role of Regulators in the Governance of Infrastructure Survey 2016.</w:t>
      </w:r>
    </w:p>
    <w:p w:rsidR="008D5C08" w:rsidRPr="00211AA0" w:rsidRDefault="008D5C08" w:rsidP="00714DA0">
      <w:pPr>
        <w:pStyle w:val="BodyText"/>
      </w:pPr>
      <w:r w:rsidRPr="00211AA0">
        <w:t>Figure 2</w:t>
      </w:r>
      <w:r>
        <w:t>.</w:t>
      </w:r>
      <w:r w:rsidRPr="00D43A65">
        <w:t>1</w:t>
      </w:r>
      <w:r>
        <w:t>8</w:t>
      </w:r>
      <w:r w:rsidRPr="00211AA0">
        <w:t xml:space="preserve"> separates out the challenges faced by economic regulators by industry group. The most common challenges identified were different for the different industry sectors. </w:t>
      </w:r>
    </w:p>
    <w:p w:rsidR="008D5C08" w:rsidRPr="00231C4F" w:rsidRDefault="008D5C08" w:rsidP="00D43A65">
      <w:pPr>
        <w:pStyle w:val="ListBullet"/>
        <w:tabs>
          <w:tab w:val="clear" w:pos="1191"/>
        </w:tabs>
        <w:ind w:left="1191" w:hanging="340"/>
      </w:pPr>
      <w:r w:rsidRPr="00231C4F">
        <w:lastRenderedPageBreak/>
        <w:t>Communications</w:t>
      </w:r>
      <w:r w:rsidR="00D43A65">
        <w:t>:</w:t>
      </w:r>
      <w:r w:rsidR="00F92F54">
        <w:t> </w:t>
      </w:r>
      <w:r w:rsidRPr="00231C4F">
        <w:t xml:space="preserve">the most common challenges </w:t>
      </w:r>
      <w:r>
        <w:t>identified in survey responses for the</w:t>
      </w:r>
      <w:r w:rsidRPr="00231C4F">
        <w:t xml:space="preserve"> communication</w:t>
      </w:r>
      <w:r>
        <w:t>s industry group</w:t>
      </w:r>
      <w:r w:rsidRPr="00231C4F">
        <w:t xml:space="preserve"> were the new tech and </w:t>
      </w:r>
      <w:r>
        <w:t>encouraging efficient investment</w:t>
      </w:r>
      <w:r w:rsidRPr="00231C4F">
        <w:t xml:space="preserve"> challenges. </w:t>
      </w:r>
    </w:p>
    <w:p w:rsidR="008D5C08" w:rsidRPr="00231C4F" w:rsidRDefault="00F92F54" w:rsidP="00AD6CA1">
      <w:pPr>
        <w:pStyle w:val="ListBullet"/>
        <w:tabs>
          <w:tab w:val="clear" w:pos="1191"/>
        </w:tabs>
        <w:ind w:left="1191" w:hanging="340"/>
      </w:pPr>
      <w:r>
        <w:t>Energy</w:t>
      </w:r>
      <w:r w:rsidR="00AD6CA1">
        <w:t>:</w:t>
      </w:r>
      <w:r>
        <w:t> </w:t>
      </w:r>
      <w:r w:rsidR="008D5C08">
        <w:t>survey responses from the e</w:t>
      </w:r>
      <w:r w:rsidR="008D5C08" w:rsidRPr="00231C4F">
        <w:t>nergy</w:t>
      </w:r>
      <w:r w:rsidR="008D5C08">
        <w:t xml:space="preserve"> industry group</w:t>
      </w:r>
      <w:r w:rsidR="008D5C08" w:rsidRPr="00231C4F">
        <w:t xml:space="preserve"> </w:t>
      </w:r>
      <w:r w:rsidR="008D5C08">
        <w:t>economic regulator</w:t>
      </w:r>
      <w:r w:rsidR="008D5C08" w:rsidRPr="00231C4F">
        <w:t xml:space="preserve">s had the largest number of different challenges. The most common challenge faced by energy </w:t>
      </w:r>
      <w:r w:rsidR="008D5C08">
        <w:t>economic regulators were encouraging efficient investment</w:t>
      </w:r>
      <w:r w:rsidR="008D5C08" w:rsidRPr="00231C4F">
        <w:t>, data and governance challenges.</w:t>
      </w:r>
      <w:r w:rsidR="008D5C08">
        <w:t xml:space="preserve"> </w:t>
      </w:r>
    </w:p>
    <w:p w:rsidR="008D5C08" w:rsidRPr="00231C4F" w:rsidRDefault="008D5C08" w:rsidP="00AD6CA1">
      <w:pPr>
        <w:pStyle w:val="ListBullet"/>
        <w:tabs>
          <w:tab w:val="clear" w:pos="1191"/>
        </w:tabs>
        <w:ind w:left="1191" w:hanging="340"/>
      </w:pPr>
      <w:r w:rsidRPr="00231C4F">
        <w:t>Transport</w:t>
      </w:r>
      <w:r w:rsidR="00AD6CA1">
        <w:t>:</w:t>
      </w:r>
      <w:r w:rsidR="00F92F54">
        <w:rPr>
          <w:b/>
        </w:rPr>
        <w:t> </w:t>
      </w:r>
      <w:r w:rsidRPr="00231C4F">
        <w:t>The most common challenge i</w:t>
      </w:r>
      <w:r>
        <w:t>dentified in survey responses in the</w:t>
      </w:r>
      <w:r w:rsidRPr="00231C4F">
        <w:t xml:space="preserve"> transport</w:t>
      </w:r>
      <w:r>
        <w:t xml:space="preserve"> industry group</w:t>
      </w:r>
      <w:r w:rsidRPr="00231C4F">
        <w:t xml:space="preserve"> was data, followed by change and engagement.</w:t>
      </w:r>
      <w:r>
        <w:t xml:space="preserve"> </w:t>
      </w:r>
    </w:p>
    <w:p w:rsidR="008D5C08" w:rsidRPr="00231C4F" w:rsidRDefault="00F92F54" w:rsidP="00AD6CA1">
      <w:pPr>
        <w:pStyle w:val="ListBullet"/>
        <w:tabs>
          <w:tab w:val="clear" w:pos="1191"/>
        </w:tabs>
        <w:ind w:left="1191" w:hanging="340"/>
      </w:pPr>
      <w:r>
        <w:t>Water</w:t>
      </w:r>
      <w:r w:rsidR="00AD6CA1">
        <w:t>:</w:t>
      </w:r>
      <w:r>
        <w:t> </w:t>
      </w:r>
      <w:r w:rsidR="008D5C08" w:rsidRPr="00231C4F">
        <w:t>The most common in challenge in</w:t>
      </w:r>
      <w:r w:rsidR="008D5C08">
        <w:t xml:space="preserve"> survey responses from the</w:t>
      </w:r>
      <w:r w:rsidR="008D5C08" w:rsidRPr="00231C4F">
        <w:t xml:space="preserve"> water</w:t>
      </w:r>
      <w:r w:rsidR="008D5C08">
        <w:t xml:space="preserve"> industry group</w:t>
      </w:r>
      <w:r w:rsidR="008D5C08" w:rsidRPr="00231C4F">
        <w:t xml:space="preserve"> was data</w:t>
      </w:r>
      <w:r w:rsidR="008D5C08">
        <w:t>, followed by encouraging efficient investment and incentives</w:t>
      </w:r>
      <w:r w:rsidR="008D5C08" w:rsidRPr="00231C4F">
        <w:t xml:space="preserve">. </w:t>
      </w:r>
    </w:p>
    <w:p w:rsidR="008D5C08" w:rsidRPr="000C7411" w:rsidRDefault="008D5C08" w:rsidP="00714DA0">
      <w:pPr>
        <w:pStyle w:val="Heading2"/>
        <w:rPr>
          <w:color w:val="4E81BD"/>
        </w:rPr>
      </w:pPr>
      <w:bookmarkStart w:id="26" w:name="_Toc465252667"/>
      <w:bookmarkStart w:id="27" w:name="_Toc471464168"/>
      <w:r w:rsidRPr="000C7411">
        <w:rPr>
          <w:color w:val="4E81BD"/>
        </w:rPr>
        <w:t>The challenges faced by economic regulators in detail</w:t>
      </w:r>
      <w:bookmarkEnd w:id="26"/>
      <w:bookmarkEnd w:id="27"/>
    </w:p>
    <w:p w:rsidR="008D5C08" w:rsidRPr="00231C4F" w:rsidRDefault="008D5C08" w:rsidP="00714DA0">
      <w:pPr>
        <w:pStyle w:val="Heading3"/>
        <w:rPr>
          <w:i w:val="0"/>
        </w:rPr>
      </w:pPr>
      <w:bookmarkStart w:id="28" w:name="_Toc471464169"/>
      <w:r>
        <w:t>Encouraging efficient investment</w:t>
      </w:r>
      <w:bookmarkEnd w:id="28"/>
    </w:p>
    <w:p w:rsidR="008D5C08" w:rsidRPr="00231C4F" w:rsidRDefault="008D5C08" w:rsidP="00714DA0">
      <w:pPr>
        <w:pStyle w:val="BodyText"/>
      </w:pPr>
      <w:r w:rsidRPr="00231C4F">
        <w:t xml:space="preserve">One of the largest common challenges identified by </w:t>
      </w:r>
      <w:r>
        <w:t>economic regulator</w:t>
      </w:r>
      <w:r w:rsidRPr="00231C4F">
        <w:t>s involved</w:t>
      </w:r>
      <w:r>
        <w:t xml:space="preserve"> balancing efficient tariffs or the right level of regulation with</w:t>
      </w:r>
      <w:r w:rsidRPr="00231C4F">
        <w:t xml:space="preserve"> the need to maintain incentives</w:t>
      </w:r>
      <w:r>
        <w:t xml:space="preserve"> for efficient investment</w:t>
      </w:r>
      <w:r w:rsidRPr="00231C4F">
        <w:t xml:space="preserve">. This challenge also included where </w:t>
      </w:r>
      <w:r>
        <w:t>economic regulator</w:t>
      </w:r>
      <w:r w:rsidRPr="00231C4F">
        <w:t xml:space="preserve">s were seeking to design incentives to encourage investment, or where </w:t>
      </w:r>
      <w:r>
        <w:t>economic regulator</w:t>
      </w:r>
      <w:r w:rsidRPr="00231C4F">
        <w:t>s sought to ensure that long-term asset management objectives were not discounted in favour of short-term price outcomes.</w:t>
      </w:r>
      <w:r>
        <w:t xml:space="preserve"> For example:</w:t>
      </w:r>
    </w:p>
    <w:p w:rsidR="008D5C08" w:rsidRPr="009E203F" w:rsidRDefault="008D5C08" w:rsidP="00714DA0">
      <w:pPr>
        <w:pStyle w:val="BodyText"/>
      </w:pPr>
      <w:r w:rsidRPr="009E203F">
        <w:t xml:space="preserve">One economic regulator noted that this was particularly challenging where there was </w:t>
      </w:r>
      <w:r w:rsidRPr="009E203F">
        <w:rPr>
          <w:b/>
        </w:rPr>
        <w:t>increased investment needs associated with new technologies</w:t>
      </w:r>
      <w:r w:rsidRPr="009E203F">
        <w:t xml:space="preserve"> (for example in energy, driven by renewables and feed-in priority). However, it was considered that effective cost benchmarking and incentive arrangements could address this challenge.</w:t>
      </w:r>
    </w:p>
    <w:p w:rsidR="008D5C08" w:rsidRDefault="008D5C08" w:rsidP="00714DA0">
      <w:pPr>
        <w:pStyle w:val="BodyText"/>
      </w:pPr>
      <w:r>
        <w:t xml:space="preserve">Another economic regulator noted that tariffs needed to balance limiting market power and ensuring a reasonable return. It noted that if tariffs </w:t>
      </w:r>
      <w:r w:rsidRPr="00B17DF9">
        <w:t>did not provide a sufficient return that investors may leave an industry</w:t>
      </w:r>
      <w:r>
        <w:t xml:space="preserve">, and that this could have an adverse impact on the sector (a lack of network expansion, or reduced capacity associated with decreased maintenance). </w:t>
      </w:r>
    </w:p>
    <w:p w:rsidR="008D5C08" w:rsidRPr="00B17DF9" w:rsidRDefault="008D5C08" w:rsidP="00714DA0">
      <w:pPr>
        <w:pStyle w:val="Heading3"/>
      </w:pPr>
      <w:bookmarkStart w:id="29" w:name="_Toc471464170"/>
      <w:r w:rsidRPr="00B17DF9">
        <w:t>Data (and information asymmetry)</w:t>
      </w:r>
      <w:bookmarkEnd w:id="29"/>
    </w:p>
    <w:p w:rsidR="008D5C08" w:rsidRPr="00231C4F" w:rsidRDefault="008D5C08" w:rsidP="00F92F54">
      <w:pPr>
        <w:pStyle w:val="BodyText"/>
      </w:pPr>
      <w:r w:rsidRPr="00231C4F">
        <w:t>Data is a category of challenges that included the general issue of seeking to reduce the level of information asymmetry in order to improve regulatory decision</w:t>
      </w:r>
      <w:r w:rsidR="00F92F54">
        <w:t>-</w:t>
      </w:r>
      <w:r w:rsidRPr="00231C4F">
        <w:t xml:space="preserve">making, and </w:t>
      </w:r>
      <w:r>
        <w:t>also includes specific issues around</w:t>
      </w:r>
      <w:r w:rsidRPr="00231C4F">
        <w:t xml:space="preserve"> </w:t>
      </w:r>
      <w:r>
        <w:t xml:space="preserve">the </w:t>
      </w:r>
      <w:r>
        <w:lastRenderedPageBreak/>
        <w:t xml:space="preserve">collection and use of </w:t>
      </w:r>
      <w:r w:rsidRPr="00231C4F">
        <w:t xml:space="preserve">data. </w:t>
      </w:r>
      <w:r>
        <w:t xml:space="preserve">In relation to information asymmetry, one economic regulator noted that private infrastructure operators always had better information about their costs than the regulator, but that effective incentive arrangements could be put in place to reward private infrastructure operators for revealing cost information over time. </w:t>
      </w:r>
    </w:p>
    <w:p w:rsidR="008D5C08" w:rsidRPr="00231C4F" w:rsidRDefault="008D5C08" w:rsidP="00714DA0">
      <w:pPr>
        <w:pStyle w:val="BodyText"/>
      </w:pPr>
      <w:r w:rsidRPr="00231C4F">
        <w:t>Other specific data issues that were raised included:</w:t>
      </w:r>
    </w:p>
    <w:p w:rsidR="008D5C08" w:rsidRPr="00D65DC0" w:rsidRDefault="008D5C08" w:rsidP="002649F9">
      <w:pPr>
        <w:pStyle w:val="ListBullet"/>
        <w:tabs>
          <w:tab w:val="clear" w:pos="1191"/>
        </w:tabs>
        <w:ind w:left="1191" w:hanging="340"/>
      </w:pPr>
      <w:r w:rsidRPr="00D65DC0">
        <w:rPr>
          <w:b/>
        </w:rPr>
        <w:t>Unreliable data being provided by infrastructure operators</w:t>
      </w:r>
      <w:r w:rsidRPr="00D65DC0">
        <w:t xml:space="preserve">. For example, one </w:t>
      </w:r>
      <w:r>
        <w:t>economic regulator</w:t>
      </w:r>
      <w:r w:rsidRPr="00D65DC0">
        <w:t xml:space="preserve"> identified unreliable data being provided by infrastructure operators was one of the main challenges it faced in carrying out its role, and that it was taking steps to improve the quality of data provided by them. </w:t>
      </w:r>
    </w:p>
    <w:p w:rsidR="008D5C08" w:rsidRPr="007772AD" w:rsidRDefault="008D5C08" w:rsidP="002649F9">
      <w:pPr>
        <w:pStyle w:val="ListBullet"/>
        <w:tabs>
          <w:tab w:val="clear" w:pos="1191"/>
        </w:tabs>
        <w:ind w:left="1191" w:hanging="340"/>
      </w:pPr>
      <w:r w:rsidRPr="00D65DC0">
        <w:rPr>
          <w:b/>
        </w:rPr>
        <w:t>Establishing and maintaining data collection arrangements</w:t>
      </w:r>
      <w:r w:rsidRPr="00D65DC0">
        <w:t xml:space="preserve">. </w:t>
      </w:r>
      <w:r>
        <w:t>After recently taking on</w:t>
      </w:r>
      <w:r w:rsidRPr="00D65DC0">
        <w:t xml:space="preserve"> a new regulatory role</w:t>
      </w:r>
      <w:r>
        <w:t>, one economic regulator</w:t>
      </w:r>
      <w:r w:rsidRPr="00D65DC0">
        <w:t xml:space="preserve"> considered that it was imperative </w:t>
      </w:r>
      <w:r>
        <w:t xml:space="preserve">to </w:t>
      </w:r>
      <w:r w:rsidRPr="00D65DC0">
        <w:t xml:space="preserve">establish robust data </w:t>
      </w:r>
      <w:r>
        <w:t xml:space="preserve">and </w:t>
      </w:r>
      <w:r w:rsidRPr="00D65DC0">
        <w:t>regulatory accounts that accounted for capitalisation and service classification changes to ensure that it was well supported in making future tariff decisions.</w:t>
      </w:r>
      <w:r>
        <w:t xml:space="preserve"> </w:t>
      </w:r>
    </w:p>
    <w:p w:rsidR="008D5C08" w:rsidRDefault="008D5C08" w:rsidP="002649F9">
      <w:pPr>
        <w:pStyle w:val="ListBullet"/>
        <w:tabs>
          <w:tab w:val="clear" w:pos="1191"/>
        </w:tabs>
        <w:ind w:left="1191" w:hanging="340"/>
      </w:pPr>
      <w:r w:rsidRPr="00545407">
        <w:rPr>
          <w:b/>
        </w:rPr>
        <w:t>Coping with large amounts of data</w:t>
      </w:r>
      <w:r w:rsidRPr="00231C4F">
        <w:t xml:space="preserve">. </w:t>
      </w:r>
      <w:r>
        <w:t xml:space="preserve">An economic regulator found it challenging to cope with very large data sets in undertaking its regulatory responsibilities. </w:t>
      </w:r>
    </w:p>
    <w:p w:rsidR="008D5C08" w:rsidRPr="00D25F83" w:rsidRDefault="008D5C08" w:rsidP="002649F9">
      <w:pPr>
        <w:pStyle w:val="ListBullet"/>
        <w:tabs>
          <w:tab w:val="clear" w:pos="1191"/>
        </w:tabs>
        <w:ind w:left="1191" w:hanging="340"/>
      </w:pPr>
      <w:r w:rsidRPr="00F055F7">
        <w:rPr>
          <w:b/>
        </w:rPr>
        <w:t>A lack of publicly available data.</w:t>
      </w:r>
      <w:r>
        <w:t xml:space="preserve"> Concern was expressed about a decreasing amount of public available information that could be used to support an economic regulators’ efficiency assessments in tariff reviews. </w:t>
      </w:r>
    </w:p>
    <w:p w:rsidR="008D5C08" w:rsidRDefault="008D5C08" w:rsidP="002649F9">
      <w:pPr>
        <w:pStyle w:val="ListBullet"/>
        <w:tabs>
          <w:tab w:val="clear" w:pos="1191"/>
        </w:tabs>
        <w:ind w:left="1191" w:hanging="340"/>
      </w:pPr>
      <w:r w:rsidRPr="00231C4F">
        <w:rPr>
          <w:b/>
        </w:rPr>
        <w:t>Making data publicly available.</w:t>
      </w:r>
      <w:r w:rsidRPr="00231C4F">
        <w:t xml:space="preserve"> </w:t>
      </w:r>
      <w:r>
        <w:t xml:space="preserve">One economic regulator considered that it was important that industry statistics and data were made available to the public to increase transparency in the sector. </w:t>
      </w:r>
    </w:p>
    <w:p w:rsidR="008D5C08" w:rsidRPr="009A4BC4" w:rsidRDefault="008D5C08" w:rsidP="00714DA0">
      <w:pPr>
        <w:pStyle w:val="Heading3"/>
        <w:rPr>
          <w:b w:val="0"/>
          <w:i w:val="0"/>
        </w:rPr>
      </w:pPr>
      <w:bookmarkStart w:id="30" w:name="_Toc471464171"/>
      <w:r w:rsidRPr="009A4BC4">
        <w:t>Governance</w:t>
      </w:r>
      <w:bookmarkEnd w:id="30"/>
    </w:p>
    <w:p w:rsidR="008D5C08" w:rsidRPr="00231C4F" w:rsidRDefault="008D5C08" w:rsidP="00714DA0">
      <w:pPr>
        <w:pStyle w:val="BodyText"/>
      </w:pPr>
      <w:r w:rsidRPr="00231C4F">
        <w:t xml:space="preserve">Governance encompasses a number of different governance challenges that </w:t>
      </w:r>
      <w:r>
        <w:t>economic regulators are currently experiencing ranged</w:t>
      </w:r>
      <w:r w:rsidRPr="00231C4F">
        <w:t xml:space="preserve"> from resourcing, to independence. The most common challenge raised in this category was a lack of resources to undertake the </w:t>
      </w:r>
      <w:r>
        <w:t>economic regulator</w:t>
      </w:r>
      <w:r w:rsidRPr="00231C4F">
        <w:t xml:space="preserve">’s mandate. </w:t>
      </w:r>
    </w:p>
    <w:p w:rsidR="008D5C08" w:rsidRPr="003A1840" w:rsidRDefault="008D5C08" w:rsidP="003A1840">
      <w:pPr>
        <w:pStyle w:val="ListBullet"/>
        <w:tabs>
          <w:tab w:val="clear" w:pos="1191"/>
        </w:tabs>
        <w:ind w:left="1191" w:hanging="340"/>
        <w:rPr>
          <w:b/>
        </w:rPr>
      </w:pPr>
      <w:r w:rsidRPr="007D03B8">
        <w:rPr>
          <w:b/>
        </w:rPr>
        <w:t>Structuring regulators as a government department can constrain financial independence.</w:t>
      </w:r>
      <w:r w:rsidRPr="003A1840">
        <w:rPr>
          <w:b/>
        </w:rPr>
        <w:t xml:space="preserve"> </w:t>
      </w:r>
      <w:r w:rsidRPr="003A1840">
        <w:t xml:space="preserve">One regulator noted that it while it had financial autonomy, it continued to face restrictions on </w:t>
      </w:r>
      <w:r w:rsidRPr="003A1840">
        <w:lastRenderedPageBreak/>
        <w:t>the use of its resources – in relation to staff salaries (which makes it difficult to attract staff), training and travel.</w:t>
      </w:r>
      <w:r w:rsidRPr="003A1840">
        <w:rPr>
          <w:b/>
        </w:rPr>
        <w:t xml:space="preserve"> </w:t>
      </w:r>
    </w:p>
    <w:p w:rsidR="008D5C08" w:rsidRPr="003A1840" w:rsidRDefault="008D5C08" w:rsidP="003A1840">
      <w:pPr>
        <w:pStyle w:val="ListBullet"/>
        <w:tabs>
          <w:tab w:val="clear" w:pos="1191"/>
        </w:tabs>
        <w:ind w:left="1191" w:hanging="340"/>
        <w:rPr>
          <w:b/>
        </w:rPr>
      </w:pPr>
      <w:r>
        <w:rPr>
          <w:b/>
        </w:rPr>
        <w:t>Regulators should be funded in line with roles and responsibilities</w:t>
      </w:r>
      <w:r w:rsidRPr="00E81BB2">
        <w:rPr>
          <w:b/>
        </w:rPr>
        <w:t xml:space="preserve">. </w:t>
      </w:r>
      <w:r w:rsidRPr="003A1840">
        <w:t xml:space="preserve">Some regulators noted that facing a more complex operating environment, increasing expectations, and additional roles and functions had constrained resources. </w:t>
      </w:r>
    </w:p>
    <w:p w:rsidR="008D5C08" w:rsidRPr="003A1840" w:rsidRDefault="008D5C08" w:rsidP="003A1840">
      <w:pPr>
        <w:pStyle w:val="ListBullet"/>
        <w:tabs>
          <w:tab w:val="clear" w:pos="1191"/>
        </w:tabs>
        <w:ind w:left="1191" w:hanging="340"/>
      </w:pPr>
      <w:r w:rsidRPr="00231C4F">
        <w:rPr>
          <w:b/>
        </w:rPr>
        <w:t xml:space="preserve">Delivering on mandate is challenging absent sufficient powers. </w:t>
      </w:r>
      <w:r w:rsidRPr="003A1840">
        <w:t xml:space="preserve">For example, one regulator faced the challenge of seeking to encourage efficiency in the sector for which it had regulatory responsibility while having an advisory rather than determinative role. </w:t>
      </w:r>
    </w:p>
    <w:p w:rsidR="008D5C08" w:rsidRPr="00231C4F" w:rsidRDefault="008D5C08" w:rsidP="00714DA0">
      <w:pPr>
        <w:pStyle w:val="Heading3"/>
      </w:pPr>
      <w:bookmarkStart w:id="31" w:name="_Toc471464172"/>
      <w:r w:rsidRPr="00231C4F">
        <w:t>New tech</w:t>
      </w:r>
      <w:r>
        <w:t>nology</w:t>
      </w:r>
      <w:bookmarkEnd w:id="31"/>
    </w:p>
    <w:p w:rsidR="008D5C08" w:rsidRDefault="008D5C08" w:rsidP="00714DA0">
      <w:pPr>
        <w:pStyle w:val="BodyText"/>
      </w:pPr>
      <w:r w:rsidRPr="00231C4F">
        <w:t>T</w:t>
      </w:r>
      <w:r>
        <w:t>he most common issue identified in this category was</w:t>
      </w:r>
      <w:r w:rsidRPr="00231C4F">
        <w:t xml:space="preserve"> </w:t>
      </w:r>
      <w:r w:rsidRPr="00231C4F">
        <w:rPr>
          <w:b/>
        </w:rPr>
        <w:t>the impact of technology change on their roles and functions</w:t>
      </w:r>
      <w:r w:rsidRPr="00231C4F">
        <w:t>.</w:t>
      </w:r>
      <w:r>
        <w:t xml:space="preserve"> This was particularly the case in telecommunications where technology change can influence the need and the scope of access regulation, particularly where such change creates new competition in markets where the service could only previously be provided through a bottleneck facility. </w:t>
      </w:r>
      <w:r w:rsidR="00074C4F">
        <w:t xml:space="preserve">Furthermore, the emergence of disruptive technologies (smartphone booking services) in the Taxi industry has also led to a more challenging regulatory role. </w:t>
      </w:r>
    </w:p>
    <w:p w:rsidR="008D5C08" w:rsidRPr="00231C4F" w:rsidRDefault="008D5C08" w:rsidP="00714DA0">
      <w:pPr>
        <w:pStyle w:val="BodyText"/>
      </w:pPr>
      <w:r w:rsidRPr="00231C4F">
        <w:t>Other specific issues that were raised regarding technology change included:</w:t>
      </w:r>
    </w:p>
    <w:p w:rsidR="008D5C08" w:rsidRDefault="008D5C08" w:rsidP="002649F9">
      <w:pPr>
        <w:pStyle w:val="ListBullet"/>
        <w:tabs>
          <w:tab w:val="clear" w:pos="1191"/>
        </w:tabs>
        <w:ind w:left="1191" w:hanging="340"/>
      </w:pPr>
      <w:r w:rsidRPr="00231C4F">
        <w:rPr>
          <w:b/>
        </w:rPr>
        <w:t>Regulatory frameworks need to be sufficiently flexible to deal with change</w:t>
      </w:r>
      <w:r w:rsidRPr="00231C4F">
        <w:t xml:space="preserve">. </w:t>
      </w:r>
      <w:r>
        <w:t xml:space="preserve">An energy regulator noted that the legislative frameworks needed to be sufficiently flexible in order to accommodate new business models associated with emerging technology and not deter entry. </w:t>
      </w:r>
    </w:p>
    <w:p w:rsidR="008D5C08" w:rsidRDefault="008D5C08" w:rsidP="002649F9">
      <w:pPr>
        <w:pStyle w:val="ListBullet"/>
        <w:tabs>
          <w:tab w:val="clear" w:pos="1191"/>
        </w:tabs>
        <w:ind w:left="1191" w:hanging="340"/>
      </w:pPr>
      <w:r>
        <w:rPr>
          <w:b/>
        </w:rPr>
        <w:t>It is difficult to provide a stable investment environment in light of substantial technology change</w:t>
      </w:r>
      <w:r w:rsidRPr="00231C4F">
        <w:rPr>
          <w:b/>
        </w:rPr>
        <w:t>.</w:t>
      </w:r>
      <w:r w:rsidRPr="00231C4F">
        <w:t xml:space="preserve"> </w:t>
      </w:r>
      <w:r>
        <w:t xml:space="preserve">An economic regulator noted that technology change in telecommunications was a challenge to reconcile with an investor’s need for certainty and that this needed to be accommodated for in the regulatory environment. </w:t>
      </w:r>
    </w:p>
    <w:p w:rsidR="008D5C08" w:rsidRPr="00231C4F" w:rsidRDefault="008D5C08" w:rsidP="00714DA0">
      <w:pPr>
        <w:pStyle w:val="BodyText"/>
      </w:pPr>
      <w:r>
        <w:t>As substitution between technologies occurs and alternative technologies are used to provide services, consumer protection needs to keep pace. A telecommunications regulator noted that technology change had resulted in convergence, and that it was working to working to ensure that consumers receive sufficient information when they purchased telecommunications services.</w:t>
      </w:r>
      <w:r w:rsidRPr="00231C4F">
        <w:t xml:space="preserve"> </w:t>
      </w:r>
    </w:p>
    <w:p w:rsidR="008D5C08" w:rsidRPr="00231C4F" w:rsidRDefault="008D5C08" w:rsidP="00714DA0">
      <w:pPr>
        <w:pStyle w:val="Heading3"/>
      </w:pPr>
      <w:bookmarkStart w:id="32" w:name="_Toc471464173"/>
      <w:r w:rsidRPr="00231C4F">
        <w:lastRenderedPageBreak/>
        <w:t>Change (in roles and functions)</w:t>
      </w:r>
      <w:bookmarkEnd w:id="32"/>
    </w:p>
    <w:p w:rsidR="008D5C08" w:rsidRPr="00231C4F" w:rsidRDefault="008D5C08" w:rsidP="00714DA0">
      <w:pPr>
        <w:pStyle w:val="BodyText"/>
      </w:pPr>
      <w:r>
        <w:t xml:space="preserve">The change category primarily includes challenges </w:t>
      </w:r>
      <w:r w:rsidRPr="00231C4F">
        <w:t>associated with a change in a regulator</w:t>
      </w:r>
      <w:r>
        <w:t>’</w:t>
      </w:r>
      <w:r w:rsidRPr="00231C4F">
        <w:t>s roles and responsibilities. While the roles and functions of regulators can change when technology changes, these have been included in the “new tech</w:t>
      </w:r>
      <w:r>
        <w:t>nology</w:t>
      </w:r>
      <w:r w:rsidRPr="00231C4F">
        <w:t xml:space="preserve">” category below. </w:t>
      </w:r>
    </w:p>
    <w:p w:rsidR="008D5C08" w:rsidRPr="00231C4F" w:rsidRDefault="008D5C08" w:rsidP="00714DA0">
      <w:pPr>
        <w:pStyle w:val="BodyText"/>
      </w:pPr>
      <w:r>
        <w:t>S</w:t>
      </w:r>
      <w:r w:rsidRPr="00231C4F">
        <w:t>pecific issues that were raised regarding changes in roles and functions included:</w:t>
      </w:r>
    </w:p>
    <w:p w:rsidR="008D5C08" w:rsidRPr="00231C4F" w:rsidRDefault="008D5C08" w:rsidP="002649F9">
      <w:pPr>
        <w:pStyle w:val="ListBullet"/>
        <w:tabs>
          <w:tab w:val="clear" w:pos="1191"/>
        </w:tabs>
        <w:ind w:left="1191" w:hanging="340"/>
      </w:pPr>
      <w:r w:rsidRPr="00231C4F">
        <w:rPr>
          <w:b/>
        </w:rPr>
        <w:t>Implementing new functions require</w:t>
      </w:r>
      <w:r>
        <w:rPr>
          <w:b/>
        </w:rPr>
        <w:t>s</w:t>
      </w:r>
      <w:r w:rsidRPr="00231C4F">
        <w:rPr>
          <w:b/>
        </w:rPr>
        <w:t xml:space="preserve"> an upfront investment.</w:t>
      </w:r>
      <w:r>
        <w:rPr>
          <w:b/>
        </w:rPr>
        <w:t xml:space="preserve"> </w:t>
      </w:r>
      <w:r>
        <w:t xml:space="preserve">One regulator noted that deciding how to implement its new roles and responsibilities was a substantial challenge in itself. </w:t>
      </w:r>
    </w:p>
    <w:p w:rsidR="008D5C08" w:rsidRPr="003A1840" w:rsidRDefault="008D5C08" w:rsidP="003A1840">
      <w:pPr>
        <w:pStyle w:val="ListBullet"/>
        <w:tabs>
          <w:tab w:val="clear" w:pos="1191"/>
        </w:tabs>
        <w:ind w:left="1191" w:hanging="340"/>
        <w:rPr>
          <w:b/>
        </w:rPr>
      </w:pPr>
      <w:r w:rsidRPr="003A1840">
        <w:rPr>
          <w:b/>
        </w:rPr>
        <w:t xml:space="preserve">New roles and responsibilities often involved establishing new relationships and ways of working for both the infrastructure and the regulated firm. </w:t>
      </w:r>
      <w:r w:rsidRPr="003A1840">
        <w:t>Another regulator noted that it received new regulatory roles and responsibilities at the same time that the regulated firm had been created, and that a challenge was establishing an approach to working together with the regulated firm to implement the new framework.</w:t>
      </w:r>
      <w:r w:rsidRPr="003A1840">
        <w:rPr>
          <w:b/>
        </w:rPr>
        <w:t xml:space="preserve"> </w:t>
      </w:r>
    </w:p>
    <w:p w:rsidR="008D5C08" w:rsidRPr="007F5E51" w:rsidRDefault="008D5C08" w:rsidP="00714DA0">
      <w:pPr>
        <w:pStyle w:val="Heading3"/>
      </w:pPr>
      <w:bookmarkStart w:id="33" w:name="_Toc471464174"/>
      <w:r w:rsidRPr="007F5E51">
        <w:t>Co-ordination</w:t>
      </w:r>
      <w:bookmarkEnd w:id="33"/>
    </w:p>
    <w:p w:rsidR="008D5C08" w:rsidRPr="00231C4F" w:rsidRDefault="008D5C08" w:rsidP="00714DA0">
      <w:pPr>
        <w:pStyle w:val="BodyText"/>
      </w:pPr>
      <w:r w:rsidRPr="00231C4F">
        <w:t xml:space="preserve">Co-ordination </w:t>
      </w:r>
      <w:r>
        <w:t xml:space="preserve">includes the challenge in co-ordinating with other entities in delivering their roles and functions. Economic regulators noted that they often needed to co-ordinate with government, with users and industry, and even other regulators. </w:t>
      </w:r>
    </w:p>
    <w:p w:rsidR="008D5C08" w:rsidRPr="00074C4F" w:rsidRDefault="008D5C08" w:rsidP="00074C4F">
      <w:pPr>
        <w:pStyle w:val="ListBullet"/>
        <w:tabs>
          <w:tab w:val="clear" w:pos="1191"/>
        </w:tabs>
        <w:ind w:left="1191" w:hanging="340"/>
        <w:rPr>
          <w:b/>
        </w:rPr>
      </w:pPr>
      <w:r w:rsidRPr="005927AA">
        <w:rPr>
          <w:b/>
        </w:rPr>
        <w:t xml:space="preserve">Co-ordination is important in </w:t>
      </w:r>
      <w:r>
        <w:rPr>
          <w:b/>
        </w:rPr>
        <w:t>undertaking a</w:t>
      </w:r>
      <w:r w:rsidRPr="005927AA">
        <w:rPr>
          <w:b/>
        </w:rPr>
        <w:t xml:space="preserve"> new regulatory role</w:t>
      </w:r>
      <w:r>
        <w:rPr>
          <w:b/>
        </w:rPr>
        <w:t xml:space="preserve">. </w:t>
      </w:r>
      <w:r w:rsidRPr="00074C4F">
        <w:t xml:space="preserve">An economic regulator noted that in two transport sectors the decision had been made to move to an independent body responsible for tariff regulation. This involved close co-ordination with the organisations that were previously involved in determining tariffs (including the Ministry) during the period of transition to the new regime. </w:t>
      </w:r>
    </w:p>
    <w:p w:rsidR="008D5C08" w:rsidRPr="00231C4F" w:rsidRDefault="008D5C08" w:rsidP="00714DA0">
      <w:pPr>
        <w:pStyle w:val="Heading3"/>
      </w:pPr>
      <w:bookmarkStart w:id="34" w:name="_Toc471464175"/>
      <w:r w:rsidRPr="00231C4F">
        <w:t>Engagement</w:t>
      </w:r>
      <w:bookmarkEnd w:id="34"/>
      <w:r w:rsidRPr="00231C4F">
        <w:t xml:space="preserve"> </w:t>
      </w:r>
    </w:p>
    <w:p w:rsidR="008D5C08" w:rsidRPr="00231C4F" w:rsidRDefault="008D5C08" w:rsidP="00714DA0">
      <w:pPr>
        <w:pStyle w:val="BodyText"/>
      </w:pPr>
      <w:r w:rsidRPr="00231C4F">
        <w:t xml:space="preserve">A number of </w:t>
      </w:r>
      <w:r>
        <w:t>economic regulator</w:t>
      </w:r>
      <w:r w:rsidRPr="00231C4F">
        <w:t>s identified engagement with stakeholders as a challenge:</w:t>
      </w:r>
    </w:p>
    <w:p w:rsidR="008D5C08" w:rsidRPr="00231C4F" w:rsidRDefault="008D5C08" w:rsidP="002649F9">
      <w:pPr>
        <w:pStyle w:val="ListBullet"/>
        <w:tabs>
          <w:tab w:val="clear" w:pos="1191"/>
        </w:tabs>
        <w:ind w:left="1191" w:hanging="340"/>
      </w:pPr>
      <w:r w:rsidRPr="00231C4F">
        <w:rPr>
          <w:b/>
        </w:rPr>
        <w:t>Managing stakeholder expectations</w:t>
      </w:r>
      <w:r>
        <w:rPr>
          <w:b/>
        </w:rPr>
        <w:t xml:space="preserve"> about the scope of an economic regulator’s mandate is important</w:t>
      </w:r>
      <w:r w:rsidRPr="00231C4F">
        <w:rPr>
          <w:b/>
        </w:rPr>
        <w:t>.</w:t>
      </w:r>
      <w:r>
        <w:t xml:space="preserve"> An economic regulator taking on a new role noted that would be a challenge to </w:t>
      </w:r>
      <w:r>
        <w:lastRenderedPageBreak/>
        <w:t xml:space="preserve">manage stakeholder expectations to ensure that there was clarity about what was within and what was outside its new role. </w:t>
      </w:r>
    </w:p>
    <w:p w:rsidR="008D5C08" w:rsidRPr="00231C4F" w:rsidRDefault="008D5C08" w:rsidP="002649F9">
      <w:pPr>
        <w:pStyle w:val="ListBullet"/>
        <w:tabs>
          <w:tab w:val="clear" w:pos="1191"/>
        </w:tabs>
        <w:ind w:left="1191" w:hanging="340"/>
      </w:pPr>
      <w:r w:rsidRPr="00231C4F">
        <w:rPr>
          <w:b/>
        </w:rPr>
        <w:t>Customers should</w:t>
      </w:r>
      <w:r>
        <w:rPr>
          <w:b/>
        </w:rPr>
        <w:t xml:space="preserve"> be</w:t>
      </w:r>
      <w:r w:rsidRPr="00231C4F">
        <w:rPr>
          <w:b/>
        </w:rPr>
        <w:t xml:space="preserve"> part of, rather than outside the regulatory process.</w:t>
      </w:r>
      <w:r w:rsidRPr="00231C4F">
        <w:t xml:space="preserve"> </w:t>
      </w:r>
      <w:r>
        <w:t xml:space="preserve">An economic regulator who has sought to actively engage consumers in the tariff setting process noted that one of the key benefits was that the infrastructure operator sought to address the concerns of consumers rather than taking an adversarial role with the economic regulator. </w:t>
      </w:r>
    </w:p>
    <w:p w:rsidR="008D5C08" w:rsidRDefault="008D5C08" w:rsidP="002649F9">
      <w:pPr>
        <w:pStyle w:val="ListBullet"/>
        <w:tabs>
          <w:tab w:val="clear" w:pos="1191"/>
        </w:tabs>
        <w:ind w:left="1191" w:hanging="340"/>
      </w:pPr>
      <w:r w:rsidRPr="00231C4F">
        <w:rPr>
          <w:b/>
        </w:rPr>
        <w:t xml:space="preserve">While challenging, consumer engagement </w:t>
      </w:r>
      <w:r w:rsidR="00A5317D">
        <w:rPr>
          <w:b/>
        </w:rPr>
        <w:t>is beneficial</w:t>
      </w:r>
      <w:r w:rsidRPr="00231C4F">
        <w:rPr>
          <w:b/>
        </w:rPr>
        <w:t>.</w:t>
      </w:r>
      <w:r w:rsidRPr="00231C4F">
        <w:t xml:space="preserve"> </w:t>
      </w:r>
      <w:r>
        <w:t xml:space="preserve">Another regulator who has recently </w:t>
      </w:r>
      <w:r w:rsidR="00A5317D">
        <w:t>invested in its</w:t>
      </w:r>
      <w:r>
        <w:t xml:space="preserve"> </w:t>
      </w:r>
      <w:r w:rsidR="00A5317D">
        <w:t>consumer engagement processes for its</w:t>
      </w:r>
      <w:r>
        <w:t xml:space="preserve"> tariff review process noted that it had been successful. In addition to providing direct feedback on the tariff proposals of the network operators, consumers had also been directly involved in the subsequent process of legal challenges of the economic regulator’s decisions.</w:t>
      </w:r>
    </w:p>
    <w:p w:rsidR="008D5C08" w:rsidRPr="008C76E8" w:rsidRDefault="008D5C08" w:rsidP="00074C4F">
      <w:pPr>
        <w:pStyle w:val="Heading3"/>
      </w:pPr>
      <w:r w:rsidRPr="008C76E8">
        <w:t>Complexity</w:t>
      </w:r>
    </w:p>
    <w:p w:rsidR="008D5C08" w:rsidRDefault="008D5C08" w:rsidP="00714DA0">
      <w:pPr>
        <w:pStyle w:val="BodyText"/>
      </w:pPr>
      <w:r w:rsidRPr="00231C4F">
        <w:t>Complexity covers the challenge associated with the regulation of infrastructure becoming increasingly complex over time.</w:t>
      </w:r>
      <w:r>
        <w:t xml:space="preserve"> This could involve the technical complexity of making tariff decisions increasing, with the regulator needing to weigh increasingly complex technical evidence in decision making. </w:t>
      </w:r>
    </w:p>
    <w:p w:rsidR="008D5C08" w:rsidRDefault="008D5C08" w:rsidP="00F92F54">
      <w:pPr>
        <w:pStyle w:val="BodyText"/>
      </w:pPr>
      <w:r>
        <w:t>One regulator noted that complexity was coming from a number of different sources, including the need to account for the misaligned views of different stakeholder groups, complexity associated with technology change, ensuring that decision</w:t>
      </w:r>
      <w:r w:rsidR="00F92F54">
        <w:t>-</w:t>
      </w:r>
      <w:r>
        <w:t xml:space="preserve">making processes effectively accounted for these views and the complexity of the problem in front of the regulator itself. </w:t>
      </w:r>
    </w:p>
    <w:p w:rsidR="008D5C08" w:rsidRDefault="008D5C08" w:rsidP="00714DA0">
      <w:pPr>
        <w:pStyle w:val="BodyText"/>
      </w:pPr>
      <w:r>
        <w:t>Another regulator noted that a challenge it faced was “</w:t>
      </w:r>
      <w:r w:rsidRPr="00354607">
        <w:t>avoiding the temptation to be drawn into increasing regulatory complexity”.</w:t>
      </w:r>
      <w:r>
        <w:t xml:space="preserve"> </w:t>
      </w:r>
    </w:p>
    <w:p w:rsidR="008D5C08" w:rsidRPr="00231C4F" w:rsidRDefault="008D5C08" w:rsidP="00714DA0">
      <w:pPr>
        <w:pStyle w:val="Heading3"/>
      </w:pPr>
      <w:bookmarkStart w:id="35" w:name="_Toc471464176"/>
      <w:r w:rsidRPr="00231C4F">
        <w:t>Incentives</w:t>
      </w:r>
      <w:bookmarkEnd w:id="35"/>
    </w:p>
    <w:p w:rsidR="008D5C08" w:rsidRPr="00231C4F" w:rsidRDefault="008D5C08" w:rsidP="00714DA0">
      <w:pPr>
        <w:pStyle w:val="BodyText"/>
      </w:pPr>
      <w:r w:rsidRPr="00231C4F">
        <w:t xml:space="preserve">The incentives category covers challenges associated with incentive arrangements that </w:t>
      </w:r>
      <w:r>
        <w:t>economic regulator</w:t>
      </w:r>
      <w:r w:rsidRPr="00231C4F">
        <w:t>s administer to encourage or deter infrastructure oper</w:t>
      </w:r>
      <w:r>
        <w:t xml:space="preserve">ators from particular </w:t>
      </w:r>
      <w:r w:rsidR="00074C4F">
        <w:t>behavior</w:t>
      </w:r>
      <w:r>
        <w:t>, such as increasing service quality or making efficiency gains.</w:t>
      </w:r>
      <w:r w:rsidRPr="00231C4F">
        <w:t xml:space="preserve"> Specifically: </w:t>
      </w:r>
    </w:p>
    <w:p w:rsidR="008D5C08" w:rsidRPr="00231C4F" w:rsidRDefault="008D5C08" w:rsidP="002649F9">
      <w:pPr>
        <w:pStyle w:val="ListBullet"/>
        <w:tabs>
          <w:tab w:val="clear" w:pos="1191"/>
        </w:tabs>
        <w:ind w:left="1191" w:hanging="340"/>
      </w:pPr>
      <w:r>
        <w:rPr>
          <w:b/>
        </w:rPr>
        <w:t>Creating an incentive framework for public owned infrastructure operators is challenging</w:t>
      </w:r>
      <w:r w:rsidRPr="00231C4F">
        <w:rPr>
          <w:b/>
        </w:rPr>
        <w:t>.</w:t>
      </w:r>
      <w:r>
        <w:rPr>
          <w:b/>
        </w:rPr>
        <w:t xml:space="preserve"> </w:t>
      </w:r>
      <w:r w:rsidRPr="00DF3E02">
        <w:t xml:space="preserve">One regulator noted that its financial incentive frameworks had not been effective in encouraging a publicly owned business to improve service quality, </w:t>
      </w:r>
      <w:r w:rsidRPr="00DF3E02">
        <w:lastRenderedPageBreak/>
        <w:t xml:space="preserve">and it needed to consider other options to achieve outcomes for consumers. </w:t>
      </w:r>
    </w:p>
    <w:p w:rsidR="008D5C08" w:rsidRPr="00231C4F" w:rsidRDefault="008D5C08" w:rsidP="00714DA0">
      <w:pPr>
        <w:pStyle w:val="BodyText"/>
      </w:pPr>
      <w:r>
        <w:t xml:space="preserve">Another regulator stated that it faced a similar challenge with the publicly owned business it regulated. This regulator noted that this was attributable to the differing incentives that public businesses respond to compared to a private company (concerned with profitability). </w:t>
      </w:r>
    </w:p>
    <w:p w:rsidR="008D5C08" w:rsidRPr="00231C4F" w:rsidRDefault="008D5C08" w:rsidP="00714DA0">
      <w:pPr>
        <w:pStyle w:val="Heading3"/>
      </w:pPr>
      <w:bookmarkStart w:id="36" w:name="_Toc471464177"/>
      <w:r w:rsidRPr="00231C4F">
        <w:t>Declining demand</w:t>
      </w:r>
      <w:bookmarkEnd w:id="36"/>
    </w:p>
    <w:p w:rsidR="008D5C08" w:rsidRDefault="008D5C08" w:rsidP="00714DA0">
      <w:pPr>
        <w:pStyle w:val="BodyText"/>
      </w:pPr>
      <w:r w:rsidRPr="00231C4F">
        <w:t xml:space="preserve">The declining demand category includes challenges associated with infrastructure regulation in the context of declining demand. Generally, the </w:t>
      </w:r>
      <w:r w:rsidRPr="00231C4F">
        <w:rPr>
          <w:b/>
        </w:rPr>
        <w:t xml:space="preserve">declining demand </w:t>
      </w:r>
      <w:r>
        <w:rPr>
          <w:b/>
        </w:rPr>
        <w:t>can create</w:t>
      </w:r>
      <w:r w:rsidRPr="00231C4F">
        <w:rPr>
          <w:b/>
        </w:rPr>
        <w:t xml:space="preserve"> upward pressure on prices</w:t>
      </w:r>
      <w:r w:rsidRPr="00231C4F">
        <w:t xml:space="preserve"> for infrastructure industries because they have large fixed costs. As demand declines, these costs </w:t>
      </w:r>
      <w:r>
        <w:t xml:space="preserve">are often sought to be recovered from the smaller number of remaining consumers. </w:t>
      </w:r>
      <w:r w:rsidRPr="00231C4F">
        <w:t>In particular:</w:t>
      </w:r>
    </w:p>
    <w:p w:rsidR="008D5C08" w:rsidRPr="00664CB5" w:rsidRDefault="008D5C08" w:rsidP="00664CB5">
      <w:pPr>
        <w:pStyle w:val="ListBullet"/>
        <w:tabs>
          <w:tab w:val="clear" w:pos="1191"/>
        </w:tabs>
        <w:ind w:left="1191" w:hanging="340"/>
        <w:rPr>
          <w:b/>
        </w:rPr>
      </w:pPr>
      <w:r w:rsidRPr="00832917">
        <w:rPr>
          <w:b/>
        </w:rPr>
        <w:t>Declining demand combined with fixed costs can result in a cycle of price increases.</w:t>
      </w:r>
      <w:r w:rsidRPr="00664CB5">
        <w:rPr>
          <w:b/>
        </w:rPr>
        <w:t xml:space="preserve"> </w:t>
      </w:r>
      <w:r w:rsidRPr="00664CB5">
        <w:t>One regulator noted that budget constraints on consumers combined with more accurate usage information lead to more efficient usage put downward pressure on demand for regulated services. At the same time costs were rising due to investments in increased service quality, which had the effect of increasing prices and again reducing service usage.</w:t>
      </w:r>
      <w:r w:rsidRPr="00664CB5">
        <w:rPr>
          <w:b/>
        </w:rPr>
        <w:t xml:space="preserve"> </w:t>
      </w:r>
    </w:p>
    <w:p w:rsidR="008D5C08" w:rsidRPr="00832917" w:rsidRDefault="008D5C08" w:rsidP="00664CB5">
      <w:pPr>
        <w:pStyle w:val="BodyText"/>
        <w:ind w:left="1191" w:firstLine="0"/>
      </w:pPr>
      <w:r>
        <w:t>Another regulator noted the difficulties in achieving regulatory objectives in an economic crisis environment where consumers were budget constrained.</w:t>
      </w:r>
    </w:p>
    <w:p w:rsidR="008D5C08" w:rsidRPr="00664CB5" w:rsidRDefault="008D5C08" w:rsidP="00664CB5">
      <w:pPr>
        <w:pStyle w:val="ListBullet"/>
        <w:tabs>
          <w:tab w:val="clear" w:pos="1191"/>
        </w:tabs>
        <w:ind w:left="1191" w:hanging="340"/>
        <w:rPr>
          <w:b/>
        </w:rPr>
      </w:pPr>
      <w:r w:rsidRPr="00231C4F">
        <w:rPr>
          <w:b/>
        </w:rPr>
        <w:t>New demand side considerations are challenging to incorporate into determinations.</w:t>
      </w:r>
      <w:r w:rsidRPr="00664CB5">
        <w:rPr>
          <w:b/>
        </w:rPr>
        <w:t xml:space="preserve"> </w:t>
      </w:r>
      <w:r w:rsidRPr="00664CB5">
        <w:t>One economic regulator noted that it had sought to incorporate the impact of reduced utilisation on charges in a tariff decision, which had then been subject to legal review.</w:t>
      </w:r>
      <w:r w:rsidRPr="00664CB5">
        <w:rPr>
          <w:b/>
        </w:rPr>
        <w:t xml:space="preserve"> </w:t>
      </w:r>
    </w:p>
    <w:p w:rsidR="008D5C08" w:rsidRPr="00231C4F" w:rsidRDefault="008D5C08" w:rsidP="00714DA0">
      <w:pPr>
        <w:pStyle w:val="Heading3"/>
      </w:pPr>
      <w:bookmarkStart w:id="37" w:name="_Toc471464178"/>
      <w:r w:rsidRPr="00231C4F">
        <w:t>Appeals</w:t>
      </w:r>
      <w:bookmarkEnd w:id="37"/>
    </w:p>
    <w:p w:rsidR="008D5C08" w:rsidRPr="00231C4F" w:rsidRDefault="008D5C08" w:rsidP="00714DA0">
      <w:pPr>
        <w:pStyle w:val="BodyText"/>
      </w:pPr>
      <w:r>
        <w:t xml:space="preserve">This category includes the challenges that regulators face associated with legal review of </w:t>
      </w:r>
      <w:r w:rsidRPr="00231C4F">
        <w:t xml:space="preserve">the regulator’s decision making. </w:t>
      </w:r>
    </w:p>
    <w:p w:rsidR="008D5C08" w:rsidRPr="00664CB5" w:rsidRDefault="008D5C08" w:rsidP="00664CB5">
      <w:pPr>
        <w:pStyle w:val="ListBullet"/>
        <w:tabs>
          <w:tab w:val="clear" w:pos="1191"/>
        </w:tabs>
        <w:ind w:left="1191" w:hanging="340"/>
        <w:rPr>
          <w:b/>
        </w:rPr>
      </w:pPr>
      <w:r w:rsidRPr="00231C4F">
        <w:rPr>
          <w:b/>
        </w:rPr>
        <w:t>Appeals can create considerable uncertainty.</w:t>
      </w:r>
      <w:r>
        <w:rPr>
          <w:b/>
        </w:rPr>
        <w:t xml:space="preserve"> </w:t>
      </w:r>
      <w:r w:rsidRPr="00664CB5">
        <w:t>One regulator noted that legal review of its decisions created uncertainty while the lengthy legal process took place. It noted that this created uncertainty over prices, and also where the same issue was relevant to another decision, over the approach that should be taken in that regulatory process.</w:t>
      </w:r>
      <w:r w:rsidRPr="00664CB5">
        <w:rPr>
          <w:b/>
        </w:rPr>
        <w:t xml:space="preserve"> </w:t>
      </w:r>
    </w:p>
    <w:p w:rsidR="008D5C08" w:rsidRPr="00664CB5" w:rsidRDefault="008D5C08" w:rsidP="00664CB5">
      <w:pPr>
        <w:pStyle w:val="ListBullet"/>
        <w:tabs>
          <w:tab w:val="clear" w:pos="1191"/>
        </w:tabs>
        <w:ind w:left="1191" w:hanging="340"/>
        <w:rPr>
          <w:b/>
        </w:rPr>
      </w:pPr>
      <w:r w:rsidRPr="00231C4F">
        <w:rPr>
          <w:b/>
        </w:rPr>
        <w:lastRenderedPageBreak/>
        <w:t>Regulators need to continue to refine their approaches in the context of</w:t>
      </w:r>
      <w:r>
        <w:rPr>
          <w:b/>
        </w:rPr>
        <w:t xml:space="preserve"> an</w:t>
      </w:r>
      <w:r w:rsidRPr="00231C4F">
        <w:rPr>
          <w:b/>
        </w:rPr>
        <w:t xml:space="preserve"> appeal</w:t>
      </w:r>
      <w:r>
        <w:rPr>
          <w:b/>
        </w:rPr>
        <w:t xml:space="preserve">. </w:t>
      </w:r>
      <w:r w:rsidRPr="00664CB5">
        <w:t>Another regulator noted that it faced legal challenges from a regulated business which considered that they were different from other regulated businesses so needed exceptional criteria. The regulator noted that this mean that the regulator needed to continually refine its approach to determining tariffs to make it robust to legal challenge.</w:t>
      </w:r>
      <w:r w:rsidRPr="00664CB5">
        <w:rPr>
          <w:b/>
        </w:rPr>
        <w:t xml:space="preserve"> </w:t>
      </w:r>
    </w:p>
    <w:p w:rsidR="008D5C08" w:rsidRDefault="008D5C08">
      <w:pPr>
        <w:rPr>
          <w:b/>
          <w:bCs/>
        </w:rPr>
      </w:pPr>
      <w:r>
        <w:br w:type="page"/>
      </w:r>
    </w:p>
    <w:p w:rsidR="00F92F54" w:rsidRDefault="00F92F54" w:rsidP="00714DA0">
      <w:pPr>
        <w:pStyle w:val="BibliographyHeading"/>
      </w:pPr>
      <w:bookmarkStart w:id="38" w:name="_Toc471464179"/>
    </w:p>
    <w:p w:rsidR="008D5C08" w:rsidRPr="00F92F54" w:rsidRDefault="008D5C08" w:rsidP="00714DA0">
      <w:pPr>
        <w:pStyle w:val="BibliographyHeading"/>
        <w:rPr>
          <w:b/>
          <w:bCs w:val="0"/>
        </w:rPr>
      </w:pPr>
      <w:r w:rsidRPr="00F92F54">
        <w:rPr>
          <w:b/>
          <w:bCs w:val="0"/>
        </w:rPr>
        <w:t>References</w:t>
      </w:r>
      <w:bookmarkEnd w:id="38"/>
    </w:p>
    <w:p w:rsidR="008D5C08" w:rsidRPr="006C4825" w:rsidRDefault="008D5C08" w:rsidP="00714DA0">
      <w:pPr>
        <w:pStyle w:val="Biblio-Entry"/>
      </w:pPr>
      <w:r w:rsidRPr="006C4825">
        <w:t xml:space="preserve">Australian Productivity Commission (2014), “Public Infrastructure”, Productivity Commission Inquiry Report No. 71, Canberra. </w:t>
      </w:r>
    </w:p>
    <w:p w:rsidR="008D5C08" w:rsidRPr="00F65B30" w:rsidRDefault="008D5C08" w:rsidP="00714DA0">
      <w:pPr>
        <w:pStyle w:val="Biblio-Entry"/>
      </w:pPr>
      <w:r w:rsidRPr="00F65B30">
        <w:t xml:space="preserve">OECD (2016), Getting Infrastructure Right, The Ten Key Governance Challenges and Policy Options, </w:t>
      </w:r>
      <w:hyperlink r:id="rId59" w:history="1">
        <w:r w:rsidRPr="00F65B30">
          <w:rPr>
            <w:rStyle w:val="Hyperlink"/>
          </w:rPr>
          <w:t>http://fr.slideshare.net/OECD-GOV/getting-infrastructure-right-10-governance-challenges-policy-options-oecd</w:t>
        </w:r>
      </w:hyperlink>
      <w:r w:rsidRPr="00F65B30">
        <w:t xml:space="preserve"> (accessed 22 December 2016).</w:t>
      </w:r>
    </w:p>
    <w:p w:rsidR="008D5C08" w:rsidRPr="00F65B30" w:rsidRDefault="008D5C08" w:rsidP="00F92F54">
      <w:pPr>
        <w:pStyle w:val="Biblio-Entry"/>
        <w:jc w:val="left"/>
      </w:pPr>
      <w:r w:rsidRPr="00F65B30">
        <w:t xml:space="preserve">OECD (2015), “Towards a Framework for the Governance of Infrastructure”, </w:t>
      </w:r>
      <w:hyperlink r:id="rId60" w:history="1">
        <w:r w:rsidRPr="00F65B30">
          <w:rPr>
            <w:rStyle w:val="Hyperlink"/>
          </w:rPr>
          <w:t>https://www.oecd.org/gov/budgeting/Towards-a-Framework-for-the-Governance-of-Infrastructure.pdf</w:t>
        </w:r>
      </w:hyperlink>
      <w:r w:rsidRPr="00F65B30">
        <w:t xml:space="preserve"> (accessed 15 December 2016).</w:t>
      </w:r>
    </w:p>
    <w:p w:rsidR="008D5C08" w:rsidRPr="00F65B30" w:rsidRDefault="008D5C08" w:rsidP="00714DA0">
      <w:pPr>
        <w:pStyle w:val="Biblio-Entry"/>
      </w:pPr>
      <w:r w:rsidRPr="00F65B30">
        <w:t>OECD (2014), </w:t>
      </w:r>
      <w:r w:rsidRPr="00F65B30">
        <w:rPr>
          <w:i/>
          <w:iCs/>
        </w:rPr>
        <w:t>The Governance of Regulators</w:t>
      </w:r>
      <w:r w:rsidRPr="00F65B30">
        <w:t xml:space="preserve">, OECD Publishing, Paris, </w:t>
      </w:r>
      <w:hyperlink r:id="rId61" w:tgtFrame="_blank" w:tooltip="http://dx.doi.org/10.1787/9789264209015-en" w:history="1">
        <w:r w:rsidRPr="00F65B30">
          <w:rPr>
            <w:rStyle w:val="Hyperlink"/>
          </w:rPr>
          <w:t>http://dx.doi.org/10.1787/9789264209015-en</w:t>
        </w:r>
      </w:hyperlink>
      <w:r w:rsidRPr="00F65B30">
        <w:t>.</w:t>
      </w:r>
    </w:p>
    <w:p w:rsidR="008D5C08" w:rsidRPr="00F65B30" w:rsidRDefault="008D5C08" w:rsidP="00F92F54">
      <w:pPr>
        <w:pStyle w:val="Biblio-Entry"/>
        <w:jc w:val="left"/>
      </w:pPr>
      <w:r>
        <w:rPr>
          <w:lang w:val="en"/>
        </w:rPr>
        <w:t>OECD (2013), </w:t>
      </w:r>
      <w:r>
        <w:rPr>
          <w:rStyle w:val="Emphasis"/>
          <w:lang w:val="en"/>
        </w:rPr>
        <w:t>Investing Together: Working Effectively across Levels of Government</w:t>
      </w:r>
      <w:r>
        <w:rPr>
          <w:lang w:val="en"/>
        </w:rPr>
        <w:t xml:space="preserve">, OECD Publishing, Paris, </w:t>
      </w:r>
      <w:hyperlink r:id="rId62" w:tgtFrame="_blank" w:tooltip="http://dx.doi.org/10.1787/9789264197022-en" w:history="1">
        <w:r>
          <w:rPr>
            <w:rStyle w:val="Hyperlink"/>
            <w:lang w:val="en"/>
          </w:rPr>
          <w:t>http://dx.doi.org/10.1787/9789264197022-en</w:t>
        </w:r>
      </w:hyperlink>
      <w:r>
        <w:rPr>
          <w:lang w:val="en"/>
        </w:rPr>
        <w:t>.</w:t>
      </w:r>
    </w:p>
    <w:p w:rsidR="008D5C08" w:rsidRPr="00F65B30" w:rsidRDefault="008D5C08" w:rsidP="00F92F54">
      <w:pPr>
        <w:pStyle w:val="Biblio-Entry"/>
        <w:jc w:val="left"/>
      </w:pPr>
      <w:r w:rsidRPr="00F65B30">
        <w:t xml:space="preserve">The OECD Network of Economic Regulators, </w:t>
      </w:r>
      <w:hyperlink r:id="rId63" w:history="1">
        <w:r w:rsidRPr="00F65B30">
          <w:rPr>
            <w:rStyle w:val="Hyperlink"/>
          </w:rPr>
          <w:t>www.oecd.org/gov/regulatory-policy/ner.htm</w:t>
        </w:r>
      </w:hyperlink>
      <w:r>
        <w:t xml:space="preserve"> </w:t>
      </w:r>
      <w:r w:rsidRPr="00F65B30">
        <w:t>(accessed 22 December 2016)</w:t>
      </w:r>
      <w:r w:rsidR="00F92F54">
        <w:t>.</w:t>
      </w:r>
    </w:p>
    <w:p w:rsidR="008D5C08" w:rsidRPr="006C4825" w:rsidRDefault="008D5C08" w:rsidP="00030220">
      <w:pPr>
        <w:pStyle w:val="Biblio-Entry"/>
        <w:jc w:val="left"/>
      </w:pPr>
      <w:r w:rsidRPr="00F65B30">
        <w:t xml:space="preserve">OECD (2016b), </w:t>
      </w:r>
      <w:r w:rsidRPr="00030220">
        <w:rPr>
          <w:i/>
          <w:iCs/>
        </w:rPr>
        <w:t>Being an Independent Regulator</w:t>
      </w:r>
      <w:r w:rsidRPr="00F65B30">
        <w:t xml:space="preserve">, </w:t>
      </w:r>
      <w:r w:rsidR="00030220">
        <w:t xml:space="preserve">The Governance of Regulators, </w:t>
      </w:r>
      <w:r w:rsidRPr="00F65B30">
        <w:t>OECD Publishing</w:t>
      </w:r>
      <w:r w:rsidR="00030220">
        <w:t>,</w:t>
      </w:r>
      <w:r w:rsidRPr="00F65B30">
        <w:t xml:space="preserve"> Paris, </w:t>
      </w:r>
      <w:hyperlink r:id="rId64" w:history="1">
        <w:r w:rsidRPr="00F65B30">
          <w:rPr>
            <w:rStyle w:val="Hyperlink"/>
          </w:rPr>
          <w:t>http://dx.doi.org/10.1787/9789264255401-en</w:t>
        </w:r>
      </w:hyperlink>
      <w:r w:rsidRPr="00F65B30">
        <w:t>.</w:t>
      </w:r>
      <w:r>
        <w:t xml:space="preserve"> </w:t>
      </w:r>
    </w:p>
    <w:p w:rsidR="0087238D" w:rsidRDefault="0087238D" w:rsidP="0087238D"/>
    <w:p w:rsidR="0087238D" w:rsidRPr="0087238D" w:rsidRDefault="0087238D" w:rsidP="0087238D">
      <w:pPr>
        <w:sectPr w:rsidR="0087238D" w:rsidRPr="0087238D" w:rsidSect="0087238D">
          <w:headerReference w:type="even" r:id="rId65"/>
          <w:headerReference w:type="default" r:id="rId66"/>
          <w:endnotePr>
            <w:numFmt w:val="decimal"/>
          </w:endnotePr>
          <w:type w:val="oddPage"/>
          <w:pgSz w:w="11907" w:h="16840" w:code="9"/>
          <w:pgMar w:top="3119" w:right="2211" w:bottom="3119" w:left="2211" w:header="2608" w:footer="2722" w:gutter="0"/>
          <w:cols w:space="720"/>
          <w:docGrid w:linePitch="299"/>
        </w:sectPr>
      </w:pPr>
    </w:p>
    <w:p w:rsidR="008D5C08" w:rsidRDefault="008D5C08" w:rsidP="0087238D">
      <w:pPr>
        <w:pStyle w:val="AnnexHeading"/>
        <w:rPr>
          <w:color w:val="4E81BD"/>
        </w:rPr>
      </w:pPr>
      <w:r>
        <w:lastRenderedPageBreak/>
        <w:fldChar w:fldCharType="begin"/>
      </w:r>
      <w:r>
        <w:instrText xml:space="preserve"> MACROBUTTON NUMBERING </w:instrText>
      </w:r>
      <w:bookmarkStart w:id="39" w:name="_Toc471464180"/>
      <w:r>
        <w:fldChar w:fldCharType="end"/>
      </w:r>
      <w:r w:rsidR="0087238D" w:rsidRPr="0087238D">
        <w:rPr>
          <w:b w:val="0"/>
          <w:bCs w:val="0"/>
          <w:i/>
          <w:iCs/>
        </w:rPr>
        <w:t>Annex A</w:t>
      </w:r>
      <w:r w:rsidR="0087238D">
        <w:br/>
      </w:r>
      <w:r>
        <w:br/>
      </w:r>
      <w:r w:rsidR="0087238D" w:rsidRPr="0087238D">
        <w:rPr>
          <w:color w:val="4E81BD"/>
        </w:rPr>
        <w:t>Survey participants</w:t>
      </w:r>
      <w:bookmarkEnd w:id="39"/>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5003"/>
      </w:tblGrid>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Albania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Water Regulatory Authority (</w:t>
            </w:r>
            <w:r w:rsidRPr="00676B8B">
              <w:rPr>
                <w:i/>
                <w:lang w:val="en-GB"/>
              </w:rPr>
              <w:t>Entit Rregullator të Ujit)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Australia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Australian Competition and Consumer Commission</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Australia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Australian Energy Regulator</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Australia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Essential Services Commission (Victoria)</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Austria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E-Control</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Belgium</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Flanders Environment Agency Water Regulator (</w:t>
            </w:r>
            <w:r w:rsidRPr="00676B8B">
              <w:rPr>
                <w:i/>
                <w:lang w:val="en-GB"/>
              </w:rPr>
              <w:t>Vlaamse Milieumaatschappij</w:t>
            </w:r>
            <w:r w:rsidRPr="00676B8B">
              <w:rPr>
                <w:lang w:val="en-GB"/>
              </w:rPr>
              <w:t>)</w:t>
            </w:r>
          </w:p>
        </w:tc>
      </w:tr>
      <w:tr w:rsidR="00676B8B" w:rsidRPr="00367095"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Brazil</w:t>
            </w:r>
          </w:p>
        </w:tc>
        <w:tc>
          <w:tcPr>
            <w:tcW w:w="5003" w:type="dxa"/>
          </w:tcPr>
          <w:p w:rsidR="00676B8B" w:rsidRPr="00FE1B6E" w:rsidRDefault="00676B8B" w:rsidP="00676B8B">
            <w:pPr>
              <w:pStyle w:val="BodyText"/>
              <w:tabs>
                <w:tab w:val="clear" w:pos="1361"/>
                <w:tab w:val="clear" w:pos="1701"/>
                <w:tab w:val="clear" w:pos="2041"/>
              </w:tabs>
              <w:spacing w:before="100" w:beforeAutospacing="1"/>
              <w:ind w:left="0" w:firstLine="0"/>
              <w:jc w:val="left"/>
              <w:rPr>
                <w:lang w:val="es-ES_tradnl"/>
              </w:rPr>
            </w:pPr>
            <w:r w:rsidRPr="00FE1B6E">
              <w:rPr>
                <w:lang w:val="es-ES_tradnl"/>
              </w:rPr>
              <w:t xml:space="preserve">Electricity Regulatory Agency (Agência Nacional de Energia Elétrica) </w:t>
            </w:r>
          </w:p>
        </w:tc>
      </w:tr>
      <w:tr w:rsidR="00676B8B" w:rsidRPr="00FE1B6E"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fr-FR"/>
              </w:rPr>
            </w:pPr>
            <w:r w:rsidRPr="00676B8B">
              <w:rPr>
                <w:b/>
                <w:color w:val="4E81BD"/>
                <w:lang w:val="fr-FR"/>
              </w:rPr>
              <w:t>Canada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fr-FR"/>
              </w:rPr>
            </w:pPr>
            <w:r w:rsidRPr="00676B8B">
              <w:rPr>
                <w:lang w:val="fr-FR"/>
              </w:rPr>
              <w:t>National Energy Board (</w:t>
            </w:r>
            <w:r w:rsidRPr="00676B8B">
              <w:rPr>
                <w:i/>
                <w:lang w:val="fr-FR"/>
              </w:rPr>
              <w:t>Office national de l'énergie</w:t>
            </w:r>
            <w:r w:rsidRPr="00676B8B">
              <w:rPr>
                <w:lang w:val="fr-FR"/>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fr-FR"/>
              </w:rPr>
            </w:pPr>
            <w:r w:rsidRPr="00676B8B">
              <w:rPr>
                <w:b/>
                <w:color w:val="4E81BD"/>
                <w:lang w:val="fr-FR"/>
              </w:rPr>
              <w:t>Canada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fr-FR"/>
              </w:rPr>
            </w:pPr>
            <w:r w:rsidRPr="00676B8B">
              <w:rPr>
                <w:lang w:val="fr-FR"/>
              </w:rPr>
              <w:t>Canadian Transportation Authority</w:t>
            </w:r>
          </w:p>
        </w:tc>
      </w:tr>
      <w:tr w:rsidR="00676B8B" w:rsidRPr="00FE1B6E"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fr-FR"/>
              </w:rPr>
            </w:pPr>
            <w:r w:rsidRPr="00676B8B">
              <w:rPr>
                <w:b/>
                <w:color w:val="4E81BD"/>
                <w:lang w:val="fr-FR"/>
              </w:rPr>
              <w:t>Colombia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i/>
                <w:lang w:val="fr-FR"/>
              </w:rPr>
            </w:pPr>
            <w:r w:rsidRPr="00676B8B">
              <w:rPr>
                <w:lang w:val="fr-FR"/>
              </w:rPr>
              <w:t>Communications Regulation Commission (</w:t>
            </w:r>
            <w:r w:rsidRPr="00676B8B">
              <w:rPr>
                <w:i/>
                <w:lang w:val="fr-FR"/>
              </w:rPr>
              <w:t>Comisoón de regulación de comunicaciones</w:t>
            </w:r>
            <w:r w:rsidRPr="00676B8B">
              <w:rPr>
                <w:lang w:val="fr-FR"/>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 xml:space="preserve">Czechoslovakia </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Energy Regulatory Office (</w:t>
            </w:r>
            <w:r w:rsidRPr="00676B8B">
              <w:rPr>
                <w:i/>
                <w:lang w:val="en-GB"/>
              </w:rPr>
              <w:t>Energetický regulační úřad</w:t>
            </w:r>
            <w:r w:rsidRPr="00676B8B">
              <w:rPr>
                <w:lang w:val="en-GB"/>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Estonia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lang w:val="en-GB"/>
              </w:rPr>
            </w:pPr>
            <w:r w:rsidRPr="00676B8B">
              <w:rPr>
                <w:lang w:val="en-GB"/>
              </w:rPr>
              <w:t>Estonian Competition Authority (</w:t>
            </w:r>
            <w:r w:rsidRPr="00676B8B">
              <w:rPr>
                <w:i/>
                <w:lang w:val="en-GB"/>
              </w:rPr>
              <w:t>Konkurentsiamet</w:t>
            </w:r>
            <w:r w:rsidRPr="00676B8B">
              <w:rPr>
                <w:lang w:val="en-GB"/>
              </w:rPr>
              <w:t>)</w:t>
            </w:r>
          </w:p>
        </w:tc>
      </w:tr>
      <w:tr w:rsidR="00676B8B" w:rsidRPr="00FE1B6E"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fr-FR"/>
              </w:rPr>
            </w:pPr>
            <w:r w:rsidRPr="00676B8B">
              <w:rPr>
                <w:b/>
                <w:color w:val="4E81BD"/>
                <w:lang w:val="fr-FR"/>
              </w:rPr>
              <w:t>France</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jc w:val="left"/>
              <w:rPr>
                <w:i/>
                <w:lang w:val="fr-FR"/>
              </w:rPr>
            </w:pPr>
            <w:r w:rsidRPr="00676B8B">
              <w:rPr>
                <w:lang w:val="fr-FR"/>
              </w:rPr>
              <w:t>Authority for the Regulation of Electronic Communications and Post (</w:t>
            </w:r>
            <w:r w:rsidRPr="00676B8B">
              <w:rPr>
                <w:i/>
                <w:lang w:val="fr-FR"/>
              </w:rPr>
              <w:t>Autorité de Régulation des Communications Électroniques et des Postes</w:t>
            </w:r>
            <w:r w:rsidRPr="00676B8B">
              <w:rPr>
                <w:lang w:val="fr-FR"/>
              </w:rPr>
              <w:t>)</w:t>
            </w:r>
          </w:p>
        </w:tc>
      </w:tr>
    </w:tbl>
    <w:p w:rsidR="00676B8B" w:rsidRPr="00B24EDB" w:rsidRDefault="00676B8B">
      <w:pPr>
        <w:rPr>
          <w:lang w:val="fr-FR"/>
        </w:rPr>
      </w:pPr>
      <w:r w:rsidRPr="00B24EDB">
        <w:rPr>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5003"/>
      </w:tblGrid>
      <w:tr w:rsidR="00676B8B" w:rsidRPr="00367095"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fr-FR"/>
              </w:rPr>
            </w:pPr>
            <w:r w:rsidRPr="00676B8B">
              <w:rPr>
                <w:b/>
                <w:color w:val="4E81BD"/>
                <w:lang w:val="fr-FR"/>
              </w:rPr>
              <w:lastRenderedPageBreak/>
              <w:t>France</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i/>
                <w:lang w:val="fr-FR"/>
              </w:rPr>
            </w:pPr>
            <w:r w:rsidRPr="00676B8B">
              <w:rPr>
                <w:lang w:val="fr-FR"/>
              </w:rPr>
              <w:t>Regulatory Commission of Energy (</w:t>
            </w:r>
            <w:r w:rsidRPr="00676B8B">
              <w:rPr>
                <w:i/>
                <w:lang w:val="fr-FR"/>
              </w:rPr>
              <w:t>Commission de régulation de l'énergie</w:t>
            </w:r>
            <w:r w:rsidRPr="00676B8B">
              <w:rPr>
                <w:lang w:val="fr-FR"/>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Germany</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Federal Network Agency for Electricity, Gas, Telecommunications, Post and Railway</w:t>
            </w:r>
            <w:r>
              <w:rPr>
                <w:lang w:val="en-GB"/>
              </w:rPr>
              <w:t xml:space="preserve"> </w:t>
            </w:r>
            <w:r w:rsidRPr="00676B8B">
              <w:rPr>
                <w:lang w:val="en-GB"/>
              </w:rPr>
              <w:t>(</w:t>
            </w:r>
            <w:r w:rsidRPr="00676B8B">
              <w:rPr>
                <w:i/>
                <w:lang w:val="en-GB"/>
              </w:rPr>
              <w:t>Bundesnetzagentur</w:t>
            </w:r>
            <w:r w:rsidRPr="00676B8B">
              <w:rPr>
                <w:lang w:val="en-GB"/>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Greece</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National Telecommunications and Post Commission (</w:t>
            </w:r>
            <w:r w:rsidRPr="00676B8B">
              <w:rPr>
                <w:i/>
                <w:lang w:val="en-GB"/>
              </w:rPr>
              <w:t>Εθνική Επιτροπή Τηλεπικοινωνιών και Ταχυδρομείων</w:t>
            </w:r>
            <w:r w:rsidRPr="00676B8B">
              <w:rPr>
                <w:lang w:val="en-GB"/>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Greece</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 xml:space="preserve">Regulatory Authority for Railways </w:t>
            </w:r>
            <w:r>
              <w:rPr>
                <w:lang w:val="en-GB"/>
              </w:rPr>
              <w:t xml:space="preserve"> </w:t>
            </w:r>
            <w:r w:rsidRPr="00676B8B">
              <w:rPr>
                <w:lang w:val="en-GB"/>
              </w:rPr>
              <w:t>(Ρυθμιστική Αρχή Σιδηροδρόμων)</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Italy</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Regulatory Authority for Electricity, Gas and Water</w:t>
            </w:r>
            <w:r>
              <w:rPr>
                <w:lang w:val="en-GB"/>
              </w:rPr>
              <w:t xml:space="preserve"> </w:t>
            </w:r>
            <w:r w:rsidRPr="00676B8B">
              <w:rPr>
                <w:lang w:val="en-GB"/>
              </w:rPr>
              <w:t>(</w:t>
            </w:r>
            <w:r w:rsidRPr="00676B8B">
              <w:rPr>
                <w:i/>
                <w:lang w:val="en-GB"/>
              </w:rPr>
              <w:t>Autorità per l'energia elettrica il gas e il sistema idrico</w:t>
            </w:r>
            <w:r w:rsidRPr="00676B8B">
              <w:rPr>
                <w:lang w:val="en-GB"/>
              </w:rPr>
              <w:t>)</w:t>
            </w:r>
          </w:p>
        </w:tc>
      </w:tr>
      <w:tr w:rsidR="00676B8B" w:rsidRPr="00367095"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Italy</w:t>
            </w:r>
          </w:p>
        </w:tc>
        <w:tc>
          <w:tcPr>
            <w:tcW w:w="5003" w:type="dxa"/>
          </w:tcPr>
          <w:p w:rsidR="00676B8B" w:rsidRPr="00FE1B6E" w:rsidRDefault="00676B8B" w:rsidP="00676B8B">
            <w:pPr>
              <w:pStyle w:val="BodyText"/>
              <w:tabs>
                <w:tab w:val="clear" w:pos="1361"/>
                <w:tab w:val="clear" w:pos="1701"/>
                <w:tab w:val="clear" w:pos="2041"/>
              </w:tabs>
              <w:spacing w:before="100" w:beforeAutospacing="1"/>
              <w:ind w:left="0" w:firstLine="0"/>
              <w:rPr>
                <w:lang w:val="it-IT"/>
              </w:rPr>
            </w:pPr>
            <w:r w:rsidRPr="00FE1B6E">
              <w:rPr>
                <w:lang w:val="it-IT"/>
              </w:rPr>
              <w:t>Transport Regulation Authority (</w:t>
            </w:r>
            <w:r w:rsidRPr="00FE1B6E">
              <w:rPr>
                <w:i/>
                <w:lang w:val="it-IT"/>
              </w:rPr>
              <w:t>Autorità di Regolazione dei Trasporti</w:t>
            </w:r>
            <w:r w:rsidRPr="00FE1B6E">
              <w:rPr>
                <w:lang w:val="it-IT"/>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Japan</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Ministry of Economy, Trade and Industry</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Latvia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Public Utilities Commission (</w:t>
            </w:r>
            <w:r w:rsidRPr="00676B8B">
              <w:rPr>
                <w:i/>
                <w:lang w:val="en-GB"/>
              </w:rPr>
              <w:t>Sabiedrisko Pakalpojumu Regulēšanas Komisija</w:t>
            </w:r>
            <w:r w:rsidRPr="00676B8B">
              <w:rPr>
                <w:lang w:val="en-GB"/>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Lithuania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i/>
                <w:lang w:val="en-GB"/>
              </w:rPr>
            </w:pPr>
            <w:r w:rsidRPr="00676B8B">
              <w:rPr>
                <w:lang w:val="en-GB"/>
              </w:rPr>
              <w:t>Communications Regulatory Authority (</w:t>
            </w:r>
            <w:r w:rsidRPr="00676B8B">
              <w:rPr>
                <w:i/>
                <w:lang w:val="en-GB"/>
              </w:rPr>
              <w:t>Ryšių reguliavimo tarnyba</w:t>
            </w:r>
            <w:r w:rsidRPr="00676B8B">
              <w:rPr>
                <w:lang w:val="en-GB"/>
              </w:rPr>
              <w:t>)</w:t>
            </w:r>
          </w:p>
        </w:tc>
      </w:tr>
      <w:tr w:rsidR="00676B8B" w:rsidRPr="00367095"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Mexico</w:t>
            </w:r>
          </w:p>
        </w:tc>
        <w:tc>
          <w:tcPr>
            <w:tcW w:w="5003" w:type="dxa"/>
          </w:tcPr>
          <w:p w:rsidR="00676B8B" w:rsidRPr="00FE1B6E" w:rsidRDefault="00676B8B" w:rsidP="00676B8B">
            <w:pPr>
              <w:pStyle w:val="BodyText"/>
              <w:tabs>
                <w:tab w:val="clear" w:pos="1361"/>
                <w:tab w:val="clear" w:pos="1701"/>
                <w:tab w:val="clear" w:pos="2041"/>
              </w:tabs>
              <w:spacing w:before="100" w:beforeAutospacing="1"/>
              <w:ind w:left="0" w:firstLine="0"/>
              <w:rPr>
                <w:i/>
                <w:lang w:val="es-ES_tradnl"/>
              </w:rPr>
            </w:pPr>
            <w:r w:rsidRPr="00FE1B6E">
              <w:rPr>
                <w:lang w:val="es-ES_tradnl"/>
              </w:rPr>
              <w:t>Energy Regulatory Commission (</w:t>
            </w:r>
            <w:r w:rsidRPr="00FE1B6E">
              <w:rPr>
                <w:i/>
                <w:lang w:val="es-ES_tradnl"/>
              </w:rPr>
              <w:t>Comisión reguladora de energia</w:t>
            </w:r>
            <w:r w:rsidRPr="00FE1B6E">
              <w:rPr>
                <w:lang w:val="es-ES_tradnl"/>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 xml:space="preserve">New Zealand </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Commerce Commission</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Norway</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Norwegian Communications Authority (</w:t>
            </w:r>
            <w:r w:rsidRPr="00676B8B">
              <w:rPr>
                <w:i/>
                <w:lang w:val="en-GB"/>
              </w:rPr>
              <w:t>Nasjonal kommunikasjonsmyndighet</w:t>
            </w:r>
            <w:r w:rsidRPr="00676B8B">
              <w:rPr>
                <w:lang w:val="en-GB"/>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Peru</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i/>
                <w:lang w:val="en-GB"/>
              </w:rPr>
            </w:pPr>
            <w:r w:rsidRPr="00676B8B">
              <w:rPr>
                <w:lang w:val="en-GB"/>
              </w:rPr>
              <w:t>Supervisory Agency for Private Investment in Telecommunications (</w:t>
            </w:r>
            <w:r w:rsidRPr="00676B8B">
              <w:rPr>
                <w:i/>
                <w:lang w:val="en-GB"/>
              </w:rPr>
              <w:t>Organismo Supervisor de Inversión Privada en Telecomunicaciones</w:t>
            </w:r>
            <w:r w:rsidRPr="00676B8B">
              <w:rPr>
                <w:lang w:val="en-GB"/>
              </w:rPr>
              <w:t>)</w:t>
            </w:r>
            <w:r w:rsidRPr="00676B8B">
              <w:rPr>
                <w:i/>
                <w:lang w:val="en-GB"/>
              </w:rPr>
              <w:t xml:space="preserve"> </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fr-FR"/>
              </w:rPr>
            </w:pPr>
            <w:r w:rsidRPr="00676B8B">
              <w:rPr>
                <w:b/>
                <w:color w:val="4E81BD"/>
                <w:lang w:val="fr-FR"/>
              </w:rPr>
              <w:t>Peru</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Supervisory Agency for Public Transport Infrastructure</w:t>
            </w:r>
            <w:r>
              <w:rPr>
                <w:lang w:val="en-GB"/>
              </w:rPr>
              <w:t xml:space="preserve"> </w:t>
            </w:r>
            <w:r w:rsidRPr="00676B8B">
              <w:rPr>
                <w:lang w:val="fr-FR"/>
              </w:rPr>
              <w:t>(</w:t>
            </w:r>
            <w:r w:rsidRPr="00676B8B">
              <w:rPr>
                <w:i/>
                <w:lang w:val="fr-FR"/>
              </w:rPr>
              <w:t>Organismo Supervisor de Infrastructura de Transporte de Uso Público</w:t>
            </w:r>
            <w:r w:rsidRPr="00676B8B">
              <w:rPr>
                <w:lang w:val="fr-FR"/>
              </w:rPr>
              <w:t>)</w:t>
            </w:r>
          </w:p>
        </w:tc>
      </w:tr>
      <w:tr w:rsidR="00676B8B" w:rsidRPr="00367095"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Portugal</w:t>
            </w:r>
          </w:p>
        </w:tc>
        <w:tc>
          <w:tcPr>
            <w:tcW w:w="5003" w:type="dxa"/>
          </w:tcPr>
          <w:p w:rsidR="00676B8B" w:rsidRPr="00FE1B6E" w:rsidRDefault="00676B8B" w:rsidP="00676B8B">
            <w:pPr>
              <w:pStyle w:val="BodyText"/>
              <w:tabs>
                <w:tab w:val="clear" w:pos="1361"/>
                <w:tab w:val="clear" w:pos="1701"/>
                <w:tab w:val="clear" w:pos="2041"/>
              </w:tabs>
              <w:spacing w:before="100" w:beforeAutospacing="1"/>
              <w:ind w:left="0" w:firstLine="0"/>
              <w:rPr>
                <w:lang w:val="es-ES_tradnl"/>
              </w:rPr>
            </w:pPr>
            <w:r w:rsidRPr="00FE1B6E">
              <w:rPr>
                <w:lang w:val="es-ES_tradnl"/>
              </w:rPr>
              <w:t>The Water and Waste Services Regulation Authority (</w:t>
            </w:r>
            <w:r w:rsidRPr="00FE1B6E">
              <w:rPr>
                <w:i/>
                <w:lang w:val="es-ES_tradnl"/>
              </w:rPr>
              <w:t>Entidade reguladora dos servicos de aguas e residuos</w:t>
            </w:r>
            <w:r w:rsidRPr="00FE1B6E">
              <w:rPr>
                <w:lang w:val="es-ES_tradnl"/>
              </w:rPr>
              <w:t>)</w:t>
            </w:r>
          </w:p>
        </w:tc>
      </w:tr>
    </w:tbl>
    <w:p w:rsidR="00676B8B" w:rsidRPr="00FE1B6E" w:rsidRDefault="00676B8B">
      <w:pPr>
        <w:rPr>
          <w:lang w:val="es-ES_tradnl"/>
        </w:rPr>
      </w:pPr>
      <w:r w:rsidRPr="00FE1B6E">
        <w:rPr>
          <w:lang w:val="es-ES_trad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5003"/>
      </w:tblGrid>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lastRenderedPageBreak/>
              <w:t>Russia</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Federal Antimonopoly Service (</w:t>
            </w:r>
            <w:r w:rsidRPr="00676B8B">
              <w:rPr>
                <w:i/>
                <w:lang w:val="en-GB"/>
              </w:rPr>
              <w:t>Федеральная антимонопольная служба</w:t>
            </w:r>
            <w:r w:rsidRPr="00676B8B">
              <w:rPr>
                <w:lang w:val="en-GB"/>
              </w:rPr>
              <w:t>)</w:t>
            </w:r>
          </w:p>
        </w:tc>
      </w:tr>
      <w:tr w:rsidR="00676B8B" w:rsidRPr="00367095"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Spain</w:t>
            </w:r>
          </w:p>
        </w:tc>
        <w:tc>
          <w:tcPr>
            <w:tcW w:w="5003" w:type="dxa"/>
          </w:tcPr>
          <w:p w:rsidR="00676B8B" w:rsidRPr="00FE1B6E" w:rsidRDefault="00676B8B" w:rsidP="00676B8B">
            <w:pPr>
              <w:pStyle w:val="BodyText"/>
              <w:tabs>
                <w:tab w:val="clear" w:pos="1361"/>
                <w:tab w:val="clear" w:pos="1701"/>
                <w:tab w:val="clear" w:pos="2041"/>
              </w:tabs>
              <w:spacing w:before="100" w:beforeAutospacing="1"/>
              <w:ind w:left="0" w:firstLine="0"/>
              <w:rPr>
                <w:lang w:val="es-ES_tradnl"/>
              </w:rPr>
            </w:pPr>
            <w:r w:rsidRPr="00FE1B6E">
              <w:rPr>
                <w:lang w:val="es-ES_tradnl"/>
              </w:rPr>
              <w:t>National Authority for Markets and Competition (</w:t>
            </w:r>
            <w:r w:rsidRPr="00FE1B6E">
              <w:rPr>
                <w:i/>
                <w:lang w:val="es-ES_tradnl"/>
              </w:rPr>
              <w:t>Comisión nacional de los mercados y la competencia</w:t>
            </w:r>
            <w:r w:rsidRPr="00FE1B6E">
              <w:rPr>
                <w:lang w:val="es-ES_tradnl"/>
              </w:rPr>
              <w:t>)</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United Kingdom</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Office of Gas and Electricity Markets</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United Kingdom</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Office of Rail and Road</w:t>
            </w:r>
          </w:p>
        </w:tc>
      </w:tr>
      <w:tr w:rsidR="00676B8B" w:rsidRPr="00676B8B"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United Kingdom</w:t>
            </w:r>
          </w:p>
        </w:tc>
        <w:tc>
          <w:tcPr>
            <w:tcW w:w="5003" w:type="dxa"/>
          </w:tcPr>
          <w:p w:rsidR="00676B8B" w:rsidRPr="00676B8B" w:rsidRDefault="00676B8B" w:rsidP="00676B8B">
            <w:pPr>
              <w:pStyle w:val="BodyText"/>
              <w:tabs>
                <w:tab w:val="clear" w:pos="1361"/>
                <w:tab w:val="clear" w:pos="1701"/>
                <w:tab w:val="clear" w:pos="2041"/>
              </w:tabs>
              <w:spacing w:before="100" w:beforeAutospacing="1"/>
              <w:ind w:left="0" w:firstLine="0"/>
              <w:rPr>
                <w:lang w:val="en-GB"/>
              </w:rPr>
            </w:pPr>
            <w:r w:rsidRPr="00676B8B">
              <w:rPr>
                <w:lang w:val="en-GB"/>
              </w:rPr>
              <w:t>Payment Services Regulator</w:t>
            </w:r>
          </w:p>
        </w:tc>
      </w:tr>
      <w:tr w:rsidR="00676B8B" w:rsidRPr="008D5C08" w:rsidTr="00676B8B">
        <w:tc>
          <w:tcPr>
            <w:tcW w:w="2115" w:type="dxa"/>
          </w:tcPr>
          <w:p w:rsidR="00676B8B" w:rsidRPr="00676B8B" w:rsidRDefault="00676B8B" w:rsidP="00676B8B">
            <w:pPr>
              <w:pStyle w:val="BodyText"/>
              <w:tabs>
                <w:tab w:val="clear" w:pos="1361"/>
                <w:tab w:val="clear" w:pos="1701"/>
                <w:tab w:val="clear" w:pos="2041"/>
              </w:tabs>
              <w:spacing w:before="100" w:beforeAutospacing="1"/>
              <w:ind w:left="0" w:firstLine="0"/>
              <w:rPr>
                <w:b/>
                <w:color w:val="4E81BD"/>
                <w:lang w:val="en-GB"/>
              </w:rPr>
            </w:pPr>
            <w:r w:rsidRPr="00676B8B">
              <w:rPr>
                <w:b/>
                <w:color w:val="4E81BD"/>
                <w:lang w:val="en-GB"/>
              </w:rPr>
              <w:t>United Kingdom</w:t>
            </w:r>
          </w:p>
        </w:tc>
        <w:tc>
          <w:tcPr>
            <w:tcW w:w="5003" w:type="dxa"/>
          </w:tcPr>
          <w:p w:rsidR="00676B8B" w:rsidRPr="008D5C08" w:rsidRDefault="00676B8B" w:rsidP="00676B8B">
            <w:pPr>
              <w:pStyle w:val="BodyText"/>
              <w:tabs>
                <w:tab w:val="clear" w:pos="1361"/>
                <w:tab w:val="clear" w:pos="1701"/>
                <w:tab w:val="clear" w:pos="2041"/>
              </w:tabs>
              <w:spacing w:before="100" w:beforeAutospacing="1"/>
              <w:ind w:left="0" w:firstLine="0"/>
            </w:pPr>
            <w:r w:rsidRPr="00676B8B">
              <w:rPr>
                <w:lang w:val="en-GB"/>
              </w:rPr>
              <w:t>Water Industry Commission Scotland</w:t>
            </w:r>
          </w:p>
        </w:tc>
      </w:tr>
    </w:tbl>
    <w:p w:rsidR="00492D0D" w:rsidRPr="008D5C08" w:rsidRDefault="00492D0D" w:rsidP="00676B8B">
      <w:pPr>
        <w:pStyle w:val="BodyText"/>
        <w:ind w:left="0" w:firstLine="0"/>
      </w:pPr>
    </w:p>
    <w:sectPr w:rsidR="00492D0D" w:rsidRPr="008D5C08" w:rsidSect="0087238D">
      <w:headerReference w:type="default" r:id="rId67"/>
      <w:endnotePr>
        <w:numFmt w:val="decimal"/>
      </w:endnotePr>
      <w:type w:val="oddPage"/>
      <w:pgSz w:w="11907" w:h="16840" w:code="9"/>
      <w:pgMar w:top="3119" w:right="2211" w:bottom="3119" w:left="2211" w:header="2608" w:footer="27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95" w:rsidRDefault="00367095">
      <w:r>
        <w:separator/>
      </w:r>
    </w:p>
  </w:endnote>
  <w:endnote w:type="continuationSeparator" w:id="0">
    <w:p w:rsidR="00367095" w:rsidRDefault="0036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Pr="00F365F2" w:rsidRDefault="00367095" w:rsidP="008D5C08">
    <w:pPr>
      <w:pStyle w:val="Footer"/>
      <w:jc w:val="right"/>
    </w:pPr>
    <w:r w:rsidRPr="008D5C08">
      <w:rPr>
        <w:bCs/>
      </w:rPr>
      <w:t>THE ROLE OF ECONOMIC REGULATORS IN THE GOVERNANCE OF INFRASTRUCTURE</w:t>
    </w:r>
    <w:r>
      <w:rPr>
        <w:rStyle w:val="PageNumber"/>
      </w:rPr>
      <w:t xml:space="preserve"> © OECD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Pr="008D5C08" w:rsidRDefault="00367095" w:rsidP="008D5C08">
    <w:pPr>
      <w:pStyle w:val="Footer"/>
      <w:rPr>
        <w:b/>
      </w:rPr>
    </w:pPr>
    <w:r w:rsidRPr="008D5C08">
      <w:rPr>
        <w:bCs/>
      </w:rPr>
      <w:t>THE ROLE OF ECONOMIC REGULATORS IN THE GOVERNANCE OF INFRASTRUCTURE</w:t>
    </w:r>
    <w:r>
      <w:rPr>
        <w:rStyle w:val="PageNumber"/>
      </w:rPr>
      <w:t xml:space="preserve"> © OECD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367095">
    <w:pPr>
      <w:pStyle w:val="Footer"/>
    </w:pPr>
    <w:r>
      <w:rPr>
        <w:rStyle w:val="PageNumber"/>
      </w:rPr>
      <w:t>BOOK TITLE IN CAPITALS – ISBN-92-64-XXXXX-X © OECD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95" w:rsidRDefault="00367095">
      <w:r>
        <w:separator/>
      </w:r>
    </w:p>
  </w:footnote>
  <w:footnote w:type="continuationSeparator" w:id="0">
    <w:p w:rsidR="00367095" w:rsidRDefault="0036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pPr>
      <w:pStyle w:val="Header"/>
      <w:rPr>
        <w:caps w:val="0"/>
      </w:rPr>
    </w:pPr>
    <w:r>
      <w:rPr>
        <w:caps w:val="0"/>
        <w:noProof/>
        <w:sz w:val="22"/>
        <w:szCs w:val="22"/>
        <w:lang w:val="en-US" w:eastAsia="zh-CN"/>
      </w:rPr>
      <w:pict>
        <v:line id="_x0000_s2049" style="position:absolute;z-index:251656704" from="0,14.2pt" to="374.15pt,14.2pt" strokeweight=".5pt"/>
      </w:pict>
    </w:r>
    <w:r w:rsidR="00367095" w:rsidRPr="003B6345">
      <w:rPr>
        <w:b/>
        <w:caps w:val="0"/>
        <w:sz w:val="22"/>
        <w:szCs w:val="22"/>
        <w:lang w:val="en-US"/>
      </w:rPr>
      <w:fldChar w:fldCharType="begin"/>
    </w:r>
    <w:r w:rsidR="00367095" w:rsidRPr="003B6345">
      <w:rPr>
        <w:b/>
        <w:caps w:val="0"/>
        <w:sz w:val="22"/>
        <w:szCs w:val="22"/>
        <w:lang w:val="en-US"/>
      </w:rPr>
      <w:instrText xml:space="preserve"> PAGE </w:instrText>
    </w:r>
    <w:r w:rsidR="00367095" w:rsidRPr="003B6345">
      <w:rPr>
        <w:b/>
        <w:caps w:val="0"/>
        <w:sz w:val="22"/>
        <w:szCs w:val="22"/>
        <w:lang w:val="en-US"/>
      </w:rPr>
      <w:fldChar w:fldCharType="separate"/>
    </w:r>
    <w:r>
      <w:rPr>
        <w:b/>
        <w:caps w:val="0"/>
        <w:noProof/>
        <w:sz w:val="22"/>
        <w:szCs w:val="22"/>
        <w:lang w:val="en-US"/>
      </w:rPr>
      <w:t>10</w:t>
    </w:r>
    <w:r w:rsidR="00367095" w:rsidRPr="003B6345">
      <w:rPr>
        <w:b/>
        <w:caps w:val="0"/>
        <w:sz w:val="22"/>
        <w:szCs w:val="22"/>
        <w:lang w:val="en-US"/>
      </w:rPr>
      <w:fldChar w:fldCharType="end"/>
    </w:r>
    <w:r w:rsidR="00367095" w:rsidRPr="00CB3FB5">
      <w:rPr>
        <w:caps w:val="0"/>
        <w:lang w:val="en-US"/>
      </w:rPr>
      <w:t xml:space="preserve"> </w:t>
    </w:r>
    <w:r w:rsidR="00367095">
      <w:rPr>
        <w:caps w:val="0"/>
        <w:lang w:val="en-US"/>
      </w:rPr>
      <w:t xml:space="preserve">– </w:t>
    </w:r>
    <w:r w:rsidR="00367095">
      <w:rPr>
        <w:caps w:val="0"/>
      </w:rPr>
      <w:t>CHAPTER TITLE</w:t>
    </w:r>
  </w:p>
  <w:p w:rsidR="00367095" w:rsidRDefault="00367095">
    <w:pPr>
      <w:pStyle w:val="Header"/>
      <w:rPr>
        <w:caps w:val="0"/>
      </w:rPr>
    </w:pPr>
  </w:p>
  <w:p w:rsidR="00367095" w:rsidRDefault="0036709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60" style="position:absolute;left:0;text-align:left;z-index:251677184" from="0,14.2pt" to="374.15pt,14.2pt" strokeweight=".5pt"/>
      </w:pict>
    </w:r>
    <w:r w:rsidR="00367095">
      <w:rPr>
        <w:caps w:val="0"/>
      </w:rPr>
      <w:t>ANNEX A. SURVEY PARTICIPANTS</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Pr>
        <w:b/>
        <w:caps w:val="0"/>
        <w:noProof/>
        <w:sz w:val="22"/>
        <w:szCs w:val="22"/>
      </w:rPr>
      <w:t>67</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50" style="position:absolute;left:0;text-align:left;z-index:251657728" from="0,14.2pt" to="374.15pt,14.2pt" strokeweight=".5pt"/>
      </w:pict>
    </w:r>
    <w:r w:rsidR="00367095">
      <w:rPr>
        <w:caps w:val="0"/>
      </w:rPr>
      <w:t>FOREWORD</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Pr>
        <w:b/>
        <w:caps w:val="0"/>
        <w:noProof/>
        <w:sz w:val="22"/>
        <w:szCs w:val="22"/>
      </w:rPr>
      <w:t>3</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51" style="position:absolute;left:0;text-align:left;z-index:251658752" from="0,14.2pt" to="464.9pt,14.2pt" strokeweight=".5pt"/>
      </w:pict>
    </w:r>
    <w:r w:rsidR="00367095">
      <w:rPr>
        <w:caps w:val="0"/>
      </w:rPr>
      <w:t>CHAPTER TITLE</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sidR="00367095">
      <w:rPr>
        <w:b/>
        <w:caps w:val="0"/>
        <w:noProof/>
        <w:sz w:val="22"/>
        <w:szCs w:val="22"/>
      </w:rPr>
      <w:t>67</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54" style="position:absolute;left:0;text-align:left;z-index:251664896" from="0,14.2pt" to="374.15pt,14.2pt" strokeweight=".5pt"/>
      </w:pict>
    </w:r>
    <w:r w:rsidR="00367095">
      <w:rPr>
        <w:caps w:val="0"/>
      </w:rPr>
      <w:t>TABLE OF CONTENTS</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Pr>
        <w:b/>
        <w:caps w:val="0"/>
        <w:noProof/>
        <w:sz w:val="22"/>
        <w:szCs w:val="22"/>
      </w:rPr>
      <w:t>5</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55" style="position:absolute;left:0;text-align:left;z-index:251666944" from="0,14.2pt" to="374.15pt,14.2pt" strokeweight=".5pt"/>
      </w:pict>
    </w:r>
    <w:r w:rsidR="00367095">
      <w:rPr>
        <w:caps w:val="0"/>
      </w:rPr>
      <w:t>ACRONYMS AND ABBREVIATIONS</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Pr>
        <w:b/>
        <w:caps w:val="0"/>
        <w:noProof/>
        <w:sz w:val="22"/>
        <w:szCs w:val="22"/>
      </w:rPr>
      <w:t>11</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65380D">
    <w:pPr>
      <w:pStyle w:val="Header"/>
      <w:rPr>
        <w:caps w:val="0"/>
      </w:rPr>
    </w:pPr>
    <w:r>
      <w:rPr>
        <w:caps w:val="0"/>
        <w:noProof/>
        <w:sz w:val="22"/>
        <w:szCs w:val="22"/>
        <w:lang w:val="en-US" w:eastAsia="zh-CN"/>
      </w:rPr>
      <w:pict>
        <v:line id="_x0000_s2059" style="position:absolute;z-index:251675136" from="0,14.2pt" to="374.15pt,14.2pt" strokeweight=".5pt"/>
      </w:pict>
    </w:r>
    <w:r w:rsidR="00367095" w:rsidRPr="003B6345">
      <w:rPr>
        <w:b/>
        <w:caps w:val="0"/>
        <w:sz w:val="22"/>
        <w:szCs w:val="22"/>
        <w:lang w:val="en-US"/>
      </w:rPr>
      <w:fldChar w:fldCharType="begin"/>
    </w:r>
    <w:r w:rsidR="00367095" w:rsidRPr="003B6345">
      <w:rPr>
        <w:b/>
        <w:caps w:val="0"/>
        <w:sz w:val="22"/>
        <w:szCs w:val="22"/>
        <w:lang w:val="en-US"/>
      </w:rPr>
      <w:instrText xml:space="preserve"> PAGE </w:instrText>
    </w:r>
    <w:r w:rsidR="00367095" w:rsidRPr="003B6345">
      <w:rPr>
        <w:b/>
        <w:caps w:val="0"/>
        <w:sz w:val="22"/>
        <w:szCs w:val="22"/>
        <w:lang w:val="en-US"/>
      </w:rPr>
      <w:fldChar w:fldCharType="separate"/>
    </w:r>
    <w:r>
      <w:rPr>
        <w:b/>
        <w:caps w:val="0"/>
        <w:noProof/>
        <w:sz w:val="22"/>
        <w:szCs w:val="22"/>
        <w:lang w:val="en-US"/>
      </w:rPr>
      <w:t>26</w:t>
    </w:r>
    <w:r w:rsidR="00367095" w:rsidRPr="003B6345">
      <w:rPr>
        <w:b/>
        <w:caps w:val="0"/>
        <w:sz w:val="22"/>
        <w:szCs w:val="22"/>
        <w:lang w:val="en-US"/>
      </w:rPr>
      <w:fldChar w:fldCharType="end"/>
    </w:r>
    <w:r w:rsidR="00367095" w:rsidRPr="00CB3FB5">
      <w:rPr>
        <w:caps w:val="0"/>
        <w:lang w:val="en-US"/>
      </w:rPr>
      <w:t xml:space="preserve"> </w:t>
    </w:r>
    <w:r w:rsidR="00367095">
      <w:rPr>
        <w:caps w:val="0"/>
        <w:lang w:val="en-US"/>
      </w:rPr>
      <w:t xml:space="preserve">– </w:t>
    </w:r>
    <w:r w:rsidR="00367095">
      <w:rPr>
        <w:caps w:val="0"/>
        <w:noProof/>
        <w:lang w:val="en-US" w:eastAsia="zh-CN"/>
      </w:rPr>
      <w:t>1. ECONOMIC REGULATORS AND THE GOVERNANCE OF INFRASTRUCTURE</w:t>
    </w:r>
  </w:p>
  <w:p w:rsidR="00367095" w:rsidRDefault="00367095">
    <w:pPr>
      <w:pStyle w:val="Header"/>
      <w:rPr>
        <w:caps w:val="0"/>
      </w:rPr>
    </w:pPr>
  </w:p>
  <w:p w:rsidR="00367095" w:rsidRDefault="003670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58" style="position:absolute;left:0;text-align:left;z-index:251673088" from="0,14.2pt" to="374.15pt,14.2pt" strokeweight=".5pt"/>
      </w:pict>
    </w:r>
    <w:r w:rsidR="00367095">
      <w:rPr>
        <w:caps w:val="0"/>
        <w:noProof/>
        <w:lang w:val="en-US" w:eastAsia="zh-CN"/>
      </w:rPr>
      <w:t>1. ECONOMIC REGULATORS AND THE GOVERNANCE OF INFRASTRUCTURE</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Pr>
        <w:b/>
        <w:caps w:val="0"/>
        <w:noProof/>
        <w:sz w:val="22"/>
        <w:szCs w:val="22"/>
      </w:rPr>
      <w:t>27</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65380D">
    <w:pPr>
      <w:pStyle w:val="Header"/>
      <w:rPr>
        <w:caps w:val="0"/>
      </w:rPr>
    </w:pPr>
    <w:r>
      <w:rPr>
        <w:caps w:val="0"/>
        <w:noProof/>
        <w:sz w:val="22"/>
        <w:szCs w:val="22"/>
        <w:lang w:val="en-US" w:eastAsia="zh-CN"/>
      </w:rPr>
      <w:pict>
        <v:line id="_x0000_s2057" style="position:absolute;z-index:251671040" from="0,14.2pt" to="374.15pt,14.2pt" strokeweight=".5pt"/>
      </w:pict>
    </w:r>
    <w:r w:rsidR="00367095" w:rsidRPr="003B6345">
      <w:rPr>
        <w:b/>
        <w:caps w:val="0"/>
        <w:sz w:val="22"/>
        <w:szCs w:val="22"/>
        <w:lang w:val="en-US"/>
      </w:rPr>
      <w:fldChar w:fldCharType="begin"/>
    </w:r>
    <w:r w:rsidR="00367095" w:rsidRPr="003B6345">
      <w:rPr>
        <w:b/>
        <w:caps w:val="0"/>
        <w:sz w:val="22"/>
        <w:szCs w:val="22"/>
        <w:lang w:val="en-US"/>
      </w:rPr>
      <w:instrText xml:space="preserve"> PAGE </w:instrText>
    </w:r>
    <w:r w:rsidR="00367095" w:rsidRPr="003B6345">
      <w:rPr>
        <w:b/>
        <w:caps w:val="0"/>
        <w:sz w:val="22"/>
        <w:szCs w:val="22"/>
        <w:lang w:val="en-US"/>
      </w:rPr>
      <w:fldChar w:fldCharType="separate"/>
    </w:r>
    <w:r>
      <w:rPr>
        <w:b/>
        <w:caps w:val="0"/>
        <w:noProof/>
        <w:sz w:val="22"/>
        <w:szCs w:val="22"/>
        <w:lang w:val="en-US"/>
      </w:rPr>
      <w:t>66</w:t>
    </w:r>
    <w:r w:rsidR="00367095" w:rsidRPr="003B6345">
      <w:rPr>
        <w:b/>
        <w:caps w:val="0"/>
        <w:sz w:val="22"/>
        <w:szCs w:val="22"/>
        <w:lang w:val="en-US"/>
      </w:rPr>
      <w:fldChar w:fldCharType="end"/>
    </w:r>
    <w:r w:rsidR="00367095" w:rsidRPr="00CB3FB5">
      <w:rPr>
        <w:caps w:val="0"/>
        <w:lang w:val="en-US"/>
      </w:rPr>
      <w:t xml:space="preserve"> </w:t>
    </w:r>
    <w:r w:rsidR="00367095">
      <w:rPr>
        <w:caps w:val="0"/>
        <w:lang w:val="en-US"/>
      </w:rPr>
      <w:t xml:space="preserve">– </w:t>
    </w:r>
    <w:r w:rsidR="00367095" w:rsidRPr="00403FD1">
      <w:rPr>
        <w:caps w:val="0"/>
      </w:rPr>
      <w:t>ANNEX A. SURVEY PARTICIPANTS</w:t>
    </w:r>
  </w:p>
  <w:p w:rsidR="00367095" w:rsidRDefault="00367095">
    <w:pPr>
      <w:pStyle w:val="Header"/>
      <w:rPr>
        <w:caps w:val="0"/>
      </w:rPr>
    </w:pPr>
  </w:p>
  <w:p w:rsidR="00367095" w:rsidRDefault="0036709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95" w:rsidRDefault="00DD0716" w:rsidP="00492D0D">
    <w:pPr>
      <w:pStyle w:val="Header"/>
      <w:jc w:val="right"/>
    </w:pPr>
    <w:r>
      <w:rPr>
        <w:caps w:val="0"/>
        <w:noProof/>
        <w:lang w:val="en-US" w:eastAsia="zh-CN"/>
      </w:rPr>
      <w:pict>
        <v:line id="_x0000_s2056" style="position:absolute;left:0;text-align:left;z-index:251668992" from="0,14.2pt" to="374.15pt,14.2pt" strokeweight=".5pt"/>
      </w:pict>
    </w:r>
    <w:r w:rsidR="00367095">
      <w:rPr>
        <w:caps w:val="0"/>
      </w:rPr>
      <w:t>2. THE SURVEY RESULTS IN DETAIL</w:t>
    </w:r>
    <w:r w:rsidR="00367095" w:rsidRPr="00BA07BE">
      <w:rPr>
        <w:caps w:val="0"/>
      </w:rPr>
      <w:t xml:space="preserve"> </w:t>
    </w:r>
    <w:r w:rsidR="00367095">
      <w:rPr>
        <w:caps w:val="0"/>
      </w:rPr>
      <w:t>–</w:t>
    </w:r>
    <w:r w:rsidR="00367095" w:rsidRPr="00CB3FB5">
      <w:rPr>
        <w:caps w:val="0"/>
      </w:rPr>
      <w:t xml:space="preserve"> </w:t>
    </w:r>
    <w:r w:rsidR="00367095" w:rsidRPr="003B6345">
      <w:rPr>
        <w:b/>
        <w:caps w:val="0"/>
        <w:sz w:val="22"/>
        <w:szCs w:val="22"/>
      </w:rPr>
      <w:fldChar w:fldCharType="begin"/>
    </w:r>
    <w:r w:rsidR="00367095" w:rsidRPr="003B6345">
      <w:rPr>
        <w:b/>
        <w:caps w:val="0"/>
        <w:sz w:val="22"/>
        <w:szCs w:val="22"/>
      </w:rPr>
      <w:instrText xml:space="preserve"> PAGE </w:instrText>
    </w:r>
    <w:r w:rsidR="00367095" w:rsidRPr="003B6345">
      <w:rPr>
        <w:b/>
        <w:caps w:val="0"/>
        <w:sz w:val="22"/>
        <w:szCs w:val="22"/>
      </w:rPr>
      <w:fldChar w:fldCharType="separate"/>
    </w:r>
    <w:r>
      <w:rPr>
        <w:b/>
        <w:caps w:val="0"/>
        <w:noProof/>
        <w:sz w:val="22"/>
        <w:szCs w:val="22"/>
      </w:rPr>
      <w:t>63</w:t>
    </w:r>
    <w:r w:rsidR="00367095" w:rsidRPr="003B6345">
      <w:rPr>
        <w:b/>
        <w:caps w:val="0"/>
        <w:sz w:val="22"/>
        <w:szCs w:val="22"/>
      </w:rPr>
      <w:fldChar w:fldCharType="end"/>
    </w:r>
  </w:p>
  <w:p w:rsidR="00367095" w:rsidRDefault="00367095" w:rsidP="00492D0D">
    <w:pPr>
      <w:pStyle w:val="Header"/>
    </w:pPr>
  </w:p>
  <w:p w:rsidR="00367095" w:rsidRPr="00D1302A" w:rsidRDefault="00367095" w:rsidP="00492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EFB2E"/>
    <w:lvl w:ilvl="0">
      <w:start w:val="1"/>
      <w:numFmt w:val="bullet"/>
      <w:lvlText w:val=""/>
      <w:lvlJc w:val="left"/>
      <w:pPr>
        <w:tabs>
          <w:tab w:val="num" w:pos="360"/>
        </w:tabs>
        <w:ind w:left="360" w:hanging="360"/>
      </w:pPr>
      <w:rPr>
        <w:rFonts w:ascii="Symbol" w:hAnsi="Symbol" w:hint="default"/>
      </w:rPr>
    </w:lvl>
  </w:abstractNum>
  <w:abstractNum w:abstractNumId="1">
    <w:nsid w:val="07F90F62"/>
    <w:multiLevelType w:val="singleLevel"/>
    <w:tmpl w:val="B108154A"/>
    <w:lvl w:ilvl="0">
      <w:start w:val="1"/>
      <w:numFmt w:val="bullet"/>
      <w:pStyle w:val="ListBullet"/>
      <w:lvlText w:val="·"/>
      <w:lvlJc w:val="left"/>
      <w:pPr>
        <w:tabs>
          <w:tab w:val="num" w:pos="850"/>
        </w:tabs>
        <w:ind w:left="850" w:hanging="408"/>
      </w:pPr>
      <w:rPr>
        <w:rFonts w:ascii="Symbol" w:hAnsi="Symbol" w:cs="Symbol" w:hint="default"/>
        <w:b w:val="0"/>
        <w:i w:val="0"/>
        <w:color w:val="4E81BD"/>
        <w:sz w:val="22"/>
      </w:rPr>
    </w:lvl>
  </w:abstractNum>
  <w:abstractNum w:abstractNumId="2">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5">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6">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7">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8">
    <w:nsid w:val="2ACF6F84"/>
    <w:multiLevelType w:val="singleLevel"/>
    <w:tmpl w:val="9B06DFB8"/>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9">
    <w:nsid w:val="339633AE"/>
    <w:multiLevelType w:val="hybridMultilevel"/>
    <w:tmpl w:val="A9CC664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1">
    <w:nsid w:val="3BC230DE"/>
    <w:multiLevelType w:val="multilevel"/>
    <w:tmpl w:val="5906C4D4"/>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313B31"/>
    <w:multiLevelType w:val="hybridMultilevel"/>
    <w:tmpl w:val="F0CC4B4E"/>
    <w:lvl w:ilvl="0" w:tplc="4964131C">
      <w:start w:val="1"/>
      <w:numFmt w:val="bullet"/>
      <w:pStyle w:val="ListBulletBox"/>
      <w:lvlText w:val="·"/>
      <w:lvlJc w:val="left"/>
      <w:pPr>
        <w:tabs>
          <w:tab w:val="num" w:pos="850"/>
        </w:tabs>
        <w:ind w:left="850" w:hanging="408"/>
      </w:pPr>
      <w:rPr>
        <w:rFonts w:ascii="Symbol" w:hAnsi="Symbol" w:cs="Symbol" w:hint="default"/>
        <w:b w:val="0"/>
        <w:i w:val="0"/>
        <w:color w:val="4E81B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4">
    <w:nsid w:val="48EC55A8"/>
    <w:multiLevelType w:val="singleLevel"/>
    <w:tmpl w:val="D89A407A"/>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5">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6">
    <w:nsid w:val="56BE6F79"/>
    <w:multiLevelType w:val="singleLevel"/>
    <w:tmpl w:val="F266E22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7">
    <w:nsid w:val="5C8E0CA3"/>
    <w:multiLevelType w:val="singleLevel"/>
    <w:tmpl w:val="EB76A894"/>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8">
    <w:nsid w:val="63E515CF"/>
    <w:multiLevelType w:val="singleLevel"/>
    <w:tmpl w:val="6C4ADC12"/>
    <w:lvl w:ilvl="0">
      <w:start w:val="1"/>
      <w:numFmt w:val="bullet"/>
      <w:lvlText w:val="·"/>
      <w:lvlJc w:val="left"/>
      <w:pPr>
        <w:tabs>
          <w:tab w:val="num" w:pos="850"/>
        </w:tabs>
        <w:ind w:left="850" w:hanging="408"/>
      </w:pPr>
      <w:rPr>
        <w:rFonts w:ascii="Symbol" w:hAnsi="Symbol" w:cs="Times New Roman" w:hint="default"/>
        <w:b w:val="0"/>
        <w:i w:val="0"/>
        <w:sz w:val="22"/>
      </w:rPr>
    </w:lvl>
  </w:abstractNum>
  <w:num w:numId="1">
    <w:abstractNumId w:val="1"/>
  </w:num>
  <w:num w:numId="2">
    <w:abstractNumId w:val="8"/>
  </w:num>
  <w:num w:numId="3">
    <w:abstractNumId w:val="14"/>
  </w:num>
  <w:num w:numId="4">
    <w:abstractNumId w:val="16"/>
  </w:num>
  <w:num w:numId="5">
    <w:abstractNumId w:val="17"/>
  </w:num>
  <w:num w:numId="6">
    <w:abstractNumId w:val="11"/>
  </w:num>
  <w:num w:numId="7">
    <w:abstractNumId w:val="18"/>
  </w:num>
  <w:num w:numId="8">
    <w:abstractNumId w:val="15"/>
  </w:num>
  <w:num w:numId="9">
    <w:abstractNumId w:val="2"/>
  </w:num>
  <w:num w:numId="10">
    <w:abstractNumId w:val="10"/>
  </w:num>
  <w:num w:numId="11">
    <w:abstractNumId w:val="5"/>
  </w:num>
  <w:num w:numId="12">
    <w:abstractNumId w:val="3"/>
  </w:num>
  <w:num w:numId="13">
    <w:abstractNumId w:val="4"/>
  </w:num>
  <w:num w:numId="14">
    <w:abstractNumId w:val="13"/>
  </w:num>
  <w:num w:numId="15">
    <w:abstractNumId w:val="1"/>
    <w:lvlOverride w:ilvl="0">
      <w:startOverride w:val="1"/>
    </w:lvlOverride>
  </w:num>
  <w:num w:numId="16">
    <w:abstractNumId w:val="12"/>
  </w:num>
  <w:num w:numId="17">
    <w:abstractNumId w:val="1"/>
  </w:num>
  <w:num w:numId="18">
    <w:abstractNumId w:val="1"/>
  </w:num>
  <w:num w:numId="19">
    <w:abstractNumId w:val="0"/>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8D5C08"/>
    <w:rsid w:val="000056E8"/>
    <w:rsid w:val="00030220"/>
    <w:rsid w:val="00033CAF"/>
    <w:rsid w:val="000433D3"/>
    <w:rsid w:val="00045EBF"/>
    <w:rsid w:val="00074C4F"/>
    <w:rsid w:val="000C6F51"/>
    <w:rsid w:val="000D1467"/>
    <w:rsid w:val="000E7B73"/>
    <w:rsid w:val="00111485"/>
    <w:rsid w:val="0011313B"/>
    <w:rsid w:val="001640D0"/>
    <w:rsid w:val="00170EFE"/>
    <w:rsid w:val="00172EAA"/>
    <w:rsid w:val="00192E48"/>
    <w:rsid w:val="001B185C"/>
    <w:rsid w:val="001D60D1"/>
    <w:rsid w:val="001D741B"/>
    <w:rsid w:val="002649F9"/>
    <w:rsid w:val="00285CE9"/>
    <w:rsid w:val="002B2AB5"/>
    <w:rsid w:val="002D07A1"/>
    <w:rsid w:val="0030184D"/>
    <w:rsid w:val="00354711"/>
    <w:rsid w:val="00362CD2"/>
    <w:rsid w:val="00367095"/>
    <w:rsid w:val="00371B7F"/>
    <w:rsid w:val="003A1840"/>
    <w:rsid w:val="003F2C2D"/>
    <w:rsid w:val="00403FD1"/>
    <w:rsid w:val="00414FBB"/>
    <w:rsid w:val="00426207"/>
    <w:rsid w:val="00431C4F"/>
    <w:rsid w:val="0044088D"/>
    <w:rsid w:val="00442077"/>
    <w:rsid w:val="00444F06"/>
    <w:rsid w:val="00450991"/>
    <w:rsid w:val="004613F0"/>
    <w:rsid w:val="00467035"/>
    <w:rsid w:val="0048546F"/>
    <w:rsid w:val="00492D0D"/>
    <w:rsid w:val="004C1F54"/>
    <w:rsid w:val="004C22A0"/>
    <w:rsid w:val="004F253A"/>
    <w:rsid w:val="004F6FB2"/>
    <w:rsid w:val="0050745E"/>
    <w:rsid w:val="0053127E"/>
    <w:rsid w:val="005535C3"/>
    <w:rsid w:val="005564A7"/>
    <w:rsid w:val="00573419"/>
    <w:rsid w:val="005B0C4B"/>
    <w:rsid w:val="005B12F1"/>
    <w:rsid w:val="005C0B01"/>
    <w:rsid w:val="005D1E57"/>
    <w:rsid w:val="005D3953"/>
    <w:rsid w:val="005E58E9"/>
    <w:rsid w:val="00650866"/>
    <w:rsid w:val="0065380D"/>
    <w:rsid w:val="00664CB5"/>
    <w:rsid w:val="0066583E"/>
    <w:rsid w:val="00676B8B"/>
    <w:rsid w:val="0068210E"/>
    <w:rsid w:val="00682DAA"/>
    <w:rsid w:val="006936C1"/>
    <w:rsid w:val="00694E3E"/>
    <w:rsid w:val="006B0FCA"/>
    <w:rsid w:val="006D58B6"/>
    <w:rsid w:val="006E6C82"/>
    <w:rsid w:val="00711189"/>
    <w:rsid w:val="00714DA0"/>
    <w:rsid w:val="007A473C"/>
    <w:rsid w:val="008556B4"/>
    <w:rsid w:val="0087238D"/>
    <w:rsid w:val="00876899"/>
    <w:rsid w:val="00895DAE"/>
    <w:rsid w:val="008D5C08"/>
    <w:rsid w:val="008E4F6C"/>
    <w:rsid w:val="008F5134"/>
    <w:rsid w:val="009164CF"/>
    <w:rsid w:val="00916936"/>
    <w:rsid w:val="0093671E"/>
    <w:rsid w:val="00966168"/>
    <w:rsid w:val="00966227"/>
    <w:rsid w:val="00996420"/>
    <w:rsid w:val="009E1132"/>
    <w:rsid w:val="009F30C8"/>
    <w:rsid w:val="00A210F2"/>
    <w:rsid w:val="00A30217"/>
    <w:rsid w:val="00A5317D"/>
    <w:rsid w:val="00AA09F9"/>
    <w:rsid w:val="00AC33AE"/>
    <w:rsid w:val="00AD6CA1"/>
    <w:rsid w:val="00B05EB9"/>
    <w:rsid w:val="00B24EDB"/>
    <w:rsid w:val="00B30122"/>
    <w:rsid w:val="00B33842"/>
    <w:rsid w:val="00B5786B"/>
    <w:rsid w:val="00B625C6"/>
    <w:rsid w:val="00B75977"/>
    <w:rsid w:val="00B80552"/>
    <w:rsid w:val="00BA28BF"/>
    <w:rsid w:val="00BA6923"/>
    <w:rsid w:val="00BD2630"/>
    <w:rsid w:val="00BF1B4B"/>
    <w:rsid w:val="00C164DE"/>
    <w:rsid w:val="00C205C1"/>
    <w:rsid w:val="00C32CA6"/>
    <w:rsid w:val="00C56B7B"/>
    <w:rsid w:val="00C646CB"/>
    <w:rsid w:val="00D211A1"/>
    <w:rsid w:val="00D43A65"/>
    <w:rsid w:val="00D733E9"/>
    <w:rsid w:val="00D83FEB"/>
    <w:rsid w:val="00DD0716"/>
    <w:rsid w:val="00DD2A9C"/>
    <w:rsid w:val="00E72057"/>
    <w:rsid w:val="00E74EF9"/>
    <w:rsid w:val="00EA0D87"/>
    <w:rsid w:val="00EE4029"/>
    <w:rsid w:val="00F72583"/>
    <w:rsid w:val="00F87C45"/>
    <w:rsid w:val="00F92F54"/>
    <w:rsid w:val="00FE1B6E"/>
    <w:rsid w:val="00FF0587"/>
    <w:rsid w:val="00FF4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CA"/>
    <w:rPr>
      <w:sz w:val="21"/>
      <w:szCs w:val="21"/>
      <w:lang w:val="en-GB"/>
    </w:rPr>
  </w:style>
  <w:style w:type="paragraph" w:styleId="Heading1">
    <w:name w:val="heading 1"/>
    <w:basedOn w:val="Normal"/>
    <w:next w:val="Num-DocParagraph"/>
    <w:qFormat/>
    <w:rsid w:val="006B0FCA"/>
    <w:pPr>
      <w:keepNext/>
      <w:spacing w:before="1200" w:after="720"/>
      <w:jc w:val="center"/>
      <w:outlineLvl w:val="0"/>
    </w:pPr>
    <w:rPr>
      <w:b/>
      <w:bCs/>
      <w:kern w:val="28"/>
      <w:sz w:val="28"/>
      <w:szCs w:val="24"/>
    </w:rPr>
  </w:style>
  <w:style w:type="paragraph" w:styleId="Heading2">
    <w:name w:val="heading 2"/>
    <w:basedOn w:val="Normal"/>
    <w:next w:val="Num-DocParagraph"/>
    <w:link w:val="Heading2Char"/>
    <w:qFormat/>
    <w:rsid w:val="000E7B73"/>
    <w:pPr>
      <w:keepNext/>
      <w:tabs>
        <w:tab w:val="left" w:pos="284"/>
      </w:tabs>
      <w:spacing w:before="240" w:after="240"/>
      <w:ind w:right="510"/>
      <w:outlineLvl w:val="1"/>
    </w:pPr>
    <w:rPr>
      <w:b/>
      <w:bCs/>
      <w:sz w:val="23"/>
      <w:szCs w:val="23"/>
    </w:rPr>
  </w:style>
  <w:style w:type="paragraph" w:styleId="Heading3">
    <w:name w:val="heading 3"/>
    <w:basedOn w:val="Normal"/>
    <w:next w:val="Num-DocParagraph"/>
    <w:link w:val="Heading3Char"/>
    <w:qFormat/>
    <w:rsid w:val="005E58E9"/>
    <w:pPr>
      <w:keepNext/>
      <w:spacing w:before="240" w:after="120"/>
      <w:ind w:left="510" w:right="510"/>
      <w:outlineLvl w:val="2"/>
    </w:pPr>
    <w:rPr>
      <w:b/>
      <w:bCs/>
      <w:i/>
      <w:iCs/>
      <w:sz w:val="23"/>
      <w:szCs w:val="23"/>
    </w:rPr>
  </w:style>
  <w:style w:type="paragraph" w:styleId="Heading4">
    <w:name w:val="heading 4"/>
    <w:basedOn w:val="Normal"/>
    <w:next w:val="Num-DocParagraph"/>
    <w:link w:val="Heading4Char"/>
    <w:qFormat/>
    <w:rsid w:val="006B0FCA"/>
    <w:pPr>
      <w:keepNext/>
      <w:spacing w:before="240" w:after="120"/>
      <w:ind w:left="510" w:right="510"/>
      <w:outlineLvl w:val="3"/>
    </w:pPr>
    <w:rPr>
      <w:i/>
      <w:iCs/>
      <w:sz w:val="23"/>
      <w:szCs w:val="23"/>
    </w:rPr>
  </w:style>
  <w:style w:type="paragraph" w:styleId="Heading5">
    <w:name w:val="heading 5"/>
    <w:basedOn w:val="Normal"/>
    <w:next w:val="Num-DocParagraph"/>
    <w:qFormat/>
    <w:rsid w:val="006B0FCA"/>
    <w:pPr>
      <w:keepNext/>
      <w:spacing w:before="240" w:after="120"/>
      <w:ind w:left="510" w:right="510"/>
      <w:outlineLvl w:val="4"/>
    </w:pPr>
    <w:rPr>
      <w:sz w:val="23"/>
      <w:szCs w:val="23"/>
    </w:rPr>
  </w:style>
  <w:style w:type="paragraph" w:styleId="Heading6">
    <w:name w:val="heading 6"/>
    <w:basedOn w:val="Normal"/>
    <w:next w:val="Normal"/>
    <w:link w:val="Heading6Char"/>
    <w:qFormat/>
    <w:rsid w:val="008D5C08"/>
    <w:pPr>
      <w:tabs>
        <w:tab w:val="left" w:pos="850"/>
        <w:tab w:val="left" w:pos="1191"/>
        <w:tab w:val="left" w:pos="1531"/>
      </w:tabs>
      <w:spacing w:before="240" w:after="60"/>
      <w:jc w:val="both"/>
      <w:outlineLvl w:val="5"/>
    </w:pPr>
    <w:rPr>
      <w:b/>
      <w:bCs/>
      <w:sz w:val="22"/>
      <w:szCs w:val="22"/>
      <w:lang w:eastAsia="zh-CN"/>
    </w:rPr>
  </w:style>
  <w:style w:type="paragraph" w:styleId="Heading7">
    <w:name w:val="heading 7"/>
    <w:basedOn w:val="Normal"/>
    <w:next w:val="Normal"/>
    <w:link w:val="Heading7Char"/>
    <w:qFormat/>
    <w:rsid w:val="008D5C08"/>
    <w:pPr>
      <w:tabs>
        <w:tab w:val="left" w:pos="850"/>
        <w:tab w:val="left" w:pos="1191"/>
        <w:tab w:val="left" w:pos="1531"/>
      </w:tabs>
      <w:spacing w:before="240" w:after="60"/>
      <w:jc w:val="both"/>
      <w:outlineLvl w:val="6"/>
    </w:pPr>
    <w:rPr>
      <w:sz w:val="24"/>
      <w:szCs w:val="24"/>
      <w:lang w:eastAsia="zh-CN"/>
    </w:rPr>
  </w:style>
  <w:style w:type="paragraph" w:styleId="Heading8">
    <w:name w:val="heading 8"/>
    <w:basedOn w:val="Normal"/>
    <w:next w:val="Normal"/>
    <w:link w:val="Heading8Char"/>
    <w:qFormat/>
    <w:rsid w:val="008D5C08"/>
    <w:pPr>
      <w:tabs>
        <w:tab w:val="left" w:pos="850"/>
        <w:tab w:val="left" w:pos="1191"/>
        <w:tab w:val="left" w:pos="1531"/>
      </w:tabs>
      <w:spacing w:before="240" w:after="60"/>
      <w:jc w:val="both"/>
      <w:outlineLvl w:val="7"/>
    </w:pPr>
    <w:rPr>
      <w:i/>
      <w:iCs/>
      <w:sz w:val="24"/>
      <w:szCs w:val="24"/>
      <w:lang w:eastAsia="zh-CN"/>
    </w:rPr>
  </w:style>
  <w:style w:type="paragraph" w:styleId="Heading9">
    <w:name w:val="heading 9"/>
    <w:basedOn w:val="Normal"/>
    <w:next w:val="Normal"/>
    <w:link w:val="Heading9Char"/>
    <w:qFormat/>
    <w:rsid w:val="008D5C08"/>
    <w:pPr>
      <w:tabs>
        <w:tab w:val="left" w:pos="850"/>
        <w:tab w:val="left" w:pos="1191"/>
        <w:tab w:val="left" w:pos="1531"/>
      </w:tabs>
      <w:spacing w:before="240" w:after="60"/>
      <w:jc w:val="both"/>
      <w:outlineLvl w:val="8"/>
    </w:pPr>
    <w:rPr>
      <w:rFonts w:ascii="Arial"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sHeading">
    <w:name w:val="Columns Heading"/>
    <w:basedOn w:val="Normal"/>
    <w:rsid w:val="006B0FCA"/>
    <w:rPr>
      <w:rFonts w:ascii="Arial Narrow" w:hAnsi="Arial Narrow"/>
      <w:sz w:val="17"/>
      <w:szCs w:val="17"/>
    </w:rPr>
  </w:style>
  <w:style w:type="paragraph" w:customStyle="1" w:styleId="Table">
    <w:name w:val="Table"/>
    <w:basedOn w:val="Normal"/>
    <w:rsid w:val="00AC33AE"/>
    <w:pPr>
      <w:tabs>
        <w:tab w:val="left" w:pos="850"/>
        <w:tab w:val="left" w:pos="1191"/>
        <w:tab w:val="left" w:pos="1531"/>
      </w:tabs>
      <w:spacing w:after="240"/>
      <w:jc w:val="center"/>
    </w:pPr>
  </w:style>
  <w:style w:type="paragraph" w:customStyle="1" w:styleId="TableNote">
    <w:name w:val="Table Note"/>
    <w:basedOn w:val="Normal"/>
    <w:rsid w:val="00EE4029"/>
    <w:pPr>
      <w:tabs>
        <w:tab w:val="left" w:pos="850"/>
        <w:tab w:val="left" w:pos="1191"/>
        <w:tab w:val="left" w:pos="1531"/>
      </w:tabs>
      <w:spacing w:before="60" w:after="120"/>
      <w:jc w:val="both"/>
    </w:pPr>
    <w:rPr>
      <w:sz w:val="18"/>
      <w:szCs w:val="18"/>
    </w:rPr>
  </w:style>
  <w:style w:type="paragraph" w:customStyle="1" w:styleId="TableSub-title">
    <w:name w:val="Table Sub-title"/>
    <w:basedOn w:val="Normal"/>
    <w:rsid w:val="00B05EB9"/>
    <w:pPr>
      <w:keepNext/>
      <w:tabs>
        <w:tab w:val="left" w:pos="850"/>
        <w:tab w:val="left" w:pos="1191"/>
        <w:tab w:val="left" w:pos="1531"/>
      </w:tabs>
      <w:spacing w:after="120"/>
      <w:jc w:val="center"/>
    </w:pPr>
    <w:rPr>
      <w:sz w:val="18"/>
      <w:szCs w:val="18"/>
    </w:rPr>
  </w:style>
  <w:style w:type="paragraph" w:customStyle="1" w:styleId="TableTitle">
    <w:name w:val="Table Title"/>
    <w:basedOn w:val="Normal"/>
    <w:rsid w:val="005E58E9"/>
    <w:pPr>
      <w:keepNext/>
      <w:tabs>
        <w:tab w:val="left" w:pos="850"/>
        <w:tab w:val="left" w:pos="1191"/>
        <w:tab w:val="left" w:pos="1531"/>
      </w:tabs>
      <w:spacing w:before="240" w:after="240"/>
      <w:jc w:val="center"/>
    </w:pPr>
    <w:rPr>
      <w:b/>
      <w:sz w:val="20"/>
      <w:szCs w:val="20"/>
    </w:rPr>
  </w:style>
  <w:style w:type="paragraph" w:customStyle="1" w:styleId="SourceDescription">
    <w:name w:val="Source Description"/>
    <w:basedOn w:val="Normal"/>
    <w:rsid w:val="00EE4029"/>
    <w:pPr>
      <w:tabs>
        <w:tab w:val="left" w:pos="850"/>
        <w:tab w:val="left" w:pos="1191"/>
        <w:tab w:val="left" w:pos="1531"/>
      </w:tabs>
      <w:spacing w:before="60" w:after="360"/>
      <w:jc w:val="both"/>
    </w:pPr>
    <w:rPr>
      <w:sz w:val="18"/>
      <w:szCs w:val="18"/>
    </w:rPr>
  </w:style>
  <w:style w:type="paragraph" w:customStyle="1" w:styleId="RowsHeading">
    <w:name w:val="Rows Heading"/>
    <w:basedOn w:val="Normal"/>
    <w:rsid w:val="00B80552"/>
    <w:rPr>
      <w:rFonts w:ascii="Arial Narrow" w:hAnsi="Arial Narrow"/>
      <w:sz w:val="17"/>
      <w:szCs w:val="17"/>
    </w:rPr>
  </w:style>
  <w:style w:type="paragraph" w:customStyle="1" w:styleId="Cell">
    <w:name w:val="Cell"/>
    <w:basedOn w:val="Normal"/>
    <w:rsid w:val="006B0FCA"/>
    <w:rPr>
      <w:rFonts w:ascii="Arial Narrow" w:hAnsi="Arial Narrow"/>
      <w:sz w:val="17"/>
      <w:szCs w:val="17"/>
    </w:rPr>
  </w:style>
  <w:style w:type="paragraph" w:styleId="Caption">
    <w:name w:val="caption"/>
    <w:basedOn w:val="Normal"/>
    <w:next w:val="Normal"/>
    <w:qFormat/>
    <w:rsid w:val="00AC33AE"/>
    <w:pPr>
      <w:spacing w:before="120" w:after="120"/>
    </w:pPr>
    <w:rPr>
      <w:b/>
    </w:rPr>
  </w:style>
  <w:style w:type="paragraph" w:customStyle="1" w:styleId="AnnexHeading">
    <w:name w:val="Annex Heading"/>
    <w:basedOn w:val="Normal"/>
    <w:next w:val="BodyText"/>
    <w:rsid w:val="006B0FCA"/>
    <w:pPr>
      <w:keepNext/>
      <w:spacing w:before="1200" w:after="720"/>
      <w:jc w:val="center"/>
    </w:pPr>
    <w:rPr>
      <w:b/>
      <w:bCs/>
      <w:sz w:val="28"/>
      <w:szCs w:val="28"/>
    </w:rPr>
  </w:style>
  <w:style w:type="paragraph" w:styleId="BodyText">
    <w:name w:val="Body Text"/>
    <w:basedOn w:val="Normal"/>
    <w:link w:val="BodyTextChar"/>
    <w:rsid w:val="006B0FCA"/>
    <w:pPr>
      <w:tabs>
        <w:tab w:val="left" w:pos="1361"/>
        <w:tab w:val="left" w:pos="1701"/>
        <w:tab w:val="left" w:pos="2041"/>
      </w:tabs>
      <w:spacing w:after="120"/>
      <w:ind w:left="510" w:right="510" w:firstLine="340"/>
      <w:jc w:val="both"/>
    </w:pPr>
    <w:rPr>
      <w:lang w:val="en-US"/>
    </w:rPr>
  </w:style>
  <w:style w:type="paragraph" w:customStyle="1" w:styleId="Annotation">
    <w:name w:val="Annotation"/>
    <w:basedOn w:val="BodyText"/>
    <w:rsid w:val="006B0FCA"/>
    <w:pPr>
      <w:ind w:firstLine="0"/>
      <w:jc w:val="left"/>
    </w:pPr>
    <w:rPr>
      <w:b/>
      <w:bCs/>
      <w:i/>
      <w:iCs/>
    </w:rPr>
  </w:style>
  <w:style w:type="paragraph" w:customStyle="1" w:styleId="AppendixHeading">
    <w:name w:val="Appendix Heading"/>
    <w:basedOn w:val="Normal"/>
    <w:next w:val="BodyText"/>
    <w:rsid w:val="00492D0D"/>
    <w:pPr>
      <w:keepNext/>
      <w:spacing w:before="1200" w:after="720"/>
      <w:jc w:val="center"/>
    </w:pPr>
    <w:rPr>
      <w:b/>
      <w:bCs/>
      <w:sz w:val="28"/>
      <w:szCs w:val="28"/>
    </w:rPr>
  </w:style>
  <w:style w:type="paragraph" w:customStyle="1" w:styleId="Biblio-Entry">
    <w:name w:val="Biblio-Entry"/>
    <w:basedOn w:val="BodyText"/>
    <w:rsid w:val="006B0FCA"/>
    <w:pPr>
      <w:ind w:left="794" w:hanging="284"/>
    </w:pPr>
  </w:style>
  <w:style w:type="paragraph" w:customStyle="1" w:styleId="BibliographyHeading">
    <w:name w:val="Bibliography Heading"/>
    <w:basedOn w:val="Normal"/>
    <w:next w:val="Biblio-Entry"/>
    <w:rsid w:val="00492D0D"/>
    <w:pPr>
      <w:keepNext/>
      <w:spacing w:before="1200" w:after="720"/>
      <w:jc w:val="center"/>
    </w:pPr>
    <w:rPr>
      <w:bCs/>
      <w:i/>
      <w:sz w:val="32"/>
      <w:szCs w:val="32"/>
      <w:lang w:val="en-US"/>
    </w:rPr>
  </w:style>
  <w:style w:type="paragraph" w:customStyle="1" w:styleId="BoxHeading">
    <w:name w:val="Box Heading"/>
    <w:basedOn w:val="Normal"/>
    <w:next w:val="BoxBodyText"/>
    <w:rsid w:val="006B0FCA"/>
    <w:pPr>
      <w:spacing w:before="240" w:after="240"/>
      <w:jc w:val="center"/>
    </w:pPr>
    <w:rPr>
      <w:rFonts w:cs="Arial"/>
      <w:b/>
      <w:bCs/>
    </w:rPr>
  </w:style>
  <w:style w:type="paragraph" w:customStyle="1" w:styleId="ConclusionHeading">
    <w:name w:val="Conclusion Heading"/>
    <w:basedOn w:val="Normal"/>
    <w:next w:val="BodyText"/>
    <w:rsid w:val="00492D0D"/>
    <w:pPr>
      <w:keepNext/>
      <w:spacing w:before="1200" w:after="720"/>
      <w:jc w:val="center"/>
    </w:pPr>
    <w:rPr>
      <w:b/>
      <w:bCs/>
      <w:sz w:val="28"/>
      <w:szCs w:val="28"/>
    </w:rPr>
  </w:style>
  <w:style w:type="paragraph" w:styleId="EndnoteText">
    <w:name w:val="endnote text"/>
    <w:basedOn w:val="Normal"/>
    <w:semiHidden/>
    <w:rsid w:val="006B0FCA"/>
    <w:pPr>
      <w:spacing w:after="120"/>
      <w:ind w:left="1020" w:right="510" w:hanging="510"/>
      <w:jc w:val="both"/>
    </w:pPr>
    <w:rPr>
      <w:sz w:val="20"/>
      <w:szCs w:val="20"/>
    </w:rPr>
  </w:style>
  <w:style w:type="paragraph" w:customStyle="1" w:styleId="EndnotesHeading">
    <w:name w:val="Endnotes Heading"/>
    <w:basedOn w:val="Normal"/>
    <w:next w:val="BodyText"/>
    <w:rsid w:val="006B0FCA"/>
    <w:pPr>
      <w:keepNext/>
      <w:spacing w:before="1200" w:after="480"/>
      <w:jc w:val="center"/>
    </w:pPr>
    <w:rPr>
      <w:b/>
      <w:bCs/>
      <w:sz w:val="28"/>
      <w:szCs w:val="28"/>
    </w:rPr>
  </w:style>
  <w:style w:type="paragraph" w:customStyle="1" w:styleId="ExecutiveSummaryHeading">
    <w:name w:val="Executive Summary Heading"/>
    <w:basedOn w:val="Normal"/>
    <w:next w:val="BodyText"/>
    <w:rsid w:val="006B0FCA"/>
    <w:pPr>
      <w:keepNext/>
      <w:spacing w:before="1200" w:after="720"/>
      <w:jc w:val="center"/>
    </w:pPr>
    <w:rPr>
      <w:b/>
      <w:bCs/>
      <w:sz w:val="32"/>
      <w:szCs w:val="32"/>
    </w:rPr>
  </w:style>
  <w:style w:type="paragraph" w:customStyle="1" w:styleId="FigureNote">
    <w:name w:val="Figure Note"/>
    <w:basedOn w:val="Normal"/>
    <w:rsid w:val="00EE4029"/>
    <w:pPr>
      <w:spacing w:before="60" w:after="120"/>
      <w:jc w:val="both"/>
    </w:pPr>
    <w:rPr>
      <w:rFonts w:cs="Arial"/>
      <w:sz w:val="18"/>
      <w:szCs w:val="18"/>
    </w:rPr>
  </w:style>
  <w:style w:type="paragraph" w:customStyle="1" w:styleId="FigureSub-title">
    <w:name w:val="Figure Sub-title"/>
    <w:basedOn w:val="Normal"/>
    <w:rsid w:val="006B0FCA"/>
    <w:pPr>
      <w:keepNext/>
      <w:spacing w:after="120"/>
      <w:jc w:val="center"/>
    </w:pPr>
    <w:rPr>
      <w:rFonts w:cs="Arial"/>
      <w:sz w:val="18"/>
      <w:szCs w:val="18"/>
    </w:rPr>
  </w:style>
  <w:style w:type="paragraph" w:customStyle="1" w:styleId="FigureTitle">
    <w:name w:val="Figure Title"/>
    <w:basedOn w:val="Normal"/>
    <w:next w:val="FigureSub-title"/>
    <w:rsid w:val="006B0FCA"/>
    <w:pPr>
      <w:keepNext/>
      <w:spacing w:before="240" w:after="120"/>
      <w:jc w:val="center"/>
    </w:pPr>
    <w:rPr>
      <w:rFonts w:cs="Arial"/>
      <w:b/>
      <w:bCs/>
      <w:sz w:val="20"/>
      <w:szCs w:val="20"/>
    </w:rPr>
  </w:style>
  <w:style w:type="paragraph" w:customStyle="1" w:styleId="ForewordHeading">
    <w:name w:val="Foreword Heading"/>
    <w:basedOn w:val="Normal"/>
    <w:next w:val="BodyText"/>
    <w:link w:val="ForewordHeadingChar"/>
    <w:rsid w:val="00492D0D"/>
    <w:pPr>
      <w:keepNext/>
      <w:spacing w:before="1200" w:after="720"/>
      <w:jc w:val="center"/>
    </w:pPr>
    <w:rPr>
      <w:bCs/>
      <w:i/>
      <w:sz w:val="32"/>
      <w:szCs w:val="32"/>
    </w:rPr>
  </w:style>
  <w:style w:type="paragraph" w:customStyle="1" w:styleId="GlossaryHeading">
    <w:name w:val="Glossary Heading"/>
    <w:basedOn w:val="Normal"/>
    <w:next w:val="BodyText"/>
    <w:rsid w:val="006B0FCA"/>
    <w:pPr>
      <w:keepNext/>
      <w:spacing w:before="1200" w:after="720"/>
      <w:jc w:val="center"/>
    </w:pPr>
    <w:rPr>
      <w:bCs/>
      <w:i/>
      <w:sz w:val="32"/>
      <w:szCs w:val="32"/>
    </w:rPr>
  </w:style>
  <w:style w:type="paragraph" w:customStyle="1" w:styleId="Graphic">
    <w:name w:val="Graphic"/>
    <w:basedOn w:val="Normal"/>
    <w:next w:val="BodyText"/>
    <w:rsid w:val="006B0FCA"/>
    <w:pPr>
      <w:spacing w:after="240"/>
      <w:jc w:val="center"/>
    </w:pPr>
  </w:style>
  <w:style w:type="paragraph" w:customStyle="1" w:styleId="HiddenText">
    <w:name w:val="Hidden Text"/>
    <w:basedOn w:val="BodyText"/>
    <w:rsid w:val="00492D0D"/>
    <w:pPr>
      <w:keepNext/>
      <w:spacing w:after="0"/>
      <w:ind w:left="1021" w:right="0" w:firstLine="0"/>
    </w:pPr>
    <w:rPr>
      <w:sz w:val="2"/>
      <w:szCs w:val="2"/>
    </w:rPr>
  </w:style>
  <w:style w:type="paragraph" w:customStyle="1" w:styleId="Highlight">
    <w:name w:val="Highlight"/>
    <w:basedOn w:val="BodyText"/>
    <w:rsid w:val="006B0FCA"/>
    <w:pPr>
      <w:ind w:firstLine="0"/>
    </w:pPr>
    <w:rPr>
      <w:i/>
      <w:iCs/>
    </w:rPr>
  </w:style>
  <w:style w:type="paragraph" w:styleId="Index1">
    <w:name w:val="index 1"/>
    <w:basedOn w:val="Normal"/>
    <w:next w:val="Normal"/>
    <w:autoRedefine/>
    <w:semiHidden/>
    <w:rsid w:val="00492D0D"/>
    <w:pPr>
      <w:ind w:left="220" w:hanging="220"/>
    </w:pPr>
  </w:style>
  <w:style w:type="paragraph" w:styleId="IndexHeading">
    <w:name w:val="index heading"/>
    <w:basedOn w:val="Normal"/>
    <w:next w:val="BodyText"/>
    <w:semiHidden/>
    <w:rsid w:val="00492D0D"/>
    <w:pPr>
      <w:keepNext/>
      <w:spacing w:before="1200" w:after="720"/>
      <w:jc w:val="center"/>
    </w:pPr>
    <w:rPr>
      <w:b/>
      <w:bCs/>
      <w:sz w:val="28"/>
      <w:szCs w:val="28"/>
    </w:rPr>
  </w:style>
  <w:style w:type="paragraph" w:customStyle="1" w:styleId="IntroductionHeading">
    <w:name w:val="Introduction Heading"/>
    <w:basedOn w:val="Normal"/>
    <w:next w:val="BodyText"/>
    <w:rsid w:val="00492D0D"/>
    <w:pPr>
      <w:keepNext/>
      <w:spacing w:before="1200" w:after="720"/>
      <w:jc w:val="center"/>
    </w:pPr>
    <w:rPr>
      <w:bCs/>
      <w:i/>
      <w:sz w:val="32"/>
      <w:szCs w:val="32"/>
    </w:rPr>
  </w:style>
  <w:style w:type="paragraph" w:styleId="List">
    <w:name w:val="List"/>
    <w:basedOn w:val="Normal"/>
    <w:rsid w:val="00B80552"/>
    <w:pPr>
      <w:spacing w:after="120"/>
      <w:ind w:left="1191" w:right="510" w:hanging="340"/>
      <w:jc w:val="both"/>
    </w:pPr>
  </w:style>
  <w:style w:type="paragraph" w:styleId="List2">
    <w:name w:val="List 2"/>
    <w:basedOn w:val="Normal"/>
    <w:rsid w:val="00B80552"/>
    <w:pPr>
      <w:spacing w:after="120"/>
      <w:ind w:left="1531" w:right="510" w:hanging="340"/>
      <w:jc w:val="both"/>
    </w:pPr>
  </w:style>
  <w:style w:type="paragraph" w:styleId="List3">
    <w:name w:val="List 3"/>
    <w:basedOn w:val="Normal"/>
    <w:rsid w:val="00B80552"/>
    <w:pPr>
      <w:tabs>
        <w:tab w:val="left" w:pos="2041"/>
      </w:tabs>
      <w:spacing w:after="120"/>
      <w:ind w:left="1871" w:right="510" w:hanging="340"/>
      <w:jc w:val="both"/>
    </w:pPr>
  </w:style>
  <w:style w:type="paragraph" w:styleId="List4">
    <w:name w:val="List 4"/>
    <w:basedOn w:val="Normal"/>
    <w:rsid w:val="00B80552"/>
    <w:pPr>
      <w:spacing w:after="120"/>
      <w:ind w:left="2211" w:right="510" w:hanging="340"/>
      <w:jc w:val="both"/>
    </w:pPr>
  </w:style>
  <w:style w:type="paragraph" w:styleId="List5">
    <w:name w:val="List 5"/>
    <w:basedOn w:val="Normal"/>
    <w:rsid w:val="00B80552"/>
    <w:pPr>
      <w:spacing w:after="120"/>
      <w:ind w:left="2551" w:right="510" w:hanging="340"/>
      <w:jc w:val="both"/>
    </w:pPr>
  </w:style>
  <w:style w:type="paragraph" w:styleId="ListBullet">
    <w:name w:val="List Bullet"/>
    <w:basedOn w:val="Normal"/>
    <w:rsid w:val="00B80552"/>
    <w:pPr>
      <w:numPr>
        <w:numId w:val="1"/>
      </w:numPr>
      <w:tabs>
        <w:tab w:val="left" w:pos="1191"/>
      </w:tabs>
      <w:spacing w:after="120"/>
      <w:ind w:right="510"/>
      <w:jc w:val="both"/>
    </w:pPr>
  </w:style>
  <w:style w:type="paragraph" w:styleId="ListBullet2">
    <w:name w:val="List Bullet 2"/>
    <w:basedOn w:val="Normal"/>
    <w:rsid w:val="00B80552"/>
    <w:pPr>
      <w:numPr>
        <w:numId w:val="2"/>
      </w:numPr>
      <w:tabs>
        <w:tab w:val="clear" w:pos="1190"/>
        <w:tab w:val="left" w:pos="1531"/>
      </w:tabs>
      <w:spacing w:after="120"/>
      <w:ind w:left="1531" w:right="510"/>
      <w:jc w:val="both"/>
    </w:pPr>
  </w:style>
  <w:style w:type="paragraph" w:styleId="ListBullet3">
    <w:name w:val="List Bullet 3"/>
    <w:basedOn w:val="Normal"/>
    <w:rsid w:val="00B80552"/>
    <w:pPr>
      <w:numPr>
        <w:numId w:val="3"/>
      </w:numPr>
      <w:tabs>
        <w:tab w:val="clear" w:pos="1474"/>
        <w:tab w:val="left" w:pos="1871"/>
      </w:tabs>
      <w:spacing w:after="120"/>
      <w:ind w:left="1871" w:right="510"/>
      <w:jc w:val="both"/>
    </w:pPr>
  </w:style>
  <w:style w:type="paragraph" w:styleId="ListBullet4">
    <w:name w:val="List Bullet 4"/>
    <w:basedOn w:val="Normal"/>
    <w:rsid w:val="00B80552"/>
    <w:pPr>
      <w:numPr>
        <w:numId w:val="4"/>
      </w:numPr>
      <w:tabs>
        <w:tab w:val="clear" w:pos="1757"/>
        <w:tab w:val="left" w:pos="2211"/>
      </w:tabs>
      <w:spacing w:after="120"/>
      <w:ind w:left="2211" w:right="510"/>
      <w:jc w:val="both"/>
    </w:pPr>
  </w:style>
  <w:style w:type="paragraph" w:styleId="ListBullet5">
    <w:name w:val="List Bullet 5"/>
    <w:basedOn w:val="Normal"/>
    <w:rsid w:val="00B80552"/>
    <w:pPr>
      <w:numPr>
        <w:numId w:val="5"/>
      </w:numPr>
      <w:tabs>
        <w:tab w:val="clear" w:pos="2041"/>
        <w:tab w:val="left" w:pos="2552"/>
      </w:tabs>
      <w:spacing w:after="120"/>
      <w:ind w:left="2551" w:right="510"/>
      <w:jc w:val="both"/>
    </w:pPr>
  </w:style>
  <w:style w:type="paragraph" w:styleId="ListContinue">
    <w:name w:val="List Continue"/>
    <w:basedOn w:val="Normal"/>
    <w:rsid w:val="005D3953"/>
    <w:pPr>
      <w:spacing w:after="120"/>
      <w:ind w:left="851" w:right="510"/>
      <w:jc w:val="both"/>
    </w:pPr>
  </w:style>
  <w:style w:type="paragraph" w:styleId="ListContinue2">
    <w:name w:val="List Continue 2"/>
    <w:basedOn w:val="Normal"/>
    <w:link w:val="ListContinue2Char"/>
    <w:rsid w:val="005D3953"/>
    <w:pPr>
      <w:spacing w:after="120"/>
      <w:ind w:left="1191" w:right="510"/>
      <w:jc w:val="both"/>
    </w:pPr>
  </w:style>
  <w:style w:type="paragraph" w:styleId="ListContinue3">
    <w:name w:val="List Continue 3"/>
    <w:basedOn w:val="Normal"/>
    <w:rsid w:val="005D3953"/>
    <w:pPr>
      <w:spacing w:after="120"/>
      <w:ind w:left="1531" w:right="510"/>
      <w:jc w:val="both"/>
    </w:pPr>
  </w:style>
  <w:style w:type="paragraph" w:styleId="ListContinue4">
    <w:name w:val="List Continue 4"/>
    <w:basedOn w:val="Normal"/>
    <w:rsid w:val="005D3953"/>
    <w:pPr>
      <w:spacing w:after="120"/>
      <w:ind w:left="1871" w:right="510"/>
      <w:jc w:val="both"/>
    </w:pPr>
  </w:style>
  <w:style w:type="paragraph" w:styleId="ListContinue5">
    <w:name w:val="List Continue 5"/>
    <w:basedOn w:val="Normal"/>
    <w:rsid w:val="00B80552"/>
    <w:pPr>
      <w:spacing w:after="120"/>
      <w:ind w:left="2211" w:right="510"/>
      <w:jc w:val="both"/>
    </w:pPr>
  </w:style>
  <w:style w:type="paragraph" w:styleId="ListNumber">
    <w:name w:val="List Number"/>
    <w:basedOn w:val="Normal"/>
    <w:rsid w:val="00B80552"/>
    <w:pPr>
      <w:numPr>
        <w:numId w:val="6"/>
      </w:numPr>
      <w:tabs>
        <w:tab w:val="clear" w:pos="850"/>
        <w:tab w:val="left" w:pos="1191"/>
      </w:tabs>
      <w:spacing w:after="120"/>
      <w:ind w:left="1191" w:right="510" w:hanging="340"/>
      <w:jc w:val="both"/>
    </w:pPr>
  </w:style>
  <w:style w:type="paragraph" w:styleId="ListNumber2">
    <w:name w:val="List Number 2"/>
    <w:basedOn w:val="Normal"/>
    <w:rsid w:val="00B80552"/>
    <w:pPr>
      <w:numPr>
        <w:ilvl w:val="1"/>
        <w:numId w:val="6"/>
      </w:numPr>
      <w:tabs>
        <w:tab w:val="clear" w:pos="1191"/>
        <w:tab w:val="left" w:pos="1531"/>
      </w:tabs>
      <w:spacing w:after="120"/>
      <w:ind w:left="1531" w:right="510" w:hanging="340"/>
      <w:jc w:val="both"/>
    </w:pPr>
  </w:style>
  <w:style w:type="paragraph" w:styleId="ListNumber3">
    <w:name w:val="List Number 3"/>
    <w:basedOn w:val="Normal"/>
    <w:rsid w:val="00B80552"/>
    <w:pPr>
      <w:numPr>
        <w:ilvl w:val="2"/>
        <w:numId w:val="6"/>
      </w:numPr>
      <w:tabs>
        <w:tab w:val="clear" w:pos="1474"/>
        <w:tab w:val="left" w:pos="1871"/>
      </w:tabs>
      <w:spacing w:after="120"/>
      <w:ind w:left="1871" w:right="510"/>
      <w:jc w:val="both"/>
    </w:pPr>
  </w:style>
  <w:style w:type="paragraph" w:styleId="ListNumber4">
    <w:name w:val="List Number 4"/>
    <w:basedOn w:val="Normal"/>
    <w:rsid w:val="00B80552"/>
    <w:pPr>
      <w:numPr>
        <w:ilvl w:val="3"/>
        <w:numId w:val="6"/>
      </w:numPr>
      <w:tabs>
        <w:tab w:val="clear" w:pos="1757"/>
        <w:tab w:val="left" w:pos="2211"/>
      </w:tabs>
      <w:spacing w:after="120"/>
      <w:ind w:left="2211" w:right="510"/>
      <w:jc w:val="both"/>
    </w:pPr>
  </w:style>
  <w:style w:type="paragraph" w:styleId="ListNumber5">
    <w:name w:val="List Number 5"/>
    <w:basedOn w:val="Normal"/>
    <w:rsid w:val="00B80552"/>
    <w:pPr>
      <w:numPr>
        <w:ilvl w:val="4"/>
        <w:numId w:val="6"/>
      </w:numPr>
      <w:tabs>
        <w:tab w:val="clear" w:pos="2041"/>
        <w:tab w:val="left" w:pos="2552"/>
      </w:tabs>
      <w:spacing w:after="120"/>
      <w:ind w:left="2551" w:right="510"/>
      <w:jc w:val="both"/>
    </w:pPr>
  </w:style>
  <w:style w:type="paragraph" w:customStyle="1" w:styleId="Num-ChapParagraph">
    <w:name w:val="Num-Chap Paragraph"/>
    <w:basedOn w:val="BodyText"/>
    <w:rsid w:val="006B0FCA"/>
    <w:pPr>
      <w:tabs>
        <w:tab w:val="clear" w:pos="1701"/>
        <w:tab w:val="clear" w:pos="2041"/>
      </w:tabs>
      <w:ind w:firstLine="0"/>
    </w:pPr>
  </w:style>
  <w:style w:type="paragraph" w:customStyle="1" w:styleId="Num-DocParagraph">
    <w:name w:val="Num-Doc Paragraph"/>
    <w:basedOn w:val="BodyText"/>
    <w:rsid w:val="006B0FCA"/>
    <w:pPr>
      <w:ind w:firstLine="0"/>
    </w:pPr>
  </w:style>
  <w:style w:type="paragraph" w:customStyle="1" w:styleId="PartHeading">
    <w:name w:val="Part Heading"/>
    <w:basedOn w:val="Normal"/>
    <w:next w:val="BodyText"/>
    <w:rsid w:val="00492D0D"/>
    <w:pPr>
      <w:keepNext/>
      <w:spacing w:before="1200" w:after="720"/>
      <w:jc w:val="center"/>
    </w:pPr>
    <w:rPr>
      <w:b/>
      <w:bCs/>
      <w:sz w:val="28"/>
      <w:szCs w:val="28"/>
    </w:rPr>
  </w:style>
  <w:style w:type="paragraph" w:customStyle="1" w:styleId="SummaryHeading">
    <w:name w:val="Summary Heading"/>
    <w:basedOn w:val="Normal"/>
    <w:next w:val="BodyText"/>
    <w:rsid w:val="00492D0D"/>
    <w:pPr>
      <w:keepNext/>
      <w:spacing w:before="1200" w:after="720"/>
      <w:jc w:val="center"/>
    </w:pPr>
    <w:rPr>
      <w:b/>
      <w:bCs/>
      <w:sz w:val="28"/>
      <w:szCs w:val="28"/>
    </w:rPr>
  </w:style>
  <w:style w:type="paragraph" w:customStyle="1" w:styleId="TableofContentsHeading">
    <w:name w:val="Table of Contents Heading"/>
    <w:basedOn w:val="Normal"/>
    <w:next w:val="BodyText"/>
    <w:rsid w:val="00492D0D"/>
    <w:pPr>
      <w:keepNext/>
      <w:spacing w:before="1200" w:after="720"/>
      <w:jc w:val="center"/>
    </w:pPr>
    <w:rPr>
      <w:bCs/>
      <w:i/>
      <w:sz w:val="32"/>
      <w:szCs w:val="32"/>
    </w:rPr>
  </w:style>
  <w:style w:type="paragraph" w:styleId="TOC1">
    <w:name w:val="toc 1"/>
    <w:basedOn w:val="Normal"/>
    <w:next w:val="Normal"/>
    <w:uiPriority w:val="39"/>
    <w:qFormat/>
    <w:rsid w:val="00492D0D"/>
    <w:pPr>
      <w:tabs>
        <w:tab w:val="right" w:leader="dot" w:pos="6803"/>
      </w:tabs>
      <w:spacing w:before="120" w:after="120"/>
      <w:jc w:val="both"/>
    </w:pPr>
    <w:rPr>
      <w:b/>
    </w:rPr>
  </w:style>
  <w:style w:type="paragraph" w:styleId="TOC2">
    <w:name w:val="toc 2"/>
    <w:basedOn w:val="Normal"/>
    <w:next w:val="Normal"/>
    <w:uiPriority w:val="39"/>
    <w:qFormat/>
    <w:rsid w:val="00492D0D"/>
    <w:pPr>
      <w:tabs>
        <w:tab w:val="right" w:leader="dot" w:pos="6803"/>
      </w:tabs>
      <w:ind w:left="198"/>
      <w:jc w:val="both"/>
    </w:pPr>
  </w:style>
  <w:style w:type="paragraph" w:styleId="TOC3">
    <w:name w:val="toc 3"/>
    <w:basedOn w:val="Normal"/>
    <w:next w:val="Normal"/>
    <w:uiPriority w:val="39"/>
    <w:qFormat/>
    <w:rsid w:val="00492D0D"/>
    <w:pPr>
      <w:tabs>
        <w:tab w:val="right" w:leader="dot" w:pos="6803"/>
      </w:tabs>
      <w:ind w:left="397"/>
      <w:jc w:val="both"/>
    </w:pPr>
  </w:style>
  <w:style w:type="paragraph" w:styleId="TOC4">
    <w:name w:val="toc 4"/>
    <w:basedOn w:val="Normal"/>
    <w:next w:val="Normal"/>
    <w:qFormat/>
    <w:rsid w:val="00492D0D"/>
    <w:pPr>
      <w:tabs>
        <w:tab w:val="right" w:leader="dot" w:pos="6803"/>
      </w:tabs>
      <w:ind w:left="595"/>
      <w:jc w:val="both"/>
    </w:pPr>
    <w:rPr>
      <w:noProof/>
    </w:rPr>
  </w:style>
  <w:style w:type="paragraph" w:styleId="TOC5">
    <w:name w:val="toc 5"/>
    <w:basedOn w:val="Normal"/>
    <w:next w:val="Normal"/>
    <w:qFormat/>
    <w:rsid w:val="00492D0D"/>
    <w:pPr>
      <w:tabs>
        <w:tab w:val="right" w:leader="dot" w:pos="6803"/>
      </w:tabs>
      <w:ind w:left="794"/>
      <w:jc w:val="both"/>
    </w:pPr>
    <w:rPr>
      <w:noProof/>
    </w:rPr>
  </w:style>
  <w:style w:type="paragraph" w:customStyle="1" w:styleId="Abstract">
    <w:name w:val="Abstract"/>
    <w:basedOn w:val="Normal"/>
    <w:rsid w:val="006B0FCA"/>
    <w:pPr>
      <w:pBdr>
        <w:top w:val="single" w:sz="4" w:space="12" w:color="auto"/>
        <w:left w:val="single" w:sz="4" w:space="12" w:color="auto"/>
        <w:bottom w:val="single" w:sz="4" w:space="12" w:color="auto"/>
        <w:right w:val="single" w:sz="4" w:space="12" w:color="auto"/>
      </w:pBdr>
      <w:tabs>
        <w:tab w:val="left" w:pos="1758"/>
      </w:tabs>
      <w:spacing w:after="120"/>
      <w:ind w:left="510" w:right="510"/>
      <w:jc w:val="both"/>
    </w:pPr>
    <w:rPr>
      <w:i/>
      <w:lang w:val="en-US"/>
    </w:rPr>
  </w:style>
  <w:style w:type="paragraph" w:customStyle="1" w:styleId="Author">
    <w:name w:val="Author"/>
    <w:basedOn w:val="BodyText"/>
    <w:link w:val="AuthorChar"/>
    <w:rsid w:val="006B0FCA"/>
    <w:pPr>
      <w:ind w:firstLine="0"/>
      <w:jc w:val="center"/>
    </w:pPr>
    <w:rPr>
      <w:sz w:val="24"/>
      <w:szCs w:val="24"/>
    </w:rPr>
  </w:style>
  <w:style w:type="paragraph" w:customStyle="1" w:styleId="Citation">
    <w:name w:val="Citation"/>
    <w:basedOn w:val="BodyText"/>
    <w:link w:val="CitationChar"/>
    <w:rsid w:val="00371B7F"/>
    <w:pPr>
      <w:ind w:left="851" w:right="851" w:firstLine="0"/>
      <w:jc w:val="left"/>
    </w:pPr>
    <w:rPr>
      <w:i/>
    </w:rPr>
  </w:style>
  <w:style w:type="paragraph" w:customStyle="1" w:styleId="Chart">
    <w:name w:val="Chart"/>
    <w:basedOn w:val="Normal"/>
    <w:next w:val="BodyText"/>
    <w:rsid w:val="006B0FCA"/>
    <w:pPr>
      <w:spacing w:after="240"/>
      <w:jc w:val="center"/>
    </w:pPr>
    <w:rPr>
      <w:lang w:val="en-US"/>
    </w:rPr>
  </w:style>
  <w:style w:type="paragraph" w:customStyle="1" w:styleId="ChartSub-title">
    <w:name w:val="Chart Sub-title"/>
    <w:basedOn w:val="Normal"/>
    <w:rsid w:val="00492D0D"/>
    <w:pPr>
      <w:keepNext/>
      <w:spacing w:after="120"/>
      <w:jc w:val="center"/>
    </w:pPr>
    <w:rPr>
      <w:rFonts w:cs="Arial"/>
      <w:sz w:val="18"/>
      <w:szCs w:val="18"/>
      <w:lang w:val="en-US"/>
    </w:rPr>
  </w:style>
  <w:style w:type="paragraph" w:customStyle="1" w:styleId="ChartTitle">
    <w:name w:val="Chart Title"/>
    <w:basedOn w:val="Normal"/>
    <w:next w:val="ChartSub-title"/>
    <w:rsid w:val="006B0FCA"/>
    <w:pPr>
      <w:keepNext/>
      <w:spacing w:after="120"/>
      <w:jc w:val="center"/>
    </w:pPr>
    <w:rPr>
      <w:rFonts w:cs="Arial"/>
      <w:b/>
      <w:sz w:val="20"/>
      <w:szCs w:val="20"/>
      <w:lang w:val="en-US"/>
    </w:rPr>
  </w:style>
  <w:style w:type="paragraph" w:customStyle="1" w:styleId="ChartNote">
    <w:name w:val="Chart Note"/>
    <w:basedOn w:val="Normal"/>
    <w:rsid w:val="00EE4029"/>
    <w:pPr>
      <w:spacing w:after="120"/>
      <w:ind w:left="510" w:right="510"/>
      <w:jc w:val="both"/>
    </w:pPr>
    <w:rPr>
      <w:rFonts w:cs="Arial"/>
      <w:sz w:val="18"/>
      <w:szCs w:val="18"/>
      <w:lang w:val="en-US"/>
    </w:rPr>
  </w:style>
  <w:style w:type="paragraph" w:customStyle="1" w:styleId="BoxHeading2">
    <w:name w:val="Box Heading 2"/>
    <w:basedOn w:val="Normal"/>
    <w:next w:val="BoxBodyText"/>
    <w:rsid w:val="006B0FCA"/>
    <w:pPr>
      <w:spacing w:before="240" w:after="120"/>
    </w:pPr>
    <w:rPr>
      <w:rFonts w:cs="Arial"/>
      <w:b/>
      <w:sz w:val="20"/>
      <w:lang w:val="en-US"/>
    </w:rPr>
  </w:style>
  <w:style w:type="paragraph" w:customStyle="1" w:styleId="BoxHeading3">
    <w:name w:val="Box Heading 3"/>
    <w:basedOn w:val="Normal"/>
    <w:next w:val="BoxBodyText"/>
    <w:rsid w:val="006B0FCA"/>
    <w:pPr>
      <w:spacing w:before="120" w:after="120"/>
    </w:pPr>
    <w:rPr>
      <w:rFonts w:cs="Arial"/>
      <w:b/>
      <w:i/>
      <w:sz w:val="20"/>
      <w:szCs w:val="20"/>
      <w:lang w:val="en-US"/>
    </w:rPr>
  </w:style>
  <w:style w:type="paragraph" w:customStyle="1" w:styleId="BoxNote">
    <w:name w:val="Box Note"/>
    <w:basedOn w:val="Normal"/>
    <w:rsid w:val="006B0FCA"/>
    <w:pPr>
      <w:tabs>
        <w:tab w:val="left" w:pos="340"/>
      </w:tabs>
      <w:spacing w:after="120"/>
    </w:pPr>
    <w:rPr>
      <w:rFonts w:cs="Arial"/>
      <w:sz w:val="17"/>
      <w:szCs w:val="17"/>
      <w:lang w:val="en-US"/>
    </w:rPr>
  </w:style>
  <w:style w:type="paragraph" w:customStyle="1" w:styleId="ListBulletBox">
    <w:name w:val="List Bullet Box"/>
    <w:basedOn w:val="Normal"/>
    <w:rsid w:val="00C56B7B"/>
    <w:pPr>
      <w:numPr>
        <w:numId w:val="16"/>
      </w:numPr>
      <w:tabs>
        <w:tab w:val="left" w:pos="510"/>
      </w:tabs>
      <w:spacing w:after="120"/>
      <w:jc w:val="both"/>
    </w:pPr>
    <w:rPr>
      <w:rFonts w:cs="Arial"/>
      <w:sz w:val="19"/>
      <w:szCs w:val="19"/>
      <w:lang w:val="en-US"/>
    </w:rPr>
  </w:style>
  <w:style w:type="paragraph" w:customStyle="1" w:styleId="ListBulletBox2">
    <w:name w:val="List Bullet Box 2"/>
    <w:basedOn w:val="Normal"/>
    <w:rsid w:val="00C56B7B"/>
    <w:pPr>
      <w:numPr>
        <w:numId w:val="8"/>
      </w:numPr>
      <w:tabs>
        <w:tab w:val="clear" w:pos="1191"/>
        <w:tab w:val="left" w:pos="794"/>
      </w:tabs>
      <w:spacing w:after="120"/>
      <w:ind w:left="794" w:hanging="284"/>
      <w:jc w:val="both"/>
    </w:pPr>
    <w:rPr>
      <w:rFonts w:cs="Arial"/>
      <w:sz w:val="19"/>
      <w:szCs w:val="19"/>
      <w:lang w:val="en-US"/>
    </w:rPr>
  </w:style>
  <w:style w:type="paragraph" w:customStyle="1" w:styleId="ListBulletBox3">
    <w:name w:val="List Bullet Box 3"/>
    <w:basedOn w:val="Normal"/>
    <w:rsid w:val="005D3953"/>
    <w:pPr>
      <w:numPr>
        <w:numId w:val="9"/>
      </w:numPr>
      <w:tabs>
        <w:tab w:val="clear" w:pos="1474"/>
        <w:tab w:val="left" w:pos="1077"/>
      </w:tabs>
      <w:spacing w:after="120"/>
      <w:ind w:left="1078" w:hanging="284"/>
      <w:jc w:val="both"/>
    </w:pPr>
    <w:rPr>
      <w:rFonts w:cs="Arial"/>
      <w:sz w:val="19"/>
      <w:szCs w:val="19"/>
      <w:lang w:val="en-US"/>
    </w:rPr>
  </w:style>
  <w:style w:type="paragraph" w:customStyle="1" w:styleId="ListNumberBox">
    <w:name w:val="List Number Box"/>
    <w:basedOn w:val="Normal"/>
    <w:rsid w:val="005D3953"/>
    <w:pPr>
      <w:numPr>
        <w:numId w:val="10"/>
      </w:numPr>
      <w:tabs>
        <w:tab w:val="clear" w:pos="1950"/>
        <w:tab w:val="left" w:pos="510"/>
      </w:tabs>
      <w:spacing w:after="120"/>
      <w:ind w:left="511" w:hanging="284"/>
      <w:jc w:val="both"/>
    </w:pPr>
    <w:rPr>
      <w:rFonts w:cs="Arial"/>
      <w:sz w:val="19"/>
      <w:szCs w:val="19"/>
      <w:lang w:val="en-US"/>
    </w:rPr>
  </w:style>
  <w:style w:type="paragraph" w:customStyle="1" w:styleId="ListNumberBox2">
    <w:name w:val="List Number Box 2"/>
    <w:basedOn w:val="Normal"/>
    <w:rsid w:val="005D3953"/>
    <w:pPr>
      <w:numPr>
        <w:ilvl w:val="1"/>
        <w:numId w:val="10"/>
      </w:numPr>
      <w:tabs>
        <w:tab w:val="clear" w:pos="2291"/>
        <w:tab w:val="left" w:pos="794"/>
      </w:tabs>
      <w:spacing w:after="120"/>
      <w:ind w:left="794" w:hanging="284"/>
      <w:jc w:val="both"/>
    </w:pPr>
    <w:rPr>
      <w:rFonts w:cs="Arial"/>
      <w:sz w:val="19"/>
      <w:szCs w:val="19"/>
      <w:lang w:val="en-US"/>
    </w:rPr>
  </w:style>
  <w:style w:type="paragraph" w:customStyle="1" w:styleId="ListNumberBox3">
    <w:name w:val="List Number Box 3"/>
    <w:basedOn w:val="Normal"/>
    <w:rsid w:val="005D3953"/>
    <w:pPr>
      <w:numPr>
        <w:ilvl w:val="2"/>
        <w:numId w:val="10"/>
      </w:numPr>
      <w:tabs>
        <w:tab w:val="clear" w:pos="2574"/>
        <w:tab w:val="left" w:pos="1077"/>
      </w:tabs>
      <w:spacing w:after="120"/>
      <w:ind w:left="1078" w:hanging="284"/>
      <w:jc w:val="both"/>
    </w:pPr>
    <w:rPr>
      <w:rFonts w:cs="Arial"/>
      <w:sz w:val="19"/>
      <w:szCs w:val="19"/>
      <w:lang w:val="en-US"/>
    </w:rPr>
  </w:style>
  <w:style w:type="paragraph" w:customStyle="1" w:styleId="ListContinueBox">
    <w:name w:val="List Continue Box"/>
    <w:basedOn w:val="Normal"/>
    <w:rsid w:val="005D3953"/>
    <w:pPr>
      <w:spacing w:after="120"/>
      <w:ind w:left="227"/>
      <w:jc w:val="both"/>
    </w:pPr>
    <w:rPr>
      <w:rFonts w:cs="Arial"/>
      <w:sz w:val="19"/>
      <w:szCs w:val="19"/>
      <w:lang w:val="en-US"/>
    </w:rPr>
  </w:style>
  <w:style w:type="paragraph" w:customStyle="1" w:styleId="ListContinueBox2">
    <w:name w:val="List Continue Box 2"/>
    <w:basedOn w:val="Normal"/>
    <w:rsid w:val="005D3953"/>
    <w:pPr>
      <w:spacing w:after="120"/>
      <w:ind w:left="510"/>
      <w:jc w:val="both"/>
    </w:pPr>
    <w:rPr>
      <w:rFonts w:cs="Arial"/>
      <w:sz w:val="19"/>
      <w:szCs w:val="19"/>
      <w:lang w:val="en-US"/>
    </w:rPr>
  </w:style>
  <w:style w:type="paragraph" w:customStyle="1" w:styleId="ListContinueBox3">
    <w:name w:val="List Continue Box 3"/>
    <w:basedOn w:val="Normal"/>
    <w:rsid w:val="00B05EB9"/>
    <w:pPr>
      <w:spacing w:after="120"/>
      <w:ind w:left="794"/>
      <w:jc w:val="both"/>
    </w:pPr>
    <w:rPr>
      <w:rFonts w:cs="Arial"/>
      <w:sz w:val="19"/>
      <w:szCs w:val="19"/>
      <w:lang w:val="en-US"/>
    </w:rPr>
  </w:style>
  <w:style w:type="paragraph" w:customStyle="1" w:styleId="BoxSource">
    <w:name w:val="Box Source"/>
    <w:basedOn w:val="Normal"/>
    <w:next w:val="BodyText"/>
    <w:rsid w:val="006B0FCA"/>
    <w:pPr>
      <w:spacing w:after="360"/>
    </w:pPr>
    <w:rPr>
      <w:rFonts w:cs="Arial"/>
      <w:sz w:val="17"/>
      <w:szCs w:val="17"/>
      <w:lang w:val="en-US"/>
    </w:rPr>
  </w:style>
  <w:style w:type="character" w:customStyle="1" w:styleId="Cote">
    <w:name w:val="Cote"/>
    <w:basedOn w:val="DefaultParagraphFont"/>
    <w:rsid w:val="00492D0D"/>
    <w:rPr>
      <w:caps/>
      <w:lang w:val="en-US"/>
    </w:rPr>
  </w:style>
  <w:style w:type="paragraph" w:customStyle="1" w:styleId="AcknowledgementHeading">
    <w:name w:val="Acknowledgement Heading"/>
    <w:basedOn w:val="Normal"/>
    <w:next w:val="BodyText"/>
    <w:rsid w:val="00492D0D"/>
    <w:pPr>
      <w:keepNext/>
      <w:spacing w:before="1200" w:after="720"/>
      <w:jc w:val="center"/>
    </w:pPr>
    <w:rPr>
      <w:b/>
      <w:caps/>
      <w:lang w:val="en-US"/>
    </w:rPr>
  </w:style>
  <w:style w:type="paragraph" w:styleId="Header">
    <w:name w:val="header"/>
    <w:basedOn w:val="Normal"/>
    <w:rsid w:val="006B0FCA"/>
    <w:pPr>
      <w:tabs>
        <w:tab w:val="center" w:pos="4321"/>
        <w:tab w:val="right" w:pos="8641"/>
      </w:tabs>
    </w:pPr>
    <w:rPr>
      <w:caps/>
      <w:sz w:val="14"/>
      <w:szCs w:val="14"/>
    </w:rPr>
  </w:style>
  <w:style w:type="paragraph" w:styleId="Footer">
    <w:name w:val="footer"/>
    <w:basedOn w:val="Normal"/>
    <w:rsid w:val="006B0FCA"/>
    <w:pPr>
      <w:tabs>
        <w:tab w:val="center" w:pos="4321"/>
        <w:tab w:val="right" w:pos="8641"/>
      </w:tabs>
    </w:pPr>
    <w:rPr>
      <w:caps/>
      <w:sz w:val="12"/>
      <w:szCs w:val="12"/>
    </w:rPr>
  </w:style>
  <w:style w:type="paragraph" w:styleId="BodyTextIndent">
    <w:name w:val="Body Text Indent"/>
    <w:basedOn w:val="BodyText"/>
    <w:link w:val="BodyTextIndentChar"/>
    <w:rsid w:val="00BF1B4B"/>
    <w:pPr>
      <w:ind w:left="851" w:firstLine="0"/>
    </w:pPr>
  </w:style>
  <w:style w:type="paragraph" w:customStyle="1" w:styleId="BoxBodyText">
    <w:name w:val="Box Body Text"/>
    <w:basedOn w:val="Normal"/>
    <w:rsid w:val="006B0FCA"/>
    <w:pPr>
      <w:spacing w:after="120"/>
      <w:ind w:firstLine="227"/>
      <w:jc w:val="both"/>
    </w:pPr>
    <w:rPr>
      <w:rFonts w:cs="Arial"/>
      <w:sz w:val="19"/>
      <w:szCs w:val="20"/>
      <w:lang w:val="en-US"/>
    </w:rPr>
  </w:style>
  <w:style w:type="paragraph" w:customStyle="1" w:styleId="BoxBodyTextIndent">
    <w:name w:val="Box Body Text Indent"/>
    <w:basedOn w:val="Normal"/>
    <w:rsid w:val="003F2C2D"/>
    <w:pPr>
      <w:spacing w:after="120"/>
      <w:ind w:left="227"/>
      <w:jc w:val="both"/>
    </w:pPr>
    <w:rPr>
      <w:rFonts w:cs="Arial"/>
      <w:sz w:val="19"/>
      <w:szCs w:val="19"/>
      <w:lang w:val="en-US"/>
    </w:rPr>
  </w:style>
  <w:style w:type="character" w:styleId="PageNumber">
    <w:name w:val="page number"/>
    <w:basedOn w:val="DefaultParagraphFont"/>
    <w:uiPriority w:val="99"/>
    <w:rsid w:val="00492D0D"/>
  </w:style>
  <w:style w:type="character" w:customStyle="1" w:styleId="BodyTextChar">
    <w:name w:val="Body Text Char"/>
    <w:basedOn w:val="DefaultParagraphFont"/>
    <w:link w:val="BodyText"/>
    <w:rsid w:val="006B0FCA"/>
    <w:rPr>
      <w:sz w:val="21"/>
      <w:szCs w:val="21"/>
      <w:lang w:val="en-US" w:eastAsia="en-US" w:bidi="ar-SA"/>
    </w:rPr>
  </w:style>
  <w:style w:type="character" w:customStyle="1" w:styleId="AuthorChar">
    <w:name w:val="Author Char"/>
    <w:basedOn w:val="BodyTextChar"/>
    <w:link w:val="Author"/>
    <w:rsid w:val="006B0FCA"/>
    <w:rPr>
      <w:sz w:val="24"/>
      <w:szCs w:val="24"/>
      <w:lang w:val="en-US" w:eastAsia="en-US" w:bidi="ar-SA"/>
    </w:rPr>
  </w:style>
  <w:style w:type="character" w:customStyle="1" w:styleId="ListContinue2Char">
    <w:name w:val="List Continue 2 Char"/>
    <w:basedOn w:val="DefaultParagraphFont"/>
    <w:link w:val="ListContinue2"/>
    <w:rsid w:val="005D3953"/>
    <w:rPr>
      <w:sz w:val="21"/>
      <w:szCs w:val="21"/>
      <w:lang w:val="en-GB" w:eastAsia="en-US" w:bidi="ar-SA"/>
    </w:rPr>
  </w:style>
  <w:style w:type="character" w:customStyle="1" w:styleId="ForewordHeadingChar">
    <w:name w:val="Foreword Heading Char"/>
    <w:basedOn w:val="DefaultParagraphFont"/>
    <w:link w:val="ForewordHeading"/>
    <w:rsid w:val="00492D0D"/>
    <w:rPr>
      <w:bCs/>
      <w:i/>
      <w:sz w:val="32"/>
      <w:szCs w:val="32"/>
      <w:lang w:val="en-GB" w:eastAsia="en-US" w:bidi="ar-SA"/>
    </w:rPr>
  </w:style>
  <w:style w:type="paragraph" w:customStyle="1" w:styleId="ExecSumheading2">
    <w:name w:val="Exec Sum heading 2"/>
    <w:basedOn w:val="BodyText"/>
    <w:rsid w:val="006B0FCA"/>
    <w:pPr>
      <w:pBdr>
        <w:top w:val="single" w:sz="4" w:space="3" w:color="auto"/>
        <w:bottom w:val="single" w:sz="4" w:space="5" w:color="auto"/>
      </w:pBdr>
      <w:spacing w:before="240" w:line="240" w:lineRule="exact"/>
      <w:ind w:left="0" w:right="4253" w:firstLine="0"/>
      <w:jc w:val="left"/>
    </w:pPr>
    <w:rPr>
      <w:i/>
      <w:sz w:val="20"/>
      <w:szCs w:val="20"/>
    </w:rPr>
  </w:style>
  <w:style w:type="character" w:customStyle="1" w:styleId="Heading6Char">
    <w:name w:val="Heading 6 Char"/>
    <w:basedOn w:val="DefaultParagraphFont"/>
    <w:link w:val="Heading6"/>
    <w:rsid w:val="008D5C08"/>
    <w:rPr>
      <w:b/>
      <w:bCs/>
      <w:sz w:val="22"/>
      <w:szCs w:val="22"/>
      <w:lang w:val="en-GB" w:eastAsia="zh-CN"/>
    </w:rPr>
  </w:style>
  <w:style w:type="character" w:customStyle="1" w:styleId="Heading7Char">
    <w:name w:val="Heading 7 Char"/>
    <w:basedOn w:val="DefaultParagraphFont"/>
    <w:link w:val="Heading7"/>
    <w:rsid w:val="008D5C08"/>
    <w:rPr>
      <w:sz w:val="24"/>
      <w:szCs w:val="24"/>
      <w:lang w:val="en-GB" w:eastAsia="zh-CN"/>
    </w:rPr>
  </w:style>
  <w:style w:type="character" w:customStyle="1" w:styleId="Heading8Char">
    <w:name w:val="Heading 8 Char"/>
    <w:basedOn w:val="DefaultParagraphFont"/>
    <w:link w:val="Heading8"/>
    <w:rsid w:val="008D5C08"/>
    <w:rPr>
      <w:i/>
      <w:iCs/>
      <w:sz w:val="24"/>
      <w:szCs w:val="24"/>
      <w:lang w:val="en-GB" w:eastAsia="zh-CN"/>
    </w:rPr>
  </w:style>
  <w:style w:type="character" w:customStyle="1" w:styleId="Heading9Char">
    <w:name w:val="Heading 9 Char"/>
    <w:basedOn w:val="DefaultParagraphFont"/>
    <w:link w:val="Heading9"/>
    <w:rsid w:val="008D5C08"/>
    <w:rPr>
      <w:rFonts w:ascii="Arial" w:hAnsi="Arial" w:cs="Arial"/>
      <w:sz w:val="22"/>
      <w:szCs w:val="22"/>
      <w:lang w:val="en-GB" w:eastAsia="zh-CN"/>
    </w:rPr>
  </w:style>
  <w:style w:type="paragraph" w:customStyle="1" w:styleId="DefinitionList">
    <w:name w:val="Definition List"/>
    <w:basedOn w:val="BodyText"/>
    <w:rsid w:val="008D5C08"/>
    <w:pPr>
      <w:tabs>
        <w:tab w:val="clear" w:pos="1361"/>
        <w:tab w:val="clear" w:pos="1701"/>
        <w:tab w:val="clear" w:pos="2041"/>
      </w:tabs>
      <w:spacing w:after="240"/>
      <w:ind w:left="1984" w:right="0" w:hanging="1984"/>
      <w:jc w:val="center"/>
    </w:pPr>
    <w:rPr>
      <w:sz w:val="22"/>
      <w:szCs w:val="22"/>
      <w:lang w:val="en-GB" w:eastAsia="zh-CN"/>
    </w:rPr>
  </w:style>
  <w:style w:type="character" w:styleId="FootnoteReference">
    <w:name w:val="footnote reference"/>
    <w:basedOn w:val="DefaultParagraphFont"/>
    <w:semiHidden/>
    <w:rsid w:val="008D5C08"/>
    <w:rPr>
      <w:vertAlign w:val="superscript"/>
    </w:rPr>
  </w:style>
  <w:style w:type="paragraph" w:styleId="FootnoteText">
    <w:name w:val="footnote text"/>
    <w:basedOn w:val="Normal"/>
    <w:link w:val="FootnoteTextChar"/>
    <w:semiHidden/>
    <w:rsid w:val="008D5C08"/>
    <w:pPr>
      <w:tabs>
        <w:tab w:val="left" w:pos="850"/>
        <w:tab w:val="left" w:pos="1191"/>
        <w:tab w:val="left" w:pos="1531"/>
      </w:tabs>
      <w:spacing w:after="120"/>
      <w:ind w:left="850" w:hanging="850"/>
      <w:jc w:val="both"/>
    </w:pPr>
    <w:rPr>
      <w:sz w:val="20"/>
      <w:szCs w:val="20"/>
      <w:lang w:eastAsia="zh-CN"/>
    </w:rPr>
  </w:style>
  <w:style w:type="character" w:customStyle="1" w:styleId="FootnoteTextChar">
    <w:name w:val="Footnote Text Char"/>
    <w:basedOn w:val="DefaultParagraphFont"/>
    <w:link w:val="FootnoteText"/>
    <w:semiHidden/>
    <w:rsid w:val="008D5C08"/>
    <w:rPr>
      <w:lang w:val="en-GB" w:eastAsia="zh-CN"/>
    </w:rPr>
  </w:style>
  <w:style w:type="paragraph" w:customStyle="1" w:styleId="HighlightHeading">
    <w:name w:val="Highlight Heading"/>
    <w:basedOn w:val="Normal"/>
    <w:next w:val="BodyText"/>
    <w:rsid w:val="008D5C08"/>
    <w:pPr>
      <w:keepNext/>
      <w:tabs>
        <w:tab w:val="left" w:pos="850"/>
        <w:tab w:val="left" w:pos="1191"/>
        <w:tab w:val="left" w:pos="1531"/>
      </w:tabs>
      <w:spacing w:before="1200" w:after="720"/>
      <w:jc w:val="center"/>
    </w:pPr>
    <w:rPr>
      <w:b/>
      <w:bCs/>
      <w:caps/>
      <w:sz w:val="22"/>
      <w:szCs w:val="22"/>
      <w:lang w:eastAsia="zh-CN"/>
    </w:rPr>
  </w:style>
  <w:style w:type="paragraph" w:customStyle="1" w:styleId="SubHeading">
    <w:name w:val="SubHeading"/>
    <w:basedOn w:val="BodyText"/>
    <w:rsid w:val="008D5C08"/>
    <w:pPr>
      <w:tabs>
        <w:tab w:val="clear" w:pos="1361"/>
        <w:tab w:val="clear" w:pos="1701"/>
        <w:tab w:val="clear" w:pos="2041"/>
        <w:tab w:val="left" w:pos="850"/>
        <w:tab w:val="left" w:pos="1191"/>
        <w:tab w:val="left" w:pos="1531"/>
      </w:tabs>
      <w:spacing w:after="240"/>
      <w:ind w:left="442" w:right="0" w:firstLine="0"/>
    </w:pPr>
    <w:rPr>
      <w:i/>
      <w:iCs/>
      <w:sz w:val="22"/>
      <w:szCs w:val="22"/>
      <w:lang w:val="en-GB" w:eastAsia="zh-CN"/>
    </w:rPr>
  </w:style>
  <w:style w:type="paragraph" w:customStyle="1" w:styleId="TextBox">
    <w:name w:val="Text Box"/>
    <w:basedOn w:val="BodyText"/>
    <w:rsid w:val="008D5C08"/>
    <w:pPr>
      <w:pBdr>
        <w:top w:val="single" w:sz="6" w:space="1" w:color="auto"/>
        <w:left w:val="single" w:sz="6" w:space="1" w:color="auto"/>
        <w:bottom w:val="single" w:sz="6" w:space="1" w:color="auto"/>
        <w:right w:val="single" w:sz="6" w:space="1" w:color="auto"/>
      </w:pBdr>
      <w:tabs>
        <w:tab w:val="clear" w:pos="1361"/>
        <w:tab w:val="clear" w:pos="1701"/>
        <w:tab w:val="clear" w:pos="2041"/>
        <w:tab w:val="left" w:pos="850"/>
        <w:tab w:val="left" w:pos="1191"/>
        <w:tab w:val="left" w:pos="1531"/>
      </w:tabs>
      <w:spacing w:after="240"/>
      <w:ind w:left="0" w:right="0" w:firstLine="0"/>
    </w:pPr>
    <w:rPr>
      <w:rFonts w:ascii="Arial" w:hAnsi="Arial" w:cs="Arial"/>
      <w:sz w:val="18"/>
      <w:szCs w:val="22"/>
      <w:lang w:val="en-GB" w:eastAsia="zh-CN"/>
    </w:rPr>
  </w:style>
  <w:style w:type="paragraph" w:customStyle="1" w:styleId="TextBoxHeading">
    <w:name w:val="Text Box Heading"/>
    <w:basedOn w:val="TextBox"/>
    <w:next w:val="TextBox"/>
    <w:rsid w:val="008D5C08"/>
    <w:pPr>
      <w:jc w:val="center"/>
    </w:pPr>
    <w:rPr>
      <w:b/>
      <w:bCs/>
    </w:rPr>
  </w:style>
  <w:style w:type="paragraph" w:customStyle="1" w:styleId="IndexHeading1">
    <w:name w:val="Index Heading1"/>
    <w:basedOn w:val="Normal"/>
    <w:next w:val="BodyText"/>
    <w:rsid w:val="008D5C08"/>
    <w:pPr>
      <w:keepNext/>
      <w:tabs>
        <w:tab w:val="left" w:pos="850"/>
        <w:tab w:val="left" w:pos="1191"/>
        <w:tab w:val="left" w:pos="1531"/>
      </w:tabs>
      <w:spacing w:before="1200" w:after="720"/>
      <w:jc w:val="center"/>
    </w:pPr>
    <w:rPr>
      <w:b/>
      <w:caps/>
      <w:sz w:val="22"/>
      <w:szCs w:val="22"/>
      <w:lang w:val="en-US" w:eastAsia="zh-CN"/>
    </w:rPr>
  </w:style>
  <w:style w:type="paragraph" w:styleId="BlockText">
    <w:name w:val="Block Text"/>
    <w:basedOn w:val="Normal"/>
    <w:rsid w:val="008D5C08"/>
    <w:pPr>
      <w:tabs>
        <w:tab w:val="left" w:pos="850"/>
        <w:tab w:val="left" w:pos="1191"/>
        <w:tab w:val="left" w:pos="1531"/>
      </w:tabs>
      <w:spacing w:after="120"/>
      <w:ind w:left="1440" w:right="1440"/>
      <w:jc w:val="both"/>
    </w:pPr>
    <w:rPr>
      <w:sz w:val="22"/>
      <w:szCs w:val="22"/>
      <w:lang w:eastAsia="zh-CN"/>
    </w:rPr>
  </w:style>
  <w:style w:type="paragraph" w:styleId="TOC9">
    <w:name w:val="toc 9"/>
    <w:basedOn w:val="Normal"/>
    <w:next w:val="Normal"/>
    <w:qFormat/>
    <w:rsid w:val="008D5C08"/>
    <w:pPr>
      <w:ind w:left="1760"/>
      <w:jc w:val="both"/>
    </w:pPr>
    <w:rPr>
      <w:sz w:val="22"/>
      <w:szCs w:val="22"/>
      <w:lang w:eastAsia="zh-CN"/>
    </w:rPr>
  </w:style>
  <w:style w:type="numbering" w:customStyle="1" w:styleId="NumberedNote">
    <w:name w:val="Numbered Note"/>
    <w:basedOn w:val="NoList"/>
    <w:rsid w:val="008D5C08"/>
    <w:pPr>
      <w:numPr>
        <w:numId w:val="11"/>
      </w:numPr>
    </w:pPr>
  </w:style>
  <w:style w:type="numbering" w:customStyle="1" w:styleId="BulletedNote">
    <w:name w:val="Bulleted Note"/>
    <w:basedOn w:val="NoList"/>
    <w:rsid w:val="008D5C08"/>
    <w:pPr>
      <w:numPr>
        <w:numId w:val="12"/>
      </w:numPr>
    </w:pPr>
  </w:style>
  <w:style w:type="numbering" w:customStyle="1" w:styleId="NumericNote">
    <w:name w:val="Numeric Note"/>
    <w:basedOn w:val="NoList"/>
    <w:rsid w:val="008D5C08"/>
    <w:pPr>
      <w:numPr>
        <w:numId w:val="13"/>
      </w:numPr>
    </w:pPr>
  </w:style>
  <w:style w:type="numbering" w:customStyle="1" w:styleId="AlphaNote">
    <w:name w:val="Alpha Note"/>
    <w:basedOn w:val="NoList"/>
    <w:rsid w:val="008D5C08"/>
    <w:pPr>
      <w:numPr>
        <w:numId w:val="14"/>
      </w:numPr>
    </w:pPr>
  </w:style>
  <w:style w:type="paragraph" w:styleId="EnvelopeAddress">
    <w:name w:val="envelope address"/>
    <w:basedOn w:val="Normal"/>
    <w:rsid w:val="008D5C08"/>
    <w:pPr>
      <w:framePr w:w="7938" w:h="1985" w:hRule="exact" w:hSpace="141" w:wrap="auto" w:hAnchor="page" w:xAlign="center" w:yAlign="bottom"/>
      <w:tabs>
        <w:tab w:val="left" w:pos="850"/>
        <w:tab w:val="left" w:pos="1191"/>
        <w:tab w:val="left" w:pos="1531"/>
      </w:tabs>
      <w:ind w:left="2835"/>
      <w:jc w:val="both"/>
    </w:pPr>
    <w:rPr>
      <w:rFonts w:ascii="Arial" w:hAnsi="Arial" w:cs="Arial"/>
      <w:sz w:val="24"/>
      <w:szCs w:val="24"/>
      <w:lang w:eastAsia="zh-CN"/>
    </w:rPr>
  </w:style>
  <w:style w:type="paragraph" w:styleId="EnvelopeReturn">
    <w:name w:val="envelope return"/>
    <w:basedOn w:val="Normal"/>
    <w:rsid w:val="008D5C08"/>
    <w:pPr>
      <w:tabs>
        <w:tab w:val="left" w:pos="850"/>
        <w:tab w:val="left" w:pos="1191"/>
        <w:tab w:val="left" w:pos="1531"/>
      </w:tabs>
      <w:jc w:val="both"/>
    </w:pPr>
    <w:rPr>
      <w:rFonts w:ascii="Arial" w:hAnsi="Arial" w:cs="Arial"/>
      <w:sz w:val="20"/>
      <w:szCs w:val="20"/>
      <w:lang w:eastAsia="zh-CN"/>
    </w:rPr>
  </w:style>
  <w:style w:type="paragraph" w:styleId="HTMLAddress">
    <w:name w:val="HTML Address"/>
    <w:basedOn w:val="Normal"/>
    <w:link w:val="HTMLAddressChar"/>
    <w:rsid w:val="008D5C08"/>
    <w:pPr>
      <w:tabs>
        <w:tab w:val="left" w:pos="850"/>
        <w:tab w:val="left" w:pos="1191"/>
        <w:tab w:val="left" w:pos="1531"/>
      </w:tabs>
      <w:jc w:val="both"/>
    </w:pPr>
    <w:rPr>
      <w:i/>
      <w:iCs/>
      <w:sz w:val="22"/>
      <w:szCs w:val="22"/>
      <w:lang w:eastAsia="zh-CN"/>
    </w:rPr>
  </w:style>
  <w:style w:type="character" w:customStyle="1" w:styleId="HTMLAddressChar">
    <w:name w:val="HTML Address Char"/>
    <w:basedOn w:val="DefaultParagraphFont"/>
    <w:link w:val="HTMLAddress"/>
    <w:rsid w:val="008D5C08"/>
    <w:rPr>
      <w:i/>
      <w:iCs/>
      <w:sz w:val="22"/>
      <w:szCs w:val="22"/>
      <w:lang w:val="en-GB" w:eastAsia="zh-CN"/>
    </w:rPr>
  </w:style>
  <w:style w:type="paragraph" w:styleId="CommentText">
    <w:name w:val="annotation text"/>
    <w:basedOn w:val="Normal"/>
    <w:link w:val="CommentTextChar"/>
    <w:semiHidden/>
    <w:rsid w:val="008D5C08"/>
    <w:pPr>
      <w:tabs>
        <w:tab w:val="left" w:pos="850"/>
        <w:tab w:val="left" w:pos="1191"/>
        <w:tab w:val="left" w:pos="1531"/>
      </w:tabs>
      <w:jc w:val="both"/>
    </w:pPr>
    <w:rPr>
      <w:sz w:val="20"/>
      <w:szCs w:val="20"/>
      <w:lang w:eastAsia="zh-CN"/>
    </w:rPr>
  </w:style>
  <w:style w:type="character" w:customStyle="1" w:styleId="CommentTextChar">
    <w:name w:val="Comment Text Char"/>
    <w:basedOn w:val="DefaultParagraphFont"/>
    <w:link w:val="CommentText"/>
    <w:semiHidden/>
    <w:rsid w:val="008D5C08"/>
    <w:rPr>
      <w:lang w:val="en-GB" w:eastAsia="zh-CN"/>
    </w:rPr>
  </w:style>
  <w:style w:type="paragraph" w:styleId="BodyText2">
    <w:name w:val="Body Text 2"/>
    <w:basedOn w:val="Normal"/>
    <w:link w:val="BodyText2Char"/>
    <w:rsid w:val="008D5C08"/>
    <w:pPr>
      <w:tabs>
        <w:tab w:val="left" w:pos="850"/>
        <w:tab w:val="left" w:pos="1191"/>
        <w:tab w:val="left" w:pos="1531"/>
      </w:tabs>
      <w:spacing w:after="120" w:line="480" w:lineRule="auto"/>
      <w:jc w:val="both"/>
    </w:pPr>
    <w:rPr>
      <w:sz w:val="22"/>
      <w:szCs w:val="22"/>
      <w:lang w:eastAsia="zh-CN"/>
    </w:rPr>
  </w:style>
  <w:style w:type="character" w:customStyle="1" w:styleId="BodyText2Char">
    <w:name w:val="Body Text 2 Char"/>
    <w:basedOn w:val="DefaultParagraphFont"/>
    <w:link w:val="BodyText2"/>
    <w:rsid w:val="008D5C08"/>
    <w:rPr>
      <w:sz w:val="22"/>
      <w:szCs w:val="22"/>
      <w:lang w:val="en-GB" w:eastAsia="zh-CN"/>
    </w:rPr>
  </w:style>
  <w:style w:type="paragraph" w:styleId="BodyText3">
    <w:name w:val="Body Text 3"/>
    <w:basedOn w:val="Normal"/>
    <w:link w:val="BodyText3Char"/>
    <w:rsid w:val="008D5C08"/>
    <w:pPr>
      <w:tabs>
        <w:tab w:val="left" w:pos="850"/>
        <w:tab w:val="left" w:pos="1191"/>
        <w:tab w:val="left" w:pos="1531"/>
      </w:tabs>
      <w:spacing w:after="120"/>
      <w:jc w:val="both"/>
    </w:pPr>
    <w:rPr>
      <w:sz w:val="16"/>
      <w:szCs w:val="16"/>
      <w:lang w:eastAsia="zh-CN"/>
    </w:rPr>
  </w:style>
  <w:style w:type="character" w:customStyle="1" w:styleId="BodyText3Char">
    <w:name w:val="Body Text 3 Char"/>
    <w:basedOn w:val="DefaultParagraphFont"/>
    <w:link w:val="BodyText3"/>
    <w:rsid w:val="008D5C08"/>
    <w:rPr>
      <w:sz w:val="16"/>
      <w:szCs w:val="16"/>
      <w:lang w:val="en-GB" w:eastAsia="zh-CN"/>
    </w:rPr>
  </w:style>
  <w:style w:type="paragraph" w:styleId="Date">
    <w:name w:val="Date"/>
    <w:basedOn w:val="Normal"/>
    <w:next w:val="Normal"/>
    <w:link w:val="DateChar"/>
    <w:rsid w:val="008D5C08"/>
    <w:pPr>
      <w:tabs>
        <w:tab w:val="left" w:pos="850"/>
        <w:tab w:val="left" w:pos="1191"/>
        <w:tab w:val="left" w:pos="1531"/>
      </w:tabs>
      <w:jc w:val="both"/>
    </w:pPr>
    <w:rPr>
      <w:sz w:val="22"/>
      <w:szCs w:val="22"/>
      <w:lang w:eastAsia="zh-CN"/>
    </w:rPr>
  </w:style>
  <w:style w:type="character" w:customStyle="1" w:styleId="DateChar">
    <w:name w:val="Date Char"/>
    <w:basedOn w:val="DefaultParagraphFont"/>
    <w:link w:val="Date"/>
    <w:rsid w:val="008D5C08"/>
    <w:rPr>
      <w:sz w:val="22"/>
      <w:szCs w:val="22"/>
      <w:lang w:val="en-GB" w:eastAsia="zh-CN"/>
    </w:rPr>
  </w:style>
  <w:style w:type="paragraph" w:styleId="MessageHeader">
    <w:name w:val="Message Header"/>
    <w:basedOn w:val="Normal"/>
    <w:link w:val="MessageHeaderChar"/>
    <w:rsid w:val="008D5C08"/>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cs="Arial"/>
      <w:sz w:val="24"/>
      <w:szCs w:val="24"/>
      <w:lang w:eastAsia="zh-CN"/>
    </w:rPr>
  </w:style>
  <w:style w:type="character" w:customStyle="1" w:styleId="MessageHeaderChar">
    <w:name w:val="Message Header Char"/>
    <w:basedOn w:val="DefaultParagraphFont"/>
    <w:link w:val="MessageHeader"/>
    <w:rsid w:val="008D5C08"/>
    <w:rPr>
      <w:rFonts w:ascii="Arial" w:hAnsi="Arial" w:cs="Arial"/>
      <w:sz w:val="24"/>
      <w:szCs w:val="24"/>
      <w:shd w:val="pct20" w:color="auto" w:fill="auto"/>
      <w:lang w:val="en-GB" w:eastAsia="zh-CN"/>
    </w:rPr>
  </w:style>
  <w:style w:type="paragraph" w:styleId="DocumentMap">
    <w:name w:val="Document Map"/>
    <w:basedOn w:val="Normal"/>
    <w:link w:val="DocumentMapChar"/>
    <w:semiHidden/>
    <w:rsid w:val="008D5C08"/>
    <w:pPr>
      <w:shd w:val="clear" w:color="auto" w:fill="000080"/>
      <w:tabs>
        <w:tab w:val="left" w:pos="850"/>
        <w:tab w:val="left" w:pos="1191"/>
        <w:tab w:val="left" w:pos="1531"/>
      </w:tabs>
      <w:jc w:val="both"/>
    </w:pPr>
    <w:rPr>
      <w:rFonts w:ascii="Tahoma" w:hAnsi="Tahoma" w:cs="Tahoma"/>
      <w:sz w:val="22"/>
      <w:szCs w:val="22"/>
      <w:lang w:eastAsia="zh-CN"/>
    </w:rPr>
  </w:style>
  <w:style w:type="character" w:customStyle="1" w:styleId="DocumentMapChar">
    <w:name w:val="Document Map Char"/>
    <w:basedOn w:val="DefaultParagraphFont"/>
    <w:link w:val="DocumentMap"/>
    <w:semiHidden/>
    <w:rsid w:val="008D5C08"/>
    <w:rPr>
      <w:rFonts w:ascii="Tahoma" w:hAnsi="Tahoma" w:cs="Tahoma"/>
      <w:sz w:val="22"/>
      <w:szCs w:val="22"/>
      <w:shd w:val="clear" w:color="auto" w:fill="000080"/>
      <w:lang w:val="en-GB" w:eastAsia="zh-CN"/>
    </w:rPr>
  </w:style>
  <w:style w:type="paragraph" w:styleId="Closing">
    <w:name w:val="Closing"/>
    <w:basedOn w:val="Normal"/>
    <w:link w:val="ClosingChar"/>
    <w:rsid w:val="008D5C08"/>
    <w:pPr>
      <w:tabs>
        <w:tab w:val="left" w:pos="850"/>
        <w:tab w:val="left" w:pos="1191"/>
        <w:tab w:val="left" w:pos="1531"/>
      </w:tabs>
      <w:ind w:left="4252"/>
      <w:jc w:val="both"/>
    </w:pPr>
    <w:rPr>
      <w:sz w:val="22"/>
      <w:szCs w:val="22"/>
      <w:lang w:eastAsia="zh-CN"/>
    </w:rPr>
  </w:style>
  <w:style w:type="character" w:customStyle="1" w:styleId="ClosingChar">
    <w:name w:val="Closing Char"/>
    <w:basedOn w:val="DefaultParagraphFont"/>
    <w:link w:val="Closing"/>
    <w:rsid w:val="008D5C08"/>
    <w:rPr>
      <w:sz w:val="22"/>
      <w:szCs w:val="22"/>
      <w:lang w:val="en-GB" w:eastAsia="zh-CN"/>
    </w:rPr>
  </w:style>
  <w:style w:type="paragraph" w:styleId="Index2">
    <w:name w:val="index 2"/>
    <w:basedOn w:val="Normal"/>
    <w:next w:val="Normal"/>
    <w:semiHidden/>
    <w:rsid w:val="008D5C08"/>
    <w:pPr>
      <w:ind w:left="440" w:hanging="220"/>
      <w:jc w:val="both"/>
    </w:pPr>
    <w:rPr>
      <w:sz w:val="22"/>
      <w:szCs w:val="22"/>
      <w:lang w:eastAsia="zh-CN"/>
    </w:rPr>
  </w:style>
  <w:style w:type="paragraph" w:styleId="Index3">
    <w:name w:val="index 3"/>
    <w:basedOn w:val="Normal"/>
    <w:next w:val="Normal"/>
    <w:semiHidden/>
    <w:rsid w:val="008D5C08"/>
    <w:pPr>
      <w:ind w:left="660" w:hanging="220"/>
      <w:jc w:val="both"/>
    </w:pPr>
    <w:rPr>
      <w:sz w:val="22"/>
      <w:szCs w:val="22"/>
      <w:lang w:eastAsia="zh-CN"/>
    </w:rPr>
  </w:style>
  <w:style w:type="paragraph" w:styleId="Index4">
    <w:name w:val="index 4"/>
    <w:basedOn w:val="Normal"/>
    <w:next w:val="Normal"/>
    <w:semiHidden/>
    <w:rsid w:val="008D5C08"/>
    <w:pPr>
      <w:ind w:left="880" w:hanging="220"/>
      <w:jc w:val="both"/>
    </w:pPr>
    <w:rPr>
      <w:sz w:val="22"/>
      <w:szCs w:val="22"/>
      <w:lang w:eastAsia="zh-CN"/>
    </w:rPr>
  </w:style>
  <w:style w:type="paragraph" w:styleId="Index5">
    <w:name w:val="index 5"/>
    <w:basedOn w:val="Normal"/>
    <w:next w:val="Normal"/>
    <w:semiHidden/>
    <w:rsid w:val="008D5C08"/>
    <w:pPr>
      <w:ind w:left="1100" w:hanging="220"/>
      <w:jc w:val="both"/>
    </w:pPr>
    <w:rPr>
      <w:sz w:val="22"/>
      <w:szCs w:val="22"/>
      <w:lang w:eastAsia="zh-CN"/>
    </w:rPr>
  </w:style>
  <w:style w:type="paragraph" w:styleId="Index6">
    <w:name w:val="index 6"/>
    <w:basedOn w:val="Normal"/>
    <w:next w:val="Normal"/>
    <w:semiHidden/>
    <w:rsid w:val="008D5C08"/>
    <w:pPr>
      <w:ind w:left="1320" w:hanging="220"/>
      <w:jc w:val="both"/>
    </w:pPr>
    <w:rPr>
      <w:sz w:val="22"/>
      <w:szCs w:val="22"/>
      <w:lang w:eastAsia="zh-CN"/>
    </w:rPr>
  </w:style>
  <w:style w:type="paragraph" w:styleId="Index7">
    <w:name w:val="index 7"/>
    <w:basedOn w:val="Normal"/>
    <w:next w:val="Normal"/>
    <w:semiHidden/>
    <w:rsid w:val="008D5C08"/>
    <w:pPr>
      <w:ind w:left="1540" w:hanging="220"/>
      <w:jc w:val="both"/>
    </w:pPr>
    <w:rPr>
      <w:sz w:val="22"/>
      <w:szCs w:val="22"/>
      <w:lang w:eastAsia="zh-CN"/>
    </w:rPr>
  </w:style>
  <w:style w:type="paragraph" w:styleId="Index8">
    <w:name w:val="index 8"/>
    <w:basedOn w:val="Normal"/>
    <w:next w:val="Normal"/>
    <w:semiHidden/>
    <w:rsid w:val="008D5C08"/>
    <w:pPr>
      <w:ind w:left="1760" w:hanging="220"/>
      <w:jc w:val="both"/>
    </w:pPr>
    <w:rPr>
      <w:sz w:val="22"/>
      <w:szCs w:val="22"/>
      <w:lang w:eastAsia="zh-CN"/>
    </w:rPr>
  </w:style>
  <w:style w:type="paragraph" w:styleId="Index9">
    <w:name w:val="index 9"/>
    <w:basedOn w:val="Normal"/>
    <w:next w:val="Normal"/>
    <w:semiHidden/>
    <w:rsid w:val="008D5C08"/>
    <w:pPr>
      <w:ind w:left="1980" w:hanging="220"/>
      <w:jc w:val="both"/>
    </w:pPr>
    <w:rPr>
      <w:sz w:val="22"/>
      <w:szCs w:val="22"/>
      <w:lang w:eastAsia="zh-CN"/>
    </w:rPr>
  </w:style>
  <w:style w:type="paragraph" w:styleId="NormalWeb">
    <w:name w:val="Normal (Web)"/>
    <w:basedOn w:val="Normal"/>
    <w:rsid w:val="008D5C08"/>
    <w:pPr>
      <w:tabs>
        <w:tab w:val="left" w:pos="850"/>
        <w:tab w:val="left" w:pos="1191"/>
        <w:tab w:val="left" w:pos="1531"/>
      </w:tabs>
      <w:jc w:val="both"/>
    </w:pPr>
    <w:rPr>
      <w:sz w:val="24"/>
      <w:szCs w:val="24"/>
      <w:lang w:eastAsia="zh-CN"/>
    </w:rPr>
  </w:style>
  <w:style w:type="paragraph" w:styleId="CommentSubject">
    <w:name w:val="annotation subject"/>
    <w:basedOn w:val="CommentText"/>
    <w:next w:val="CommentText"/>
    <w:link w:val="CommentSubjectChar"/>
    <w:semiHidden/>
    <w:rsid w:val="008D5C08"/>
    <w:rPr>
      <w:b/>
      <w:bCs/>
    </w:rPr>
  </w:style>
  <w:style w:type="character" w:customStyle="1" w:styleId="CommentSubjectChar">
    <w:name w:val="Comment Subject Char"/>
    <w:basedOn w:val="CommentTextChar"/>
    <w:link w:val="CommentSubject"/>
    <w:semiHidden/>
    <w:rsid w:val="008D5C08"/>
    <w:rPr>
      <w:b/>
      <w:bCs/>
      <w:lang w:val="en-GB" w:eastAsia="zh-CN"/>
    </w:rPr>
  </w:style>
  <w:style w:type="paragraph" w:styleId="HTMLPreformatted">
    <w:name w:val="HTML Preformatted"/>
    <w:basedOn w:val="Normal"/>
    <w:link w:val="HTMLPreformattedChar"/>
    <w:rsid w:val="008D5C08"/>
    <w:pPr>
      <w:tabs>
        <w:tab w:val="left" w:pos="850"/>
        <w:tab w:val="left" w:pos="1191"/>
        <w:tab w:val="left" w:pos="1531"/>
      </w:tabs>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rsid w:val="008D5C08"/>
    <w:rPr>
      <w:rFonts w:ascii="Courier New" w:hAnsi="Courier New" w:cs="Courier New"/>
      <w:lang w:val="en-GB" w:eastAsia="zh-CN"/>
    </w:rPr>
  </w:style>
  <w:style w:type="paragraph" w:styleId="BodyTextFirstIndent">
    <w:name w:val="Body Text First Indent"/>
    <w:basedOn w:val="BodyText"/>
    <w:link w:val="BodyTextFirstIndentChar"/>
    <w:rsid w:val="008D5C08"/>
    <w:pPr>
      <w:tabs>
        <w:tab w:val="clear" w:pos="1361"/>
        <w:tab w:val="clear" w:pos="1701"/>
        <w:tab w:val="clear" w:pos="2041"/>
        <w:tab w:val="left" w:pos="850"/>
        <w:tab w:val="left" w:pos="1191"/>
        <w:tab w:val="left" w:pos="1531"/>
      </w:tabs>
      <w:ind w:left="0" w:right="0" w:firstLine="210"/>
    </w:pPr>
    <w:rPr>
      <w:sz w:val="22"/>
      <w:szCs w:val="22"/>
      <w:lang w:val="en-GB" w:eastAsia="zh-CN"/>
    </w:rPr>
  </w:style>
  <w:style w:type="character" w:customStyle="1" w:styleId="BodyTextFirstIndentChar">
    <w:name w:val="Body Text First Indent Char"/>
    <w:basedOn w:val="BodyTextChar"/>
    <w:link w:val="BodyTextFirstIndent"/>
    <w:rsid w:val="008D5C08"/>
    <w:rPr>
      <w:sz w:val="22"/>
      <w:szCs w:val="22"/>
      <w:lang w:val="en-GB" w:eastAsia="zh-CN" w:bidi="ar-SA"/>
    </w:rPr>
  </w:style>
  <w:style w:type="paragraph" w:styleId="BodyTextIndent2">
    <w:name w:val="Body Text Indent 2"/>
    <w:basedOn w:val="Normal"/>
    <w:link w:val="BodyTextIndent2Char"/>
    <w:rsid w:val="008D5C08"/>
    <w:pPr>
      <w:tabs>
        <w:tab w:val="left" w:pos="850"/>
        <w:tab w:val="left" w:pos="1191"/>
        <w:tab w:val="left" w:pos="1531"/>
      </w:tabs>
      <w:spacing w:after="120" w:line="480" w:lineRule="auto"/>
      <w:ind w:left="283"/>
      <w:jc w:val="both"/>
    </w:pPr>
    <w:rPr>
      <w:sz w:val="22"/>
      <w:szCs w:val="22"/>
      <w:lang w:eastAsia="zh-CN"/>
    </w:rPr>
  </w:style>
  <w:style w:type="character" w:customStyle="1" w:styleId="BodyTextIndent2Char">
    <w:name w:val="Body Text Indent 2 Char"/>
    <w:basedOn w:val="DefaultParagraphFont"/>
    <w:link w:val="BodyTextIndent2"/>
    <w:rsid w:val="008D5C08"/>
    <w:rPr>
      <w:sz w:val="22"/>
      <w:szCs w:val="22"/>
      <w:lang w:val="en-GB" w:eastAsia="zh-CN"/>
    </w:rPr>
  </w:style>
  <w:style w:type="paragraph" w:styleId="BodyTextIndent3">
    <w:name w:val="Body Text Indent 3"/>
    <w:basedOn w:val="Normal"/>
    <w:link w:val="BodyTextIndent3Char"/>
    <w:rsid w:val="008D5C08"/>
    <w:pPr>
      <w:tabs>
        <w:tab w:val="left" w:pos="850"/>
        <w:tab w:val="left" w:pos="1191"/>
        <w:tab w:val="left" w:pos="1531"/>
      </w:tabs>
      <w:spacing w:after="120"/>
      <w:ind w:left="283"/>
      <w:jc w:val="both"/>
    </w:pPr>
    <w:rPr>
      <w:sz w:val="16"/>
      <w:szCs w:val="16"/>
      <w:lang w:eastAsia="zh-CN"/>
    </w:rPr>
  </w:style>
  <w:style w:type="character" w:customStyle="1" w:styleId="BodyTextIndent3Char">
    <w:name w:val="Body Text Indent 3 Char"/>
    <w:basedOn w:val="DefaultParagraphFont"/>
    <w:link w:val="BodyTextIndent3"/>
    <w:rsid w:val="008D5C08"/>
    <w:rPr>
      <w:sz w:val="16"/>
      <w:szCs w:val="16"/>
      <w:lang w:val="en-GB" w:eastAsia="zh-CN"/>
    </w:rPr>
  </w:style>
  <w:style w:type="paragraph" w:styleId="BodyTextFirstIndent2">
    <w:name w:val="Body Text First Indent 2"/>
    <w:basedOn w:val="BodyTextIndent"/>
    <w:link w:val="BodyTextFirstIndent2Char"/>
    <w:rsid w:val="008D5C08"/>
    <w:pPr>
      <w:tabs>
        <w:tab w:val="clear" w:pos="1361"/>
        <w:tab w:val="clear" w:pos="1701"/>
        <w:tab w:val="clear" w:pos="2041"/>
        <w:tab w:val="left" w:pos="850"/>
        <w:tab w:val="left" w:pos="1191"/>
        <w:tab w:val="left" w:pos="1531"/>
      </w:tabs>
      <w:spacing w:after="240"/>
      <w:ind w:left="442" w:right="0" w:firstLine="210"/>
    </w:pPr>
    <w:rPr>
      <w:sz w:val="22"/>
      <w:szCs w:val="22"/>
      <w:lang w:val="en-GB" w:eastAsia="zh-CN"/>
    </w:rPr>
  </w:style>
  <w:style w:type="character" w:customStyle="1" w:styleId="BodyTextIndentChar">
    <w:name w:val="Body Text Indent Char"/>
    <w:basedOn w:val="BodyTextChar"/>
    <w:link w:val="BodyTextIndent"/>
    <w:rsid w:val="008D5C08"/>
    <w:rPr>
      <w:sz w:val="21"/>
      <w:szCs w:val="21"/>
      <w:lang w:val="en-US" w:eastAsia="en-US" w:bidi="ar-SA"/>
    </w:rPr>
  </w:style>
  <w:style w:type="character" w:customStyle="1" w:styleId="BodyTextFirstIndent2Char">
    <w:name w:val="Body Text First Indent 2 Char"/>
    <w:basedOn w:val="BodyTextIndentChar"/>
    <w:link w:val="BodyTextFirstIndent2"/>
    <w:rsid w:val="008D5C08"/>
    <w:rPr>
      <w:sz w:val="22"/>
      <w:szCs w:val="22"/>
      <w:lang w:val="en-GB" w:eastAsia="zh-CN" w:bidi="ar-SA"/>
    </w:rPr>
  </w:style>
  <w:style w:type="paragraph" w:styleId="NormalIndent">
    <w:name w:val="Normal Indent"/>
    <w:basedOn w:val="Normal"/>
    <w:rsid w:val="008D5C08"/>
    <w:pPr>
      <w:tabs>
        <w:tab w:val="left" w:pos="850"/>
        <w:tab w:val="left" w:pos="1191"/>
        <w:tab w:val="left" w:pos="1531"/>
      </w:tabs>
      <w:ind w:left="708"/>
      <w:jc w:val="both"/>
    </w:pPr>
    <w:rPr>
      <w:sz w:val="22"/>
      <w:szCs w:val="22"/>
      <w:lang w:eastAsia="zh-CN"/>
    </w:rPr>
  </w:style>
  <w:style w:type="paragraph" w:styleId="Salutation">
    <w:name w:val="Salutation"/>
    <w:basedOn w:val="Normal"/>
    <w:next w:val="Normal"/>
    <w:link w:val="SalutationChar"/>
    <w:rsid w:val="008D5C08"/>
    <w:pPr>
      <w:tabs>
        <w:tab w:val="left" w:pos="850"/>
        <w:tab w:val="left" w:pos="1191"/>
        <w:tab w:val="left" w:pos="1531"/>
      </w:tabs>
      <w:jc w:val="both"/>
    </w:pPr>
    <w:rPr>
      <w:sz w:val="22"/>
      <w:szCs w:val="22"/>
      <w:lang w:eastAsia="zh-CN"/>
    </w:rPr>
  </w:style>
  <w:style w:type="character" w:customStyle="1" w:styleId="SalutationChar">
    <w:name w:val="Salutation Char"/>
    <w:basedOn w:val="DefaultParagraphFont"/>
    <w:link w:val="Salutation"/>
    <w:rsid w:val="008D5C08"/>
    <w:rPr>
      <w:sz w:val="22"/>
      <w:szCs w:val="22"/>
      <w:lang w:val="en-GB" w:eastAsia="zh-CN"/>
    </w:rPr>
  </w:style>
  <w:style w:type="paragraph" w:styleId="Signature">
    <w:name w:val="Signature"/>
    <w:basedOn w:val="Normal"/>
    <w:link w:val="SignatureChar"/>
    <w:rsid w:val="008D5C08"/>
    <w:pPr>
      <w:tabs>
        <w:tab w:val="left" w:pos="850"/>
        <w:tab w:val="left" w:pos="1191"/>
        <w:tab w:val="left" w:pos="1531"/>
      </w:tabs>
      <w:ind w:left="4252"/>
      <w:jc w:val="both"/>
    </w:pPr>
    <w:rPr>
      <w:sz w:val="22"/>
      <w:szCs w:val="22"/>
      <w:lang w:eastAsia="zh-CN"/>
    </w:rPr>
  </w:style>
  <w:style w:type="character" w:customStyle="1" w:styleId="SignatureChar">
    <w:name w:val="Signature Char"/>
    <w:basedOn w:val="DefaultParagraphFont"/>
    <w:link w:val="Signature"/>
    <w:rsid w:val="008D5C08"/>
    <w:rPr>
      <w:sz w:val="22"/>
      <w:szCs w:val="22"/>
      <w:lang w:val="en-GB" w:eastAsia="zh-CN"/>
    </w:rPr>
  </w:style>
  <w:style w:type="paragraph" w:styleId="E-mailSignature">
    <w:name w:val="E-mail Signature"/>
    <w:basedOn w:val="Normal"/>
    <w:link w:val="E-mailSignatureChar"/>
    <w:rsid w:val="008D5C08"/>
    <w:pPr>
      <w:tabs>
        <w:tab w:val="left" w:pos="850"/>
        <w:tab w:val="left" w:pos="1191"/>
        <w:tab w:val="left" w:pos="1531"/>
      </w:tabs>
      <w:jc w:val="both"/>
    </w:pPr>
    <w:rPr>
      <w:sz w:val="22"/>
      <w:szCs w:val="22"/>
      <w:lang w:eastAsia="zh-CN"/>
    </w:rPr>
  </w:style>
  <w:style w:type="character" w:customStyle="1" w:styleId="E-mailSignatureChar">
    <w:name w:val="E-mail Signature Char"/>
    <w:basedOn w:val="DefaultParagraphFont"/>
    <w:link w:val="E-mailSignature"/>
    <w:rsid w:val="008D5C08"/>
    <w:rPr>
      <w:sz w:val="22"/>
      <w:szCs w:val="22"/>
      <w:lang w:val="en-GB" w:eastAsia="zh-CN"/>
    </w:rPr>
  </w:style>
  <w:style w:type="paragraph" w:styleId="Subtitle">
    <w:name w:val="Subtitle"/>
    <w:basedOn w:val="Normal"/>
    <w:link w:val="SubtitleChar"/>
    <w:qFormat/>
    <w:rsid w:val="008D5C08"/>
    <w:pPr>
      <w:tabs>
        <w:tab w:val="left" w:pos="850"/>
        <w:tab w:val="left" w:pos="1191"/>
        <w:tab w:val="left" w:pos="1531"/>
      </w:tabs>
      <w:spacing w:after="60"/>
      <w:jc w:val="center"/>
      <w:outlineLvl w:val="1"/>
    </w:pPr>
    <w:rPr>
      <w:rFonts w:ascii="Arial" w:hAnsi="Arial" w:cs="Arial"/>
      <w:sz w:val="24"/>
      <w:szCs w:val="24"/>
      <w:lang w:eastAsia="zh-CN"/>
    </w:rPr>
  </w:style>
  <w:style w:type="character" w:customStyle="1" w:styleId="SubtitleChar">
    <w:name w:val="Subtitle Char"/>
    <w:basedOn w:val="DefaultParagraphFont"/>
    <w:link w:val="Subtitle"/>
    <w:rsid w:val="008D5C08"/>
    <w:rPr>
      <w:rFonts w:ascii="Arial" w:hAnsi="Arial" w:cs="Arial"/>
      <w:sz w:val="24"/>
      <w:szCs w:val="24"/>
      <w:lang w:val="en-GB" w:eastAsia="zh-CN"/>
    </w:rPr>
  </w:style>
  <w:style w:type="paragraph" w:styleId="TableofFigures">
    <w:name w:val="table of figures"/>
    <w:basedOn w:val="Normal"/>
    <w:next w:val="Normal"/>
    <w:semiHidden/>
    <w:rsid w:val="008D5C08"/>
    <w:pPr>
      <w:ind w:left="440" w:hanging="440"/>
      <w:jc w:val="both"/>
    </w:pPr>
    <w:rPr>
      <w:sz w:val="22"/>
      <w:szCs w:val="22"/>
      <w:lang w:eastAsia="zh-CN"/>
    </w:rPr>
  </w:style>
  <w:style w:type="paragraph" w:styleId="TableofAuthorities">
    <w:name w:val="table of authorities"/>
    <w:basedOn w:val="Normal"/>
    <w:next w:val="Normal"/>
    <w:semiHidden/>
    <w:rsid w:val="008D5C08"/>
    <w:pPr>
      <w:ind w:left="220" w:hanging="220"/>
      <w:jc w:val="both"/>
    </w:pPr>
    <w:rPr>
      <w:sz w:val="22"/>
      <w:szCs w:val="22"/>
      <w:lang w:eastAsia="zh-CN"/>
    </w:rPr>
  </w:style>
  <w:style w:type="paragraph" w:styleId="PlainText">
    <w:name w:val="Plain Text"/>
    <w:basedOn w:val="Normal"/>
    <w:link w:val="PlainTextChar"/>
    <w:rsid w:val="008D5C08"/>
    <w:pPr>
      <w:tabs>
        <w:tab w:val="left" w:pos="850"/>
        <w:tab w:val="left" w:pos="1191"/>
        <w:tab w:val="left" w:pos="1531"/>
      </w:tabs>
      <w:jc w:val="both"/>
    </w:pPr>
    <w:rPr>
      <w:rFonts w:ascii="Courier New" w:hAnsi="Courier New" w:cs="Courier New"/>
      <w:sz w:val="20"/>
      <w:szCs w:val="20"/>
      <w:lang w:eastAsia="zh-CN"/>
    </w:rPr>
  </w:style>
  <w:style w:type="character" w:customStyle="1" w:styleId="PlainTextChar">
    <w:name w:val="Plain Text Char"/>
    <w:basedOn w:val="DefaultParagraphFont"/>
    <w:link w:val="PlainText"/>
    <w:rsid w:val="008D5C08"/>
    <w:rPr>
      <w:rFonts w:ascii="Courier New" w:hAnsi="Courier New" w:cs="Courier New"/>
      <w:lang w:val="en-GB" w:eastAsia="zh-CN"/>
    </w:rPr>
  </w:style>
  <w:style w:type="paragraph" w:styleId="BalloonText">
    <w:name w:val="Balloon Text"/>
    <w:basedOn w:val="Normal"/>
    <w:link w:val="BalloonTextChar"/>
    <w:semiHidden/>
    <w:rsid w:val="008D5C08"/>
    <w:pPr>
      <w:tabs>
        <w:tab w:val="left" w:pos="850"/>
        <w:tab w:val="left" w:pos="1191"/>
        <w:tab w:val="left" w:pos="1531"/>
      </w:tabs>
      <w:jc w:val="both"/>
    </w:pPr>
    <w:rPr>
      <w:rFonts w:ascii="Tahoma" w:hAnsi="Tahoma" w:cs="Tahoma"/>
      <w:sz w:val="16"/>
      <w:szCs w:val="16"/>
      <w:lang w:eastAsia="zh-CN"/>
    </w:rPr>
  </w:style>
  <w:style w:type="character" w:customStyle="1" w:styleId="BalloonTextChar">
    <w:name w:val="Balloon Text Char"/>
    <w:basedOn w:val="DefaultParagraphFont"/>
    <w:link w:val="BalloonText"/>
    <w:semiHidden/>
    <w:rsid w:val="008D5C08"/>
    <w:rPr>
      <w:rFonts w:ascii="Tahoma" w:hAnsi="Tahoma" w:cs="Tahoma"/>
      <w:sz w:val="16"/>
      <w:szCs w:val="16"/>
      <w:lang w:val="en-GB" w:eastAsia="zh-CN"/>
    </w:rPr>
  </w:style>
  <w:style w:type="paragraph" w:styleId="MacroText">
    <w:name w:val="macro"/>
    <w:link w:val="MacroTextChar"/>
    <w:semiHidden/>
    <w:rsid w:val="008D5C08"/>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character" w:customStyle="1" w:styleId="MacroTextChar">
    <w:name w:val="Macro Text Char"/>
    <w:basedOn w:val="DefaultParagraphFont"/>
    <w:link w:val="MacroText"/>
    <w:semiHidden/>
    <w:rsid w:val="008D5C08"/>
    <w:rPr>
      <w:rFonts w:ascii="Courier New" w:hAnsi="Courier New" w:cs="Courier New"/>
      <w:lang w:val="en-GB" w:eastAsia="zh-CN"/>
    </w:rPr>
  </w:style>
  <w:style w:type="paragraph" w:styleId="Title">
    <w:name w:val="Title"/>
    <w:basedOn w:val="Normal"/>
    <w:link w:val="TitleChar"/>
    <w:qFormat/>
    <w:rsid w:val="008D5C08"/>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basedOn w:val="DefaultParagraphFont"/>
    <w:link w:val="Title"/>
    <w:rsid w:val="008D5C08"/>
    <w:rPr>
      <w:rFonts w:ascii="Arial" w:hAnsi="Arial" w:cs="Arial"/>
      <w:b/>
      <w:bCs/>
      <w:kern w:val="28"/>
      <w:sz w:val="32"/>
      <w:szCs w:val="32"/>
      <w:lang w:val="en-GB" w:eastAsia="zh-CN"/>
    </w:rPr>
  </w:style>
  <w:style w:type="paragraph" w:styleId="NoteHeading">
    <w:name w:val="Note Heading"/>
    <w:basedOn w:val="Normal"/>
    <w:next w:val="Normal"/>
    <w:link w:val="NoteHeadingChar"/>
    <w:rsid w:val="008D5C08"/>
    <w:pPr>
      <w:tabs>
        <w:tab w:val="left" w:pos="850"/>
        <w:tab w:val="left" w:pos="1191"/>
        <w:tab w:val="left" w:pos="1531"/>
      </w:tabs>
      <w:jc w:val="both"/>
    </w:pPr>
    <w:rPr>
      <w:sz w:val="22"/>
      <w:szCs w:val="22"/>
      <w:lang w:eastAsia="zh-CN"/>
    </w:rPr>
  </w:style>
  <w:style w:type="character" w:customStyle="1" w:styleId="NoteHeadingChar">
    <w:name w:val="Note Heading Char"/>
    <w:basedOn w:val="DefaultParagraphFont"/>
    <w:link w:val="NoteHeading"/>
    <w:rsid w:val="008D5C08"/>
    <w:rPr>
      <w:sz w:val="22"/>
      <w:szCs w:val="22"/>
      <w:lang w:val="en-GB" w:eastAsia="zh-CN"/>
    </w:rPr>
  </w:style>
  <w:style w:type="paragraph" w:styleId="TOAHeading">
    <w:name w:val="toa heading"/>
    <w:basedOn w:val="Normal"/>
    <w:next w:val="Normal"/>
    <w:semiHidden/>
    <w:rsid w:val="008D5C08"/>
    <w:pPr>
      <w:tabs>
        <w:tab w:val="left" w:pos="850"/>
        <w:tab w:val="left" w:pos="1191"/>
        <w:tab w:val="left" w:pos="1531"/>
      </w:tabs>
      <w:spacing w:before="120"/>
      <w:jc w:val="both"/>
    </w:pPr>
    <w:rPr>
      <w:rFonts w:ascii="Arial" w:hAnsi="Arial" w:cs="Arial"/>
      <w:b/>
      <w:bCs/>
      <w:sz w:val="24"/>
      <w:szCs w:val="24"/>
      <w:lang w:eastAsia="zh-CN"/>
    </w:rPr>
  </w:style>
  <w:style w:type="paragraph" w:styleId="TOC6">
    <w:name w:val="toc 6"/>
    <w:basedOn w:val="Normal"/>
    <w:next w:val="Normal"/>
    <w:qFormat/>
    <w:rsid w:val="008D5C08"/>
    <w:pPr>
      <w:ind w:left="1100"/>
      <w:jc w:val="both"/>
    </w:pPr>
    <w:rPr>
      <w:sz w:val="22"/>
      <w:szCs w:val="22"/>
      <w:lang w:eastAsia="zh-CN"/>
    </w:rPr>
  </w:style>
  <w:style w:type="paragraph" w:styleId="TOC7">
    <w:name w:val="toc 7"/>
    <w:basedOn w:val="Normal"/>
    <w:next w:val="Normal"/>
    <w:qFormat/>
    <w:rsid w:val="008D5C08"/>
    <w:pPr>
      <w:ind w:left="1320"/>
      <w:jc w:val="both"/>
    </w:pPr>
    <w:rPr>
      <w:sz w:val="22"/>
      <w:szCs w:val="22"/>
      <w:lang w:eastAsia="zh-CN"/>
    </w:rPr>
  </w:style>
  <w:style w:type="paragraph" w:styleId="TOC8">
    <w:name w:val="toc 8"/>
    <w:basedOn w:val="Normal"/>
    <w:next w:val="Normal"/>
    <w:qFormat/>
    <w:rsid w:val="008D5C08"/>
    <w:pPr>
      <w:ind w:left="1540"/>
      <w:jc w:val="both"/>
    </w:pPr>
    <w:rPr>
      <w:sz w:val="22"/>
      <w:szCs w:val="22"/>
      <w:lang w:eastAsia="zh-CN"/>
    </w:rPr>
  </w:style>
  <w:style w:type="paragraph" w:styleId="Bibliography">
    <w:name w:val="Bibliography"/>
    <w:basedOn w:val="Normal"/>
    <w:next w:val="Normal"/>
    <w:uiPriority w:val="37"/>
    <w:semiHidden/>
    <w:unhideWhenUsed/>
    <w:rsid w:val="008D5C08"/>
    <w:pPr>
      <w:tabs>
        <w:tab w:val="left" w:pos="850"/>
        <w:tab w:val="left" w:pos="1191"/>
        <w:tab w:val="left" w:pos="1531"/>
      </w:tabs>
      <w:jc w:val="both"/>
    </w:pPr>
    <w:rPr>
      <w:sz w:val="22"/>
      <w:szCs w:val="22"/>
      <w:lang w:eastAsia="zh-CN"/>
    </w:rPr>
  </w:style>
  <w:style w:type="paragraph" w:styleId="IntenseQuote">
    <w:name w:val="Intense Quote"/>
    <w:basedOn w:val="Normal"/>
    <w:next w:val="Normal"/>
    <w:link w:val="IntenseQuoteChar"/>
    <w:uiPriority w:val="30"/>
    <w:qFormat/>
    <w:rsid w:val="008D5C08"/>
    <w:pPr>
      <w:pBdr>
        <w:bottom w:val="single" w:sz="4" w:space="4" w:color="4F81BD" w:themeColor="accent1"/>
      </w:pBdr>
      <w:tabs>
        <w:tab w:val="left" w:pos="850"/>
        <w:tab w:val="left" w:pos="1191"/>
        <w:tab w:val="left" w:pos="1531"/>
      </w:tabs>
      <w:spacing w:before="200" w:after="280"/>
      <w:ind w:left="936" w:right="936"/>
      <w:jc w:val="both"/>
    </w:pPr>
    <w:rPr>
      <w:b/>
      <w:bCs/>
      <w:i/>
      <w:iCs/>
      <w:color w:val="4F81BD" w:themeColor="accent1"/>
      <w:sz w:val="22"/>
      <w:szCs w:val="22"/>
      <w:lang w:eastAsia="zh-CN"/>
    </w:rPr>
  </w:style>
  <w:style w:type="character" w:customStyle="1" w:styleId="IntenseQuoteChar">
    <w:name w:val="Intense Quote Char"/>
    <w:basedOn w:val="DefaultParagraphFont"/>
    <w:link w:val="IntenseQuote"/>
    <w:uiPriority w:val="30"/>
    <w:rsid w:val="008D5C08"/>
    <w:rPr>
      <w:b/>
      <w:bCs/>
      <w:i/>
      <w:iCs/>
      <w:color w:val="4F81BD" w:themeColor="accent1"/>
      <w:sz w:val="22"/>
      <w:szCs w:val="22"/>
      <w:lang w:val="en-GB" w:eastAsia="zh-CN"/>
    </w:rPr>
  </w:style>
  <w:style w:type="paragraph" w:styleId="ListParagraph">
    <w:name w:val="List Paragraph"/>
    <w:basedOn w:val="Normal"/>
    <w:uiPriority w:val="34"/>
    <w:qFormat/>
    <w:rsid w:val="008D5C08"/>
    <w:pPr>
      <w:tabs>
        <w:tab w:val="left" w:pos="850"/>
        <w:tab w:val="left" w:pos="1191"/>
        <w:tab w:val="left" w:pos="1531"/>
      </w:tabs>
      <w:ind w:left="720"/>
      <w:contextualSpacing/>
      <w:jc w:val="both"/>
    </w:pPr>
    <w:rPr>
      <w:sz w:val="22"/>
      <w:szCs w:val="22"/>
      <w:lang w:eastAsia="zh-CN"/>
    </w:rPr>
  </w:style>
  <w:style w:type="paragraph" w:styleId="NoSpacing">
    <w:name w:val="No Spacing"/>
    <w:uiPriority w:val="1"/>
    <w:qFormat/>
    <w:rsid w:val="008D5C08"/>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sid w:val="008D5C08"/>
    <w:pPr>
      <w:tabs>
        <w:tab w:val="left" w:pos="850"/>
        <w:tab w:val="left" w:pos="1191"/>
        <w:tab w:val="left" w:pos="1531"/>
      </w:tabs>
      <w:jc w:val="both"/>
    </w:pPr>
    <w:rPr>
      <w:i/>
      <w:iCs/>
      <w:color w:val="000000" w:themeColor="text1"/>
      <w:sz w:val="22"/>
      <w:szCs w:val="22"/>
      <w:lang w:eastAsia="zh-CN"/>
    </w:rPr>
  </w:style>
  <w:style w:type="character" w:customStyle="1" w:styleId="QuoteChar">
    <w:name w:val="Quote Char"/>
    <w:basedOn w:val="DefaultParagraphFont"/>
    <w:link w:val="Quote"/>
    <w:uiPriority w:val="29"/>
    <w:rsid w:val="008D5C08"/>
    <w:rPr>
      <w:i/>
      <w:iCs/>
      <w:color w:val="000000" w:themeColor="text1"/>
      <w:sz w:val="22"/>
      <w:szCs w:val="22"/>
      <w:lang w:val="en-GB" w:eastAsia="zh-CN"/>
    </w:rPr>
  </w:style>
  <w:style w:type="paragraph" w:styleId="TOCHeading">
    <w:name w:val="TOC Heading"/>
    <w:basedOn w:val="Heading1"/>
    <w:next w:val="Normal"/>
    <w:uiPriority w:val="39"/>
    <w:semiHidden/>
    <w:unhideWhenUsed/>
    <w:qFormat/>
    <w:rsid w:val="008D5C08"/>
    <w:pPr>
      <w:keepLines/>
      <w:tabs>
        <w:tab w:val="left" w:pos="850"/>
        <w:tab w:val="left" w:pos="1191"/>
        <w:tab w:val="left" w:pos="1531"/>
      </w:tabs>
      <w:spacing w:before="480" w:after="0"/>
      <w:jc w:val="both"/>
      <w:outlineLvl w:val="9"/>
    </w:pPr>
    <w:rPr>
      <w:rFonts w:asciiTheme="majorHAnsi" w:eastAsiaTheme="majorEastAsia" w:hAnsiTheme="majorHAnsi" w:cstheme="majorBidi"/>
      <w:color w:val="365F91" w:themeColor="accent1" w:themeShade="BF"/>
      <w:kern w:val="0"/>
      <w:szCs w:val="28"/>
      <w:lang w:eastAsia="zh-CN"/>
    </w:rPr>
  </w:style>
  <w:style w:type="character" w:customStyle="1" w:styleId="CitationChar">
    <w:name w:val="Citation Char"/>
    <w:basedOn w:val="DefaultParagraphFont"/>
    <w:link w:val="Citation"/>
    <w:rsid w:val="008D5C08"/>
    <w:rPr>
      <w:i/>
      <w:sz w:val="21"/>
      <w:szCs w:val="21"/>
    </w:rPr>
  </w:style>
  <w:style w:type="table" w:styleId="TableGrid">
    <w:name w:val="Table Grid"/>
    <w:basedOn w:val="TableNormal"/>
    <w:uiPriority w:val="59"/>
    <w:rsid w:val="008D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C08"/>
    <w:rPr>
      <w:color w:val="0000FF" w:themeColor="hyperlink"/>
      <w:u w:val="single"/>
    </w:rPr>
  </w:style>
  <w:style w:type="character" w:customStyle="1" w:styleId="Heading2Char">
    <w:name w:val="Heading 2 Char"/>
    <w:basedOn w:val="DefaultParagraphFont"/>
    <w:link w:val="Heading2"/>
    <w:rsid w:val="008D5C08"/>
    <w:rPr>
      <w:b/>
      <w:bCs/>
      <w:sz w:val="23"/>
      <w:szCs w:val="23"/>
      <w:lang w:val="en-GB"/>
    </w:rPr>
  </w:style>
  <w:style w:type="character" w:styleId="CommentReference">
    <w:name w:val="annotation reference"/>
    <w:basedOn w:val="DefaultParagraphFont"/>
    <w:uiPriority w:val="99"/>
    <w:semiHidden/>
    <w:unhideWhenUsed/>
    <w:rsid w:val="008D5C08"/>
    <w:rPr>
      <w:sz w:val="16"/>
      <w:szCs w:val="16"/>
    </w:rPr>
  </w:style>
  <w:style w:type="character" w:customStyle="1" w:styleId="Heading3Char">
    <w:name w:val="Heading 3 Char"/>
    <w:basedOn w:val="DefaultParagraphFont"/>
    <w:link w:val="Heading3"/>
    <w:rsid w:val="008D5C08"/>
    <w:rPr>
      <w:b/>
      <w:bCs/>
      <w:i/>
      <w:iCs/>
      <w:sz w:val="23"/>
      <w:szCs w:val="23"/>
      <w:lang w:val="en-GB"/>
    </w:rPr>
  </w:style>
  <w:style w:type="character" w:styleId="Emphasis">
    <w:name w:val="Emphasis"/>
    <w:basedOn w:val="DefaultParagraphFont"/>
    <w:uiPriority w:val="20"/>
    <w:qFormat/>
    <w:rsid w:val="008D5C08"/>
    <w:rPr>
      <w:i/>
      <w:iCs/>
    </w:rPr>
  </w:style>
  <w:style w:type="character" w:customStyle="1" w:styleId="apple-converted-space">
    <w:name w:val="apple-converted-space"/>
    <w:basedOn w:val="DefaultParagraphFont"/>
    <w:rsid w:val="008D5C08"/>
  </w:style>
  <w:style w:type="character" w:customStyle="1" w:styleId="Heading4Char">
    <w:name w:val="Heading 4 Char"/>
    <w:basedOn w:val="DefaultParagraphFont"/>
    <w:link w:val="Heading4"/>
    <w:rsid w:val="008D5C08"/>
    <w:rPr>
      <w:i/>
      <w:iCs/>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lumnsHeading">
    <w:name w:val="BulletedNote"/>
    <w:pPr>
      <w:numPr>
        <w:numId w:val="12"/>
      </w:numPr>
    </w:pPr>
  </w:style>
  <w:style w:type="numbering" w:customStyle="1" w:styleId="Table">
    <w:name w:val="NumericNote"/>
    <w:pPr>
      <w:numPr>
        <w:numId w:val="13"/>
      </w:numPr>
    </w:pPr>
  </w:style>
  <w:style w:type="numbering" w:customStyle="1" w:styleId="TableNote">
    <w:name w:val="NumberedNote"/>
    <w:pPr>
      <w:numPr>
        <w:numId w:val="11"/>
      </w:numPr>
    </w:pPr>
  </w:style>
  <w:style w:type="numbering" w:customStyle="1" w:styleId="TableSub-title">
    <w:name w:val="AlphaNo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7153">
      <w:bodyDiv w:val="1"/>
      <w:marLeft w:val="0"/>
      <w:marRight w:val="0"/>
      <w:marTop w:val="0"/>
      <w:marBottom w:val="0"/>
      <w:divBdr>
        <w:top w:val="none" w:sz="0" w:space="0" w:color="auto"/>
        <w:left w:val="none" w:sz="0" w:space="0" w:color="auto"/>
        <w:bottom w:val="none" w:sz="0" w:space="0" w:color="auto"/>
        <w:right w:val="none" w:sz="0" w:space="0" w:color="auto"/>
      </w:divBdr>
    </w:div>
    <w:div w:id="308678035">
      <w:bodyDiv w:val="1"/>
      <w:marLeft w:val="0"/>
      <w:marRight w:val="0"/>
      <w:marTop w:val="0"/>
      <w:marBottom w:val="0"/>
      <w:divBdr>
        <w:top w:val="none" w:sz="0" w:space="0" w:color="auto"/>
        <w:left w:val="none" w:sz="0" w:space="0" w:color="auto"/>
        <w:bottom w:val="none" w:sz="0" w:space="0" w:color="auto"/>
        <w:right w:val="none" w:sz="0" w:space="0" w:color="auto"/>
      </w:divBdr>
    </w:div>
    <w:div w:id="434833286">
      <w:bodyDiv w:val="1"/>
      <w:marLeft w:val="0"/>
      <w:marRight w:val="0"/>
      <w:marTop w:val="0"/>
      <w:marBottom w:val="0"/>
      <w:divBdr>
        <w:top w:val="none" w:sz="0" w:space="0" w:color="auto"/>
        <w:left w:val="none" w:sz="0" w:space="0" w:color="auto"/>
        <w:bottom w:val="none" w:sz="0" w:space="0" w:color="auto"/>
        <w:right w:val="none" w:sz="0" w:space="0" w:color="auto"/>
      </w:divBdr>
    </w:div>
    <w:div w:id="1062370445">
      <w:bodyDiv w:val="1"/>
      <w:marLeft w:val="0"/>
      <w:marRight w:val="0"/>
      <w:marTop w:val="0"/>
      <w:marBottom w:val="0"/>
      <w:divBdr>
        <w:top w:val="none" w:sz="0" w:space="0" w:color="auto"/>
        <w:left w:val="none" w:sz="0" w:space="0" w:color="auto"/>
        <w:bottom w:val="none" w:sz="0" w:space="0" w:color="auto"/>
        <w:right w:val="none" w:sz="0" w:space="0" w:color="auto"/>
      </w:divBdr>
    </w:div>
    <w:div w:id="1606377614">
      <w:bodyDiv w:val="1"/>
      <w:marLeft w:val="0"/>
      <w:marRight w:val="0"/>
      <w:marTop w:val="0"/>
      <w:marBottom w:val="0"/>
      <w:divBdr>
        <w:top w:val="none" w:sz="0" w:space="0" w:color="auto"/>
        <w:left w:val="none" w:sz="0" w:space="0" w:color="auto"/>
        <w:bottom w:val="none" w:sz="0" w:space="0" w:color="auto"/>
        <w:right w:val="none" w:sz="0" w:space="0" w:color="auto"/>
      </w:divBdr>
    </w:div>
    <w:div w:id="16279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oecd.org/gov/budgeting/Towards-a-Framework-for-the-Governance-of-Infrastructure.pdf" TargetMode="External"/><Relationship Id="rId39" Type="http://schemas.openxmlformats.org/officeDocument/2006/relationships/image" Target="media/image5.wmf"/><Relationship Id="rId21" Type="http://schemas.openxmlformats.org/officeDocument/2006/relationships/hyperlink" Target="http://dx.doi.org/10.1787/9789264209015-en" TargetMode="External"/><Relationship Id="rId34" Type="http://schemas.openxmlformats.org/officeDocument/2006/relationships/image" Target="media/image1.wmf"/><Relationship Id="rId42" Type="http://schemas.openxmlformats.org/officeDocument/2006/relationships/image" Target="media/image8.wmf"/><Relationship Id="rId47" Type="http://schemas.microsoft.com/office/2007/relationships/diagramDrawing" Target="diagrams/drawing1.xml"/><Relationship Id="rId50" Type="http://schemas.openxmlformats.org/officeDocument/2006/relationships/hyperlink" Target="http://www.netzentwicklungsplan.de/en/content/process" TargetMode="External"/><Relationship Id="rId55" Type="http://schemas.openxmlformats.org/officeDocument/2006/relationships/image" Target="media/image14.wmf"/><Relationship Id="rId63" Type="http://schemas.openxmlformats.org/officeDocument/2006/relationships/hyperlink" Target="http://www.oecd.org/gov/regulatory-policy/ner.htm" TargetMode="External"/><Relationship Id="rId68"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dx.doi.org/10.1787/978926420901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ecd.org/gov/regulatory-policy/driving-performance-of-regulators.htm" TargetMode="External"/><Relationship Id="rId32" Type="http://schemas.openxmlformats.org/officeDocument/2006/relationships/header" Target="header6.xml"/><Relationship Id="rId37" Type="http://schemas.openxmlformats.org/officeDocument/2006/relationships/image" Target="media/image4.wmf"/><Relationship Id="rId40" Type="http://schemas.openxmlformats.org/officeDocument/2006/relationships/image" Target="media/image6.wmf"/><Relationship Id="rId45" Type="http://schemas.openxmlformats.org/officeDocument/2006/relationships/diagramQuickStyle" Target="diagrams/quickStyle1.xml"/><Relationship Id="rId53" Type="http://schemas.openxmlformats.org/officeDocument/2006/relationships/image" Target="media/image12.wmf"/><Relationship Id="rId58" Type="http://schemas.openxmlformats.org/officeDocument/2006/relationships/image" Target="media/image17.wmf"/><Relationship Id="rId66"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x.doi.org/10.1787/9789264255401-en" TargetMode="External"/><Relationship Id="rId28" Type="http://schemas.openxmlformats.org/officeDocument/2006/relationships/hyperlink" Target="https://www.oecd.org/gov/budgeting/Towards-a-Framework-for-the-Governance-of-Infrastructure.pdf" TargetMode="External"/><Relationship Id="rId36" Type="http://schemas.openxmlformats.org/officeDocument/2006/relationships/image" Target="media/image3.wmf"/><Relationship Id="rId49" Type="http://schemas.openxmlformats.org/officeDocument/2006/relationships/image" Target="media/image9.wmf"/><Relationship Id="rId57" Type="http://schemas.openxmlformats.org/officeDocument/2006/relationships/image" Target="media/image16.wmf"/><Relationship Id="rId61" Type="http://schemas.openxmlformats.org/officeDocument/2006/relationships/hyperlink" Target="http://dx.doi.org/10.1787/9789264209015-en"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oecd.org/gov/regulatory-policy/ner.htm" TargetMode="External"/><Relationship Id="rId44" Type="http://schemas.openxmlformats.org/officeDocument/2006/relationships/diagramLayout" Target="diagrams/layout1.xml"/><Relationship Id="rId52" Type="http://schemas.openxmlformats.org/officeDocument/2006/relationships/image" Target="media/image11.wmf"/><Relationship Id="rId60" Type="http://schemas.openxmlformats.org/officeDocument/2006/relationships/hyperlink" Target="https://www.oecd.org/gov/budgeting/Towards-a-Framework-for-the-Governance-of-Infrastructure.pdf" TargetMode="External"/><Relationship Id="rId65"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ecd.org/gov/regulatory-policy/ner.htm" TargetMode="External"/><Relationship Id="rId27" Type="http://schemas.openxmlformats.org/officeDocument/2006/relationships/hyperlink" Target="http://dx.doi.org/10.1787/9789264255401-en" TargetMode="External"/><Relationship Id="rId30" Type="http://schemas.openxmlformats.org/officeDocument/2006/relationships/hyperlink" Target="http://dx.doi.org/10.1787/9789264197022-en" TargetMode="External"/><Relationship Id="rId35" Type="http://schemas.openxmlformats.org/officeDocument/2006/relationships/image" Target="media/image2.wmf"/><Relationship Id="rId43" Type="http://schemas.openxmlformats.org/officeDocument/2006/relationships/diagramData" Target="diagrams/data1.xml"/><Relationship Id="rId48" Type="http://schemas.openxmlformats.org/officeDocument/2006/relationships/hyperlink" Target="https://www.oecd.org/gov/budgeting/Towards-a-Framework-for-the-Governance-of-Infrastructure.pdf" TargetMode="External"/><Relationship Id="rId56" Type="http://schemas.openxmlformats.org/officeDocument/2006/relationships/image" Target="media/image15.wmf"/><Relationship Id="rId64" Type="http://schemas.openxmlformats.org/officeDocument/2006/relationships/hyperlink" Target="http://dx.doi.org/10.1787/9789264255401-en"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0.w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ecd.org/gov/regulatory-policy/independence-of-regulators.htm" TargetMode="External"/><Relationship Id="rId33" Type="http://schemas.openxmlformats.org/officeDocument/2006/relationships/header" Target="header7.xml"/><Relationship Id="rId38" Type="http://schemas.openxmlformats.org/officeDocument/2006/relationships/hyperlink" Target="https://www.oecd.org/gov/budgeting/Towards-a-Framework-for-the-Governance-of-Infrastructure.pdf" TargetMode="External"/><Relationship Id="rId46" Type="http://schemas.openxmlformats.org/officeDocument/2006/relationships/diagramColors" Target="diagrams/colors1.xml"/><Relationship Id="rId59" Type="http://schemas.openxmlformats.org/officeDocument/2006/relationships/hyperlink" Target="http://fr.slideshare.net/OECD-GOV/getting-infrastructure-right-10-governance-challenges-policy-options-oecd" TargetMode="External"/><Relationship Id="rId67" Type="http://schemas.openxmlformats.org/officeDocument/2006/relationships/header" Target="header10.xml"/><Relationship Id="rId20" Type="http://schemas.openxmlformats.org/officeDocument/2006/relationships/hyperlink" Target="http://dx.doi.org/10.1787/9789264209015-en" TargetMode="External"/><Relationship Id="rId41" Type="http://schemas.openxmlformats.org/officeDocument/2006/relationships/image" Target="media/image7.wmf"/><Relationship Id="rId54" Type="http://schemas.openxmlformats.org/officeDocument/2006/relationships/image" Target="media/image13.wmf"/><Relationship Id="rId62" Type="http://schemas.openxmlformats.org/officeDocument/2006/relationships/hyperlink" Target="http://dx.doi.org/10.1787/9789264197022-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3E774C-D48B-4AA5-92DE-0935CA746D81}"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E97F0174-A708-49BD-865A-889D36FE76E8}">
      <dgm:prSet phldrT="[Text]" custT="1"/>
      <dgm:spPr/>
      <dgm:t>
        <a:bodyPr/>
        <a:lstStyle/>
        <a:p>
          <a:r>
            <a:rPr lang="en-GB" sz="900">
              <a:latin typeface="Arial Narrow" panose="020B0606020202030204" pitchFamily="34" charset="0"/>
            </a:rPr>
            <a:t>1. Needs assessment</a:t>
          </a:r>
        </a:p>
      </dgm:t>
    </dgm:pt>
    <dgm:pt modelId="{5C7070AB-3316-4C50-9612-AF1691144143}" type="parTrans" cxnId="{7269BAEF-3869-493C-9BC4-F38EA808D5CB}">
      <dgm:prSet/>
      <dgm:spPr/>
      <dgm:t>
        <a:bodyPr/>
        <a:lstStyle/>
        <a:p>
          <a:endParaRPr lang="en-GB" sz="2000"/>
        </a:p>
      </dgm:t>
    </dgm:pt>
    <dgm:pt modelId="{7C24EEAE-E351-420A-8797-16DF637CFBC3}" type="sibTrans" cxnId="{7269BAEF-3869-493C-9BC4-F38EA808D5CB}">
      <dgm:prSet/>
      <dgm:spPr/>
      <dgm:t>
        <a:bodyPr/>
        <a:lstStyle/>
        <a:p>
          <a:endParaRPr lang="en-GB" sz="2000"/>
        </a:p>
      </dgm:t>
    </dgm:pt>
    <dgm:pt modelId="{33E142CD-DEC1-4116-831D-DBDD90C25A57}">
      <dgm:prSet phldrT="[Text]" custT="1"/>
      <dgm:spPr/>
      <dgm:t>
        <a:bodyPr/>
        <a:lstStyle/>
        <a:p>
          <a:r>
            <a:rPr lang="en-GB" sz="900">
              <a:latin typeface="Arial Narrow" panose="020B0606020202030204" pitchFamily="34" charset="0"/>
            </a:rPr>
            <a:t>2. Decision and prioritisation</a:t>
          </a:r>
        </a:p>
      </dgm:t>
    </dgm:pt>
    <dgm:pt modelId="{9ABCC0D3-7BF0-4DDC-8C8F-19CD383AF44F}" type="parTrans" cxnId="{31E0F94D-578D-4D77-9158-59B7DA4D111C}">
      <dgm:prSet/>
      <dgm:spPr/>
      <dgm:t>
        <a:bodyPr/>
        <a:lstStyle/>
        <a:p>
          <a:endParaRPr lang="en-GB" sz="2000"/>
        </a:p>
      </dgm:t>
    </dgm:pt>
    <dgm:pt modelId="{A9D70BE7-FC39-496A-89E1-7339E57120BA}" type="sibTrans" cxnId="{31E0F94D-578D-4D77-9158-59B7DA4D111C}">
      <dgm:prSet/>
      <dgm:spPr/>
      <dgm:t>
        <a:bodyPr/>
        <a:lstStyle/>
        <a:p>
          <a:endParaRPr lang="en-GB" sz="2000"/>
        </a:p>
      </dgm:t>
    </dgm:pt>
    <dgm:pt modelId="{0BFA4DC3-B95C-4ED2-90EA-3E3A5971B089}">
      <dgm:prSet phldrT="[Text]" custT="1"/>
      <dgm:spPr/>
      <dgm:t>
        <a:bodyPr/>
        <a:lstStyle/>
        <a:p>
          <a:r>
            <a:rPr lang="en-GB" sz="900">
              <a:latin typeface="Arial Narrow" panose="020B0606020202030204" pitchFamily="34" charset="0"/>
            </a:rPr>
            <a:t>3. Project preparation</a:t>
          </a:r>
        </a:p>
      </dgm:t>
    </dgm:pt>
    <dgm:pt modelId="{0C6B0B44-271F-4A97-A02E-BA15012CD9BA}" type="parTrans" cxnId="{5A3FBB0F-E15D-484A-8DFE-62D57FD24305}">
      <dgm:prSet/>
      <dgm:spPr/>
      <dgm:t>
        <a:bodyPr/>
        <a:lstStyle/>
        <a:p>
          <a:endParaRPr lang="en-GB" sz="2000"/>
        </a:p>
      </dgm:t>
    </dgm:pt>
    <dgm:pt modelId="{D04BA39F-4949-44C5-A1E6-AB08775773FA}" type="sibTrans" cxnId="{5A3FBB0F-E15D-484A-8DFE-62D57FD24305}">
      <dgm:prSet/>
      <dgm:spPr/>
      <dgm:t>
        <a:bodyPr/>
        <a:lstStyle/>
        <a:p>
          <a:endParaRPr lang="en-GB" sz="2000"/>
        </a:p>
      </dgm:t>
    </dgm:pt>
    <dgm:pt modelId="{61EE3DE4-F4D2-47A4-A734-45F0FD436FA0}">
      <dgm:prSet phldrT="[Text]" custT="1"/>
      <dgm:spPr/>
      <dgm:t>
        <a:bodyPr/>
        <a:lstStyle/>
        <a:p>
          <a:r>
            <a:rPr lang="en-GB" sz="900">
              <a:latin typeface="Arial Narrow" panose="020B0606020202030204" pitchFamily="34" charset="0"/>
            </a:rPr>
            <a:t>4. Construction</a:t>
          </a:r>
        </a:p>
      </dgm:t>
    </dgm:pt>
    <dgm:pt modelId="{13F69CAB-BEDD-4184-858B-8CB64AF3A528}" type="parTrans" cxnId="{840C13AE-EF07-449D-AB25-F324B5FB9F00}">
      <dgm:prSet/>
      <dgm:spPr/>
      <dgm:t>
        <a:bodyPr/>
        <a:lstStyle/>
        <a:p>
          <a:endParaRPr lang="en-GB" sz="2000"/>
        </a:p>
      </dgm:t>
    </dgm:pt>
    <dgm:pt modelId="{EC0E8D74-3762-4924-9FEF-D5FB2452D963}" type="sibTrans" cxnId="{840C13AE-EF07-449D-AB25-F324B5FB9F00}">
      <dgm:prSet/>
      <dgm:spPr/>
      <dgm:t>
        <a:bodyPr/>
        <a:lstStyle/>
        <a:p>
          <a:endParaRPr lang="en-GB" sz="2000"/>
        </a:p>
      </dgm:t>
    </dgm:pt>
    <dgm:pt modelId="{1CE414FE-4A1C-4F7F-B203-7488D1CB92A0}">
      <dgm:prSet phldrT="[Text]" custT="1"/>
      <dgm:spPr/>
      <dgm:t>
        <a:bodyPr/>
        <a:lstStyle/>
        <a:p>
          <a:r>
            <a:rPr lang="en-GB" sz="900">
              <a:latin typeface="Arial Narrow" panose="020B0606020202030204" pitchFamily="34" charset="0"/>
            </a:rPr>
            <a:t>5. Operation and maintenance</a:t>
          </a:r>
        </a:p>
      </dgm:t>
    </dgm:pt>
    <dgm:pt modelId="{A1106018-5AC9-4E73-9D65-1BF8FFC46C0D}" type="parTrans" cxnId="{57BF03F2-3242-480F-8416-B3AE133E1766}">
      <dgm:prSet/>
      <dgm:spPr/>
      <dgm:t>
        <a:bodyPr/>
        <a:lstStyle/>
        <a:p>
          <a:endParaRPr lang="en-GB" sz="2000"/>
        </a:p>
      </dgm:t>
    </dgm:pt>
    <dgm:pt modelId="{71446B42-3883-4838-836A-24B209BB54F2}" type="sibTrans" cxnId="{57BF03F2-3242-480F-8416-B3AE133E1766}">
      <dgm:prSet/>
      <dgm:spPr/>
      <dgm:t>
        <a:bodyPr/>
        <a:lstStyle/>
        <a:p>
          <a:endParaRPr lang="en-GB" sz="2000"/>
        </a:p>
      </dgm:t>
    </dgm:pt>
    <dgm:pt modelId="{FA8CE0AD-5821-46BD-8CFF-771247F856AE}">
      <dgm:prSet phldrT="[Text]" custT="1"/>
      <dgm:spPr/>
      <dgm:t>
        <a:bodyPr/>
        <a:lstStyle/>
        <a:p>
          <a:r>
            <a:rPr lang="en-GB" sz="900">
              <a:latin typeface="Arial Narrow" panose="020B0606020202030204" pitchFamily="34" charset="0"/>
            </a:rPr>
            <a:t>6. Decommissioning</a:t>
          </a:r>
        </a:p>
      </dgm:t>
    </dgm:pt>
    <dgm:pt modelId="{6B1C0066-4394-4410-8B04-4B502CF56954}" type="parTrans" cxnId="{0CE03375-B4FA-4552-8152-DDFD05E2BCE6}">
      <dgm:prSet/>
      <dgm:spPr/>
      <dgm:t>
        <a:bodyPr/>
        <a:lstStyle/>
        <a:p>
          <a:endParaRPr lang="en-GB" sz="2000"/>
        </a:p>
      </dgm:t>
    </dgm:pt>
    <dgm:pt modelId="{F89553DF-6118-4D4A-952E-49A15119DB20}" type="sibTrans" cxnId="{0CE03375-B4FA-4552-8152-DDFD05E2BCE6}">
      <dgm:prSet/>
      <dgm:spPr/>
      <dgm:t>
        <a:bodyPr/>
        <a:lstStyle/>
        <a:p>
          <a:endParaRPr lang="en-GB" sz="2000"/>
        </a:p>
      </dgm:t>
    </dgm:pt>
    <dgm:pt modelId="{A2142AB2-9397-4FB5-9988-36EC393C42CB}" type="pres">
      <dgm:prSet presAssocID="{703E774C-D48B-4AA5-92DE-0935CA746D81}" presName="cycle" presStyleCnt="0">
        <dgm:presLayoutVars>
          <dgm:dir/>
          <dgm:resizeHandles val="exact"/>
        </dgm:presLayoutVars>
      </dgm:prSet>
      <dgm:spPr/>
      <dgm:t>
        <a:bodyPr/>
        <a:lstStyle/>
        <a:p>
          <a:endParaRPr lang="en-GB"/>
        </a:p>
      </dgm:t>
    </dgm:pt>
    <dgm:pt modelId="{5D1BDA1B-B5DC-4EEF-899B-052592E41E6C}" type="pres">
      <dgm:prSet presAssocID="{E97F0174-A708-49BD-865A-889D36FE76E8}" presName="dummy" presStyleCnt="0"/>
      <dgm:spPr/>
    </dgm:pt>
    <dgm:pt modelId="{D1966549-0DF9-4F0D-A302-BF7B0753F828}" type="pres">
      <dgm:prSet presAssocID="{E97F0174-A708-49BD-865A-889D36FE76E8}" presName="node" presStyleLbl="revTx" presStyleIdx="0" presStyleCnt="6" custScaleX="139742">
        <dgm:presLayoutVars>
          <dgm:bulletEnabled val="1"/>
        </dgm:presLayoutVars>
      </dgm:prSet>
      <dgm:spPr/>
      <dgm:t>
        <a:bodyPr/>
        <a:lstStyle/>
        <a:p>
          <a:endParaRPr lang="en-GB"/>
        </a:p>
      </dgm:t>
    </dgm:pt>
    <dgm:pt modelId="{A8D500DE-EEF3-4275-8022-391B8BB8817B}" type="pres">
      <dgm:prSet presAssocID="{7C24EEAE-E351-420A-8797-16DF637CFBC3}" presName="sibTrans" presStyleLbl="node1" presStyleIdx="0" presStyleCnt="6"/>
      <dgm:spPr/>
      <dgm:t>
        <a:bodyPr/>
        <a:lstStyle/>
        <a:p>
          <a:endParaRPr lang="en-GB"/>
        </a:p>
      </dgm:t>
    </dgm:pt>
    <dgm:pt modelId="{B9EDB463-7A3F-4F5A-BF1C-49E71D6B189F}" type="pres">
      <dgm:prSet presAssocID="{33E142CD-DEC1-4116-831D-DBDD90C25A57}" presName="dummy" presStyleCnt="0"/>
      <dgm:spPr/>
    </dgm:pt>
    <dgm:pt modelId="{B0D9153D-42D8-44AE-B0CB-99BD3B590F8B}" type="pres">
      <dgm:prSet presAssocID="{33E142CD-DEC1-4116-831D-DBDD90C25A57}" presName="node" presStyleLbl="revTx" presStyleIdx="1" presStyleCnt="6" custScaleX="139742">
        <dgm:presLayoutVars>
          <dgm:bulletEnabled val="1"/>
        </dgm:presLayoutVars>
      </dgm:prSet>
      <dgm:spPr/>
      <dgm:t>
        <a:bodyPr/>
        <a:lstStyle/>
        <a:p>
          <a:endParaRPr lang="en-GB"/>
        </a:p>
      </dgm:t>
    </dgm:pt>
    <dgm:pt modelId="{DE8AC65D-3004-4635-BBC7-CAC22A0DD6DD}" type="pres">
      <dgm:prSet presAssocID="{A9D70BE7-FC39-496A-89E1-7339E57120BA}" presName="sibTrans" presStyleLbl="node1" presStyleIdx="1" presStyleCnt="6"/>
      <dgm:spPr/>
      <dgm:t>
        <a:bodyPr/>
        <a:lstStyle/>
        <a:p>
          <a:endParaRPr lang="en-GB"/>
        </a:p>
      </dgm:t>
    </dgm:pt>
    <dgm:pt modelId="{3AE70282-864E-458F-AAFD-9E570AC1C4CF}" type="pres">
      <dgm:prSet presAssocID="{0BFA4DC3-B95C-4ED2-90EA-3E3A5971B089}" presName="dummy" presStyleCnt="0"/>
      <dgm:spPr/>
    </dgm:pt>
    <dgm:pt modelId="{2EBDA00D-AC15-4BC4-A250-1B3CB35F8750}" type="pres">
      <dgm:prSet presAssocID="{0BFA4DC3-B95C-4ED2-90EA-3E3A5971B089}" presName="node" presStyleLbl="revTx" presStyleIdx="2" presStyleCnt="6" custScaleX="139742">
        <dgm:presLayoutVars>
          <dgm:bulletEnabled val="1"/>
        </dgm:presLayoutVars>
      </dgm:prSet>
      <dgm:spPr/>
      <dgm:t>
        <a:bodyPr/>
        <a:lstStyle/>
        <a:p>
          <a:endParaRPr lang="en-GB"/>
        </a:p>
      </dgm:t>
    </dgm:pt>
    <dgm:pt modelId="{8D4627ED-0EC1-4409-8B78-09BE3D50978C}" type="pres">
      <dgm:prSet presAssocID="{D04BA39F-4949-44C5-A1E6-AB08775773FA}" presName="sibTrans" presStyleLbl="node1" presStyleIdx="2" presStyleCnt="6"/>
      <dgm:spPr/>
      <dgm:t>
        <a:bodyPr/>
        <a:lstStyle/>
        <a:p>
          <a:endParaRPr lang="en-GB"/>
        </a:p>
      </dgm:t>
    </dgm:pt>
    <dgm:pt modelId="{E31560DC-9327-4872-81C9-55BEEB9ECE31}" type="pres">
      <dgm:prSet presAssocID="{61EE3DE4-F4D2-47A4-A734-45F0FD436FA0}" presName="dummy" presStyleCnt="0"/>
      <dgm:spPr/>
    </dgm:pt>
    <dgm:pt modelId="{A40318CE-A4B6-4607-90A8-4F2CD551D648}" type="pres">
      <dgm:prSet presAssocID="{61EE3DE4-F4D2-47A4-A734-45F0FD436FA0}" presName="node" presStyleLbl="revTx" presStyleIdx="3" presStyleCnt="6" custScaleX="139742">
        <dgm:presLayoutVars>
          <dgm:bulletEnabled val="1"/>
        </dgm:presLayoutVars>
      </dgm:prSet>
      <dgm:spPr/>
      <dgm:t>
        <a:bodyPr/>
        <a:lstStyle/>
        <a:p>
          <a:endParaRPr lang="en-GB"/>
        </a:p>
      </dgm:t>
    </dgm:pt>
    <dgm:pt modelId="{9AFA081A-3EF1-483C-A444-29AAAA4E585B}" type="pres">
      <dgm:prSet presAssocID="{EC0E8D74-3762-4924-9FEF-D5FB2452D963}" presName="sibTrans" presStyleLbl="node1" presStyleIdx="3" presStyleCnt="6"/>
      <dgm:spPr/>
      <dgm:t>
        <a:bodyPr/>
        <a:lstStyle/>
        <a:p>
          <a:endParaRPr lang="en-GB"/>
        </a:p>
      </dgm:t>
    </dgm:pt>
    <dgm:pt modelId="{636FB933-BE02-4879-A9C7-F2CEDAE5CE01}" type="pres">
      <dgm:prSet presAssocID="{1CE414FE-4A1C-4F7F-B203-7488D1CB92A0}" presName="dummy" presStyleCnt="0"/>
      <dgm:spPr/>
    </dgm:pt>
    <dgm:pt modelId="{12700B1A-B85D-4FF5-B205-55C9F7821DFB}" type="pres">
      <dgm:prSet presAssocID="{1CE414FE-4A1C-4F7F-B203-7488D1CB92A0}" presName="node" presStyleLbl="revTx" presStyleIdx="4" presStyleCnt="6" custScaleX="139742">
        <dgm:presLayoutVars>
          <dgm:bulletEnabled val="1"/>
        </dgm:presLayoutVars>
      </dgm:prSet>
      <dgm:spPr/>
      <dgm:t>
        <a:bodyPr/>
        <a:lstStyle/>
        <a:p>
          <a:endParaRPr lang="en-GB"/>
        </a:p>
      </dgm:t>
    </dgm:pt>
    <dgm:pt modelId="{CF319386-1F80-4FFC-877E-F71B474A8BB3}" type="pres">
      <dgm:prSet presAssocID="{71446B42-3883-4838-836A-24B209BB54F2}" presName="sibTrans" presStyleLbl="node1" presStyleIdx="4" presStyleCnt="6"/>
      <dgm:spPr/>
      <dgm:t>
        <a:bodyPr/>
        <a:lstStyle/>
        <a:p>
          <a:endParaRPr lang="en-GB"/>
        </a:p>
      </dgm:t>
    </dgm:pt>
    <dgm:pt modelId="{384844AB-D8E9-4E64-AE2A-472903A814C7}" type="pres">
      <dgm:prSet presAssocID="{FA8CE0AD-5821-46BD-8CFF-771247F856AE}" presName="dummy" presStyleCnt="0"/>
      <dgm:spPr/>
    </dgm:pt>
    <dgm:pt modelId="{E2EBFD85-B803-4096-9E3A-4BE0B1D25D87}" type="pres">
      <dgm:prSet presAssocID="{FA8CE0AD-5821-46BD-8CFF-771247F856AE}" presName="node" presStyleLbl="revTx" presStyleIdx="5" presStyleCnt="6" custScaleX="163306">
        <dgm:presLayoutVars>
          <dgm:bulletEnabled val="1"/>
        </dgm:presLayoutVars>
      </dgm:prSet>
      <dgm:spPr/>
      <dgm:t>
        <a:bodyPr/>
        <a:lstStyle/>
        <a:p>
          <a:endParaRPr lang="en-GB"/>
        </a:p>
      </dgm:t>
    </dgm:pt>
    <dgm:pt modelId="{112F8A91-2834-465F-BE92-F6DC02E8D3C9}" type="pres">
      <dgm:prSet presAssocID="{F89553DF-6118-4D4A-952E-49A15119DB20}" presName="sibTrans" presStyleLbl="node1" presStyleIdx="5" presStyleCnt="6"/>
      <dgm:spPr/>
      <dgm:t>
        <a:bodyPr/>
        <a:lstStyle/>
        <a:p>
          <a:endParaRPr lang="en-GB"/>
        </a:p>
      </dgm:t>
    </dgm:pt>
  </dgm:ptLst>
  <dgm:cxnLst>
    <dgm:cxn modelId="{6EE4657F-E502-42F3-87FA-E510D592CD69}" type="presOf" srcId="{A9D70BE7-FC39-496A-89E1-7339E57120BA}" destId="{DE8AC65D-3004-4635-BBC7-CAC22A0DD6DD}" srcOrd="0" destOrd="0" presId="urn:microsoft.com/office/officeart/2005/8/layout/cycle1"/>
    <dgm:cxn modelId="{83588510-964C-4589-97FD-DD55912E6B91}" type="presOf" srcId="{0BFA4DC3-B95C-4ED2-90EA-3E3A5971B089}" destId="{2EBDA00D-AC15-4BC4-A250-1B3CB35F8750}" srcOrd="0" destOrd="0" presId="urn:microsoft.com/office/officeart/2005/8/layout/cycle1"/>
    <dgm:cxn modelId="{D26849D1-3DA4-45F2-A138-36CD430BC061}" type="presOf" srcId="{FA8CE0AD-5821-46BD-8CFF-771247F856AE}" destId="{E2EBFD85-B803-4096-9E3A-4BE0B1D25D87}" srcOrd="0" destOrd="0" presId="urn:microsoft.com/office/officeart/2005/8/layout/cycle1"/>
    <dgm:cxn modelId="{57BF03F2-3242-480F-8416-B3AE133E1766}" srcId="{703E774C-D48B-4AA5-92DE-0935CA746D81}" destId="{1CE414FE-4A1C-4F7F-B203-7488D1CB92A0}" srcOrd="4" destOrd="0" parTransId="{A1106018-5AC9-4E73-9D65-1BF8FFC46C0D}" sibTransId="{71446B42-3883-4838-836A-24B209BB54F2}"/>
    <dgm:cxn modelId="{4A1BF1C4-5245-448A-8FEE-12D76E91AF3A}" type="presOf" srcId="{33E142CD-DEC1-4116-831D-DBDD90C25A57}" destId="{B0D9153D-42D8-44AE-B0CB-99BD3B590F8B}" srcOrd="0" destOrd="0" presId="urn:microsoft.com/office/officeart/2005/8/layout/cycle1"/>
    <dgm:cxn modelId="{28AD4904-22AC-4931-98FF-252E72DFFB9B}" type="presOf" srcId="{EC0E8D74-3762-4924-9FEF-D5FB2452D963}" destId="{9AFA081A-3EF1-483C-A444-29AAAA4E585B}" srcOrd="0" destOrd="0" presId="urn:microsoft.com/office/officeart/2005/8/layout/cycle1"/>
    <dgm:cxn modelId="{E01D5539-DA2F-4FF8-B37E-B4F6C4207644}" type="presOf" srcId="{61EE3DE4-F4D2-47A4-A734-45F0FD436FA0}" destId="{A40318CE-A4B6-4607-90A8-4F2CD551D648}" srcOrd="0" destOrd="0" presId="urn:microsoft.com/office/officeart/2005/8/layout/cycle1"/>
    <dgm:cxn modelId="{E46AB1E1-90AA-4C19-966B-05C5B2ABC9A6}" type="presOf" srcId="{1CE414FE-4A1C-4F7F-B203-7488D1CB92A0}" destId="{12700B1A-B85D-4FF5-B205-55C9F7821DFB}" srcOrd="0" destOrd="0" presId="urn:microsoft.com/office/officeart/2005/8/layout/cycle1"/>
    <dgm:cxn modelId="{7269BAEF-3869-493C-9BC4-F38EA808D5CB}" srcId="{703E774C-D48B-4AA5-92DE-0935CA746D81}" destId="{E97F0174-A708-49BD-865A-889D36FE76E8}" srcOrd="0" destOrd="0" parTransId="{5C7070AB-3316-4C50-9612-AF1691144143}" sibTransId="{7C24EEAE-E351-420A-8797-16DF637CFBC3}"/>
    <dgm:cxn modelId="{A0D9C103-3806-4BA8-A959-8939EA5DEC53}" type="presOf" srcId="{7C24EEAE-E351-420A-8797-16DF637CFBC3}" destId="{A8D500DE-EEF3-4275-8022-391B8BB8817B}" srcOrd="0" destOrd="0" presId="urn:microsoft.com/office/officeart/2005/8/layout/cycle1"/>
    <dgm:cxn modelId="{BF87B9DB-A258-413A-9F84-61B13438AD7B}" type="presOf" srcId="{E97F0174-A708-49BD-865A-889D36FE76E8}" destId="{D1966549-0DF9-4F0D-A302-BF7B0753F828}" srcOrd="0" destOrd="0" presId="urn:microsoft.com/office/officeart/2005/8/layout/cycle1"/>
    <dgm:cxn modelId="{A4173FA4-D335-494C-8094-B0769CE62593}" type="presOf" srcId="{D04BA39F-4949-44C5-A1E6-AB08775773FA}" destId="{8D4627ED-0EC1-4409-8B78-09BE3D50978C}" srcOrd="0" destOrd="0" presId="urn:microsoft.com/office/officeart/2005/8/layout/cycle1"/>
    <dgm:cxn modelId="{840C13AE-EF07-449D-AB25-F324B5FB9F00}" srcId="{703E774C-D48B-4AA5-92DE-0935CA746D81}" destId="{61EE3DE4-F4D2-47A4-A734-45F0FD436FA0}" srcOrd="3" destOrd="0" parTransId="{13F69CAB-BEDD-4184-858B-8CB64AF3A528}" sibTransId="{EC0E8D74-3762-4924-9FEF-D5FB2452D963}"/>
    <dgm:cxn modelId="{5A3FBB0F-E15D-484A-8DFE-62D57FD24305}" srcId="{703E774C-D48B-4AA5-92DE-0935CA746D81}" destId="{0BFA4DC3-B95C-4ED2-90EA-3E3A5971B089}" srcOrd="2" destOrd="0" parTransId="{0C6B0B44-271F-4A97-A02E-BA15012CD9BA}" sibTransId="{D04BA39F-4949-44C5-A1E6-AB08775773FA}"/>
    <dgm:cxn modelId="{5D880F34-9226-4B1D-B264-3B6A02BD817E}" type="presOf" srcId="{71446B42-3883-4838-836A-24B209BB54F2}" destId="{CF319386-1F80-4FFC-877E-F71B474A8BB3}" srcOrd="0" destOrd="0" presId="urn:microsoft.com/office/officeart/2005/8/layout/cycle1"/>
    <dgm:cxn modelId="{8887F7B1-BACA-4EC7-BAD8-C1209EB6C495}" type="presOf" srcId="{F89553DF-6118-4D4A-952E-49A15119DB20}" destId="{112F8A91-2834-465F-BE92-F6DC02E8D3C9}" srcOrd="0" destOrd="0" presId="urn:microsoft.com/office/officeart/2005/8/layout/cycle1"/>
    <dgm:cxn modelId="{31E0F94D-578D-4D77-9158-59B7DA4D111C}" srcId="{703E774C-D48B-4AA5-92DE-0935CA746D81}" destId="{33E142CD-DEC1-4116-831D-DBDD90C25A57}" srcOrd="1" destOrd="0" parTransId="{9ABCC0D3-7BF0-4DDC-8C8F-19CD383AF44F}" sibTransId="{A9D70BE7-FC39-496A-89E1-7339E57120BA}"/>
    <dgm:cxn modelId="{0CE03375-B4FA-4552-8152-DDFD05E2BCE6}" srcId="{703E774C-D48B-4AA5-92DE-0935CA746D81}" destId="{FA8CE0AD-5821-46BD-8CFF-771247F856AE}" srcOrd="5" destOrd="0" parTransId="{6B1C0066-4394-4410-8B04-4B502CF56954}" sibTransId="{F89553DF-6118-4D4A-952E-49A15119DB20}"/>
    <dgm:cxn modelId="{CA29FEC4-D202-4D87-A17B-21DDF9C35814}" type="presOf" srcId="{703E774C-D48B-4AA5-92DE-0935CA746D81}" destId="{A2142AB2-9397-4FB5-9988-36EC393C42CB}" srcOrd="0" destOrd="0" presId="urn:microsoft.com/office/officeart/2005/8/layout/cycle1"/>
    <dgm:cxn modelId="{D895209C-1F31-458F-9F07-4C5D860198BD}" type="presParOf" srcId="{A2142AB2-9397-4FB5-9988-36EC393C42CB}" destId="{5D1BDA1B-B5DC-4EEF-899B-052592E41E6C}" srcOrd="0" destOrd="0" presId="urn:microsoft.com/office/officeart/2005/8/layout/cycle1"/>
    <dgm:cxn modelId="{36777BFE-CA97-44D2-923A-A68538A0CA9D}" type="presParOf" srcId="{A2142AB2-9397-4FB5-9988-36EC393C42CB}" destId="{D1966549-0DF9-4F0D-A302-BF7B0753F828}" srcOrd="1" destOrd="0" presId="urn:microsoft.com/office/officeart/2005/8/layout/cycle1"/>
    <dgm:cxn modelId="{6C5630F5-C926-4465-A849-F9F2F2E9F60D}" type="presParOf" srcId="{A2142AB2-9397-4FB5-9988-36EC393C42CB}" destId="{A8D500DE-EEF3-4275-8022-391B8BB8817B}" srcOrd="2" destOrd="0" presId="urn:microsoft.com/office/officeart/2005/8/layout/cycle1"/>
    <dgm:cxn modelId="{6D961C41-C7F5-4EA6-ADF0-647DB2230F69}" type="presParOf" srcId="{A2142AB2-9397-4FB5-9988-36EC393C42CB}" destId="{B9EDB463-7A3F-4F5A-BF1C-49E71D6B189F}" srcOrd="3" destOrd="0" presId="urn:microsoft.com/office/officeart/2005/8/layout/cycle1"/>
    <dgm:cxn modelId="{00103AAF-73BB-48D2-8DEE-11092296A7C8}" type="presParOf" srcId="{A2142AB2-9397-4FB5-9988-36EC393C42CB}" destId="{B0D9153D-42D8-44AE-B0CB-99BD3B590F8B}" srcOrd="4" destOrd="0" presId="urn:microsoft.com/office/officeart/2005/8/layout/cycle1"/>
    <dgm:cxn modelId="{D1BD9112-E8F2-4E96-B24A-9A57A573BD46}" type="presParOf" srcId="{A2142AB2-9397-4FB5-9988-36EC393C42CB}" destId="{DE8AC65D-3004-4635-BBC7-CAC22A0DD6DD}" srcOrd="5" destOrd="0" presId="urn:microsoft.com/office/officeart/2005/8/layout/cycle1"/>
    <dgm:cxn modelId="{A9F29816-5610-429B-9DC3-5B14EF553A41}" type="presParOf" srcId="{A2142AB2-9397-4FB5-9988-36EC393C42CB}" destId="{3AE70282-864E-458F-AAFD-9E570AC1C4CF}" srcOrd="6" destOrd="0" presId="urn:microsoft.com/office/officeart/2005/8/layout/cycle1"/>
    <dgm:cxn modelId="{3BDC6B40-8A9B-40A0-AEE0-1158ACB22EE2}" type="presParOf" srcId="{A2142AB2-9397-4FB5-9988-36EC393C42CB}" destId="{2EBDA00D-AC15-4BC4-A250-1B3CB35F8750}" srcOrd="7" destOrd="0" presId="urn:microsoft.com/office/officeart/2005/8/layout/cycle1"/>
    <dgm:cxn modelId="{F464DC64-9C49-4AD8-A35C-B1656F1E70D6}" type="presParOf" srcId="{A2142AB2-9397-4FB5-9988-36EC393C42CB}" destId="{8D4627ED-0EC1-4409-8B78-09BE3D50978C}" srcOrd="8" destOrd="0" presId="urn:microsoft.com/office/officeart/2005/8/layout/cycle1"/>
    <dgm:cxn modelId="{C59F8B7C-1FC4-4D9B-B60F-1F82B316B67E}" type="presParOf" srcId="{A2142AB2-9397-4FB5-9988-36EC393C42CB}" destId="{E31560DC-9327-4872-81C9-55BEEB9ECE31}" srcOrd="9" destOrd="0" presId="urn:microsoft.com/office/officeart/2005/8/layout/cycle1"/>
    <dgm:cxn modelId="{BD5047F1-D4B6-44AC-A1AD-73A141156AC9}" type="presParOf" srcId="{A2142AB2-9397-4FB5-9988-36EC393C42CB}" destId="{A40318CE-A4B6-4607-90A8-4F2CD551D648}" srcOrd="10" destOrd="0" presId="urn:microsoft.com/office/officeart/2005/8/layout/cycle1"/>
    <dgm:cxn modelId="{20AA811B-37A1-4BAD-AF51-E73D25C8E3C1}" type="presParOf" srcId="{A2142AB2-9397-4FB5-9988-36EC393C42CB}" destId="{9AFA081A-3EF1-483C-A444-29AAAA4E585B}" srcOrd="11" destOrd="0" presId="urn:microsoft.com/office/officeart/2005/8/layout/cycle1"/>
    <dgm:cxn modelId="{EC3E2D44-006C-4376-8C37-02106182FB25}" type="presParOf" srcId="{A2142AB2-9397-4FB5-9988-36EC393C42CB}" destId="{636FB933-BE02-4879-A9C7-F2CEDAE5CE01}" srcOrd="12" destOrd="0" presId="urn:microsoft.com/office/officeart/2005/8/layout/cycle1"/>
    <dgm:cxn modelId="{63B89D6C-F50E-422B-8C58-2D2BAAC222B7}" type="presParOf" srcId="{A2142AB2-9397-4FB5-9988-36EC393C42CB}" destId="{12700B1A-B85D-4FF5-B205-55C9F7821DFB}" srcOrd="13" destOrd="0" presId="urn:microsoft.com/office/officeart/2005/8/layout/cycle1"/>
    <dgm:cxn modelId="{F1C2EA52-73A5-4315-99D6-FAA551A23024}" type="presParOf" srcId="{A2142AB2-9397-4FB5-9988-36EC393C42CB}" destId="{CF319386-1F80-4FFC-877E-F71B474A8BB3}" srcOrd="14" destOrd="0" presId="urn:microsoft.com/office/officeart/2005/8/layout/cycle1"/>
    <dgm:cxn modelId="{D4CDBEF8-9CD0-42CB-B899-9FF95C9C5E78}" type="presParOf" srcId="{A2142AB2-9397-4FB5-9988-36EC393C42CB}" destId="{384844AB-D8E9-4E64-AE2A-472903A814C7}" srcOrd="15" destOrd="0" presId="urn:microsoft.com/office/officeart/2005/8/layout/cycle1"/>
    <dgm:cxn modelId="{A822BFBA-2306-4F8F-A7B7-44A35D4C240F}" type="presParOf" srcId="{A2142AB2-9397-4FB5-9988-36EC393C42CB}" destId="{E2EBFD85-B803-4096-9E3A-4BE0B1D25D87}" srcOrd="16" destOrd="0" presId="urn:microsoft.com/office/officeart/2005/8/layout/cycle1"/>
    <dgm:cxn modelId="{F3FA2513-F8E5-4638-ACD3-7FD84F090949}" type="presParOf" srcId="{A2142AB2-9397-4FB5-9988-36EC393C42CB}" destId="{112F8A91-2834-465F-BE92-F6DC02E8D3C9}" srcOrd="17" destOrd="0" presId="urn:microsoft.com/office/officeart/2005/8/layout/cycle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966549-0DF9-4F0D-A302-BF7B0753F828}">
      <dsp:nvSpPr>
        <dsp:cNvPr id="0" name=""/>
        <dsp:cNvSpPr/>
      </dsp:nvSpPr>
      <dsp:spPr>
        <a:xfrm>
          <a:off x="2423968" y="6294"/>
          <a:ext cx="774836" cy="5544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1. Needs assessment</a:t>
          </a:r>
        </a:p>
      </dsp:txBody>
      <dsp:txXfrm>
        <a:off x="2423968" y="6294"/>
        <a:ext cx="774836" cy="554476"/>
      </dsp:txXfrm>
    </dsp:sp>
    <dsp:sp modelId="{A8D500DE-EEF3-4275-8022-391B8BB8817B}">
      <dsp:nvSpPr>
        <dsp:cNvPr id="0" name=""/>
        <dsp:cNvSpPr/>
      </dsp:nvSpPr>
      <dsp:spPr>
        <a:xfrm>
          <a:off x="836739" y="493"/>
          <a:ext cx="2710952" cy="2710952"/>
        </a:xfrm>
        <a:prstGeom prst="circularArrow">
          <a:avLst>
            <a:gd name="adj1" fmla="val 3988"/>
            <a:gd name="adj2" fmla="val 250187"/>
            <a:gd name="adj3" fmla="val 20573597"/>
            <a:gd name="adj4" fmla="val 19202874"/>
            <a:gd name="adj5" fmla="val 46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D9153D-42D8-44AE-B0CB-99BD3B590F8B}">
      <dsp:nvSpPr>
        <dsp:cNvPr id="0" name=""/>
        <dsp:cNvSpPr/>
      </dsp:nvSpPr>
      <dsp:spPr>
        <a:xfrm>
          <a:off x="3043140" y="1078731"/>
          <a:ext cx="774836" cy="5544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2. Decision and prioritisation</a:t>
          </a:r>
        </a:p>
      </dsp:txBody>
      <dsp:txXfrm>
        <a:off x="3043140" y="1078731"/>
        <a:ext cx="774836" cy="554476"/>
      </dsp:txXfrm>
    </dsp:sp>
    <dsp:sp modelId="{DE8AC65D-3004-4635-BBC7-CAC22A0DD6DD}">
      <dsp:nvSpPr>
        <dsp:cNvPr id="0" name=""/>
        <dsp:cNvSpPr/>
      </dsp:nvSpPr>
      <dsp:spPr>
        <a:xfrm>
          <a:off x="836739" y="493"/>
          <a:ext cx="2710952" cy="2710952"/>
        </a:xfrm>
        <a:prstGeom prst="circularArrow">
          <a:avLst>
            <a:gd name="adj1" fmla="val 3988"/>
            <a:gd name="adj2" fmla="val 250187"/>
            <a:gd name="adj3" fmla="val 2146939"/>
            <a:gd name="adj4" fmla="val 776216"/>
            <a:gd name="adj5" fmla="val 46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BDA00D-AC15-4BC4-A250-1B3CB35F8750}">
      <dsp:nvSpPr>
        <dsp:cNvPr id="0" name=""/>
        <dsp:cNvSpPr/>
      </dsp:nvSpPr>
      <dsp:spPr>
        <a:xfrm>
          <a:off x="2423968" y="2151167"/>
          <a:ext cx="774836" cy="5544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3. Project preparation</a:t>
          </a:r>
        </a:p>
      </dsp:txBody>
      <dsp:txXfrm>
        <a:off x="2423968" y="2151167"/>
        <a:ext cx="774836" cy="554476"/>
      </dsp:txXfrm>
    </dsp:sp>
    <dsp:sp modelId="{8D4627ED-0EC1-4409-8B78-09BE3D50978C}">
      <dsp:nvSpPr>
        <dsp:cNvPr id="0" name=""/>
        <dsp:cNvSpPr/>
      </dsp:nvSpPr>
      <dsp:spPr>
        <a:xfrm>
          <a:off x="836739" y="493"/>
          <a:ext cx="2710952" cy="2710952"/>
        </a:xfrm>
        <a:prstGeom prst="circularArrow">
          <a:avLst>
            <a:gd name="adj1" fmla="val 3988"/>
            <a:gd name="adj2" fmla="val 250187"/>
            <a:gd name="adj3" fmla="val 5796996"/>
            <a:gd name="adj4" fmla="val 4752817"/>
            <a:gd name="adj5" fmla="val 46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0318CE-A4B6-4607-90A8-4F2CD551D648}">
      <dsp:nvSpPr>
        <dsp:cNvPr id="0" name=""/>
        <dsp:cNvSpPr/>
      </dsp:nvSpPr>
      <dsp:spPr>
        <a:xfrm>
          <a:off x="1185625" y="2151167"/>
          <a:ext cx="774836" cy="5544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4. Construction</a:t>
          </a:r>
        </a:p>
      </dsp:txBody>
      <dsp:txXfrm>
        <a:off x="1185625" y="2151167"/>
        <a:ext cx="774836" cy="554476"/>
      </dsp:txXfrm>
    </dsp:sp>
    <dsp:sp modelId="{9AFA081A-3EF1-483C-A444-29AAAA4E585B}">
      <dsp:nvSpPr>
        <dsp:cNvPr id="0" name=""/>
        <dsp:cNvSpPr/>
      </dsp:nvSpPr>
      <dsp:spPr>
        <a:xfrm>
          <a:off x="836739" y="493"/>
          <a:ext cx="2710952" cy="2710952"/>
        </a:xfrm>
        <a:prstGeom prst="circularArrow">
          <a:avLst>
            <a:gd name="adj1" fmla="val 3988"/>
            <a:gd name="adj2" fmla="val 250187"/>
            <a:gd name="adj3" fmla="val 9773597"/>
            <a:gd name="adj4" fmla="val 8402874"/>
            <a:gd name="adj5" fmla="val 46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700B1A-B85D-4FF5-B205-55C9F7821DFB}">
      <dsp:nvSpPr>
        <dsp:cNvPr id="0" name=""/>
        <dsp:cNvSpPr/>
      </dsp:nvSpPr>
      <dsp:spPr>
        <a:xfrm>
          <a:off x="566454" y="1078731"/>
          <a:ext cx="774836" cy="5544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5. Operation and maintenance</a:t>
          </a:r>
        </a:p>
      </dsp:txBody>
      <dsp:txXfrm>
        <a:off x="566454" y="1078731"/>
        <a:ext cx="774836" cy="554476"/>
      </dsp:txXfrm>
    </dsp:sp>
    <dsp:sp modelId="{CF319386-1F80-4FFC-877E-F71B474A8BB3}">
      <dsp:nvSpPr>
        <dsp:cNvPr id="0" name=""/>
        <dsp:cNvSpPr/>
      </dsp:nvSpPr>
      <dsp:spPr>
        <a:xfrm>
          <a:off x="836739" y="493"/>
          <a:ext cx="2710952" cy="2710952"/>
        </a:xfrm>
        <a:prstGeom prst="circularArrow">
          <a:avLst>
            <a:gd name="adj1" fmla="val 3988"/>
            <a:gd name="adj2" fmla="val 250187"/>
            <a:gd name="adj3" fmla="val 12946939"/>
            <a:gd name="adj4" fmla="val 11576216"/>
            <a:gd name="adj5" fmla="val 46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EBFD85-B803-4096-9E3A-4BE0B1D25D87}">
      <dsp:nvSpPr>
        <dsp:cNvPr id="0" name=""/>
        <dsp:cNvSpPr/>
      </dsp:nvSpPr>
      <dsp:spPr>
        <a:xfrm>
          <a:off x="1120297" y="6294"/>
          <a:ext cx="905493" cy="5544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Arial Narrow" panose="020B0606020202030204" pitchFamily="34" charset="0"/>
            </a:rPr>
            <a:t>6. Decommissioning</a:t>
          </a:r>
        </a:p>
      </dsp:txBody>
      <dsp:txXfrm>
        <a:off x="1120297" y="6294"/>
        <a:ext cx="905493" cy="554476"/>
      </dsp:txXfrm>
    </dsp:sp>
    <dsp:sp modelId="{112F8A91-2834-465F-BE92-F6DC02E8D3C9}">
      <dsp:nvSpPr>
        <dsp:cNvPr id="0" name=""/>
        <dsp:cNvSpPr/>
      </dsp:nvSpPr>
      <dsp:spPr>
        <a:xfrm>
          <a:off x="836739" y="493"/>
          <a:ext cx="2710952" cy="2710952"/>
        </a:xfrm>
        <a:prstGeom prst="circularArrow">
          <a:avLst>
            <a:gd name="adj1" fmla="val 3988"/>
            <a:gd name="adj2" fmla="val 250187"/>
            <a:gd name="adj3" fmla="val 16596996"/>
            <a:gd name="adj4" fmla="val 15736588"/>
            <a:gd name="adj5" fmla="val 465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19DC74055884EB4DCF7941CE0E4BF" ma:contentTypeVersion="12" ma:contentTypeDescription="Create a new document." ma:contentTypeScope="" ma:versionID="9f10b69071d3e7351409932a5b7dca4e">
  <xsd:schema xmlns:xsd="http://www.w3.org/2001/XMLSchema" xmlns:p="http://schemas.microsoft.com/office/2006/metadata/properties" xmlns:ns1="http://schemas.microsoft.com/sharepoint/v3" targetNamespace="http://schemas.microsoft.com/office/2006/metadata/properties" ma:root="true" ma:fieldsID="95c0db4df0ef37d18f9d85e740968ab4"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element name="EmailSender" ma:index="13" nillable="true" ma:displayName="E-Mail Sender" ma:hidden="true" ma:internalName="EmailSender">
      <xsd:simpleType>
        <xsd:restriction base="dms:Note"/>
      </xsd:simpleType>
    </xsd:element>
    <xsd:element name="EmailTo" ma:index="14" nillable="true" ma:displayName="E-Mail To" ma:hidden="true" ma:internalName="EmailTo">
      <xsd:simpleType>
        <xsd:restriction base="dms:Note"/>
      </xsd:simpleType>
    </xsd:element>
    <xsd:element name="EmailCc" ma:index="15" nillable="true" ma:displayName="E-Mail Cc" ma:hidden="true" ma:internalName="EmailCc">
      <xsd:simpleType>
        <xsd:restriction base="dms:Note"/>
      </xsd:simpleType>
    </xsd:element>
    <xsd:element name="EmailFrom" ma:index="16" nillable="true" ma:displayName="E-Mail From" ma:hidden="true" ma:internalName="EmailFrom">
      <xsd:simpleType>
        <xsd:restriction base="dms:Text"/>
      </xsd:simpleType>
    </xsd:element>
    <xsd:element name="EmailSubject" ma:index="17"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E229-E307-4B2D-B386-85A0B552F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2D5C0B-C8F6-459A-8A0C-049F4C680D91}">
  <ds:schemaRefs>
    <ds:schemaRef ds:uri="http://schemas.microsoft.com/sharepoint/v3/contenttype/forms"/>
  </ds:schemaRefs>
</ds:datastoreItem>
</file>

<file path=customXml/itemProps3.xml><?xml version="1.0" encoding="utf-8"?>
<ds:datastoreItem xmlns:ds="http://schemas.openxmlformats.org/officeDocument/2006/customXml" ds:itemID="{CEEF47F8-C1C6-4A6C-A31D-48950B425B35}">
  <ds:schemaRefs>
    <ds:schemaRef ds:uri="http://schemas.microsoft.com/sharepoint/v3"/>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42ADA93-D95A-45CA-A408-D853824E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DBCFF38.dotm</Template>
  <TotalTime>1152</TotalTime>
  <Pages>65</Pages>
  <Words>13524</Words>
  <Characters>86721</Characters>
  <Application>Microsoft Office Word</Application>
  <DocSecurity>0</DocSecurity>
  <Lines>1769</Lines>
  <Paragraphs>593</Paragraphs>
  <ScaleCrop>false</ScaleCrop>
  <HeadingPairs>
    <vt:vector size="2" baseType="variant">
      <vt:variant>
        <vt:lpstr>Title</vt:lpstr>
      </vt:variant>
      <vt:variant>
        <vt:i4>1</vt:i4>
      </vt:variant>
    </vt:vector>
  </HeadingPairs>
  <TitlesOfParts>
    <vt:vector size="1" baseType="lpstr">
      <vt:lpstr>16x23 CRC Template</vt:lpstr>
    </vt:vector>
  </TitlesOfParts>
  <Company>OECD</Company>
  <LinksUpToDate>false</LinksUpToDate>
  <CharactersWithSpaces>99652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16x23 CRC Template</dc:title>
  <dc:creator>STEIN Jennifer</dc:creator>
  <cp:lastModifiedBy>STEIN Jennifer</cp:lastModifiedBy>
  <cp:revision>62</cp:revision>
  <cp:lastPrinted>2017-01-25T12:16:00Z</cp:lastPrinted>
  <dcterms:created xsi:type="dcterms:W3CDTF">2017-01-06T15:22:00Z</dcterms:created>
  <dcterms:modified xsi:type="dcterms:W3CDTF">2017-01-25T15:59:00Z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0x01010008719DC74055884EB4DCF7941CE0E4BF</vt:lpwstr>
  </property>
</Properties>
</file>