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C83F" w14:textId="70EB4BA5" w:rsidR="005B200B" w:rsidRPr="00926A43" w:rsidRDefault="00D72994" w:rsidP="00742218">
      <w:pPr>
        <w:suppressLineNumbers/>
        <w:spacing w:line="240" w:lineRule="auto"/>
        <w:jc w:val="center"/>
        <w:rPr>
          <w:rStyle w:val="fontstyle01"/>
          <w:rFonts w:ascii="Arial" w:hAnsi="Arial" w:cs="Arial"/>
          <w:b w:val="0"/>
          <w:color w:val="000000" w:themeColor="text1"/>
          <w:sz w:val="24"/>
          <w:szCs w:val="24"/>
        </w:rPr>
      </w:pPr>
      <w:r w:rsidRPr="00926A43">
        <w:rPr>
          <w:noProof/>
          <w:sz w:val="24"/>
          <w:szCs w:val="24"/>
          <w:lang w:eastAsia="pt-BR"/>
        </w:rPr>
        <w:drawing>
          <wp:inline distT="0" distB="0" distL="0" distR="0" wp14:anchorId="21797465" wp14:editId="75412351">
            <wp:extent cx="1024255" cy="951230"/>
            <wp:effectExtent l="0" t="0" r="4445" b="1270"/>
            <wp:docPr id="2" name="Imagem 2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7C16" w14:textId="77777777" w:rsidR="005B200B" w:rsidRPr="00926A43" w:rsidRDefault="005B200B" w:rsidP="00742218">
      <w:pPr>
        <w:suppressLineNumbers/>
        <w:spacing w:line="240" w:lineRule="auto"/>
        <w:jc w:val="center"/>
        <w:rPr>
          <w:rStyle w:val="fontstyle01"/>
          <w:rFonts w:ascii="Arial" w:hAnsi="Arial" w:cs="Arial"/>
          <w:b w:val="0"/>
          <w:color w:val="000000" w:themeColor="text1"/>
          <w:sz w:val="24"/>
          <w:szCs w:val="24"/>
        </w:rPr>
      </w:pPr>
    </w:p>
    <w:p w14:paraId="62D17597" w14:textId="3BC341B6" w:rsidR="001343F3" w:rsidRPr="00926A43" w:rsidRDefault="001343F3" w:rsidP="00742218">
      <w:pPr>
        <w:suppressLineNumbers/>
        <w:spacing w:line="240" w:lineRule="auto"/>
        <w:jc w:val="center"/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</w:pPr>
      <w:r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>Coordenação de Aperfeiçoamento de Pessoal de Nível Superior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>Coordenação Executiva dos Órgãos Colegiados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>Conselho Técnico Científico da Educação Superior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Ata </w:t>
      </w:r>
      <w:r w:rsidR="00D92FA4"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da </w:t>
      </w:r>
      <w:r w:rsidR="00E0360F"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>209</w:t>
      </w:r>
      <w:r w:rsidR="00D92FA4"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ª </w:t>
      </w:r>
      <w:r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>Reunião</w:t>
      </w:r>
      <w:r w:rsidR="009959A1" w:rsidRPr="00926A43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Ordinária</w:t>
      </w:r>
      <w:r w:rsidRPr="00926A43">
        <w:rPr>
          <w:rStyle w:val="fontstyle01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0360F"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>05 e 06</w:t>
      </w:r>
      <w:r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E0360F"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>outubro</w:t>
      </w:r>
      <w:r w:rsidR="00D92FA4"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6A43"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  <w:t>de 2021</w:t>
      </w:r>
    </w:p>
    <w:p w14:paraId="591B22AC" w14:textId="77777777" w:rsidR="001343F3" w:rsidRPr="00926A43" w:rsidRDefault="001343F3" w:rsidP="00742218">
      <w:pPr>
        <w:suppressLineNumbers/>
        <w:spacing w:line="240" w:lineRule="auto"/>
        <w:jc w:val="center"/>
        <w:rPr>
          <w:rStyle w:val="fontstyle21"/>
          <w:rFonts w:ascii="Arial" w:hAnsi="Arial" w:cs="Arial"/>
          <w:bCs/>
          <w:color w:val="000000" w:themeColor="text1"/>
          <w:sz w:val="24"/>
          <w:szCs w:val="24"/>
        </w:rPr>
      </w:pPr>
    </w:p>
    <w:p w14:paraId="14E12D1A" w14:textId="6A276C98" w:rsidR="00E23211" w:rsidRPr="00926A43" w:rsidRDefault="001343F3" w:rsidP="002214CB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>No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dia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0360F" w:rsidRPr="00926A43">
        <w:rPr>
          <w:rFonts w:ascii="Arial" w:hAnsi="Arial" w:cs="Arial"/>
          <w:bCs/>
          <w:color w:val="000000" w:themeColor="text1"/>
          <w:sz w:val="24"/>
          <w:szCs w:val="24"/>
        </w:rPr>
        <w:t>05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06 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do </w:t>
      </w:r>
      <w:r w:rsidR="00E0360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mês de outubro 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>de 2021, realizou-se por videoconferência, via plataforma</w:t>
      </w:r>
      <w:r w:rsidR="001536C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Teams, a </w:t>
      </w:r>
      <w:r w:rsidR="00E0360F" w:rsidRPr="00926A43">
        <w:rPr>
          <w:rFonts w:ascii="Arial" w:hAnsi="Arial" w:cs="Arial"/>
          <w:bCs/>
          <w:color w:val="000000" w:themeColor="text1"/>
          <w:sz w:val="24"/>
          <w:szCs w:val="24"/>
        </w:rPr>
        <w:t>Ducentésima Nona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Reunião </w:t>
      </w:r>
      <w:r w:rsidR="009959A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Ordinária 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>do Conselho Técnico Científico da Educação Superior (CTC - ES)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sob a 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>Presidência</w:t>
      </w:r>
      <w:r w:rsidR="00D6194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 Diretor de Avaliação 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9C69B9" w:rsidRPr="00926A4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D6194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457" w:rsidRPr="00926A43">
        <w:rPr>
          <w:rFonts w:ascii="Arial" w:hAnsi="Arial" w:cs="Arial"/>
          <w:bCs/>
          <w:color w:val="000000" w:themeColor="text1"/>
          <w:sz w:val="24"/>
          <w:szCs w:val="24"/>
        </w:rPr>
        <w:t>Capes</w:t>
      </w:r>
      <w:r w:rsidR="00D6194B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Prof. 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>Flávio Anastácio de Oliveira Camargo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com a presença dos(as) seguintes conselheiros(as): </w:t>
      </w:r>
      <w:r w:rsidR="00FE2756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Profa. Adelaide Faljoni-Alario, Coordenadora da área Interdisciplinar; Profa. Adriana Moreira Amado, Coordenadora da área de Economia; Prof. Adriano Lisboa Monteiro, Coordenador da área de Química; Profa. Altair Antoninha Del Bel Cury, Coordenadora da área de Odontologia; Prof. André Pereira Reinert Tokarski, representante da ANPG; Prof. Antonio Eduardo Martinelli, Coordenador da área de Materiais; Prof. Bernardo Lessa Horta, Coordenador da área de Saúde Coletiva; </w:t>
      </w:r>
      <w:r w:rsidR="00784A0F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Prof. Carlos Henrique de Carvalho, representante do FOPROP; </w:t>
      </w:r>
      <w:r w:rsidR="00FE2756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>Profa. Denise Freitas, Coordenadora da área de Medicina III; Prof. Edson Fernando Dalmonte, Coordenador da área de Comunicação e Informação; Prof. Flávio Augusto Senra Ribeiro, Coordenador da área de Ciências da Religião e Teologia; Profa. Germana Maria Araújo Sales, Coordenadora da área de Linguística e Literatura; Prof. José Roberto Mineo, Coordenador da área de Ciências Biológicas III; Prof. Luís Manuel Rebelo Fernandes, Coordenador da área de Ciência Política e Relações Internacionais; Prof. Paulo Jorge Parreira dos Santos, Coordenador da área de Biodiversidade; Prof. Reinaldo Giudici, Coordenador da área de Engenharias II; Prof. Robert Evan Verhine, Coordenador da Área de Educação; Prof. Rômulo Dante Orrico Filho, Coordenador da área de Engenharias I; Prof. Ronaldo Lopes Oliveira, Coordenador da área de Zootecnia e Recursos Pesqueiros;</w:t>
      </w:r>
      <w:r w:rsidR="00FA3D8F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e</w:t>
      </w:r>
      <w:r w:rsidR="00FE2756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Prof. Tercio Ambrizzi, Coordenador da Área de Geociências;</w:t>
      </w:r>
      <w:r w:rsidR="00FA3D8F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além da Profa. Zena Martins, Diretora de Programas e Bolsas no País e da Profa. Lívia Palumbo, Diretora de Relações Internacionais da </w:t>
      </w:r>
      <w:r w:rsidR="00D03457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>Capes</w:t>
      </w:r>
      <w:r w:rsidR="00FA3D8F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>.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FE2756" w:rsidRPr="00926A43">
        <w:rPr>
          <w:rFonts w:ascii="Arial" w:hAnsi="Arial" w:cs="Arial"/>
          <w:bCs/>
          <w:color w:val="000000" w:themeColor="text1"/>
          <w:sz w:val="24"/>
          <w:szCs w:val="24"/>
        </w:rPr>
        <w:t>odos os membros dos Colégios puderam participar da reunião, na condição de ouvintes, em virtude do caráter público da reunião.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A3E" w:rsidRPr="00926A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Abertura:</w:t>
      </w:r>
      <w:r w:rsidR="00A70A3E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Prof. Flávio Camargo</w:t>
      </w:r>
      <w:r w:rsidR="002B257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>deu início à reunião às 9h00 dando boas-vindas aos presentes e informou a pauta da reunião:  a) Aprovação das atas da 1ª Reunião Extraordinária, ocorrida em 29 de setembro de 2021; b) Aprovação da ata da 207ª Reunião Ordinária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>; c) S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ubsídios para Ação Civil Pública; e 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>) Convalidação das propostas de Apresentação de Propostas de Cursos Novos (APCN)</w:t>
      </w:r>
      <w:r w:rsidR="006C19F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>Segu</w:t>
      </w:r>
      <w:r w:rsidR="006C19FF" w:rsidRPr="00926A43">
        <w:rPr>
          <w:rFonts w:ascii="Arial" w:hAnsi="Arial" w:cs="Arial"/>
          <w:bCs/>
          <w:color w:val="000000" w:themeColor="text1"/>
          <w:sz w:val="24"/>
          <w:szCs w:val="24"/>
        </w:rPr>
        <w:t>iu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informando que na reunião extraordinária da semana passada foi designada comissão para verificar os documentos orientadores de APCN. Sobre este assunto, a Professora Denise solicitou mais tempo para concluir o trabalho, razão pela qual este tópico, que originalmente estava previsto a ser discutido na presente reunião, foi adiado para novembro.</w:t>
      </w:r>
      <w:r w:rsidR="00890FBA" w:rsidRPr="00926A43">
        <w:rPr>
          <w:sz w:val="24"/>
          <w:szCs w:val="24"/>
        </w:rPr>
        <w:t xml:space="preserve"> </w:t>
      </w:r>
      <w:r w:rsidR="00902E38" w:rsidRPr="00926A4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Convalidação dos atos do CTC-ES para as propostas de APCN:</w:t>
      </w:r>
      <w:r w:rsidR="00902E38" w:rsidRPr="00926A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90FB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Prof. Flávio Camargo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rememorou </w:t>
      </w:r>
      <w:r w:rsidR="0012292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reunião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anterior </w:t>
      </w:r>
      <w:r w:rsidR="0012292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quando foi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definido que </w:t>
      </w:r>
      <w:r w:rsidR="000177E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as 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>atas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transcrições das reuniões </w:t>
      </w:r>
      <w:r w:rsidR="000177E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seriam analisadas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para checagem das votações 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>com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>dois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votos de diferença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aprovando ou reprovando</w:t>
      </w:r>
      <w:r w:rsidR="000177E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as propostas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6C19F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Ao realizar consulta à CECOL (Capes) verificou-se que era possível obter as transcrições das atas de aprovação de APCN, e que o volume do material estaria em torno de 9.442 páginas. Diante do exposto, informa que ainda não houve possibilidade da DAV processar este material, tendo em vista a imensa demanda de trabalho direcionada para resposta à Ação Civil Pública (ACP).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Prof. Edson Fernando Dalmonte apresentou a proposta de realizar a pesquisa por termos e a utilização de </w:t>
      </w:r>
      <w:r w:rsidR="004C7DD6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>softwares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específicos que trabalham com análise de conteúdo, fazendo um 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>trabalho de sistematização e encaminhamento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de forma célere.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Em resposta, 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Prof.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Flávio Camargo </w:t>
      </w:r>
      <w:r w:rsidR="000177E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sugeriu apresentar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esta </w:t>
      </w:r>
      <w:r w:rsidR="009A2B5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sugestão </w:t>
      </w:r>
      <w:r w:rsidR="004C7DD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ao responsável pela 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>Diretoria de Tecnologia da Informação (</w:t>
      </w:r>
      <w:r w:rsidR="00DC0FFA" w:rsidRPr="00926A43">
        <w:rPr>
          <w:rFonts w:ascii="Arial" w:hAnsi="Arial" w:cs="Arial"/>
          <w:bCs/>
          <w:color w:val="000000" w:themeColor="text1"/>
          <w:sz w:val="24"/>
          <w:szCs w:val="24"/>
        </w:rPr>
        <w:t>DTI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0177E8" w:rsidRPr="00926A43">
        <w:rPr>
          <w:rFonts w:ascii="Arial" w:hAnsi="Arial" w:cs="Arial"/>
          <w:bCs/>
          <w:color w:val="000000" w:themeColor="text1"/>
          <w:sz w:val="24"/>
          <w:szCs w:val="24"/>
        </w:rPr>
        <w:t>. Assim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9A2B5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sugeriu 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que a questão seja apreciada na 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>próxima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reunião do CTC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-E</w:t>
      </w:r>
      <w:r w:rsidR="009A2B5A" w:rsidRPr="00926A4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a ser realizada nos dias 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09, 10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de novembro</w:t>
      </w:r>
      <w:r w:rsidR="006C19F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>Não havendo manifestações contrárias, o encaminhamento foi considerado aprovado.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Professor Mineo manifesta dúvida em relação à convalidação das APCN, questiona a respeito de qual será o rito a ser dado nesses procedimentos, será um recurso à Presidência da Capes ou um pedido de reconsideração ao CTC? Prof. Flávio </w:t>
      </w:r>
      <w:r w:rsidR="00926A43" w:rsidRPr="00926A43">
        <w:rPr>
          <w:rFonts w:ascii="Arial" w:hAnsi="Arial" w:cs="Arial"/>
          <w:bCs/>
          <w:color w:val="000000" w:themeColor="text1"/>
          <w:sz w:val="24"/>
          <w:szCs w:val="24"/>
        </w:rPr>
        <w:t>Camargo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responde que foi enviada à Procuradoria na Capes, consulta a respeito desse rito e a DAV ainda aguarda retorno, tão logo esteja pronto todos serão comunicados. Neste momento, questionou os membros se a convalidação deveria ocorrer ainda nesta reunião ou em momento posterior. Em resposta, os presentes se manifestaram a favor de aguardar o posicionamento da Procuradoria para prosseguirem com embasamento jurídico.</w:t>
      </w:r>
      <w:r w:rsidR="00926A43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A3D8F" w:rsidRPr="00926A4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Apresentação do documento/subsídio para a ACP solicitado pela Procuradoria:</w:t>
      </w:r>
      <w:r w:rsidR="00FA3D8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>Em seguida o grupo decid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iu apresentar 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os documentos trabalhados pelos Colégios, em resposta à ACP. Sobre este assunto, na reunião do Colégio de Humanidades, foi relatado que </w:t>
      </w:r>
      <w:r w:rsidR="00926A43" w:rsidRPr="00926A43">
        <w:rPr>
          <w:rFonts w:ascii="Arial" w:hAnsi="Arial" w:cs="Arial"/>
          <w:bCs/>
          <w:color w:val="000000" w:themeColor="text1"/>
          <w:sz w:val="24"/>
          <w:szCs w:val="24"/>
        </w:rPr>
        <w:t>Flaviane de Magalhães Barros Bolzan de Morais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Coordenadora Adjunta da </w:t>
      </w:r>
      <w:r w:rsidR="002214C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área do Direito) realizou uma explanação no sentindo de esclarecer os termos da ação judicial e elaboração da defesa. </w:t>
      </w:r>
      <w:r w:rsidR="00CA190A" w:rsidRPr="00926A43">
        <w:rPr>
          <w:rFonts w:ascii="Arial" w:hAnsi="Arial" w:cs="Arial"/>
          <w:bCs/>
          <w:color w:val="000000" w:themeColor="text1"/>
          <w:sz w:val="24"/>
          <w:szCs w:val="24"/>
        </w:rPr>
        <w:t>Ela apont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>ou</w:t>
      </w:r>
      <w:r w:rsidR="00CA190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sobretudo, a importância do papel que as áreas de avaliação têm na elaboração dos subsídios para que a Capes tenha capacidade de apresentar o maior número de provas dos seus melhores argumentos. Por fim, os presentes concordaram que a apresentação foi extremamente didática, uma vez que foram apresentados os diferentes enfoques e cenários, seja do ponto de vista do Ministério Público e da juíza que concedeu a liminar, ou do ponto de vista das possibilidades de defesa. Por fim, Prof. Flávio Anastácio agradeceu a apresentação e anunciou o retorno às 14h. 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>Iniciando a reunião no período da tarde, Prof. Flávio Anastácio de Oliveira Camargo</w:t>
      </w:r>
      <w:r w:rsidR="00181F8B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47797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passou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palavra à Comissão especial para apresentação 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as respostas 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>do CTC</w:t>
      </w:r>
      <w:r w:rsidR="00181F8B" w:rsidRPr="00926A43">
        <w:rPr>
          <w:rFonts w:ascii="Arial" w:hAnsi="Arial" w:cs="Arial"/>
          <w:bCs/>
          <w:color w:val="000000" w:themeColor="text1"/>
          <w:sz w:val="24"/>
          <w:szCs w:val="24"/>
        </w:rPr>
        <w:t>-ES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>à ACP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 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Prof. Adriano Lisboa Monteiro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explicou que o grupo </w:t>
      </w:r>
      <w:r w:rsidR="00E05BBE" w:rsidRPr="00926A43">
        <w:rPr>
          <w:rFonts w:ascii="Arial" w:hAnsi="Arial" w:cs="Arial"/>
          <w:bCs/>
          <w:color w:val="000000" w:themeColor="text1"/>
          <w:sz w:val="24"/>
          <w:szCs w:val="24"/>
        </w:rPr>
        <w:t>buscou elaborar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resposta conjunta a ser utilizada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por 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todos os 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>olégios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>áreas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 que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eles se tomaram com subsídios </w:t>
      </w:r>
      <w:r w:rsidR="009E1A3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ota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écnica </w:t>
      </w:r>
      <w:r w:rsidR="004D37A4" w:rsidRPr="00926A43">
        <w:rPr>
          <w:rFonts w:ascii="Arial" w:hAnsi="Arial" w:cs="Arial"/>
          <w:bCs/>
          <w:color w:val="000000" w:themeColor="text1"/>
          <w:sz w:val="24"/>
          <w:szCs w:val="24"/>
        </w:rPr>
        <w:t>elaborada pela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457" w:rsidRPr="00926A43">
        <w:rPr>
          <w:rFonts w:ascii="Arial" w:hAnsi="Arial" w:cs="Arial"/>
          <w:bCs/>
          <w:color w:val="000000" w:themeColor="text1"/>
          <w:sz w:val="24"/>
          <w:szCs w:val="24"/>
        </w:rPr>
        <w:t>Diretoria de Avaliação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no processo da ACP movida pelo MPF-MG</w:t>
      </w:r>
      <w:r w:rsidR="00237F71" w:rsidRPr="00926A4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52EF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Em sua visão,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não </w:t>
      </w:r>
      <w:r w:rsidR="00926A43" w:rsidRPr="00926A43">
        <w:rPr>
          <w:rFonts w:ascii="Arial" w:hAnsi="Arial" w:cs="Arial"/>
          <w:bCs/>
          <w:color w:val="000000" w:themeColor="text1"/>
          <w:sz w:val="24"/>
          <w:szCs w:val="24"/>
        </w:rPr>
        <w:t>se pode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>negar que houve mudanças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na avaliação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mas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destaca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que a comunidade tinha conhecimento, que os aperfeiçoamentos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surg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iram para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beneficiar o 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>SNPG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Sobre o item novo ‘</w:t>
      </w:r>
      <w:r w:rsidR="00926A43" w:rsidRPr="00926A43">
        <w:rPr>
          <w:rFonts w:ascii="Arial" w:hAnsi="Arial" w:cs="Arial"/>
          <w:bCs/>
          <w:color w:val="000000" w:themeColor="text1"/>
          <w:sz w:val="24"/>
          <w:szCs w:val="24"/>
        </w:rPr>
        <w:t>autoavaliação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’,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não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>cobrar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ia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resultados. Os demais itens beneficiam os programas, pois puderam escolher suas melhores teses, seus melhores egressos,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dentre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outros.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1135BD" w:rsidRPr="00926A43">
        <w:rPr>
          <w:rFonts w:ascii="Arial" w:hAnsi="Arial" w:cs="Arial"/>
          <w:bCs/>
          <w:color w:val="000000" w:themeColor="text1"/>
          <w:sz w:val="24"/>
          <w:szCs w:val="24"/>
        </w:rPr>
        <w:t>á erros de nomenclatura que são importantes de serem apontadas para o juiz.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Prof. Bob </w:t>
      </w:r>
      <w:r w:rsidR="00542149" w:rsidRPr="00926A43">
        <w:rPr>
          <w:rFonts w:ascii="Arial" w:hAnsi="Arial" w:cs="Arial"/>
          <w:bCs/>
          <w:color w:val="000000" w:themeColor="text1"/>
          <w:sz w:val="24"/>
          <w:szCs w:val="24"/>
        </w:rPr>
        <w:t>Verhine sugeriu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que o documento preparado pelo CTC deveria ser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utilizado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pelas áreas, 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fim de que houve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entendimento comum entre ambos</w:t>
      </w:r>
      <w:r w:rsidR="003E45B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com relação aos pontos elencados na ação judicial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. Explic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ou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que na literatura clássica há dois modelos de avaliação: quase sempre quando se lida com escalas usa-se o modelo comparativo e que, a partir da década de 1960, o sistema de avaliação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incorporou o caráter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comparativo, assim a nota de corte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passou a ser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definida </w:t>
      </w:r>
      <w:r w:rsidR="00C11FC1" w:rsidRPr="00926A43">
        <w:rPr>
          <w:rFonts w:ascii="Arial" w:hAnsi="Arial" w:cs="Arial"/>
          <w:bCs/>
          <w:i/>
          <w:color w:val="000000" w:themeColor="text1"/>
          <w:sz w:val="24"/>
          <w:szCs w:val="24"/>
        </w:rPr>
        <w:t>a posteriori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11FC1" w:rsidRPr="00926A43">
        <w:rPr>
          <w:sz w:val="24"/>
          <w:szCs w:val="24"/>
        </w:rPr>
        <w:t xml:space="preserve">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Ressalt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ou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, também, que a avaliação da C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>apes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tem abordagem </w:t>
      </w:r>
      <w:r w:rsidR="00C11FC1" w:rsidRPr="00926A43">
        <w:rPr>
          <w:rFonts w:ascii="Arial" w:hAnsi="Arial" w:cs="Arial"/>
          <w:bCs/>
          <w:color w:val="000000" w:themeColor="text1"/>
          <w:sz w:val="24"/>
          <w:szCs w:val="24"/>
        </w:rPr>
        <w:t>formativa, em que as comissões estão sempre buscando melhorias a partir da experiência da avaliação anterior.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Ainda na análise dos termos, aponta a confusão entre critérios e indicadores. Quando o MPF menciona critérios, na verdade estão se referindo a indicadores e que os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indicadores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foram divulgados antes do processo de avaliação propriamente dito. </w:t>
      </w:r>
      <w:r w:rsidR="00F52EFF" w:rsidRPr="00926A43">
        <w:rPr>
          <w:rFonts w:ascii="Arial" w:hAnsi="Arial" w:cs="Arial"/>
          <w:bCs/>
          <w:color w:val="000000" w:themeColor="text1"/>
          <w:sz w:val="24"/>
          <w:szCs w:val="24"/>
        </w:rPr>
        <w:t>O Prof. Paulo Jorge Parreira dos Santos deu continuidade, salientando a necessidade de que</w:t>
      </w:r>
      <w:r w:rsidR="00D03457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52EF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ao final da discussão e das melhorias propostas, haja uma tentativa de acordo no sentido de alinhar o conjunto de respostas pela ampla defesa do modelo de avaliação da Capes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Após discussão da matéria, a Sra. Fabiene Ferreira, representante da DAV,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explicou que o material a ser apresentado pelas áreas seria 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>consolida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do 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>dentro do processo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utilizando os 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anexos e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elaborando 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>um despacho de encaminhamento para a Procuradoria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6038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citando todos os documentos que foram encaminhados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Os conselheiros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foram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orientados sobre a necessidade de assinatura nos documentos a serem encaminhados pelas áreas. Prof. Ronaldo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de Oliveira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coloc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ou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 questão da importância de juntar documentos de instituições que apoiam a avaliação, a exemplo do Manifesto do Zootecnia e outros.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Por fim, </w:t>
      </w:r>
      <w:r w:rsidR="00B319DB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Prof.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Flávio Anastácio de Oliveira Camargo explicitou que faria uma consulta aos conselheiros sobre a possibilidade de elaboração de um Termo de Ajuste de Conduta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(TAC)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para o próximo 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>Q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uadriênio,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pois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esta solicitação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foi sugerida 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à DAV pela Procuradoria </w:t>
      </w:r>
      <w:r w:rsidR="00D03457" w:rsidRPr="00926A43">
        <w:rPr>
          <w:rFonts w:ascii="Arial" w:hAnsi="Arial" w:cs="Arial"/>
          <w:bCs/>
          <w:color w:val="000000" w:themeColor="text1"/>
          <w:sz w:val="24"/>
          <w:szCs w:val="24"/>
        </w:rPr>
        <w:t>Federal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Não havendo mais tempo hábil, propôs que a reunião 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>tivesse continuação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no dia seguinte, possibilitando que as áreas trabalhassem nos seus respectivos materiais e se reunissem para </w:t>
      </w:r>
      <w:r w:rsidR="00B82983" w:rsidRPr="00926A43">
        <w:rPr>
          <w:rFonts w:ascii="Arial" w:hAnsi="Arial" w:cs="Arial"/>
          <w:bCs/>
          <w:color w:val="000000" w:themeColor="text1"/>
          <w:sz w:val="24"/>
          <w:szCs w:val="24"/>
        </w:rPr>
        <w:t>a conclusão</w:t>
      </w:r>
      <w:r w:rsidR="00067F06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82983" w:rsidRPr="00926A43">
        <w:rPr>
          <w:rFonts w:ascii="Arial" w:hAnsi="Arial" w:cs="Arial"/>
          <w:bCs/>
          <w:color w:val="000000" w:themeColor="text1"/>
          <w:sz w:val="24"/>
          <w:szCs w:val="24"/>
        </w:rPr>
        <w:t>Não havendo manifestações contrárias, a reunião do dia 05 de outubro foi declarada encerrada.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82983" w:rsidRPr="00926A43">
        <w:rPr>
          <w:rFonts w:ascii="Arial" w:hAnsi="Arial" w:cs="Arial"/>
          <w:bCs/>
          <w:color w:val="000000" w:themeColor="text1"/>
          <w:sz w:val="24"/>
          <w:szCs w:val="24"/>
        </w:rPr>
        <w:t>No dia 06 do mês de outubro de 2021</w:t>
      </w:r>
      <w:r w:rsidR="0024368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pela manhã </w:t>
      </w:r>
      <w:r w:rsidR="00B82983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Prof. Flávio Anastácio de Oliveira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Camargo inicia a reunião dando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boas-vindas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a todos e informa que a presente durará no máximo meia hora, de forma que haja tempo hábil aos conselheiros para finalizarem os relatórios com os subsídios de defesa a serem encaminhados à Procuradoria, bem como para que a equipe da DAV consiga consolidar os dados em tempo hábil.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Parabenizou a Profa. Adelaide Faljoni-Alario pela premiação como pesquisadora emérita do Prêmio Almirante Álvaro Alberto.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Em seguida, 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>inform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ou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que a Procuradora Juliana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Sahione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respondeu ao questionamento do CTC</w:t>
      </w:r>
      <w:r w:rsidR="005A4A3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do dia anterio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5A4A3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 que a conclusão foi a que segue:</w:t>
      </w:r>
      <w:r w:rsidR="00E61749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63028" w:rsidRPr="00926A4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“Feitos os esclarecimentos e respondendo especificamente a dúvida suscitada nos autos deste processo, conclui-se que após a decisão do CTC-ES, a respeito da convalidação das decisões relativas às propostas de APCN, é possível a interposição de recurso administrativo pelo interessado, diretamente à Presidência da Capes, inexistindo obrigação de manejar previamente pedido de reconsideração</w:t>
      </w:r>
      <w:r w:rsidR="00EA53ED" w:rsidRPr="00926A4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”</w:t>
      </w:r>
      <w:r w:rsidR="004E54FA" w:rsidRPr="00926A4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4A3A" w:rsidRPr="00AA50B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Termo de Ajuste de Conduta</w:t>
      </w:r>
      <w:r w:rsidR="005A4A3A" w:rsidRPr="00926A4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5A4A3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4368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Em seguida,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>retomou a proposta de elaboração de um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Termo de Ajuste de Conduta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para o período avaliativo futuro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>, e de acordo com discussão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realizada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no CTC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>-ES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intenção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é não adotar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novos modelos enquanto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 atual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não fosse testado mais uma vez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mantendo-se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modelo atual.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Reiterando que seria apenas para o próximo Quadriênio, 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>se houver</w:t>
      </w:r>
      <w:bookmarkStart w:id="0" w:name="_GoBack"/>
      <w:bookmarkEnd w:id="0"/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demanda espec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ífica </w:t>
      </w:r>
      <w:r w:rsidR="00EA53ED" w:rsidRPr="00926A43">
        <w:rPr>
          <w:rFonts w:ascii="Arial" w:hAnsi="Arial" w:cs="Arial"/>
          <w:bCs/>
          <w:color w:val="000000" w:themeColor="text1"/>
          <w:sz w:val="24"/>
          <w:szCs w:val="24"/>
        </w:rPr>
        <w:t>para o momento atual, uma reunião extraordinária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seria convocada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para tratar do assunto novamente</w:t>
      </w:r>
      <w:r w:rsidR="007F213C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ou </w:t>
      </w:r>
      <w:r w:rsidR="005A4A3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seria discutido na próxima reunião do CTC. 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Em seguida, os membros conselheiros proferiram os agradecimentos pela condução dos trabalhos realizada pelo 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Prof. 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Flávio Anastácio de Oliveira Camargo, 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que 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>completa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ra 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um ano 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 w:rsidR="004E54FA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frente 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da Diretoria de Avaliação. </w:t>
      </w:r>
      <w:r w:rsidR="00263028" w:rsidRPr="00926A43">
        <w:rPr>
          <w:rFonts w:ascii="Arial" w:eastAsia="Courier New" w:hAnsi="Arial" w:cs="Arial"/>
          <w:bCs/>
          <w:color w:val="000000" w:themeColor="text1"/>
          <w:sz w:val="24"/>
          <w:szCs w:val="24"/>
        </w:rPr>
        <w:t xml:space="preserve">A </w:t>
      </w:r>
      <w:r w:rsidR="0013202F" w:rsidRPr="00926A43">
        <w:rPr>
          <w:rFonts w:ascii="Arial" w:eastAsia="Courier New" w:hAnsi="Arial" w:cs="Arial"/>
          <w:bCs/>
          <w:color w:val="000000" w:themeColor="text1"/>
          <w:sz w:val="24"/>
          <w:szCs w:val="24"/>
        </w:rPr>
        <w:t xml:space="preserve">Profa. Adelaide Faljoni-Alario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estend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eu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os agradecimentos aos funcionários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da DAV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pelo auxílio nos </w:t>
      </w:r>
      <w:r w:rsidR="00263028" w:rsidRPr="00926A43">
        <w:rPr>
          <w:rFonts w:ascii="Arial" w:hAnsi="Arial" w:cs="Arial"/>
          <w:bCs/>
          <w:color w:val="000000" w:themeColor="text1"/>
          <w:sz w:val="24"/>
          <w:szCs w:val="24"/>
        </w:rPr>
        <w:t>trabalh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>os</w:t>
      </w:r>
      <w:r w:rsidR="00D50095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prestados</w:t>
      </w:r>
      <w:r w:rsidR="0013202F" w:rsidRPr="00926A4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E7720" w:rsidRPr="00926A4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Aprovação da Ata da 207ª Reunião do CTC-ES: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64C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A ata 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foi considerada aprovada, </w:t>
      </w:r>
      <w:r w:rsidR="008E64C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observando a </w:t>
      </w:r>
      <w:r w:rsidR="009E7720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retirada do nome da Profa. Germana Maria Araújo Sales, que estava ausente daquela reunião. </w:t>
      </w:r>
      <w:r w:rsidR="00E23211" w:rsidRPr="00926A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Encerramento:</w:t>
      </w:r>
      <w:r w:rsidR="00E2321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Não havendo </w:t>
      </w:r>
      <w:r w:rsidR="00AE1597" w:rsidRPr="00926A43">
        <w:rPr>
          <w:rFonts w:ascii="Arial" w:hAnsi="Arial" w:cs="Arial"/>
          <w:bCs/>
          <w:color w:val="000000" w:themeColor="text1"/>
          <w:sz w:val="24"/>
          <w:szCs w:val="24"/>
        </w:rPr>
        <w:t>mais assuntos a serem tratados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63B8D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23211" w:rsidRPr="00926A4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DF6A52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0360F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Ducentésima Nona Reunião </w:t>
      </w:r>
      <w:r w:rsidR="00DF6A52" w:rsidRPr="00926A43">
        <w:rPr>
          <w:rFonts w:ascii="Arial" w:hAnsi="Arial" w:cs="Arial"/>
          <w:bCs/>
          <w:color w:val="000000" w:themeColor="text1"/>
          <w:sz w:val="24"/>
          <w:szCs w:val="24"/>
        </w:rPr>
        <w:t>do Conselho Técnico Científico da Educação Superior</w:t>
      </w:r>
      <w:r w:rsidR="00D92FA4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foi declarada</w:t>
      </w:r>
      <w:r w:rsidR="00E23211" w:rsidRPr="00926A43">
        <w:rPr>
          <w:rFonts w:ascii="Arial" w:hAnsi="Arial" w:cs="Arial"/>
          <w:bCs/>
          <w:color w:val="000000" w:themeColor="text1"/>
          <w:sz w:val="24"/>
          <w:szCs w:val="24"/>
        </w:rPr>
        <w:t xml:space="preserve"> encerrada. </w:t>
      </w:r>
    </w:p>
    <w:p w14:paraId="12D8FB37" w14:textId="77777777" w:rsidR="00181F8B" w:rsidRPr="00926A43" w:rsidRDefault="00181F8B" w:rsidP="008E64CD">
      <w:pPr>
        <w:suppressLineNumbers/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5BF8F1" w14:textId="77777777" w:rsidR="00181F8B" w:rsidRPr="00926A43" w:rsidRDefault="00181F8B" w:rsidP="008E64CD">
      <w:pPr>
        <w:suppressLineNumber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2429" w:type="dxa"/>
        <w:tblLook w:val="04A0" w:firstRow="1" w:lastRow="0" w:firstColumn="1" w:lastColumn="0" w:noHBand="0" w:noVBand="1"/>
      </w:tblPr>
      <w:tblGrid>
        <w:gridCol w:w="8046"/>
        <w:gridCol w:w="4383"/>
      </w:tblGrid>
      <w:tr w:rsidR="00181F8B" w:rsidRPr="00926A43" w14:paraId="469B5EA3" w14:textId="77777777" w:rsidTr="00F42AD3">
        <w:tc>
          <w:tcPr>
            <w:tcW w:w="8046" w:type="dxa"/>
            <w:shd w:val="clear" w:color="auto" w:fill="auto"/>
          </w:tcPr>
          <w:p w14:paraId="736A2378" w14:textId="77777777" w:rsidR="00181F8B" w:rsidRPr="00926A43" w:rsidRDefault="00181F8B" w:rsidP="008E64CD">
            <w:pPr>
              <w:suppressLineNumber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A43">
              <w:rPr>
                <w:rFonts w:ascii="Arial" w:hAnsi="Arial" w:cs="Arial"/>
                <w:b/>
                <w:sz w:val="24"/>
                <w:szCs w:val="24"/>
              </w:rPr>
              <w:t>Flávio Anastácio de Oliveira Camargo</w:t>
            </w:r>
          </w:p>
          <w:p w14:paraId="49DF9E57" w14:textId="77777777" w:rsidR="00181F8B" w:rsidRPr="00926A43" w:rsidRDefault="00181F8B" w:rsidP="008E64CD">
            <w:pPr>
              <w:suppressLineNumber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A43">
              <w:rPr>
                <w:rFonts w:ascii="Arial" w:hAnsi="Arial" w:cs="Arial"/>
                <w:sz w:val="24"/>
                <w:szCs w:val="24"/>
              </w:rPr>
              <w:t>Presidente do CTC-ES</w:t>
            </w:r>
          </w:p>
        </w:tc>
        <w:tc>
          <w:tcPr>
            <w:tcW w:w="4383" w:type="dxa"/>
            <w:shd w:val="clear" w:color="auto" w:fill="auto"/>
          </w:tcPr>
          <w:p w14:paraId="22CA513D" w14:textId="77777777" w:rsidR="00181F8B" w:rsidRPr="00926A43" w:rsidRDefault="00181F8B" w:rsidP="008E64CD">
            <w:pPr>
              <w:suppressLineNumber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CAC30E" w14:textId="77777777" w:rsidR="00181F8B" w:rsidRPr="00926A43" w:rsidRDefault="00181F8B" w:rsidP="008E64CD">
      <w:pPr>
        <w:suppressLineNumbers/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181F8B" w:rsidRPr="00926A43" w:rsidSect="00926A43">
      <w:pgSz w:w="11906" w:h="16838"/>
      <w:pgMar w:top="709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F365" w14:textId="77777777" w:rsidR="002C6150" w:rsidRDefault="002C6150" w:rsidP="0013472F">
      <w:pPr>
        <w:spacing w:after="0" w:line="240" w:lineRule="auto"/>
      </w:pPr>
      <w:r>
        <w:separator/>
      </w:r>
    </w:p>
  </w:endnote>
  <w:endnote w:type="continuationSeparator" w:id="0">
    <w:p w14:paraId="70EDA517" w14:textId="77777777" w:rsidR="002C6150" w:rsidRDefault="002C6150" w:rsidP="001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6543" w14:textId="77777777" w:rsidR="002C6150" w:rsidRDefault="002C6150" w:rsidP="0013472F">
      <w:pPr>
        <w:spacing w:after="0" w:line="240" w:lineRule="auto"/>
      </w:pPr>
      <w:r>
        <w:separator/>
      </w:r>
    </w:p>
  </w:footnote>
  <w:footnote w:type="continuationSeparator" w:id="0">
    <w:p w14:paraId="65FDC18B" w14:textId="77777777" w:rsidR="002C6150" w:rsidRDefault="002C6150" w:rsidP="00134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3"/>
    <w:rsid w:val="000177E8"/>
    <w:rsid w:val="00060382"/>
    <w:rsid w:val="00067F06"/>
    <w:rsid w:val="000A7692"/>
    <w:rsid w:val="000D2FEB"/>
    <w:rsid w:val="000E422C"/>
    <w:rsid w:val="000F5C23"/>
    <w:rsid w:val="0010017E"/>
    <w:rsid w:val="001135BD"/>
    <w:rsid w:val="00122922"/>
    <w:rsid w:val="0013202F"/>
    <w:rsid w:val="001343F3"/>
    <w:rsid w:val="0013472F"/>
    <w:rsid w:val="0014149E"/>
    <w:rsid w:val="00147063"/>
    <w:rsid w:val="001536CB"/>
    <w:rsid w:val="00157DFC"/>
    <w:rsid w:val="00181F8B"/>
    <w:rsid w:val="0019370B"/>
    <w:rsid w:val="001A5E29"/>
    <w:rsid w:val="002214CB"/>
    <w:rsid w:val="002369B6"/>
    <w:rsid w:val="00237F71"/>
    <w:rsid w:val="0024368A"/>
    <w:rsid w:val="00263028"/>
    <w:rsid w:val="0028308E"/>
    <w:rsid w:val="002B2574"/>
    <w:rsid w:val="002C6150"/>
    <w:rsid w:val="002C698E"/>
    <w:rsid w:val="002D1262"/>
    <w:rsid w:val="002D41CD"/>
    <w:rsid w:val="002D627B"/>
    <w:rsid w:val="003031D6"/>
    <w:rsid w:val="003164EB"/>
    <w:rsid w:val="00325F0D"/>
    <w:rsid w:val="003260E8"/>
    <w:rsid w:val="00355EE3"/>
    <w:rsid w:val="003C18FD"/>
    <w:rsid w:val="003C1E72"/>
    <w:rsid w:val="003C2FC5"/>
    <w:rsid w:val="003C3482"/>
    <w:rsid w:val="003D443B"/>
    <w:rsid w:val="003E168A"/>
    <w:rsid w:val="003E45B4"/>
    <w:rsid w:val="00402181"/>
    <w:rsid w:val="004647D0"/>
    <w:rsid w:val="00465590"/>
    <w:rsid w:val="004868D6"/>
    <w:rsid w:val="004A4383"/>
    <w:rsid w:val="004C65EB"/>
    <w:rsid w:val="004C7DD6"/>
    <w:rsid w:val="004D37A4"/>
    <w:rsid w:val="004D54E6"/>
    <w:rsid w:val="004E54FA"/>
    <w:rsid w:val="005227E6"/>
    <w:rsid w:val="005240D3"/>
    <w:rsid w:val="00542149"/>
    <w:rsid w:val="005572FB"/>
    <w:rsid w:val="0058217E"/>
    <w:rsid w:val="00582DFE"/>
    <w:rsid w:val="005A4A3A"/>
    <w:rsid w:val="005B200B"/>
    <w:rsid w:val="005B711F"/>
    <w:rsid w:val="005F2863"/>
    <w:rsid w:val="00634511"/>
    <w:rsid w:val="00656E02"/>
    <w:rsid w:val="0066149F"/>
    <w:rsid w:val="00665D97"/>
    <w:rsid w:val="00685409"/>
    <w:rsid w:val="006C19FF"/>
    <w:rsid w:val="006C3481"/>
    <w:rsid w:val="006D6501"/>
    <w:rsid w:val="006E48A8"/>
    <w:rsid w:val="006F0B65"/>
    <w:rsid w:val="00706FE8"/>
    <w:rsid w:val="00742218"/>
    <w:rsid w:val="007461D8"/>
    <w:rsid w:val="00784A0F"/>
    <w:rsid w:val="00794677"/>
    <w:rsid w:val="007A38B6"/>
    <w:rsid w:val="007F213C"/>
    <w:rsid w:val="00802E6A"/>
    <w:rsid w:val="0080718B"/>
    <w:rsid w:val="00823EA8"/>
    <w:rsid w:val="00857045"/>
    <w:rsid w:val="00890FBA"/>
    <w:rsid w:val="008D1F64"/>
    <w:rsid w:val="008E64CD"/>
    <w:rsid w:val="00902E38"/>
    <w:rsid w:val="00926A43"/>
    <w:rsid w:val="0095174D"/>
    <w:rsid w:val="0096743B"/>
    <w:rsid w:val="009959A1"/>
    <w:rsid w:val="009A28EF"/>
    <w:rsid w:val="009A2B5A"/>
    <w:rsid w:val="009C69B9"/>
    <w:rsid w:val="009E1A3B"/>
    <w:rsid w:val="009E22D9"/>
    <w:rsid w:val="009E7720"/>
    <w:rsid w:val="00A11CD6"/>
    <w:rsid w:val="00A3084A"/>
    <w:rsid w:val="00A70A3E"/>
    <w:rsid w:val="00A9033C"/>
    <w:rsid w:val="00A9047B"/>
    <w:rsid w:val="00AA50B0"/>
    <w:rsid w:val="00AA6A7F"/>
    <w:rsid w:val="00AC21E4"/>
    <w:rsid w:val="00AD4EE9"/>
    <w:rsid w:val="00AE1597"/>
    <w:rsid w:val="00B142CF"/>
    <w:rsid w:val="00B169F7"/>
    <w:rsid w:val="00B319DB"/>
    <w:rsid w:val="00B43C3B"/>
    <w:rsid w:val="00B530C0"/>
    <w:rsid w:val="00B82983"/>
    <w:rsid w:val="00B971CA"/>
    <w:rsid w:val="00BA3D5F"/>
    <w:rsid w:val="00BC67C5"/>
    <w:rsid w:val="00C11FC1"/>
    <w:rsid w:val="00C47253"/>
    <w:rsid w:val="00C960A8"/>
    <w:rsid w:val="00CA190A"/>
    <w:rsid w:val="00CB6558"/>
    <w:rsid w:val="00CC3837"/>
    <w:rsid w:val="00CE51C3"/>
    <w:rsid w:val="00D03457"/>
    <w:rsid w:val="00D059DC"/>
    <w:rsid w:val="00D1401D"/>
    <w:rsid w:val="00D14CDE"/>
    <w:rsid w:val="00D41FE0"/>
    <w:rsid w:val="00D50095"/>
    <w:rsid w:val="00D550A1"/>
    <w:rsid w:val="00D6194B"/>
    <w:rsid w:val="00D63B8D"/>
    <w:rsid w:val="00D669EA"/>
    <w:rsid w:val="00D72994"/>
    <w:rsid w:val="00D92FA4"/>
    <w:rsid w:val="00DC0FFA"/>
    <w:rsid w:val="00DC3DF0"/>
    <w:rsid w:val="00DF6A52"/>
    <w:rsid w:val="00E0360F"/>
    <w:rsid w:val="00E05BBE"/>
    <w:rsid w:val="00E12A6F"/>
    <w:rsid w:val="00E23211"/>
    <w:rsid w:val="00E47797"/>
    <w:rsid w:val="00E5188A"/>
    <w:rsid w:val="00E61749"/>
    <w:rsid w:val="00E77833"/>
    <w:rsid w:val="00E96CF8"/>
    <w:rsid w:val="00EA4861"/>
    <w:rsid w:val="00EA53ED"/>
    <w:rsid w:val="00ED3B79"/>
    <w:rsid w:val="00F52EFF"/>
    <w:rsid w:val="00F74FD5"/>
    <w:rsid w:val="00F8238C"/>
    <w:rsid w:val="00FA3D8F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40B"/>
  <w15:chartTrackingRefBased/>
  <w15:docId w15:val="{A588B4E3-BB5C-4520-AF08-5764207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343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343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Nmerodelinha">
    <w:name w:val="line number"/>
    <w:basedOn w:val="Fontepargpadro"/>
    <w:uiPriority w:val="99"/>
    <w:semiHidden/>
    <w:unhideWhenUsed/>
    <w:rsid w:val="001343F3"/>
  </w:style>
  <w:style w:type="paragraph" w:styleId="TextosemFormatao">
    <w:name w:val="Plain Text"/>
    <w:basedOn w:val="Normal"/>
    <w:link w:val="TextosemFormataoChar"/>
    <w:uiPriority w:val="99"/>
    <w:unhideWhenUsed/>
    <w:rsid w:val="00823E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3EA8"/>
    <w:rPr>
      <w:rFonts w:ascii="Consolas" w:eastAsia="Calibri" w:hAnsi="Consolas" w:cs="Times New Roman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B319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19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19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9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9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9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3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72F"/>
  </w:style>
  <w:style w:type="paragraph" w:styleId="Rodap">
    <w:name w:val="footer"/>
    <w:basedOn w:val="Normal"/>
    <w:link w:val="RodapChar"/>
    <w:uiPriority w:val="99"/>
    <w:unhideWhenUsed/>
    <w:rsid w:val="0013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72F"/>
  </w:style>
  <w:style w:type="character" w:styleId="Hyperlink">
    <w:name w:val="Hyperlink"/>
    <w:basedOn w:val="Fontepargpadro"/>
    <w:uiPriority w:val="99"/>
    <w:unhideWhenUsed/>
    <w:rsid w:val="00134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85E0-E93D-4BD7-B4A4-22E3B4A9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1783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Ravane Pierot</dc:creator>
  <cp:keywords/>
  <dc:description/>
  <cp:lastModifiedBy>Silvia Helena Rodrigues</cp:lastModifiedBy>
  <cp:revision>4</cp:revision>
  <dcterms:created xsi:type="dcterms:W3CDTF">2021-11-09T18:04:00Z</dcterms:created>
  <dcterms:modified xsi:type="dcterms:W3CDTF">2021-11-19T18:57:00Z</dcterms:modified>
</cp:coreProperties>
</file>