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7F" w:rsidRDefault="00B052B8" w:rsidP="008E407F">
      <w:pPr>
        <w:pStyle w:val="Recuodecorpodetexto"/>
        <w:spacing w:afterLines="80" w:after="192" w:line="240" w:lineRule="atLeast"/>
        <w:ind w:left="0" w:firstLine="0"/>
        <w:jc w:val="center"/>
        <w:rPr>
          <w:rFonts w:ascii="Candara" w:hAnsi="Candara" w:cs="Arial"/>
          <w:b/>
          <w:sz w:val="20"/>
        </w:rPr>
      </w:pPr>
      <w:proofErr w:type="gramStart"/>
      <w:r w:rsidRPr="008D562A">
        <w:rPr>
          <w:rFonts w:ascii="Candara" w:hAnsi="Candara" w:cs="Arial"/>
          <w:b/>
          <w:sz w:val="20"/>
        </w:rPr>
        <w:t>Edital Mudanças</w:t>
      </w:r>
      <w:proofErr w:type="gramEnd"/>
      <w:r w:rsidRPr="008D562A">
        <w:rPr>
          <w:rFonts w:ascii="Candara" w:hAnsi="Candara" w:cs="Arial"/>
          <w:b/>
          <w:sz w:val="20"/>
        </w:rPr>
        <w:t xml:space="preserve"> </w:t>
      </w:r>
      <w:r>
        <w:rPr>
          <w:rFonts w:ascii="Candara" w:hAnsi="Candara" w:cs="Arial"/>
          <w:b/>
          <w:sz w:val="20"/>
        </w:rPr>
        <w:t>Climáticas</w:t>
      </w:r>
      <w:r w:rsidRPr="008D562A">
        <w:rPr>
          <w:rFonts w:ascii="Candara" w:hAnsi="Candara" w:cs="Arial"/>
          <w:b/>
          <w:sz w:val="20"/>
        </w:rPr>
        <w:t xml:space="preserve"> e Recursos Hídricos</w:t>
      </w:r>
      <w:r>
        <w:rPr>
          <w:rFonts w:ascii="Candara" w:hAnsi="Candara"/>
          <w:sz w:val="20"/>
        </w:rPr>
        <w:t xml:space="preserve"> </w:t>
      </w:r>
      <w:r w:rsidR="008E407F">
        <w:rPr>
          <w:rFonts w:ascii="Candara" w:hAnsi="Candara" w:cs="Arial"/>
          <w:b/>
          <w:sz w:val="20"/>
        </w:rPr>
        <w:t xml:space="preserve">n° </w:t>
      </w:r>
      <w:r w:rsidR="00975962">
        <w:rPr>
          <w:rFonts w:ascii="Candara" w:hAnsi="Candara" w:cs="Arial"/>
          <w:b/>
          <w:sz w:val="20"/>
        </w:rPr>
        <w:t>19</w:t>
      </w:r>
      <w:r w:rsidR="008E407F">
        <w:rPr>
          <w:rFonts w:ascii="Candara" w:hAnsi="Candara" w:cs="Arial"/>
          <w:b/>
          <w:sz w:val="20"/>
        </w:rPr>
        <w:t>/201</w:t>
      </w:r>
      <w:r w:rsidR="00CE51C2">
        <w:rPr>
          <w:rFonts w:ascii="Candara" w:hAnsi="Candara" w:cs="Arial"/>
          <w:b/>
          <w:sz w:val="20"/>
        </w:rPr>
        <w:t>5</w:t>
      </w:r>
    </w:p>
    <w:p w:rsidR="008E407F" w:rsidRPr="007B4756" w:rsidRDefault="008E407F" w:rsidP="008E407F">
      <w:pPr>
        <w:pStyle w:val="Recuodecorpodetexto"/>
        <w:spacing w:afterLines="80" w:after="192" w:line="240" w:lineRule="atLeast"/>
        <w:ind w:left="0" w:firstLine="0"/>
        <w:jc w:val="center"/>
        <w:rPr>
          <w:rFonts w:ascii="Candara" w:hAnsi="Candara" w:cs="Arial"/>
          <w:b/>
          <w:sz w:val="20"/>
        </w:rPr>
      </w:pPr>
      <w:r w:rsidRPr="007B4756">
        <w:rPr>
          <w:rFonts w:ascii="Candara" w:hAnsi="Candara" w:cs="Arial"/>
          <w:b/>
          <w:sz w:val="20"/>
        </w:rPr>
        <w:t xml:space="preserve">Anexo </w:t>
      </w:r>
      <w:r w:rsidR="0088776C">
        <w:rPr>
          <w:rFonts w:ascii="Candara" w:hAnsi="Candara" w:cs="Arial"/>
          <w:b/>
          <w:sz w:val="20"/>
        </w:rPr>
        <w:t>I</w:t>
      </w:r>
      <w:r w:rsidRPr="007B4756">
        <w:rPr>
          <w:rFonts w:ascii="Candara" w:hAnsi="Candara" w:cs="Arial"/>
          <w:b/>
          <w:sz w:val="20"/>
        </w:rPr>
        <w:t xml:space="preserve"> – Valores de diárias aplicáveis</w:t>
      </w:r>
    </w:p>
    <w:p w:rsidR="008E407F" w:rsidRDefault="008E407F" w:rsidP="008E407F">
      <w:pPr>
        <w:pStyle w:val="Recuodecorpodetexto"/>
        <w:spacing w:afterLines="80" w:after="192" w:line="240" w:lineRule="atLeast"/>
        <w:ind w:left="0" w:firstLine="0"/>
        <w:rPr>
          <w:rFonts w:ascii="Candara" w:hAnsi="Candara" w:cs="Arial"/>
          <w:sz w:val="20"/>
        </w:rPr>
      </w:pPr>
      <w:r>
        <w:rPr>
          <w:rFonts w:ascii="Candara" w:hAnsi="Candara" w:cs="Arial"/>
          <w:sz w:val="20"/>
        </w:rPr>
        <w:t xml:space="preserve">As despesas com diárias </w:t>
      </w:r>
      <w:r w:rsidRPr="00320D96">
        <w:rPr>
          <w:rFonts w:ascii="Candara" w:hAnsi="Candara" w:cs="Arial"/>
          <w:sz w:val="20"/>
        </w:rPr>
        <w:t xml:space="preserve">para uso exclusivo dos coordenadores e docentes quando </w:t>
      </w:r>
      <w:bookmarkStart w:id="0" w:name="_GoBack"/>
      <w:bookmarkEnd w:id="0"/>
      <w:r w:rsidRPr="00320D96">
        <w:rPr>
          <w:rFonts w:ascii="Candara" w:hAnsi="Candara" w:cs="Arial"/>
          <w:sz w:val="20"/>
        </w:rPr>
        <w:t>de deslocamentos para docência e participação em eventos relacionados ao Projeto</w:t>
      </w:r>
      <w:r>
        <w:rPr>
          <w:rFonts w:ascii="Candara" w:hAnsi="Candara" w:cs="Arial"/>
          <w:color w:val="FF0000"/>
          <w:sz w:val="20"/>
        </w:rPr>
        <w:t xml:space="preserve"> </w:t>
      </w:r>
      <w:r>
        <w:rPr>
          <w:rFonts w:ascii="Candara" w:hAnsi="Candara" w:cs="Arial"/>
          <w:sz w:val="20"/>
        </w:rPr>
        <w:t xml:space="preserve">deverão seguir os valores estipulados pelos Decretos nº 6.907/2009 (diárias nacionais) e nº 6.576/2008 (diárias internacionais), aplicáveis aos servidores públicos federais de nível superior nas classes/classificações conforme tabelas abaixo. Esses valores poderão sofrer reajustes pelo Governo Federal, ocasião em que a CAPES atualizará este Anexo em seu website. </w:t>
      </w:r>
    </w:p>
    <w:p w:rsidR="008E407F" w:rsidRPr="007B4756" w:rsidRDefault="008E407F" w:rsidP="008E407F">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 xml:space="preserve">A) Tabela – Valor da Indenização de Diárias aos servidores públicos </w:t>
      </w:r>
      <w:r w:rsidR="00923CD5">
        <w:rPr>
          <w:rFonts w:ascii="Candara" w:hAnsi="Candara" w:cs="Arial"/>
          <w:b/>
          <w:sz w:val="20"/>
        </w:rPr>
        <w:t xml:space="preserve">federais, no </w:t>
      </w:r>
      <w:proofErr w:type="gramStart"/>
      <w:r w:rsidR="00923CD5">
        <w:rPr>
          <w:rFonts w:ascii="Candara" w:hAnsi="Candara" w:cs="Arial"/>
          <w:b/>
          <w:sz w:val="20"/>
        </w:rPr>
        <w:t>País</w:t>
      </w:r>
      <w:proofErr w:type="gramEnd"/>
    </w:p>
    <w:tbl>
      <w:tblPr>
        <w:tblW w:w="9709"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80"/>
        <w:gridCol w:w="1550"/>
        <w:gridCol w:w="2419"/>
        <w:gridCol w:w="1701"/>
        <w:gridCol w:w="1559"/>
      </w:tblGrid>
      <w:tr w:rsidR="008E407F" w:rsidRPr="007B4756" w:rsidTr="00182258">
        <w:trPr>
          <w:trHeight w:val="1290"/>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Classificação do Cargo/Emprego/Função</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Brasília/Manaus/ Rio de Janeiro</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Belo Horizonte/ Fortaleza/Porto Alegre/Recife/ Salvador/São Paulo</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outras capitais de Estados</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Demais deslocamentos</w:t>
            </w:r>
          </w:p>
        </w:tc>
      </w:tr>
      <w:tr w:rsidR="008E407F" w:rsidRPr="007B4756" w:rsidTr="00B052B8">
        <w:trPr>
          <w:trHeight w:val="962"/>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E) DAS-2, DAS-1; FCT4, FCT5, FCT6, FCT7; cargos de nível superior e FCINSS.</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224,20</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212,40</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200,60</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177,00</w:t>
            </w:r>
          </w:p>
        </w:tc>
      </w:tr>
    </w:tbl>
    <w:p w:rsidR="00B052B8" w:rsidRDefault="00B052B8" w:rsidP="00B052B8">
      <w:pPr>
        <w:pStyle w:val="Recuodecorpodetexto"/>
        <w:spacing w:afterLines="80" w:after="192" w:line="240" w:lineRule="atLeast"/>
        <w:ind w:left="0" w:firstLine="0"/>
        <w:rPr>
          <w:rFonts w:ascii="Candara" w:hAnsi="Candara" w:cs="Arial"/>
          <w:b/>
          <w:sz w:val="20"/>
        </w:rPr>
      </w:pPr>
    </w:p>
    <w:p w:rsidR="00B052B8" w:rsidRPr="00A52854" w:rsidRDefault="00B052B8" w:rsidP="00B052B8">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B) Valores de Diárias no Exterior</w:t>
      </w:r>
      <w:r>
        <w:rPr>
          <w:rFonts w:ascii="Candara" w:hAnsi="Candara" w:cs="Arial"/>
          <w:b/>
          <w:sz w:val="20"/>
        </w:rPr>
        <w:t xml:space="preserve"> </w:t>
      </w:r>
    </w:p>
    <w:tbl>
      <w:tblPr>
        <w:tblW w:w="9644" w:type="dxa"/>
        <w:tblCellMar>
          <w:top w:w="15" w:type="dxa"/>
          <w:left w:w="15" w:type="dxa"/>
          <w:bottom w:w="15" w:type="dxa"/>
          <w:right w:w="15" w:type="dxa"/>
        </w:tblCellMar>
        <w:tblLook w:val="04A0" w:firstRow="1" w:lastRow="0" w:firstColumn="1" w:lastColumn="0" w:noHBand="0" w:noVBand="1"/>
      </w:tblPr>
      <w:tblGrid>
        <w:gridCol w:w="378"/>
        <w:gridCol w:w="8274"/>
        <w:gridCol w:w="992"/>
      </w:tblGrid>
      <w:tr w:rsidR="00B052B8" w:rsidRPr="00BD5E12" w:rsidTr="00DD2AE3">
        <w:trPr>
          <w:tblHeader/>
        </w:trPr>
        <w:tc>
          <w:tcPr>
            <w:tcW w:w="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rPr>
                <w:rFonts w:ascii="Candara" w:hAnsi="Candara"/>
              </w:rPr>
            </w:pPr>
            <w:r w:rsidRPr="00BD5E12">
              <w:rPr>
                <w:rFonts w:ascii="Candara" w:hAnsi="Candara" w:cs="Arial"/>
                <w:sz w:val="20"/>
                <w:szCs w:val="20"/>
              </w:rPr>
              <w:t> </w:t>
            </w:r>
          </w:p>
        </w:tc>
        <w:tc>
          <w:tcPr>
            <w:tcW w:w="8274"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ind w:left="113" w:right="113"/>
              <w:jc w:val="center"/>
              <w:rPr>
                <w:rFonts w:ascii="Candara" w:hAnsi="Candara"/>
              </w:rPr>
            </w:pPr>
            <w:r w:rsidRPr="00BD5E12">
              <w:rPr>
                <w:rFonts w:ascii="Candara" w:hAnsi="Candara" w:cs="Arial"/>
                <w:sz w:val="20"/>
                <w:szCs w:val="20"/>
              </w:rPr>
              <w:t>GRUPOS/PAÍSES</w:t>
            </w:r>
          </w:p>
        </w:tc>
        <w:tc>
          <w:tcPr>
            <w:tcW w:w="992"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B052B8" w:rsidRPr="00BD5E12" w:rsidRDefault="00B052B8" w:rsidP="00DD2AE3">
            <w:pPr>
              <w:spacing w:before="60" w:after="60"/>
              <w:jc w:val="center"/>
              <w:rPr>
                <w:rFonts w:ascii="Candara" w:hAnsi="Candara"/>
              </w:rPr>
            </w:pPr>
            <w:r w:rsidRPr="00BD5E12">
              <w:rPr>
                <w:rFonts w:ascii="Candara" w:hAnsi="Candara" w:cs="Arial"/>
                <w:spacing w:val="-4"/>
                <w:sz w:val="20"/>
                <w:szCs w:val="20"/>
              </w:rPr>
              <w:t>Classe I</w:t>
            </w:r>
            <w:r>
              <w:rPr>
                <w:rFonts w:ascii="Candara" w:hAnsi="Candara" w:cs="Arial"/>
                <w:spacing w:val="-4"/>
                <w:sz w:val="20"/>
                <w:szCs w:val="20"/>
              </w:rPr>
              <w:t>V</w:t>
            </w:r>
          </w:p>
        </w:tc>
      </w:tr>
      <w:tr w:rsidR="00B052B8" w:rsidRPr="00BD5E12" w:rsidTr="00DD2AE3">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jc w:val="center"/>
              <w:rPr>
                <w:rFonts w:ascii="Candara" w:hAnsi="Candara"/>
              </w:rPr>
            </w:pPr>
            <w:r w:rsidRPr="00BD5E12">
              <w:rPr>
                <w:rFonts w:ascii="Candara" w:hAnsi="Candara" w:cs="Arial"/>
                <w:sz w:val="20"/>
                <w:szCs w:val="20"/>
              </w:rPr>
              <w:t>A</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ind w:left="113" w:right="113"/>
              <w:jc w:val="both"/>
              <w:rPr>
                <w:rFonts w:ascii="Candara" w:hAnsi="Candara"/>
              </w:rPr>
            </w:pPr>
            <w:r w:rsidRPr="00BD5E12">
              <w:rPr>
                <w:rFonts w:ascii="Candara" w:hAnsi="Candara" w:cs="Arial"/>
                <w:color w:val="000000"/>
                <w:sz w:val="20"/>
                <w:szCs w:val="20"/>
              </w:rPr>
              <w:t xml:space="preserve">Afeganistão, Armênia, Bangladesh, Belarus, Benin, Bolívia, Burkina-Fasso, Butão, Chile, Comores, República Popular Democrática da Coréia, Costa Rica, El Salvador, Equador, Eslovênia, Filipinas, Gâmbia, Guiana, Guiné Bissau, Guiné, Honduras, Indonésia, Irã, Iraque, Laos, Líbano, Malásia, Maldivas, Marrocos, Mongólia, Myanmar, Namíbia, Nauru, Nepal, Nicarágua, Panamá, Paraguai, Rep. </w:t>
            </w:r>
            <w:proofErr w:type="gramStart"/>
            <w:r w:rsidRPr="00BD5E12">
              <w:rPr>
                <w:rFonts w:ascii="Candara" w:hAnsi="Candara" w:cs="Arial"/>
                <w:color w:val="000000"/>
                <w:sz w:val="20"/>
                <w:szCs w:val="20"/>
              </w:rPr>
              <w:t>Centro Africana</w:t>
            </w:r>
            <w:proofErr w:type="gramEnd"/>
            <w:r w:rsidRPr="00BD5E12">
              <w:rPr>
                <w:rFonts w:ascii="Candara" w:hAnsi="Candara" w:cs="Arial"/>
                <w:color w:val="000000"/>
                <w:sz w:val="20"/>
                <w:szCs w:val="20"/>
              </w:rPr>
              <w:t>, República Togolesa, Salomão, Samoa,  Serra Leoa, Síria, Somália, Sri Lanka, Suriname, Tadjiquistão, Tailândia, Timor Leste, Tonga, Tunísia, Turcomenistão, Turquia, Tuvalu, Vietnã, Zimbábue.</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052B8" w:rsidRPr="00BD5E12" w:rsidRDefault="00B052B8" w:rsidP="00DD2AE3">
            <w:pPr>
              <w:spacing w:before="60" w:after="60"/>
              <w:jc w:val="center"/>
              <w:rPr>
                <w:rFonts w:ascii="Candara" w:hAnsi="Candara"/>
              </w:rPr>
            </w:pPr>
            <w:r w:rsidRPr="00BD5E12">
              <w:rPr>
                <w:rFonts w:ascii="Candara" w:hAnsi="Candara" w:cs="Arial"/>
                <w:spacing w:val="-4"/>
                <w:sz w:val="20"/>
                <w:szCs w:val="20"/>
              </w:rPr>
              <w:t>1</w:t>
            </w:r>
            <w:r>
              <w:rPr>
                <w:rFonts w:ascii="Candara" w:hAnsi="Candara" w:cs="Arial"/>
                <w:spacing w:val="-4"/>
                <w:sz w:val="20"/>
                <w:szCs w:val="20"/>
              </w:rPr>
              <w:t>8</w:t>
            </w:r>
            <w:r w:rsidRPr="00BD5E12">
              <w:rPr>
                <w:rFonts w:ascii="Candara" w:hAnsi="Candara" w:cs="Arial"/>
                <w:spacing w:val="-4"/>
                <w:sz w:val="20"/>
                <w:szCs w:val="20"/>
              </w:rPr>
              <w:t>0</w:t>
            </w:r>
          </w:p>
        </w:tc>
      </w:tr>
      <w:tr w:rsidR="00B052B8" w:rsidRPr="00BD5E12" w:rsidTr="00DD2AE3">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jc w:val="center"/>
              <w:rPr>
                <w:rFonts w:ascii="Candara" w:hAnsi="Candara"/>
              </w:rPr>
            </w:pPr>
            <w:r w:rsidRPr="00BD5E12">
              <w:rPr>
                <w:rFonts w:ascii="Candara" w:hAnsi="Candara" w:cs="Arial"/>
                <w:sz w:val="20"/>
                <w:szCs w:val="20"/>
              </w:rPr>
              <w:t>B</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ind w:left="113" w:right="113"/>
              <w:jc w:val="both"/>
              <w:rPr>
                <w:rFonts w:ascii="Candara" w:hAnsi="Candara"/>
              </w:rPr>
            </w:pPr>
            <w:r w:rsidRPr="00BD5E12">
              <w:rPr>
                <w:rFonts w:ascii="Candara" w:hAnsi="Candara" w:cs="Arial"/>
                <w:color w:val="000000"/>
                <w:sz w:val="20"/>
                <w:szCs w:val="20"/>
              </w:rPr>
              <w:t xml:space="preserve">África do Sul, Albânia, Andorra, Argélia, Argentina, Austrália, Belize, </w:t>
            </w:r>
            <w:proofErr w:type="spellStart"/>
            <w:r w:rsidRPr="00BD5E12">
              <w:rPr>
                <w:rFonts w:ascii="Candara" w:hAnsi="Candara" w:cs="Arial"/>
                <w:color w:val="000000"/>
                <w:sz w:val="20"/>
                <w:szCs w:val="20"/>
              </w:rPr>
              <w:t>Bósnia-Herzegóvina</w:t>
            </w:r>
            <w:proofErr w:type="spellEnd"/>
            <w:r w:rsidRPr="00BD5E12">
              <w:rPr>
                <w:rFonts w:ascii="Candara" w:hAnsi="Candara" w:cs="Arial"/>
                <w:color w:val="000000"/>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052B8" w:rsidRPr="00BD5E12" w:rsidRDefault="00B052B8" w:rsidP="00DD2AE3">
            <w:pPr>
              <w:spacing w:before="60" w:after="60"/>
              <w:jc w:val="center"/>
              <w:rPr>
                <w:rFonts w:ascii="Candara" w:hAnsi="Candara"/>
              </w:rPr>
            </w:pPr>
            <w:r>
              <w:rPr>
                <w:rFonts w:ascii="Candara" w:hAnsi="Candara" w:cs="Arial"/>
                <w:spacing w:val="-4"/>
                <w:sz w:val="20"/>
                <w:szCs w:val="20"/>
              </w:rPr>
              <w:t>26</w:t>
            </w:r>
            <w:r w:rsidRPr="00BD5E12">
              <w:rPr>
                <w:rFonts w:ascii="Candara" w:hAnsi="Candara" w:cs="Arial"/>
                <w:spacing w:val="-4"/>
                <w:sz w:val="20"/>
                <w:szCs w:val="20"/>
              </w:rPr>
              <w:t>0</w:t>
            </w:r>
          </w:p>
        </w:tc>
      </w:tr>
      <w:tr w:rsidR="00B052B8" w:rsidRPr="00BD5E12" w:rsidTr="00DD2AE3">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jc w:val="center"/>
              <w:rPr>
                <w:rFonts w:ascii="Candara" w:hAnsi="Candara"/>
              </w:rPr>
            </w:pPr>
            <w:r w:rsidRPr="00BD5E12">
              <w:rPr>
                <w:rFonts w:ascii="Candara" w:hAnsi="Candara" w:cs="Arial"/>
                <w:sz w:val="20"/>
                <w:szCs w:val="20"/>
              </w:rPr>
              <w:t>C</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ind w:left="113" w:right="113"/>
              <w:jc w:val="both"/>
              <w:rPr>
                <w:rFonts w:ascii="Candara" w:hAnsi="Candara"/>
              </w:rPr>
            </w:pPr>
            <w:r w:rsidRPr="00BD5E12">
              <w:rPr>
                <w:rFonts w:ascii="Candara" w:hAnsi="Candara" w:cs="Arial"/>
                <w:color w:val="000000"/>
                <w:sz w:val="20"/>
                <w:szCs w:val="20"/>
              </w:rPr>
              <w:t xml:space="preserve">Antígua e Barbuda, Arábia Saudita, </w:t>
            </w:r>
            <w:proofErr w:type="spellStart"/>
            <w:r w:rsidRPr="00BD5E12">
              <w:rPr>
                <w:rFonts w:ascii="Candara" w:hAnsi="Candara" w:cs="Arial"/>
                <w:color w:val="000000"/>
                <w:sz w:val="20"/>
                <w:szCs w:val="20"/>
              </w:rPr>
              <w:t>Azerbaidjão</w:t>
            </w:r>
            <w:proofErr w:type="spellEnd"/>
            <w:r w:rsidRPr="00BD5E12">
              <w:rPr>
                <w:rFonts w:ascii="Candara" w:hAnsi="Candara" w:cs="Arial"/>
                <w:color w:val="000000"/>
                <w:sz w:val="20"/>
                <w:szCs w:val="20"/>
              </w:rPr>
              <w:t xml:space="preserve">, Bahamas, </w:t>
            </w:r>
            <w:proofErr w:type="spellStart"/>
            <w:r w:rsidRPr="00BD5E12">
              <w:rPr>
                <w:rFonts w:ascii="Candara" w:hAnsi="Candara" w:cs="Arial"/>
                <w:color w:val="000000"/>
                <w:sz w:val="20"/>
                <w:szCs w:val="20"/>
              </w:rPr>
              <w:t>Bareine</w:t>
            </w:r>
            <w:proofErr w:type="spellEnd"/>
            <w:r w:rsidRPr="00BD5E12">
              <w:rPr>
                <w:rFonts w:ascii="Candara" w:hAnsi="Candara" w:cs="Arial"/>
                <w:color w:val="000000"/>
                <w:sz w:val="20"/>
                <w:szCs w:val="20"/>
              </w:rPr>
              <w:t xml:space="preserve">, Botsuana, Brunei Darussalam, Bulgária, Canadá, Cingapura, Congo, Costa do Marfim, Cuba, Djibuti, Emirados Árabes, Fiji, Gabão, Guatemala, Jamaica, Jordânia, Letônia, Libéria, Lituânia, Mali, Malta, Maurício, Mauritânia, México, República Democrática do Congo, República Tcheca, Rússia, San Marino, Santa Lúcia, São </w:t>
            </w:r>
            <w:proofErr w:type="spellStart"/>
            <w:r w:rsidRPr="00BD5E12">
              <w:rPr>
                <w:rFonts w:ascii="Candara" w:hAnsi="Candara" w:cs="Arial"/>
                <w:color w:val="000000"/>
                <w:sz w:val="20"/>
                <w:szCs w:val="20"/>
              </w:rPr>
              <w:t>Cristovão</w:t>
            </w:r>
            <w:proofErr w:type="spellEnd"/>
            <w:r w:rsidRPr="00BD5E12">
              <w:rPr>
                <w:rFonts w:ascii="Candara" w:hAnsi="Candara" w:cs="Arial"/>
                <w:color w:val="000000"/>
                <w:sz w:val="20"/>
                <w:szCs w:val="20"/>
              </w:rPr>
              <w:t xml:space="preserve"> e Névis, São Vicente e Granadinas, Taiwan, Trinidad e Tobago, Ucrânia, Uganda, Zâmbia. </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052B8" w:rsidRPr="00BD5E12" w:rsidRDefault="00B052B8" w:rsidP="00DD2AE3">
            <w:pPr>
              <w:spacing w:before="60" w:after="60"/>
              <w:jc w:val="center"/>
              <w:rPr>
                <w:rFonts w:ascii="Candara" w:hAnsi="Candara"/>
              </w:rPr>
            </w:pPr>
            <w:r w:rsidRPr="00BD5E12">
              <w:rPr>
                <w:rFonts w:ascii="Candara" w:hAnsi="Candara" w:cs="Arial"/>
                <w:spacing w:val="-4"/>
                <w:sz w:val="20"/>
                <w:szCs w:val="20"/>
              </w:rPr>
              <w:t>3</w:t>
            </w:r>
            <w:r>
              <w:rPr>
                <w:rFonts w:ascii="Candara" w:hAnsi="Candara" w:cs="Arial"/>
                <w:spacing w:val="-4"/>
                <w:sz w:val="20"/>
                <w:szCs w:val="20"/>
              </w:rPr>
              <w:t>1</w:t>
            </w:r>
            <w:r w:rsidRPr="00BD5E12">
              <w:rPr>
                <w:rFonts w:ascii="Candara" w:hAnsi="Candara" w:cs="Arial"/>
                <w:spacing w:val="-4"/>
                <w:sz w:val="20"/>
                <w:szCs w:val="20"/>
              </w:rPr>
              <w:t>0</w:t>
            </w:r>
          </w:p>
        </w:tc>
      </w:tr>
      <w:tr w:rsidR="00B052B8" w:rsidRPr="00BD5E12" w:rsidTr="00DD2AE3">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jc w:val="center"/>
              <w:rPr>
                <w:rFonts w:ascii="Candara" w:hAnsi="Candara"/>
              </w:rPr>
            </w:pPr>
            <w:r w:rsidRPr="00BD5E12">
              <w:rPr>
                <w:rFonts w:ascii="Candara" w:hAnsi="Candara" w:cs="Arial"/>
                <w:sz w:val="20"/>
                <w:szCs w:val="20"/>
              </w:rPr>
              <w:t>D</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B052B8" w:rsidRPr="00BD5E12" w:rsidRDefault="00B052B8" w:rsidP="00DD2AE3">
            <w:pPr>
              <w:spacing w:before="60" w:after="60"/>
              <w:ind w:left="113" w:right="113"/>
              <w:jc w:val="both"/>
              <w:rPr>
                <w:rFonts w:ascii="Candara" w:hAnsi="Candara"/>
              </w:rPr>
            </w:pPr>
            <w:r w:rsidRPr="00BD5E12">
              <w:rPr>
                <w:rFonts w:ascii="Candara" w:hAnsi="Candara" w:cs="Arial"/>
                <w:color w:val="000000"/>
                <w:sz w:val="20"/>
                <w:szCs w:val="20"/>
              </w:rPr>
              <w:t xml:space="preserve">Alemanha, Angola, Áustria, Barbados, Bélgica, Cazaquistão, Coréia do Sul, Croácia, Dinamarca, Espanha, Estados Unidos da América, Finlândia, França, Granada, Grécia, Hong Kong, Irlanda, Islândia, Israel, Itália, Japão, </w:t>
            </w:r>
            <w:proofErr w:type="spellStart"/>
            <w:r w:rsidRPr="00BD5E12">
              <w:rPr>
                <w:rFonts w:ascii="Candara" w:hAnsi="Candara" w:cs="Arial"/>
                <w:color w:val="000000"/>
                <w:sz w:val="20"/>
                <w:szCs w:val="20"/>
              </w:rPr>
              <w:t>Kuaite</w:t>
            </w:r>
            <w:proofErr w:type="spellEnd"/>
            <w:r w:rsidRPr="00BD5E12">
              <w:rPr>
                <w:rFonts w:ascii="Candara" w:hAnsi="Candara" w:cs="Arial"/>
                <w:color w:val="000000"/>
                <w:sz w:val="20"/>
                <w:szCs w:val="20"/>
              </w:rPr>
              <w:t>, Liechtenstein, Luxemburgo, Mônaco, Montenegro, Noruega, Omã, Países Baixos, Portugal, Reino Unido, República Quirguiz, Seicheles, Sérvia, Suazilândia, Suécia, Suíça, Vanuatu. </w:t>
            </w:r>
            <w:proofErr w:type="gramStart"/>
            <w:r w:rsidRPr="00BD5E12">
              <w:rPr>
                <w:rFonts w:ascii="Candara" w:hAnsi="Candara" w:cs="Arial"/>
                <w:color w:val="000000"/>
                <w:sz w:val="20"/>
                <w:szCs w:val="20"/>
              </w:rPr>
              <w:t xml:space="preserve"> </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052B8" w:rsidRPr="00BD5E12" w:rsidRDefault="00B052B8" w:rsidP="00DD2AE3">
            <w:pPr>
              <w:spacing w:before="60" w:after="60"/>
              <w:jc w:val="center"/>
              <w:rPr>
                <w:rFonts w:ascii="Candara" w:hAnsi="Candara"/>
              </w:rPr>
            </w:pPr>
            <w:proofErr w:type="gramEnd"/>
            <w:r>
              <w:rPr>
                <w:rFonts w:ascii="Candara" w:hAnsi="Candara" w:cs="Arial"/>
                <w:color w:val="000000"/>
                <w:spacing w:val="-4"/>
                <w:sz w:val="20"/>
                <w:szCs w:val="20"/>
              </w:rPr>
              <w:t>37</w:t>
            </w:r>
            <w:r w:rsidRPr="00BD5E12">
              <w:rPr>
                <w:rFonts w:ascii="Candara" w:hAnsi="Candara" w:cs="Arial"/>
                <w:color w:val="000000"/>
                <w:spacing w:val="-4"/>
                <w:sz w:val="20"/>
                <w:szCs w:val="20"/>
              </w:rPr>
              <w:t>0</w:t>
            </w:r>
          </w:p>
        </w:tc>
      </w:tr>
    </w:tbl>
    <w:p w:rsidR="00187B1F" w:rsidRDefault="00187B1F" w:rsidP="00DD53A6"/>
    <w:sectPr w:rsidR="00187B1F" w:rsidSect="0018225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7F" w:rsidRDefault="008E407F" w:rsidP="008E407F">
      <w:r>
        <w:separator/>
      </w:r>
    </w:p>
  </w:endnote>
  <w:endnote w:type="continuationSeparator" w:id="0">
    <w:p w:rsidR="008E407F" w:rsidRDefault="008E407F" w:rsidP="008E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52323"/>
      <w:docPartObj>
        <w:docPartGallery w:val="Page Numbers (Bottom of Page)"/>
        <w:docPartUnique/>
      </w:docPartObj>
    </w:sdtPr>
    <w:sdtEndPr>
      <w:rPr>
        <w:rFonts w:ascii="Candara" w:hAnsi="Candara"/>
        <w:sz w:val="20"/>
      </w:rPr>
    </w:sdtEndPr>
    <w:sdtContent>
      <w:p w:rsidR="00DD53A6" w:rsidRPr="00DD53A6" w:rsidRDefault="00DD53A6">
        <w:pPr>
          <w:pStyle w:val="Rodap"/>
          <w:jc w:val="center"/>
          <w:rPr>
            <w:rFonts w:ascii="Candara" w:hAnsi="Candara"/>
            <w:sz w:val="20"/>
          </w:rPr>
        </w:pPr>
        <w:r w:rsidRPr="00DD53A6">
          <w:rPr>
            <w:rFonts w:ascii="Candara" w:hAnsi="Candara"/>
            <w:sz w:val="20"/>
          </w:rPr>
          <w:fldChar w:fldCharType="begin"/>
        </w:r>
        <w:r w:rsidRPr="00DD53A6">
          <w:rPr>
            <w:rFonts w:ascii="Candara" w:hAnsi="Candara"/>
            <w:sz w:val="20"/>
          </w:rPr>
          <w:instrText>PAGE   \* MERGEFORMAT</w:instrText>
        </w:r>
        <w:r w:rsidRPr="00DD53A6">
          <w:rPr>
            <w:rFonts w:ascii="Candara" w:hAnsi="Candara"/>
            <w:sz w:val="20"/>
          </w:rPr>
          <w:fldChar w:fldCharType="separate"/>
        </w:r>
        <w:r w:rsidR="00975962">
          <w:rPr>
            <w:rFonts w:ascii="Candara" w:hAnsi="Candara"/>
            <w:noProof/>
            <w:sz w:val="20"/>
          </w:rPr>
          <w:t>1</w:t>
        </w:r>
        <w:r w:rsidRPr="00DD53A6">
          <w:rPr>
            <w:rFonts w:ascii="Candara" w:hAnsi="Candara"/>
            <w:sz w:val="20"/>
          </w:rPr>
          <w:fldChar w:fldCharType="end"/>
        </w:r>
        <w:r w:rsidR="00182258">
          <w:rPr>
            <w:rFonts w:ascii="Candara" w:hAnsi="Candara"/>
            <w:sz w:val="20"/>
          </w:rPr>
          <w:t>/1</w:t>
        </w:r>
      </w:p>
    </w:sdtContent>
  </w:sdt>
  <w:p w:rsidR="00DD53A6" w:rsidRDefault="00DD53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7F" w:rsidRDefault="008E407F" w:rsidP="008E407F">
      <w:r>
        <w:separator/>
      </w:r>
    </w:p>
  </w:footnote>
  <w:footnote w:type="continuationSeparator" w:id="0">
    <w:p w:rsidR="008E407F" w:rsidRDefault="008E407F" w:rsidP="008E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67"/>
      <w:gridCol w:w="2772"/>
      <w:gridCol w:w="4323"/>
    </w:tblGrid>
    <w:tr w:rsidR="00A51B0C" w:rsidTr="00A51B0C">
      <w:tc>
        <w:tcPr>
          <w:tcW w:w="2881" w:type="dxa"/>
          <w:shd w:val="clear" w:color="auto" w:fill="auto"/>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465"/>
            <w:gridCol w:w="311"/>
          </w:tblGrid>
          <w:tr w:rsidR="008D562A" w:rsidTr="001D58A1">
            <w:tc>
              <w:tcPr>
                <w:tcW w:w="1951" w:type="dxa"/>
              </w:tcPr>
              <w:p w:rsidR="008D562A" w:rsidRDefault="008D562A" w:rsidP="001D58A1">
                <w:pPr>
                  <w:pStyle w:val="Cabealho"/>
                  <w:rPr>
                    <w:sz w:val="16"/>
                    <w:szCs w:val="16"/>
                  </w:rPr>
                </w:pPr>
                <w:r>
                  <w:rPr>
                    <w:noProof/>
                  </w:rPr>
                  <w:drawing>
                    <wp:inline distT="0" distB="0" distL="0" distR="0" wp14:anchorId="755F8E8D" wp14:editId="6DECB134">
                      <wp:extent cx="1050878" cy="463126"/>
                      <wp:effectExtent l="0" t="0" r="0" b="0"/>
                      <wp:docPr id="4" name="Imagem 4" descr="http://blog.euvoupassar.com.br/wp-content/uploads/2013/10/Ag%C3%AAncia-Nacional-de-%C3%81gu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uvoupassar.com.br/wp-content/uploads/2013/10/Ag%C3%AAncia-Nacional-de-%C3%81gu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850" cy="464436"/>
                              </a:xfrm>
                              <a:prstGeom prst="rect">
                                <a:avLst/>
                              </a:prstGeom>
                              <a:noFill/>
                              <a:ln>
                                <a:noFill/>
                              </a:ln>
                            </pic:spPr>
                          </pic:pic>
                        </a:graphicData>
                      </a:graphic>
                    </wp:inline>
                  </w:drawing>
                </w:r>
              </w:p>
            </w:tc>
            <w:tc>
              <w:tcPr>
                <w:tcW w:w="4820" w:type="dxa"/>
              </w:tcPr>
              <w:p w:rsidR="008D562A" w:rsidRDefault="008D562A" w:rsidP="001D58A1">
                <w:pPr>
                  <w:pStyle w:val="Cabealho"/>
                  <w:jc w:val="center"/>
                  <w:rPr>
                    <w:sz w:val="16"/>
                    <w:szCs w:val="16"/>
                  </w:rPr>
                </w:pPr>
              </w:p>
            </w:tc>
            <w:tc>
              <w:tcPr>
                <w:tcW w:w="1911" w:type="dxa"/>
              </w:tcPr>
              <w:p w:rsidR="008D562A" w:rsidRDefault="008D562A" w:rsidP="001D58A1">
                <w:pPr>
                  <w:pStyle w:val="Cabealho"/>
                  <w:jc w:val="right"/>
                  <w:rPr>
                    <w:sz w:val="16"/>
                    <w:szCs w:val="16"/>
                  </w:rPr>
                </w:pPr>
              </w:p>
            </w:tc>
          </w:tr>
        </w:tbl>
        <w:p w:rsidR="00A51B0C" w:rsidRPr="00A31272" w:rsidRDefault="00A51B0C" w:rsidP="00B22AEA">
          <w:pPr>
            <w:pStyle w:val="Cabealho"/>
            <w:rPr>
              <w:color w:val="0070C0"/>
            </w:rPr>
          </w:pPr>
        </w:p>
      </w:tc>
      <w:tc>
        <w:tcPr>
          <w:tcW w:w="2881" w:type="dxa"/>
          <w:shd w:val="clear" w:color="auto" w:fill="auto"/>
        </w:tcPr>
        <w:p w:rsidR="00A51B0C" w:rsidRDefault="00A51B0C" w:rsidP="00B22AEA">
          <w:pPr>
            <w:pStyle w:val="Cabealho"/>
            <w:jc w:val="center"/>
          </w:pPr>
        </w:p>
      </w:tc>
      <w:tc>
        <w:tcPr>
          <w:tcW w:w="4127" w:type="dxa"/>
          <w:shd w:val="clear" w:color="auto" w:fill="auto"/>
        </w:tcPr>
        <w:p w:rsidR="00A51B0C" w:rsidRDefault="008D562A" w:rsidP="008D562A">
          <w:pPr>
            <w:pStyle w:val="Cabealho"/>
            <w:ind w:left="3027"/>
            <w:jc w:val="both"/>
          </w:pPr>
          <w:r>
            <w:rPr>
              <w:noProof/>
            </w:rPr>
            <w:drawing>
              <wp:inline distT="0" distB="0" distL="0" distR="0" wp14:anchorId="2C570D01" wp14:editId="229AB59C">
                <wp:extent cx="685541" cy="627797"/>
                <wp:effectExtent l="0" t="0" r="635"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309" cy="632164"/>
                        </a:xfrm>
                        <a:prstGeom prst="rect">
                          <a:avLst/>
                        </a:prstGeom>
                        <a:noFill/>
                        <a:ln>
                          <a:noFill/>
                        </a:ln>
                      </pic:spPr>
                    </pic:pic>
                  </a:graphicData>
                </a:graphic>
              </wp:inline>
            </w:drawing>
          </w:r>
        </w:p>
      </w:tc>
    </w:tr>
  </w:tbl>
  <w:p w:rsidR="008E407F" w:rsidRDefault="008E407F" w:rsidP="00182258">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F"/>
    <w:rsid w:val="00182258"/>
    <w:rsid w:val="00187B1F"/>
    <w:rsid w:val="00222CE6"/>
    <w:rsid w:val="0025111A"/>
    <w:rsid w:val="00295A2E"/>
    <w:rsid w:val="002C005B"/>
    <w:rsid w:val="005B38F5"/>
    <w:rsid w:val="006A73F3"/>
    <w:rsid w:val="0088776C"/>
    <w:rsid w:val="008D562A"/>
    <w:rsid w:val="008E407F"/>
    <w:rsid w:val="00923CD5"/>
    <w:rsid w:val="00952F85"/>
    <w:rsid w:val="00975962"/>
    <w:rsid w:val="00A51B0C"/>
    <w:rsid w:val="00A52854"/>
    <w:rsid w:val="00AD39B6"/>
    <w:rsid w:val="00B052B8"/>
    <w:rsid w:val="00C54E3B"/>
    <w:rsid w:val="00CE51C2"/>
    <w:rsid w:val="00D2523C"/>
    <w:rsid w:val="00DD53A6"/>
    <w:rsid w:val="00E75B03"/>
    <w:rsid w:val="00ED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rsid w:val="008E407F"/>
    <w:pPr>
      <w:tabs>
        <w:tab w:val="center" w:pos="4252"/>
        <w:tab w:val="right" w:pos="8504"/>
      </w:tabs>
    </w:pPr>
  </w:style>
  <w:style w:type="character" w:customStyle="1" w:styleId="CabealhoChar">
    <w:name w:val="Cabeçalho Char"/>
    <w:basedOn w:val="Fontepargpadro"/>
    <w:link w:val="Cabealho"/>
    <w:uiPriority w:val="99"/>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 w:type="table" w:styleId="Tabelacomgrade">
    <w:name w:val="Table Grid"/>
    <w:basedOn w:val="Tabelanormal"/>
    <w:rsid w:val="008D56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rsid w:val="008E407F"/>
    <w:pPr>
      <w:tabs>
        <w:tab w:val="center" w:pos="4252"/>
        <w:tab w:val="right" w:pos="8504"/>
      </w:tabs>
    </w:pPr>
  </w:style>
  <w:style w:type="character" w:customStyle="1" w:styleId="CabealhoChar">
    <w:name w:val="Cabeçalho Char"/>
    <w:basedOn w:val="Fontepargpadro"/>
    <w:link w:val="Cabealho"/>
    <w:uiPriority w:val="99"/>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 w:type="table" w:styleId="Tabelacomgrade">
    <w:name w:val="Table Grid"/>
    <w:basedOn w:val="Tabelanormal"/>
    <w:rsid w:val="008D56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Plakoudi Souto Maior</dc:creator>
  <cp:lastModifiedBy>Andrea Monteiro Alencar</cp:lastModifiedBy>
  <cp:revision>7</cp:revision>
  <cp:lastPrinted>2015-10-13T12:45:00Z</cp:lastPrinted>
  <dcterms:created xsi:type="dcterms:W3CDTF">2015-07-22T13:08:00Z</dcterms:created>
  <dcterms:modified xsi:type="dcterms:W3CDTF">2015-10-13T12:45:00Z</dcterms:modified>
</cp:coreProperties>
</file>