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0CB6264C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7A45B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junho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730169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5DDDB9A5" w:rsidR="00730169" w:rsidRPr="00DD74FF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13286268/0001-83</w:t>
            </w:r>
          </w:p>
        </w:tc>
        <w:tc>
          <w:tcPr>
            <w:tcW w:w="1843" w:type="dxa"/>
          </w:tcPr>
          <w:p w14:paraId="49078410" w14:textId="5E51948F" w:rsidR="00730169" w:rsidRPr="00DD74FF" w:rsidRDefault="007128CF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29.359,20</w:t>
            </w:r>
          </w:p>
        </w:tc>
        <w:tc>
          <w:tcPr>
            <w:tcW w:w="1842" w:type="dxa"/>
          </w:tcPr>
          <w:p w14:paraId="40623A65" w14:textId="33AB57D6" w:rsidR="00730169" w:rsidRPr="00426E02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29</w:t>
            </w:r>
          </w:p>
        </w:tc>
        <w:tc>
          <w:tcPr>
            <w:tcW w:w="3119" w:type="dxa"/>
          </w:tcPr>
          <w:p w14:paraId="136713B4" w14:textId="78B6B0B9" w:rsidR="00730169" w:rsidRPr="00426E02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504FAB51" w:rsidR="00730169" w:rsidRPr="00DD74FF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84112481/0001-17</w:t>
            </w:r>
          </w:p>
        </w:tc>
        <w:tc>
          <w:tcPr>
            <w:tcW w:w="1843" w:type="dxa"/>
          </w:tcPr>
          <w:p w14:paraId="6F3558CD" w14:textId="45F567E9" w:rsidR="00730169" w:rsidRPr="00DD74FF" w:rsidRDefault="007128CF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70.593,60</w:t>
            </w:r>
          </w:p>
        </w:tc>
        <w:tc>
          <w:tcPr>
            <w:tcW w:w="1842" w:type="dxa"/>
          </w:tcPr>
          <w:p w14:paraId="6C9CB432" w14:textId="61050A1E" w:rsidR="00730169" w:rsidRPr="004B4D9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2B9C897" w14:textId="7BF58FE6" w:rsidR="00730169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37A1CE59" w:rsidR="00730169" w:rsidRPr="00DD74FF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05054671/0001-59</w:t>
            </w:r>
          </w:p>
        </w:tc>
        <w:tc>
          <w:tcPr>
            <w:tcW w:w="1843" w:type="dxa"/>
          </w:tcPr>
          <w:p w14:paraId="50F44B96" w14:textId="1BD62619" w:rsidR="00730169" w:rsidRPr="00DD74FF" w:rsidRDefault="007128CF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11.233,20</w:t>
            </w:r>
          </w:p>
        </w:tc>
        <w:tc>
          <w:tcPr>
            <w:tcW w:w="1842" w:type="dxa"/>
          </w:tcPr>
          <w:p w14:paraId="47048F6F" w14:textId="316C5D6F" w:rsidR="00730169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14FF7C47" w14:textId="16314199" w:rsidR="00730169" w:rsidRDefault="00730169" w:rsidP="00730169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8B00B6" w:rsidRPr="00BE3FC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2D5B8848" w:rsidR="008B00B6" w:rsidRPr="00DD74FF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15594468/0001-29</w:t>
            </w:r>
          </w:p>
        </w:tc>
        <w:tc>
          <w:tcPr>
            <w:tcW w:w="1843" w:type="dxa"/>
          </w:tcPr>
          <w:p w14:paraId="26CC0AE8" w14:textId="37B68F34" w:rsidR="008B00B6" w:rsidRPr="00DD74FF" w:rsidRDefault="007128CF" w:rsidP="008B00B6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60.033,60</w:t>
            </w:r>
          </w:p>
        </w:tc>
        <w:tc>
          <w:tcPr>
            <w:tcW w:w="1842" w:type="dxa"/>
          </w:tcPr>
          <w:p w14:paraId="7CCB2F8F" w14:textId="4F12C29F" w:rsidR="008B00B6" w:rsidRDefault="007128CF" w:rsidP="008B00B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9EC7384" w14:textId="7AAE4C5E" w:rsidR="008B00B6" w:rsidRDefault="008B00B6" w:rsidP="008B00B6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4DD7CEA5" w:rsidR="00730169" w:rsidRPr="00DD74FF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72547623/0001-90</w:t>
            </w:r>
          </w:p>
        </w:tc>
        <w:tc>
          <w:tcPr>
            <w:tcW w:w="1843" w:type="dxa"/>
          </w:tcPr>
          <w:p w14:paraId="13FDA062" w14:textId="251C4EF5" w:rsidR="00730169" w:rsidRPr="00DD74FF" w:rsidRDefault="007128CF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11.233,20</w:t>
            </w:r>
          </w:p>
        </w:tc>
        <w:tc>
          <w:tcPr>
            <w:tcW w:w="1842" w:type="dxa"/>
          </w:tcPr>
          <w:p w14:paraId="03FE864E" w14:textId="179B9FC6" w:rsidR="00730169" w:rsidRDefault="007128CF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10</w:t>
            </w:r>
          </w:p>
        </w:tc>
        <w:tc>
          <w:tcPr>
            <w:tcW w:w="3119" w:type="dxa"/>
          </w:tcPr>
          <w:p w14:paraId="56730260" w14:textId="3B4E1879" w:rsidR="00730169" w:rsidRPr="00D520EB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28CF" w:rsidRPr="00BE3FCE" w14:paraId="3604B818" w14:textId="77777777" w:rsidTr="004F7848">
        <w:trPr>
          <w:trHeight w:val="265"/>
        </w:trPr>
        <w:tc>
          <w:tcPr>
            <w:tcW w:w="2622" w:type="dxa"/>
          </w:tcPr>
          <w:p w14:paraId="0005F3DF" w14:textId="3FD4EC46" w:rsidR="007128CF" w:rsidRPr="00DD74F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7F695A05" w14:textId="21B7CD95" w:rsidR="007128CF" w:rsidRPr="00DD74FF" w:rsidRDefault="007128CF" w:rsidP="007128CF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36.681,92 </w:t>
            </w:r>
          </w:p>
        </w:tc>
        <w:tc>
          <w:tcPr>
            <w:tcW w:w="1842" w:type="dxa"/>
          </w:tcPr>
          <w:p w14:paraId="07AF71E0" w14:textId="38A80455" w:rsidR="007128C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3119" w:type="dxa"/>
          </w:tcPr>
          <w:p w14:paraId="70B0499B" w14:textId="4BA20AB0" w:rsidR="007128CF" w:rsidRDefault="007128CF" w:rsidP="007128CF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28CF" w:rsidRPr="00BE3FCE" w14:paraId="32315240" w14:textId="77777777" w:rsidTr="004F7848">
        <w:trPr>
          <w:trHeight w:val="265"/>
        </w:trPr>
        <w:tc>
          <w:tcPr>
            <w:tcW w:w="2622" w:type="dxa"/>
          </w:tcPr>
          <w:p w14:paraId="4E6B35CF" w14:textId="5007372A" w:rsidR="007128CF" w:rsidRPr="00DD74F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01FC1BC6" w14:textId="372466D0" w:rsidR="007128CF" w:rsidRPr="00DD74FF" w:rsidRDefault="007128CF" w:rsidP="007128CF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50.462,40 </w:t>
            </w:r>
          </w:p>
        </w:tc>
        <w:tc>
          <w:tcPr>
            <w:tcW w:w="1842" w:type="dxa"/>
          </w:tcPr>
          <w:p w14:paraId="3FC22710" w14:textId="57CADDBF" w:rsidR="007128C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16616A22" w14:textId="2280D57D" w:rsidR="007128CF" w:rsidRDefault="007128CF" w:rsidP="007128CF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28CF" w:rsidRPr="00BE3FCE" w14:paraId="73D21DBF" w14:textId="77777777" w:rsidTr="004F7848">
        <w:trPr>
          <w:trHeight w:val="265"/>
        </w:trPr>
        <w:tc>
          <w:tcPr>
            <w:tcW w:w="2622" w:type="dxa"/>
          </w:tcPr>
          <w:p w14:paraId="292D280F" w14:textId="7E1B0A78" w:rsidR="007128CF" w:rsidRPr="00DD74F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446693E0" w14:textId="470DAFD9" w:rsidR="007128CF" w:rsidRPr="00DD74FF" w:rsidRDefault="007128CF" w:rsidP="007128CF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45.416,16 </w:t>
            </w:r>
          </w:p>
        </w:tc>
        <w:tc>
          <w:tcPr>
            <w:tcW w:w="1842" w:type="dxa"/>
          </w:tcPr>
          <w:p w14:paraId="2E43DCB5" w14:textId="198C5ACF" w:rsidR="007128C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43</w:t>
            </w:r>
          </w:p>
        </w:tc>
        <w:tc>
          <w:tcPr>
            <w:tcW w:w="3119" w:type="dxa"/>
          </w:tcPr>
          <w:p w14:paraId="7C76C78B" w14:textId="438AD4D5" w:rsidR="007128CF" w:rsidRDefault="007128CF" w:rsidP="007128CF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28CF" w:rsidRPr="00BE3FCE" w14:paraId="145F1DBA" w14:textId="77777777" w:rsidTr="004F7848">
        <w:trPr>
          <w:trHeight w:val="265"/>
        </w:trPr>
        <w:tc>
          <w:tcPr>
            <w:tcW w:w="2622" w:type="dxa"/>
          </w:tcPr>
          <w:p w14:paraId="5ECC2B23" w14:textId="7F65202E" w:rsidR="007128CF" w:rsidRPr="00DD74F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599FB634" w14:textId="2E054873" w:rsidR="007128CF" w:rsidRPr="00DD74FF" w:rsidRDefault="007128CF" w:rsidP="007128CF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36.916,58 </w:t>
            </w:r>
          </w:p>
        </w:tc>
        <w:tc>
          <w:tcPr>
            <w:tcW w:w="1842" w:type="dxa"/>
          </w:tcPr>
          <w:p w14:paraId="5F1DD696" w14:textId="38847F95" w:rsidR="007128C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35</w:t>
            </w:r>
          </w:p>
        </w:tc>
        <w:tc>
          <w:tcPr>
            <w:tcW w:w="3119" w:type="dxa"/>
          </w:tcPr>
          <w:p w14:paraId="16BE0F56" w14:textId="0B175D98" w:rsidR="007128CF" w:rsidRDefault="007128CF" w:rsidP="007128CF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128CF" w:rsidRPr="00BE3FCE" w14:paraId="70A86445" w14:textId="77777777" w:rsidTr="004F7848">
        <w:trPr>
          <w:trHeight w:val="265"/>
        </w:trPr>
        <w:tc>
          <w:tcPr>
            <w:tcW w:w="2622" w:type="dxa"/>
          </w:tcPr>
          <w:p w14:paraId="059C8423" w14:textId="65907746" w:rsidR="007128CF" w:rsidRPr="00DD74F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6085E2AB" w14:textId="1BB91CA7" w:rsidR="007128CF" w:rsidRPr="00DD74FF" w:rsidRDefault="007128CF" w:rsidP="007128CF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DD74FF">
              <w:rPr>
                <w:rFonts w:ascii="Verdana" w:hAnsi="Verdana"/>
                <w:sz w:val="22"/>
                <w:szCs w:val="22"/>
              </w:rPr>
              <w:t>5.419,50</w:t>
            </w:r>
          </w:p>
        </w:tc>
        <w:tc>
          <w:tcPr>
            <w:tcW w:w="1842" w:type="dxa"/>
          </w:tcPr>
          <w:p w14:paraId="0B55B48C" w14:textId="04DCE18E" w:rsidR="007128CF" w:rsidRDefault="007128CF" w:rsidP="007128C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71FC21C5" w14:textId="1A6E365C" w:rsidR="007128CF" w:rsidRDefault="007128CF" w:rsidP="007128CF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CA5D50" w:rsidRPr="00BE3FCE" w14:paraId="3903A2BE" w14:textId="77777777" w:rsidTr="004F7848">
        <w:trPr>
          <w:trHeight w:val="265"/>
        </w:trPr>
        <w:tc>
          <w:tcPr>
            <w:tcW w:w="2622" w:type="dxa"/>
          </w:tcPr>
          <w:p w14:paraId="071BA5E1" w14:textId="70893A7A" w:rsidR="00CA5D50" w:rsidRPr="00CA5D50" w:rsidRDefault="00CA5D50" w:rsidP="00CA5D5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A5D50">
              <w:rPr>
                <w:rFonts w:ascii="Verdana" w:hAnsi="Verdan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</w:tcPr>
          <w:p w14:paraId="4AB75120" w14:textId="4754556B" w:rsidR="00CA5D50" w:rsidRPr="00CA5D50" w:rsidRDefault="00CA5D50" w:rsidP="00CA5D50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CA5D50">
              <w:rPr>
                <w:rFonts w:ascii="Verdana" w:hAnsi="Verdana"/>
                <w:sz w:val="22"/>
                <w:szCs w:val="22"/>
              </w:rPr>
              <w:t>54.405,12</w:t>
            </w:r>
          </w:p>
        </w:tc>
        <w:tc>
          <w:tcPr>
            <w:tcW w:w="1842" w:type="dxa"/>
          </w:tcPr>
          <w:p w14:paraId="75B00ECA" w14:textId="6BEDBD03" w:rsidR="00CA5D50" w:rsidRDefault="00CA5D50" w:rsidP="00CA5D5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53</w:t>
            </w:r>
          </w:p>
        </w:tc>
        <w:tc>
          <w:tcPr>
            <w:tcW w:w="3119" w:type="dxa"/>
          </w:tcPr>
          <w:p w14:paraId="7E34573C" w14:textId="0AA09031" w:rsidR="00CA5D50" w:rsidRDefault="00CA5D50" w:rsidP="00CA5D50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CA5D50" w:rsidRPr="00BE3FCE" w14:paraId="129B6B5D" w14:textId="77777777" w:rsidTr="004F7848">
        <w:trPr>
          <w:trHeight w:val="265"/>
        </w:trPr>
        <w:tc>
          <w:tcPr>
            <w:tcW w:w="2622" w:type="dxa"/>
          </w:tcPr>
          <w:p w14:paraId="5B8715EF" w14:textId="53E5EF08" w:rsidR="00CA5D50" w:rsidRPr="00CA5D50" w:rsidRDefault="00CA5D50" w:rsidP="00CA5D5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A5D50">
              <w:rPr>
                <w:rFonts w:ascii="Verdana" w:hAnsi="Verdan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68615387" w14:textId="49C692B4" w:rsidR="00CA5D50" w:rsidRPr="00CA5D50" w:rsidRDefault="00CA5D50" w:rsidP="00CA5D50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CA5D50">
              <w:rPr>
                <w:rFonts w:ascii="Verdana" w:hAnsi="Verdana"/>
                <w:sz w:val="22"/>
                <w:szCs w:val="22"/>
              </w:rPr>
              <w:t>109.890,00</w:t>
            </w:r>
          </w:p>
        </w:tc>
        <w:tc>
          <w:tcPr>
            <w:tcW w:w="1842" w:type="dxa"/>
          </w:tcPr>
          <w:p w14:paraId="78CE5CD9" w14:textId="61F6F1C2" w:rsidR="00CA5D50" w:rsidRDefault="00CA5D50" w:rsidP="00CA5D5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</w:t>
            </w:r>
          </w:p>
        </w:tc>
        <w:tc>
          <w:tcPr>
            <w:tcW w:w="3119" w:type="dxa"/>
          </w:tcPr>
          <w:p w14:paraId="1FCCE5DF" w14:textId="4CC85D73" w:rsidR="00CA5D50" w:rsidRDefault="00CA5D50" w:rsidP="00CA5D50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CA5D50" w:rsidRPr="00BE3FCE" w14:paraId="0C59FAD1" w14:textId="77777777" w:rsidTr="004F7848">
        <w:trPr>
          <w:trHeight w:val="265"/>
        </w:trPr>
        <w:tc>
          <w:tcPr>
            <w:tcW w:w="2622" w:type="dxa"/>
          </w:tcPr>
          <w:p w14:paraId="6F728FF8" w14:textId="78BC9D2C" w:rsidR="00CA5D50" w:rsidRPr="00CA5D50" w:rsidRDefault="00CA5D50" w:rsidP="00CA5D5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A5D50">
              <w:rPr>
                <w:rFonts w:ascii="Verdana" w:hAnsi="Verdana"/>
                <w:sz w:val="22"/>
                <w:szCs w:val="22"/>
              </w:rPr>
              <w:t>67363341/0001-00</w:t>
            </w:r>
          </w:p>
        </w:tc>
        <w:tc>
          <w:tcPr>
            <w:tcW w:w="1843" w:type="dxa"/>
          </w:tcPr>
          <w:p w14:paraId="190A1E59" w14:textId="05E6A3D2" w:rsidR="00CA5D50" w:rsidRPr="00CA5D50" w:rsidRDefault="00CA5D50" w:rsidP="00CA5D50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CA5D50">
              <w:rPr>
                <w:rFonts w:ascii="Verdana" w:hAnsi="Verdana"/>
                <w:sz w:val="22"/>
                <w:szCs w:val="22"/>
              </w:rPr>
              <w:t>17.194,10</w:t>
            </w:r>
          </w:p>
        </w:tc>
        <w:tc>
          <w:tcPr>
            <w:tcW w:w="1842" w:type="dxa"/>
          </w:tcPr>
          <w:p w14:paraId="343AFC8C" w14:textId="0DCB4D77" w:rsidR="00CA5D50" w:rsidRDefault="00CA5D50" w:rsidP="00CA5D5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16</w:t>
            </w:r>
          </w:p>
        </w:tc>
        <w:tc>
          <w:tcPr>
            <w:tcW w:w="3119" w:type="dxa"/>
          </w:tcPr>
          <w:p w14:paraId="55F753E2" w14:textId="3DB5E0B7" w:rsidR="00CA5D50" w:rsidRDefault="00CA5D50" w:rsidP="00CA5D50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09A3"/>
    <w:rsid w:val="00114F6F"/>
    <w:rsid w:val="001645E1"/>
    <w:rsid w:val="00175EC9"/>
    <w:rsid w:val="001D0D07"/>
    <w:rsid w:val="002068FF"/>
    <w:rsid w:val="00255270"/>
    <w:rsid w:val="00266071"/>
    <w:rsid w:val="00266D5C"/>
    <w:rsid w:val="002B4E50"/>
    <w:rsid w:val="002D3596"/>
    <w:rsid w:val="002E5684"/>
    <w:rsid w:val="002F2D94"/>
    <w:rsid w:val="0031787C"/>
    <w:rsid w:val="00364A07"/>
    <w:rsid w:val="00374A38"/>
    <w:rsid w:val="00381C18"/>
    <w:rsid w:val="003848E2"/>
    <w:rsid w:val="00386561"/>
    <w:rsid w:val="003C6332"/>
    <w:rsid w:val="003F20A2"/>
    <w:rsid w:val="003F6664"/>
    <w:rsid w:val="00415764"/>
    <w:rsid w:val="004257A2"/>
    <w:rsid w:val="004A1819"/>
    <w:rsid w:val="004B3533"/>
    <w:rsid w:val="004B4D99"/>
    <w:rsid w:val="004D4A83"/>
    <w:rsid w:val="00563CCD"/>
    <w:rsid w:val="00577852"/>
    <w:rsid w:val="00591C22"/>
    <w:rsid w:val="0060518F"/>
    <w:rsid w:val="006222A6"/>
    <w:rsid w:val="0066530A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4ADD"/>
    <w:rsid w:val="00802A24"/>
    <w:rsid w:val="0082688E"/>
    <w:rsid w:val="008373F4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71348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A5D50"/>
    <w:rsid w:val="00CB3375"/>
    <w:rsid w:val="00CC7DA1"/>
    <w:rsid w:val="00CE3DA4"/>
    <w:rsid w:val="00D01612"/>
    <w:rsid w:val="00D336F7"/>
    <w:rsid w:val="00D36A0C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9</cp:revision>
  <dcterms:created xsi:type="dcterms:W3CDTF">2023-07-07T08:14:00Z</dcterms:created>
  <dcterms:modified xsi:type="dcterms:W3CDTF">2023-07-07T08:27:00Z</dcterms:modified>
</cp:coreProperties>
</file>