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2164">
      <w:pPr>
        <w:pStyle w:val="Corpodetexto"/>
        <w:jc w:val="right"/>
        <w:rPr>
          <w:rFonts w:cs="Arial"/>
          <w:b/>
          <w:sz w:val="32"/>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27pt;width:59.15pt;height:96.85pt;z-index:251657728" o:allowincell="f" fillcolor="window">
            <v:imagedata r:id="rId7" o:title=""/>
            <w10:wrap type="topAndBottom"/>
          </v:shape>
          <o:OLEObject Type="Embed" ProgID="Word.Picture.8" ShapeID="_x0000_s1027" DrawAspect="Content" ObjectID="_1338886024" r:id="rId8"/>
        </w:pict>
      </w:r>
      <w:bookmarkStart w:id="0" w:name="_Ref102725558"/>
      <w:bookmarkEnd w:id="0"/>
    </w:p>
    <w:p w:rsidR="00000000" w:rsidRDefault="00142164">
      <w:pPr>
        <w:pStyle w:val="Corpodetexto"/>
        <w:ind w:firstLine="0"/>
        <w:jc w:val="center"/>
        <w:rPr>
          <w:rFonts w:cs="Arial"/>
          <w:b/>
          <w:sz w:val="32"/>
        </w:rPr>
      </w:pPr>
      <w:r>
        <w:rPr>
          <w:rFonts w:cs="Arial"/>
          <w:b/>
          <w:sz w:val="32"/>
        </w:rPr>
        <w:t>AGÊNCIA NACIONAL DO PETRÓLEO, GÁS NATURAL E BIOCOMBUSTÍVEIS - ANP</w:t>
      </w:r>
    </w:p>
    <w:p w:rsidR="00000000" w:rsidRDefault="00142164">
      <w:pPr>
        <w:pStyle w:val="Corpodetexto"/>
        <w:rPr>
          <w:rFonts w:cs="Arial"/>
          <w:b/>
          <w:sz w:val="32"/>
        </w:rPr>
      </w:pPr>
    </w:p>
    <w:p w:rsidR="00000000" w:rsidRDefault="00142164">
      <w:pPr>
        <w:pStyle w:val="Corpodetexto"/>
        <w:rPr>
          <w:rFonts w:cs="Arial"/>
          <w:b/>
          <w:sz w:val="32"/>
        </w:rPr>
      </w:pPr>
    </w:p>
    <w:p w:rsidR="00000000" w:rsidRDefault="00142164">
      <w:pPr>
        <w:pStyle w:val="Corpodetexto"/>
        <w:shd w:val="pct30" w:color="000000" w:fill="auto"/>
        <w:ind w:firstLine="0"/>
        <w:jc w:val="center"/>
        <w:rPr>
          <w:rFonts w:cs="Arial"/>
          <w:b/>
          <w:sz w:val="32"/>
        </w:rPr>
      </w:pPr>
      <w:r>
        <w:rPr>
          <w:rFonts w:cs="Arial"/>
          <w:b/>
          <w:sz w:val="32"/>
        </w:rPr>
        <w:t xml:space="preserve">EDITAL DE LICITAÇÕES PARA A OUTORGA DOS CONTRATOS DE CONCESSÃO </w:t>
      </w:r>
    </w:p>
    <w:p w:rsidR="00000000" w:rsidRDefault="00142164">
      <w:pPr>
        <w:pStyle w:val="Corpodetexto"/>
        <w:shd w:val="pct30" w:color="000000" w:fill="auto"/>
        <w:ind w:firstLine="0"/>
        <w:jc w:val="center"/>
        <w:rPr>
          <w:rFonts w:cs="Arial"/>
          <w:b/>
          <w:sz w:val="32"/>
        </w:rPr>
      </w:pPr>
    </w:p>
    <w:p w:rsidR="00000000" w:rsidRDefault="00142164">
      <w:pPr>
        <w:pStyle w:val="Corpodetexto"/>
        <w:shd w:val="pct30" w:color="000000" w:fill="auto"/>
        <w:ind w:firstLine="0"/>
        <w:jc w:val="center"/>
        <w:rPr>
          <w:rFonts w:cs="Arial"/>
          <w:b/>
          <w:sz w:val="32"/>
        </w:rPr>
      </w:pPr>
    </w:p>
    <w:p w:rsidR="00000000" w:rsidRDefault="00142164">
      <w:pPr>
        <w:pStyle w:val="Corpodetexto"/>
        <w:shd w:val="pct30" w:color="000000" w:fill="auto"/>
        <w:ind w:firstLine="0"/>
        <w:jc w:val="center"/>
        <w:rPr>
          <w:rFonts w:cs="Arial"/>
          <w:b/>
          <w:sz w:val="32"/>
        </w:rPr>
      </w:pPr>
      <w:r>
        <w:rPr>
          <w:rFonts w:cs="Arial"/>
          <w:b/>
          <w:sz w:val="32"/>
        </w:rPr>
        <w:t>DISPOSIÇÕES APLICÁVEIS ÀS ATIVIDADES DE:</w:t>
      </w:r>
    </w:p>
    <w:p w:rsidR="00000000" w:rsidRDefault="00142164">
      <w:pPr>
        <w:pStyle w:val="Corpodetexto"/>
        <w:shd w:val="pct30" w:color="000000" w:fill="auto"/>
        <w:ind w:firstLine="0"/>
        <w:jc w:val="center"/>
        <w:rPr>
          <w:rFonts w:cs="Arial"/>
          <w:b/>
          <w:sz w:val="32"/>
        </w:rPr>
      </w:pPr>
    </w:p>
    <w:p w:rsidR="00000000" w:rsidRDefault="00142164">
      <w:pPr>
        <w:pStyle w:val="Corpodetexto"/>
        <w:shd w:val="pct30" w:color="000000" w:fill="auto"/>
        <w:ind w:firstLine="0"/>
        <w:jc w:val="center"/>
        <w:rPr>
          <w:rFonts w:cs="Arial"/>
          <w:b/>
          <w:sz w:val="32"/>
        </w:rPr>
      </w:pPr>
      <w:r>
        <w:rPr>
          <w:rFonts w:cs="Arial"/>
          <w:b/>
          <w:sz w:val="32"/>
        </w:rPr>
        <w:t xml:space="preserve">EXPLORAÇÃO, AVALIAÇÃO,DESENVOLVIMENTO E PRODUÇÃO DE PETRÓLEO E GÁS NATURAL EM </w:t>
      </w:r>
      <w:r>
        <w:rPr>
          <w:rFonts w:cs="Arial"/>
          <w:b/>
          <w:sz w:val="32"/>
        </w:rPr>
        <w:t>BLOCOS COM RISCO EXPLORATÓRIO</w:t>
      </w:r>
    </w:p>
    <w:p w:rsidR="00000000" w:rsidRDefault="00142164">
      <w:pPr>
        <w:pStyle w:val="Corpodetexto"/>
        <w:shd w:val="pct30" w:color="000000" w:fill="auto"/>
        <w:ind w:firstLine="0"/>
        <w:jc w:val="center"/>
        <w:rPr>
          <w:rFonts w:cs="Arial"/>
          <w:b/>
          <w:sz w:val="32"/>
        </w:rPr>
      </w:pPr>
    </w:p>
    <w:p w:rsidR="00000000" w:rsidRDefault="00142164">
      <w:pPr>
        <w:pStyle w:val="Corpodetexto"/>
        <w:shd w:val="pct30" w:color="000000" w:fill="auto"/>
        <w:ind w:firstLine="0"/>
        <w:jc w:val="center"/>
        <w:rPr>
          <w:rFonts w:cs="Arial"/>
          <w:b/>
          <w:sz w:val="32"/>
        </w:rPr>
      </w:pPr>
      <w:r>
        <w:rPr>
          <w:rFonts w:cs="Arial"/>
          <w:b/>
          <w:sz w:val="32"/>
        </w:rPr>
        <w:t>E</w:t>
      </w:r>
    </w:p>
    <w:p w:rsidR="00000000" w:rsidRDefault="00142164">
      <w:pPr>
        <w:pStyle w:val="Corpodetexto"/>
        <w:shd w:val="pct30" w:color="000000" w:fill="auto"/>
        <w:ind w:firstLine="0"/>
        <w:jc w:val="center"/>
        <w:rPr>
          <w:rFonts w:cs="Arial"/>
          <w:b/>
          <w:sz w:val="32"/>
        </w:rPr>
      </w:pPr>
    </w:p>
    <w:p w:rsidR="00000000" w:rsidRDefault="00142164">
      <w:pPr>
        <w:pStyle w:val="Corpodetexto"/>
        <w:shd w:val="pct30" w:color="000000" w:fill="auto"/>
        <w:ind w:firstLine="0"/>
        <w:jc w:val="center"/>
        <w:rPr>
          <w:rFonts w:cs="Arial"/>
          <w:b/>
          <w:sz w:val="32"/>
        </w:rPr>
      </w:pPr>
      <w:r>
        <w:rPr>
          <w:rFonts w:cs="Arial"/>
          <w:b/>
          <w:sz w:val="32"/>
        </w:rPr>
        <w:t xml:space="preserve">AVALIAÇÃO, REABILITAÇÃO E PRODUÇÃO EM BLOCOS CONTENDO ÁREAS INATIVAS COM ACUMULAÇÕES MARGINAIS </w:t>
      </w:r>
    </w:p>
    <w:p w:rsidR="00000000" w:rsidRDefault="00142164">
      <w:pPr>
        <w:pStyle w:val="Corpodetexto"/>
        <w:rPr>
          <w:rFonts w:cs="Arial"/>
          <w:b/>
          <w:sz w:val="32"/>
        </w:rPr>
      </w:pPr>
    </w:p>
    <w:p w:rsidR="00000000" w:rsidRDefault="00142164">
      <w:pPr>
        <w:pStyle w:val="Corpodetexto"/>
        <w:jc w:val="center"/>
        <w:rPr>
          <w:rFonts w:cs="Arial"/>
          <w:b/>
        </w:rPr>
      </w:pPr>
      <w:r>
        <w:rPr>
          <w:rFonts w:cs="Arial"/>
          <w:b/>
          <w:sz w:val="28"/>
        </w:rPr>
        <w:t>SÉTIMA RODADA DE LICITAÇÕES</w:t>
      </w:r>
      <w:r>
        <w:rPr>
          <w:rFonts w:cs="Arial"/>
        </w:rPr>
        <w:t xml:space="preserve"> </w:t>
      </w:r>
    </w:p>
    <w:p w:rsidR="00000000" w:rsidRDefault="00142164">
      <w:pPr>
        <w:pStyle w:val="Corpodetexto"/>
        <w:jc w:val="center"/>
        <w:rPr>
          <w:rFonts w:cs="Arial"/>
          <w:bCs/>
          <w:sz w:val="24"/>
        </w:rPr>
      </w:pPr>
      <w:r>
        <w:rPr>
          <w:rFonts w:cs="Arial"/>
          <w:b/>
        </w:rPr>
        <w:t>RIO DE JANEIRO, 29 DE AGOSTO DE 2005</w:t>
      </w:r>
      <w:r>
        <w:rPr>
          <w:rFonts w:cs="Arial"/>
          <w:b/>
        </w:rPr>
        <w:br w:type="page"/>
      </w:r>
      <w:r>
        <w:rPr>
          <w:rFonts w:cs="Arial"/>
          <w:bCs/>
          <w:sz w:val="24"/>
        </w:rPr>
        <w:lastRenderedPageBreak/>
        <w:t>ADVERTÊNCIA:</w:t>
      </w:r>
    </w:p>
    <w:p w:rsidR="00000000" w:rsidRDefault="00142164">
      <w:pPr>
        <w:pStyle w:val="Corpodetexto"/>
        <w:ind w:firstLine="0"/>
        <w:rPr>
          <w:rFonts w:cs="Arial"/>
          <w:bCs/>
          <w:sz w:val="24"/>
        </w:rPr>
      </w:pPr>
    </w:p>
    <w:p w:rsidR="00000000" w:rsidRDefault="00142164">
      <w:pPr>
        <w:pStyle w:val="Corpodetexto"/>
        <w:ind w:firstLine="0"/>
        <w:rPr>
          <w:rFonts w:cs="Arial"/>
          <w:bCs/>
          <w:sz w:val="24"/>
        </w:rPr>
      </w:pPr>
    </w:p>
    <w:p w:rsidR="00000000" w:rsidRDefault="00142164">
      <w:pPr>
        <w:pStyle w:val="Corpodetexto"/>
        <w:ind w:firstLine="0"/>
        <w:rPr>
          <w:rFonts w:cs="Arial"/>
          <w:bCs/>
          <w:sz w:val="24"/>
        </w:rPr>
      </w:pPr>
      <w:r>
        <w:rPr>
          <w:rFonts w:cs="Arial"/>
          <w:bCs/>
          <w:sz w:val="24"/>
        </w:rPr>
        <w:t>I – Da divisão do Edital em Partes A e B</w:t>
      </w:r>
    </w:p>
    <w:p w:rsidR="00000000" w:rsidRDefault="00142164">
      <w:pPr>
        <w:pStyle w:val="Corpodetexto"/>
        <w:ind w:firstLine="0"/>
        <w:rPr>
          <w:rFonts w:cs="Arial"/>
          <w:bCs/>
          <w:sz w:val="24"/>
        </w:rPr>
      </w:pPr>
    </w:p>
    <w:p w:rsidR="00000000" w:rsidRDefault="00142164">
      <w:pPr>
        <w:pStyle w:val="Corpodetexto"/>
        <w:ind w:firstLine="0"/>
        <w:rPr>
          <w:rFonts w:cs="Arial"/>
          <w:bCs/>
          <w:sz w:val="24"/>
        </w:rPr>
      </w:pPr>
      <w:r>
        <w:rPr>
          <w:rFonts w:cs="Arial"/>
          <w:bCs/>
          <w:sz w:val="24"/>
        </w:rPr>
        <w:t>Es</w:t>
      </w:r>
      <w:r>
        <w:rPr>
          <w:rFonts w:cs="Arial"/>
          <w:bCs/>
          <w:sz w:val="24"/>
        </w:rPr>
        <w:t>te Edital, elaborado para a Sétima Rodada de Licitações, contém duas partes: Parte A e Parte B. Tal divisão é necessária para adequar o certame às definições dos modelos previstos na Lei 9.478/97; no artigo 3º da Resolução do CNPE N</w:t>
      </w:r>
      <w:r>
        <w:rPr>
          <w:rFonts w:cs="Arial"/>
          <w:bCs/>
          <w:sz w:val="24"/>
          <w:vertAlign w:val="superscript"/>
        </w:rPr>
        <w:t>o</w:t>
      </w:r>
      <w:r>
        <w:rPr>
          <w:rFonts w:cs="Arial"/>
          <w:bCs/>
          <w:sz w:val="24"/>
        </w:rPr>
        <w:t xml:space="preserve"> 2, de 8 de dezembro de</w:t>
      </w:r>
      <w:r>
        <w:rPr>
          <w:rFonts w:cs="Arial"/>
          <w:bCs/>
          <w:sz w:val="24"/>
        </w:rPr>
        <w:t xml:space="preserve"> 2004 e na Resolução Nº 2, de 13 de abril de 2005.</w:t>
      </w:r>
    </w:p>
    <w:p w:rsidR="00000000" w:rsidRDefault="00142164">
      <w:pPr>
        <w:pStyle w:val="Corpodetexto"/>
        <w:ind w:firstLine="0"/>
        <w:rPr>
          <w:rFonts w:cs="Arial"/>
          <w:bCs/>
          <w:sz w:val="24"/>
        </w:rPr>
      </w:pPr>
    </w:p>
    <w:p w:rsidR="00000000" w:rsidRDefault="00142164">
      <w:pPr>
        <w:pStyle w:val="Corpodetexto"/>
        <w:ind w:firstLine="0"/>
        <w:rPr>
          <w:rFonts w:cs="Arial"/>
          <w:bCs/>
          <w:sz w:val="24"/>
        </w:rPr>
      </w:pPr>
      <w:r>
        <w:rPr>
          <w:rFonts w:cs="Arial"/>
          <w:bCs/>
          <w:sz w:val="24"/>
        </w:rPr>
        <w:t>A Parte A do Edital contém as disposições aplicáveis às atividades de Exploração, Avaliação, Desenvolvimento e Produção de petróleo e gás natural em Blocos com risco exploratório. A Parte B contempla a en</w:t>
      </w:r>
      <w:r>
        <w:rPr>
          <w:rFonts w:cs="Arial"/>
          <w:bCs/>
          <w:sz w:val="24"/>
        </w:rPr>
        <w:t xml:space="preserve">trada do concessionário na Fase de Avaliação e disposições aplicáveis às atividades de Reabilitação e Produção em Blocos contendo Áreas inativas com acumulações marginais. </w:t>
      </w:r>
    </w:p>
    <w:p w:rsidR="00000000" w:rsidRDefault="00142164">
      <w:pPr>
        <w:pStyle w:val="Corpodetexto"/>
        <w:ind w:firstLine="0"/>
        <w:rPr>
          <w:rFonts w:cs="Arial"/>
          <w:bCs/>
          <w:sz w:val="24"/>
        </w:rPr>
      </w:pPr>
    </w:p>
    <w:p w:rsidR="00000000" w:rsidRDefault="00142164">
      <w:pPr>
        <w:pStyle w:val="Corpodetexto"/>
        <w:ind w:firstLine="0"/>
        <w:rPr>
          <w:rFonts w:cs="Arial"/>
          <w:bCs/>
          <w:sz w:val="24"/>
        </w:rPr>
      </w:pPr>
      <w:r>
        <w:rPr>
          <w:rFonts w:cs="Arial"/>
          <w:bCs/>
          <w:sz w:val="24"/>
        </w:rPr>
        <w:t>|| - Das versões oficiais</w:t>
      </w:r>
    </w:p>
    <w:p w:rsidR="00000000" w:rsidRDefault="00142164">
      <w:pPr>
        <w:pStyle w:val="Corpodetexto"/>
        <w:ind w:firstLine="0"/>
        <w:rPr>
          <w:rFonts w:cs="Arial"/>
          <w:bCs/>
          <w:sz w:val="24"/>
        </w:rPr>
      </w:pPr>
    </w:p>
    <w:p w:rsidR="00000000" w:rsidRDefault="00142164">
      <w:pPr>
        <w:pStyle w:val="Corpodetexto"/>
        <w:ind w:firstLine="0"/>
        <w:rPr>
          <w:rFonts w:cs="Arial"/>
          <w:b/>
        </w:rPr>
      </w:pPr>
      <w:r>
        <w:rPr>
          <w:rFonts w:cs="Arial"/>
          <w:bCs/>
          <w:sz w:val="24"/>
        </w:rPr>
        <w:t xml:space="preserve">Este Edital de Licitações, bem como suas partes A e B, </w:t>
      </w:r>
      <w:r>
        <w:rPr>
          <w:rFonts w:cs="Arial"/>
          <w:bCs/>
          <w:sz w:val="24"/>
        </w:rPr>
        <w:t>é elaborado em idioma português, sendo esta a única versão oficial. Está disponível uma versão em idioma inglês, apenas para orientação dos participantes e interessados.</w:t>
      </w:r>
    </w:p>
    <w:p w:rsidR="00000000" w:rsidRDefault="00142164">
      <w:pPr>
        <w:pStyle w:val="Corpodetexto"/>
        <w:ind w:firstLine="0"/>
        <w:rPr>
          <w:rFonts w:cs="Arial"/>
          <w:b/>
        </w:rPr>
      </w:pPr>
    </w:p>
    <w:p w:rsidR="00000000" w:rsidRDefault="00142164">
      <w:pPr>
        <w:pStyle w:val="Corpodetexto"/>
        <w:ind w:firstLine="0"/>
        <w:rPr>
          <w:rFonts w:cs="Arial"/>
          <w:b/>
        </w:rPr>
      </w:pPr>
    </w:p>
    <w:p w:rsidR="00000000" w:rsidRDefault="00142164">
      <w:pPr>
        <w:pStyle w:val="Corpodetexto"/>
        <w:ind w:firstLine="0"/>
        <w:rPr>
          <w:rFonts w:cs="Arial"/>
          <w:b/>
        </w:rPr>
      </w:pPr>
      <w:r>
        <w:rPr>
          <w:rFonts w:cs="Arial"/>
          <w:b/>
        </w:rPr>
        <w:br w:type="page"/>
      </w:r>
    </w:p>
    <w:p w:rsidR="00000000" w:rsidRDefault="00142164">
      <w:pPr>
        <w:pStyle w:val="Corpodetexto"/>
        <w:ind w:firstLine="0"/>
        <w:rPr>
          <w:rFonts w:cs="Arial"/>
          <w:b/>
        </w:rPr>
      </w:pPr>
    </w:p>
    <w:p w:rsidR="00000000" w:rsidRDefault="00142164">
      <w:pPr>
        <w:pStyle w:val="Corpodetexto"/>
        <w:ind w:firstLine="0"/>
        <w:rPr>
          <w:rFonts w:cs="Arial"/>
          <w:b/>
        </w:rPr>
      </w:pPr>
      <w:r>
        <w:rPr>
          <w:rFonts w:cs="Arial"/>
          <w:b/>
        </w:rPr>
        <w:t>CONTEÚDO</w:t>
      </w:r>
    </w:p>
    <w:p w:rsidR="00000000" w:rsidRDefault="00142164">
      <w:pPr>
        <w:pStyle w:val="Sumrio1"/>
        <w:rPr>
          <w:b w:val="0"/>
          <w:caps w:val="0"/>
          <w:sz w:val="24"/>
          <w:szCs w:val="24"/>
        </w:rPr>
      </w:pPr>
      <w:r>
        <w:rPr>
          <w:rFonts w:ascii="Arial" w:hAnsi="Arial" w:cs="Arial"/>
          <w:b w:val="0"/>
          <w:caps w:val="0"/>
          <w:sz w:val="24"/>
        </w:rPr>
        <w:fldChar w:fldCharType="begin"/>
      </w:r>
      <w:r>
        <w:rPr>
          <w:rFonts w:ascii="Arial" w:hAnsi="Arial" w:cs="Arial"/>
          <w:b w:val="0"/>
          <w:caps w:val="0"/>
          <w:sz w:val="24"/>
        </w:rPr>
        <w:instrText xml:space="preserve"> TOC \o "1-2" \t "Título;2" </w:instrText>
      </w:r>
      <w:r>
        <w:rPr>
          <w:rFonts w:ascii="Arial" w:hAnsi="Arial" w:cs="Arial"/>
          <w:b w:val="0"/>
          <w:caps w:val="0"/>
          <w:sz w:val="24"/>
        </w:rPr>
        <w:fldChar w:fldCharType="separate"/>
      </w:r>
      <w:r>
        <w:rPr>
          <w:rFonts w:cs="Arial"/>
          <w:szCs w:val="24"/>
        </w:rPr>
        <w:t>1</w:t>
      </w:r>
      <w:r>
        <w:rPr>
          <w:b w:val="0"/>
          <w:caps w:val="0"/>
          <w:sz w:val="24"/>
          <w:szCs w:val="24"/>
        </w:rPr>
        <w:tab/>
      </w:r>
      <w:r>
        <w:rPr>
          <w:rFonts w:cs="Arial"/>
          <w:szCs w:val="24"/>
        </w:rPr>
        <w:t>INTRODUÇÃO</w:t>
      </w:r>
      <w:r>
        <w:tab/>
      </w:r>
      <w:r>
        <w:fldChar w:fldCharType="begin"/>
      </w:r>
      <w:r>
        <w:instrText xml:space="preserve"> PAGEREF _Toc113184745 \h </w:instrText>
      </w:r>
      <w:r>
        <w:fldChar w:fldCharType="separate"/>
      </w:r>
      <w:r>
        <w:t>4</w:t>
      </w:r>
      <w: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1.1</w:t>
      </w:r>
      <w:r>
        <w:rPr>
          <w:smallCaps w:val="0"/>
          <w:noProof/>
          <w:sz w:val="24"/>
          <w:szCs w:val="24"/>
        </w:rPr>
        <w:tab/>
      </w:r>
      <w:r>
        <w:rPr>
          <w:rFonts w:cs="Arial"/>
          <w:noProof/>
          <w:szCs w:val="24"/>
        </w:rPr>
        <w:t>Áreas em Licitação na Sétima Rodada de Licitações</w:t>
      </w:r>
      <w:r>
        <w:rPr>
          <w:noProof/>
        </w:rPr>
        <w:tab/>
      </w:r>
      <w:r>
        <w:rPr>
          <w:noProof/>
        </w:rPr>
        <w:fldChar w:fldCharType="begin"/>
      </w:r>
      <w:r>
        <w:rPr>
          <w:noProof/>
        </w:rPr>
        <w:instrText xml:space="preserve"> PAGEREF _Toc113184746 \h </w:instrText>
      </w:r>
      <w:r>
        <w:rPr>
          <w:noProof/>
        </w:rPr>
      </w:r>
      <w:r>
        <w:rPr>
          <w:noProof/>
        </w:rPr>
        <w:fldChar w:fldCharType="separate"/>
      </w:r>
      <w:r>
        <w:rPr>
          <w:noProof/>
        </w:rPr>
        <w:t>4</w:t>
      </w:r>
      <w:r>
        <w:rPr>
          <w:noProof/>
        </w:rPr>
        <w:fldChar w:fldCharType="end"/>
      </w:r>
    </w:p>
    <w:p w:rsidR="00000000" w:rsidRDefault="00142164">
      <w:pPr>
        <w:pStyle w:val="Sumrio2"/>
        <w:tabs>
          <w:tab w:val="right" w:leader="dot" w:pos="9345"/>
        </w:tabs>
        <w:rPr>
          <w:smallCaps w:val="0"/>
          <w:noProof/>
          <w:sz w:val="24"/>
          <w:szCs w:val="24"/>
        </w:rPr>
      </w:pPr>
      <w:r>
        <w:rPr>
          <w:rFonts w:cs="Arial"/>
          <w:noProof/>
          <w:szCs w:val="24"/>
        </w:rPr>
        <w:t>PARTE A</w:t>
      </w:r>
      <w:r>
        <w:rPr>
          <w:noProof/>
        </w:rPr>
        <w:tab/>
      </w:r>
      <w:r>
        <w:rPr>
          <w:noProof/>
        </w:rPr>
        <w:fldChar w:fldCharType="begin"/>
      </w:r>
      <w:r>
        <w:rPr>
          <w:noProof/>
        </w:rPr>
        <w:instrText xml:space="preserve"> PAGEREF _Toc113184747 \h </w:instrText>
      </w:r>
      <w:r>
        <w:rPr>
          <w:noProof/>
        </w:rPr>
      </w:r>
      <w:r>
        <w:rPr>
          <w:noProof/>
        </w:rPr>
        <w:fldChar w:fldCharType="separate"/>
      </w:r>
      <w:r>
        <w:rPr>
          <w:noProof/>
        </w:rPr>
        <w:t>4</w:t>
      </w:r>
      <w:r>
        <w:rPr>
          <w:noProof/>
        </w:rPr>
        <w:fldChar w:fldCharType="end"/>
      </w:r>
    </w:p>
    <w:p w:rsidR="00000000" w:rsidRDefault="00142164">
      <w:pPr>
        <w:pStyle w:val="Sumrio2"/>
        <w:tabs>
          <w:tab w:val="right" w:leader="dot" w:pos="9345"/>
        </w:tabs>
        <w:rPr>
          <w:smallCaps w:val="0"/>
          <w:noProof/>
          <w:sz w:val="24"/>
          <w:szCs w:val="24"/>
        </w:rPr>
      </w:pPr>
      <w:r>
        <w:rPr>
          <w:rFonts w:cs="Arial"/>
          <w:noProof/>
          <w:szCs w:val="24"/>
        </w:rPr>
        <w:t>PARTE B</w:t>
      </w:r>
      <w:r>
        <w:rPr>
          <w:noProof/>
        </w:rPr>
        <w:tab/>
      </w:r>
      <w:r>
        <w:rPr>
          <w:noProof/>
        </w:rPr>
        <w:fldChar w:fldCharType="begin"/>
      </w:r>
      <w:r>
        <w:rPr>
          <w:noProof/>
        </w:rPr>
        <w:instrText xml:space="preserve"> PAGEREF _Toc113184748 \h </w:instrText>
      </w:r>
      <w:r>
        <w:rPr>
          <w:noProof/>
        </w:rPr>
      </w:r>
      <w:r>
        <w:rPr>
          <w:noProof/>
        </w:rPr>
        <w:fldChar w:fldCharType="separate"/>
      </w:r>
      <w:r>
        <w:rPr>
          <w:noProof/>
        </w:rPr>
        <w:t>4</w:t>
      </w:r>
      <w:r>
        <w:rPr>
          <w:noProof/>
        </w:rP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1.2</w:t>
      </w:r>
      <w:r>
        <w:rPr>
          <w:smallCaps w:val="0"/>
          <w:noProof/>
          <w:sz w:val="24"/>
          <w:szCs w:val="24"/>
        </w:rPr>
        <w:tab/>
      </w:r>
      <w:r>
        <w:rPr>
          <w:rFonts w:cs="Arial"/>
          <w:noProof/>
          <w:szCs w:val="24"/>
        </w:rPr>
        <w:t>Modelos de áreas em licitação</w:t>
      </w:r>
      <w:r>
        <w:rPr>
          <w:noProof/>
        </w:rPr>
        <w:tab/>
      </w:r>
      <w:r>
        <w:rPr>
          <w:noProof/>
        </w:rPr>
        <w:fldChar w:fldCharType="begin"/>
      </w:r>
      <w:r>
        <w:rPr>
          <w:noProof/>
        </w:rPr>
        <w:instrText xml:space="preserve"> PAGEREF _Toc113184749 \h </w:instrText>
      </w:r>
      <w:r>
        <w:rPr>
          <w:noProof/>
        </w:rPr>
      </w:r>
      <w:r>
        <w:rPr>
          <w:noProof/>
        </w:rPr>
        <w:fldChar w:fldCharType="separate"/>
      </w:r>
      <w:r>
        <w:rPr>
          <w:noProof/>
        </w:rPr>
        <w:t>5</w:t>
      </w:r>
      <w:r>
        <w:rPr>
          <w:noProof/>
        </w:rPr>
        <w:fldChar w:fldCharType="end"/>
      </w:r>
    </w:p>
    <w:p w:rsidR="00000000" w:rsidRDefault="00142164">
      <w:pPr>
        <w:pStyle w:val="Sumrio2"/>
        <w:tabs>
          <w:tab w:val="right" w:leader="dot" w:pos="9345"/>
        </w:tabs>
        <w:rPr>
          <w:smallCaps w:val="0"/>
          <w:noProof/>
          <w:sz w:val="24"/>
          <w:szCs w:val="24"/>
        </w:rPr>
      </w:pPr>
      <w:r>
        <w:rPr>
          <w:rFonts w:cs="Arial"/>
          <w:noProof/>
          <w:szCs w:val="24"/>
        </w:rPr>
        <w:t>PARTE A</w:t>
      </w:r>
      <w:r>
        <w:rPr>
          <w:noProof/>
        </w:rPr>
        <w:tab/>
      </w:r>
      <w:r>
        <w:rPr>
          <w:noProof/>
        </w:rPr>
        <w:fldChar w:fldCharType="begin"/>
      </w:r>
      <w:r>
        <w:rPr>
          <w:noProof/>
        </w:rPr>
        <w:instrText xml:space="preserve"> PAGEREF _To</w:instrText>
      </w:r>
      <w:r>
        <w:rPr>
          <w:noProof/>
        </w:rPr>
        <w:instrText xml:space="preserve">c113184750 \h </w:instrText>
      </w:r>
      <w:r>
        <w:rPr>
          <w:noProof/>
        </w:rPr>
      </w:r>
      <w:r>
        <w:rPr>
          <w:noProof/>
        </w:rPr>
        <w:fldChar w:fldCharType="separate"/>
      </w:r>
      <w:r>
        <w:rPr>
          <w:noProof/>
        </w:rPr>
        <w:t>5</w:t>
      </w:r>
      <w:r>
        <w:rPr>
          <w:noProof/>
        </w:rPr>
        <w:fldChar w:fldCharType="end"/>
      </w:r>
    </w:p>
    <w:p w:rsidR="00000000" w:rsidRDefault="00142164">
      <w:pPr>
        <w:pStyle w:val="Sumrio2"/>
        <w:tabs>
          <w:tab w:val="right" w:leader="dot" w:pos="9345"/>
        </w:tabs>
        <w:rPr>
          <w:smallCaps w:val="0"/>
          <w:noProof/>
          <w:sz w:val="24"/>
          <w:szCs w:val="24"/>
        </w:rPr>
      </w:pPr>
      <w:r>
        <w:rPr>
          <w:rFonts w:cs="Arial"/>
          <w:noProof/>
          <w:szCs w:val="24"/>
        </w:rPr>
        <w:t>PARTE B</w:t>
      </w:r>
      <w:r>
        <w:rPr>
          <w:noProof/>
        </w:rPr>
        <w:tab/>
      </w:r>
      <w:r>
        <w:rPr>
          <w:noProof/>
        </w:rPr>
        <w:fldChar w:fldCharType="begin"/>
      </w:r>
      <w:r>
        <w:rPr>
          <w:noProof/>
        </w:rPr>
        <w:instrText xml:space="preserve"> PAGEREF _Toc113184751 \h </w:instrText>
      </w:r>
      <w:r>
        <w:rPr>
          <w:noProof/>
        </w:rPr>
      </w:r>
      <w:r>
        <w:rPr>
          <w:noProof/>
        </w:rPr>
        <w:fldChar w:fldCharType="separate"/>
      </w:r>
      <w:r>
        <w:rPr>
          <w:noProof/>
        </w:rPr>
        <w:t>5</w:t>
      </w:r>
      <w:r>
        <w:rPr>
          <w:noProof/>
        </w:rP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1.3</w:t>
      </w:r>
      <w:r>
        <w:rPr>
          <w:smallCaps w:val="0"/>
          <w:noProof/>
          <w:sz w:val="24"/>
          <w:szCs w:val="24"/>
        </w:rPr>
        <w:tab/>
      </w:r>
      <w:r>
        <w:rPr>
          <w:rFonts w:cs="Arial"/>
          <w:noProof/>
          <w:szCs w:val="24"/>
        </w:rPr>
        <w:t>Modalidades de Participação na Sétima Rodada de Licitações</w:t>
      </w:r>
      <w:r>
        <w:rPr>
          <w:noProof/>
        </w:rPr>
        <w:tab/>
      </w:r>
      <w:r>
        <w:rPr>
          <w:noProof/>
        </w:rPr>
        <w:fldChar w:fldCharType="begin"/>
      </w:r>
      <w:r>
        <w:rPr>
          <w:noProof/>
        </w:rPr>
        <w:instrText xml:space="preserve"> PAGEREF _Toc113184752 \h </w:instrText>
      </w:r>
      <w:r>
        <w:rPr>
          <w:noProof/>
        </w:rPr>
      </w:r>
      <w:r>
        <w:rPr>
          <w:noProof/>
        </w:rPr>
        <w:fldChar w:fldCharType="separate"/>
      </w:r>
      <w:r>
        <w:rPr>
          <w:noProof/>
        </w:rPr>
        <w:t>5</w:t>
      </w:r>
      <w:r>
        <w:rPr>
          <w:noProof/>
        </w:rPr>
        <w:fldChar w:fldCharType="end"/>
      </w:r>
    </w:p>
    <w:p w:rsidR="00000000" w:rsidRDefault="00142164">
      <w:pPr>
        <w:pStyle w:val="Sumrio2"/>
        <w:tabs>
          <w:tab w:val="right" w:leader="dot" w:pos="9345"/>
        </w:tabs>
        <w:rPr>
          <w:smallCaps w:val="0"/>
          <w:noProof/>
          <w:sz w:val="24"/>
          <w:szCs w:val="24"/>
        </w:rPr>
      </w:pPr>
      <w:r>
        <w:rPr>
          <w:noProof/>
          <w:szCs w:val="24"/>
        </w:rPr>
        <w:t>Tabela 1 - Resumo das condições para a qualificação das empresas para a Sétima Rodada de Licitações</w:t>
      </w:r>
      <w:r>
        <w:rPr>
          <w:noProof/>
        </w:rPr>
        <w:tab/>
      </w:r>
      <w:r>
        <w:rPr>
          <w:noProof/>
        </w:rPr>
        <w:fldChar w:fldCharType="begin"/>
      </w:r>
      <w:r>
        <w:rPr>
          <w:noProof/>
        </w:rPr>
        <w:instrText xml:space="preserve"> </w:instrText>
      </w:r>
      <w:r>
        <w:rPr>
          <w:noProof/>
        </w:rPr>
        <w:instrText xml:space="preserve">PAGEREF _Toc113184753 \h </w:instrText>
      </w:r>
      <w:r>
        <w:rPr>
          <w:noProof/>
        </w:rPr>
      </w:r>
      <w:r>
        <w:rPr>
          <w:noProof/>
        </w:rPr>
        <w:fldChar w:fldCharType="separate"/>
      </w:r>
      <w:r>
        <w:rPr>
          <w:noProof/>
        </w:rPr>
        <w:t>5</w:t>
      </w:r>
      <w:r>
        <w:rPr>
          <w:noProof/>
        </w:rP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1.4</w:t>
      </w:r>
      <w:r>
        <w:rPr>
          <w:smallCaps w:val="0"/>
          <w:noProof/>
          <w:sz w:val="24"/>
          <w:szCs w:val="24"/>
        </w:rPr>
        <w:tab/>
      </w:r>
      <w:r>
        <w:rPr>
          <w:rFonts w:cs="Arial"/>
          <w:noProof/>
          <w:szCs w:val="24"/>
        </w:rPr>
        <w:t>Cronograma</w:t>
      </w:r>
      <w:r>
        <w:rPr>
          <w:noProof/>
        </w:rPr>
        <w:tab/>
      </w:r>
      <w:r>
        <w:rPr>
          <w:noProof/>
        </w:rPr>
        <w:fldChar w:fldCharType="begin"/>
      </w:r>
      <w:r>
        <w:rPr>
          <w:noProof/>
        </w:rPr>
        <w:instrText xml:space="preserve"> PAGEREF _Toc113184754 \h </w:instrText>
      </w:r>
      <w:r>
        <w:rPr>
          <w:noProof/>
        </w:rPr>
      </w:r>
      <w:r>
        <w:rPr>
          <w:noProof/>
        </w:rPr>
        <w:fldChar w:fldCharType="separate"/>
      </w:r>
      <w:r>
        <w:rPr>
          <w:noProof/>
        </w:rPr>
        <w:t>6</w:t>
      </w:r>
      <w:r>
        <w:rPr>
          <w:noProof/>
        </w:rPr>
        <w:fldChar w:fldCharType="end"/>
      </w:r>
    </w:p>
    <w:p w:rsidR="00000000" w:rsidRDefault="00142164">
      <w:pPr>
        <w:pStyle w:val="Sumrio2"/>
        <w:tabs>
          <w:tab w:val="right" w:leader="dot" w:pos="9345"/>
        </w:tabs>
        <w:rPr>
          <w:smallCaps w:val="0"/>
          <w:noProof/>
          <w:sz w:val="24"/>
          <w:szCs w:val="24"/>
        </w:rPr>
      </w:pPr>
      <w:r>
        <w:rPr>
          <w:noProof/>
          <w:szCs w:val="24"/>
        </w:rPr>
        <w:t>Tabela 2 - Cronograma da Sétima Rodada de Licitações*</w:t>
      </w:r>
      <w:r>
        <w:rPr>
          <w:noProof/>
        </w:rPr>
        <w:tab/>
      </w:r>
      <w:r>
        <w:rPr>
          <w:noProof/>
        </w:rPr>
        <w:fldChar w:fldCharType="begin"/>
      </w:r>
      <w:r>
        <w:rPr>
          <w:noProof/>
        </w:rPr>
        <w:instrText xml:space="preserve"> PAGEREF _Toc113184755 \h </w:instrText>
      </w:r>
      <w:r>
        <w:rPr>
          <w:noProof/>
        </w:rPr>
      </w:r>
      <w:r>
        <w:rPr>
          <w:noProof/>
        </w:rPr>
        <w:fldChar w:fldCharType="separate"/>
      </w:r>
      <w:r>
        <w:rPr>
          <w:noProof/>
        </w:rPr>
        <w:t>6</w:t>
      </w:r>
      <w:r>
        <w:rPr>
          <w:noProof/>
        </w:rPr>
        <w:fldChar w:fldCharType="end"/>
      </w:r>
    </w:p>
    <w:p w:rsidR="00000000" w:rsidRDefault="00142164">
      <w:pPr>
        <w:pStyle w:val="Sumrio1"/>
        <w:rPr>
          <w:b w:val="0"/>
          <w:caps w:val="0"/>
          <w:sz w:val="24"/>
          <w:szCs w:val="24"/>
        </w:rPr>
      </w:pPr>
      <w:r>
        <w:rPr>
          <w:rFonts w:cs="Arial"/>
          <w:szCs w:val="24"/>
        </w:rPr>
        <w:t>2</w:t>
      </w:r>
      <w:r>
        <w:rPr>
          <w:b w:val="0"/>
          <w:caps w:val="0"/>
          <w:sz w:val="24"/>
          <w:szCs w:val="24"/>
        </w:rPr>
        <w:tab/>
      </w:r>
      <w:r>
        <w:rPr>
          <w:rFonts w:cs="Arial"/>
          <w:szCs w:val="24"/>
        </w:rPr>
        <w:t>OBJETO DA LICITAÇÃO</w:t>
      </w:r>
      <w:r>
        <w:tab/>
      </w:r>
      <w:r>
        <w:fldChar w:fldCharType="begin"/>
      </w:r>
      <w:r>
        <w:instrText xml:space="preserve"> PAGEREF _Toc113184756 \h </w:instrText>
      </w:r>
      <w:r>
        <w:fldChar w:fldCharType="separate"/>
      </w:r>
      <w:r>
        <w:t>7</w:t>
      </w:r>
      <w:r>
        <w:fldChar w:fldCharType="end"/>
      </w:r>
    </w:p>
    <w:p w:rsidR="00000000" w:rsidRDefault="00142164">
      <w:pPr>
        <w:pStyle w:val="Sumrio1"/>
        <w:rPr>
          <w:b w:val="0"/>
          <w:caps w:val="0"/>
          <w:sz w:val="24"/>
          <w:szCs w:val="24"/>
        </w:rPr>
      </w:pPr>
      <w:r>
        <w:rPr>
          <w:rFonts w:cs="Arial"/>
          <w:szCs w:val="24"/>
        </w:rPr>
        <w:t>3</w:t>
      </w:r>
      <w:r>
        <w:rPr>
          <w:b w:val="0"/>
          <w:caps w:val="0"/>
          <w:sz w:val="24"/>
          <w:szCs w:val="24"/>
        </w:rPr>
        <w:tab/>
      </w:r>
      <w:r>
        <w:rPr>
          <w:rFonts w:cs="Arial"/>
          <w:szCs w:val="24"/>
        </w:rPr>
        <w:t>Apresentação de Ofertas</w:t>
      </w:r>
      <w:r>
        <w:tab/>
      </w:r>
      <w:r>
        <w:fldChar w:fldCharType="begin"/>
      </w:r>
      <w:r>
        <w:instrText xml:space="preserve"> PAGEREF _To</w:instrText>
      </w:r>
      <w:r>
        <w:instrText xml:space="preserve">c113184757 \h </w:instrText>
      </w:r>
      <w:r>
        <w:fldChar w:fldCharType="separate"/>
      </w:r>
      <w:r>
        <w:t>8</w:t>
      </w:r>
      <w: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3.1</w:t>
      </w:r>
      <w:r>
        <w:rPr>
          <w:smallCaps w:val="0"/>
          <w:noProof/>
          <w:sz w:val="24"/>
          <w:szCs w:val="24"/>
        </w:rPr>
        <w:tab/>
      </w:r>
      <w:r>
        <w:rPr>
          <w:rFonts w:cs="Arial"/>
          <w:noProof/>
          <w:szCs w:val="24"/>
        </w:rPr>
        <w:t>Seqüência da Licitação</w:t>
      </w:r>
      <w:r>
        <w:rPr>
          <w:noProof/>
        </w:rPr>
        <w:tab/>
      </w:r>
      <w:r>
        <w:rPr>
          <w:noProof/>
        </w:rPr>
        <w:fldChar w:fldCharType="begin"/>
      </w:r>
      <w:r>
        <w:rPr>
          <w:noProof/>
        </w:rPr>
        <w:instrText xml:space="preserve"> PAGEREF _Toc113184758 \h </w:instrText>
      </w:r>
      <w:r>
        <w:rPr>
          <w:noProof/>
        </w:rPr>
      </w:r>
      <w:r>
        <w:rPr>
          <w:noProof/>
        </w:rPr>
        <w:fldChar w:fldCharType="separate"/>
      </w:r>
      <w:r>
        <w:rPr>
          <w:noProof/>
        </w:rPr>
        <w:t>8</w:t>
      </w:r>
      <w:r>
        <w:rPr>
          <w:noProof/>
        </w:rP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3.2</w:t>
      </w:r>
      <w:r>
        <w:rPr>
          <w:smallCaps w:val="0"/>
          <w:noProof/>
          <w:sz w:val="24"/>
          <w:szCs w:val="24"/>
        </w:rPr>
        <w:tab/>
      </w:r>
      <w:r>
        <w:rPr>
          <w:rFonts w:cs="Arial"/>
          <w:noProof/>
          <w:szCs w:val="24"/>
        </w:rPr>
        <w:t>Programa e Local da Licitação</w:t>
      </w:r>
      <w:r>
        <w:rPr>
          <w:noProof/>
        </w:rPr>
        <w:tab/>
      </w:r>
      <w:r>
        <w:rPr>
          <w:noProof/>
        </w:rPr>
        <w:fldChar w:fldCharType="begin"/>
      </w:r>
      <w:r>
        <w:rPr>
          <w:noProof/>
        </w:rPr>
        <w:instrText xml:space="preserve"> PAGEREF _Toc113184759 \h </w:instrText>
      </w:r>
      <w:r>
        <w:rPr>
          <w:noProof/>
        </w:rPr>
      </w:r>
      <w:r>
        <w:rPr>
          <w:noProof/>
        </w:rPr>
        <w:fldChar w:fldCharType="separate"/>
      </w:r>
      <w:r>
        <w:rPr>
          <w:noProof/>
        </w:rPr>
        <w:t>8</w:t>
      </w:r>
      <w:r>
        <w:rPr>
          <w:noProof/>
        </w:rPr>
        <w:fldChar w:fldCharType="end"/>
      </w:r>
    </w:p>
    <w:p w:rsidR="00000000" w:rsidRDefault="00142164">
      <w:pPr>
        <w:pStyle w:val="Sumrio1"/>
        <w:rPr>
          <w:b w:val="0"/>
          <w:caps w:val="0"/>
          <w:sz w:val="24"/>
          <w:szCs w:val="24"/>
        </w:rPr>
      </w:pPr>
      <w:r>
        <w:rPr>
          <w:rFonts w:cs="Arial"/>
          <w:szCs w:val="24"/>
        </w:rPr>
        <w:t>4</w:t>
      </w:r>
      <w:r>
        <w:rPr>
          <w:b w:val="0"/>
          <w:caps w:val="0"/>
          <w:sz w:val="24"/>
          <w:szCs w:val="24"/>
        </w:rPr>
        <w:tab/>
      </w:r>
      <w:r>
        <w:rPr>
          <w:rFonts w:cs="Arial"/>
          <w:szCs w:val="24"/>
        </w:rPr>
        <w:t>HOMOLOGAÇÃO DO JULGAMENTO</w:t>
      </w:r>
      <w:r>
        <w:tab/>
      </w:r>
      <w:r>
        <w:fldChar w:fldCharType="begin"/>
      </w:r>
      <w:r>
        <w:instrText xml:space="preserve"> PAGEREF _Toc113184760 \h </w:instrText>
      </w:r>
      <w:r>
        <w:fldChar w:fldCharType="separate"/>
      </w:r>
      <w:r>
        <w:t>10</w:t>
      </w:r>
      <w:r>
        <w:fldChar w:fldCharType="end"/>
      </w:r>
    </w:p>
    <w:p w:rsidR="00000000" w:rsidRDefault="00142164">
      <w:pPr>
        <w:pStyle w:val="Sumrio1"/>
        <w:rPr>
          <w:b w:val="0"/>
          <w:caps w:val="0"/>
          <w:sz w:val="24"/>
          <w:szCs w:val="24"/>
        </w:rPr>
      </w:pPr>
      <w:r>
        <w:rPr>
          <w:rFonts w:cs="Arial"/>
          <w:szCs w:val="24"/>
        </w:rPr>
        <w:t>5</w:t>
      </w:r>
      <w:r>
        <w:rPr>
          <w:b w:val="0"/>
          <w:caps w:val="0"/>
          <w:sz w:val="24"/>
          <w:szCs w:val="24"/>
        </w:rPr>
        <w:tab/>
      </w:r>
      <w:r>
        <w:rPr>
          <w:rFonts w:cs="Arial"/>
          <w:szCs w:val="24"/>
        </w:rPr>
        <w:t>ASSINATURA DOS CONTRATOS DE CONCESSÃO</w:t>
      </w:r>
      <w:r>
        <w:tab/>
      </w:r>
      <w:r>
        <w:fldChar w:fldCharType="begin"/>
      </w:r>
      <w:r>
        <w:instrText xml:space="preserve"> PAGEREF _</w:instrText>
      </w:r>
      <w:r>
        <w:instrText xml:space="preserve">Toc113184761 \h </w:instrText>
      </w:r>
      <w:r>
        <w:fldChar w:fldCharType="separate"/>
      </w:r>
      <w:r>
        <w:t>11</w:t>
      </w:r>
      <w:r>
        <w:fldChar w:fldCharType="end"/>
      </w:r>
    </w:p>
    <w:p w:rsidR="00000000" w:rsidRDefault="00142164">
      <w:pPr>
        <w:pStyle w:val="Sumrio1"/>
        <w:rPr>
          <w:b w:val="0"/>
          <w:caps w:val="0"/>
          <w:sz w:val="24"/>
          <w:szCs w:val="24"/>
        </w:rPr>
      </w:pPr>
      <w:r>
        <w:rPr>
          <w:rFonts w:cs="Arial"/>
          <w:szCs w:val="24"/>
        </w:rPr>
        <w:t>6</w:t>
      </w:r>
      <w:r>
        <w:rPr>
          <w:b w:val="0"/>
          <w:caps w:val="0"/>
          <w:sz w:val="24"/>
          <w:szCs w:val="24"/>
        </w:rPr>
        <w:tab/>
      </w:r>
      <w:r>
        <w:rPr>
          <w:rFonts w:cs="Arial"/>
          <w:szCs w:val="24"/>
        </w:rPr>
        <w:t>ESCLARECIMENTOS COMPLEMENTARES SOBRE A LICITAÇÃO</w:t>
      </w:r>
      <w:r>
        <w:tab/>
      </w:r>
      <w:r>
        <w:fldChar w:fldCharType="begin"/>
      </w:r>
      <w:r>
        <w:instrText xml:space="preserve"> PAGEREF _Toc113184762 \h </w:instrText>
      </w:r>
      <w:r>
        <w:fldChar w:fldCharType="separate"/>
      </w:r>
      <w:r>
        <w:t>15</w:t>
      </w:r>
      <w: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6.1</w:t>
      </w:r>
      <w:r>
        <w:rPr>
          <w:smallCaps w:val="0"/>
          <w:noProof/>
          <w:sz w:val="24"/>
          <w:szCs w:val="24"/>
        </w:rPr>
        <w:tab/>
      </w:r>
      <w:r>
        <w:rPr>
          <w:rFonts w:cs="Arial"/>
          <w:noProof/>
          <w:szCs w:val="24"/>
        </w:rPr>
        <w:t>Foro</w:t>
      </w:r>
      <w:r>
        <w:rPr>
          <w:noProof/>
        </w:rPr>
        <w:tab/>
      </w:r>
      <w:r>
        <w:rPr>
          <w:noProof/>
        </w:rPr>
        <w:fldChar w:fldCharType="begin"/>
      </w:r>
      <w:r>
        <w:rPr>
          <w:noProof/>
        </w:rPr>
        <w:instrText xml:space="preserve"> PAGEREF _Toc113184763 \h </w:instrText>
      </w:r>
      <w:r>
        <w:rPr>
          <w:noProof/>
        </w:rPr>
      </w:r>
      <w:r>
        <w:rPr>
          <w:noProof/>
        </w:rPr>
        <w:fldChar w:fldCharType="separate"/>
      </w:r>
      <w:r>
        <w:rPr>
          <w:noProof/>
        </w:rPr>
        <w:t>15</w:t>
      </w:r>
      <w:r>
        <w:rPr>
          <w:noProof/>
        </w:rP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6.2</w:t>
      </w:r>
      <w:r>
        <w:rPr>
          <w:smallCaps w:val="0"/>
          <w:noProof/>
          <w:sz w:val="24"/>
          <w:szCs w:val="24"/>
        </w:rPr>
        <w:tab/>
      </w:r>
      <w:r>
        <w:rPr>
          <w:rFonts w:cs="Arial"/>
          <w:noProof/>
          <w:szCs w:val="24"/>
        </w:rPr>
        <w:t>Consultas</w:t>
      </w:r>
      <w:r>
        <w:rPr>
          <w:noProof/>
        </w:rPr>
        <w:tab/>
      </w:r>
      <w:r>
        <w:rPr>
          <w:noProof/>
        </w:rPr>
        <w:fldChar w:fldCharType="begin"/>
      </w:r>
      <w:r>
        <w:rPr>
          <w:noProof/>
        </w:rPr>
        <w:instrText xml:space="preserve"> PAGEREF _Toc113184764 \h </w:instrText>
      </w:r>
      <w:r>
        <w:rPr>
          <w:noProof/>
        </w:rPr>
      </w:r>
      <w:r>
        <w:rPr>
          <w:noProof/>
        </w:rPr>
        <w:fldChar w:fldCharType="separate"/>
      </w:r>
      <w:r>
        <w:rPr>
          <w:noProof/>
        </w:rPr>
        <w:t>15</w:t>
      </w:r>
      <w:r>
        <w:rPr>
          <w:noProof/>
        </w:rP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6.3</w:t>
      </w:r>
      <w:r>
        <w:rPr>
          <w:smallCaps w:val="0"/>
          <w:noProof/>
          <w:sz w:val="24"/>
          <w:szCs w:val="24"/>
        </w:rPr>
        <w:tab/>
      </w:r>
      <w:r>
        <w:rPr>
          <w:rFonts w:cs="Arial"/>
          <w:noProof/>
          <w:szCs w:val="24"/>
        </w:rPr>
        <w:t>Entrega de Documentos</w:t>
      </w:r>
      <w:r>
        <w:rPr>
          <w:noProof/>
        </w:rPr>
        <w:tab/>
      </w:r>
      <w:r>
        <w:rPr>
          <w:noProof/>
        </w:rPr>
        <w:fldChar w:fldCharType="begin"/>
      </w:r>
      <w:r>
        <w:rPr>
          <w:noProof/>
        </w:rPr>
        <w:instrText xml:space="preserve"> PAGEREF _Toc113184765 \h </w:instrText>
      </w:r>
      <w:r>
        <w:rPr>
          <w:noProof/>
        </w:rPr>
      </w:r>
      <w:r>
        <w:rPr>
          <w:noProof/>
        </w:rPr>
        <w:fldChar w:fldCharType="separate"/>
      </w:r>
      <w:r>
        <w:rPr>
          <w:noProof/>
        </w:rPr>
        <w:t>16</w:t>
      </w:r>
      <w:r>
        <w:rPr>
          <w:noProof/>
        </w:rPr>
        <w:fldChar w:fldCharType="end"/>
      </w:r>
    </w:p>
    <w:p w:rsidR="00000000" w:rsidRDefault="00142164">
      <w:pPr>
        <w:pStyle w:val="Sumrio1"/>
        <w:rPr>
          <w:b w:val="0"/>
          <w:caps w:val="0"/>
          <w:sz w:val="24"/>
          <w:szCs w:val="24"/>
        </w:rPr>
      </w:pPr>
      <w:r>
        <w:rPr>
          <w:rFonts w:cs="Arial"/>
          <w:szCs w:val="24"/>
        </w:rPr>
        <w:t>7</w:t>
      </w:r>
      <w:r>
        <w:rPr>
          <w:b w:val="0"/>
          <w:caps w:val="0"/>
          <w:sz w:val="24"/>
          <w:szCs w:val="24"/>
        </w:rPr>
        <w:tab/>
      </w:r>
      <w:r>
        <w:rPr>
          <w:rFonts w:cs="Arial"/>
          <w:szCs w:val="24"/>
        </w:rPr>
        <w:t>Direitos da ANP e Garantia</w:t>
      </w:r>
      <w:r>
        <w:tab/>
      </w:r>
      <w:r>
        <w:fldChar w:fldCharType="begin"/>
      </w:r>
      <w:r>
        <w:instrText xml:space="preserve"> PAGEREF _Toc113184766 \h </w:instrText>
      </w:r>
      <w:r>
        <w:fldChar w:fldCharType="separate"/>
      </w:r>
      <w:r>
        <w:t>17</w:t>
      </w:r>
      <w:r>
        <w:fldChar w:fldCharType="end"/>
      </w:r>
    </w:p>
    <w:p w:rsidR="00000000" w:rsidRDefault="00142164">
      <w:pPr>
        <w:pStyle w:val="Sumrio2"/>
        <w:tabs>
          <w:tab w:val="left" w:pos="960"/>
          <w:tab w:val="right" w:leader="dot" w:pos="9345"/>
        </w:tabs>
        <w:rPr>
          <w:smallCaps w:val="0"/>
          <w:noProof/>
          <w:sz w:val="24"/>
          <w:szCs w:val="24"/>
        </w:rPr>
      </w:pPr>
      <w:r>
        <w:rPr>
          <w:rFonts w:cs="Arial"/>
          <w:noProof/>
          <w:szCs w:val="24"/>
        </w:rPr>
        <w:t>7.1</w:t>
      </w:r>
      <w:r>
        <w:rPr>
          <w:smallCaps w:val="0"/>
          <w:noProof/>
          <w:sz w:val="24"/>
          <w:szCs w:val="24"/>
        </w:rPr>
        <w:tab/>
      </w:r>
      <w:r>
        <w:rPr>
          <w:rFonts w:cs="Arial"/>
          <w:noProof/>
          <w:szCs w:val="24"/>
        </w:rPr>
        <w:t>Recursos Administrativos</w:t>
      </w:r>
      <w:r>
        <w:rPr>
          <w:noProof/>
        </w:rPr>
        <w:tab/>
      </w:r>
      <w:r>
        <w:rPr>
          <w:noProof/>
        </w:rPr>
        <w:fldChar w:fldCharType="begin"/>
      </w:r>
      <w:r>
        <w:rPr>
          <w:noProof/>
        </w:rPr>
        <w:instrText xml:space="preserve"> PAGEREF _Toc113184767 \h </w:instrText>
      </w:r>
      <w:r>
        <w:rPr>
          <w:noProof/>
        </w:rPr>
      </w:r>
      <w:r>
        <w:rPr>
          <w:noProof/>
        </w:rPr>
        <w:fldChar w:fldCharType="separate"/>
      </w:r>
      <w:r>
        <w:rPr>
          <w:noProof/>
        </w:rPr>
        <w:t>17</w:t>
      </w:r>
      <w:r>
        <w:rPr>
          <w:noProof/>
        </w:rPr>
        <w:fldChar w:fldCharType="end"/>
      </w:r>
    </w:p>
    <w:p w:rsidR="00000000" w:rsidRDefault="00142164">
      <w:pPr>
        <w:pStyle w:val="Sumrio1"/>
        <w:rPr>
          <w:b w:val="0"/>
          <w:caps w:val="0"/>
          <w:sz w:val="24"/>
          <w:szCs w:val="24"/>
        </w:rPr>
      </w:pPr>
      <w:r>
        <w:rPr>
          <w:rFonts w:cs="Arial"/>
          <w:szCs w:val="24"/>
        </w:rPr>
        <w:t>Disposições Específicas</w:t>
      </w:r>
      <w:r>
        <w:tab/>
      </w:r>
      <w:r>
        <w:fldChar w:fldCharType="begin"/>
      </w:r>
      <w:r>
        <w:instrText xml:space="preserve"> PAGEREF _Toc113184768 \h </w:instrText>
      </w:r>
      <w:r>
        <w:fldChar w:fldCharType="separate"/>
      </w:r>
      <w:r>
        <w:t>18</w:t>
      </w:r>
      <w:r>
        <w:fldChar w:fldCharType="end"/>
      </w:r>
    </w:p>
    <w:p w:rsidR="00000000" w:rsidRDefault="00142164">
      <w:pPr>
        <w:pStyle w:val="Corpodetexto"/>
        <w:ind w:firstLine="0"/>
        <w:rPr>
          <w:rFonts w:cs="Arial"/>
          <w:b/>
        </w:rPr>
      </w:pPr>
      <w:r>
        <w:fldChar w:fldCharType="end"/>
      </w:r>
    </w:p>
    <w:p w:rsidR="00000000" w:rsidRDefault="00142164">
      <w:pPr>
        <w:pStyle w:val="Ttulo1"/>
        <w:rPr>
          <w:rFonts w:cs="Arial"/>
          <w:caps/>
        </w:rPr>
      </w:pPr>
      <w:bookmarkStart w:id="1" w:name="_Toc103566355"/>
      <w:bookmarkStart w:id="2" w:name="_Toc113184745"/>
      <w:r>
        <w:rPr>
          <w:rFonts w:cs="Arial"/>
        </w:rPr>
        <w:lastRenderedPageBreak/>
        <w:t>INTRODUÇÃO</w:t>
      </w:r>
      <w:bookmarkEnd w:id="1"/>
      <w:bookmarkEnd w:id="2"/>
    </w:p>
    <w:p w:rsidR="00000000" w:rsidRDefault="00142164">
      <w:pPr>
        <w:pStyle w:val="Corpodetexto"/>
        <w:rPr>
          <w:rFonts w:cs="Arial"/>
        </w:rPr>
      </w:pPr>
    </w:p>
    <w:p w:rsidR="00000000" w:rsidRDefault="00142164">
      <w:pPr>
        <w:pStyle w:val="Corpodetexto"/>
        <w:rPr>
          <w:rFonts w:cs="Arial"/>
        </w:rPr>
      </w:pPr>
    </w:p>
    <w:p w:rsidR="00000000" w:rsidRDefault="00142164">
      <w:pPr>
        <w:pStyle w:val="Corpodetexto"/>
        <w:rPr>
          <w:rFonts w:cs="Arial"/>
        </w:rPr>
      </w:pPr>
      <w:r>
        <w:rPr>
          <w:rFonts w:cs="Arial"/>
        </w:rPr>
        <w:t xml:space="preserve">1. Em 6 de agosto de 1997, o Congresso Nacional aprovou a Lei </w:t>
      </w:r>
      <w:r>
        <w:rPr>
          <w:rFonts w:cs="Arial"/>
        </w:rPr>
        <w:t>nº 9.478/97, denominada Lei do Petróleo, que dispõe sobre a política energética nacional e implementa outras medidas, em consonância com a Emenda Constitucional nº 9 de 1995, que flexibiliza a forma de execução do monopólio da União para as atividades de e</w:t>
      </w:r>
      <w:r>
        <w:rPr>
          <w:rFonts w:cs="Arial"/>
        </w:rPr>
        <w:t>xploração, avaliação, desenvolvimento e produção de petróleo e gás natural. Essa Lei estabelece também as condições para o exercício das atividades econômicas abrangidas pelo monopólio da União, concernentes à importação e exportação de petróleo e gás natu</w:t>
      </w:r>
      <w:r>
        <w:rPr>
          <w:rFonts w:cs="Arial"/>
        </w:rPr>
        <w:t>ral, ao refino de petróleo, ao processamento de gás natural e ao transporte de petróleo e gás natural e seus derivados.</w:t>
      </w:r>
    </w:p>
    <w:p w:rsidR="00000000" w:rsidRDefault="00142164">
      <w:pPr>
        <w:pStyle w:val="Corpodetexto"/>
        <w:rPr>
          <w:rFonts w:cs="Arial"/>
        </w:rPr>
      </w:pPr>
      <w:r>
        <w:rPr>
          <w:rFonts w:cs="Arial"/>
        </w:rPr>
        <w:t>2. A Lei do Petróleo também criou a Agência Nacional do Petróleo, Gás Natural e Biocombustíveis (ANP) como órgão responsável pela regula</w:t>
      </w:r>
      <w:r>
        <w:rPr>
          <w:rFonts w:cs="Arial"/>
        </w:rPr>
        <w:t xml:space="preserve">ção, contratação e fiscalização das atividades econômicas da indústria do petróleo, cabendo-lhe, entre outras atribuições, a de elaborar os editais e promover as licitações para a concessão dos direitos de exercício de atividades de exploração, avaliação, </w:t>
      </w:r>
      <w:r>
        <w:rPr>
          <w:rFonts w:cs="Arial"/>
        </w:rPr>
        <w:t>desenvolvimento e produção de petróleo e gás natural, celebrando os contratos delas decorrentes e fiscalizando a sua execução.</w:t>
      </w:r>
    </w:p>
    <w:p w:rsidR="00000000" w:rsidRDefault="00142164">
      <w:pPr>
        <w:pStyle w:val="Corpodetexto"/>
        <w:rPr>
          <w:rFonts w:cs="Arial"/>
        </w:rPr>
      </w:pPr>
      <w:r>
        <w:rPr>
          <w:rFonts w:cs="Arial"/>
        </w:rPr>
        <w:t>3. A ANP concluiu seis rodadas de licitações entre 1999 e 2004, concedendo 343 Blocos exploratórios. Em 23 de dezembro de 2004, A</w:t>
      </w:r>
      <w:r>
        <w:rPr>
          <w:rFonts w:cs="Arial"/>
        </w:rPr>
        <w:t xml:space="preserve"> ANP anunciou os setores da Sétima Rodada de Licitações.</w:t>
      </w:r>
    </w:p>
    <w:p w:rsidR="00000000" w:rsidRDefault="00142164">
      <w:pPr>
        <w:pStyle w:val="Corpodetexto"/>
        <w:rPr>
          <w:rFonts w:cs="Arial"/>
        </w:rPr>
      </w:pPr>
      <w:r>
        <w:rPr>
          <w:rFonts w:cs="Arial"/>
        </w:rPr>
        <w:t>4. Este Edital, com suas Partes A, B e anexos, define as normas que deverão ser obedecidas por todas as empresas interessadas em participar na Sétima Rodada de Licitações. Ele foi elaborado de acordo</w:t>
      </w:r>
      <w:r>
        <w:rPr>
          <w:rFonts w:cs="Arial"/>
        </w:rPr>
        <w:t xml:space="preserve"> com as disposições da Lei 9.478/97; da Portaria ANP nº 174, de 25 de outubro de 1999; das Resoluções do CNPE nº 8, de 21 de julho de 2003, nº 2, de 8 de dezembro de 2004 e nº 2, de 13 de abril de 2005; e demais disposições legais pertinentes. </w:t>
      </w:r>
    </w:p>
    <w:p w:rsidR="00000000" w:rsidRDefault="00142164">
      <w:pPr>
        <w:pStyle w:val="Ttulo2"/>
        <w:ind w:left="578" w:hanging="578"/>
        <w:rPr>
          <w:rFonts w:cs="Arial"/>
        </w:rPr>
      </w:pPr>
      <w:bookmarkStart w:id="3" w:name="_Toc113184746"/>
      <w:r>
        <w:rPr>
          <w:rFonts w:cs="Arial"/>
        </w:rPr>
        <w:t>Áreas em Li</w:t>
      </w:r>
      <w:r>
        <w:rPr>
          <w:rFonts w:cs="Arial"/>
        </w:rPr>
        <w:t>citação na Sétima Rodada de Licitações</w:t>
      </w:r>
      <w:bookmarkEnd w:id="3"/>
    </w:p>
    <w:p w:rsidR="00000000" w:rsidRDefault="00142164">
      <w:pPr>
        <w:pStyle w:val="Ttulo2"/>
        <w:numPr>
          <w:ilvl w:val="0"/>
          <w:numId w:val="0"/>
        </w:numPr>
        <w:jc w:val="center"/>
        <w:rPr>
          <w:rFonts w:cs="Arial"/>
          <w:sz w:val="22"/>
        </w:rPr>
      </w:pPr>
      <w:bookmarkStart w:id="4" w:name="_Toc113184747"/>
      <w:r>
        <w:rPr>
          <w:rFonts w:cs="Arial"/>
          <w:sz w:val="22"/>
        </w:rPr>
        <w:t>PARTE A</w:t>
      </w:r>
      <w:bookmarkEnd w:id="4"/>
    </w:p>
    <w:p w:rsidR="00000000" w:rsidRDefault="00142164">
      <w:pPr>
        <w:pStyle w:val="Corpodetexto"/>
        <w:rPr>
          <w:rFonts w:cs="Arial"/>
        </w:rPr>
      </w:pPr>
      <w:r>
        <w:rPr>
          <w:rFonts w:cs="Arial"/>
        </w:rPr>
        <w:t>A licitação de Blocos com risco exploratório tem condições específicas que constam da PARTE A deste Edital. Os Blocos oferecidos na Sétima Rodada de Licitações foram selecionados considerando o planejamento do</w:t>
      </w:r>
      <w:r>
        <w:rPr>
          <w:rFonts w:cs="Arial"/>
        </w:rPr>
        <w:t xml:space="preserve">s volumes a incorporar nas reservas do País, de maneira a permitir a manutenção da auto-suficiência sustentável e a preservação do adequado volume de reservas. </w:t>
      </w:r>
    </w:p>
    <w:p w:rsidR="00000000" w:rsidRDefault="00142164">
      <w:pPr>
        <w:pStyle w:val="Ttulo2"/>
        <w:numPr>
          <w:ilvl w:val="0"/>
          <w:numId w:val="0"/>
        </w:numPr>
        <w:jc w:val="center"/>
        <w:rPr>
          <w:rFonts w:cs="Arial"/>
          <w:sz w:val="22"/>
        </w:rPr>
      </w:pPr>
      <w:bookmarkStart w:id="5" w:name="_Toc113184748"/>
      <w:r>
        <w:rPr>
          <w:rFonts w:cs="Arial"/>
          <w:sz w:val="22"/>
        </w:rPr>
        <w:t>PARTE B</w:t>
      </w:r>
      <w:bookmarkEnd w:id="5"/>
    </w:p>
    <w:p w:rsidR="00000000" w:rsidRDefault="00142164">
      <w:pPr>
        <w:pStyle w:val="Corpodetexto"/>
        <w:rPr>
          <w:rFonts w:cs="Arial"/>
        </w:rPr>
      </w:pPr>
      <w:r>
        <w:rPr>
          <w:rFonts w:cs="Arial"/>
        </w:rPr>
        <w:t xml:space="preserve">A licitação dos Blocos contendo Áreas inativas com acumulações marginais tem condições </w:t>
      </w:r>
      <w:r>
        <w:rPr>
          <w:rFonts w:cs="Arial"/>
        </w:rPr>
        <w:t>específicas que visam reativar a produção de recursos inativos. Tais condições são observadas na PARTE B deste Edital.</w:t>
      </w:r>
    </w:p>
    <w:p w:rsidR="00000000" w:rsidRDefault="00142164">
      <w:pPr>
        <w:pStyle w:val="Corpodetexto"/>
        <w:rPr>
          <w:rFonts w:cs="Arial"/>
        </w:rPr>
      </w:pPr>
    </w:p>
    <w:p w:rsidR="00000000" w:rsidRDefault="00142164">
      <w:pPr>
        <w:pStyle w:val="Ttulo2"/>
        <w:rPr>
          <w:rFonts w:cs="Arial"/>
        </w:rPr>
      </w:pPr>
      <w:bookmarkStart w:id="6" w:name="_Toc103566359"/>
      <w:bookmarkStart w:id="7" w:name="_Toc113184749"/>
      <w:r>
        <w:rPr>
          <w:rFonts w:cs="Arial"/>
        </w:rPr>
        <w:lastRenderedPageBreak/>
        <w:t>Modelos de áreas em licitação</w:t>
      </w:r>
      <w:bookmarkEnd w:id="6"/>
      <w:bookmarkEnd w:id="7"/>
    </w:p>
    <w:p w:rsidR="00000000" w:rsidRDefault="00142164"/>
    <w:p w:rsidR="00000000" w:rsidRDefault="00142164">
      <w:pPr>
        <w:pStyle w:val="Ttulo2"/>
        <w:numPr>
          <w:ilvl w:val="0"/>
          <w:numId w:val="0"/>
        </w:numPr>
        <w:spacing w:before="120"/>
        <w:jc w:val="center"/>
        <w:rPr>
          <w:rFonts w:cs="Arial"/>
          <w:sz w:val="22"/>
        </w:rPr>
      </w:pPr>
      <w:bookmarkStart w:id="8" w:name="_Toc103566360"/>
      <w:bookmarkStart w:id="9" w:name="_Toc113184750"/>
      <w:r>
        <w:rPr>
          <w:rFonts w:cs="Arial"/>
          <w:sz w:val="22"/>
        </w:rPr>
        <w:t>PARTE A</w:t>
      </w:r>
      <w:bookmarkEnd w:id="8"/>
      <w:bookmarkEnd w:id="9"/>
    </w:p>
    <w:p w:rsidR="00000000" w:rsidRDefault="00142164">
      <w:pPr>
        <w:pStyle w:val="Corpodetexto"/>
        <w:rPr>
          <w:rFonts w:cs="Arial"/>
        </w:rPr>
      </w:pPr>
      <w:r>
        <w:rPr>
          <w:rFonts w:cs="Arial"/>
        </w:rPr>
        <w:t>I - Áreas em Bacias de Elevado Potencial de descobertas para gás natural e petróleo, com ênfase e</w:t>
      </w:r>
      <w:r>
        <w:rPr>
          <w:rFonts w:cs="Arial"/>
        </w:rPr>
        <w:t>special no potencial para a produção de gás natural, visando recompor as reservas nacionais e o atendimento da crescente demanda interna.</w:t>
      </w:r>
    </w:p>
    <w:p w:rsidR="00000000" w:rsidRDefault="00142164">
      <w:pPr>
        <w:pStyle w:val="Corpodetexto"/>
        <w:rPr>
          <w:rFonts w:cs="Arial"/>
        </w:rPr>
      </w:pPr>
      <w:r>
        <w:rPr>
          <w:rFonts w:cs="Arial"/>
        </w:rPr>
        <w:t>II - Áreas em Bacias de Novas Fronteiras tecnológicas e do conhecimento, com o objetivo de atrair investimentos para r</w:t>
      </w:r>
      <w:r>
        <w:rPr>
          <w:rFonts w:cs="Arial"/>
        </w:rPr>
        <w:t>egiões ainda pouco conhecidas geologicamente ou com barreiras tecnológicas a serem vencidas, possibilitando o surgimento de novas bacias produtoras.</w:t>
      </w:r>
    </w:p>
    <w:p w:rsidR="00000000" w:rsidRDefault="00142164">
      <w:pPr>
        <w:pStyle w:val="Corpodetexto"/>
        <w:rPr>
          <w:rFonts w:cs="Arial"/>
        </w:rPr>
      </w:pPr>
      <w:r>
        <w:rPr>
          <w:rFonts w:cs="Arial"/>
        </w:rPr>
        <w:t>III - Áreas em Bacias Maduras, com objetivo de oferecer oportunidades a pequenas e médias empresas, em baci</w:t>
      </w:r>
      <w:r>
        <w:rPr>
          <w:rFonts w:cs="Arial"/>
        </w:rPr>
        <w:t>as densamente exploradas, possibilitando a continuidade da exploração e produção de petróleo e gás natural nestas regiões onde essas atividades exercem importante papel sócio-econômico.</w:t>
      </w:r>
    </w:p>
    <w:p w:rsidR="00000000" w:rsidRDefault="00142164">
      <w:pPr>
        <w:pStyle w:val="Ttulo2"/>
        <w:numPr>
          <w:ilvl w:val="0"/>
          <w:numId w:val="0"/>
        </w:numPr>
        <w:jc w:val="center"/>
        <w:rPr>
          <w:rFonts w:cs="Arial"/>
          <w:sz w:val="22"/>
        </w:rPr>
      </w:pPr>
      <w:bookmarkStart w:id="10" w:name="_Toc103566361"/>
      <w:bookmarkStart w:id="11" w:name="_Toc113184751"/>
      <w:r>
        <w:rPr>
          <w:rFonts w:cs="Arial"/>
          <w:sz w:val="22"/>
        </w:rPr>
        <w:t>PARTE B</w:t>
      </w:r>
      <w:bookmarkEnd w:id="10"/>
      <w:bookmarkEnd w:id="11"/>
    </w:p>
    <w:p w:rsidR="00000000" w:rsidRDefault="00142164">
      <w:pPr>
        <w:pStyle w:val="Corpodetexto"/>
        <w:rPr>
          <w:rFonts w:cs="Arial"/>
        </w:rPr>
      </w:pPr>
      <w:r>
        <w:rPr>
          <w:rFonts w:cs="Arial"/>
        </w:rPr>
        <w:t>Blocos contendo Áreas inativas com acumulações marginais, visa</w:t>
      </w:r>
      <w:r>
        <w:rPr>
          <w:rFonts w:cs="Arial"/>
        </w:rPr>
        <w:t>ndo a possível reativação da produção de campos com recursos conhecidos que não atraem o interesse econômico das grandes empresas, em face do baixo volume de hidrocarbonetos recuperáveis, mas podem representar oportunidades interessantes a pequenas e média</w:t>
      </w:r>
      <w:r>
        <w:rPr>
          <w:rFonts w:cs="Arial"/>
        </w:rPr>
        <w:t>s empresas</w:t>
      </w:r>
    </w:p>
    <w:p w:rsidR="00000000" w:rsidRDefault="00142164">
      <w:pPr>
        <w:pStyle w:val="Corpodetexto"/>
        <w:rPr>
          <w:rFonts w:cs="Arial"/>
        </w:rPr>
      </w:pPr>
    </w:p>
    <w:p w:rsidR="00000000" w:rsidRDefault="00142164">
      <w:pPr>
        <w:pStyle w:val="Ttulo2"/>
        <w:rPr>
          <w:rFonts w:cs="Arial"/>
        </w:rPr>
      </w:pPr>
      <w:bookmarkStart w:id="12" w:name="_Toc103566362"/>
      <w:bookmarkStart w:id="13" w:name="_Toc113184752"/>
      <w:r>
        <w:rPr>
          <w:rFonts w:cs="Arial"/>
        </w:rPr>
        <w:t>Modalidades de Participação na Sétima Rodada de Licitações</w:t>
      </w:r>
      <w:bookmarkEnd w:id="12"/>
      <w:bookmarkEnd w:id="13"/>
    </w:p>
    <w:p w:rsidR="00000000" w:rsidRDefault="00142164">
      <w:pPr>
        <w:pStyle w:val="Corpodetexto"/>
        <w:rPr>
          <w:rFonts w:cs="Arial"/>
        </w:rPr>
      </w:pPr>
      <w:r>
        <w:rPr>
          <w:rFonts w:cs="Arial"/>
        </w:rPr>
        <w:t xml:space="preserve">A empresa, ao Manifestar Interesse para a Sétima Rodada de Licitações, deve requerer a Habilitação de acordo com as disposições da </w:t>
      </w:r>
      <w:hyperlink w:anchor="_Tabela_1_-" w:history="1">
        <w:r>
          <w:rPr>
            <w:rStyle w:val="Hyperlink"/>
            <w:rFonts w:cs="Arial"/>
          </w:rPr>
          <w:t>Ta</w:t>
        </w:r>
        <w:r>
          <w:rPr>
            <w:rStyle w:val="Hyperlink"/>
            <w:rFonts w:cs="Arial"/>
          </w:rPr>
          <w:t>b</w:t>
        </w:r>
        <w:r>
          <w:rPr>
            <w:rStyle w:val="Hyperlink"/>
            <w:rFonts w:cs="Arial"/>
          </w:rPr>
          <w:t>e</w:t>
        </w:r>
        <w:r>
          <w:rPr>
            <w:rStyle w:val="Hyperlink"/>
            <w:rFonts w:cs="Arial"/>
          </w:rPr>
          <w:t>la 1</w:t>
        </w:r>
      </w:hyperlink>
      <w:r>
        <w:rPr>
          <w:rFonts w:cs="Arial"/>
        </w:rPr>
        <w:t xml:space="preserve"> (Parte A, qu</w:t>
      </w:r>
      <w:r>
        <w:rPr>
          <w:rFonts w:cs="Arial"/>
        </w:rPr>
        <w:t>alificação da empresa A, B ou C, ou Parte B, qualificação da empresa em D), ou não-operadora (Parte A e B deste Edital).</w:t>
      </w:r>
    </w:p>
    <w:p w:rsidR="00000000" w:rsidRDefault="00142164">
      <w:pPr>
        <w:pStyle w:val="Corpodetexto"/>
        <w:ind w:left="360" w:firstLine="0"/>
        <w:rPr>
          <w:rFonts w:cs="Arial"/>
        </w:rPr>
      </w:pPr>
    </w:p>
    <w:p w:rsidR="00000000" w:rsidRDefault="00142164">
      <w:pPr>
        <w:pStyle w:val="Corpodetexto"/>
        <w:rPr>
          <w:rFonts w:cs="Arial"/>
        </w:rPr>
      </w:pPr>
    </w:p>
    <w:p w:rsidR="00000000" w:rsidRDefault="00142164">
      <w:pPr>
        <w:pStyle w:val="Corpodetexto"/>
        <w:rPr>
          <w:rFonts w:cs="Arial"/>
        </w:rPr>
      </w:pPr>
      <w:r>
        <w:rPr>
          <w:rFonts w:cs="Arial"/>
        </w:rPr>
        <w:t>O Capítulo 2 das partes A e B descreve os detalhes dos processos de habilitação.</w:t>
      </w:r>
    </w:p>
    <w:p w:rsidR="00000000" w:rsidRDefault="00142164">
      <w:pPr>
        <w:pStyle w:val="Ttulo2"/>
        <w:numPr>
          <w:ilvl w:val="0"/>
          <w:numId w:val="0"/>
        </w:numPr>
        <w:jc w:val="center"/>
      </w:pPr>
      <w:bookmarkStart w:id="14" w:name="_Tabela_1_-"/>
      <w:bookmarkStart w:id="15" w:name="_Toc113184753"/>
      <w:bookmarkEnd w:id="14"/>
      <w:r>
        <w:t xml:space="preserve">Tabela 1 - Resumo das condições para a qualificação </w:t>
      </w:r>
      <w:r>
        <w:t>das empresas para a Sétima Rodada de Licitações</w:t>
      </w:r>
      <w:bookmarkEnd w:id="15"/>
    </w:p>
    <w:tbl>
      <w:tblPr>
        <w:tblW w:w="6845" w:type="dxa"/>
        <w:tblInd w:w="1415" w:type="dxa"/>
        <w:tblLayout w:type="fixed"/>
        <w:tblCellMar>
          <w:left w:w="0" w:type="dxa"/>
          <w:right w:w="0" w:type="dxa"/>
        </w:tblCellMar>
        <w:tblLook w:val="0000"/>
      </w:tblPr>
      <w:tblGrid>
        <w:gridCol w:w="1795"/>
        <w:gridCol w:w="1455"/>
        <w:gridCol w:w="3595"/>
      </w:tblGrid>
      <w:tr w:rsidR="00000000">
        <w:trPr>
          <w:trHeight w:val="510"/>
        </w:trPr>
        <w:tc>
          <w:tcPr>
            <w:tcW w:w="1795" w:type="dxa"/>
            <w:tcBorders>
              <w:top w:val="single" w:sz="4" w:space="0" w:color="auto"/>
              <w:left w:val="single" w:sz="4" w:space="0" w:color="auto"/>
              <w:bottom w:val="single" w:sz="4" w:space="0" w:color="auto"/>
              <w:right w:val="single" w:sz="4" w:space="0" w:color="auto"/>
            </w:tcBorders>
            <w:vAlign w:val="center"/>
          </w:tcPr>
          <w:p w:rsidR="00000000" w:rsidRDefault="00142164">
            <w:pPr>
              <w:jc w:val="center"/>
              <w:rPr>
                <w:rFonts w:ascii="Arial" w:hAnsi="Arial" w:cs="Arial"/>
                <w:b/>
                <w:bCs/>
                <w:sz w:val="20"/>
                <w:szCs w:val="16"/>
              </w:rPr>
            </w:pPr>
            <w:r>
              <w:rPr>
                <w:rFonts w:ascii="Arial" w:hAnsi="Arial" w:cs="Arial"/>
                <w:b/>
                <w:bCs/>
                <w:sz w:val="20"/>
                <w:szCs w:val="16"/>
              </w:rPr>
              <w:t>Qualificação da empresa*</w:t>
            </w:r>
          </w:p>
        </w:tc>
        <w:tc>
          <w:tcPr>
            <w:tcW w:w="1455" w:type="dxa"/>
            <w:tcBorders>
              <w:top w:val="single" w:sz="4" w:space="0" w:color="auto"/>
              <w:left w:val="single" w:sz="4" w:space="0" w:color="auto"/>
              <w:bottom w:val="single" w:sz="4" w:space="0" w:color="auto"/>
              <w:right w:val="single" w:sz="4" w:space="0" w:color="auto"/>
            </w:tcBorders>
            <w:vAlign w:val="center"/>
          </w:tcPr>
          <w:p w:rsidR="00000000" w:rsidRDefault="00142164">
            <w:pPr>
              <w:jc w:val="center"/>
              <w:rPr>
                <w:rFonts w:ascii="Arial" w:hAnsi="Arial" w:cs="Arial"/>
                <w:b/>
                <w:bCs/>
                <w:sz w:val="20"/>
                <w:szCs w:val="16"/>
              </w:rPr>
            </w:pPr>
            <w:r>
              <w:rPr>
                <w:rFonts w:ascii="Arial" w:hAnsi="Arial" w:cs="Arial"/>
                <w:b/>
                <w:bCs/>
                <w:sz w:val="20"/>
                <w:szCs w:val="16"/>
              </w:rPr>
              <w:t>Áreas autorizadas</w:t>
            </w:r>
          </w:p>
        </w:tc>
        <w:tc>
          <w:tcPr>
            <w:tcW w:w="35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142164">
            <w:pPr>
              <w:jc w:val="center"/>
              <w:rPr>
                <w:rFonts w:ascii="Arial" w:eastAsia="Arial Unicode MS" w:hAnsi="Arial" w:cs="Arial"/>
                <w:b/>
                <w:bCs/>
                <w:sz w:val="20"/>
                <w:szCs w:val="16"/>
              </w:rPr>
            </w:pPr>
            <w:r>
              <w:rPr>
                <w:rFonts w:ascii="Arial" w:hAnsi="Arial" w:cs="Arial"/>
                <w:b/>
                <w:bCs/>
                <w:sz w:val="20"/>
                <w:szCs w:val="16"/>
              </w:rPr>
              <w:t>Patrimônio Líquido mínimo exigido</w:t>
            </w:r>
          </w:p>
        </w:tc>
      </w:tr>
      <w:tr w:rsidR="00000000">
        <w:trPr>
          <w:trHeight w:val="225"/>
        </w:trPr>
        <w:tc>
          <w:tcPr>
            <w:tcW w:w="1795" w:type="dxa"/>
            <w:tcBorders>
              <w:top w:val="nil"/>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A</w:t>
            </w:r>
          </w:p>
        </w:tc>
        <w:tc>
          <w:tcPr>
            <w:tcW w:w="1455" w:type="dxa"/>
            <w:tcBorders>
              <w:top w:val="nil"/>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Todas</w:t>
            </w:r>
          </w:p>
        </w:tc>
        <w:tc>
          <w:tcPr>
            <w:tcW w:w="35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142164">
            <w:pPr>
              <w:jc w:val="center"/>
              <w:rPr>
                <w:rFonts w:ascii="Arial" w:eastAsia="Arial Unicode MS" w:hAnsi="Arial" w:cs="Arial"/>
                <w:sz w:val="20"/>
                <w:szCs w:val="16"/>
              </w:rPr>
            </w:pPr>
            <w:r>
              <w:rPr>
                <w:rFonts w:ascii="Arial" w:hAnsi="Arial" w:cs="Arial"/>
                <w:sz w:val="20"/>
                <w:szCs w:val="16"/>
              </w:rPr>
              <w:t>Maior ou igual a R$ 22.000.000,00</w:t>
            </w:r>
          </w:p>
        </w:tc>
      </w:tr>
      <w:tr w:rsidR="00000000">
        <w:trPr>
          <w:trHeight w:val="225"/>
        </w:trPr>
        <w:tc>
          <w:tcPr>
            <w:tcW w:w="1795" w:type="dxa"/>
            <w:tcBorders>
              <w:top w:val="nil"/>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B</w:t>
            </w:r>
          </w:p>
        </w:tc>
        <w:tc>
          <w:tcPr>
            <w:tcW w:w="1455" w:type="dxa"/>
            <w:tcBorders>
              <w:top w:val="nil"/>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Águas rasas e terra</w:t>
            </w:r>
          </w:p>
        </w:tc>
        <w:tc>
          <w:tcPr>
            <w:tcW w:w="35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142164">
            <w:pPr>
              <w:jc w:val="center"/>
              <w:rPr>
                <w:rFonts w:ascii="Arial" w:eastAsia="Arial Unicode MS" w:hAnsi="Arial" w:cs="Arial"/>
                <w:sz w:val="20"/>
                <w:szCs w:val="16"/>
              </w:rPr>
            </w:pPr>
            <w:r>
              <w:rPr>
                <w:rFonts w:ascii="Arial" w:hAnsi="Arial" w:cs="Arial"/>
                <w:sz w:val="20"/>
                <w:szCs w:val="16"/>
              </w:rPr>
              <w:t>Maior ou igual a R$ 20.000.000,00</w:t>
            </w:r>
          </w:p>
        </w:tc>
      </w:tr>
      <w:tr w:rsidR="00000000">
        <w:trPr>
          <w:trHeight w:val="225"/>
        </w:trPr>
        <w:tc>
          <w:tcPr>
            <w:tcW w:w="1795" w:type="dxa"/>
            <w:tcBorders>
              <w:top w:val="nil"/>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C</w:t>
            </w:r>
          </w:p>
        </w:tc>
        <w:tc>
          <w:tcPr>
            <w:tcW w:w="1455" w:type="dxa"/>
            <w:tcBorders>
              <w:top w:val="nil"/>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Terra</w:t>
            </w:r>
          </w:p>
        </w:tc>
        <w:tc>
          <w:tcPr>
            <w:tcW w:w="35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0000" w:rsidRDefault="00142164">
            <w:pPr>
              <w:jc w:val="center"/>
              <w:rPr>
                <w:rFonts w:ascii="Arial" w:eastAsia="Arial Unicode MS" w:hAnsi="Arial" w:cs="Arial"/>
                <w:sz w:val="20"/>
                <w:szCs w:val="16"/>
              </w:rPr>
            </w:pPr>
            <w:r>
              <w:rPr>
                <w:rFonts w:ascii="Arial" w:hAnsi="Arial" w:cs="Arial"/>
                <w:sz w:val="20"/>
                <w:szCs w:val="16"/>
              </w:rPr>
              <w:t>Acima de R$ 1.000.000,</w:t>
            </w:r>
            <w:r>
              <w:rPr>
                <w:rFonts w:ascii="Arial" w:hAnsi="Arial" w:cs="Arial"/>
                <w:sz w:val="20"/>
                <w:szCs w:val="16"/>
              </w:rPr>
              <w:t>00**</w:t>
            </w:r>
          </w:p>
        </w:tc>
      </w:tr>
      <w:tr w:rsidR="00000000">
        <w:trPr>
          <w:trHeight w:val="225"/>
        </w:trPr>
        <w:tc>
          <w:tcPr>
            <w:tcW w:w="1795" w:type="dxa"/>
            <w:tcBorders>
              <w:top w:val="single" w:sz="4" w:space="0" w:color="auto"/>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D</w:t>
            </w:r>
          </w:p>
        </w:tc>
        <w:tc>
          <w:tcPr>
            <w:tcW w:w="1455" w:type="dxa"/>
            <w:tcBorders>
              <w:top w:val="single" w:sz="4" w:space="0" w:color="auto"/>
              <w:left w:val="single" w:sz="4" w:space="0" w:color="auto"/>
              <w:bottom w:val="single" w:sz="4" w:space="0" w:color="auto"/>
              <w:right w:val="single" w:sz="4" w:space="0" w:color="auto"/>
            </w:tcBorders>
            <w:vAlign w:val="center"/>
          </w:tcPr>
          <w:p w:rsidR="00000000" w:rsidRDefault="00142164">
            <w:pPr>
              <w:jc w:val="center"/>
              <w:rPr>
                <w:rFonts w:ascii="Arial" w:hAnsi="Arial" w:cs="Arial"/>
                <w:sz w:val="20"/>
                <w:szCs w:val="16"/>
              </w:rPr>
            </w:pPr>
            <w:r>
              <w:rPr>
                <w:rFonts w:ascii="Arial" w:hAnsi="Arial" w:cs="Arial"/>
                <w:sz w:val="20"/>
                <w:szCs w:val="16"/>
              </w:rPr>
              <w:t>Terra***</w:t>
            </w:r>
          </w:p>
        </w:tc>
        <w:tc>
          <w:tcPr>
            <w:tcW w:w="35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0000" w:rsidRDefault="00142164">
            <w:pPr>
              <w:jc w:val="center"/>
              <w:rPr>
                <w:rFonts w:ascii="Arial" w:hAnsi="Arial" w:cs="Arial"/>
                <w:sz w:val="20"/>
                <w:szCs w:val="16"/>
              </w:rPr>
            </w:pPr>
            <w:r>
              <w:rPr>
                <w:rFonts w:ascii="Arial" w:hAnsi="Arial" w:cs="Arial"/>
                <w:sz w:val="20"/>
                <w:szCs w:val="16"/>
              </w:rPr>
              <w:t>Acima de R$ 10.000,00</w:t>
            </w:r>
          </w:p>
        </w:tc>
      </w:tr>
    </w:tbl>
    <w:p w:rsidR="00000000" w:rsidRDefault="00142164">
      <w:pPr>
        <w:pStyle w:val="Corpodetexto"/>
        <w:ind w:firstLine="0"/>
        <w:rPr>
          <w:rFonts w:cs="Arial"/>
          <w:sz w:val="16"/>
        </w:rPr>
      </w:pPr>
    </w:p>
    <w:p w:rsidR="00000000" w:rsidRDefault="00142164" w:rsidP="00142164">
      <w:pPr>
        <w:pStyle w:val="Corpodetexto"/>
        <w:numPr>
          <w:ilvl w:val="0"/>
          <w:numId w:val="16"/>
        </w:numPr>
        <w:rPr>
          <w:rFonts w:cs="Arial"/>
          <w:sz w:val="18"/>
        </w:rPr>
      </w:pPr>
      <w:r>
        <w:rPr>
          <w:rFonts w:cs="Arial"/>
          <w:sz w:val="18"/>
        </w:rPr>
        <w:t>* Classificados pela ANP.</w:t>
      </w:r>
    </w:p>
    <w:p w:rsidR="00000000" w:rsidRDefault="00142164" w:rsidP="00142164">
      <w:pPr>
        <w:pStyle w:val="Corpodetexto"/>
        <w:numPr>
          <w:ilvl w:val="0"/>
          <w:numId w:val="16"/>
        </w:numPr>
        <w:jc w:val="left"/>
        <w:rPr>
          <w:rFonts w:cs="Arial"/>
          <w:sz w:val="16"/>
        </w:rPr>
      </w:pPr>
      <w:r>
        <w:rPr>
          <w:rFonts w:cs="Arial"/>
          <w:sz w:val="18"/>
        </w:rPr>
        <w:t xml:space="preserve">** Poderão ser habilitadas como operadoras C empresas com patrimônio líquido superior a R$ 350.000,00 (trezentos e cinqüenta mil Reais), desde que venham a apresentar ofertas em consórcios </w:t>
      </w:r>
      <w:r>
        <w:rPr>
          <w:rFonts w:cs="Arial"/>
          <w:sz w:val="18"/>
        </w:rPr>
        <w:t>onde o patrimônio líquido total da empresas participantes seja superior a R$ 1.000.000,00 (um milhão de Reais).</w:t>
      </w:r>
    </w:p>
    <w:p w:rsidR="00000000" w:rsidRDefault="00142164" w:rsidP="00142164">
      <w:pPr>
        <w:pStyle w:val="Corpodetexto"/>
        <w:numPr>
          <w:ilvl w:val="0"/>
          <w:numId w:val="16"/>
        </w:numPr>
        <w:rPr>
          <w:rFonts w:cs="Arial"/>
          <w:sz w:val="16"/>
        </w:rPr>
      </w:pPr>
      <w:r>
        <w:rPr>
          <w:rFonts w:cs="Arial"/>
          <w:sz w:val="18"/>
        </w:rPr>
        <w:t>*** Blocos contendo Áreas inativas com acumulações marginais.</w:t>
      </w:r>
    </w:p>
    <w:p w:rsidR="00000000" w:rsidRDefault="00142164">
      <w:pPr>
        <w:pStyle w:val="Corpodetexto"/>
        <w:ind w:left="360" w:firstLine="0"/>
        <w:rPr>
          <w:rFonts w:cs="Arial"/>
        </w:rPr>
        <w:sectPr w:rsidR="00000000">
          <w:footerReference w:type="even" r:id="rId9"/>
          <w:footerReference w:type="default" r:id="rId10"/>
          <w:headerReference w:type="first" r:id="rId11"/>
          <w:type w:val="nextColumn"/>
          <w:pgSz w:w="11907" w:h="16840" w:code="9"/>
          <w:pgMar w:top="1418" w:right="1134" w:bottom="1418" w:left="1418" w:header="720" w:footer="720" w:gutter="0"/>
          <w:pgNumType w:start="1"/>
          <w:cols w:space="720"/>
          <w:titlePg/>
        </w:sectPr>
      </w:pPr>
    </w:p>
    <w:p w:rsidR="00000000" w:rsidRDefault="00142164">
      <w:pPr>
        <w:pStyle w:val="Ttulo2"/>
        <w:rPr>
          <w:rFonts w:cs="Arial"/>
        </w:rPr>
      </w:pPr>
      <w:bookmarkStart w:id="16" w:name="_Toc113184754"/>
      <w:r>
        <w:rPr>
          <w:rFonts w:cs="Arial"/>
        </w:rPr>
        <w:lastRenderedPageBreak/>
        <w:t>Cronograma</w:t>
      </w:r>
      <w:bookmarkEnd w:id="16"/>
    </w:p>
    <w:p w:rsidR="00000000" w:rsidRDefault="00142164">
      <w:pPr>
        <w:pStyle w:val="Corpodetexto"/>
        <w:rPr>
          <w:rFonts w:cs="Arial"/>
          <w:b/>
        </w:rPr>
      </w:pPr>
      <w:bookmarkStart w:id="17" w:name="_Toc103566364"/>
      <w:r>
        <w:rPr>
          <w:rFonts w:cs="Arial"/>
        </w:rPr>
        <w:t xml:space="preserve">O Cronograma para a Sétima Rodada de Licitações é mostrado na </w:t>
      </w:r>
      <w:hyperlink w:anchor="_Tabela_2_-" w:history="1">
        <w:r>
          <w:rPr>
            <w:rStyle w:val="Hyperlink"/>
            <w:rFonts w:cs="Arial"/>
          </w:rPr>
          <w:t>Tab</w:t>
        </w:r>
        <w:r>
          <w:rPr>
            <w:rStyle w:val="Hyperlink"/>
            <w:rFonts w:cs="Arial"/>
          </w:rPr>
          <w:t>e</w:t>
        </w:r>
        <w:r>
          <w:rPr>
            <w:rStyle w:val="Hyperlink"/>
            <w:rFonts w:cs="Arial"/>
          </w:rPr>
          <w:t>la 2</w:t>
        </w:r>
      </w:hyperlink>
      <w:r>
        <w:rPr>
          <w:rFonts w:cs="Arial"/>
        </w:rPr>
        <w:t>.</w:t>
      </w:r>
    </w:p>
    <w:p w:rsidR="00000000" w:rsidRDefault="00142164">
      <w:pPr>
        <w:pStyle w:val="Ttulo2"/>
        <w:numPr>
          <w:ilvl w:val="0"/>
          <w:numId w:val="0"/>
        </w:numPr>
        <w:jc w:val="center"/>
      </w:pPr>
      <w:bookmarkStart w:id="18" w:name="_Tabela_2_-"/>
      <w:bookmarkStart w:id="19" w:name="_Toc113184755"/>
      <w:bookmarkEnd w:id="18"/>
      <w:r>
        <w:t>Tabela 2 - Cronograma da Sétima Rodada de Licitações*</w:t>
      </w:r>
      <w:bookmarkEnd w:id="19"/>
    </w:p>
    <w:tbl>
      <w:tblPr>
        <w:tblW w:w="9082" w:type="dxa"/>
        <w:jc w:val="center"/>
        <w:tblInd w:w="-417" w:type="dxa"/>
        <w:tblCellMar>
          <w:left w:w="0" w:type="dxa"/>
          <w:right w:w="0" w:type="dxa"/>
        </w:tblCellMar>
        <w:tblLook w:val="0000"/>
      </w:tblPr>
      <w:tblGrid>
        <w:gridCol w:w="6121"/>
        <w:gridCol w:w="2961"/>
      </w:tblGrid>
      <w:tr w:rsidR="00000000">
        <w:trPr>
          <w:trHeight w:val="439"/>
          <w:jc w:val="center"/>
        </w:trPr>
        <w:tc>
          <w:tcPr>
            <w:tcW w:w="612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jc w:val="center"/>
              <w:rPr>
                <w:rFonts w:ascii="Arial" w:eastAsia="Arial Unicode MS" w:hAnsi="Arial" w:cs="Arial"/>
                <w:b/>
                <w:bCs/>
                <w:sz w:val="20"/>
                <w:szCs w:val="16"/>
              </w:rPr>
            </w:pPr>
            <w:r>
              <w:rPr>
                <w:rFonts w:ascii="Arial" w:hAnsi="Arial" w:cs="Arial"/>
                <w:b/>
                <w:bCs/>
                <w:sz w:val="20"/>
                <w:szCs w:val="16"/>
              </w:rPr>
              <w:t>Evento</w:t>
            </w:r>
          </w:p>
        </w:tc>
        <w:tc>
          <w:tcPr>
            <w:tcW w:w="2961"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center"/>
              <w:rPr>
                <w:rFonts w:ascii="Arial" w:eastAsia="Arial Unicode MS" w:hAnsi="Arial" w:cs="Arial"/>
                <w:b/>
                <w:bCs/>
                <w:sz w:val="20"/>
                <w:szCs w:val="16"/>
              </w:rPr>
            </w:pPr>
            <w:r>
              <w:rPr>
                <w:rFonts w:ascii="Arial" w:hAnsi="Arial" w:cs="Arial"/>
                <w:b/>
                <w:bCs/>
                <w:sz w:val="20"/>
                <w:szCs w:val="16"/>
              </w:rPr>
              <w:t>Data</w:t>
            </w:r>
          </w:p>
        </w:tc>
      </w:tr>
      <w:tr w:rsidR="00000000">
        <w:trPr>
          <w:trHeight w:val="362"/>
          <w:jc w:val="center"/>
        </w:trPr>
        <w:tc>
          <w:tcPr>
            <w:tcW w:w="6121"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rPr>
                <w:rFonts w:ascii="Arial" w:eastAsia="Arial Unicode MS" w:hAnsi="Arial" w:cs="Arial"/>
                <w:sz w:val="20"/>
                <w:szCs w:val="16"/>
              </w:rPr>
            </w:pPr>
            <w:r>
              <w:rPr>
                <w:rFonts w:ascii="Arial" w:hAnsi="Arial" w:cs="Arial"/>
                <w:sz w:val="20"/>
                <w:szCs w:val="16"/>
              </w:rPr>
              <w:t>Anúncio dos setores em estudo para a Sétima Rodada</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Janeiro de 2005</w:t>
            </w:r>
          </w:p>
        </w:tc>
      </w:tr>
      <w:tr w:rsidR="00000000">
        <w:trPr>
          <w:trHeight w:val="457"/>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Audiência Pública (Cidade do Rio de Janeiro)</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24 de Fevereiro de 2005</w:t>
            </w:r>
          </w:p>
        </w:tc>
      </w:tr>
      <w:tr w:rsidR="00000000">
        <w:trPr>
          <w:trHeight w:val="370"/>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Divulgação das á</w:t>
            </w:r>
            <w:r>
              <w:rPr>
                <w:rFonts w:ascii="Arial" w:hAnsi="Arial" w:cs="Arial"/>
                <w:sz w:val="20"/>
                <w:szCs w:val="16"/>
              </w:rPr>
              <w:t>reas oferecidas na Sétima Rodada</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18 de Abril de 2005</w:t>
            </w:r>
          </w:p>
        </w:tc>
      </w:tr>
      <w:tr w:rsidR="00000000">
        <w:trPr>
          <w:trHeight w:val="451"/>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Fórum de divulgação em Salvador</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29 de Abril de 2005</w:t>
            </w:r>
          </w:p>
        </w:tc>
      </w:tr>
      <w:tr w:rsidR="00000000">
        <w:trPr>
          <w:trHeight w:val="364"/>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Publicação do Pré-Edital</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12 de Maio de 2005</w:t>
            </w:r>
          </w:p>
        </w:tc>
      </w:tr>
      <w:tr w:rsidR="00000000">
        <w:trPr>
          <w:trHeight w:val="459"/>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Publicação da Minuta do Contrato de Concessão</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12 de Maio de 2005</w:t>
            </w:r>
          </w:p>
        </w:tc>
      </w:tr>
      <w:tr w:rsidR="00000000">
        <w:trPr>
          <w:trHeight w:val="386"/>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Fórum de divulgação em Aracaju</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13 de M</w:t>
            </w:r>
            <w:r>
              <w:rPr>
                <w:rFonts w:ascii="Arial" w:hAnsi="Arial" w:cs="Arial"/>
                <w:sz w:val="20"/>
                <w:szCs w:val="16"/>
              </w:rPr>
              <w:t>aio de 2005</w:t>
            </w:r>
          </w:p>
        </w:tc>
      </w:tr>
      <w:tr w:rsidR="00000000">
        <w:trPr>
          <w:trHeight w:val="481"/>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Disponibilização do Pacote de Dados</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16 de Maio de 2005</w:t>
            </w:r>
          </w:p>
        </w:tc>
      </w:tr>
      <w:tr w:rsidR="00000000">
        <w:trPr>
          <w:trHeight w:val="395"/>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Seminário Jurídico-Fiscal</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16 e 17 de Maio de 2005</w:t>
            </w:r>
          </w:p>
        </w:tc>
      </w:tr>
      <w:tr w:rsidR="00000000">
        <w:trPr>
          <w:trHeight w:val="489"/>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Seminário Técnico</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17 e 18 de Maio de 2005</w:t>
            </w:r>
          </w:p>
        </w:tc>
      </w:tr>
      <w:tr w:rsidR="00000000">
        <w:trPr>
          <w:trHeight w:val="389"/>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 xml:space="preserve">Início do </w:t>
            </w:r>
            <w:r>
              <w:rPr>
                <w:rFonts w:ascii="Arial" w:hAnsi="Arial" w:cs="Arial"/>
                <w:i/>
                <w:iCs/>
                <w:sz w:val="20"/>
                <w:szCs w:val="16"/>
              </w:rPr>
              <w:t>Data Room</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6 de Julho de 2005</w:t>
            </w:r>
          </w:p>
        </w:tc>
      </w:tr>
      <w:tr w:rsidR="00000000">
        <w:trPr>
          <w:trHeight w:val="361"/>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Fórum de divulgação em Belo Horizonte</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 xml:space="preserve">15 de Julho de </w:t>
            </w:r>
            <w:r>
              <w:rPr>
                <w:rFonts w:ascii="Arial" w:hAnsi="Arial" w:cs="Arial"/>
                <w:sz w:val="20"/>
                <w:szCs w:val="16"/>
              </w:rPr>
              <w:t>2005</w:t>
            </w:r>
          </w:p>
        </w:tc>
      </w:tr>
      <w:tr w:rsidR="00000000">
        <w:trPr>
          <w:trHeight w:val="411"/>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Fórum de divulgação em São Paulo</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04 de Agosto de 2005</w:t>
            </w:r>
          </w:p>
        </w:tc>
      </w:tr>
      <w:tr w:rsidR="00000000">
        <w:trPr>
          <w:trHeight w:val="505"/>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Publicação do Edital e do Contrato de Concessão (Edital - Parte A)</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16 de Agosto de 2005</w:t>
            </w:r>
          </w:p>
        </w:tc>
      </w:tr>
      <w:tr w:rsidR="00000000">
        <w:trPr>
          <w:trHeight w:val="419"/>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Fórum de divulgação em Natal</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17 de Agosto de 2005</w:t>
            </w:r>
          </w:p>
        </w:tc>
      </w:tr>
      <w:tr w:rsidR="00000000">
        <w:trPr>
          <w:trHeight w:val="458"/>
          <w:jc w:val="center"/>
        </w:trPr>
        <w:tc>
          <w:tcPr>
            <w:tcW w:w="6121"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142164">
            <w:pPr>
              <w:rPr>
                <w:rFonts w:ascii="Arial" w:eastAsia="Arial Unicode MS" w:hAnsi="Arial" w:cs="Arial"/>
                <w:sz w:val="20"/>
                <w:szCs w:val="16"/>
              </w:rPr>
            </w:pPr>
            <w:r>
              <w:rPr>
                <w:rFonts w:ascii="Arial" w:hAnsi="Arial" w:cs="Arial"/>
                <w:sz w:val="20"/>
                <w:szCs w:val="16"/>
              </w:rPr>
              <w:t>Fórum de divulgação em Manaus</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19 de Agosto de 2005</w:t>
            </w:r>
          </w:p>
        </w:tc>
      </w:tr>
      <w:tr w:rsidR="00000000">
        <w:trPr>
          <w:trHeight w:val="427"/>
          <w:jc w:val="center"/>
        </w:trPr>
        <w:tc>
          <w:tcPr>
            <w:tcW w:w="6121"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rPr>
                <w:rFonts w:ascii="Arial" w:eastAsia="Arial Unicode MS" w:hAnsi="Arial" w:cs="Arial"/>
                <w:sz w:val="20"/>
                <w:szCs w:val="16"/>
              </w:rPr>
            </w:pPr>
            <w:r>
              <w:rPr>
                <w:rFonts w:ascii="Arial" w:hAnsi="Arial" w:cs="Arial"/>
                <w:sz w:val="20"/>
                <w:szCs w:val="16"/>
              </w:rPr>
              <w:t>Pub</w:t>
            </w:r>
            <w:r>
              <w:rPr>
                <w:rFonts w:ascii="Arial" w:hAnsi="Arial" w:cs="Arial"/>
                <w:sz w:val="20"/>
                <w:szCs w:val="16"/>
              </w:rPr>
              <w:t>licação do Edital e do Contrato de Concessão (Edital - Parte B)</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29 de Agosto de 2005</w:t>
            </w:r>
          </w:p>
        </w:tc>
      </w:tr>
      <w:tr w:rsidR="00000000">
        <w:trPr>
          <w:trHeight w:val="599"/>
          <w:jc w:val="center"/>
        </w:trPr>
        <w:tc>
          <w:tcPr>
            <w:tcW w:w="6121"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rPr>
                <w:rFonts w:ascii="Arial" w:eastAsia="Arial Unicode MS" w:hAnsi="Arial" w:cs="Arial"/>
                <w:sz w:val="20"/>
                <w:szCs w:val="16"/>
              </w:rPr>
            </w:pPr>
            <w:r>
              <w:rPr>
                <w:rFonts w:ascii="Arial" w:hAnsi="Arial" w:cs="Arial"/>
                <w:sz w:val="20"/>
                <w:szCs w:val="16"/>
              </w:rPr>
              <w:t>Prazo final para a Manifestação de Interesse e apresentação de documentos - Blocos com Risco Exploratório (Edital - Parte A)</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31 de Agosto de 2005</w:t>
            </w:r>
          </w:p>
        </w:tc>
      </w:tr>
      <w:tr w:rsidR="00000000">
        <w:trPr>
          <w:trHeight w:val="654"/>
          <w:jc w:val="center"/>
        </w:trPr>
        <w:tc>
          <w:tcPr>
            <w:tcW w:w="6121"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rPr>
                <w:rFonts w:ascii="Arial" w:eastAsia="Arial Unicode MS" w:hAnsi="Arial" w:cs="Arial"/>
                <w:sz w:val="20"/>
                <w:szCs w:val="16"/>
              </w:rPr>
            </w:pPr>
            <w:r>
              <w:rPr>
                <w:rFonts w:ascii="Arial" w:hAnsi="Arial" w:cs="Arial"/>
                <w:sz w:val="20"/>
                <w:szCs w:val="16"/>
              </w:rPr>
              <w:t>Prazo final para a Mani</w:t>
            </w:r>
            <w:r>
              <w:rPr>
                <w:rFonts w:ascii="Arial" w:hAnsi="Arial" w:cs="Arial"/>
                <w:sz w:val="20"/>
                <w:szCs w:val="16"/>
              </w:rPr>
              <w:t>festação de Interesse e apresentação de documentos - Acumulações Marginais (Edital - Parte B)</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13 de Setembro de 2005</w:t>
            </w:r>
          </w:p>
        </w:tc>
      </w:tr>
      <w:tr w:rsidR="00000000">
        <w:trPr>
          <w:trHeight w:val="469"/>
          <w:jc w:val="center"/>
        </w:trPr>
        <w:tc>
          <w:tcPr>
            <w:tcW w:w="6121"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rPr>
                <w:rFonts w:ascii="Arial" w:eastAsia="Arial Unicode MS" w:hAnsi="Arial" w:cs="Arial"/>
                <w:sz w:val="20"/>
                <w:szCs w:val="16"/>
              </w:rPr>
            </w:pPr>
            <w:r>
              <w:rPr>
                <w:rFonts w:ascii="Arial" w:hAnsi="Arial" w:cs="Arial"/>
                <w:sz w:val="20"/>
                <w:szCs w:val="16"/>
              </w:rPr>
              <w:t>Prazo final para pagamento da Taxa de Participação</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7 de Outubro de 2005</w:t>
            </w:r>
          </w:p>
        </w:tc>
      </w:tr>
      <w:tr w:rsidR="00000000">
        <w:trPr>
          <w:trHeight w:val="571"/>
          <w:jc w:val="center"/>
        </w:trPr>
        <w:tc>
          <w:tcPr>
            <w:tcW w:w="6121"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rPr>
                <w:rFonts w:ascii="Arial" w:eastAsia="Arial Unicode MS" w:hAnsi="Arial" w:cs="Arial"/>
                <w:sz w:val="20"/>
                <w:szCs w:val="16"/>
              </w:rPr>
            </w:pPr>
            <w:r>
              <w:rPr>
                <w:rFonts w:ascii="Arial" w:hAnsi="Arial" w:cs="Arial"/>
                <w:sz w:val="20"/>
                <w:szCs w:val="16"/>
              </w:rPr>
              <w:t>Apresentação das ofertas</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17, 18 e 19 de Outubro de 2005</w:t>
            </w:r>
          </w:p>
        </w:tc>
      </w:tr>
      <w:tr w:rsidR="00000000">
        <w:trPr>
          <w:trHeight w:val="654"/>
          <w:jc w:val="center"/>
        </w:trPr>
        <w:tc>
          <w:tcPr>
            <w:tcW w:w="6121"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142164">
            <w:pPr>
              <w:rPr>
                <w:rFonts w:ascii="Arial" w:eastAsia="Arial Unicode MS" w:hAnsi="Arial" w:cs="Arial"/>
                <w:sz w:val="20"/>
                <w:szCs w:val="16"/>
              </w:rPr>
            </w:pPr>
            <w:r>
              <w:rPr>
                <w:rFonts w:ascii="Arial" w:hAnsi="Arial" w:cs="Arial"/>
                <w:sz w:val="20"/>
                <w:szCs w:val="16"/>
              </w:rPr>
              <w:t>Assinatu</w:t>
            </w:r>
            <w:r>
              <w:rPr>
                <w:rFonts w:ascii="Arial" w:hAnsi="Arial" w:cs="Arial"/>
                <w:sz w:val="20"/>
                <w:szCs w:val="16"/>
              </w:rPr>
              <w:t>ra dos Contratos de Concessão</w:t>
            </w:r>
          </w:p>
        </w:tc>
        <w:tc>
          <w:tcPr>
            <w:tcW w:w="2961" w:type="dxa"/>
            <w:tcBorders>
              <w:top w:val="nil"/>
              <w:left w:val="nil"/>
              <w:bottom w:val="single" w:sz="4" w:space="0" w:color="auto"/>
              <w:right w:val="single" w:sz="4" w:space="0" w:color="auto"/>
            </w:tcBorders>
            <w:tcMar>
              <w:top w:w="10" w:type="dxa"/>
              <w:left w:w="10" w:type="dxa"/>
              <w:bottom w:w="0" w:type="dxa"/>
              <w:right w:w="10" w:type="dxa"/>
            </w:tcMar>
            <w:vAlign w:val="center"/>
          </w:tcPr>
          <w:p w:rsidR="00000000" w:rsidRDefault="00142164">
            <w:pPr>
              <w:jc w:val="right"/>
              <w:rPr>
                <w:rFonts w:ascii="Arial" w:eastAsia="Arial Unicode MS" w:hAnsi="Arial" w:cs="Arial"/>
                <w:sz w:val="20"/>
                <w:szCs w:val="16"/>
              </w:rPr>
            </w:pPr>
            <w:r>
              <w:rPr>
                <w:rFonts w:ascii="Arial" w:hAnsi="Arial" w:cs="Arial"/>
                <w:sz w:val="20"/>
                <w:szCs w:val="16"/>
              </w:rPr>
              <w:t>17 de Janeiro de 2006</w:t>
            </w:r>
          </w:p>
        </w:tc>
      </w:tr>
    </w:tbl>
    <w:p w:rsidR="00000000" w:rsidRDefault="00142164">
      <w:pPr>
        <w:pStyle w:val="Corpodetexto"/>
        <w:ind w:left="360" w:right="535" w:firstLine="0"/>
        <w:rPr>
          <w:sz w:val="16"/>
        </w:rPr>
      </w:pPr>
      <w:r>
        <w:rPr>
          <w:sz w:val="16"/>
          <w:u w:val="single"/>
        </w:rPr>
        <w:t>Nota</w:t>
      </w:r>
      <w:r>
        <w:rPr>
          <w:sz w:val="16"/>
        </w:rPr>
        <w:t>: *Este cronograma é apenas indicativo. A ANP se reserva o direito de modificá-lo ou suspendê-lo, sem aviso prévio.</w:t>
      </w:r>
    </w:p>
    <w:p w:rsidR="00000000" w:rsidRDefault="00142164">
      <w:pPr>
        <w:pStyle w:val="Corpodetexto"/>
        <w:ind w:left="360" w:right="535" w:firstLine="0"/>
        <w:rPr>
          <w:sz w:val="16"/>
        </w:rPr>
      </w:pPr>
    </w:p>
    <w:p w:rsidR="00000000" w:rsidRDefault="00142164">
      <w:pPr>
        <w:pStyle w:val="Ttulo1"/>
      </w:pPr>
      <w:bookmarkStart w:id="20" w:name="_Toc113184756"/>
      <w:r>
        <w:rPr>
          <w:rFonts w:cs="Arial"/>
        </w:rPr>
        <w:lastRenderedPageBreak/>
        <w:t>OBJETO DA LICITAÇÃO</w:t>
      </w:r>
      <w:bookmarkEnd w:id="17"/>
      <w:bookmarkEnd w:id="20"/>
    </w:p>
    <w:p w:rsidR="00000000" w:rsidRDefault="00142164">
      <w:pPr>
        <w:pStyle w:val="Corpodetexto"/>
        <w:rPr>
          <w:rFonts w:cs="Arial"/>
          <w:b/>
          <w:bCs/>
        </w:rPr>
      </w:pPr>
    </w:p>
    <w:p w:rsidR="00000000" w:rsidRDefault="00142164">
      <w:pPr>
        <w:pStyle w:val="Corpodetexto"/>
        <w:rPr>
          <w:rFonts w:cs="Arial"/>
          <w:b/>
          <w:bCs/>
        </w:rPr>
      </w:pPr>
    </w:p>
    <w:p w:rsidR="00000000" w:rsidRDefault="00142164">
      <w:pPr>
        <w:pStyle w:val="Corpodetexto"/>
        <w:rPr>
          <w:rFonts w:cs="Arial"/>
        </w:rPr>
      </w:pPr>
      <w:r>
        <w:rPr>
          <w:rFonts w:cs="Arial"/>
          <w:b/>
          <w:bCs/>
        </w:rPr>
        <w:t>1.</w:t>
      </w:r>
      <w:r>
        <w:rPr>
          <w:rFonts w:cs="Arial"/>
        </w:rPr>
        <w:t xml:space="preserve"> A presente licitação tem por objeto a outorga de contrato</w:t>
      </w:r>
      <w:r>
        <w:rPr>
          <w:rFonts w:cs="Arial"/>
        </w:rPr>
        <w:t>s de concessão para o exercício das atividades de:</w:t>
      </w:r>
    </w:p>
    <w:p w:rsidR="00000000" w:rsidRDefault="00142164">
      <w:pPr>
        <w:pStyle w:val="Corpodetexto"/>
        <w:ind w:left="360" w:firstLine="0"/>
        <w:jc w:val="center"/>
        <w:rPr>
          <w:rFonts w:cs="Arial"/>
          <w:b/>
          <w:bCs/>
        </w:rPr>
      </w:pPr>
      <w:r>
        <w:rPr>
          <w:rFonts w:cs="Arial"/>
          <w:b/>
          <w:bCs/>
        </w:rPr>
        <w:t>PARTE A</w:t>
      </w:r>
    </w:p>
    <w:p w:rsidR="00000000" w:rsidRDefault="00142164">
      <w:pPr>
        <w:pStyle w:val="Corpodetexto"/>
        <w:rPr>
          <w:rFonts w:cs="Arial"/>
        </w:rPr>
      </w:pPr>
      <w:r>
        <w:rPr>
          <w:rFonts w:cs="Arial"/>
        </w:rPr>
        <w:t>Exploração, Avaliação, Desenvolvimento e Produção de petróleo e gás natural em Blocos com risco exploratório localizados em 34 Setores de 14 bacias sedimentares brasileiras. As áreas em Licitação s</w:t>
      </w:r>
      <w:r>
        <w:rPr>
          <w:rFonts w:cs="Arial"/>
        </w:rPr>
        <w:t>ão descritas no ANEXO 1 deste Edital, Parte A.</w:t>
      </w:r>
    </w:p>
    <w:p w:rsidR="00000000" w:rsidRDefault="00142164">
      <w:pPr>
        <w:pStyle w:val="Corpodetexto"/>
        <w:ind w:left="360" w:firstLine="0"/>
        <w:jc w:val="center"/>
        <w:rPr>
          <w:rFonts w:cs="Arial"/>
          <w:b/>
          <w:bCs/>
        </w:rPr>
      </w:pPr>
    </w:p>
    <w:p w:rsidR="00000000" w:rsidRDefault="00142164">
      <w:pPr>
        <w:pStyle w:val="Corpodetexto"/>
        <w:ind w:left="360" w:firstLine="0"/>
        <w:jc w:val="center"/>
        <w:rPr>
          <w:rFonts w:cs="Arial"/>
          <w:b/>
          <w:bCs/>
        </w:rPr>
      </w:pPr>
      <w:r>
        <w:rPr>
          <w:rFonts w:cs="Arial"/>
          <w:b/>
          <w:bCs/>
        </w:rPr>
        <w:t>PARTE B</w:t>
      </w:r>
    </w:p>
    <w:p w:rsidR="00000000" w:rsidRDefault="00142164">
      <w:pPr>
        <w:pStyle w:val="Corpodetexto"/>
        <w:rPr>
          <w:rFonts w:cs="Arial"/>
        </w:rPr>
      </w:pPr>
      <w:r>
        <w:rPr>
          <w:rFonts w:cs="Arial"/>
        </w:rPr>
        <w:t>Avaliação, Reabilitação e Produção de petróleo e gás natural em Blocos contendo Áreas inativas com acumulações marginais, totalizando 11 no estado da Bahia e 6 no estado de Sergipe. As áreas em Licita</w:t>
      </w:r>
      <w:r>
        <w:rPr>
          <w:rFonts w:cs="Arial"/>
        </w:rPr>
        <w:t>ção são descritas no ANEXO 1 deste Edital, Parte B.</w:t>
      </w:r>
    </w:p>
    <w:p w:rsidR="00000000" w:rsidRDefault="00142164">
      <w:pPr>
        <w:pStyle w:val="Corpodetexto"/>
        <w:rPr>
          <w:rFonts w:cs="Arial"/>
        </w:rPr>
      </w:pPr>
    </w:p>
    <w:p w:rsidR="00000000" w:rsidRDefault="00142164">
      <w:pPr>
        <w:pStyle w:val="Corpodetexto"/>
        <w:spacing w:after="120"/>
        <w:rPr>
          <w:rFonts w:cs="Arial"/>
        </w:rPr>
      </w:pPr>
      <w:r>
        <w:rPr>
          <w:rFonts w:cs="Arial"/>
          <w:b/>
          <w:bCs/>
        </w:rPr>
        <w:t>2.</w:t>
      </w:r>
      <w:r>
        <w:rPr>
          <w:rFonts w:cs="Arial"/>
        </w:rPr>
        <w:t xml:space="preserve"> Para o exercício de tais atividades, as empresas ou consórcios vencedores deverão assinar Contratos de Concessão, cujas minutas constam dos Anexos deste Edital, figurando o modelo para:</w:t>
      </w:r>
    </w:p>
    <w:p w:rsidR="00000000" w:rsidRDefault="00142164">
      <w:pPr>
        <w:pStyle w:val="Corpodetexto"/>
        <w:ind w:left="360" w:firstLine="0"/>
        <w:jc w:val="center"/>
        <w:rPr>
          <w:rFonts w:cs="Arial"/>
          <w:b/>
          <w:bCs/>
        </w:rPr>
      </w:pPr>
      <w:r>
        <w:rPr>
          <w:rFonts w:cs="Arial"/>
          <w:b/>
          <w:bCs/>
        </w:rPr>
        <w:t>PARTE A</w:t>
      </w:r>
    </w:p>
    <w:p w:rsidR="00000000" w:rsidRDefault="00142164">
      <w:pPr>
        <w:pStyle w:val="Corpodetexto"/>
        <w:rPr>
          <w:rFonts w:cs="Arial"/>
        </w:rPr>
      </w:pPr>
      <w:r>
        <w:rPr>
          <w:rFonts w:cs="Arial"/>
        </w:rPr>
        <w:t>Blocos</w:t>
      </w:r>
      <w:r>
        <w:rPr>
          <w:rFonts w:cs="Arial"/>
        </w:rPr>
        <w:t xml:space="preserve"> com risco exploratório.</w:t>
      </w:r>
    </w:p>
    <w:p w:rsidR="00000000" w:rsidRDefault="00142164">
      <w:pPr>
        <w:pStyle w:val="Corpodetexto"/>
        <w:rPr>
          <w:rFonts w:cs="Arial"/>
        </w:rPr>
      </w:pPr>
    </w:p>
    <w:p w:rsidR="00000000" w:rsidRDefault="00142164">
      <w:pPr>
        <w:pStyle w:val="Corpodetexto"/>
        <w:spacing w:after="120"/>
        <w:ind w:left="357" w:firstLine="0"/>
        <w:jc w:val="center"/>
        <w:rPr>
          <w:rFonts w:cs="Arial"/>
          <w:b/>
          <w:bCs/>
        </w:rPr>
      </w:pPr>
      <w:r>
        <w:rPr>
          <w:rFonts w:cs="Arial"/>
          <w:b/>
          <w:bCs/>
        </w:rPr>
        <w:t>PARTE B</w:t>
      </w:r>
    </w:p>
    <w:p w:rsidR="00000000" w:rsidRDefault="00142164">
      <w:pPr>
        <w:pStyle w:val="Corpodetexto"/>
        <w:rPr>
          <w:rFonts w:cs="Arial"/>
        </w:rPr>
      </w:pPr>
      <w:r>
        <w:rPr>
          <w:rFonts w:cs="Arial"/>
        </w:rPr>
        <w:t>Blocos contendo Áreas inativas com acumulações marginais.</w:t>
      </w:r>
    </w:p>
    <w:p w:rsidR="00000000" w:rsidRDefault="00142164">
      <w:pPr>
        <w:pStyle w:val="Corpodetexto"/>
        <w:rPr>
          <w:rFonts w:cs="Arial"/>
        </w:rPr>
      </w:pPr>
    </w:p>
    <w:p w:rsidR="00000000" w:rsidRDefault="00142164">
      <w:pPr>
        <w:pStyle w:val="Corpodetexto"/>
        <w:rPr>
          <w:rFonts w:cs="Arial"/>
        </w:rPr>
      </w:pPr>
    </w:p>
    <w:p w:rsidR="00000000" w:rsidRDefault="00142164">
      <w:pPr>
        <w:pStyle w:val="Corpodetexto"/>
        <w:rPr>
          <w:rFonts w:cs="Arial"/>
        </w:rPr>
      </w:pPr>
      <w:r>
        <w:rPr>
          <w:rFonts w:cs="Arial"/>
          <w:b/>
          <w:bCs/>
        </w:rPr>
        <w:t>3.</w:t>
      </w:r>
      <w:r>
        <w:rPr>
          <w:rFonts w:cs="Arial"/>
        </w:rPr>
        <w:t xml:space="preserve"> As principais disposições contratuais são resumidas no capítulo 2 dos Editais, Partes A e B.</w:t>
      </w:r>
    </w:p>
    <w:p w:rsidR="00000000" w:rsidRDefault="00142164">
      <w:pPr>
        <w:pStyle w:val="Corpodetexto"/>
        <w:rPr>
          <w:rFonts w:cs="Arial"/>
          <w:dstrike/>
        </w:rPr>
      </w:pPr>
    </w:p>
    <w:p w:rsidR="00000000" w:rsidRDefault="00142164">
      <w:pPr>
        <w:pStyle w:val="Ttulo1"/>
        <w:rPr>
          <w:rFonts w:cs="Arial"/>
          <w:caps/>
        </w:rPr>
      </w:pPr>
      <w:bookmarkStart w:id="21" w:name="_Ref449704406"/>
      <w:bookmarkStart w:id="22" w:name="_Ref449704542"/>
      <w:bookmarkStart w:id="23" w:name="_Ref449705133"/>
      <w:bookmarkStart w:id="24" w:name="_Ref449862899"/>
      <w:bookmarkStart w:id="25" w:name="_Toc450140266"/>
      <w:bookmarkStart w:id="26" w:name="_Toc450140773"/>
      <w:bookmarkStart w:id="27" w:name="_Toc35222061"/>
      <w:bookmarkStart w:id="28" w:name="_Toc65670695"/>
      <w:bookmarkStart w:id="29" w:name="_Toc75088725"/>
      <w:bookmarkStart w:id="30" w:name="_Toc103566365"/>
      <w:bookmarkStart w:id="31" w:name="_Toc113184757"/>
      <w:r>
        <w:rPr>
          <w:rFonts w:cs="Arial"/>
          <w:caps/>
        </w:rPr>
        <w:lastRenderedPageBreak/>
        <w:t>Apresentação de Ofertas</w:t>
      </w:r>
      <w:bookmarkEnd w:id="30"/>
      <w:bookmarkEnd w:id="31"/>
      <w:r>
        <w:rPr>
          <w:rFonts w:cs="Arial"/>
          <w:caps/>
        </w:rPr>
        <w:t xml:space="preserve"> </w:t>
      </w:r>
    </w:p>
    <w:p w:rsidR="00000000" w:rsidRDefault="00142164">
      <w:pPr>
        <w:pStyle w:val="Cabealho"/>
        <w:tabs>
          <w:tab w:val="clear" w:pos="4419"/>
          <w:tab w:val="clear" w:pos="8838"/>
        </w:tabs>
        <w:spacing w:line="360" w:lineRule="auto"/>
        <w:ind w:left="720" w:firstLine="696"/>
        <w:jc w:val="both"/>
        <w:rPr>
          <w:rFonts w:ascii="Arial" w:hAnsi="Arial" w:cs="Arial"/>
          <w:b/>
          <w:sz w:val="22"/>
        </w:rPr>
      </w:pPr>
    </w:p>
    <w:p w:rsidR="00000000" w:rsidRDefault="00142164">
      <w:pPr>
        <w:pStyle w:val="Ttulo2"/>
        <w:rPr>
          <w:rFonts w:cs="Arial"/>
        </w:rPr>
      </w:pPr>
      <w:bookmarkStart w:id="32" w:name="_Toc103566366"/>
      <w:bookmarkStart w:id="33" w:name="_Toc113184758"/>
      <w:r>
        <w:rPr>
          <w:rFonts w:cs="Arial"/>
        </w:rPr>
        <w:t>Seqüência da Licitação</w:t>
      </w:r>
      <w:bookmarkEnd w:id="32"/>
      <w:bookmarkEnd w:id="33"/>
    </w:p>
    <w:p w:rsidR="00000000" w:rsidRDefault="00142164">
      <w:pPr>
        <w:pStyle w:val="Corpodetexto"/>
        <w:rPr>
          <w:rFonts w:cs="Arial"/>
        </w:rPr>
      </w:pPr>
      <w:r>
        <w:rPr>
          <w:rFonts w:cs="Arial"/>
        </w:rPr>
        <w:t>1. Será dado iní</w:t>
      </w:r>
      <w:r>
        <w:rPr>
          <w:rFonts w:cs="Arial"/>
        </w:rPr>
        <w:t xml:space="preserve">cio ao processo de oferta para os Blocos com risco exploratório da Sétima Rodada de Licitações após o processo de abertura descrito no </w:t>
      </w:r>
      <w:hyperlink w:anchor="_Programa_e_Local" w:history="1">
        <w:r>
          <w:rPr>
            <w:rStyle w:val="Hyperlink"/>
            <w:rFonts w:cs="Arial"/>
            <w:color w:val="auto"/>
            <w:u w:val="none"/>
          </w:rPr>
          <w:t>ite</w:t>
        </w:r>
        <w:r>
          <w:rPr>
            <w:rStyle w:val="Hyperlink"/>
            <w:rFonts w:cs="Arial"/>
            <w:color w:val="auto"/>
            <w:u w:val="none"/>
          </w:rPr>
          <w:t>m</w:t>
        </w:r>
        <w:r>
          <w:rPr>
            <w:rStyle w:val="Hyperlink"/>
            <w:rFonts w:cs="Arial"/>
            <w:color w:val="auto"/>
            <w:u w:val="none"/>
          </w:rPr>
          <w:t xml:space="preserve"> 3</w:t>
        </w:r>
        <w:r>
          <w:rPr>
            <w:rStyle w:val="Hyperlink"/>
            <w:rFonts w:cs="Arial"/>
            <w:color w:val="auto"/>
            <w:u w:val="none"/>
          </w:rPr>
          <w:t>.</w:t>
        </w:r>
        <w:r>
          <w:rPr>
            <w:rStyle w:val="Hyperlink"/>
            <w:rFonts w:cs="Arial"/>
            <w:color w:val="auto"/>
            <w:u w:val="none"/>
          </w:rPr>
          <w:t>2</w:t>
        </w:r>
      </w:hyperlink>
      <w:r>
        <w:rPr>
          <w:rFonts w:cs="Arial"/>
        </w:rPr>
        <w:t>.</w:t>
      </w:r>
    </w:p>
    <w:p w:rsidR="00000000" w:rsidRDefault="00142164">
      <w:pPr>
        <w:pStyle w:val="Corpodetexto"/>
        <w:ind w:firstLine="708"/>
        <w:rPr>
          <w:rFonts w:cs="Arial"/>
        </w:rPr>
      </w:pPr>
      <w:r>
        <w:rPr>
          <w:rFonts w:cs="Arial"/>
        </w:rPr>
        <w:t xml:space="preserve">2. Será dado início ao processo de oferta para os Blocos contendo Áreas </w:t>
      </w:r>
      <w:r>
        <w:rPr>
          <w:rFonts w:cs="Arial"/>
        </w:rPr>
        <w:t>inativas com acumulações marginais da Sétima Rodada de Licitações após encerramento das ofertas para os Blocos com risco exploratório.</w:t>
      </w:r>
    </w:p>
    <w:p w:rsidR="00000000" w:rsidRDefault="00142164">
      <w:pPr>
        <w:pStyle w:val="Ttulo2"/>
        <w:rPr>
          <w:rFonts w:cs="Arial"/>
        </w:rPr>
      </w:pPr>
      <w:bookmarkStart w:id="34" w:name="_Toc103566367"/>
      <w:bookmarkStart w:id="35" w:name="_Programa_e_Local"/>
      <w:bookmarkStart w:id="36" w:name="_Toc113184759"/>
      <w:bookmarkEnd w:id="35"/>
      <w:r>
        <w:rPr>
          <w:rFonts w:cs="Arial"/>
        </w:rPr>
        <w:t>Programa e Local da Licitação</w:t>
      </w:r>
      <w:bookmarkEnd w:id="34"/>
      <w:bookmarkEnd w:id="36"/>
    </w:p>
    <w:p w:rsidR="00000000" w:rsidRDefault="00142164">
      <w:pPr>
        <w:pStyle w:val="Corpodetexto"/>
        <w:rPr>
          <w:rFonts w:cs="Arial"/>
        </w:rPr>
      </w:pPr>
      <w:r>
        <w:rPr>
          <w:rFonts w:cs="Arial"/>
        </w:rPr>
        <w:t xml:space="preserve">1. A Licitação será realizada nos dias 17, 18 e 19 de outubro de 2005, no </w:t>
      </w:r>
      <w:r>
        <w:rPr>
          <w:rFonts w:cs="Arial"/>
          <w:szCs w:val="22"/>
        </w:rPr>
        <w:t xml:space="preserve">Hotel </w:t>
      </w:r>
      <w:r>
        <w:rPr>
          <w:rFonts w:cs="Arial"/>
        </w:rPr>
        <w:t>Sheraton Ri</w:t>
      </w:r>
      <w:r>
        <w:rPr>
          <w:rFonts w:cs="Arial"/>
        </w:rPr>
        <w:t>o (Av. Niemeyer, n.º 121, CEP: 22450-220, Rio de Janeiro – RJ)</w:t>
      </w:r>
      <w:r>
        <w:rPr>
          <w:rFonts w:cs="Arial"/>
          <w:szCs w:val="22"/>
        </w:rPr>
        <w:t xml:space="preserve"> e será </w:t>
      </w:r>
      <w:r>
        <w:rPr>
          <w:rFonts w:cs="Arial"/>
        </w:rPr>
        <w:t>divulgado pela ANP na página da Sétima Rodada de Licitações (</w:t>
      </w:r>
      <w:hyperlink r:id="rId12" w:history="1">
        <w:r>
          <w:rPr>
            <w:rStyle w:val="Hyperlink"/>
            <w:rFonts w:cs="Arial"/>
            <w:color w:val="auto"/>
            <w:sz w:val="20"/>
            <w:szCs w:val="24"/>
            <w:u w:val="none"/>
          </w:rPr>
          <w:t>www.brasil-rounds.</w:t>
        </w:r>
        <w:r>
          <w:rPr>
            <w:rStyle w:val="Hyperlink"/>
            <w:rFonts w:cs="Arial"/>
            <w:color w:val="auto"/>
            <w:sz w:val="20"/>
            <w:szCs w:val="24"/>
            <w:u w:val="none"/>
          </w:rPr>
          <w:t>g</w:t>
        </w:r>
        <w:r>
          <w:rPr>
            <w:rStyle w:val="Hyperlink"/>
            <w:rFonts w:cs="Arial"/>
            <w:color w:val="auto"/>
            <w:sz w:val="20"/>
            <w:szCs w:val="24"/>
            <w:u w:val="none"/>
          </w:rPr>
          <w:t>ov.br</w:t>
        </w:r>
      </w:hyperlink>
      <w:r>
        <w:rPr>
          <w:rFonts w:cs="Arial"/>
        </w:rPr>
        <w:t>).</w:t>
      </w:r>
    </w:p>
    <w:p w:rsidR="00000000" w:rsidRDefault="00142164">
      <w:pPr>
        <w:pStyle w:val="Corpodetexto"/>
        <w:rPr>
          <w:rFonts w:cs="Arial"/>
        </w:rPr>
      </w:pPr>
      <w:r>
        <w:rPr>
          <w:rFonts w:cs="Arial"/>
        </w:rPr>
        <w:t>2. As ofertas para cada Área ou Bloco serão entreg</w:t>
      </w:r>
      <w:r>
        <w:rPr>
          <w:rFonts w:cs="Arial"/>
        </w:rPr>
        <w:t>ues em envelopes lacrados nos horários e no local da licitação.</w:t>
      </w:r>
    </w:p>
    <w:p w:rsidR="00000000" w:rsidRDefault="00142164">
      <w:pPr>
        <w:pStyle w:val="Corpodetexto"/>
        <w:rPr>
          <w:rFonts w:cs="Arial"/>
        </w:rPr>
      </w:pPr>
      <w:r>
        <w:rPr>
          <w:rFonts w:cs="Arial"/>
        </w:rPr>
        <w:t>3. Todos os envelopes e formulários para apresentação de ofertas, acompanhados de informações complementares necessárias, serão encaminhados, até 10 de outubro de 2005, às empresas qualificada</w:t>
      </w:r>
      <w:r>
        <w:rPr>
          <w:rFonts w:cs="Arial"/>
        </w:rPr>
        <w:t xml:space="preserve">s como operadoras. As empresas receberão os envelopes para os setores aos quais foram Qualificadas como operadoras e também pagaram a Taxa de Participação. </w:t>
      </w:r>
    </w:p>
    <w:p w:rsidR="00000000" w:rsidRDefault="00142164">
      <w:pPr>
        <w:pStyle w:val="Corpodetexto"/>
        <w:ind w:firstLine="708"/>
        <w:rPr>
          <w:rFonts w:cs="Arial"/>
          <w:dstrike/>
        </w:rPr>
      </w:pPr>
      <w:r>
        <w:rPr>
          <w:rFonts w:cs="Arial"/>
        </w:rPr>
        <w:t>4. A Licitação de que trata este Edital será realizada com a seguinte programação:</w:t>
      </w:r>
    </w:p>
    <w:p w:rsidR="00000000" w:rsidRDefault="00142164">
      <w:pPr>
        <w:pStyle w:val="Corpodetexto"/>
        <w:rPr>
          <w:rFonts w:cs="Arial"/>
          <w:b/>
        </w:rPr>
      </w:pPr>
      <w:bookmarkStart w:id="37" w:name="_Toc103566368"/>
    </w:p>
    <w:p w:rsidR="00000000" w:rsidRDefault="00142164">
      <w:pPr>
        <w:pStyle w:val="Corpodetexto"/>
        <w:rPr>
          <w:rFonts w:cs="Arial"/>
          <w:b/>
        </w:rPr>
      </w:pPr>
      <w:r>
        <w:rPr>
          <w:rFonts w:cs="Arial"/>
          <w:b/>
        </w:rPr>
        <w:t>17 de outubro –</w:t>
      </w:r>
      <w:r>
        <w:rPr>
          <w:rFonts w:cs="Arial"/>
          <w:b/>
        </w:rPr>
        <w:t xml:space="preserve"> segunda-feira</w:t>
      </w:r>
    </w:p>
    <w:p w:rsidR="00000000" w:rsidRDefault="00142164">
      <w:pPr>
        <w:pStyle w:val="Corpodetexto"/>
        <w:rPr>
          <w:rFonts w:cs="Arial"/>
        </w:rPr>
      </w:pPr>
      <w:r>
        <w:rPr>
          <w:rFonts w:cs="Arial"/>
          <w:b/>
        </w:rPr>
        <w:t>7:30 horas</w:t>
      </w:r>
      <w:r>
        <w:rPr>
          <w:rFonts w:cs="Arial"/>
        </w:rPr>
        <w:t xml:space="preserve"> – Credenciamento dos participantes da licitação. O credenciamento estará aberto até o encerramento das ofertas do primeiro dia.</w:t>
      </w:r>
    </w:p>
    <w:p w:rsidR="00000000" w:rsidRDefault="00142164">
      <w:pPr>
        <w:pStyle w:val="Corpodetexto"/>
        <w:rPr>
          <w:rFonts w:cs="Arial"/>
        </w:rPr>
      </w:pPr>
      <w:r>
        <w:rPr>
          <w:rFonts w:cs="Arial"/>
          <w:b/>
        </w:rPr>
        <w:t>8:45 horas</w:t>
      </w:r>
      <w:r>
        <w:rPr>
          <w:rFonts w:cs="Arial"/>
        </w:rPr>
        <w:t xml:space="preserve"> – Abertura da sessão de apresentação de ofertas da Sétima Rodada de Licitações</w:t>
      </w:r>
    </w:p>
    <w:p w:rsidR="00000000" w:rsidRDefault="00142164">
      <w:pPr>
        <w:pStyle w:val="Corpodetexto"/>
        <w:rPr>
          <w:rFonts w:cs="Arial"/>
        </w:rPr>
      </w:pPr>
      <w:r>
        <w:rPr>
          <w:rFonts w:cs="Arial"/>
          <w:b/>
        </w:rPr>
        <w:t>9:00 horas</w:t>
      </w:r>
      <w:r>
        <w:rPr>
          <w:rFonts w:cs="Arial"/>
        </w:rPr>
        <w:t xml:space="preserve"> –</w:t>
      </w:r>
      <w:r>
        <w:rPr>
          <w:rFonts w:cs="Arial"/>
        </w:rPr>
        <w:t xml:space="preserve"> Abertura do Bloco de oferta, conforme seqüência definida na Parte A. O Presidente da Comissão Especial de Licitação determinará os intervalos e o ponto de interrupção da Licitação no dia, para continuidade no dia seguinte, respeitando-se  estritamente a s</w:t>
      </w:r>
      <w:r>
        <w:rPr>
          <w:rFonts w:cs="Arial"/>
        </w:rPr>
        <w:t xml:space="preserve">eqüência anexa. </w:t>
      </w:r>
    </w:p>
    <w:p w:rsidR="00000000" w:rsidRDefault="00142164">
      <w:pPr>
        <w:pStyle w:val="Corpodetexto"/>
        <w:rPr>
          <w:rFonts w:cs="Arial"/>
        </w:rPr>
      </w:pPr>
    </w:p>
    <w:p w:rsidR="00000000" w:rsidRDefault="00142164">
      <w:pPr>
        <w:pStyle w:val="Corpodetexto"/>
        <w:rPr>
          <w:rFonts w:cs="Arial"/>
          <w:b/>
        </w:rPr>
      </w:pPr>
      <w:r>
        <w:rPr>
          <w:rFonts w:cs="Arial"/>
          <w:b/>
        </w:rPr>
        <w:t>18 de outubro – terça-feira</w:t>
      </w:r>
    </w:p>
    <w:p w:rsidR="00000000" w:rsidRDefault="00142164">
      <w:pPr>
        <w:pStyle w:val="Corpodetexto"/>
        <w:rPr>
          <w:rFonts w:cs="Arial"/>
        </w:rPr>
      </w:pPr>
      <w:r>
        <w:rPr>
          <w:rFonts w:cs="Arial"/>
          <w:b/>
          <w:bCs/>
        </w:rPr>
        <w:t xml:space="preserve">8:00 horas </w:t>
      </w:r>
      <w:r>
        <w:rPr>
          <w:rFonts w:cs="Arial"/>
        </w:rPr>
        <w:t>– Credenciamento dos participantes da licitação. O credenciamento estará aberto até o encerramento da licitação.</w:t>
      </w:r>
    </w:p>
    <w:p w:rsidR="00000000" w:rsidRDefault="00142164">
      <w:pPr>
        <w:pStyle w:val="Corpodetexto"/>
        <w:rPr>
          <w:rFonts w:cs="Arial"/>
        </w:rPr>
      </w:pPr>
      <w:r>
        <w:rPr>
          <w:rFonts w:cs="Arial"/>
          <w:b/>
          <w:bCs/>
        </w:rPr>
        <w:t>9:00 horas</w:t>
      </w:r>
      <w:r>
        <w:rPr>
          <w:rFonts w:cs="Arial"/>
        </w:rPr>
        <w:t xml:space="preserve"> – Abertura da Área de oferta. Caso o processo de licitação da Parte A não t</w:t>
      </w:r>
      <w:r>
        <w:rPr>
          <w:rFonts w:cs="Arial"/>
        </w:rPr>
        <w:t>enha finalizado no dia anterior, será dada a continuidade do processo, respeitando-se estritamente a seqüência da Licitação prevista, conforme a seção 3.1 deste Edital, Parte A.</w:t>
      </w:r>
    </w:p>
    <w:p w:rsidR="00000000" w:rsidRDefault="00142164">
      <w:pPr>
        <w:pStyle w:val="Corpodetexto"/>
        <w:ind w:firstLine="708"/>
        <w:rPr>
          <w:rFonts w:cs="Arial"/>
        </w:rPr>
      </w:pPr>
      <w:r>
        <w:rPr>
          <w:rFonts w:cs="Arial"/>
        </w:rPr>
        <w:t>No encerramento da seqüência definida na Parte A, será feita a abertura pelo P</w:t>
      </w:r>
      <w:r>
        <w:rPr>
          <w:rFonts w:cs="Arial"/>
        </w:rPr>
        <w:t>residente da Comissão Especial de Licitação aos Blocos contendo Áreas inativas com acumulações marginais em oferta, de que trata este Edital, Parte B.</w:t>
      </w:r>
    </w:p>
    <w:p w:rsidR="00000000" w:rsidRDefault="00142164">
      <w:pPr>
        <w:pStyle w:val="Corpodetexto"/>
        <w:ind w:firstLine="708"/>
        <w:rPr>
          <w:rFonts w:cs="Arial"/>
        </w:rPr>
      </w:pPr>
    </w:p>
    <w:p w:rsidR="00000000" w:rsidRDefault="00142164">
      <w:pPr>
        <w:pStyle w:val="Corpodetexto"/>
        <w:rPr>
          <w:rFonts w:cs="Arial"/>
          <w:b/>
        </w:rPr>
      </w:pPr>
      <w:r>
        <w:rPr>
          <w:rFonts w:cs="Arial"/>
          <w:b/>
        </w:rPr>
        <w:lastRenderedPageBreak/>
        <w:t>19 de outubro – quarta-feira</w:t>
      </w:r>
    </w:p>
    <w:p w:rsidR="00000000" w:rsidRDefault="00142164">
      <w:pPr>
        <w:pStyle w:val="Corpodetexto"/>
        <w:rPr>
          <w:rFonts w:cs="Arial"/>
        </w:rPr>
      </w:pPr>
      <w:r>
        <w:rPr>
          <w:rFonts w:cs="Arial"/>
          <w:b/>
          <w:bCs/>
        </w:rPr>
        <w:t xml:space="preserve">8:00 horas </w:t>
      </w:r>
      <w:r>
        <w:rPr>
          <w:rFonts w:cs="Arial"/>
        </w:rPr>
        <w:t>– Credenciamento dos participantes da licitação. O credenciament</w:t>
      </w:r>
      <w:r>
        <w:rPr>
          <w:rFonts w:cs="Arial"/>
        </w:rPr>
        <w:t>o estará aberto até o encerramento da licitação.</w:t>
      </w:r>
    </w:p>
    <w:p w:rsidR="00000000" w:rsidRDefault="00142164">
      <w:pPr>
        <w:pStyle w:val="Corpodetexto"/>
        <w:ind w:firstLine="708"/>
        <w:rPr>
          <w:rFonts w:cs="Arial"/>
        </w:rPr>
      </w:pPr>
      <w:r>
        <w:rPr>
          <w:rFonts w:cs="Arial"/>
          <w:b/>
          <w:bCs/>
        </w:rPr>
        <w:t>9:00 horas</w:t>
      </w:r>
      <w:r>
        <w:rPr>
          <w:rFonts w:cs="Arial"/>
        </w:rPr>
        <w:t xml:space="preserve"> – Abertura da área de oferta.</w:t>
      </w:r>
    </w:p>
    <w:p w:rsidR="00000000" w:rsidRDefault="00142164">
      <w:pPr>
        <w:pStyle w:val="Ttulo1"/>
        <w:rPr>
          <w:rFonts w:cs="Arial"/>
        </w:rPr>
      </w:pPr>
      <w:bookmarkStart w:id="38" w:name="_Toc113184760"/>
      <w:r>
        <w:rPr>
          <w:rFonts w:cs="Arial"/>
        </w:rPr>
        <w:lastRenderedPageBreak/>
        <w:t>HOMOLOGAÇÃO DO JULGAMENTO</w:t>
      </w:r>
      <w:bookmarkEnd w:id="28"/>
      <w:bookmarkEnd w:id="29"/>
      <w:bookmarkEnd w:id="37"/>
      <w:bookmarkEnd w:id="38"/>
    </w:p>
    <w:p w:rsidR="00000000" w:rsidRDefault="00142164">
      <w:pPr>
        <w:pStyle w:val="Corpodetexto"/>
        <w:rPr>
          <w:rFonts w:cs="Arial"/>
        </w:rPr>
      </w:pPr>
    </w:p>
    <w:p w:rsidR="00000000" w:rsidRDefault="00142164">
      <w:pPr>
        <w:pStyle w:val="Corpodetexto"/>
        <w:rPr>
          <w:rFonts w:cs="Arial"/>
        </w:rPr>
      </w:pPr>
      <w:r>
        <w:rPr>
          <w:rFonts w:cs="Arial"/>
        </w:rPr>
        <w:t>1. Para a realização da Sétima Rodada de Licitações foi constituída uma Comissão Especial de Licitação (CEL) visando exclusivamente este ce</w:t>
      </w:r>
      <w:r>
        <w:rPr>
          <w:rFonts w:cs="Arial"/>
        </w:rPr>
        <w:t>rtame, devidamente aprovada pela Diretoria Colegiada da ANP.</w:t>
      </w:r>
    </w:p>
    <w:p w:rsidR="00000000" w:rsidRDefault="00142164">
      <w:pPr>
        <w:pStyle w:val="Corpodetexto"/>
        <w:rPr>
          <w:rFonts w:cs="Arial"/>
        </w:rPr>
      </w:pPr>
      <w:r>
        <w:rPr>
          <w:rFonts w:cs="Arial"/>
        </w:rPr>
        <w:t>2. O resultado final da licitação de cada Bloco ou Área fará parte do Relatório de Julgamento, no qual a CEL proporá a adjudicação do objeto da licitação à empresa ou consórcio de empresas declar</w:t>
      </w:r>
      <w:r>
        <w:rPr>
          <w:rFonts w:cs="Arial"/>
        </w:rPr>
        <w:t>ado vencedor. No citado relatório constarão, também, informações sobre as ofertas que não foram vencedoras e as, eventualmente, desclassificadas ou declaradas, de forma fundamentada, inexeqüíveis.</w:t>
      </w:r>
    </w:p>
    <w:p w:rsidR="00000000" w:rsidRDefault="00142164">
      <w:pPr>
        <w:pStyle w:val="Corpodetexto"/>
        <w:rPr>
          <w:rFonts w:cs="Arial"/>
        </w:rPr>
      </w:pPr>
      <w:r>
        <w:rPr>
          <w:rFonts w:cs="Arial"/>
        </w:rPr>
        <w:t>3. O Relatório de Julgamento será submetido à apreciação da</w:t>
      </w:r>
      <w:r>
        <w:rPr>
          <w:rFonts w:cs="Arial"/>
        </w:rPr>
        <w:t xml:space="preserve"> Diretoria-Colegiada da ANP.</w:t>
      </w:r>
    </w:p>
    <w:p w:rsidR="00000000" w:rsidRDefault="00142164">
      <w:pPr>
        <w:pStyle w:val="Corpodetexto"/>
        <w:rPr>
          <w:rFonts w:cs="Arial"/>
        </w:rPr>
      </w:pPr>
      <w:r>
        <w:rPr>
          <w:rFonts w:cs="Arial"/>
        </w:rPr>
        <w:t>4. Aprovado o Relatório de Julgamento, no todo ou em parte, a CEL fará publicar no Diário Oficial da União e em jornais de grande circulação o resultado do julgamento da licitação.</w:t>
      </w:r>
    </w:p>
    <w:p w:rsidR="00000000" w:rsidRDefault="00142164">
      <w:pPr>
        <w:pStyle w:val="Corpodetexto"/>
        <w:rPr>
          <w:rFonts w:cs="Arial"/>
        </w:rPr>
      </w:pPr>
      <w:r>
        <w:rPr>
          <w:rFonts w:cs="Arial"/>
        </w:rPr>
        <w:t>5. Publicado o resultado do julgamento da lici</w:t>
      </w:r>
      <w:r>
        <w:rPr>
          <w:rFonts w:cs="Arial"/>
        </w:rPr>
        <w:t>tação, a ANP convocará as empresas ou consórcios vencedores para a assinatura dos Contratos de Concessão.</w:t>
      </w:r>
    </w:p>
    <w:p w:rsidR="00000000" w:rsidRDefault="00142164">
      <w:pPr>
        <w:rPr>
          <w:rFonts w:ascii="Arial" w:hAnsi="Arial" w:cs="Arial"/>
        </w:rPr>
      </w:pPr>
    </w:p>
    <w:p w:rsidR="00000000" w:rsidRDefault="00142164">
      <w:pPr>
        <w:pStyle w:val="Ttulo1"/>
        <w:rPr>
          <w:rFonts w:cs="Arial"/>
        </w:rPr>
      </w:pPr>
      <w:bookmarkStart w:id="39" w:name="_Toc65670696"/>
      <w:bookmarkStart w:id="40" w:name="_Toc75088726"/>
      <w:bookmarkStart w:id="41" w:name="_Toc103566369"/>
      <w:bookmarkStart w:id="42" w:name="_Toc113184761"/>
      <w:r>
        <w:rPr>
          <w:rFonts w:cs="Arial"/>
        </w:rPr>
        <w:lastRenderedPageBreak/>
        <w:t>ASSINATURA DOS CONTRATOS DE CONCESSÃO</w:t>
      </w:r>
      <w:bookmarkEnd w:id="21"/>
      <w:bookmarkEnd w:id="22"/>
      <w:bookmarkEnd w:id="23"/>
      <w:bookmarkEnd w:id="24"/>
      <w:bookmarkEnd w:id="25"/>
      <w:bookmarkEnd w:id="26"/>
      <w:bookmarkEnd w:id="27"/>
      <w:bookmarkEnd w:id="39"/>
      <w:bookmarkEnd w:id="40"/>
      <w:bookmarkEnd w:id="41"/>
      <w:bookmarkEnd w:id="42"/>
    </w:p>
    <w:p w:rsidR="00000000" w:rsidRDefault="00142164">
      <w:pPr>
        <w:pStyle w:val="Corpodetexto"/>
        <w:rPr>
          <w:rFonts w:cs="Arial"/>
        </w:rPr>
      </w:pPr>
    </w:p>
    <w:p w:rsidR="00000000" w:rsidRDefault="00142164">
      <w:pPr>
        <w:pStyle w:val="Corpodetexto"/>
        <w:spacing w:after="120"/>
        <w:rPr>
          <w:rFonts w:cs="Arial"/>
        </w:rPr>
      </w:pPr>
      <w:r>
        <w:rPr>
          <w:rFonts w:cs="Arial"/>
          <w:b/>
          <w:bCs/>
        </w:rPr>
        <w:t>1</w:t>
      </w:r>
      <w:r>
        <w:rPr>
          <w:rFonts w:cs="Arial"/>
        </w:rPr>
        <w:t>. A Lei nº 9.478/97 estabelece que as atividades de Exploração, Avaliação, Desenvolvimento e Produção de petr</w:t>
      </w:r>
      <w:r>
        <w:rPr>
          <w:rFonts w:cs="Arial"/>
        </w:rPr>
        <w:t>óleo e gás natural serão exercidas mediante Contratos de Concessão, outorgados por Licitação. Embora durante o processo de habilitação empresas nacionais e estrangeiras possam participar, para a assinatura do Contrato de Concessão será necessário, obrigato</w:t>
      </w:r>
      <w:r>
        <w:rPr>
          <w:rFonts w:cs="Arial"/>
        </w:rPr>
        <w:t>riamente, a constituição de uma empresa brasileira com sede e administração no País para figurar como concessionária.</w:t>
      </w:r>
    </w:p>
    <w:p w:rsidR="00000000" w:rsidRDefault="00142164">
      <w:pPr>
        <w:pStyle w:val="Corpodetexto"/>
        <w:rPr>
          <w:rFonts w:cs="Arial"/>
        </w:rPr>
      </w:pPr>
      <w:r>
        <w:rPr>
          <w:rFonts w:cs="Arial"/>
          <w:b/>
          <w:bCs/>
        </w:rPr>
        <w:t>2</w:t>
      </w:r>
      <w:r>
        <w:rPr>
          <w:rFonts w:cs="Arial"/>
        </w:rPr>
        <w:t>. As empresas ou consórcios vencedores poderão delegar a assinatura do Contrato de Concessão para outra empresa ou consórcio, nos seguint</w:t>
      </w:r>
      <w:r>
        <w:rPr>
          <w:rFonts w:cs="Arial"/>
        </w:rPr>
        <w:t>es casos, desde que aceitos pela ANP:</w:t>
      </w:r>
    </w:p>
    <w:p w:rsidR="00000000" w:rsidRDefault="00142164" w:rsidP="00142164">
      <w:pPr>
        <w:pStyle w:val="Corpodetexto"/>
        <w:numPr>
          <w:ilvl w:val="0"/>
          <w:numId w:val="6"/>
        </w:numPr>
        <w:ind w:left="720"/>
        <w:rPr>
          <w:rFonts w:cs="Arial"/>
        </w:rPr>
      </w:pPr>
      <w:r>
        <w:rPr>
          <w:rFonts w:cs="Arial"/>
        </w:rPr>
        <w:t>Para empresa(s) afiliada(s) da(s) empresa(s) vencedora(s), desde que a(s) empresa(s) habilitada(s) vencedora(s) garanta(m) plenamente as obrigações assumidas pela(s) empresa(s) signatária(s) através de Garantia(s) de P</w:t>
      </w:r>
      <w:r>
        <w:rPr>
          <w:rFonts w:cs="Arial"/>
        </w:rPr>
        <w:t>erformance.</w:t>
      </w:r>
    </w:p>
    <w:p w:rsidR="00000000" w:rsidRDefault="00142164" w:rsidP="00142164">
      <w:pPr>
        <w:pStyle w:val="Corpodetexto"/>
        <w:numPr>
          <w:ilvl w:val="0"/>
          <w:numId w:val="6"/>
        </w:numPr>
        <w:tabs>
          <w:tab w:val="clear" w:pos="360"/>
        </w:tabs>
        <w:spacing w:after="120"/>
        <w:ind w:left="720"/>
        <w:rPr>
          <w:rFonts w:cs="Arial"/>
        </w:rPr>
      </w:pPr>
      <w:r>
        <w:rPr>
          <w:rFonts w:cs="Arial"/>
        </w:rPr>
        <w:t>Para uma controlada da empresa vencedora (ou de suas afiliadas, conforme definidas no Contrato de Concessão), ou para uma empresa brasileira controlada pelas empresas integrantes do consórcio vencedor. Neste caso, as participações, diretas ou i</w:t>
      </w:r>
      <w:r>
        <w:rPr>
          <w:rFonts w:cs="Arial"/>
        </w:rPr>
        <w:t>ndiretas, de cada empresa controladora (ou suas afiliadas) deverão ser idênticas às participações definidas no envelope padrão de apresentação de ofertas. As obrigações da empresa signatária serão plenamente garantidas por Garantias de Performance emitidas</w:t>
      </w:r>
      <w:r>
        <w:rPr>
          <w:rFonts w:cs="Arial"/>
        </w:rPr>
        <w:t xml:space="preserve"> por cada uma das empresas habilitadas cujas afiliadas participam do consórcio.</w:t>
      </w:r>
    </w:p>
    <w:p w:rsidR="00000000" w:rsidRDefault="00142164">
      <w:pPr>
        <w:pStyle w:val="Corpodetexto"/>
        <w:rPr>
          <w:rFonts w:cs="Arial"/>
        </w:rPr>
      </w:pPr>
      <w:r>
        <w:rPr>
          <w:rFonts w:cs="Arial"/>
          <w:b/>
          <w:bCs/>
        </w:rPr>
        <w:t>3</w:t>
      </w:r>
      <w:r>
        <w:rPr>
          <w:rFonts w:cs="Arial"/>
        </w:rPr>
        <w:t>. Nas situações mencionadas acima, cada empresa habilitada deverá fornecer ainda:</w:t>
      </w:r>
    </w:p>
    <w:p w:rsidR="00000000" w:rsidRDefault="00142164" w:rsidP="00142164">
      <w:pPr>
        <w:pStyle w:val="Corpodetexto"/>
        <w:numPr>
          <w:ilvl w:val="0"/>
          <w:numId w:val="9"/>
        </w:numPr>
        <w:ind w:left="720"/>
        <w:rPr>
          <w:rFonts w:cs="Arial"/>
        </w:rPr>
      </w:pPr>
      <w:r>
        <w:rPr>
          <w:rFonts w:cs="Arial"/>
        </w:rPr>
        <w:t>Uma garantia de execução das obrigações contratuais (Garantia de Performance, consoante Anexo</w:t>
      </w:r>
      <w:r>
        <w:rPr>
          <w:rFonts w:cs="Arial"/>
        </w:rPr>
        <w:t xml:space="preserve"> X, das respectivas Partes A e B). Se redigida em inglês, a Garantia de Performance deverá ser notarizada, consularizada e traduzida por tradutor juramentado.</w:t>
      </w:r>
    </w:p>
    <w:p w:rsidR="00000000" w:rsidRDefault="00142164" w:rsidP="00142164">
      <w:pPr>
        <w:pStyle w:val="Corpodetexto"/>
        <w:numPr>
          <w:ilvl w:val="0"/>
          <w:numId w:val="9"/>
        </w:numPr>
        <w:tabs>
          <w:tab w:val="clear" w:pos="360"/>
        </w:tabs>
        <w:spacing w:after="120"/>
        <w:ind w:left="720"/>
        <w:rPr>
          <w:rFonts w:cs="Arial"/>
        </w:rPr>
      </w:pPr>
      <w:r>
        <w:rPr>
          <w:rFonts w:cs="Arial"/>
        </w:rPr>
        <w:t xml:space="preserve">Procuração da empresa signatária indicando a pessoa autorizada ou competente para assinar em seu </w:t>
      </w:r>
      <w:r>
        <w:rPr>
          <w:rFonts w:cs="Arial"/>
        </w:rPr>
        <w:t>nome, em modelo a ser fornecido pela ANP.</w:t>
      </w:r>
    </w:p>
    <w:p w:rsidR="00000000" w:rsidRDefault="00142164">
      <w:pPr>
        <w:pStyle w:val="Corpodetexto"/>
        <w:spacing w:after="120"/>
        <w:rPr>
          <w:rFonts w:cs="Arial"/>
        </w:rPr>
      </w:pPr>
      <w:r>
        <w:rPr>
          <w:rFonts w:cs="Arial"/>
          <w:b/>
          <w:bCs/>
        </w:rPr>
        <w:t>4</w:t>
      </w:r>
      <w:r>
        <w:rPr>
          <w:rFonts w:cs="Arial"/>
        </w:rPr>
        <w:t xml:space="preserve">. Caso a empresa signatária seja uma afiliada da empresa habilitada, na forma definida no Contrato de Concessão, deverá apresentar uma cópia de seus estatutos ou contrato social. Os documentos originais devem ser </w:t>
      </w:r>
      <w:r>
        <w:rPr>
          <w:rFonts w:cs="Arial"/>
        </w:rPr>
        <w:t xml:space="preserve">autenticados por um representante legal da empresa signatária. </w:t>
      </w:r>
    </w:p>
    <w:p w:rsidR="00000000" w:rsidRDefault="00142164">
      <w:pPr>
        <w:pStyle w:val="Corpodetexto"/>
        <w:rPr>
          <w:rFonts w:cs="Arial"/>
        </w:rPr>
      </w:pPr>
      <w:r>
        <w:rPr>
          <w:rFonts w:cs="Arial"/>
          <w:b/>
          <w:bCs/>
        </w:rPr>
        <w:t>5</w:t>
      </w:r>
      <w:r>
        <w:rPr>
          <w:rFonts w:cs="Arial"/>
        </w:rPr>
        <w:t xml:space="preserve">. A assinatura do Contrato de Concessão dependerá de consulta prévia ao Cadastro Informativo de Créditos Não-Quitados do Setor Público Federal (CADIN), e a </w:t>
      </w:r>
      <w:r>
        <w:rPr>
          <w:rFonts w:cs="Arial"/>
          <w:color w:val="000000"/>
        </w:rPr>
        <w:t>apresentação de certidões negativas</w:t>
      </w:r>
      <w:r>
        <w:rPr>
          <w:rFonts w:cs="Arial"/>
          <w:color w:val="000000"/>
        </w:rPr>
        <w:t xml:space="preserve"> de débito junto à Fazenda Federal (Dívida Ativa da União, Tributos e Contribuições Federais, Fundo de Garantia por Tempo de Serviço-FGTS e Previdência Social), com a alternativa de comprovação de habilitação válida junto ao SICAF, </w:t>
      </w:r>
      <w:r>
        <w:rPr>
          <w:rFonts w:cs="Arial"/>
        </w:rPr>
        <w:t>sendo que a existência d</w:t>
      </w:r>
      <w:r>
        <w:rPr>
          <w:rFonts w:cs="Arial"/>
        </w:rPr>
        <w:t>e registro da empresa signatária como devedora constitui fato impeditivo da contratação, salvo se o registrado comprovar que:</w:t>
      </w:r>
    </w:p>
    <w:p w:rsidR="00000000" w:rsidRDefault="00142164" w:rsidP="00142164">
      <w:pPr>
        <w:pStyle w:val="Corpodetexto"/>
        <w:numPr>
          <w:ilvl w:val="0"/>
          <w:numId w:val="7"/>
        </w:numPr>
        <w:ind w:left="720"/>
        <w:rPr>
          <w:rFonts w:cs="Arial"/>
        </w:rPr>
      </w:pPr>
      <w:r>
        <w:rPr>
          <w:rFonts w:cs="Arial"/>
        </w:rPr>
        <w:t xml:space="preserve">Tenha ajuizado ação com objetivo de discutir a natureza da obrigação ou do seu valor e oferecido garantia suficiente ao Juízo, na </w:t>
      </w:r>
      <w:r>
        <w:rPr>
          <w:rFonts w:cs="Arial"/>
        </w:rPr>
        <w:t>forma da Lei.</w:t>
      </w:r>
    </w:p>
    <w:p w:rsidR="00000000" w:rsidRDefault="00142164" w:rsidP="00142164">
      <w:pPr>
        <w:pStyle w:val="Corpodetexto"/>
        <w:numPr>
          <w:ilvl w:val="0"/>
          <w:numId w:val="7"/>
        </w:numPr>
        <w:spacing w:after="120"/>
        <w:ind w:left="714" w:hanging="357"/>
        <w:rPr>
          <w:rFonts w:cs="Arial"/>
        </w:rPr>
      </w:pPr>
      <w:r>
        <w:rPr>
          <w:rFonts w:cs="Arial"/>
        </w:rPr>
        <w:t>Esteja suspensa a exigibilidade do crédito objeto do registro.</w:t>
      </w:r>
    </w:p>
    <w:p w:rsidR="00000000" w:rsidRDefault="00142164">
      <w:pPr>
        <w:pStyle w:val="Corpodetexto"/>
        <w:rPr>
          <w:rFonts w:cs="Arial"/>
        </w:rPr>
      </w:pPr>
      <w:r>
        <w:rPr>
          <w:rFonts w:cs="Arial"/>
          <w:b/>
          <w:bCs/>
        </w:rPr>
        <w:lastRenderedPageBreak/>
        <w:t>6</w:t>
      </w:r>
      <w:r>
        <w:rPr>
          <w:rFonts w:cs="Arial"/>
        </w:rPr>
        <w:t>. Até 20 dias antes do ato da assinatura dos Contratos de Concessão, os concorrentes vencedores deverão fornecer os seguintes documentos:</w:t>
      </w:r>
    </w:p>
    <w:p w:rsidR="00000000" w:rsidRDefault="00142164" w:rsidP="00142164">
      <w:pPr>
        <w:pStyle w:val="Corpodetexto"/>
        <w:numPr>
          <w:ilvl w:val="0"/>
          <w:numId w:val="10"/>
        </w:numPr>
        <w:ind w:left="720"/>
        <w:rPr>
          <w:rFonts w:cs="Arial"/>
        </w:rPr>
      </w:pPr>
      <w:r>
        <w:rPr>
          <w:rFonts w:cs="Arial"/>
        </w:rPr>
        <w:t>Ato constitutivo da empresa que assinará</w:t>
      </w:r>
      <w:r>
        <w:rPr>
          <w:rFonts w:cs="Arial"/>
        </w:rPr>
        <w:t xml:space="preserve"> o Contrato de Concessão e suas alterações, devidamente arquivados na junta comercial pertinente, caso a empresa habilitada opte por assinar o Contrato de Concessão através de uma afiliada ou outra empresa criada para esse fim específico, ou contrato socia</w:t>
      </w:r>
      <w:r>
        <w:rPr>
          <w:rFonts w:cs="Arial"/>
        </w:rPr>
        <w:t>l da(s) empresa(s) devidamente registrado em cartório em conformidade com o Código Civil em vigor.</w:t>
      </w:r>
    </w:p>
    <w:p w:rsidR="00000000" w:rsidRDefault="00142164" w:rsidP="00142164">
      <w:pPr>
        <w:pStyle w:val="Corpodetexto"/>
        <w:numPr>
          <w:ilvl w:val="0"/>
          <w:numId w:val="10"/>
        </w:numPr>
        <w:ind w:left="720"/>
        <w:rPr>
          <w:rFonts w:cs="Arial"/>
        </w:rPr>
      </w:pPr>
      <w:r>
        <w:rPr>
          <w:rFonts w:cs="Arial"/>
        </w:rPr>
        <w:t>Parecer legal aceito pela ANP, contendo as informações sobre o relacionamento societário entre a empresa habilitada e a empresa que assinará o Contrato de Co</w:t>
      </w:r>
      <w:r>
        <w:rPr>
          <w:rFonts w:cs="Arial"/>
        </w:rPr>
        <w:t>ncessão, devidamente notarizado. Se redigido em idioma estrangeiro, deverá ser notarizado, consularizado e traduzido por tradutor juramentado.</w:t>
      </w:r>
    </w:p>
    <w:p w:rsidR="00000000" w:rsidRDefault="00142164" w:rsidP="00142164">
      <w:pPr>
        <w:pStyle w:val="Corpodetexto"/>
        <w:numPr>
          <w:ilvl w:val="0"/>
          <w:numId w:val="10"/>
        </w:numPr>
        <w:ind w:left="720"/>
        <w:rPr>
          <w:rFonts w:cs="Arial"/>
        </w:rPr>
      </w:pPr>
      <w:r>
        <w:rPr>
          <w:rFonts w:cs="Arial"/>
        </w:rPr>
        <w:t>Garantias de Performance, caso a empresa ou consórcio vencedor opte por assinar o Contrato de Concessão através d</w:t>
      </w:r>
      <w:r>
        <w:rPr>
          <w:rFonts w:cs="Arial"/>
        </w:rPr>
        <w:t>e uma afiliada ou outra empresa criada para esse fim específico.</w:t>
      </w:r>
    </w:p>
    <w:p w:rsidR="00000000" w:rsidRDefault="00142164" w:rsidP="00142164">
      <w:pPr>
        <w:pStyle w:val="Corpodetexto"/>
        <w:numPr>
          <w:ilvl w:val="0"/>
          <w:numId w:val="10"/>
        </w:numPr>
        <w:ind w:left="720"/>
        <w:rPr>
          <w:rFonts w:cs="Arial"/>
        </w:rPr>
      </w:pPr>
      <w:r>
        <w:rPr>
          <w:rFonts w:cs="Arial"/>
        </w:rPr>
        <w:t>Documento comprovando a qualificação do Representante Legal que assinará o Contrato de Concessão em nome da empresa devidamente autenticado.</w:t>
      </w:r>
    </w:p>
    <w:p w:rsidR="00000000" w:rsidRDefault="00142164" w:rsidP="00142164">
      <w:pPr>
        <w:pStyle w:val="Corpodetexto"/>
        <w:numPr>
          <w:ilvl w:val="0"/>
          <w:numId w:val="10"/>
        </w:numPr>
        <w:ind w:left="720"/>
        <w:rPr>
          <w:rFonts w:cs="Arial"/>
        </w:rPr>
      </w:pPr>
      <w:r>
        <w:rPr>
          <w:rFonts w:cs="Arial"/>
        </w:rPr>
        <w:t>Garantia Financeira para as obrigações do Programa</w:t>
      </w:r>
      <w:r>
        <w:rPr>
          <w:rFonts w:cs="Arial"/>
        </w:rPr>
        <w:t xml:space="preserve"> Exploratório Mínimo ou Programa de Trabalhos Iniciais, se aplicável, conforme modelos constantes dos ANEXOS VIII e IX</w:t>
      </w:r>
      <w:r>
        <w:rPr>
          <w:rFonts w:cs="Arial"/>
          <w:b/>
          <w:bCs/>
        </w:rPr>
        <w:t xml:space="preserve"> </w:t>
      </w:r>
      <w:r>
        <w:rPr>
          <w:rFonts w:cs="Arial"/>
        </w:rPr>
        <w:t>(das respectivas Partes A e B). A seu exclusivo critério a ANP poderá aceitar outras garantias financeiras que sejam executáveis, mesmo q</w:t>
      </w:r>
      <w:r>
        <w:rPr>
          <w:rFonts w:cs="Arial"/>
        </w:rPr>
        <w:t>ue diversas da carta de crédito ou seguro-garantia nos modelos dos ANEXOS VIII e IX das respectivas Partes A e B</w:t>
      </w:r>
      <w:r>
        <w:rPr>
          <w:rFonts w:cs="Arial"/>
          <w:b/>
          <w:bCs/>
        </w:rPr>
        <w:t xml:space="preserve">. </w:t>
      </w:r>
      <w:r>
        <w:rPr>
          <w:rFonts w:cs="Arial"/>
        </w:rPr>
        <w:t>As garantias financeiras para o Programa Exploratório Mínimo ou Programa de Trabalhos Iniciais poderão ser:</w:t>
      </w:r>
    </w:p>
    <w:p w:rsidR="00000000" w:rsidRDefault="00142164">
      <w:pPr>
        <w:pStyle w:val="Corpodetexto"/>
        <w:ind w:left="720" w:firstLine="0"/>
        <w:rPr>
          <w:rFonts w:cs="Arial"/>
        </w:rPr>
      </w:pPr>
    </w:p>
    <w:p w:rsidR="00000000" w:rsidRDefault="00142164">
      <w:pPr>
        <w:pStyle w:val="Corpodetexto"/>
        <w:ind w:left="720" w:firstLine="0"/>
        <w:rPr>
          <w:rFonts w:cs="Arial"/>
        </w:rPr>
      </w:pPr>
    </w:p>
    <w:p w:rsidR="00000000" w:rsidRDefault="00142164">
      <w:pPr>
        <w:pStyle w:val="Corpodetexto"/>
        <w:ind w:left="720" w:firstLine="0"/>
        <w:rPr>
          <w:rFonts w:cs="Arial"/>
        </w:rPr>
      </w:pPr>
      <w:r>
        <w:rPr>
          <w:rFonts w:cs="Arial"/>
        </w:rPr>
        <w:t>a) CARTAS DE CRÉDITO</w:t>
      </w:r>
    </w:p>
    <w:p w:rsidR="00000000" w:rsidRDefault="00142164">
      <w:pPr>
        <w:pStyle w:val="Corpodetexto"/>
        <w:tabs>
          <w:tab w:val="num" w:pos="720"/>
        </w:tabs>
        <w:ind w:left="720" w:firstLine="0"/>
        <w:rPr>
          <w:rFonts w:cs="Arial"/>
        </w:rPr>
      </w:pPr>
      <w:r>
        <w:rPr>
          <w:rFonts w:cs="Arial"/>
        </w:rPr>
        <w:t>As cartas d</w:t>
      </w:r>
      <w:r>
        <w:rPr>
          <w:rFonts w:cs="Arial"/>
        </w:rPr>
        <w:t>e crédito deverão ser emitidas por bancos ou instituições garantidoras aprovadas pela ANP:</w:t>
      </w:r>
    </w:p>
    <w:p w:rsidR="00000000" w:rsidRDefault="00142164">
      <w:pPr>
        <w:pStyle w:val="Corpodetexto"/>
        <w:tabs>
          <w:tab w:val="num" w:pos="720"/>
        </w:tabs>
        <w:ind w:left="720" w:firstLine="0"/>
        <w:rPr>
          <w:rFonts w:cs="Arial"/>
        </w:rPr>
      </w:pPr>
    </w:p>
    <w:p w:rsidR="00000000" w:rsidRDefault="00142164">
      <w:pPr>
        <w:pStyle w:val="Corpodetexto"/>
        <w:tabs>
          <w:tab w:val="num" w:pos="720"/>
        </w:tabs>
        <w:rPr>
          <w:rFonts w:cs="Arial"/>
          <w:b/>
          <w:bCs/>
        </w:rPr>
      </w:pPr>
      <w:r>
        <w:rPr>
          <w:rFonts w:cs="Arial"/>
        </w:rPr>
        <w:t>PARTE A</w:t>
      </w:r>
    </w:p>
    <w:p w:rsidR="00000000" w:rsidRDefault="00142164">
      <w:pPr>
        <w:pStyle w:val="Corpodetexto"/>
        <w:tabs>
          <w:tab w:val="num" w:pos="720"/>
        </w:tabs>
        <w:ind w:left="720" w:firstLine="0"/>
        <w:rPr>
          <w:rFonts w:cs="Arial"/>
        </w:rPr>
      </w:pPr>
      <w:r>
        <w:rPr>
          <w:rFonts w:cs="Arial"/>
        </w:rPr>
        <w:t>As instituições garantidoras devem ter um patrimônio líquido de no mínimo R$500.000.000,00 (quinhentos milhões de Reais), ou ter classificação “A” ou superi</w:t>
      </w:r>
      <w:r>
        <w:rPr>
          <w:rFonts w:cs="Arial"/>
        </w:rPr>
        <w:t>or nas publicações da Standard &amp; Poor’s Ratings Group ou da Moody’s Investors Service, Inc.</w:t>
      </w:r>
    </w:p>
    <w:p w:rsidR="00000000" w:rsidRDefault="00142164">
      <w:pPr>
        <w:pStyle w:val="Corpodetexto"/>
        <w:tabs>
          <w:tab w:val="num" w:pos="720"/>
        </w:tabs>
        <w:rPr>
          <w:rFonts w:cs="Arial"/>
        </w:rPr>
      </w:pPr>
    </w:p>
    <w:p w:rsidR="00000000" w:rsidRDefault="00142164">
      <w:pPr>
        <w:pStyle w:val="Corpodetexto"/>
        <w:tabs>
          <w:tab w:val="num" w:pos="720"/>
        </w:tabs>
        <w:rPr>
          <w:rFonts w:cs="Arial"/>
        </w:rPr>
      </w:pPr>
      <w:r>
        <w:rPr>
          <w:rFonts w:cs="Arial"/>
        </w:rPr>
        <w:t>PARTE B</w:t>
      </w:r>
    </w:p>
    <w:p w:rsidR="00000000" w:rsidRDefault="00142164">
      <w:pPr>
        <w:pStyle w:val="Corpodetexto"/>
        <w:tabs>
          <w:tab w:val="num" w:pos="720"/>
        </w:tabs>
        <w:spacing w:after="120"/>
        <w:ind w:left="720" w:firstLine="0"/>
        <w:rPr>
          <w:rFonts w:cs="Arial"/>
        </w:rPr>
      </w:pPr>
      <w:r>
        <w:rPr>
          <w:rFonts w:cs="Arial"/>
        </w:rPr>
        <w:t>As instituições garantidoras devem ter um patrimônio líquido de no mínimo R$50.000.000,00 (cinquenta milhões de Reais). A ANP se reserva o direito de aceit</w:t>
      </w:r>
      <w:r>
        <w:rPr>
          <w:rFonts w:cs="Arial"/>
        </w:rPr>
        <w:t>ar, ou não, a carta de crédito de outra instituição.</w:t>
      </w:r>
    </w:p>
    <w:p w:rsidR="00000000" w:rsidRDefault="00142164">
      <w:pPr>
        <w:pStyle w:val="Corpodetexto"/>
        <w:tabs>
          <w:tab w:val="num" w:pos="720"/>
        </w:tabs>
        <w:spacing w:after="120"/>
        <w:ind w:left="720" w:firstLine="0"/>
        <w:rPr>
          <w:rFonts w:cs="Arial"/>
          <w:highlight w:val="green"/>
        </w:rPr>
      </w:pPr>
    </w:p>
    <w:p w:rsidR="00000000" w:rsidRDefault="00142164">
      <w:pPr>
        <w:pStyle w:val="Corpodetexto"/>
        <w:ind w:left="720" w:firstLine="0"/>
        <w:rPr>
          <w:rFonts w:cs="Arial"/>
          <w:b/>
          <w:bCs/>
        </w:rPr>
      </w:pPr>
      <w:r>
        <w:rPr>
          <w:rFonts w:cs="Arial"/>
        </w:rPr>
        <w:t>b)</w:t>
      </w:r>
      <w:r>
        <w:rPr>
          <w:rFonts w:cs="Arial"/>
          <w:b/>
          <w:bCs/>
        </w:rPr>
        <w:t xml:space="preserve"> </w:t>
      </w:r>
      <w:r>
        <w:rPr>
          <w:rFonts w:cs="Arial"/>
        </w:rPr>
        <w:t>SEGURO-GARANTIA</w:t>
      </w:r>
    </w:p>
    <w:p w:rsidR="00000000" w:rsidRDefault="00142164">
      <w:pPr>
        <w:pStyle w:val="Corpodetexto"/>
        <w:tabs>
          <w:tab w:val="num" w:pos="720"/>
        </w:tabs>
        <w:ind w:left="720" w:firstLine="0"/>
        <w:rPr>
          <w:rFonts w:cs="Arial"/>
        </w:rPr>
      </w:pPr>
      <w:r>
        <w:rPr>
          <w:rFonts w:cs="Arial"/>
        </w:rPr>
        <w:t>O seguro-garantia deverá ser emitido por seguradora regularmente registrada junto à Superintendência de Seguros Privados (SUSEP). As apólices deverão ter cobertura de resseguro por pa</w:t>
      </w:r>
      <w:r>
        <w:rPr>
          <w:rFonts w:cs="Arial"/>
        </w:rPr>
        <w:t>rte do Brasil Resseguros S/A (IRB), nos termos do modelo do Anexo  IX. (aplicável às partes A e B).</w:t>
      </w:r>
    </w:p>
    <w:p w:rsidR="00000000" w:rsidRDefault="00142164">
      <w:pPr>
        <w:pStyle w:val="Corpodetexto"/>
        <w:tabs>
          <w:tab w:val="num" w:pos="720"/>
        </w:tabs>
        <w:ind w:left="720" w:firstLine="0"/>
        <w:rPr>
          <w:rFonts w:cs="Arial"/>
        </w:rPr>
      </w:pPr>
    </w:p>
    <w:p w:rsidR="00000000" w:rsidRDefault="00142164">
      <w:pPr>
        <w:pStyle w:val="Corpodetexto"/>
        <w:ind w:left="720" w:firstLine="0"/>
        <w:rPr>
          <w:rFonts w:cs="Arial"/>
        </w:rPr>
      </w:pPr>
      <w:r>
        <w:rPr>
          <w:rFonts w:cs="Arial"/>
        </w:rPr>
        <w:t xml:space="preserve">c) PENHOR DA PRODUÇÃO DE ÓLEO OU GÁS </w:t>
      </w:r>
    </w:p>
    <w:p w:rsidR="00000000" w:rsidRDefault="00142164">
      <w:pPr>
        <w:pStyle w:val="Corpodetexto"/>
        <w:tabs>
          <w:tab w:val="num" w:pos="720"/>
        </w:tabs>
        <w:ind w:left="720" w:firstLine="0"/>
        <w:rPr>
          <w:rFonts w:cs="Arial"/>
        </w:rPr>
      </w:pPr>
      <w:r>
        <w:rPr>
          <w:rFonts w:cs="Arial"/>
        </w:rPr>
        <w:t>Penhor da produção de óleo ou gás produzido no território nacional (aplicável à Parte A), sobre campos já em produção</w:t>
      </w:r>
      <w:r>
        <w:rPr>
          <w:rFonts w:cs="Arial"/>
        </w:rPr>
        <w:t>, sujeitos a aprovação prévia da ANP, e a legislação vigente.</w:t>
      </w:r>
    </w:p>
    <w:p w:rsidR="00000000" w:rsidRDefault="00142164">
      <w:pPr>
        <w:pStyle w:val="Corpodetexto"/>
        <w:ind w:firstLine="0"/>
        <w:rPr>
          <w:rFonts w:cs="Arial"/>
          <w:b/>
          <w:bCs/>
        </w:rPr>
      </w:pPr>
    </w:p>
    <w:p w:rsidR="00000000" w:rsidRDefault="00142164">
      <w:pPr>
        <w:pStyle w:val="Corpodetexto"/>
        <w:ind w:left="1260" w:hanging="540"/>
        <w:rPr>
          <w:rFonts w:cs="Arial"/>
        </w:rPr>
      </w:pPr>
      <w:r>
        <w:rPr>
          <w:rFonts w:cs="Arial"/>
        </w:rPr>
        <w:t>d) HIPOTECA SOBRE BENS IMÓVEIS:</w:t>
      </w:r>
    </w:p>
    <w:p w:rsidR="00000000" w:rsidRDefault="00142164">
      <w:pPr>
        <w:pStyle w:val="Corpodetexto"/>
        <w:ind w:left="360" w:hanging="540"/>
        <w:jc w:val="center"/>
        <w:rPr>
          <w:rFonts w:cs="Arial"/>
          <w:b/>
          <w:bCs/>
        </w:rPr>
      </w:pPr>
    </w:p>
    <w:p w:rsidR="00000000" w:rsidRDefault="00142164">
      <w:pPr>
        <w:pStyle w:val="Corpodetexto"/>
        <w:ind w:left="360" w:hanging="540"/>
        <w:rPr>
          <w:rFonts w:cs="Arial"/>
        </w:rPr>
      </w:pPr>
      <w:r>
        <w:rPr>
          <w:rFonts w:cs="Arial"/>
          <w:b/>
          <w:bCs/>
        </w:rPr>
        <w:t xml:space="preserve">               </w:t>
      </w:r>
      <w:r>
        <w:rPr>
          <w:rFonts w:cs="Arial"/>
        </w:rPr>
        <w:t>PARTE A</w:t>
      </w:r>
    </w:p>
    <w:p w:rsidR="00000000" w:rsidRDefault="00142164">
      <w:pPr>
        <w:pStyle w:val="Corpodetexto"/>
        <w:ind w:left="720" w:firstLine="0"/>
        <w:rPr>
          <w:rFonts w:cs="Arial"/>
        </w:rPr>
      </w:pPr>
      <w:r>
        <w:rPr>
          <w:rFonts w:cs="Arial"/>
        </w:rPr>
        <w:t>Para a assinatura do Contrato, o licitante vencedor, no caso de operador C, deverá apresentar garantias financeiras para respaldar o Prog</w:t>
      </w:r>
      <w:r>
        <w:rPr>
          <w:rFonts w:cs="Arial"/>
        </w:rPr>
        <w:t>rama Exploratório Mínimo (PEM). A garantia exigida, nesse caso, poderá ser Hipoteca sobre bens imóveis*.</w:t>
      </w:r>
    </w:p>
    <w:p w:rsidR="00000000" w:rsidRDefault="00142164">
      <w:pPr>
        <w:pStyle w:val="Corpodetexto"/>
        <w:ind w:left="720" w:firstLine="0"/>
        <w:rPr>
          <w:rFonts w:cs="Arial"/>
          <w:b/>
          <w:bCs/>
        </w:rPr>
      </w:pPr>
    </w:p>
    <w:p w:rsidR="00000000" w:rsidRDefault="00142164">
      <w:pPr>
        <w:pStyle w:val="Corpodetexto"/>
        <w:ind w:firstLine="0"/>
        <w:rPr>
          <w:rFonts w:cs="Arial"/>
          <w:b/>
          <w:bCs/>
        </w:rPr>
      </w:pPr>
      <w:r>
        <w:rPr>
          <w:rFonts w:cs="Arial"/>
          <w:b/>
          <w:bCs/>
        </w:rPr>
        <w:t xml:space="preserve">            </w:t>
      </w:r>
      <w:r>
        <w:rPr>
          <w:rFonts w:cs="Arial"/>
        </w:rPr>
        <w:t>PARTE B</w:t>
      </w:r>
    </w:p>
    <w:p w:rsidR="00000000" w:rsidRDefault="00142164">
      <w:pPr>
        <w:pStyle w:val="Corpodetexto"/>
        <w:ind w:left="720" w:firstLine="0"/>
        <w:rPr>
          <w:rFonts w:cs="Arial"/>
        </w:rPr>
      </w:pPr>
      <w:r>
        <w:rPr>
          <w:rFonts w:cs="Arial"/>
        </w:rPr>
        <w:t>Para a assinatura do Contrato, o licitante vencedor, no caso operador C ou D, deverá apresentar garantias financeiras para respald</w:t>
      </w:r>
      <w:r>
        <w:rPr>
          <w:rFonts w:cs="Arial"/>
        </w:rPr>
        <w:t xml:space="preserve">ar o Programa Exploratório Mínimo (PTI). A garantia exigida, nesse caso, poderá  ser Hipoteca sobre bens imóveis*. </w:t>
      </w:r>
    </w:p>
    <w:p w:rsidR="00000000" w:rsidRDefault="00142164">
      <w:pPr>
        <w:pStyle w:val="Corpodetexto"/>
        <w:ind w:left="720" w:firstLine="0"/>
        <w:rPr>
          <w:rFonts w:cs="Arial"/>
        </w:rPr>
      </w:pPr>
    </w:p>
    <w:p w:rsidR="00000000" w:rsidRDefault="00142164">
      <w:pPr>
        <w:pStyle w:val="Corpodetexto"/>
        <w:ind w:left="720" w:firstLine="0"/>
        <w:jc w:val="left"/>
        <w:rPr>
          <w:rFonts w:cs="Arial"/>
          <w:sz w:val="16"/>
        </w:rPr>
      </w:pPr>
      <w:r>
        <w:rPr>
          <w:rFonts w:cs="Arial"/>
          <w:sz w:val="20"/>
        </w:rPr>
        <w:t>* Em ambos os casos a garantia imobiliária deverá ser avaliada por peritos indicados pela ANP</w:t>
      </w:r>
      <w:r>
        <w:rPr>
          <w:rFonts w:cs="Arial"/>
          <w:b/>
          <w:bCs/>
          <w:sz w:val="16"/>
        </w:rPr>
        <w:t>.</w:t>
      </w:r>
    </w:p>
    <w:p w:rsidR="00000000" w:rsidRDefault="00142164">
      <w:pPr>
        <w:pStyle w:val="Corpodetexto"/>
        <w:ind w:left="720" w:firstLine="0"/>
        <w:jc w:val="left"/>
        <w:rPr>
          <w:rFonts w:cs="Arial"/>
        </w:rPr>
      </w:pPr>
    </w:p>
    <w:p w:rsidR="00000000" w:rsidRDefault="00142164" w:rsidP="00142164">
      <w:pPr>
        <w:pStyle w:val="Corpodetexto"/>
        <w:numPr>
          <w:ilvl w:val="0"/>
          <w:numId w:val="10"/>
        </w:numPr>
        <w:ind w:left="720"/>
        <w:rPr>
          <w:rFonts w:cs="Arial"/>
        </w:rPr>
      </w:pPr>
      <w:r>
        <w:rPr>
          <w:rFonts w:cs="Arial"/>
        </w:rPr>
        <w:t xml:space="preserve"> Em caso de consórcios, a obrigação de apre</w:t>
      </w:r>
      <w:r>
        <w:rPr>
          <w:rFonts w:cs="Arial"/>
        </w:rPr>
        <w:t>sentação das garantias, ou certificado de desempenho de obrigação contratual, poderá ser satisfeita pela apresentação de mais de uma carta ou certificado, desde que o valor total seja igual ao valor especificado para o bloco objeto do Contrato de Concessão</w:t>
      </w:r>
      <w:r>
        <w:rPr>
          <w:rFonts w:cs="Arial"/>
        </w:rPr>
        <w:t>, de acordo com as especificações do Programa Exploratório Mínimo ou do Programa Exploratório Mínimo (PTI).</w:t>
      </w:r>
    </w:p>
    <w:p w:rsidR="00000000" w:rsidRDefault="00142164">
      <w:pPr>
        <w:pStyle w:val="Corpodetexto"/>
        <w:ind w:left="360" w:firstLine="0"/>
        <w:rPr>
          <w:rFonts w:cs="Arial"/>
        </w:rPr>
      </w:pPr>
    </w:p>
    <w:p w:rsidR="00000000" w:rsidRDefault="00142164">
      <w:pPr>
        <w:pStyle w:val="Corpodetexto"/>
        <w:spacing w:after="120"/>
        <w:ind w:left="720" w:firstLine="696"/>
        <w:rPr>
          <w:rFonts w:cs="Arial"/>
        </w:rPr>
      </w:pPr>
      <w:r>
        <w:rPr>
          <w:rFonts w:cs="Arial"/>
          <w:b/>
          <w:bCs/>
        </w:rPr>
        <w:t>7</w:t>
      </w:r>
      <w:r>
        <w:rPr>
          <w:rFonts w:cs="Arial"/>
        </w:rPr>
        <w:t xml:space="preserve">. No caso de consórcio, é necessário registro do instrumento constitutivo do consórcio na forma do disposto no Artigo 38 da Lei 9.478/97. </w:t>
      </w:r>
    </w:p>
    <w:p w:rsidR="00000000" w:rsidRDefault="00142164">
      <w:pPr>
        <w:pStyle w:val="Corpodetexto"/>
        <w:spacing w:after="120"/>
        <w:ind w:left="720" w:firstLine="696"/>
        <w:rPr>
          <w:rFonts w:cs="Arial"/>
        </w:rPr>
      </w:pPr>
      <w:r>
        <w:rPr>
          <w:rFonts w:cs="Arial"/>
          <w:b/>
          <w:bCs/>
        </w:rPr>
        <w:t>8</w:t>
      </w:r>
      <w:r>
        <w:rPr>
          <w:rFonts w:cs="Arial"/>
        </w:rPr>
        <w:t xml:space="preserve"> A com</w:t>
      </w:r>
      <w:r>
        <w:rPr>
          <w:rFonts w:cs="Arial"/>
        </w:rPr>
        <w:t>provação do pagamento do Bônus de Assinatura ofertado deverá ser apresentada pelo menos 5 (cinco) dias úteis antes da data de assinatura do Contrato de Concessão. O Pagamento do Bônus deve ser efetuado individualmente e de acordo com o percentual de partic</w:t>
      </w:r>
      <w:r>
        <w:rPr>
          <w:rFonts w:cs="Arial"/>
        </w:rPr>
        <w:t>ipação da empresa em consórcio, se aplicável.</w:t>
      </w:r>
    </w:p>
    <w:p w:rsidR="00000000" w:rsidRDefault="00142164">
      <w:pPr>
        <w:pStyle w:val="Corpodetexto"/>
        <w:spacing w:after="120"/>
        <w:ind w:left="720" w:firstLine="696"/>
        <w:rPr>
          <w:rFonts w:cs="Arial"/>
        </w:rPr>
      </w:pPr>
      <w:r>
        <w:rPr>
          <w:rFonts w:cs="Arial"/>
          <w:b/>
          <w:bCs/>
        </w:rPr>
        <w:t>9</w:t>
      </w:r>
      <w:r>
        <w:rPr>
          <w:rFonts w:cs="Arial"/>
        </w:rPr>
        <w:t>. A garantia financeira do Programa de Trabalho Mínimo (PEM ou PTI, ofertados em UTs) poderá ser apresentada em mais de uma Carta de Crédito ou outro instrumento aceito pela ANP, desde que o valor total seja i</w:t>
      </w:r>
      <w:r>
        <w:rPr>
          <w:rFonts w:cs="Arial"/>
        </w:rPr>
        <w:t>gual ao valor especificado para a área objeto do Contrato de Concessão, de acordo com as especificações da Tabela 1 deste Edital (Partes A e B). Quando aplicável, a ANP informará o valor equivalente em Dólar dos E.U.A. (USD) a ser utilizado, caso a(s) gara</w:t>
      </w:r>
      <w:r>
        <w:rPr>
          <w:rFonts w:cs="Arial"/>
        </w:rPr>
        <w:t>ntia(s) não seja(m) emitida(s) no Brasil.</w:t>
      </w:r>
    </w:p>
    <w:p w:rsidR="00000000" w:rsidRDefault="00142164">
      <w:pPr>
        <w:pStyle w:val="Corpodetexto"/>
        <w:spacing w:after="120"/>
        <w:ind w:left="720" w:firstLine="696"/>
        <w:rPr>
          <w:rFonts w:cs="Arial"/>
        </w:rPr>
      </w:pPr>
      <w:r>
        <w:rPr>
          <w:rFonts w:cs="Arial"/>
          <w:b/>
          <w:bCs/>
        </w:rPr>
        <w:t>10</w:t>
      </w:r>
      <w:r>
        <w:rPr>
          <w:rFonts w:cs="Arial"/>
        </w:rPr>
        <w:t xml:space="preserve">. Caso o vencedor seja um consórcio e uma das empresas consorciadas não apresente a documentação necessária, as demais empresas consorciadas deverão assumir as responsabilidades da parte inadimplente. Em nenhuma </w:t>
      </w:r>
      <w:r>
        <w:rPr>
          <w:rFonts w:cs="Arial"/>
        </w:rPr>
        <w:t>circunstância, será permitida a entrada de nova empresa no consórcio vencedor antes da assinatura do Contrato de Concessão.</w:t>
      </w:r>
    </w:p>
    <w:p w:rsidR="00000000" w:rsidRDefault="00142164">
      <w:pPr>
        <w:pStyle w:val="Corpodetexto"/>
        <w:spacing w:after="120"/>
        <w:ind w:left="720" w:firstLine="696"/>
        <w:rPr>
          <w:rFonts w:cs="Arial"/>
        </w:rPr>
      </w:pPr>
      <w:r>
        <w:rPr>
          <w:rFonts w:cs="Arial"/>
          <w:b/>
          <w:bCs/>
        </w:rPr>
        <w:lastRenderedPageBreak/>
        <w:t>11</w:t>
      </w:r>
      <w:r>
        <w:rPr>
          <w:rFonts w:cs="Arial"/>
        </w:rPr>
        <w:t>. Caso uma empresa ou um consórcio vencedor, por qualquer motivo, não venha a celebrar o Contrato de Concessão até a data prevista</w:t>
      </w:r>
      <w:r>
        <w:rPr>
          <w:rFonts w:cs="Arial"/>
        </w:rPr>
        <w:t xml:space="preserve"> para a sua assinatura, será convocado o concorrente que apresentou a oferta classificada em segundo lugar para aquela área, desde que este assuma os valores ofertados pelo concorrente vencedor desistente e apresente a respectiva Caução de Garantia de Ofer</w:t>
      </w:r>
      <w:r>
        <w:rPr>
          <w:rFonts w:cs="Arial"/>
        </w:rPr>
        <w:t xml:space="preserve">ta. </w:t>
      </w:r>
    </w:p>
    <w:p w:rsidR="00000000" w:rsidRDefault="00142164">
      <w:pPr>
        <w:pStyle w:val="Corpodetexto"/>
        <w:ind w:left="720" w:firstLine="696"/>
        <w:rPr>
          <w:rFonts w:cs="Arial"/>
        </w:rPr>
      </w:pPr>
      <w:r>
        <w:rPr>
          <w:rFonts w:cs="Arial"/>
          <w:b/>
          <w:bCs/>
        </w:rPr>
        <w:t>12</w:t>
      </w:r>
      <w:r>
        <w:rPr>
          <w:rFonts w:cs="Arial"/>
        </w:rPr>
        <w:t>. Para o modelo exploratório (contemplado neste Edital, Parte A), no caso de Blocos localizados em um mesmo setor, com a mesma composição de Consórcio em áreas contíguas, estes serão agrupados em um único instrumento contratual, com múltiplos objeto</w:t>
      </w:r>
      <w:r>
        <w:rPr>
          <w:rFonts w:cs="Arial"/>
        </w:rPr>
        <w:t>s, cada qual correspondendo a um Bloco. Cada objeto poderá ser negociado individualmente, sendo que, nesta hipótese, será gerado um novo Contrato de Concessão. As Garantias Financeiras e de Performance, bem como todos os documentos relacionados à gestão da</w:t>
      </w:r>
      <w:r>
        <w:rPr>
          <w:rFonts w:cs="Arial"/>
        </w:rPr>
        <w:t xml:space="preserve"> concessão, poderão ser apresentados para cada instrumento, mesmo que este seja composto de Blocos múltiplos.</w:t>
      </w:r>
    </w:p>
    <w:p w:rsidR="00000000" w:rsidRDefault="00142164">
      <w:pPr>
        <w:pStyle w:val="Corpodetexto"/>
        <w:rPr>
          <w:rFonts w:cs="Arial"/>
        </w:rPr>
      </w:pPr>
    </w:p>
    <w:p w:rsidR="00000000" w:rsidRDefault="00142164">
      <w:pPr>
        <w:pStyle w:val="Corpodetexto"/>
        <w:ind w:left="720" w:firstLine="696"/>
        <w:rPr>
          <w:rFonts w:cs="Arial"/>
        </w:rPr>
      </w:pPr>
    </w:p>
    <w:p w:rsidR="00000000" w:rsidRDefault="00142164">
      <w:pPr>
        <w:pStyle w:val="Corpodetexto"/>
        <w:rPr>
          <w:rFonts w:cs="Arial"/>
        </w:rPr>
      </w:pPr>
    </w:p>
    <w:p w:rsidR="00000000" w:rsidRDefault="00142164">
      <w:pPr>
        <w:pStyle w:val="Corpodetexto"/>
        <w:rPr>
          <w:rFonts w:cs="Arial"/>
        </w:rPr>
      </w:pPr>
    </w:p>
    <w:p w:rsidR="00000000" w:rsidRDefault="00142164">
      <w:pPr>
        <w:pStyle w:val="Ttulo1"/>
        <w:rPr>
          <w:rFonts w:cs="Arial"/>
          <w:sz w:val="22"/>
        </w:rPr>
      </w:pPr>
      <w:bookmarkStart w:id="43" w:name="_Toc35222062"/>
      <w:bookmarkStart w:id="44" w:name="_Toc65670697"/>
      <w:bookmarkStart w:id="45" w:name="_Toc75088727"/>
      <w:bookmarkStart w:id="46" w:name="_Toc103566370"/>
      <w:bookmarkStart w:id="47" w:name="_Toc113184762"/>
      <w:r>
        <w:rPr>
          <w:rFonts w:cs="Arial"/>
        </w:rPr>
        <w:lastRenderedPageBreak/>
        <w:t>ESCLARECIMENTOS</w:t>
      </w:r>
      <w:r>
        <w:rPr>
          <w:rFonts w:cs="Arial"/>
          <w:sz w:val="22"/>
        </w:rPr>
        <w:t xml:space="preserve"> </w:t>
      </w:r>
      <w:r>
        <w:rPr>
          <w:rFonts w:cs="Arial"/>
        </w:rPr>
        <w:t>COMPLEMENTARES SOBRE A LICITAÇÃO</w:t>
      </w:r>
      <w:bookmarkEnd w:id="43"/>
      <w:bookmarkEnd w:id="44"/>
      <w:bookmarkEnd w:id="45"/>
      <w:bookmarkEnd w:id="46"/>
      <w:bookmarkEnd w:id="47"/>
    </w:p>
    <w:p w:rsidR="00000000" w:rsidRDefault="00142164">
      <w:pPr>
        <w:pStyle w:val="Ttulo2"/>
        <w:spacing w:line="360" w:lineRule="auto"/>
        <w:rPr>
          <w:rFonts w:cs="Arial"/>
        </w:rPr>
      </w:pPr>
      <w:bookmarkStart w:id="48" w:name="_Ref20194258"/>
      <w:bookmarkStart w:id="49" w:name="_Ref20194263"/>
      <w:bookmarkStart w:id="50" w:name="_Ref26874492"/>
      <w:bookmarkStart w:id="51" w:name="_Ref26874542"/>
      <w:bookmarkStart w:id="52" w:name="_Toc35222063"/>
      <w:bookmarkStart w:id="53" w:name="_Toc65670698"/>
      <w:bookmarkStart w:id="54" w:name="_Toc75088728"/>
      <w:bookmarkStart w:id="55" w:name="_Toc103566371"/>
      <w:bookmarkStart w:id="56" w:name="_Toc113184763"/>
      <w:r>
        <w:rPr>
          <w:rFonts w:cs="Arial"/>
        </w:rPr>
        <w:t>Foro</w:t>
      </w:r>
      <w:bookmarkEnd w:id="53"/>
      <w:bookmarkEnd w:id="54"/>
      <w:bookmarkEnd w:id="55"/>
      <w:bookmarkEnd w:id="56"/>
    </w:p>
    <w:p w:rsidR="00000000" w:rsidRDefault="00142164">
      <w:pPr>
        <w:pStyle w:val="Corpodetexto"/>
        <w:rPr>
          <w:rFonts w:cs="Arial"/>
        </w:rPr>
      </w:pPr>
      <w:r>
        <w:rPr>
          <w:rFonts w:cs="Arial"/>
        </w:rPr>
        <w:t>1. As questões decorrentes da execução deste Edital, que não puderem ser decididas admin</w:t>
      </w:r>
      <w:r>
        <w:rPr>
          <w:rFonts w:cs="Arial"/>
        </w:rPr>
        <w:t>istrativamente, serão processadas e julgadas no Foro da Justiça Federal, Seção Judiciária do Estado do Rio de Janeiro, com exclusão de qualquer outro, por mais privilegiado que seja.</w:t>
      </w:r>
    </w:p>
    <w:p w:rsidR="00000000" w:rsidRDefault="00142164">
      <w:pPr>
        <w:pStyle w:val="Ttulo2"/>
        <w:spacing w:line="360" w:lineRule="auto"/>
        <w:rPr>
          <w:rFonts w:cs="Arial"/>
        </w:rPr>
      </w:pPr>
      <w:bookmarkStart w:id="57" w:name="_Ref40495767"/>
      <w:bookmarkStart w:id="58" w:name="_Toc65670699"/>
      <w:bookmarkStart w:id="59" w:name="_Toc75088729"/>
      <w:bookmarkStart w:id="60" w:name="_Toc103566372"/>
      <w:bookmarkStart w:id="61" w:name="_Consultas"/>
      <w:bookmarkStart w:id="62" w:name="_Toc113184764"/>
      <w:bookmarkEnd w:id="61"/>
      <w:r>
        <w:rPr>
          <w:rFonts w:cs="Arial"/>
        </w:rPr>
        <w:t>Consultas</w:t>
      </w:r>
      <w:bookmarkEnd w:id="48"/>
      <w:bookmarkEnd w:id="49"/>
      <w:bookmarkEnd w:id="52"/>
      <w:bookmarkEnd w:id="57"/>
      <w:bookmarkEnd w:id="58"/>
      <w:bookmarkEnd w:id="59"/>
      <w:bookmarkEnd w:id="60"/>
      <w:bookmarkEnd w:id="62"/>
      <w:r>
        <w:rPr>
          <w:rFonts w:cs="Arial"/>
        </w:rPr>
        <w:t xml:space="preserve"> </w:t>
      </w:r>
      <w:bookmarkEnd w:id="50"/>
      <w:bookmarkEnd w:id="51"/>
    </w:p>
    <w:p w:rsidR="00000000" w:rsidRDefault="00142164">
      <w:pPr>
        <w:pStyle w:val="Corpodetexto"/>
        <w:rPr>
          <w:rFonts w:cs="Arial"/>
        </w:rPr>
      </w:pPr>
      <w:r>
        <w:rPr>
          <w:rFonts w:cs="Arial"/>
        </w:rPr>
        <w:t>1. A ANP prestará esclarecimentos e informações adicionais rel</w:t>
      </w:r>
      <w:r>
        <w:rPr>
          <w:rFonts w:cs="Arial"/>
        </w:rPr>
        <w:t>ativos ao processo de licitação, termos contratuais ou áreas em licitação. As questões devem ser enviadas à ANP através de correio, fax ou correio eletrônico, listados abaixo. Questões de interesse geral e suas respectivas respostas serão publicadas, sem i</w:t>
      </w:r>
      <w:r>
        <w:rPr>
          <w:rFonts w:cs="Arial"/>
        </w:rPr>
        <w:t xml:space="preserve">dentificação das empresas que as formularam, no </w:t>
      </w:r>
      <w:r>
        <w:rPr>
          <w:rFonts w:cs="Arial"/>
          <w:i/>
        </w:rPr>
        <w:t xml:space="preserve">website </w:t>
      </w:r>
      <w:r>
        <w:rPr>
          <w:rFonts w:cs="Arial"/>
        </w:rPr>
        <w:t xml:space="preserve">das Rodadas de Licitações </w:t>
      </w:r>
      <w:hyperlink r:id="rId13" w:history="1">
        <w:r>
          <w:rPr>
            <w:rStyle w:val="Hyperlink"/>
            <w:rFonts w:cs="Arial"/>
            <w:color w:val="auto"/>
            <w:u w:val="none"/>
          </w:rPr>
          <w:t>www.brasil-rounds.gov.br</w:t>
        </w:r>
      </w:hyperlink>
    </w:p>
    <w:p w:rsidR="00000000" w:rsidRDefault="00142164">
      <w:pPr>
        <w:pStyle w:val="Corpodetexto"/>
        <w:rPr>
          <w:rFonts w:cs="Arial"/>
        </w:rPr>
      </w:pPr>
    </w:p>
    <w:p w:rsidR="00000000" w:rsidRDefault="00142164" w:rsidP="00142164">
      <w:pPr>
        <w:pStyle w:val="Corpodetexto"/>
        <w:numPr>
          <w:ilvl w:val="0"/>
          <w:numId w:val="8"/>
        </w:numPr>
        <w:ind w:left="936"/>
        <w:rPr>
          <w:rFonts w:cs="Arial"/>
        </w:rPr>
      </w:pPr>
      <w:r>
        <w:rPr>
          <w:rFonts w:cs="Arial"/>
        </w:rPr>
        <w:t>Correio:</w:t>
      </w:r>
      <w:r>
        <w:rPr>
          <w:rFonts w:cs="Arial"/>
        </w:rPr>
        <w:tab/>
      </w:r>
    </w:p>
    <w:p w:rsidR="00000000" w:rsidRDefault="00142164">
      <w:pPr>
        <w:pStyle w:val="Corpodetexto"/>
        <w:ind w:left="1284" w:firstLine="708"/>
        <w:rPr>
          <w:rFonts w:cs="Arial"/>
        </w:rPr>
      </w:pPr>
      <w:r>
        <w:rPr>
          <w:rFonts w:cs="Arial"/>
        </w:rPr>
        <w:t>Sétima Rodada de Licitações</w:t>
      </w:r>
    </w:p>
    <w:p w:rsidR="00000000" w:rsidRDefault="00142164">
      <w:pPr>
        <w:pStyle w:val="Corpodetexto"/>
        <w:ind w:left="1284" w:firstLine="708"/>
        <w:rPr>
          <w:rFonts w:cs="Arial"/>
        </w:rPr>
      </w:pPr>
      <w:r>
        <w:rPr>
          <w:rFonts w:cs="Arial"/>
        </w:rPr>
        <w:t>Agência Nacional do Petróleo, Gás Natural e Biocombustíveis</w:t>
      </w:r>
    </w:p>
    <w:p w:rsidR="00000000" w:rsidRDefault="00142164">
      <w:pPr>
        <w:pStyle w:val="Corpodetexto"/>
        <w:ind w:left="1284" w:firstLine="708"/>
        <w:rPr>
          <w:rFonts w:cs="Arial"/>
        </w:rPr>
      </w:pPr>
      <w:r>
        <w:rPr>
          <w:rFonts w:cs="Arial"/>
        </w:rPr>
        <w:t>Superintendência de Promoção de Licitações</w:t>
      </w:r>
    </w:p>
    <w:p w:rsidR="00000000" w:rsidRDefault="00142164">
      <w:pPr>
        <w:pStyle w:val="Corpodetexto"/>
        <w:ind w:left="1284" w:firstLine="708"/>
        <w:rPr>
          <w:rFonts w:cs="Arial"/>
        </w:rPr>
      </w:pPr>
      <w:r>
        <w:rPr>
          <w:rFonts w:cs="Arial"/>
        </w:rPr>
        <w:t>Avenida Rio Branco 65, 18º andar</w:t>
      </w:r>
    </w:p>
    <w:p w:rsidR="00000000" w:rsidRDefault="00142164">
      <w:pPr>
        <w:pStyle w:val="Corpodetexto"/>
        <w:ind w:left="1284" w:firstLine="708"/>
        <w:rPr>
          <w:rFonts w:cs="Arial"/>
        </w:rPr>
      </w:pPr>
      <w:r>
        <w:rPr>
          <w:rFonts w:cs="Arial"/>
        </w:rPr>
        <w:t>20090-004 Rio de Janeiro - RJ, Brasil</w:t>
      </w:r>
    </w:p>
    <w:p w:rsidR="00000000" w:rsidRDefault="00142164" w:rsidP="00142164">
      <w:pPr>
        <w:pStyle w:val="Corpodetexto"/>
        <w:numPr>
          <w:ilvl w:val="0"/>
          <w:numId w:val="8"/>
        </w:numPr>
        <w:ind w:left="936"/>
        <w:rPr>
          <w:rFonts w:cs="Arial"/>
        </w:rPr>
      </w:pPr>
      <w:r>
        <w:rPr>
          <w:rFonts w:cs="Arial"/>
        </w:rPr>
        <w:t xml:space="preserve">Telefone: </w:t>
      </w:r>
    </w:p>
    <w:p w:rsidR="00000000" w:rsidRDefault="00142164">
      <w:pPr>
        <w:pStyle w:val="Corpodetexto"/>
        <w:ind w:left="1284" w:firstLine="708"/>
        <w:rPr>
          <w:rFonts w:cs="Arial"/>
        </w:rPr>
      </w:pPr>
      <w:r>
        <w:rPr>
          <w:rFonts w:cs="Arial"/>
        </w:rPr>
        <w:t>(21) 3804-0200 (do Brasil)</w:t>
      </w:r>
    </w:p>
    <w:p w:rsidR="00000000" w:rsidRDefault="00142164">
      <w:pPr>
        <w:pStyle w:val="Corpodetexto"/>
        <w:ind w:left="1283"/>
        <w:rPr>
          <w:rFonts w:cs="Arial"/>
        </w:rPr>
      </w:pPr>
      <w:r>
        <w:rPr>
          <w:rFonts w:cs="Arial"/>
        </w:rPr>
        <w:t>+55-21-3804-0200 (do exterior)</w:t>
      </w:r>
    </w:p>
    <w:p w:rsidR="00000000" w:rsidRDefault="00142164" w:rsidP="00142164">
      <w:pPr>
        <w:pStyle w:val="Corpodetexto"/>
        <w:numPr>
          <w:ilvl w:val="0"/>
          <w:numId w:val="8"/>
        </w:numPr>
        <w:ind w:left="936"/>
        <w:rPr>
          <w:rFonts w:cs="Arial"/>
        </w:rPr>
      </w:pPr>
      <w:r>
        <w:rPr>
          <w:rFonts w:cs="Arial"/>
        </w:rPr>
        <w:t>Fax:</w:t>
      </w:r>
      <w:r>
        <w:rPr>
          <w:rFonts w:cs="Arial"/>
        </w:rPr>
        <w:tab/>
      </w:r>
    </w:p>
    <w:p w:rsidR="00000000" w:rsidRDefault="00142164">
      <w:pPr>
        <w:pStyle w:val="Corpodetexto"/>
        <w:ind w:left="1284" w:firstLine="708"/>
        <w:rPr>
          <w:rFonts w:cs="Arial"/>
        </w:rPr>
      </w:pPr>
      <w:r>
        <w:rPr>
          <w:rFonts w:cs="Arial"/>
        </w:rPr>
        <w:t>(21) 3804-0202 (do Brasil)</w:t>
      </w:r>
    </w:p>
    <w:p w:rsidR="00000000" w:rsidRDefault="00142164">
      <w:pPr>
        <w:pStyle w:val="Corpodetexto"/>
        <w:ind w:left="1284" w:firstLine="708"/>
        <w:rPr>
          <w:rFonts w:cs="Arial"/>
          <w:b/>
        </w:rPr>
      </w:pPr>
      <w:r>
        <w:rPr>
          <w:rFonts w:cs="Arial"/>
        </w:rPr>
        <w:t>+55-21-3804-0202 (do exterior)</w:t>
      </w:r>
    </w:p>
    <w:p w:rsidR="00000000" w:rsidRDefault="00142164" w:rsidP="00142164">
      <w:pPr>
        <w:pStyle w:val="Corpodetexto"/>
        <w:numPr>
          <w:ilvl w:val="0"/>
          <w:numId w:val="8"/>
        </w:numPr>
        <w:ind w:left="936"/>
        <w:rPr>
          <w:rFonts w:cs="Arial"/>
        </w:rPr>
      </w:pPr>
      <w:r>
        <w:rPr>
          <w:rFonts w:cs="Arial"/>
        </w:rPr>
        <w:t>Correio e</w:t>
      </w:r>
      <w:r>
        <w:rPr>
          <w:rFonts w:cs="Arial"/>
        </w:rPr>
        <w:t xml:space="preserve">letrônico: </w:t>
      </w:r>
    </w:p>
    <w:p w:rsidR="00000000" w:rsidRDefault="00142164">
      <w:pPr>
        <w:pStyle w:val="Corpodetexto"/>
        <w:tabs>
          <w:tab w:val="center" w:pos="5415"/>
        </w:tabs>
        <w:ind w:left="1284" w:firstLine="708"/>
        <w:rPr>
          <w:rFonts w:cs="Arial"/>
        </w:rPr>
      </w:pPr>
      <w:hyperlink r:id="rId14" w:history="1">
        <w:r>
          <w:rPr>
            <w:rStyle w:val="Hyperlink"/>
            <w:rFonts w:cs="Arial"/>
            <w:color w:val="auto"/>
            <w:sz w:val="24"/>
            <w:szCs w:val="24"/>
            <w:u w:val="none"/>
          </w:rPr>
          <w:t>brasil-round7@anp.gov.br</w:t>
        </w:r>
      </w:hyperlink>
      <w:r>
        <w:rPr>
          <w:rFonts w:cs="Arial"/>
        </w:rPr>
        <w:tab/>
      </w:r>
    </w:p>
    <w:p w:rsidR="00000000" w:rsidRDefault="00142164" w:rsidP="00142164">
      <w:pPr>
        <w:pStyle w:val="Corpodetexto"/>
        <w:numPr>
          <w:ilvl w:val="0"/>
          <w:numId w:val="11"/>
        </w:numPr>
        <w:ind w:left="936"/>
        <w:rPr>
          <w:rFonts w:cs="Arial"/>
        </w:rPr>
      </w:pPr>
      <w:r>
        <w:rPr>
          <w:rFonts w:cs="Arial"/>
        </w:rPr>
        <w:t xml:space="preserve">A ANP mantém ainda um </w:t>
      </w:r>
      <w:r>
        <w:rPr>
          <w:rFonts w:cs="Arial"/>
          <w:i/>
        </w:rPr>
        <w:t xml:space="preserve">website </w:t>
      </w:r>
      <w:r>
        <w:rPr>
          <w:rFonts w:cs="Arial"/>
        </w:rPr>
        <w:t>sobre as  Rodadas de Licitações:</w:t>
      </w:r>
    </w:p>
    <w:p w:rsidR="00000000" w:rsidRDefault="00142164">
      <w:pPr>
        <w:pStyle w:val="Corpodetexto"/>
        <w:ind w:left="1284" w:firstLine="708"/>
        <w:rPr>
          <w:rFonts w:cs="Arial"/>
        </w:rPr>
      </w:pPr>
      <w:hyperlink r:id="rId15" w:history="1">
        <w:r>
          <w:rPr>
            <w:rStyle w:val="Hyperlink"/>
            <w:rFonts w:cs="Arial"/>
            <w:color w:val="auto"/>
            <w:sz w:val="24"/>
            <w:szCs w:val="24"/>
            <w:u w:val="none"/>
          </w:rPr>
          <w:t>http://www.brasil-rounds.gov.br/</w:t>
        </w:r>
      </w:hyperlink>
    </w:p>
    <w:p w:rsidR="00000000" w:rsidRDefault="00142164">
      <w:pPr>
        <w:pStyle w:val="Corpodetexto"/>
        <w:ind w:left="1284" w:firstLine="708"/>
        <w:rPr>
          <w:rFonts w:cs="Arial"/>
        </w:rPr>
      </w:pPr>
    </w:p>
    <w:p w:rsidR="00000000" w:rsidRDefault="00142164">
      <w:pPr>
        <w:pStyle w:val="Corpodetexto"/>
        <w:rPr>
          <w:rFonts w:cs="Arial"/>
        </w:rPr>
      </w:pPr>
      <w:r>
        <w:rPr>
          <w:rFonts w:cs="Arial"/>
        </w:rPr>
        <w:t>2. Informações ou esclar</w:t>
      </w:r>
      <w:r>
        <w:rPr>
          <w:rFonts w:cs="Arial"/>
        </w:rPr>
        <w:t>ecimentos técnicos sobre as áreas somente serão fornecidos às empresas que pagaram as Taxas de Participação para as mesmas.</w:t>
      </w:r>
    </w:p>
    <w:p w:rsidR="00000000" w:rsidRDefault="00142164">
      <w:pPr>
        <w:pStyle w:val="Corpodetexto"/>
        <w:rPr>
          <w:rFonts w:cs="Arial"/>
        </w:rPr>
      </w:pPr>
      <w:r>
        <w:rPr>
          <w:rFonts w:cs="Arial"/>
        </w:rPr>
        <w:t xml:space="preserve">3. Pedidos de esclarecimentos sobre o Contrato de Concessão ou assuntos de natureza jurídica deverão ser formulados por escrito. </w:t>
      </w:r>
    </w:p>
    <w:p w:rsidR="00000000" w:rsidRDefault="00142164">
      <w:pPr>
        <w:pStyle w:val="Corpodetexto"/>
        <w:rPr>
          <w:rFonts w:cs="Arial"/>
        </w:rPr>
      </w:pPr>
      <w:r>
        <w:rPr>
          <w:rFonts w:cs="Arial"/>
        </w:rPr>
        <w:t>4.</w:t>
      </w:r>
      <w:r>
        <w:rPr>
          <w:rFonts w:cs="Arial"/>
        </w:rPr>
        <w:t xml:space="preserve"> Todos os pedidos de informações serão atendidos preferencialmente de acordo com sua ordem de chegada na Superintendência de Promoção de Licitações da ANP. </w:t>
      </w:r>
    </w:p>
    <w:p w:rsidR="00000000" w:rsidRDefault="00142164">
      <w:pPr>
        <w:pStyle w:val="Corpodetexto"/>
        <w:rPr>
          <w:rFonts w:cs="Arial"/>
        </w:rPr>
      </w:pPr>
    </w:p>
    <w:p w:rsidR="00000000" w:rsidRDefault="00142164">
      <w:pPr>
        <w:pStyle w:val="Ttulo2"/>
        <w:spacing w:line="360" w:lineRule="auto"/>
        <w:rPr>
          <w:rFonts w:cs="Arial"/>
        </w:rPr>
      </w:pPr>
      <w:bookmarkStart w:id="63" w:name="_Ref26874438"/>
      <w:bookmarkStart w:id="64" w:name="_Toc35222064"/>
      <w:bookmarkStart w:id="65" w:name="_Toc65670700"/>
      <w:bookmarkStart w:id="66" w:name="_Toc75088730"/>
      <w:bookmarkStart w:id="67" w:name="_Toc103566373"/>
      <w:bookmarkStart w:id="68" w:name="_Toc113184765"/>
      <w:r>
        <w:rPr>
          <w:rFonts w:cs="Arial"/>
        </w:rPr>
        <w:lastRenderedPageBreak/>
        <w:t>Entrega de Documentos</w:t>
      </w:r>
      <w:bookmarkEnd w:id="63"/>
      <w:bookmarkEnd w:id="64"/>
      <w:bookmarkEnd w:id="65"/>
      <w:bookmarkEnd w:id="66"/>
      <w:bookmarkEnd w:id="67"/>
      <w:bookmarkEnd w:id="68"/>
    </w:p>
    <w:p w:rsidR="00000000" w:rsidRDefault="00142164">
      <w:pPr>
        <w:pStyle w:val="Corpodetexto"/>
        <w:ind w:firstLine="576"/>
        <w:rPr>
          <w:rFonts w:cs="Arial"/>
        </w:rPr>
      </w:pPr>
      <w:r>
        <w:rPr>
          <w:rFonts w:cs="Arial"/>
        </w:rPr>
        <w:t>1. Toda documentação entregue à ANP deverá ser registrada no Protocolo local</w:t>
      </w:r>
      <w:r>
        <w:rPr>
          <w:rFonts w:cs="Arial"/>
        </w:rPr>
        <w:t xml:space="preserve">izado no endereço indicado </w:t>
      </w:r>
      <w:r>
        <w:rPr>
          <w:rFonts w:cs="Arial"/>
          <w:color w:val="000000"/>
        </w:rPr>
        <w:t xml:space="preserve">no </w:t>
      </w:r>
      <w:hyperlink w:anchor="_Consultas" w:history="1">
        <w:r>
          <w:rPr>
            <w:rStyle w:val="Hyperlink"/>
            <w:rFonts w:cs="Arial"/>
            <w:color w:val="000000"/>
            <w:u w:val="none"/>
          </w:rPr>
          <w:t>ite</w:t>
        </w:r>
        <w:r>
          <w:rPr>
            <w:rStyle w:val="Hyperlink"/>
            <w:rFonts w:cs="Arial"/>
            <w:color w:val="000000"/>
            <w:u w:val="none"/>
          </w:rPr>
          <w:t>m</w:t>
        </w:r>
        <w:r>
          <w:rPr>
            <w:rStyle w:val="Hyperlink"/>
            <w:rFonts w:cs="Arial"/>
            <w:color w:val="000000"/>
            <w:u w:val="none"/>
          </w:rPr>
          <w:t xml:space="preserve"> 6.2</w:t>
        </w:r>
      </w:hyperlink>
      <w:r>
        <w:rPr>
          <w:rFonts w:cs="Arial"/>
        </w:rPr>
        <w:t>, de segunda à sexta-feira das 9:00h às 11:45h e das 14:00h às 16:30h.</w:t>
      </w:r>
    </w:p>
    <w:p w:rsidR="00000000" w:rsidRDefault="00142164">
      <w:pPr>
        <w:pStyle w:val="Corpodetexto"/>
        <w:rPr>
          <w:rFonts w:cs="Arial"/>
        </w:rPr>
      </w:pPr>
    </w:p>
    <w:p w:rsidR="00000000" w:rsidRDefault="00142164">
      <w:pPr>
        <w:pStyle w:val="Ttulo1"/>
        <w:rPr>
          <w:rFonts w:cs="Arial"/>
          <w:caps/>
        </w:rPr>
      </w:pPr>
      <w:bookmarkStart w:id="69" w:name="_Toc450140275"/>
      <w:bookmarkStart w:id="70" w:name="_Toc450140782"/>
      <w:bookmarkStart w:id="71" w:name="_Toc35222066"/>
      <w:bookmarkStart w:id="72" w:name="_Toc65670702"/>
      <w:bookmarkStart w:id="73" w:name="_Toc75088732"/>
      <w:bookmarkStart w:id="74" w:name="_Toc103566374"/>
      <w:bookmarkStart w:id="75" w:name="_Toc113184766"/>
      <w:r>
        <w:rPr>
          <w:rFonts w:cs="Arial"/>
          <w:caps/>
        </w:rPr>
        <w:lastRenderedPageBreak/>
        <w:t>Direitos da ANP</w:t>
      </w:r>
      <w:bookmarkEnd w:id="69"/>
      <w:bookmarkEnd w:id="70"/>
      <w:r>
        <w:rPr>
          <w:rFonts w:cs="Arial"/>
          <w:caps/>
        </w:rPr>
        <w:t xml:space="preserve"> e Garantia</w:t>
      </w:r>
      <w:bookmarkEnd w:id="71"/>
      <w:bookmarkEnd w:id="72"/>
      <w:bookmarkEnd w:id="73"/>
      <w:bookmarkEnd w:id="74"/>
      <w:bookmarkEnd w:id="75"/>
    </w:p>
    <w:p w:rsidR="00000000" w:rsidRDefault="00142164">
      <w:pPr>
        <w:pStyle w:val="Corpodetexto"/>
        <w:rPr>
          <w:rFonts w:cs="Arial"/>
        </w:rPr>
      </w:pPr>
    </w:p>
    <w:p w:rsidR="00000000" w:rsidRDefault="00142164">
      <w:pPr>
        <w:pStyle w:val="Corpodetexto"/>
        <w:rPr>
          <w:rFonts w:cs="Arial"/>
        </w:rPr>
      </w:pPr>
      <w:r>
        <w:rPr>
          <w:rFonts w:cs="Arial"/>
        </w:rPr>
        <w:t xml:space="preserve">1. A ANP poderá revogar, no todo ou em parte, a qualquer tempo, a presente licitação, </w:t>
      </w:r>
      <w:r>
        <w:rPr>
          <w:rFonts w:cs="Arial"/>
        </w:rPr>
        <w:t>sempre que forem verificadas razões de interesse público. Poderá, igualmente, anular o procedimento quando constatada ilegalidade no seu processamento.</w:t>
      </w:r>
    </w:p>
    <w:p w:rsidR="00000000" w:rsidRDefault="00142164">
      <w:pPr>
        <w:pStyle w:val="Corpodetexto"/>
        <w:rPr>
          <w:rFonts w:cs="Arial"/>
        </w:rPr>
      </w:pPr>
      <w:r>
        <w:rPr>
          <w:rFonts w:cs="Arial"/>
        </w:rPr>
        <w:t>2. A Comissão Especial de Licitação (CEL), composta por representantes da ANP e da sociedade, que conduz</w:t>
      </w:r>
      <w:r>
        <w:rPr>
          <w:rFonts w:cs="Arial"/>
        </w:rPr>
        <w:t xml:space="preserve"> o processo licitatório em todas as suas fases, poderá promover diligências pertinentes que considere necessárias para esclarecer ou complementar a instrução do processo licitatório.</w:t>
      </w:r>
    </w:p>
    <w:p w:rsidR="00000000" w:rsidRDefault="00142164">
      <w:pPr>
        <w:pStyle w:val="Corpodetexto"/>
        <w:rPr>
          <w:rFonts w:cs="Arial"/>
        </w:rPr>
      </w:pPr>
      <w:r>
        <w:rPr>
          <w:rFonts w:cs="Arial"/>
        </w:rPr>
        <w:t>3. A ANP se reserva o direito de, unilateralmente, revisar os cronogramas</w:t>
      </w:r>
      <w:r>
        <w:rPr>
          <w:rFonts w:cs="Arial"/>
        </w:rPr>
        <w:t>, e procedimentos relativos à Sétima Rodada de Licitações, assim como inabilitar qualquer empresa previamente Habilitada nos casos de comprovada falsidade ideológica, má conduta ou submissão de ofertas ou documentos fora das normas exigidas, não sendo, nes</w:t>
      </w:r>
      <w:r>
        <w:rPr>
          <w:rFonts w:cs="Arial"/>
        </w:rPr>
        <w:t>ta hipótese, devolvida a Taxa de Participação.</w:t>
      </w:r>
    </w:p>
    <w:p w:rsidR="00000000" w:rsidRDefault="00142164">
      <w:pPr>
        <w:pStyle w:val="Corpodetexto"/>
        <w:rPr>
          <w:rFonts w:cs="Arial"/>
        </w:rPr>
      </w:pPr>
      <w:r>
        <w:rPr>
          <w:rFonts w:cs="Arial"/>
        </w:rPr>
        <w:t>4. Assuntos não-previstos neste Edital, suas Partes A, B e anexos, relacionados à Sétima Rodada de Licitações, serão analisados pela CEL e submetidos, em grau de recurso administrativo, à apreciação da Diretor</w:t>
      </w:r>
      <w:r>
        <w:rPr>
          <w:rFonts w:cs="Arial"/>
        </w:rPr>
        <w:t>ia-Colegiada da ANP.</w:t>
      </w:r>
    </w:p>
    <w:p w:rsidR="00000000" w:rsidRDefault="00142164">
      <w:pPr>
        <w:pStyle w:val="Ttulo2"/>
        <w:spacing w:line="360" w:lineRule="auto"/>
        <w:rPr>
          <w:rFonts w:cs="Arial"/>
        </w:rPr>
      </w:pPr>
      <w:bookmarkStart w:id="76" w:name="_Toc450140276"/>
      <w:bookmarkStart w:id="77" w:name="_Toc450140783"/>
      <w:bookmarkStart w:id="78" w:name="_Toc35222067"/>
      <w:bookmarkStart w:id="79" w:name="_Toc65670703"/>
      <w:bookmarkStart w:id="80" w:name="_Toc75088733"/>
      <w:bookmarkStart w:id="81" w:name="_Toc103566375"/>
      <w:bookmarkStart w:id="82" w:name="_Toc113184767"/>
      <w:r>
        <w:rPr>
          <w:rFonts w:cs="Arial"/>
        </w:rPr>
        <w:t>Recursos Administrativos</w:t>
      </w:r>
      <w:bookmarkEnd w:id="76"/>
      <w:bookmarkEnd w:id="77"/>
      <w:bookmarkEnd w:id="78"/>
      <w:bookmarkEnd w:id="79"/>
      <w:bookmarkEnd w:id="80"/>
      <w:bookmarkEnd w:id="81"/>
      <w:bookmarkEnd w:id="82"/>
    </w:p>
    <w:p w:rsidR="00000000" w:rsidRDefault="00142164">
      <w:pPr>
        <w:pStyle w:val="Corpodetexto"/>
        <w:rPr>
          <w:rFonts w:cs="Arial"/>
        </w:rPr>
      </w:pPr>
      <w:bookmarkStart w:id="83" w:name="_Toc75088686"/>
      <w:bookmarkStart w:id="84" w:name="_Toc103566376"/>
      <w:r>
        <w:rPr>
          <w:rFonts w:cs="Arial"/>
        </w:rPr>
        <w:t>1. Dos atos da CEL, caberá recurso administrativo a ser interposto no prazo de 5 (cinco) dias úteis contados da data de intimação do ato impugnado, a ser recebido somente no efeito devolutivo.</w:t>
      </w:r>
    </w:p>
    <w:p w:rsidR="00000000" w:rsidRDefault="00142164">
      <w:pPr>
        <w:pStyle w:val="Corpodetexto"/>
        <w:rPr>
          <w:rFonts w:cs="Arial"/>
        </w:rPr>
      </w:pPr>
      <w:r>
        <w:rPr>
          <w:rFonts w:cs="Arial"/>
        </w:rPr>
        <w:t>2. O recurso do c</w:t>
      </w:r>
      <w:r>
        <w:rPr>
          <w:rFonts w:cs="Arial"/>
        </w:rPr>
        <w:t xml:space="preserve">oncorrente interessado, dirigido à CEL, será formulado por escrito e instruído com os documentos que comprovem as razões alegadas, devendo ser protocolado na ANP. </w:t>
      </w:r>
    </w:p>
    <w:p w:rsidR="00000000" w:rsidRDefault="00142164">
      <w:pPr>
        <w:pStyle w:val="Corpodetexto"/>
        <w:rPr>
          <w:rFonts w:cs="Arial"/>
        </w:rPr>
      </w:pPr>
      <w:r>
        <w:rPr>
          <w:rFonts w:cs="Arial"/>
        </w:rPr>
        <w:t>3. Sobre a interposição do recurso, a CEL dará ciência aos demais concorrentes para, caso de</w:t>
      </w:r>
      <w:r>
        <w:rPr>
          <w:rFonts w:cs="Arial"/>
        </w:rPr>
        <w:t xml:space="preserve">sejem impugná-lo, o façam no prazo de 5 (cinco) dias úteis, contados da respectiva ciência. </w:t>
      </w:r>
    </w:p>
    <w:p w:rsidR="00000000" w:rsidRDefault="00142164">
      <w:pPr>
        <w:pStyle w:val="Ttulo1"/>
        <w:numPr>
          <w:ilvl w:val="0"/>
          <w:numId w:val="0"/>
        </w:numPr>
        <w:rPr>
          <w:rFonts w:cs="Arial"/>
        </w:rPr>
      </w:pPr>
      <w:bookmarkStart w:id="85" w:name="_Toc113184768"/>
      <w:r>
        <w:rPr>
          <w:rFonts w:cs="Arial"/>
        </w:rPr>
        <w:lastRenderedPageBreak/>
        <w:t>Disposições Específicas</w:t>
      </w:r>
      <w:bookmarkEnd w:id="84"/>
      <w:bookmarkEnd w:id="85"/>
    </w:p>
    <w:p w:rsidR="00000000" w:rsidRDefault="00142164">
      <w:pPr>
        <w:pStyle w:val="Corpodetexto"/>
        <w:rPr>
          <w:rFonts w:cs="Arial"/>
        </w:rPr>
      </w:pPr>
    </w:p>
    <w:bookmarkEnd w:id="83"/>
    <w:p w:rsidR="00000000" w:rsidRDefault="00142164">
      <w:pPr>
        <w:pStyle w:val="Corpodetexto"/>
        <w:rPr>
          <w:rFonts w:cs="Arial"/>
        </w:rPr>
      </w:pPr>
    </w:p>
    <w:p w:rsidR="00000000" w:rsidRDefault="00142164">
      <w:pPr>
        <w:pStyle w:val="Corpodetexto"/>
        <w:rPr>
          <w:rFonts w:cs="Arial"/>
        </w:rPr>
      </w:pPr>
      <w:r>
        <w:rPr>
          <w:rFonts w:cs="Arial"/>
        </w:rPr>
        <w:t>A Parte A contém disposições específicas para Blocos com risco exploratório.</w:t>
      </w:r>
    </w:p>
    <w:p w:rsidR="00000000" w:rsidRDefault="00142164">
      <w:pPr>
        <w:pStyle w:val="Corpodetexto"/>
        <w:rPr>
          <w:rFonts w:cs="Arial"/>
        </w:rPr>
      </w:pPr>
    </w:p>
    <w:p w:rsidR="00142164" w:rsidRDefault="00142164">
      <w:pPr>
        <w:pStyle w:val="Corpodetexto"/>
      </w:pPr>
      <w:r>
        <w:rPr>
          <w:rFonts w:cs="Arial"/>
        </w:rPr>
        <w:t>A Parte B contém disposições específicas para os Blocos con</w:t>
      </w:r>
      <w:r>
        <w:rPr>
          <w:rFonts w:cs="Arial"/>
        </w:rPr>
        <w:t>tendo Área inativas com acumulações marginais.</w:t>
      </w:r>
    </w:p>
    <w:sectPr w:rsidR="00142164">
      <w:pgSz w:w="11907" w:h="16840" w:code="9"/>
      <w:pgMar w:top="1418"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164" w:rsidRDefault="00142164">
      <w:r>
        <w:separator/>
      </w:r>
    </w:p>
  </w:endnote>
  <w:endnote w:type="continuationSeparator" w:id="1">
    <w:p w:rsidR="00142164" w:rsidRDefault="0014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1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4216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1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69EA">
      <w:rPr>
        <w:rStyle w:val="Nmerodepgina"/>
        <w:noProof/>
      </w:rPr>
      <w:t>18</w:t>
    </w:r>
    <w:r>
      <w:rPr>
        <w:rStyle w:val="Nmerodepgina"/>
      </w:rPr>
      <w:fldChar w:fldCharType="end"/>
    </w:r>
  </w:p>
  <w:p w:rsidR="00000000" w:rsidRDefault="0014216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164" w:rsidRDefault="00142164">
      <w:r>
        <w:separator/>
      </w:r>
    </w:p>
  </w:footnote>
  <w:footnote w:type="continuationSeparator" w:id="1">
    <w:p w:rsidR="00142164" w:rsidRDefault="00142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164">
    <w:pPr>
      <w:pStyle w:val="Cabealho"/>
      <w:jc w:val="right"/>
      <w:rPr>
        <w:sz w:val="16"/>
      </w:rPr>
    </w:pPr>
    <w:r>
      <w:rPr>
        <w:sz w:val="16"/>
      </w:rPr>
      <w:t>EDITAL – DISPOSIÇÕES GERAIS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EA8B1C"/>
    <w:lvl w:ilvl="0">
      <w:start w:val="1"/>
      <w:numFmt w:val="decimal"/>
      <w:pStyle w:val="Numerada5"/>
      <w:lvlText w:val="%1."/>
      <w:lvlJc w:val="left"/>
      <w:pPr>
        <w:tabs>
          <w:tab w:val="num" w:pos="1492"/>
        </w:tabs>
        <w:ind w:left="1492" w:hanging="360"/>
      </w:pPr>
    </w:lvl>
  </w:abstractNum>
  <w:abstractNum w:abstractNumId="1">
    <w:nsid w:val="FFFFFF7D"/>
    <w:multiLevelType w:val="singleLevel"/>
    <w:tmpl w:val="31BC5658"/>
    <w:lvl w:ilvl="0">
      <w:start w:val="1"/>
      <w:numFmt w:val="decimal"/>
      <w:pStyle w:val="Numerada4"/>
      <w:lvlText w:val="%1."/>
      <w:lvlJc w:val="left"/>
      <w:pPr>
        <w:tabs>
          <w:tab w:val="num" w:pos="1209"/>
        </w:tabs>
        <w:ind w:left="1209" w:hanging="360"/>
      </w:pPr>
    </w:lvl>
  </w:abstractNum>
  <w:abstractNum w:abstractNumId="2">
    <w:nsid w:val="FFFFFF7E"/>
    <w:multiLevelType w:val="singleLevel"/>
    <w:tmpl w:val="83B89DC4"/>
    <w:lvl w:ilvl="0">
      <w:start w:val="1"/>
      <w:numFmt w:val="decimal"/>
      <w:pStyle w:val="Numerada3"/>
      <w:lvlText w:val="%1."/>
      <w:lvlJc w:val="left"/>
      <w:pPr>
        <w:tabs>
          <w:tab w:val="num" w:pos="926"/>
        </w:tabs>
        <w:ind w:left="926" w:hanging="360"/>
      </w:pPr>
    </w:lvl>
  </w:abstractNum>
  <w:abstractNum w:abstractNumId="3">
    <w:nsid w:val="FFFFFF7F"/>
    <w:multiLevelType w:val="singleLevel"/>
    <w:tmpl w:val="55D08EE6"/>
    <w:lvl w:ilvl="0">
      <w:start w:val="1"/>
      <w:numFmt w:val="decimal"/>
      <w:pStyle w:val="Numerada2"/>
      <w:lvlText w:val="%1."/>
      <w:lvlJc w:val="left"/>
      <w:pPr>
        <w:tabs>
          <w:tab w:val="num" w:pos="643"/>
        </w:tabs>
        <w:ind w:left="643" w:hanging="360"/>
      </w:pPr>
    </w:lvl>
  </w:abstractNum>
  <w:abstractNum w:abstractNumId="4">
    <w:nsid w:val="FFFFFF88"/>
    <w:multiLevelType w:val="singleLevel"/>
    <w:tmpl w:val="F184DDBE"/>
    <w:lvl w:ilvl="0">
      <w:start w:val="1"/>
      <w:numFmt w:val="decimal"/>
      <w:pStyle w:val="Numerada"/>
      <w:lvlText w:val="%1."/>
      <w:lvlJc w:val="left"/>
      <w:pPr>
        <w:tabs>
          <w:tab w:val="num" w:pos="360"/>
        </w:tabs>
        <w:ind w:left="360" w:hanging="360"/>
      </w:pPr>
    </w:lvl>
  </w:abstractNum>
  <w:abstractNum w:abstractNumId="5">
    <w:nsid w:val="16D52785"/>
    <w:multiLevelType w:val="multilevel"/>
    <w:tmpl w:val="2C4A99A0"/>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C192CB8"/>
    <w:multiLevelType w:val="singleLevel"/>
    <w:tmpl w:val="195AFAA8"/>
    <w:lvl w:ilvl="0">
      <w:start w:val="1"/>
      <w:numFmt w:val="bullet"/>
      <w:lvlText w:val=""/>
      <w:lvlJc w:val="left"/>
      <w:pPr>
        <w:tabs>
          <w:tab w:val="num" w:pos="360"/>
        </w:tabs>
        <w:ind w:left="360" w:hanging="360"/>
      </w:pPr>
      <w:rPr>
        <w:rFonts w:ascii="Symbol" w:hAnsi="Symbol" w:hint="default"/>
      </w:rPr>
    </w:lvl>
  </w:abstractNum>
  <w:abstractNum w:abstractNumId="7">
    <w:nsid w:val="1F3025E5"/>
    <w:multiLevelType w:val="hybridMultilevel"/>
    <w:tmpl w:val="52C4C3C4"/>
    <w:lvl w:ilvl="0" w:tplc="C1A2D978">
      <w:start w:val="1"/>
      <w:numFmt w:val="decimal"/>
      <w:lvlText w:val="%1."/>
      <w:lvlJc w:val="left"/>
      <w:pPr>
        <w:tabs>
          <w:tab w:val="num" w:pos="1789"/>
        </w:tabs>
        <w:ind w:left="1789" w:hanging="360"/>
      </w:pPr>
      <w:rPr>
        <w:rFonts w:hint="default"/>
      </w:rPr>
    </w:lvl>
    <w:lvl w:ilvl="1" w:tplc="04160019" w:tentative="1">
      <w:start w:val="1"/>
      <w:numFmt w:val="lowerLetter"/>
      <w:lvlText w:val="%2."/>
      <w:lvlJc w:val="left"/>
      <w:pPr>
        <w:tabs>
          <w:tab w:val="num" w:pos="2509"/>
        </w:tabs>
        <w:ind w:left="2509" w:hanging="360"/>
      </w:pPr>
    </w:lvl>
    <w:lvl w:ilvl="2" w:tplc="0416001B" w:tentative="1">
      <w:start w:val="1"/>
      <w:numFmt w:val="lowerRoman"/>
      <w:lvlText w:val="%3."/>
      <w:lvlJc w:val="right"/>
      <w:pPr>
        <w:tabs>
          <w:tab w:val="num" w:pos="3229"/>
        </w:tabs>
        <w:ind w:left="3229" w:hanging="180"/>
      </w:pPr>
    </w:lvl>
    <w:lvl w:ilvl="3" w:tplc="0416000F" w:tentative="1">
      <w:start w:val="1"/>
      <w:numFmt w:val="decimal"/>
      <w:lvlText w:val="%4."/>
      <w:lvlJc w:val="left"/>
      <w:pPr>
        <w:tabs>
          <w:tab w:val="num" w:pos="3949"/>
        </w:tabs>
        <w:ind w:left="3949" w:hanging="360"/>
      </w:pPr>
    </w:lvl>
    <w:lvl w:ilvl="4" w:tplc="04160019" w:tentative="1">
      <w:start w:val="1"/>
      <w:numFmt w:val="lowerLetter"/>
      <w:lvlText w:val="%5."/>
      <w:lvlJc w:val="left"/>
      <w:pPr>
        <w:tabs>
          <w:tab w:val="num" w:pos="4669"/>
        </w:tabs>
        <w:ind w:left="4669" w:hanging="360"/>
      </w:pPr>
    </w:lvl>
    <w:lvl w:ilvl="5" w:tplc="0416001B" w:tentative="1">
      <w:start w:val="1"/>
      <w:numFmt w:val="lowerRoman"/>
      <w:lvlText w:val="%6."/>
      <w:lvlJc w:val="right"/>
      <w:pPr>
        <w:tabs>
          <w:tab w:val="num" w:pos="5389"/>
        </w:tabs>
        <w:ind w:left="5389" w:hanging="180"/>
      </w:pPr>
    </w:lvl>
    <w:lvl w:ilvl="6" w:tplc="0416000F" w:tentative="1">
      <w:start w:val="1"/>
      <w:numFmt w:val="decimal"/>
      <w:lvlText w:val="%7."/>
      <w:lvlJc w:val="left"/>
      <w:pPr>
        <w:tabs>
          <w:tab w:val="num" w:pos="6109"/>
        </w:tabs>
        <w:ind w:left="6109" w:hanging="360"/>
      </w:pPr>
    </w:lvl>
    <w:lvl w:ilvl="7" w:tplc="04160019" w:tentative="1">
      <w:start w:val="1"/>
      <w:numFmt w:val="lowerLetter"/>
      <w:lvlText w:val="%8."/>
      <w:lvlJc w:val="left"/>
      <w:pPr>
        <w:tabs>
          <w:tab w:val="num" w:pos="6829"/>
        </w:tabs>
        <w:ind w:left="6829" w:hanging="360"/>
      </w:pPr>
    </w:lvl>
    <w:lvl w:ilvl="8" w:tplc="0416001B" w:tentative="1">
      <w:start w:val="1"/>
      <w:numFmt w:val="lowerRoman"/>
      <w:lvlText w:val="%9."/>
      <w:lvlJc w:val="right"/>
      <w:pPr>
        <w:tabs>
          <w:tab w:val="num" w:pos="7549"/>
        </w:tabs>
        <w:ind w:left="7549" w:hanging="180"/>
      </w:pPr>
    </w:lvl>
  </w:abstractNum>
  <w:abstractNum w:abstractNumId="8">
    <w:nsid w:val="215204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29515445"/>
    <w:multiLevelType w:val="multilevel"/>
    <w:tmpl w:val="DF58B840"/>
    <w:lvl w:ilvl="0">
      <w:start w:val="4"/>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rPr>
    </w:lvl>
    <w:lvl w:ilvl="2">
      <w:start w:val="1"/>
      <w:numFmt w:val="decimal"/>
      <w:pStyle w:val="Ttulo3"/>
      <w:isLgl/>
      <w:lvlText w:val="%1.7.%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9110A8B"/>
    <w:multiLevelType w:val="multilevel"/>
    <w:tmpl w:val="33B620B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pStyle w:val="Ttulo4"/>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1">
    <w:nsid w:val="40826C1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4E4272D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52D278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5E5358D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75EA5640"/>
    <w:multiLevelType w:val="hybridMultilevel"/>
    <w:tmpl w:val="36FCF1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13"/>
  </w:num>
  <w:num w:numId="8">
    <w:abstractNumId w:val="12"/>
  </w:num>
  <w:num w:numId="9">
    <w:abstractNumId w:val="8"/>
  </w:num>
  <w:num w:numId="10">
    <w:abstractNumId w:val="6"/>
  </w:num>
  <w:num w:numId="11">
    <w:abstractNumId w:val="11"/>
  </w:num>
  <w:num w:numId="12">
    <w:abstractNumId w:val="9"/>
  </w:num>
  <w:num w:numId="13">
    <w:abstractNumId w:val="5"/>
  </w:num>
  <w:num w:numId="14">
    <w:abstractNumId w:val="7"/>
  </w:num>
  <w:num w:numId="15">
    <w:abstractNumId w:val="10"/>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F869EA"/>
    <w:rsid w:val="00142164"/>
    <w:rsid w:val="00F869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pageBreakBefore/>
      <w:numPr>
        <w:numId w:val="15"/>
      </w:numPr>
      <w:shd w:val="pct20" w:color="FFFF00" w:fill="auto"/>
      <w:spacing w:before="360" w:line="360" w:lineRule="auto"/>
      <w:jc w:val="center"/>
      <w:outlineLvl w:val="0"/>
    </w:pPr>
    <w:rPr>
      <w:rFonts w:ascii="Arial" w:hAnsi="Arial"/>
      <w:b/>
      <w:kern w:val="28"/>
      <w:szCs w:val="20"/>
    </w:rPr>
  </w:style>
  <w:style w:type="paragraph" w:styleId="Ttulo2">
    <w:name w:val="heading 2"/>
    <w:basedOn w:val="Normal"/>
    <w:next w:val="Normal"/>
    <w:qFormat/>
    <w:pPr>
      <w:keepNext/>
      <w:numPr>
        <w:ilvl w:val="1"/>
        <w:numId w:val="15"/>
      </w:numPr>
      <w:spacing w:before="360" w:after="60"/>
      <w:outlineLvl w:val="1"/>
    </w:pPr>
    <w:rPr>
      <w:rFonts w:ascii="Arial" w:hAnsi="Arial"/>
      <w:b/>
      <w:szCs w:val="20"/>
    </w:rPr>
  </w:style>
  <w:style w:type="paragraph" w:styleId="Ttulo3">
    <w:name w:val="heading 3"/>
    <w:basedOn w:val="Normal"/>
    <w:next w:val="Normal"/>
    <w:qFormat/>
    <w:pPr>
      <w:keepNext/>
      <w:numPr>
        <w:ilvl w:val="2"/>
        <w:numId w:val="12"/>
      </w:numPr>
      <w:spacing w:before="120" w:after="120"/>
      <w:outlineLvl w:val="2"/>
    </w:pPr>
    <w:rPr>
      <w:rFonts w:ascii="Arial" w:hAnsi="Arial"/>
      <w:b/>
      <w:sz w:val="20"/>
      <w:szCs w:val="20"/>
    </w:rPr>
  </w:style>
  <w:style w:type="paragraph" w:styleId="Ttulo4">
    <w:name w:val="heading 4"/>
    <w:basedOn w:val="Normal"/>
    <w:next w:val="Normal"/>
    <w:qFormat/>
    <w:pPr>
      <w:keepNext/>
      <w:numPr>
        <w:ilvl w:val="3"/>
        <w:numId w:val="15"/>
      </w:numPr>
      <w:spacing w:line="360" w:lineRule="auto"/>
      <w:outlineLvl w:val="3"/>
    </w:pPr>
    <w:rPr>
      <w:b/>
      <w:szCs w:val="20"/>
    </w:rPr>
  </w:style>
  <w:style w:type="paragraph" w:styleId="Ttulo5">
    <w:name w:val="heading 5"/>
    <w:basedOn w:val="Normal"/>
    <w:next w:val="Normal"/>
    <w:qFormat/>
    <w:pPr>
      <w:keepNext/>
      <w:numPr>
        <w:ilvl w:val="4"/>
        <w:numId w:val="15"/>
      </w:numPr>
      <w:spacing w:line="360" w:lineRule="auto"/>
      <w:outlineLvl w:val="4"/>
    </w:pPr>
    <w:rPr>
      <w:szCs w:val="20"/>
    </w:rPr>
  </w:style>
  <w:style w:type="paragraph" w:styleId="Ttulo6">
    <w:name w:val="heading 6"/>
    <w:basedOn w:val="Normal"/>
    <w:next w:val="Normal"/>
    <w:qFormat/>
    <w:pPr>
      <w:keepNext/>
      <w:numPr>
        <w:ilvl w:val="5"/>
        <w:numId w:val="15"/>
      </w:numPr>
      <w:spacing w:line="360" w:lineRule="auto"/>
      <w:jc w:val="both"/>
      <w:outlineLvl w:val="5"/>
    </w:pPr>
    <w:rPr>
      <w:b/>
      <w:sz w:val="20"/>
      <w:szCs w:val="20"/>
    </w:rPr>
  </w:style>
  <w:style w:type="paragraph" w:styleId="Ttulo7">
    <w:name w:val="heading 7"/>
    <w:basedOn w:val="Normal"/>
    <w:next w:val="Normal"/>
    <w:qFormat/>
    <w:pPr>
      <w:keepNext/>
      <w:numPr>
        <w:ilvl w:val="6"/>
        <w:numId w:val="15"/>
      </w:numPr>
      <w:outlineLvl w:val="6"/>
    </w:pPr>
    <w:rPr>
      <w:b/>
      <w:sz w:val="20"/>
      <w:szCs w:val="20"/>
    </w:rPr>
  </w:style>
  <w:style w:type="paragraph" w:styleId="Ttulo8">
    <w:name w:val="heading 8"/>
    <w:basedOn w:val="Normal"/>
    <w:next w:val="Normal"/>
    <w:qFormat/>
    <w:pPr>
      <w:keepNext/>
      <w:numPr>
        <w:ilvl w:val="7"/>
        <w:numId w:val="15"/>
      </w:numPr>
      <w:spacing w:before="60"/>
      <w:jc w:val="center"/>
      <w:outlineLvl w:val="7"/>
    </w:pPr>
    <w:rPr>
      <w:rFonts w:ascii="Arial" w:hAnsi="Arial"/>
      <w:b/>
      <w:color w:val="000000"/>
      <w:sz w:val="12"/>
      <w:szCs w:val="20"/>
    </w:rPr>
  </w:style>
  <w:style w:type="paragraph" w:styleId="Ttulo9">
    <w:name w:val="heading 9"/>
    <w:basedOn w:val="Normal"/>
    <w:next w:val="Normal"/>
    <w:qFormat/>
    <w:pPr>
      <w:keepNext/>
      <w:numPr>
        <w:ilvl w:val="8"/>
        <w:numId w:val="15"/>
      </w:numPr>
      <w:spacing w:line="360" w:lineRule="auto"/>
      <w:jc w:val="center"/>
      <w:outlineLvl w:val="8"/>
    </w:pPr>
    <w:rPr>
      <w:rFonts w:ascii="Arial" w:hAnsi="Arial"/>
      <w:b/>
      <w:i/>
      <w:color w:val="FFFF00"/>
      <w:sz w:val="22"/>
      <w:szCs w:val="20"/>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spacing w:line="288" w:lineRule="auto"/>
      <w:ind w:firstLine="709"/>
      <w:jc w:val="both"/>
    </w:pPr>
    <w:rPr>
      <w:rFonts w:ascii="Arial" w:hAnsi="Arial"/>
      <w:sz w:val="22"/>
      <w:szCs w:val="20"/>
    </w:rPr>
  </w:style>
  <w:style w:type="paragraph" w:customStyle="1" w:styleId="Centeredheading">
    <w:name w:val="Centered heading"/>
    <w:basedOn w:val="Normal"/>
    <w:next w:val="Normal"/>
    <w:pPr>
      <w:keepNext/>
      <w:spacing w:after="240"/>
      <w:jc w:val="center"/>
    </w:pPr>
    <w:rPr>
      <w:b/>
      <w:szCs w:val="20"/>
      <w:lang w:val="en-US"/>
    </w:rPr>
  </w:style>
  <w:style w:type="paragraph" w:customStyle="1" w:styleId="ttulo10">
    <w:name w:val="título10"/>
    <w:basedOn w:val="Ttulo"/>
    <w:rPr>
      <w:kern w:val="28"/>
    </w:rPr>
  </w:style>
  <w:style w:type="paragraph" w:styleId="Ttulo">
    <w:name w:val="Title"/>
    <w:basedOn w:val="Normal"/>
    <w:qFormat/>
    <w:pPr>
      <w:tabs>
        <w:tab w:val="left" w:pos="720"/>
        <w:tab w:val="left" w:pos="1440"/>
        <w:tab w:val="left" w:pos="2160"/>
        <w:tab w:val="left" w:pos="2880"/>
        <w:tab w:val="right" w:pos="8640"/>
      </w:tabs>
      <w:jc w:val="center"/>
    </w:pPr>
    <w:rPr>
      <w:rFonts w:ascii="Arial" w:hAnsi="Arial"/>
      <w:b/>
      <w:szCs w:val="20"/>
    </w:rPr>
  </w:style>
  <w:style w:type="paragraph" w:customStyle="1" w:styleId="TtulodeClusula">
    <w:name w:val="Título de Cláusula"/>
    <w:basedOn w:val="ClauseText"/>
    <w:pPr>
      <w:spacing w:before="360" w:after="120" w:line="360" w:lineRule="auto"/>
      <w:ind w:left="0" w:firstLine="0"/>
      <w:jc w:val="left"/>
    </w:pPr>
    <w:rPr>
      <w:rFonts w:ascii="Arial Black" w:hAnsi="Arial Black"/>
      <w:spacing w:val="-20"/>
      <w:lang w:val="pt-BR"/>
    </w:rPr>
  </w:style>
  <w:style w:type="paragraph" w:customStyle="1" w:styleId="ClauseText">
    <w:name w:val="Clause Text"/>
    <w:basedOn w:val="Normal"/>
    <w:pPr>
      <w:widowControl w:val="0"/>
      <w:spacing w:after="200"/>
      <w:ind w:left="720" w:hanging="720"/>
      <w:jc w:val="both"/>
    </w:pPr>
    <w:rPr>
      <w:rFonts w:ascii="Palatino" w:hAnsi="Palatino"/>
      <w:szCs w:val="20"/>
      <w:lang w:val="en-US"/>
    </w:rPr>
  </w:style>
  <w:style w:type="paragraph" w:customStyle="1" w:styleId="TextoSolto">
    <w:name w:val="Texto Solto"/>
    <w:basedOn w:val="ClauseText"/>
    <w:pPr>
      <w:spacing w:before="200"/>
      <w:ind w:left="0" w:firstLine="0"/>
    </w:pPr>
  </w:style>
  <w:style w:type="paragraph" w:customStyle="1" w:styleId="TtulodeCaptulo">
    <w:name w:val="Título de Capítulo"/>
    <w:basedOn w:val="TextoSolto"/>
    <w:pPr>
      <w:spacing w:before="400"/>
      <w:jc w:val="center"/>
    </w:pPr>
    <w:rPr>
      <w:rFonts w:ascii="Arial Black" w:hAnsi="Arial Black"/>
    </w:rPr>
  </w:style>
  <w:style w:type="paragraph" w:customStyle="1" w:styleId="ClauseHeading">
    <w:name w:val="Clause Heading"/>
    <w:basedOn w:val="Normal"/>
    <w:pPr>
      <w:widowControl w:val="0"/>
      <w:tabs>
        <w:tab w:val="left" w:pos="5220"/>
      </w:tabs>
      <w:spacing w:before="240"/>
      <w:ind w:left="720"/>
    </w:pPr>
    <w:rPr>
      <w:rFonts w:ascii="Arial Narrow" w:hAnsi="Arial Narrow"/>
      <w:b/>
      <w:sz w:val="20"/>
      <w:szCs w:val="20"/>
      <w:lang w:val="en-US"/>
    </w:rPr>
  </w:style>
  <w:style w:type="paragraph" w:customStyle="1" w:styleId="SubclauseText">
    <w:name w:val="Subclause Text"/>
    <w:basedOn w:val="ClauseText"/>
    <w:pPr>
      <w:ind w:left="1620" w:hanging="900"/>
    </w:pPr>
  </w:style>
  <w:style w:type="paragraph" w:customStyle="1" w:styleId="LetterIteminClause">
    <w:name w:val="Letter Item in Clause"/>
    <w:basedOn w:val="ClauseText"/>
    <w:pPr>
      <w:spacing w:after="120"/>
      <w:ind w:left="1267" w:hanging="547"/>
    </w:pPr>
  </w:style>
  <w:style w:type="paragraph" w:customStyle="1" w:styleId="BodyText2">
    <w:name w:val="Body Text 2"/>
    <w:basedOn w:val="Normal"/>
    <w:pPr>
      <w:widowControl w:val="0"/>
      <w:ind w:left="709" w:hanging="709"/>
      <w:jc w:val="both"/>
    </w:pPr>
    <w:rPr>
      <w:sz w:val="20"/>
      <w:szCs w:val="20"/>
      <w:lang w:val="en-US"/>
    </w:rPr>
  </w:style>
  <w:style w:type="paragraph" w:customStyle="1" w:styleId="LetterIteminSubClause">
    <w:name w:val="Letter Item in SubClause"/>
    <w:basedOn w:val="SubclauseText"/>
    <w:pPr>
      <w:spacing w:after="120"/>
      <w:ind w:left="1987" w:hanging="360"/>
    </w:pPr>
  </w:style>
  <w:style w:type="paragraph" w:customStyle="1" w:styleId="Style1">
    <w:name w:val="Style1"/>
    <w:basedOn w:val="Normal"/>
    <w:pPr>
      <w:ind w:left="1440" w:hanging="720"/>
    </w:pPr>
    <w:rPr>
      <w:szCs w:val="20"/>
      <w:vertAlign w:val="superscript"/>
      <w:lang w:val="en-US"/>
    </w:rPr>
  </w:style>
  <w:style w:type="paragraph" w:customStyle="1" w:styleId="SingleSpace">
    <w:name w:val="Single Space"/>
    <w:basedOn w:val="Normal"/>
    <w:pPr>
      <w:spacing w:after="240"/>
      <w:ind w:firstLine="1440"/>
    </w:pPr>
    <w:rPr>
      <w:szCs w:val="20"/>
      <w:lang w:val="en-US"/>
    </w:rPr>
  </w:style>
  <w:style w:type="paragraph" w:customStyle="1" w:styleId="BodyText4">
    <w:name w:val="Body Text 4"/>
    <w:basedOn w:val="Recuodecorpodetexto"/>
    <w:pPr>
      <w:spacing w:after="120" w:line="240" w:lineRule="auto"/>
      <w:ind w:left="360" w:firstLine="0"/>
      <w:jc w:val="left"/>
    </w:pPr>
    <w:rPr>
      <w:rFonts w:ascii="Times New Roman" w:hAnsi="Times New Roman"/>
      <w:sz w:val="24"/>
      <w:lang w:val="en-US"/>
    </w:rPr>
  </w:style>
  <w:style w:type="paragraph" w:styleId="Recuodecorpodetexto">
    <w:name w:val="Body Text Indent"/>
    <w:basedOn w:val="Normal"/>
    <w:semiHidden/>
    <w:pPr>
      <w:spacing w:line="360" w:lineRule="auto"/>
      <w:ind w:firstLine="720"/>
      <w:jc w:val="both"/>
    </w:pPr>
    <w:rPr>
      <w:rFonts w:ascii="Arial" w:hAnsi="Arial"/>
      <w:sz w:val="22"/>
      <w:szCs w:val="20"/>
    </w:rPr>
  </w:style>
  <w:style w:type="paragraph" w:customStyle="1" w:styleId="DoubleSpace">
    <w:name w:val="Double Space"/>
    <w:basedOn w:val="Normal"/>
    <w:pPr>
      <w:spacing w:line="480" w:lineRule="auto"/>
      <w:ind w:firstLine="1440"/>
    </w:pPr>
    <w:rPr>
      <w:szCs w:val="20"/>
      <w:lang w:val="en-US"/>
    </w:rPr>
  </w:style>
  <w:style w:type="paragraph" w:customStyle="1" w:styleId="A">
    <w:name w:val="(A)"/>
    <w:basedOn w:val="Normal"/>
    <w:pPr>
      <w:spacing w:after="240"/>
      <w:ind w:left="720"/>
    </w:pPr>
    <w:rPr>
      <w:szCs w:val="20"/>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Ttuloanexos">
    <w:name w:val="Título anexos"/>
    <w:basedOn w:val="Ttulo2"/>
    <w:pPr>
      <w:numPr>
        <w:ilvl w:val="0"/>
        <w:numId w:val="0"/>
      </w:numPr>
    </w:pPr>
  </w:style>
  <w:style w:type="paragraph" w:customStyle="1" w:styleId="Ttulocoordenadas">
    <w:name w:val="Título coordenadas"/>
    <w:basedOn w:val="Ttulo2"/>
    <w:pPr>
      <w:numPr>
        <w:ilvl w:val="0"/>
        <w:numId w:val="0"/>
      </w:numPr>
    </w:pPr>
    <w:rPr>
      <w:sz w:val="20"/>
    </w:rPr>
  </w:style>
  <w:style w:type="paragraph" w:customStyle="1" w:styleId="Analtico2Anexo">
    <w:name w:val="Analítico 2Anexo"/>
    <w:basedOn w:val="Sumrio2"/>
    <w:pPr>
      <w:tabs>
        <w:tab w:val="left" w:pos="1560"/>
        <w:tab w:val="right" w:leader="dot" w:pos="9380"/>
      </w:tabs>
      <w:ind w:left="1560" w:hanging="1362"/>
    </w:pPr>
    <w:rPr>
      <w:noProof/>
    </w:rPr>
  </w:style>
  <w:style w:type="paragraph" w:styleId="Sumrio2">
    <w:name w:val="toc 2"/>
    <w:basedOn w:val="Normal"/>
    <w:next w:val="Normal"/>
    <w:autoRedefine/>
    <w:semiHidden/>
    <w:pPr>
      <w:ind w:left="200"/>
    </w:pPr>
    <w:rPr>
      <w:smallCaps/>
      <w:sz w:val="22"/>
      <w:szCs w:val="20"/>
    </w:rPr>
  </w:style>
  <w:style w:type="paragraph" w:customStyle="1" w:styleId="textosecao">
    <w:name w:val="textosecao"/>
    <w:basedOn w:val="Normal"/>
    <w:pPr>
      <w:spacing w:before="100" w:beforeAutospacing="1" w:after="100" w:afterAutospacing="1" w:line="360" w:lineRule="atLeast"/>
    </w:pPr>
    <w:rPr>
      <w:rFonts w:ascii="Verdana" w:eastAsia="Arial Unicode MS" w:hAnsi="Verdana" w:cs="Arial Unicode MS"/>
      <w:color w:val="000000"/>
      <w:sz w:val="14"/>
      <w:szCs w:val="14"/>
    </w:rPr>
  </w:style>
  <w:style w:type="character" w:customStyle="1" w:styleId="textosecao1">
    <w:name w:val="textosecao1"/>
    <w:basedOn w:val="Fontepargpadro"/>
    <w:rPr>
      <w:rFonts w:ascii="Verdana" w:hAnsi="Verdana" w:hint="default"/>
      <w:strike w:val="0"/>
      <w:dstrike w:val="0"/>
      <w:color w:val="000000"/>
      <w:spacing w:val="360"/>
      <w:sz w:val="14"/>
      <w:szCs w:val="14"/>
      <w:u w:val="none"/>
      <w:effect w:val="none"/>
    </w:rPr>
  </w:style>
  <w:style w:type="paragraph" w:customStyle="1" w:styleId="SubclauseTextAlfa">
    <w:name w:val="Subclause TextAlfa"/>
    <w:basedOn w:val="SubclauseText"/>
    <w:autoRedefine/>
    <w:pPr>
      <w:widowControl/>
      <w:numPr>
        <w:ilvl w:val="3"/>
        <w:numId w:val="14"/>
      </w:numPr>
      <w:tabs>
        <w:tab w:val="left" w:pos="1620"/>
      </w:tabs>
      <w:spacing w:before="120" w:after="0"/>
    </w:pPr>
    <w:rPr>
      <w:rFonts w:ascii="Gill Sans" w:hAnsi="Gill Sans"/>
      <w:lang w:val="pt-BR"/>
    </w:rPr>
  </w:style>
  <w:style w:type="paragraph" w:customStyle="1" w:styleId="SubclauseTextRoman">
    <w:name w:val="Subclause Text Roman"/>
    <w:basedOn w:val="SubclauseText"/>
    <w:pPr>
      <w:widowControl/>
      <w:numPr>
        <w:numId w:val="13"/>
      </w:numPr>
      <w:tabs>
        <w:tab w:val="left" w:pos="1620"/>
      </w:tabs>
      <w:spacing w:before="120" w:after="0"/>
    </w:pPr>
    <w:rPr>
      <w:rFonts w:ascii="Gill Sans" w:hAnsi="Gill Sans"/>
      <w:lang w:val="pt-BR"/>
    </w:rPr>
  </w:style>
  <w:style w:type="paragraph" w:customStyle="1" w:styleId="endereo">
    <w:name w:val="endereço"/>
    <w:basedOn w:val="SubclauseTextAlfa"/>
    <w:pPr>
      <w:numPr>
        <w:ilvl w:val="0"/>
        <w:numId w:val="0"/>
      </w:numPr>
      <w:ind w:left="709"/>
    </w:pPr>
    <w:rPr>
      <w:b/>
    </w:rPr>
  </w:style>
  <w:style w:type="paragraph" w:styleId="Numerada">
    <w:name w:val="List Number"/>
    <w:basedOn w:val="Normal"/>
    <w:semiHidden/>
    <w:pPr>
      <w:numPr>
        <w:numId w:val="1"/>
      </w:numPr>
    </w:pPr>
    <w:rPr>
      <w:sz w:val="20"/>
      <w:szCs w:val="20"/>
    </w:rPr>
  </w:style>
  <w:style w:type="paragraph" w:styleId="Numerada2">
    <w:name w:val="List Number 2"/>
    <w:basedOn w:val="Normal"/>
    <w:semiHidden/>
    <w:pPr>
      <w:numPr>
        <w:numId w:val="2"/>
      </w:numPr>
    </w:pPr>
    <w:rPr>
      <w:sz w:val="20"/>
      <w:szCs w:val="20"/>
    </w:rPr>
  </w:style>
  <w:style w:type="paragraph" w:styleId="Numerada3">
    <w:name w:val="List Number 3"/>
    <w:basedOn w:val="Normal"/>
    <w:semiHidden/>
    <w:pPr>
      <w:numPr>
        <w:numId w:val="3"/>
      </w:numPr>
    </w:pPr>
    <w:rPr>
      <w:sz w:val="20"/>
      <w:szCs w:val="20"/>
    </w:rPr>
  </w:style>
  <w:style w:type="paragraph" w:styleId="Numerada4">
    <w:name w:val="List Number 4"/>
    <w:basedOn w:val="Normal"/>
    <w:semiHidden/>
    <w:pPr>
      <w:numPr>
        <w:numId w:val="4"/>
      </w:numPr>
    </w:pPr>
    <w:rPr>
      <w:sz w:val="20"/>
      <w:szCs w:val="20"/>
    </w:rPr>
  </w:style>
  <w:style w:type="paragraph" w:styleId="Numerada5">
    <w:name w:val="List Number 5"/>
    <w:basedOn w:val="Normal"/>
    <w:semiHidden/>
    <w:pPr>
      <w:numPr>
        <w:numId w:val="5"/>
      </w:numPr>
    </w:pPr>
    <w:rPr>
      <w:sz w:val="20"/>
      <w:szCs w:val="20"/>
    </w:rPr>
  </w:style>
  <w:style w:type="paragraph" w:customStyle="1" w:styleId="Sub-ttulodeclusula">
    <w:name w:val="Sub-título de cláusula"/>
    <w:basedOn w:val="Ttulo"/>
    <w:next w:val="ClauseText"/>
    <w:autoRedefine/>
    <w:pPr>
      <w:keepNext/>
      <w:widowControl w:val="0"/>
      <w:spacing w:before="240" w:after="120" w:line="840" w:lineRule="exact"/>
      <w:jc w:val="left"/>
    </w:pPr>
    <w:rPr>
      <w:rFonts w:ascii="Gill Sans" w:hAnsi="Gill Sans"/>
      <w:sz w:val="22"/>
    </w:rPr>
  </w:style>
  <w:style w:type="paragraph" w:customStyle="1" w:styleId="tabela">
    <w:name w:val="tabela"/>
    <w:basedOn w:val="TextoSolto"/>
    <w:pPr>
      <w:widowControl/>
    </w:pPr>
    <w:rPr>
      <w:rFonts w:ascii="Gill Sans" w:hAnsi="Gill Sans"/>
      <w:lang w:val="pt-BR"/>
    </w:rPr>
  </w:style>
  <w:style w:type="paragraph" w:customStyle="1" w:styleId="TextoSoltoFim">
    <w:name w:val="Texto SoltoFim"/>
    <w:basedOn w:val="TextoSolto"/>
    <w:pPr>
      <w:widowControl/>
    </w:pPr>
    <w:rPr>
      <w:rFonts w:ascii="Gill Sans" w:hAnsi="Gill Sans"/>
      <w:lang w:val="pt-BR"/>
    </w:rPr>
  </w:style>
  <w:style w:type="paragraph" w:customStyle="1" w:styleId="Anexo">
    <w:name w:val="Anexo"/>
    <w:basedOn w:val="Ttulo3"/>
    <w:autoRedefine/>
    <w:pPr>
      <w:pageBreakBefore/>
      <w:widowControl w:val="0"/>
      <w:numPr>
        <w:ilvl w:val="0"/>
        <w:numId w:val="0"/>
      </w:numPr>
      <w:spacing w:before="360" w:after="360"/>
      <w:jc w:val="center"/>
    </w:pPr>
    <w:rPr>
      <w:rFonts w:ascii="Gill Sans" w:hAnsi="Gill Sans"/>
      <w:caps/>
      <w:sz w:val="24"/>
    </w:rPr>
  </w:style>
  <w:style w:type="paragraph" w:customStyle="1" w:styleId="DescrioAnexo">
    <w:name w:val="DescriçãoAnexo"/>
    <w:basedOn w:val="Anexo"/>
    <w:autoRedefine/>
    <w:pPr>
      <w:pageBreakBefore w:val="0"/>
      <w:spacing w:before="0"/>
    </w:pPr>
    <w:rPr>
      <w:caps w:val="0"/>
    </w:rPr>
  </w:style>
  <w:style w:type="character" w:customStyle="1" w:styleId="textodestaque1">
    <w:name w:val="textodestaque1"/>
    <w:basedOn w:val="Fontepargpadro"/>
    <w:rPr>
      <w:rFonts w:ascii="Verdana" w:hAnsi="Verdana" w:hint="default"/>
      <w:strike w:val="0"/>
      <w:dstrike w:val="0"/>
      <w:color w:val="000000"/>
      <w:spacing w:val="288"/>
      <w:sz w:val="15"/>
      <w:szCs w:val="15"/>
      <w:u w:val="none"/>
      <w:effect w:val="none"/>
    </w:rPr>
  </w:style>
  <w:style w:type="paragraph" w:customStyle="1" w:styleId="Default">
    <w:name w:val="Default"/>
    <w:pPr>
      <w:autoSpaceDE w:val="0"/>
      <w:autoSpaceDN w:val="0"/>
      <w:adjustRightInd w:val="0"/>
    </w:pPr>
    <w:rPr>
      <w:rFonts w:ascii="Arial" w:hAnsi="Arial" w:cs="Arial"/>
    </w:rPr>
  </w:style>
  <w:style w:type="paragraph" w:customStyle="1" w:styleId="xl24">
    <w:name w:val="xl24"/>
    <w:basedOn w:val="Normal"/>
    <w:pPr>
      <w:spacing w:before="100" w:beforeAutospacing="1" w:after="100" w:afterAutospacing="1"/>
      <w:jc w:val="center"/>
    </w:pPr>
    <w:rPr>
      <w:rFonts w:ascii="Arial" w:eastAsia="Arial Unicode MS"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pP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pPr>
      <w:pBdr>
        <w:top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pP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pPr>
      <w:pBdr>
        <w:top w:val="single" w:sz="4" w:space="0" w:color="auto"/>
        <w:lef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0">
    <w:name w:val="xl30"/>
    <w:basedOn w:val="Normal"/>
    <w:pPr>
      <w:pBdr>
        <w:top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1">
    <w:name w:val="xl31"/>
    <w:basedOn w:val="Normal"/>
    <w:pPr>
      <w:pBdr>
        <w:lef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2">
    <w:name w:val="xl32"/>
    <w:basedOn w:val="Normal"/>
    <w:pP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pPr>
      <w:pBdr>
        <w:top w:val="single" w:sz="4" w:space="0" w:color="auto"/>
      </w:pBdr>
      <w:spacing w:before="100" w:beforeAutospacing="1" w:after="100" w:afterAutospacing="1"/>
      <w:jc w:val="center"/>
    </w:pPr>
    <w:rPr>
      <w:rFonts w:ascii="Arial" w:eastAsia="Arial Unicode MS" w:hAnsi="Arial" w:cs="Arial"/>
      <w:b/>
      <w:bCs/>
      <w:color w:val="000000"/>
      <w:sz w:val="16"/>
      <w:szCs w:val="16"/>
    </w:rPr>
  </w:style>
  <w:style w:type="paragraph" w:customStyle="1" w:styleId="font5">
    <w:name w:val="font5"/>
    <w:basedOn w:val="Normal"/>
    <w:pPr>
      <w:spacing w:before="100" w:beforeAutospacing="1" w:after="100" w:afterAutospacing="1"/>
    </w:pPr>
    <w:rPr>
      <w:rFonts w:ascii="Arial" w:eastAsia="Arial Unicode MS" w:hAnsi="Arial" w:cs="Arial"/>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b/>
      <w:bCs/>
      <w:color w:val="FF0000"/>
      <w:sz w:val="20"/>
      <w:szCs w:val="20"/>
    </w:rPr>
  </w:style>
  <w:style w:type="paragraph" w:customStyle="1" w:styleId="xl34">
    <w:name w:val="xl34"/>
    <w:basedOn w:val="Normal"/>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color w:val="000000"/>
    </w:rPr>
  </w:style>
  <w:style w:type="paragraph" w:customStyle="1" w:styleId="xl37">
    <w:name w:val="xl37"/>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9">
    <w:name w:val="xl39"/>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pPr>
      <w:pBdr>
        <w:left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9">
    <w:name w:val="xl49"/>
    <w:basedOn w:val="Normal"/>
    <w:pPr>
      <w:spacing w:before="100" w:beforeAutospacing="1" w:after="100" w:afterAutospacing="1"/>
      <w:jc w:val="center"/>
      <w:textAlignment w:val="top"/>
    </w:pPr>
    <w:rPr>
      <w:rFonts w:ascii="Arial" w:eastAsia="Arial Unicode MS" w:hAnsi="Arial" w:cs="Arial"/>
    </w:rPr>
  </w:style>
  <w:style w:type="paragraph" w:customStyle="1" w:styleId="xl50">
    <w:name w:val="xl50"/>
    <w:basedOn w:val="Normal"/>
    <w:pPr>
      <w:pBdr>
        <w:bottom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56">
    <w:name w:val="xl56"/>
    <w:basedOn w:val="Normal"/>
    <w:pPr>
      <w:pBdr>
        <w:top w:val="single" w:sz="4" w:space="0" w:color="auto"/>
        <w:left w:val="single" w:sz="4" w:space="0" w:color="auto"/>
        <w:right w:val="single" w:sz="4" w:space="0" w:color="auto"/>
      </w:pBdr>
      <w:spacing w:before="100" w:beforeAutospacing="1" w:after="100" w:afterAutospacing="1"/>
      <w:jc w:val="both"/>
      <w:textAlignment w:val="top"/>
    </w:pPr>
    <w:rPr>
      <w:rFonts w:ascii="Arial" w:eastAsia="Arial Unicode MS" w:hAnsi="Arial" w:cs="Arial"/>
    </w:rPr>
  </w:style>
  <w:style w:type="paragraph" w:customStyle="1" w:styleId="xl57">
    <w:name w:val="xl57"/>
    <w:basedOn w:val="Normal"/>
    <w:pPr>
      <w:pBdr>
        <w:left w:val="single" w:sz="4" w:space="0" w:color="auto"/>
        <w:right w:val="single" w:sz="4" w:space="0" w:color="auto"/>
      </w:pBdr>
      <w:spacing w:before="100" w:beforeAutospacing="1" w:after="100" w:afterAutospacing="1"/>
      <w:jc w:val="both"/>
      <w:textAlignment w:val="top"/>
    </w:pPr>
    <w:rPr>
      <w:rFonts w:ascii="Arial" w:eastAsia="Arial Unicode MS" w:hAnsi="Arial" w:cs="Arial"/>
    </w:rPr>
  </w:style>
  <w:style w:type="paragraph" w:customStyle="1" w:styleId="xl58">
    <w:name w:val="xl58"/>
    <w:basedOn w:val="Normal"/>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rPr>
  </w:style>
  <w:style w:type="paragraph" w:styleId="Sumrio1">
    <w:name w:val="toc 1"/>
    <w:basedOn w:val="Normal"/>
    <w:next w:val="Normal"/>
    <w:autoRedefine/>
    <w:semiHidden/>
    <w:pPr>
      <w:tabs>
        <w:tab w:val="left" w:pos="400"/>
        <w:tab w:val="right" w:leader="dot" w:pos="9345"/>
      </w:tabs>
      <w:spacing w:before="80" w:after="80"/>
    </w:pPr>
    <w:rPr>
      <w:b/>
      <w:caps/>
      <w:noProof/>
      <w:sz w:val="22"/>
      <w:szCs w:val="20"/>
    </w:rPr>
  </w:style>
  <w:style w:type="character" w:styleId="Refdenotaderodap">
    <w:name w:val="footnote reference"/>
    <w:basedOn w:val="Fontepargpadro"/>
    <w:semiHidden/>
    <w:rPr>
      <w:vertAlign w:val="superscript"/>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Fontepargpadro"/>
    <w:semiHidden/>
    <w:rPr>
      <w:color w:val="0000FF"/>
      <w:u w:val="single"/>
    </w:rPr>
  </w:style>
  <w:style w:type="paragraph" w:styleId="Textodenotaderodap">
    <w:name w:val="footnote text"/>
    <w:basedOn w:val="Normal"/>
    <w:semiHidden/>
    <w:pPr>
      <w:widowControl w:val="0"/>
    </w:pPr>
    <w:rPr>
      <w:sz w:val="20"/>
      <w:szCs w:val="20"/>
      <w:lang w:val="en-US"/>
    </w:rPr>
  </w:style>
  <w:style w:type="paragraph" w:styleId="Legenda">
    <w:name w:val="caption"/>
    <w:basedOn w:val="Normal"/>
    <w:next w:val="Normal"/>
    <w:qFormat/>
    <w:pPr>
      <w:jc w:val="center"/>
    </w:pPr>
    <w:rPr>
      <w:rFonts w:ascii="Arial" w:hAnsi="Arial"/>
      <w:b/>
      <w:bCs/>
      <w:sz w:val="20"/>
      <w:szCs w:val="20"/>
    </w:rPr>
  </w:style>
  <w:style w:type="paragraph" w:styleId="Cabealho">
    <w:name w:val="header"/>
    <w:basedOn w:val="Normal"/>
    <w:semiHidden/>
    <w:pPr>
      <w:tabs>
        <w:tab w:val="center" w:pos="4419"/>
        <w:tab w:val="right" w:pos="8838"/>
      </w:tabs>
    </w:pPr>
    <w:rPr>
      <w:sz w:val="20"/>
      <w:szCs w:val="20"/>
    </w:rPr>
  </w:style>
  <w:style w:type="character" w:styleId="Refdecomentrio">
    <w:name w:val="annotation reference"/>
    <w:basedOn w:val="Fontepargpadro"/>
    <w:semiHidden/>
    <w:rPr>
      <w:sz w:val="16"/>
    </w:rPr>
  </w:style>
  <w:style w:type="paragraph" w:styleId="Textodecomentrio">
    <w:name w:val="annotation text"/>
    <w:basedOn w:val="Normal"/>
    <w:semiHidden/>
    <w:rPr>
      <w:sz w:val="20"/>
      <w:szCs w:val="20"/>
    </w:rPr>
  </w:style>
  <w:style w:type="paragraph" w:styleId="Encerramento">
    <w:name w:val="Closing"/>
    <w:basedOn w:val="Normal"/>
    <w:semiHidden/>
    <w:pPr>
      <w:ind w:left="4320"/>
    </w:pPr>
    <w:rPr>
      <w:szCs w:val="20"/>
      <w:lang w:val="en-US"/>
    </w:rPr>
  </w:style>
  <w:style w:type="paragraph" w:styleId="Assinatura">
    <w:name w:val="Signature"/>
    <w:basedOn w:val="Normal"/>
    <w:semiHidden/>
    <w:pPr>
      <w:keepLines/>
      <w:tabs>
        <w:tab w:val="left" w:pos="5040"/>
        <w:tab w:val="left" w:pos="8640"/>
      </w:tabs>
      <w:spacing w:after="480"/>
      <w:ind w:left="5040" w:hanging="360"/>
    </w:pPr>
    <w:rPr>
      <w:szCs w:val="20"/>
      <w:lang w:val="en-US"/>
    </w:rPr>
  </w:style>
  <w:style w:type="paragraph" w:styleId="Cabealhodamensagem">
    <w:name w:val="Message Header"/>
    <w:basedOn w:val="Normal"/>
    <w:semiHidden/>
    <w:pPr>
      <w:ind w:left="1080" w:hanging="1080"/>
    </w:pPr>
    <w:rPr>
      <w:rFonts w:ascii="Arial" w:hAnsi="Arial"/>
      <w:szCs w:val="20"/>
      <w:lang w:val="en-US"/>
    </w:rPr>
  </w:style>
  <w:style w:type="paragraph" w:styleId="Recuodecorpodetexto2">
    <w:name w:val="Body Text Indent 2"/>
    <w:basedOn w:val="Normal"/>
    <w:semiHidden/>
    <w:pPr>
      <w:spacing w:line="360" w:lineRule="auto"/>
      <w:ind w:left="1440"/>
      <w:jc w:val="both"/>
    </w:pPr>
    <w:rPr>
      <w:rFonts w:ascii="Arial" w:hAnsi="Arial"/>
      <w:sz w:val="22"/>
      <w:szCs w:val="20"/>
    </w:rPr>
  </w:style>
  <w:style w:type="paragraph" w:styleId="Rodap">
    <w:name w:val="footer"/>
    <w:basedOn w:val="Normal"/>
    <w:semiHidden/>
    <w:pPr>
      <w:tabs>
        <w:tab w:val="center" w:pos="4320"/>
        <w:tab w:val="right" w:pos="8640"/>
      </w:tabs>
    </w:pPr>
    <w:rPr>
      <w:sz w:val="20"/>
      <w:szCs w:val="20"/>
    </w:rPr>
  </w:style>
  <w:style w:type="paragraph" w:customStyle="1" w:styleId="PDTtulo3">
    <w:name w:val="PD_Título 3"/>
    <w:basedOn w:val="Normal"/>
    <w:pPr>
      <w:spacing w:before="240"/>
      <w:jc w:val="both"/>
    </w:pPr>
    <w:rPr>
      <w:b/>
    </w:rPr>
  </w:style>
  <w:style w:type="paragraph" w:styleId="Subttulo">
    <w:name w:val="Subtitle"/>
    <w:basedOn w:val="Normal"/>
    <w:qFormat/>
    <w:pPr>
      <w:jc w:val="center"/>
    </w:pPr>
    <w:rPr>
      <w:b/>
      <w:szCs w:val="20"/>
      <w:u w:val="single"/>
    </w:rPr>
  </w:style>
  <w:style w:type="paragraph" w:styleId="MapadoDocumento">
    <w:name w:val="Document Map"/>
    <w:basedOn w:val="Normal"/>
    <w:semiHidden/>
    <w:pPr>
      <w:shd w:val="clear" w:color="auto" w:fill="000080"/>
    </w:pPr>
    <w:rPr>
      <w:rFonts w:ascii="Tahoma" w:hAnsi="Tahoma"/>
      <w:sz w:val="20"/>
      <w:szCs w:val="20"/>
    </w:rPr>
  </w:style>
  <w:style w:type="character" w:styleId="Nmerodepgina">
    <w:name w:val="page number"/>
    <w:basedOn w:val="Fontepargpadro"/>
    <w:semiHidden/>
  </w:style>
  <w:style w:type="paragraph" w:styleId="Corpodetexto2">
    <w:name w:val="Body Text 2"/>
    <w:basedOn w:val="Normal"/>
    <w:semiHidden/>
    <w:pPr>
      <w:spacing w:line="480" w:lineRule="auto"/>
      <w:jc w:val="both"/>
    </w:pPr>
    <w:rPr>
      <w:sz w:val="28"/>
      <w:szCs w:val="20"/>
    </w:rPr>
  </w:style>
  <w:style w:type="paragraph" w:styleId="Sumrio3">
    <w:name w:val="toc 3"/>
    <w:basedOn w:val="Normal"/>
    <w:next w:val="Normal"/>
    <w:autoRedefine/>
    <w:semiHidden/>
    <w:pPr>
      <w:tabs>
        <w:tab w:val="right" w:leader="dot" w:pos="9678"/>
      </w:tabs>
      <w:ind w:left="400"/>
      <w:jc w:val="both"/>
    </w:pPr>
    <w:rPr>
      <w:rFonts w:ascii="Arial" w:hAnsi="Arial"/>
      <w:b/>
      <w:noProof/>
      <w:szCs w:val="20"/>
    </w:rPr>
  </w:style>
  <w:style w:type="paragraph" w:styleId="Sumrio4">
    <w:name w:val="toc 4"/>
    <w:basedOn w:val="Normal"/>
    <w:next w:val="Normal"/>
    <w:autoRedefine/>
    <w:semiHidden/>
    <w:pPr>
      <w:ind w:left="600"/>
    </w:pPr>
    <w:rPr>
      <w:sz w:val="18"/>
      <w:szCs w:val="20"/>
    </w:rPr>
  </w:style>
  <w:style w:type="character" w:styleId="Forte">
    <w:name w:val="Strong"/>
    <w:basedOn w:val="Fontepargpadro"/>
    <w:qFormat/>
    <w:rPr>
      <w:b/>
      <w:bCs/>
    </w:rPr>
  </w:style>
  <w:style w:type="character" w:styleId="HiperlinkVisitado">
    <w:name w:val="FollowedHyperlink"/>
    <w:basedOn w:val="Fontepargpadro"/>
    <w:semiHidden/>
    <w:rPr>
      <w:color w:val="800080"/>
      <w:u w:val="single"/>
    </w:rPr>
  </w:style>
  <w:style w:type="paragraph" w:customStyle="1" w:styleId="Corpodetextoidentado">
    <w:name w:val="Corpo de texto identado"/>
    <w:basedOn w:val="Default"/>
    <w:next w:val="Default"/>
    <w:pPr>
      <w:spacing w:after="240"/>
    </w:pPr>
    <w:rPr>
      <w:rFonts w:ascii="Wingdings-Regular" w:hAnsi="Wingdings-Regular" w:cs="Times New Roman"/>
      <w:szCs w:val="24"/>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16"/>
      <w:szCs w:val="16"/>
    </w:rPr>
  </w:style>
  <w:style w:type="paragraph" w:customStyle="1" w:styleId="font8">
    <w:name w:val="font8"/>
    <w:basedOn w:val="Normal"/>
    <w:pPr>
      <w:spacing w:before="100" w:beforeAutospacing="1" w:after="100" w:afterAutospacing="1"/>
    </w:pPr>
    <w:rPr>
      <w:rFonts w:ascii="Arial" w:eastAsia="Arial Unicode MS" w:hAnsi="Arial" w:cs="Arial"/>
      <w:b/>
      <w:bCs/>
      <w:color w:val="000000"/>
      <w:sz w:val="16"/>
      <w:szCs w:val="16"/>
    </w:rPr>
  </w:style>
  <w:style w:type="paragraph" w:customStyle="1" w:styleId="font9">
    <w:name w:val="font9"/>
    <w:basedOn w:val="Normal"/>
    <w:pPr>
      <w:spacing w:before="100" w:beforeAutospacing="1" w:after="100" w:afterAutospacing="1"/>
    </w:pPr>
    <w:rPr>
      <w:rFonts w:ascii="Arial" w:eastAsia="Arial Unicode MS" w:hAnsi="Arial" w:cs="Arial"/>
      <w:sz w:val="14"/>
      <w:szCs w:val="14"/>
    </w:rPr>
  </w:style>
  <w:style w:type="paragraph" w:customStyle="1" w:styleId="font10">
    <w:name w:val="font10"/>
    <w:basedOn w:val="Normal"/>
    <w:pPr>
      <w:spacing w:before="100" w:beforeAutospacing="1" w:after="100" w:afterAutospacing="1"/>
    </w:pPr>
    <w:rPr>
      <w:rFonts w:ascii="Arial" w:eastAsia="Arial Unicode MS" w:hAnsi="Arial" w:cs="Arial"/>
      <w:b/>
      <w:bCs/>
      <w:sz w:val="14"/>
      <w:szCs w:val="14"/>
    </w:rPr>
  </w:style>
  <w:style w:type="paragraph" w:styleId="Recuodecorpodetexto3">
    <w:name w:val="Body Text Indent 3"/>
    <w:basedOn w:val="Normal"/>
    <w:semiHidden/>
    <w:pPr>
      <w:ind w:left="708" w:hanging="705"/>
    </w:pPr>
    <w:rPr>
      <w:rFonts w:ascii="Arial" w:hAnsi="Arial"/>
      <w:iCs/>
      <w:sz w:val="14"/>
    </w:rPr>
  </w:style>
  <w:style w:type="paragraph" w:styleId="TextosemFormatao">
    <w:name w:val="Plain Text"/>
    <w:basedOn w:val="Normal"/>
    <w:semiHidden/>
    <w:rPr>
      <w:rFonts w:ascii="Courier New" w:hAnsi="Courier New"/>
      <w:sz w:val="20"/>
      <w:szCs w:val="20"/>
      <w:lang w:val="en-US"/>
    </w:rPr>
  </w:style>
  <w:style w:type="paragraph" w:styleId="Corpodetexto3">
    <w:name w:val="Body Text 3"/>
    <w:basedOn w:val="Normal"/>
    <w:semiHidden/>
    <w:pPr>
      <w:jc w:val="both"/>
    </w:pPr>
    <w:rPr>
      <w:rFonts w:ascii="Arial" w:hAnsi="Arial" w:cs="Arial"/>
      <w:b/>
      <w:color w:val="FF000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rasil-rounds.gov.b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rasil-rounds.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rasil-rounds.gov.b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rasil-round7@an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4327</Words>
  <Characters>23368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Pré-Edital - Sétima Rodada de Licitações</vt:lpstr>
    </vt:vector>
  </TitlesOfParts>
  <Company>ANP</Company>
  <LinksUpToDate>false</LinksUpToDate>
  <CharactersWithSpaces>27640</CharactersWithSpaces>
  <SharedDoc>false</SharedDoc>
  <HLinks>
    <vt:vector size="48" baseType="variant">
      <vt:variant>
        <vt:i4>8323150</vt:i4>
      </vt:variant>
      <vt:variant>
        <vt:i4>96</vt:i4>
      </vt:variant>
      <vt:variant>
        <vt:i4>0</vt:i4>
      </vt:variant>
      <vt:variant>
        <vt:i4>5</vt:i4>
      </vt:variant>
      <vt:variant>
        <vt:lpwstr/>
      </vt:variant>
      <vt:variant>
        <vt:lpwstr>_Consultas</vt:lpwstr>
      </vt:variant>
      <vt:variant>
        <vt:i4>4325443</vt:i4>
      </vt:variant>
      <vt:variant>
        <vt:i4>93</vt:i4>
      </vt:variant>
      <vt:variant>
        <vt:i4>0</vt:i4>
      </vt:variant>
      <vt:variant>
        <vt:i4>5</vt:i4>
      </vt:variant>
      <vt:variant>
        <vt:lpwstr>http://www.brasil-rounds.gov.br/</vt:lpwstr>
      </vt:variant>
      <vt:variant>
        <vt:lpwstr/>
      </vt:variant>
      <vt:variant>
        <vt:i4>7405573</vt:i4>
      </vt:variant>
      <vt:variant>
        <vt:i4>90</vt:i4>
      </vt:variant>
      <vt:variant>
        <vt:i4>0</vt:i4>
      </vt:variant>
      <vt:variant>
        <vt:i4>5</vt:i4>
      </vt:variant>
      <vt:variant>
        <vt:lpwstr>mailto:brasil-round7@anp.gov.br</vt:lpwstr>
      </vt:variant>
      <vt:variant>
        <vt:lpwstr/>
      </vt:variant>
      <vt:variant>
        <vt:i4>4325443</vt:i4>
      </vt:variant>
      <vt:variant>
        <vt:i4>87</vt:i4>
      </vt:variant>
      <vt:variant>
        <vt:i4>0</vt:i4>
      </vt:variant>
      <vt:variant>
        <vt:i4>5</vt:i4>
      </vt:variant>
      <vt:variant>
        <vt:lpwstr>http://www.brasil-rounds.gov.br/</vt:lpwstr>
      </vt:variant>
      <vt:variant>
        <vt:lpwstr/>
      </vt:variant>
      <vt:variant>
        <vt:i4>4325443</vt:i4>
      </vt:variant>
      <vt:variant>
        <vt:i4>84</vt:i4>
      </vt:variant>
      <vt:variant>
        <vt:i4>0</vt:i4>
      </vt:variant>
      <vt:variant>
        <vt:i4>5</vt:i4>
      </vt:variant>
      <vt:variant>
        <vt:lpwstr>http://www.brasil-rounds.gov.br/</vt:lpwstr>
      </vt:variant>
      <vt:variant>
        <vt:lpwstr/>
      </vt:variant>
      <vt:variant>
        <vt:i4>917536</vt:i4>
      </vt:variant>
      <vt:variant>
        <vt:i4>81</vt:i4>
      </vt:variant>
      <vt:variant>
        <vt:i4>0</vt:i4>
      </vt:variant>
      <vt:variant>
        <vt:i4>5</vt:i4>
      </vt:variant>
      <vt:variant>
        <vt:lpwstr/>
      </vt:variant>
      <vt:variant>
        <vt:lpwstr>_Programa_e_Local</vt:lpwstr>
      </vt:variant>
      <vt:variant>
        <vt:i4>7995400</vt:i4>
      </vt:variant>
      <vt:variant>
        <vt:i4>78</vt:i4>
      </vt:variant>
      <vt:variant>
        <vt:i4>0</vt:i4>
      </vt:variant>
      <vt:variant>
        <vt:i4>5</vt:i4>
      </vt:variant>
      <vt:variant>
        <vt:lpwstr/>
      </vt:variant>
      <vt:variant>
        <vt:lpwstr>_Tabela_2_-</vt:lpwstr>
      </vt:variant>
      <vt:variant>
        <vt:i4>7995403</vt:i4>
      </vt:variant>
      <vt:variant>
        <vt:i4>75</vt:i4>
      </vt:variant>
      <vt:variant>
        <vt:i4>0</vt:i4>
      </vt:variant>
      <vt:variant>
        <vt:i4>5</vt:i4>
      </vt:variant>
      <vt:variant>
        <vt:lpwstr/>
      </vt:variant>
      <vt:variant>
        <vt:lpwstr>_Tabela_1_-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Pré-Edital - Sétima Rodada de Licitações</dc:title>
  <dc:subject/>
  <dc:creator>SPL</dc:creator>
  <cp:keywords/>
  <dc:description/>
  <cp:lastModifiedBy>spla</cp:lastModifiedBy>
  <cp:revision>2</cp:revision>
  <cp:lastPrinted>2005-08-30T22:13:00Z</cp:lastPrinted>
  <dcterms:created xsi:type="dcterms:W3CDTF">2010-06-24T15:01:00Z</dcterms:created>
  <dcterms:modified xsi:type="dcterms:W3CDTF">2010-06-24T15:01:00Z</dcterms:modified>
</cp:coreProperties>
</file>