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835CF" w14:textId="77777777" w:rsidR="0036380F" w:rsidRPr="000C0894" w:rsidRDefault="006E3142" w:rsidP="00B27481">
      <w:pPr>
        <w:spacing w:before="120" w:after="120" w:line="360" w:lineRule="auto"/>
        <w:jc w:val="both"/>
        <w:rPr>
          <w:rFonts w:ascii="Arial" w:hAnsi="Arial" w:cs="Arial"/>
          <w:b/>
          <w:sz w:val="24"/>
          <w:szCs w:val="24"/>
        </w:rPr>
      </w:pPr>
      <w:bookmarkStart w:id="0" w:name="_GoBack"/>
      <w:bookmarkEnd w:id="0"/>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14:paraId="0985152D" w14:textId="77777777" w:rsidR="0036380F"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r w:rsidR="009403DB" w:rsidRPr="009403DB">
        <w:rPr>
          <w:rFonts w:ascii="Arial" w:hAnsi="Arial" w:cs="Arial"/>
          <w:sz w:val="24"/>
          <w:szCs w:val="24"/>
          <w:u w:val="single"/>
        </w:rPr>
        <w:t>p</w:t>
      </w:r>
      <w:r w:rsidR="008A590E" w:rsidRPr="000C0894">
        <w:rPr>
          <w:rFonts w:ascii="Arial" w:hAnsi="Arial" w:cs="Arial"/>
          <w:sz w:val="24"/>
          <w:szCs w:val="24"/>
          <w:u w:val="single"/>
        </w:rPr>
        <w:t>ré-e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14:paraId="518A240E"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14:paraId="3B961C94" w14:textId="77777777" w:rsidR="008A590E"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r w:rsidR="009403DB">
        <w:rPr>
          <w:rFonts w:ascii="Arial" w:hAnsi="Arial" w:cs="Arial"/>
          <w:sz w:val="24"/>
          <w:szCs w:val="24"/>
        </w:rPr>
        <w:t>p</w:t>
      </w:r>
      <w:r w:rsidR="008A590E" w:rsidRPr="000C0894">
        <w:rPr>
          <w:rFonts w:ascii="Arial" w:hAnsi="Arial" w:cs="Arial"/>
          <w:sz w:val="24"/>
          <w:szCs w:val="24"/>
        </w:rPr>
        <w:t xml:space="preserve">ré-edital,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14:paraId="08D33E66"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14:paraId="2B0D805C" w14:textId="77777777" w:rsidR="000C7F3F" w:rsidRPr="000C0894" w:rsidRDefault="000C7F3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14:paraId="400210D4" w14:textId="77777777" w:rsidR="006E7756" w:rsidRDefault="006E7756" w:rsidP="008A590E">
      <w:pPr>
        <w:rPr>
          <w:rFonts w:ascii="Arial" w:hAnsi="Arial" w:cs="Arial"/>
          <w:sz w:val="24"/>
          <w:szCs w:val="24"/>
        </w:rPr>
      </w:pPr>
    </w:p>
    <w:p w14:paraId="2A4C72D4" w14:textId="77777777" w:rsidR="00FB378C" w:rsidRDefault="00FB378C" w:rsidP="008A590E">
      <w:pPr>
        <w:rPr>
          <w:rFonts w:ascii="Arial" w:hAnsi="Arial" w:cs="Arial"/>
          <w:b/>
          <w:sz w:val="24"/>
          <w:szCs w:val="24"/>
        </w:rPr>
      </w:pPr>
    </w:p>
    <w:p w14:paraId="51DDF260" w14:textId="77777777" w:rsidR="00FB378C" w:rsidRDefault="00FB378C" w:rsidP="008A590E">
      <w:pPr>
        <w:rPr>
          <w:rFonts w:ascii="Arial" w:hAnsi="Arial" w:cs="Arial"/>
          <w:b/>
          <w:sz w:val="24"/>
          <w:szCs w:val="24"/>
        </w:rPr>
      </w:pPr>
    </w:p>
    <w:p w14:paraId="4AA83207" w14:textId="77777777" w:rsidR="00FB378C" w:rsidRDefault="00FB378C" w:rsidP="008A590E">
      <w:pPr>
        <w:rPr>
          <w:rFonts w:ascii="Arial" w:hAnsi="Arial" w:cs="Arial"/>
          <w:b/>
          <w:sz w:val="24"/>
          <w:szCs w:val="24"/>
        </w:rPr>
      </w:pPr>
    </w:p>
    <w:p w14:paraId="319418A0" w14:textId="77777777" w:rsidR="00006A74" w:rsidRDefault="00006A74" w:rsidP="008A590E">
      <w:pPr>
        <w:rPr>
          <w:rFonts w:ascii="Arial" w:hAnsi="Arial" w:cs="Arial"/>
          <w:b/>
          <w:sz w:val="24"/>
          <w:szCs w:val="24"/>
        </w:rPr>
      </w:pPr>
    </w:p>
    <w:p w14:paraId="1981830D" w14:textId="77777777" w:rsidR="00FB378C" w:rsidRDefault="00FB378C" w:rsidP="008A590E">
      <w:pPr>
        <w:rPr>
          <w:rFonts w:ascii="Arial" w:hAnsi="Arial" w:cs="Arial"/>
          <w:b/>
          <w:sz w:val="24"/>
          <w:szCs w:val="24"/>
        </w:rPr>
      </w:pPr>
    </w:p>
    <w:p w14:paraId="188D43CB" w14:textId="77777777" w:rsidR="00FB378C" w:rsidRDefault="00FB378C" w:rsidP="008A590E">
      <w:pPr>
        <w:rPr>
          <w:rFonts w:ascii="Arial" w:hAnsi="Arial" w:cs="Arial"/>
          <w:b/>
          <w:sz w:val="24"/>
          <w:szCs w:val="24"/>
        </w:rPr>
      </w:pPr>
    </w:p>
    <w:p w14:paraId="7E6E93D1" w14:textId="77777777" w:rsidR="00FB378C" w:rsidRDefault="00FB378C" w:rsidP="008A590E">
      <w:pPr>
        <w:rPr>
          <w:rFonts w:ascii="Arial" w:hAnsi="Arial" w:cs="Arial"/>
          <w:b/>
          <w:sz w:val="24"/>
          <w:szCs w:val="24"/>
        </w:rPr>
      </w:pPr>
    </w:p>
    <w:p w14:paraId="7329A74B" w14:textId="77777777" w:rsidR="00FB378C" w:rsidRDefault="00FB378C" w:rsidP="008A590E">
      <w:pPr>
        <w:rPr>
          <w:rFonts w:ascii="Arial" w:hAnsi="Arial" w:cs="Arial"/>
          <w:b/>
          <w:sz w:val="24"/>
          <w:szCs w:val="24"/>
        </w:rPr>
      </w:pPr>
    </w:p>
    <w:p w14:paraId="2003D784" w14:textId="77777777"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14:paraId="4E6FB2C0" w14:textId="77777777" w:rsidR="008A590E" w:rsidRPr="000C0894"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522"/>
        <w:gridCol w:w="1522"/>
        <w:gridCol w:w="4951"/>
        <w:gridCol w:w="4645"/>
      </w:tblGrid>
      <w:tr w:rsidR="00932C2C" w:rsidRPr="000C0894" w14:paraId="0ABBD360" w14:textId="77777777" w:rsidTr="00FB378C">
        <w:trPr>
          <w:trHeight w:val="1701"/>
          <w:tblHeader/>
        </w:trPr>
        <w:tc>
          <w:tcPr>
            <w:tcW w:w="538" w:type="pct"/>
            <w:vAlign w:val="center"/>
          </w:tcPr>
          <w:p w14:paraId="2E295AC0"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14:paraId="038B39EA"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14:paraId="0F398866"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14:paraId="2D3261FC"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14:paraId="00E5CB7B"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14:paraId="4B551007" w14:textId="77777777" w:rsidTr="00FB378C">
        <w:trPr>
          <w:trHeight w:val="1701"/>
        </w:trPr>
        <w:tc>
          <w:tcPr>
            <w:tcW w:w="538" w:type="pct"/>
            <w:vAlign w:val="center"/>
          </w:tcPr>
          <w:p w14:paraId="62A8CB5D"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Minuta do contrato</w:t>
            </w:r>
          </w:p>
        </w:tc>
        <w:tc>
          <w:tcPr>
            <w:tcW w:w="538" w:type="pct"/>
            <w:vAlign w:val="center"/>
          </w:tcPr>
          <w:p w14:paraId="008E8AB0"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Alteração</w:t>
            </w:r>
          </w:p>
        </w:tc>
        <w:tc>
          <w:tcPr>
            <w:tcW w:w="538" w:type="pct"/>
            <w:vAlign w:val="center"/>
          </w:tcPr>
          <w:p w14:paraId="776B4046" w14:textId="77777777" w:rsidR="002158EA" w:rsidRPr="000C0894" w:rsidRDefault="002158EA" w:rsidP="00615A71">
            <w:pPr>
              <w:pStyle w:val="Legenda"/>
              <w:spacing w:before="120" w:after="120"/>
              <w:jc w:val="center"/>
              <w:rPr>
                <w:rFonts w:cs="Arial"/>
                <w:color w:val="000000" w:themeColor="text1"/>
                <w:szCs w:val="24"/>
              </w:rPr>
            </w:pPr>
            <w:r w:rsidRPr="000C0894">
              <w:rPr>
                <w:rFonts w:cs="Arial"/>
                <w:color w:val="000000" w:themeColor="text1"/>
                <w:szCs w:val="24"/>
              </w:rPr>
              <w:t xml:space="preserve">Anexo </w:t>
            </w:r>
            <w:r w:rsidR="00615A71">
              <w:rPr>
                <w:rFonts w:cs="Arial"/>
                <w:color w:val="000000" w:themeColor="text1"/>
                <w:szCs w:val="24"/>
              </w:rPr>
              <w:t>II</w:t>
            </w:r>
            <w:r w:rsidR="005C4925">
              <w:rPr>
                <w:rFonts w:cs="Arial"/>
                <w:color w:val="000000" w:themeColor="text1"/>
                <w:szCs w:val="24"/>
              </w:rPr>
              <w:t xml:space="preserve"> – </w:t>
            </w:r>
            <w:r w:rsidR="00615A71">
              <w:rPr>
                <w:rFonts w:cs="Arial"/>
                <w:color w:val="000000" w:themeColor="text1"/>
                <w:szCs w:val="24"/>
              </w:rPr>
              <w:t>3.2.1</w:t>
            </w:r>
          </w:p>
        </w:tc>
        <w:tc>
          <w:tcPr>
            <w:tcW w:w="1747" w:type="pct"/>
            <w:vAlign w:val="center"/>
          </w:tcPr>
          <w:p w14:paraId="688DC26D"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Texto proposto.</w:t>
            </w:r>
          </w:p>
        </w:tc>
        <w:tc>
          <w:tcPr>
            <w:tcW w:w="1639" w:type="pct"/>
            <w:vAlign w:val="center"/>
          </w:tcPr>
          <w:p w14:paraId="2168C4DD"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r w:rsidR="00932C2C" w:rsidRPr="000C0894" w14:paraId="5C38DD73" w14:textId="77777777" w:rsidTr="00FB378C">
        <w:trPr>
          <w:trHeight w:val="1701"/>
        </w:trPr>
        <w:tc>
          <w:tcPr>
            <w:tcW w:w="538" w:type="pct"/>
            <w:vAlign w:val="center"/>
          </w:tcPr>
          <w:p w14:paraId="1954A9CC"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Pré-edital</w:t>
            </w:r>
          </w:p>
        </w:tc>
        <w:tc>
          <w:tcPr>
            <w:tcW w:w="538" w:type="pct"/>
            <w:vAlign w:val="center"/>
          </w:tcPr>
          <w:p w14:paraId="6002B500"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Exclusão</w:t>
            </w:r>
          </w:p>
        </w:tc>
        <w:tc>
          <w:tcPr>
            <w:tcW w:w="538" w:type="pct"/>
            <w:vAlign w:val="center"/>
          </w:tcPr>
          <w:p w14:paraId="62E69C30"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1.4.3</w:t>
            </w:r>
          </w:p>
        </w:tc>
        <w:tc>
          <w:tcPr>
            <w:tcW w:w="1747" w:type="pct"/>
            <w:vAlign w:val="center"/>
          </w:tcPr>
          <w:p w14:paraId="4402B973" w14:textId="77777777" w:rsidR="002158EA" w:rsidRPr="000C0894" w:rsidRDefault="002158EA" w:rsidP="00FB378C">
            <w:pPr>
              <w:pStyle w:val="Legenda"/>
              <w:spacing w:before="120" w:after="120"/>
              <w:jc w:val="center"/>
              <w:rPr>
                <w:rFonts w:cs="Arial"/>
                <w:color w:val="000000" w:themeColor="text1"/>
                <w:szCs w:val="24"/>
              </w:rPr>
            </w:pPr>
          </w:p>
        </w:tc>
        <w:tc>
          <w:tcPr>
            <w:tcW w:w="1639" w:type="pct"/>
            <w:vAlign w:val="center"/>
          </w:tcPr>
          <w:p w14:paraId="37914CB7"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bl>
    <w:p w14:paraId="0C945DDF" w14:textId="77777777" w:rsidR="006E3142" w:rsidRPr="000C0894" w:rsidRDefault="006E3142" w:rsidP="00FB378C">
      <w:pPr>
        <w:pStyle w:val="Legenda"/>
        <w:spacing w:before="120" w:after="120" w:line="360" w:lineRule="auto"/>
        <w:jc w:val="both"/>
        <w:rPr>
          <w:rFonts w:cs="Arial"/>
          <w:b/>
          <w:szCs w:val="24"/>
        </w:rPr>
      </w:pPr>
    </w:p>
    <w:p w14:paraId="32E1E65D" w14:textId="77777777" w:rsidR="006E3142" w:rsidRPr="000C0894" w:rsidRDefault="006E3142" w:rsidP="00FB378C">
      <w:pPr>
        <w:pStyle w:val="Legenda"/>
        <w:spacing w:before="120" w:after="120" w:line="360" w:lineRule="auto"/>
        <w:jc w:val="both"/>
        <w:rPr>
          <w:rFonts w:cs="Arial"/>
          <w:b/>
          <w:szCs w:val="24"/>
        </w:rPr>
      </w:pPr>
      <w:r w:rsidRPr="000C0894">
        <w:rPr>
          <w:rFonts w:cs="Arial"/>
          <w:b/>
          <w:szCs w:val="24"/>
        </w:rPr>
        <w:t>Instruções para envio do formulário:</w:t>
      </w:r>
    </w:p>
    <w:p w14:paraId="1F4F5A06" w14:textId="77777777" w:rsidR="006E3142" w:rsidRDefault="006E3142" w:rsidP="005A66BD">
      <w:pPr>
        <w:pStyle w:val="Legenda"/>
        <w:spacing w:before="120" w:after="120" w:line="360" w:lineRule="auto"/>
        <w:jc w:val="both"/>
        <w:rPr>
          <w:rFonts w:cs="Arial"/>
          <w:b/>
          <w:szCs w:val="24"/>
        </w:rPr>
      </w:pPr>
      <w:r w:rsidRPr="000C0894">
        <w:rPr>
          <w:rFonts w:cs="Arial"/>
          <w:szCs w:val="24"/>
        </w:rPr>
        <w:t xml:space="preserve">Após o preenchimento deste formulário, remeta-o à Agência Nacional do Petróleo, Gás Natural e Biocombustíveis (ANP) até </w:t>
      </w:r>
      <w:r w:rsidR="009403DB">
        <w:rPr>
          <w:rFonts w:cs="Arial"/>
          <w:szCs w:val="24"/>
        </w:rPr>
        <w:t xml:space="preserve">às </w:t>
      </w:r>
      <w:r w:rsidR="00AB3B7A" w:rsidRPr="00AB3B7A">
        <w:rPr>
          <w:rFonts w:cs="Arial"/>
          <w:b/>
          <w:szCs w:val="24"/>
        </w:rPr>
        <w:t>18</w:t>
      </w:r>
      <w:r w:rsidR="009403DB" w:rsidRPr="009403DB">
        <w:rPr>
          <w:rFonts w:cs="Arial"/>
          <w:b/>
          <w:szCs w:val="24"/>
        </w:rPr>
        <w:t xml:space="preserve"> horas do </w:t>
      </w:r>
      <w:r w:rsidRPr="009403DB">
        <w:rPr>
          <w:rFonts w:eastAsia="PMingLiU" w:cs="Arial"/>
          <w:b/>
          <w:color w:val="000000"/>
          <w:szCs w:val="24"/>
        </w:rPr>
        <w:t xml:space="preserve">dia </w:t>
      </w:r>
      <w:r w:rsidR="0072007B">
        <w:rPr>
          <w:rFonts w:eastAsia="PMingLiU" w:cs="Arial"/>
          <w:b/>
          <w:color w:val="000000"/>
          <w:szCs w:val="24"/>
        </w:rPr>
        <w:t>18</w:t>
      </w:r>
      <w:r w:rsidRPr="009403DB">
        <w:rPr>
          <w:rFonts w:eastAsia="PMingLiU" w:cs="Arial"/>
          <w:b/>
          <w:color w:val="000000"/>
          <w:szCs w:val="24"/>
        </w:rPr>
        <w:t xml:space="preserve"> de </w:t>
      </w:r>
      <w:r w:rsidR="0072007B">
        <w:rPr>
          <w:rFonts w:eastAsia="PMingLiU" w:cs="Arial"/>
          <w:b/>
          <w:color w:val="000000"/>
          <w:szCs w:val="24"/>
        </w:rPr>
        <w:t>dezembro</w:t>
      </w:r>
      <w:r w:rsidR="009403DB" w:rsidRPr="009403DB">
        <w:rPr>
          <w:rFonts w:eastAsia="PMingLiU" w:cs="Arial"/>
          <w:b/>
          <w:color w:val="000000"/>
          <w:szCs w:val="24"/>
        </w:rPr>
        <w:t xml:space="preserve"> de 201</w:t>
      </w:r>
      <w:r w:rsidR="002A1E27">
        <w:rPr>
          <w:rFonts w:eastAsia="PMingLiU" w:cs="Arial"/>
          <w:b/>
          <w:color w:val="000000"/>
          <w:szCs w:val="24"/>
        </w:rPr>
        <w:t>7</w:t>
      </w:r>
      <w:r w:rsidRPr="009403DB">
        <w:rPr>
          <w:rFonts w:eastAsia="PMingLiU" w:cs="Arial"/>
          <w:b/>
          <w:color w:val="00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r>
        <w:rPr>
          <w:rFonts w:cs="Arial"/>
          <w:b/>
          <w:szCs w:val="24"/>
        </w:rPr>
        <w:br w:type="page"/>
      </w:r>
    </w:p>
    <w:p w14:paraId="423D62A9" w14:textId="77777777"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lastRenderedPageBreak/>
        <w:t xml:space="preserve">FORMULÁRIO DE </w:t>
      </w:r>
      <w:r>
        <w:rPr>
          <w:rFonts w:ascii="Arial" w:hAnsi="Arial" w:cs="Arial"/>
          <w:b/>
          <w:sz w:val="28"/>
        </w:rPr>
        <w:t>COMENTÁRIOS E SUGESTÕES</w:t>
      </w:r>
    </w:p>
    <w:p w14:paraId="47FEB600" w14:textId="77777777" w:rsidR="006E3142" w:rsidRPr="0062557C" w:rsidRDefault="006E3142" w:rsidP="00615A71">
      <w:pPr>
        <w:pStyle w:val="Legenda"/>
        <w:spacing w:before="120" w:after="120" w:line="360" w:lineRule="auto"/>
        <w:jc w:val="center"/>
        <w:rPr>
          <w:rFonts w:cs="Arial"/>
        </w:rPr>
      </w:pPr>
      <w:r>
        <w:rPr>
          <w:rFonts w:cs="Arial"/>
        </w:rPr>
        <w:t>CONSULTA</w:t>
      </w:r>
      <w:r w:rsidRPr="0062557C">
        <w:rPr>
          <w:rFonts w:cs="Arial"/>
        </w:rPr>
        <w:t xml:space="preserve"> PÚBLICA Nº </w:t>
      </w:r>
      <w:r w:rsidR="00AB3B7A" w:rsidRPr="00AB3B7A">
        <w:rPr>
          <w:rFonts w:cs="Arial"/>
        </w:rPr>
        <w:t>25</w:t>
      </w:r>
      <w:r w:rsidRPr="00AB3B7A">
        <w:rPr>
          <w:rFonts w:cs="Arial"/>
        </w:rPr>
        <w:t>/201</w:t>
      </w:r>
      <w:r w:rsidR="002A1E27" w:rsidRPr="00AB3B7A">
        <w:rPr>
          <w:rFonts w:cs="Arial"/>
        </w:rPr>
        <w:t>7</w:t>
      </w:r>
    </w:p>
    <w:p w14:paraId="1198F838" w14:textId="77777777" w:rsidR="006E3142" w:rsidRDefault="006E3142" w:rsidP="00842086">
      <w:pPr>
        <w:pStyle w:val="Legenda"/>
        <w:jc w:val="both"/>
        <w:rPr>
          <w:rFonts w:cs="Arial"/>
          <w:b/>
          <w:szCs w:val="24"/>
        </w:rPr>
      </w:pPr>
    </w:p>
    <w:p w14:paraId="34772422" w14:textId="77777777" w:rsidR="006E3142" w:rsidRPr="00B607A8" w:rsidRDefault="006E3142" w:rsidP="00842086">
      <w:pPr>
        <w:pStyle w:val="Legenda"/>
        <w:jc w:val="both"/>
        <w:rPr>
          <w:rFonts w:cs="Arial"/>
          <w:b/>
          <w:szCs w:val="24"/>
          <w:u w:val="single"/>
        </w:rPr>
      </w:pPr>
    </w:p>
    <w:tbl>
      <w:tblPr>
        <w:tblStyle w:val="Tabelacomgrade"/>
        <w:tblpPr w:leftFromText="141" w:rightFromText="141" w:vertAnchor="text" w:tblpY="1"/>
        <w:tblOverlap w:val="never"/>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67"/>
        <w:gridCol w:w="1250"/>
        <w:gridCol w:w="1401"/>
        <w:gridCol w:w="3930"/>
        <w:gridCol w:w="6028"/>
      </w:tblGrid>
      <w:tr w:rsidR="001B000C" w:rsidRPr="00170FDC" w14:paraId="51C63BCF" w14:textId="77777777" w:rsidTr="0003097F">
        <w:trPr>
          <w:trHeight w:val="850"/>
          <w:tblHeader/>
        </w:trPr>
        <w:tc>
          <w:tcPr>
            <w:tcW w:w="553" w:type="pct"/>
            <w:tcBorders>
              <w:bottom w:val="dashSmallGap" w:sz="4" w:space="0" w:color="BFBFBF" w:themeColor="background1" w:themeShade="BF"/>
            </w:tcBorders>
            <w:vAlign w:val="center"/>
          </w:tcPr>
          <w:p w14:paraId="59B1F122" w14:textId="77777777" w:rsidR="001B000C" w:rsidRPr="00170FDC" w:rsidRDefault="001B000C" w:rsidP="001B000C">
            <w:pPr>
              <w:pStyle w:val="Legenda"/>
              <w:jc w:val="center"/>
              <w:rPr>
                <w:rFonts w:cs="Arial"/>
                <w:b/>
                <w:color w:val="000000" w:themeColor="text1"/>
                <w:sz w:val="22"/>
                <w:szCs w:val="22"/>
              </w:rPr>
            </w:pPr>
            <w:r w:rsidRPr="00170FDC">
              <w:rPr>
                <w:rFonts w:cs="Arial"/>
                <w:b/>
                <w:color w:val="000000" w:themeColor="text1"/>
                <w:sz w:val="22"/>
                <w:szCs w:val="22"/>
              </w:rPr>
              <w:t>Documento</w:t>
            </w:r>
          </w:p>
        </w:tc>
        <w:tc>
          <w:tcPr>
            <w:tcW w:w="441" w:type="pct"/>
            <w:tcBorders>
              <w:bottom w:val="dashSmallGap" w:sz="4" w:space="0" w:color="BFBFBF" w:themeColor="background1" w:themeShade="BF"/>
            </w:tcBorders>
            <w:vAlign w:val="center"/>
          </w:tcPr>
          <w:p w14:paraId="1A7C9BD1" w14:textId="77777777" w:rsidR="001B000C" w:rsidRPr="006E166E" w:rsidRDefault="001B000C" w:rsidP="001B000C">
            <w:pPr>
              <w:pStyle w:val="Legenda"/>
              <w:jc w:val="center"/>
              <w:rPr>
                <w:rFonts w:cs="Arial"/>
                <w:b/>
                <w:color w:val="000000" w:themeColor="text1"/>
                <w:sz w:val="22"/>
                <w:szCs w:val="22"/>
              </w:rPr>
            </w:pPr>
            <w:r w:rsidRPr="006E166E">
              <w:rPr>
                <w:rFonts w:cs="Arial"/>
                <w:b/>
                <w:color w:val="000000" w:themeColor="text1"/>
                <w:sz w:val="22"/>
                <w:szCs w:val="22"/>
              </w:rPr>
              <w:t>Natureza da sugestão</w:t>
            </w:r>
          </w:p>
        </w:tc>
        <w:tc>
          <w:tcPr>
            <w:tcW w:w="494" w:type="pct"/>
            <w:tcBorders>
              <w:bottom w:val="dashSmallGap" w:sz="4" w:space="0" w:color="BFBFBF" w:themeColor="background1" w:themeShade="BF"/>
            </w:tcBorders>
            <w:vAlign w:val="center"/>
          </w:tcPr>
          <w:p w14:paraId="39725B12" w14:textId="77777777" w:rsidR="001B000C" w:rsidRPr="008E44C8" w:rsidRDefault="001B000C" w:rsidP="00183142">
            <w:pPr>
              <w:pStyle w:val="Legenda"/>
              <w:jc w:val="center"/>
              <w:rPr>
                <w:rFonts w:cs="Arial"/>
                <w:b/>
                <w:color w:val="000000" w:themeColor="text1"/>
                <w:sz w:val="22"/>
                <w:szCs w:val="22"/>
              </w:rPr>
            </w:pPr>
            <w:r w:rsidRPr="008E44C8">
              <w:rPr>
                <w:rFonts w:cs="Arial"/>
                <w:b/>
                <w:color w:val="000000" w:themeColor="text1"/>
                <w:sz w:val="22"/>
                <w:szCs w:val="22"/>
              </w:rPr>
              <w:t>Item</w:t>
            </w:r>
          </w:p>
        </w:tc>
        <w:tc>
          <w:tcPr>
            <w:tcW w:w="1386" w:type="pct"/>
            <w:tcBorders>
              <w:bottom w:val="dashSmallGap" w:sz="4" w:space="0" w:color="BFBFBF" w:themeColor="background1" w:themeShade="BF"/>
            </w:tcBorders>
            <w:vAlign w:val="center"/>
          </w:tcPr>
          <w:p w14:paraId="731C9994" w14:textId="77777777" w:rsidR="001B000C" w:rsidRPr="00170FDC" w:rsidRDefault="001B000C" w:rsidP="00183142">
            <w:pPr>
              <w:pStyle w:val="Legenda"/>
              <w:jc w:val="both"/>
              <w:rPr>
                <w:rFonts w:cs="Arial"/>
                <w:b/>
                <w:color w:val="000000" w:themeColor="text1"/>
                <w:sz w:val="22"/>
                <w:szCs w:val="22"/>
              </w:rPr>
            </w:pPr>
            <w:r w:rsidRPr="00170FDC">
              <w:rPr>
                <w:rFonts w:cs="Arial"/>
                <w:b/>
                <w:color w:val="000000" w:themeColor="text1"/>
                <w:sz w:val="22"/>
                <w:szCs w:val="22"/>
              </w:rPr>
              <w:t>Proposta de alteração</w:t>
            </w:r>
          </w:p>
        </w:tc>
        <w:tc>
          <w:tcPr>
            <w:tcW w:w="2126" w:type="pct"/>
            <w:tcBorders>
              <w:bottom w:val="dashSmallGap" w:sz="4" w:space="0" w:color="BFBFBF" w:themeColor="background1" w:themeShade="BF"/>
            </w:tcBorders>
            <w:vAlign w:val="center"/>
          </w:tcPr>
          <w:p w14:paraId="2B3CAD04" w14:textId="77777777" w:rsidR="001B000C" w:rsidRPr="00170FDC" w:rsidRDefault="001B000C" w:rsidP="00E061A4">
            <w:pPr>
              <w:pStyle w:val="Legenda"/>
              <w:jc w:val="both"/>
              <w:rPr>
                <w:rFonts w:cs="Arial"/>
                <w:b/>
                <w:color w:val="000000" w:themeColor="text1"/>
                <w:sz w:val="22"/>
                <w:szCs w:val="22"/>
              </w:rPr>
            </w:pPr>
            <w:r w:rsidRPr="00170FDC">
              <w:rPr>
                <w:rFonts w:cs="Arial"/>
                <w:b/>
                <w:color w:val="000000" w:themeColor="text1"/>
                <w:sz w:val="22"/>
                <w:szCs w:val="22"/>
              </w:rPr>
              <w:t>Justificativa</w:t>
            </w:r>
          </w:p>
        </w:tc>
      </w:tr>
      <w:tr w:rsidR="00A5136E" w:rsidRPr="00170FDC" w14:paraId="34D11821" w14:textId="77777777" w:rsidTr="0003097F">
        <w:trPr>
          <w:trHeight w:val="2268"/>
        </w:trPr>
        <w:tc>
          <w:tcPr>
            <w:tcW w:w="553" w:type="pct"/>
            <w:vAlign w:val="center"/>
          </w:tcPr>
          <w:p w14:paraId="53CF05E5" w14:textId="0C01066B" w:rsidR="00A5136E" w:rsidRPr="003619E8" w:rsidRDefault="00A5136E" w:rsidP="00A5136E">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4821F583" w14:textId="1E5FDD03"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9D47BD4" w14:textId="5F0212EB"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1.</w:t>
            </w:r>
            <w:r>
              <w:rPr>
                <w:rFonts w:cs="Arial"/>
                <w:color w:val="000000" w:themeColor="text1"/>
                <w:sz w:val="22"/>
                <w:szCs w:val="22"/>
              </w:rPr>
              <w:t>5</w:t>
            </w:r>
            <w:r w:rsidRPr="008E44C8">
              <w:rPr>
                <w:rFonts w:cs="Arial"/>
                <w:color w:val="000000" w:themeColor="text1"/>
                <w:sz w:val="22"/>
                <w:szCs w:val="22"/>
              </w:rPr>
              <w:t xml:space="preserve">, </w:t>
            </w:r>
            <w:r w:rsidR="009E5894">
              <w:rPr>
                <w:rFonts w:cs="Arial"/>
                <w:color w:val="000000" w:themeColor="text1"/>
                <w:sz w:val="22"/>
                <w:szCs w:val="22"/>
              </w:rPr>
              <w:t>4º parágrafo</w:t>
            </w:r>
          </w:p>
        </w:tc>
        <w:tc>
          <w:tcPr>
            <w:tcW w:w="1386" w:type="pct"/>
            <w:vAlign w:val="center"/>
          </w:tcPr>
          <w:p w14:paraId="479F5AAB" w14:textId="334B0906" w:rsidR="00A5136E" w:rsidRPr="00170FDC" w:rsidRDefault="009E5894" w:rsidP="00183142">
            <w:pPr>
              <w:pStyle w:val="Legenda"/>
              <w:jc w:val="both"/>
              <w:rPr>
                <w:sz w:val="22"/>
                <w:szCs w:val="22"/>
              </w:rPr>
            </w:pPr>
            <w:r>
              <w:t>No caso previsto na alínea (d), o efeito da desclassificação se restringe ao bloco no qual tenha ocorrido a desistência.</w:t>
            </w:r>
          </w:p>
        </w:tc>
        <w:tc>
          <w:tcPr>
            <w:tcW w:w="2126" w:type="pct"/>
            <w:vAlign w:val="center"/>
          </w:tcPr>
          <w:p w14:paraId="4766261E" w14:textId="7384EB7C" w:rsidR="00A5136E" w:rsidRDefault="00A5136E" w:rsidP="00E061A4">
            <w:pPr>
              <w:pStyle w:val="Legenda"/>
              <w:jc w:val="both"/>
              <w:rPr>
                <w:rFonts w:cs="Arial"/>
                <w:color w:val="000000" w:themeColor="text1"/>
                <w:sz w:val="22"/>
                <w:szCs w:val="22"/>
              </w:rPr>
            </w:pPr>
            <w:r>
              <w:rPr>
                <w:rFonts w:cs="Arial"/>
                <w:color w:val="000000" w:themeColor="text1"/>
                <w:sz w:val="22"/>
                <w:szCs w:val="22"/>
              </w:rPr>
              <w:t>A desqualificação deve limitar-se ao Bloco no qual o licitante desistiu de apresentar sua proposta, não sendo razoável que venha a prejudicar sua participação em outros Blocos.</w:t>
            </w:r>
          </w:p>
        </w:tc>
      </w:tr>
      <w:tr w:rsidR="00A5136E" w:rsidRPr="00170FDC" w14:paraId="6341607B" w14:textId="77777777" w:rsidTr="0003097F">
        <w:trPr>
          <w:trHeight w:val="2268"/>
        </w:trPr>
        <w:tc>
          <w:tcPr>
            <w:tcW w:w="553" w:type="pct"/>
            <w:vAlign w:val="center"/>
          </w:tcPr>
          <w:p w14:paraId="560D635D" w14:textId="77777777" w:rsidR="00A5136E" w:rsidRPr="003619E8" w:rsidRDefault="00A5136E" w:rsidP="00A5136E">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5AA9DC45"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1743C13"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1.6, inclusão após o parágrafo §1º</w:t>
            </w:r>
          </w:p>
        </w:tc>
        <w:tc>
          <w:tcPr>
            <w:tcW w:w="1386" w:type="pct"/>
            <w:vAlign w:val="center"/>
          </w:tcPr>
          <w:p w14:paraId="23318C28" w14:textId="77777777" w:rsidR="00A5136E" w:rsidRPr="00170FDC" w:rsidDel="00AF4620" w:rsidRDefault="00A5136E" w:rsidP="00183142">
            <w:pPr>
              <w:pStyle w:val="Legenda"/>
              <w:jc w:val="both"/>
              <w:rPr>
                <w:sz w:val="22"/>
                <w:szCs w:val="22"/>
              </w:rPr>
            </w:pPr>
            <w:r w:rsidRPr="00170FDC">
              <w:rPr>
                <w:sz w:val="22"/>
                <w:szCs w:val="22"/>
              </w:rPr>
              <w:t xml:space="preserve">Os esclarecimentos solicitados pelos interessados deverão ser respondidos </w:t>
            </w:r>
            <w:r>
              <w:rPr>
                <w:sz w:val="22"/>
                <w:szCs w:val="22"/>
              </w:rPr>
              <w:t xml:space="preserve">justificadamente </w:t>
            </w:r>
            <w:r w:rsidRPr="00170FDC">
              <w:rPr>
                <w:sz w:val="22"/>
                <w:szCs w:val="22"/>
              </w:rPr>
              <w:t>pela ANP no prazo de até 05 (cinco) dias úteis.</w:t>
            </w:r>
          </w:p>
        </w:tc>
        <w:tc>
          <w:tcPr>
            <w:tcW w:w="2126" w:type="pct"/>
            <w:vAlign w:val="center"/>
          </w:tcPr>
          <w:p w14:paraId="3EDA998C" w14:textId="77777777" w:rsidR="00A5136E" w:rsidRPr="00170FDC" w:rsidRDefault="00A5136E" w:rsidP="00E061A4">
            <w:pPr>
              <w:pStyle w:val="Legenda"/>
              <w:jc w:val="both"/>
              <w:rPr>
                <w:rFonts w:cs="Arial"/>
                <w:color w:val="000000" w:themeColor="text1"/>
                <w:sz w:val="22"/>
                <w:szCs w:val="22"/>
              </w:rPr>
            </w:pPr>
            <w:r>
              <w:rPr>
                <w:rFonts w:cs="Arial"/>
                <w:color w:val="000000" w:themeColor="text1"/>
                <w:sz w:val="22"/>
                <w:szCs w:val="22"/>
              </w:rPr>
              <w:t>É</w:t>
            </w:r>
            <w:r w:rsidRPr="00170FDC">
              <w:rPr>
                <w:rFonts w:cs="Arial"/>
                <w:color w:val="000000" w:themeColor="text1"/>
                <w:sz w:val="22"/>
                <w:szCs w:val="22"/>
              </w:rPr>
              <w:t xml:space="preserve"> razoável o estabelecimento do procedimento ora proposto para esclarecimento de dúvidas, de modo a conferir segurança jurídica ao próprio certame.</w:t>
            </w:r>
          </w:p>
        </w:tc>
      </w:tr>
      <w:tr w:rsidR="00A5136E" w:rsidRPr="00170FDC" w14:paraId="5C64E19E" w14:textId="77777777" w:rsidTr="0003097F">
        <w:trPr>
          <w:trHeight w:val="2268"/>
        </w:trPr>
        <w:tc>
          <w:tcPr>
            <w:tcW w:w="553" w:type="pct"/>
            <w:vAlign w:val="center"/>
          </w:tcPr>
          <w:p w14:paraId="5E1F399B" w14:textId="77777777" w:rsidR="00A5136E" w:rsidRPr="003619E8" w:rsidRDefault="00A5136E" w:rsidP="00A5136E">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6EF1D0DD"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DE69B28"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1.6, inclusão após o parágrafo §2º (incluído acima)</w:t>
            </w:r>
          </w:p>
        </w:tc>
        <w:tc>
          <w:tcPr>
            <w:tcW w:w="1386" w:type="pct"/>
            <w:vAlign w:val="center"/>
          </w:tcPr>
          <w:p w14:paraId="22DB2486" w14:textId="77777777" w:rsidR="00A5136E" w:rsidRPr="00170FDC" w:rsidDel="00AF4620" w:rsidRDefault="00A5136E" w:rsidP="00183142">
            <w:pPr>
              <w:pStyle w:val="Legenda"/>
              <w:jc w:val="both"/>
              <w:rPr>
                <w:sz w:val="22"/>
                <w:szCs w:val="22"/>
              </w:rPr>
            </w:pPr>
            <w:r w:rsidRPr="00170FDC">
              <w:rPr>
                <w:sz w:val="22"/>
                <w:szCs w:val="22"/>
              </w:rPr>
              <w:t xml:space="preserve">Nos casos de esclarecimentos de maior complexidade, nos quais a resposta dependa de dados/informações e/ou autorizações além dos limites das atribuições da CEL, a ANP poderá responder em prazo superior, devendo, contudo, a Agência indicar expressamente o prazo da resposta, o qual não poderá ultrapassar </w:t>
            </w:r>
            <w:r>
              <w:rPr>
                <w:sz w:val="22"/>
                <w:szCs w:val="22"/>
              </w:rPr>
              <w:t xml:space="preserve">ao penúltimo dia útil </w:t>
            </w:r>
            <w:r>
              <w:rPr>
                <w:sz w:val="22"/>
                <w:szCs w:val="22"/>
              </w:rPr>
              <w:lastRenderedPageBreak/>
              <w:t>anterior à</w:t>
            </w:r>
            <w:r w:rsidRPr="00170FDC">
              <w:rPr>
                <w:sz w:val="22"/>
                <w:szCs w:val="22"/>
              </w:rPr>
              <w:t xml:space="preserve"> data do certame.</w:t>
            </w:r>
          </w:p>
        </w:tc>
        <w:tc>
          <w:tcPr>
            <w:tcW w:w="2126" w:type="pct"/>
            <w:vAlign w:val="center"/>
          </w:tcPr>
          <w:p w14:paraId="4C14FE19" w14:textId="77777777" w:rsidR="00A5136E" w:rsidRPr="00170FDC" w:rsidRDefault="00A5136E" w:rsidP="00E061A4">
            <w:pPr>
              <w:pStyle w:val="Legenda"/>
              <w:jc w:val="both"/>
              <w:rPr>
                <w:rFonts w:cs="Arial"/>
                <w:color w:val="000000" w:themeColor="text1"/>
                <w:sz w:val="22"/>
                <w:szCs w:val="22"/>
              </w:rPr>
            </w:pPr>
            <w:r w:rsidRPr="00170FDC">
              <w:rPr>
                <w:rFonts w:cs="Arial"/>
                <w:color w:val="000000" w:themeColor="text1"/>
                <w:sz w:val="22"/>
                <w:szCs w:val="22"/>
              </w:rPr>
              <w:lastRenderedPageBreak/>
              <w:t>Vide comentário anterior.</w:t>
            </w:r>
          </w:p>
        </w:tc>
      </w:tr>
      <w:tr w:rsidR="00A5136E" w:rsidRPr="00170FDC" w14:paraId="24F82AD9" w14:textId="77777777" w:rsidTr="0003097F">
        <w:trPr>
          <w:trHeight w:val="2268"/>
        </w:trPr>
        <w:tc>
          <w:tcPr>
            <w:tcW w:w="553" w:type="pct"/>
            <w:vAlign w:val="center"/>
          </w:tcPr>
          <w:p w14:paraId="5F359BFF" w14:textId="77777777" w:rsidR="00A5136E" w:rsidRPr="003619E8" w:rsidRDefault="00A5136E" w:rsidP="00A5136E">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26AE6792"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BC80F07"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3.2, após o 7º parágrafo</w:t>
            </w:r>
          </w:p>
        </w:tc>
        <w:tc>
          <w:tcPr>
            <w:tcW w:w="1386" w:type="pct"/>
            <w:vAlign w:val="center"/>
          </w:tcPr>
          <w:p w14:paraId="14F541DC" w14:textId="77777777" w:rsidR="00A5136E" w:rsidRPr="00170FDC" w:rsidRDefault="00A5136E" w:rsidP="00183142">
            <w:pPr>
              <w:pStyle w:val="Legenda"/>
              <w:jc w:val="both"/>
              <w:rPr>
                <w:sz w:val="22"/>
                <w:szCs w:val="22"/>
              </w:rPr>
            </w:pPr>
          </w:p>
          <w:p w14:paraId="1FEC3EE2" w14:textId="77777777" w:rsidR="00A5136E" w:rsidRPr="00170FDC" w:rsidDel="00AF4620" w:rsidRDefault="00A5136E" w:rsidP="00183142">
            <w:pPr>
              <w:pStyle w:val="Legenda"/>
              <w:jc w:val="both"/>
              <w:rPr>
                <w:sz w:val="22"/>
                <w:szCs w:val="22"/>
              </w:rPr>
            </w:pPr>
            <w:r w:rsidRPr="00170FDC">
              <w:rPr>
                <w:sz w:val="22"/>
                <w:szCs w:val="22"/>
              </w:rPr>
              <w:t>As pessoas jurídicas poderão se utilizar do cadastro de sociedades empresárias, previsto no artigo 28 da Resolução ANP Nº 18/2015 para suprir as eventuais demandas de fornecimento de informações e/ou documentos adicionais requeridos pela ANP.</w:t>
            </w:r>
          </w:p>
        </w:tc>
        <w:tc>
          <w:tcPr>
            <w:tcW w:w="2126" w:type="pct"/>
            <w:vAlign w:val="center"/>
          </w:tcPr>
          <w:p w14:paraId="45353327" w14:textId="77777777" w:rsidR="00A5136E" w:rsidRPr="00170FDC" w:rsidRDefault="00A5136E" w:rsidP="00E061A4">
            <w:pPr>
              <w:pStyle w:val="Legenda"/>
              <w:jc w:val="both"/>
              <w:rPr>
                <w:rFonts w:cs="Arial"/>
                <w:color w:val="000000" w:themeColor="text1"/>
                <w:sz w:val="22"/>
                <w:szCs w:val="22"/>
              </w:rPr>
            </w:pPr>
            <w:r w:rsidRPr="00170FDC">
              <w:rPr>
                <w:rFonts w:cs="Arial"/>
                <w:color w:val="000000" w:themeColor="text1"/>
                <w:sz w:val="22"/>
                <w:szCs w:val="22"/>
              </w:rPr>
              <w:t xml:space="preserve">O Cadastro de sociedades empresárias, previsto no </w:t>
            </w:r>
            <w:r w:rsidRPr="00170FDC">
              <w:rPr>
                <w:sz w:val="22"/>
                <w:szCs w:val="22"/>
              </w:rPr>
              <w:t>Artigo 28 da Resolução ANP  18/2015 se constitui como importante ferramenta para otimizar/racionalizar o fluxo de informações no âmbito dos processos administrativos relacionados às licitações; evitando, por exemplo, o fornecimento de documentos em duplicidade e, portanto, a análise repetida dos mesmos por parte da ANP.</w:t>
            </w:r>
          </w:p>
        </w:tc>
      </w:tr>
      <w:tr w:rsidR="00A5136E" w:rsidRPr="00170FDC" w14:paraId="315CA6E5" w14:textId="77777777" w:rsidTr="0003097F">
        <w:trPr>
          <w:trHeight w:val="2268"/>
        </w:trPr>
        <w:tc>
          <w:tcPr>
            <w:tcW w:w="553" w:type="pct"/>
            <w:vAlign w:val="center"/>
          </w:tcPr>
          <w:p w14:paraId="5F908BD7" w14:textId="77777777" w:rsidR="00A5136E" w:rsidRPr="003619E8"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7519C1C" w14:textId="77777777" w:rsidR="00A5136E" w:rsidRPr="006E166E" w:rsidRDefault="00A5136E" w:rsidP="00A5136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20DEB252"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Item 3.3, 1º parágrafo</w:t>
            </w:r>
          </w:p>
        </w:tc>
        <w:tc>
          <w:tcPr>
            <w:tcW w:w="1386" w:type="pct"/>
            <w:vAlign w:val="center"/>
          </w:tcPr>
          <w:p w14:paraId="1A6BA698" w14:textId="77777777" w:rsidR="00A5136E" w:rsidRPr="00170FDC" w:rsidDel="00AF4620" w:rsidRDefault="00A5136E" w:rsidP="00183142">
            <w:pPr>
              <w:pStyle w:val="Legenda"/>
              <w:jc w:val="both"/>
              <w:rPr>
                <w:sz w:val="22"/>
                <w:szCs w:val="22"/>
              </w:rPr>
            </w:pPr>
            <w:r w:rsidRPr="00E7435E">
              <w:rPr>
                <w:sz w:val="22"/>
                <w:szCs w:val="22"/>
              </w:rPr>
              <w:t xml:space="preserve">Os documentos de habilitação e as atas da CEL terão caráter público, à exceção </w:t>
            </w:r>
            <w:r>
              <w:rPr>
                <w:sz w:val="22"/>
                <w:szCs w:val="22"/>
              </w:rPr>
              <w:t xml:space="preserve">dos classificados como sigilosos, inclusive </w:t>
            </w:r>
            <w:r w:rsidRPr="00E7435E">
              <w:rPr>
                <w:sz w:val="22"/>
                <w:szCs w:val="22"/>
              </w:rPr>
              <w:t>as informações acerca das Demonstrações Financeiras, do planejamento estratégico e da escolha dos Setores selecionados de acordo com o Pagamento da Taxa de Participação.</w:t>
            </w:r>
          </w:p>
        </w:tc>
        <w:tc>
          <w:tcPr>
            <w:tcW w:w="2126" w:type="pct"/>
            <w:vAlign w:val="center"/>
          </w:tcPr>
          <w:p w14:paraId="2EE2CE8A" w14:textId="77777777" w:rsidR="00A5136E" w:rsidRDefault="00A5136E" w:rsidP="00E061A4">
            <w:pPr>
              <w:pStyle w:val="Legenda"/>
              <w:spacing w:before="120"/>
              <w:jc w:val="both"/>
              <w:rPr>
                <w:sz w:val="22"/>
                <w:szCs w:val="22"/>
              </w:rPr>
            </w:pPr>
            <w:r>
              <w:rPr>
                <w:sz w:val="22"/>
                <w:szCs w:val="22"/>
              </w:rPr>
              <w:t>A</w:t>
            </w:r>
            <w:r w:rsidRPr="00E1057B">
              <w:rPr>
                <w:sz w:val="22"/>
                <w:szCs w:val="22"/>
              </w:rPr>
              <w:t xml:space="preserve"> exemplo das previsões constantes dos editais da 11ª e 12ª rodada de licitações, entende-se necessário resguardar a confidencialidade de determinadas informações que inclusive são sensíveis do ponto de vista concorrencial, tais como as demonstrações financeiras, dados relativos ao planejamento estratégico, como também a escolha dos setores de interesse das sociedades, conforme o pagamento das taxas de participação.</w:t>
            </w:r>
          </w:p>
          <w:p w14:paraId="4E1A5C3F" w14:textId="77777777" w:rsidR="00A5136E" w:rsidRPr="00E7435E" w:rsidRDefault="00A5136E" w:rsidP="00E061A4">
            <w:pPr>
              <w:jc w:val="both"/>
            </w:pPr>
          </w:p>
          <w:p w14:paraId="6451CE1A" w14:textId="77777777" w:rsidR="00A5136E" w:rsidRPr="00E7435E" w:rsidRDefault="00A5136E" w:rsidP="00E061A4">
            <w:pPr>
              <w:pStyle w:val="Legenda"/>
              <w:jc w:val="both"/>
              <w:rPr>
                <w:sz w:val="22"/>
                <w:szCs w:val="22"/>
              </w:rPr>
            </w:pPr>
            <w:r w:rsidRPr="00E7435E">
              <w:rPr>
                <w:sz w:val="22"/>
                <w:szCs w:val="22"/>
              </w:rPr>
              <w:t>A modificação do parágrafo subsequente em que pese tratar-se de melhoria de redação, vincula-se diretamente aos fundamentos supracitados.</w:t>
            </w:r>
          </w:p>
        </w:tc>
      </w:tr>
      <w:tr w:rsidR="00A5136E" w:rsidRPr="00170FDC" w14:paraId="67577CD3" w14:textId="77777777" w:rsidTr="0003097F">
        <w:trPr>
          <w:trHeight w:val="2268"/>
        </w:trPr>
        <w:tc>
          <w:tcPr>
            <w:tcW w:w="553" w:type="pct"/>
            <w:vAlign w:val="center"/>
          </w:tcPr>
          <w:p w14:paraId="38830932"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160487F3"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6E04560"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4.3.1, 1º parágrafo</w:t>
            </w:r>
          </w:p>
        </w:tc>
        <w:tc>
          <w:tcPr>
            <w:tcW w:w="1386" w:type="pct"/>
            <w:vAlign w:val="center"/>
          </w:tcPr>
          <w:p w14:paraId="24D25462" w14:textId="77777777" w:rsidR="00A5136E" w:rsidRPr="00CF1467" w:rsidRDefault="00A5136E" w:rsidP="00183142">
            <w:pPr>
              <w:pStyle w:val="Contrato-Clausula-Nvel3"/>
              <w:numPr>
                <w:ilvl w:val="0"/>
                <w:numId w:val="0"/>
              </w:numPr>
              <w:ind w:left="44"/>
            </w:pPr>
            <w:r w:rsidRPr="006D647B">
              <w:t xml:space="preserve">O pagamento deverá ser feito por boleto bancário, gerado no </w:t>
            </w:r>
            <w:r>
              <w:t xml:space="preserve">sítio eletrônico </w:t>
            </w:r>
            <w:r w:rsidRPr="00F816F8">
              <w:t>http://www.brasil-rounds</w:t>
            </w:r>
            <w:r>
              <w:t>.</w:t>
            </w:r>
            <w:r w:rsidRPr="00F816F8">
              <w:t>gov.br</w:t>
            </w:r>
            <w:r w:rsidRPr="00250F3A">
              <w:t xml:space="preserve"> ou via transferência bancária do exterior, nos termos da seção 4.3.1.1, </w:t>
            </w:r>
            <w:r>
              <w:t>sendo am</w:t>
            </w:r>
            <w:r w:rsidRPr="00250F3A">
              <w:t>bas as alternativas aplicáveis a licitantes brasileiras ou licitantes estrangeiras.</w:t>
            </w:r>
          </w:p>
        </w:tc>
        <w:tc>
          <w:tcPr>
            <w:tcW w:w="2126" w:type="pct"/>
            <w:vAlign w:val="center"/>
          </w:tcPr>
          <w:p w14:paraId="33FC0BA5" w14:textId="77777777" w:rsidR="00A5136E" w:rsidRPr="00CF1467" w:rsidRDefault="00A5136E" w:rsidP="00E061A4">
            <w:pPr>
              <w:pStyle w:val="Contrato-Clausula-Nvel3"/>
              <w:numPr>
                <w:ilvl w:val="0"/>
                <w:numId w:val="0"/>
              </w:numPr>
              <w:ind w:left="44"/>
            </w:pPr>
            <w:r>
              <w:t>Esclarecer que tanto a licitante brasileira quanto estrangeira pode realizar o pagamento via boleto bancário ou por transferência eletrônica de fundos.</w:t>
            </w:r>
          </w:p>
        </w:tc>
      </w:tr>
      <w:tr w:rsidR="00A5136E" w:rsidRPr="00170FDC" w14:paraId="5D7A0557" w14:textId="77777777" w:rsidTr="0003097F">
        <w:trPr>
          <w:trHeight w:val="2268"/>
        </w:trPr>
        <w:tc>
          <w:tcPr>
            <w:tcW w:w="553" w:type="pct"/>
            <w:vAlign w:val="center"/>
          </w:tcPr>
          <w:p w14:paraId="225C9A39"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559541F1"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A0F8E18" w14:textId="7C6FAD88" w:rsidR="00A5136E" w:rsidRPr="008E44C8" w:rsidRDefault="00EA3B60" w:rsidP="00183142">
            <w:pPr>
              <w:pStyle w:val="Legenda"/>
              <w:jc w:val="center"/>
              <w:rPr>
                <w:rFonts w:cs="Arial"/>
                <w:color w:val="000000" w:themeColor="text1"/>
                <w:sz w:val="22"/>
                <w:szCs w:val="22"/>
              </w:rPr>
            </w:pPr>
            <w:r>
              <w:rPr>
                <w:rFonts w:cs="Arial"/>
                <w:color w:val="000000" w:themeColor="text1"/>
                <w:sz w:val="22"/>
                <w:szCs w:val="22"/>
              </w:rPr>
              <w:t>4.4</w:t>
            </w:r>
            <w:r w:rsidR="00A5136E" w:rsidRPr="008E44C8">
              <w:rPr>
                <w:rFonts w:cs="Arial"/>
                <w:color w:val="000000" w:themeColor="text1"/>
                <w:sz w:val="22"/>
                <w:szCs w:val="22"/>
              </w:rPr>
              <w:t>.1, após o 1º parágrafo</w:t>
            </w:r>
          </w:p>
        </w:tc>
        <w:tc>
          <w:tcPr>
            <w:tcW w:w="1386" w:type="pct"/>
            <w:vAlign w:val="center"/>
          </w:tcPr>
          <w:p w14:paraId="21CB1CDE" w14:textId="77777777" w:rsidR="00A5136E" w:rsidRPr="006D647B" w:rsidRDefault="00A5136E" w:rsidP="00183142">
            <w:pPr>
              <w:pStyle w:val="Contrato-Clausula-Nvel3"/>
              <w:numPr>
                <w:ilvl w:val="0"/>
                <w:numId w:val="0"/>
              </w:numPr>
              <w:ind w:left="44"/>
            </w:pPr>
            <w:r w:rsidRPr="00250F3A">
              <w:t>O pagamento via boleto bancário pode ser feito por qualquer empresa do grupo ou mesmo terceiros.</w:t>
            </w:r>
            <w:r>
              <w:t xml:space="preserve"> O preenchimento do boleto bancário (campo sacado) deverá ser feito em nome da sociedade empresária que efetivamente irá se inscrever e participar do certame (mesmo na hipótese de licitante estrangeira). O campo “CPF/CEI/CNPJ” do boleto deverá ser preenchido com o CPF de um representante credenciado brasileiro da empresa (anexo VI do pré-edital).</w:t>
            </w:r>
          </w:p>
        </w:tc>
        <w:tc>
          <w:tcPr>
            <w:tcW w:w="2126" w:type="pct"/>
            <w:vAlign w:val="center"/>
          </w:tcPr>
          <w:p w14:paraId="081F2494" w14:textId="77777777" w:rsidR="00A5136E" w:rsidRPr="00873246" w:rsidRDefault="00A5136E" w:rsidP="00E061A4">
            <w:pPr>
              <w:jc w:val="both"/>
              <w:rPr>
                <w:rFonts w:ascii="Arial" w:hAnsi="Arial"/>
                <w:sz w:val="22"/>
              </w:rPr>
            </w:pPr>
            <w:r w:rsidRPr="00873246">
              <w:rPr>
                <w:rFonts w:ascii="Arial" w:hAnsi="Arial"/>
                <w:sz w:val="22"/>
              </w:rPr>
              <w:t>Objetivo de informar procedimento a ser adotado para fins de preenchimento do boleto bancário, principalmente na hipótese da licitante estrangeira.</w:t>
            </w:r>
          </w:p>
          <w:p w14:paraId="2DCAF086" w14:textId="77777777" w:rsidR="00A5136E" w:rsidRDefault="00A5136E" w:rsidP="00E061A4">
            <w:pPr>
              <w:pStyle w:val="Contrato-Clausula-Nvel3"/>
              <w:numPr>
                <w:ilvl w:val="0"/>
                <w:numId w:val="0"/>
              </w:numPr>
              <w:ind w:left="44"/>
            </w:pPr>
          </w:p>
        </w:tc>
      </w:tr>
      <w:tr w:rsidR="00A5136E" w:rsidRPr="00170FDC" w14:paraId="583EE792" w14:textId="77777777" w:rsidTr="0003097F">
        <w:trPr>
          <w:trHeight w:val="2268"/>
        </w:trPr>
        <w:tc>
          <w:tcPr>
            <w:tcW w:w="553" w:type="pct"/>
            <w:vAlign w:val="center"/>
          </w:tcPr>
          <w:p w14:paraId="5B7465C7"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B71744A"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A86EB0F" w14:textId="41AC97CE" w:rsidR="00A5136E" w:rsidRPr="008E44C8" w:rsidRDefault="008A4FED" w:rsidP="00183142">
            <w:pPr>
              <w:pStyle w:val="Legenda"/>
              <w:jc w:val="center"/>
              <w:rPr>
                <w:rFonts w:cs="Arial"/>
                <w:color w:val="000000" w:themeColor="text1"/>
                <w:sz w:val="22"/>
                <w:szCs w:val="22"/>
              </w:rPr>
            </w:pPr>
            <w:r>
              <w:rPr>
                <w:rFonts w:cs="Arial"/>
                <w:color w:val="000000" w:themeColor="text1"/>
                <w:sz w:val="22"/>
                <w:szCs w:val="22"/>
              </w:rPr>
              <w:t>4.4</w:t>
            </w:r>
            <w:r w:rsidR="00A5136E" w:rsidRPr="008E44C8">
              <w:rPr>
                <w:rFonts w:cs="Arial"/>
                <w:color w:val="000000" w:themeColor="text1"/>
                <w:sz w:val="22"/>
                <w:szCs w:val="22"/>
              </w:rPr>
              <w:t>.1.2, após o 1º parágrafo</w:t>
            </w:r>
          </w:p>
        </w:tc>
        <w:tc>
          <w:tcPr>
            <w:tcW w:w="1386" w:type="pct"/>
            <w:vAlign w:val="center"/>
          </w:tcPr>
          <w:p w14:paraId="54F496C8" w14:textId="77777777" w:rsidR="00A5136E" w:rsidRPr="00CF1467" w:rsidRDefault="00A5136E" w:rsidP="00183142">
            <w:pPr>
              <w:pStyle w:val="Contrato-Clausula-Nvel3"/>
              <w:numPr>
                <w:ilvl w:val="0"/>
                <w:numId w:val="0"/>
              </w:numPr>
              <w:ind w:left="44"/>
            </w:pPr>
            <w:r w:rsidRPr="00CF1467">
              <w:t xml:space="preserve">No caso de exclusão parcial da área pela ANP, a taxa de participação será devolvida na mesma proporção da referida exclusão e na integralidade caso o </w:t>
            </w:r>
            <w:r>
              <w:t xml:space="preserve">a licitante </w:t>
            </w:r>
            <w:r w:rsidRPr="00CF1467">
              <w:t>opte por desistir da participação da licitação referente àquela área.</w:t>
            </w:r>
          </w:p>
          <w:p w14:paraId="46496BEB" w14:textId="77777777" w:rsidR="00A5136E" w:rsidRPr="00CF1467" w:rsidDel="00AF4620" w:rsidRDefault="00A5136E" w:rsidP="00183142">
            <w:pPr>
              <w:pStyle w:val="Contrato-Clausula-Nvel3"/>
              <w:numPr>
                <w:ilvl w:val="0"/>
                <w:numId w:val="0"/>
              </w:numPr>
              <w:ind w:left="44"/>
            </w:pPr>
          </w:p>
        </w:tc>
        <w:tc>
          <w:tcPr>
            <w:tcW w:w="2126" w:type="pct"/>
            <w:vAlign w:val="center"/>
          </w:tcPr>
          <w:p w14:paraId="09BDFA7B" w14:textId="3E2D8625" w:rsidR="00A5136E" w:rsidRPr="00CF1467" w:rsidRDefault="00A5136E" w:rsidP="00E061A4">
            <w:pPr>
              <w:pStyle w:val="Contrato-Clausula-Nvel3"/>
              <w:numPr>
                <w:ilvl w:val="0"/>
                <w:numId w:val="0"/>
              </w:numPr>
              <w:ind w:left="44"/>
            </w:pPr>
            <w:r w:rsidRPr="00CF1467">
              <w:t>Não é razoável que a taxa de participação não seja devolvida ao interessado por decisão unilateral da ANP referente à exclusão da área.</w:t>
            </w:r>
            <w:r>
              <w:t xml:space="preserve">  Note-se que a exclusão de uma área pode ter impacto em todo o projeto, pelo que a desistência da licitante por um ato da ANP, não pode acarretar prejuízos às partes.</w:t>
            </w:r>
            <w:r w:rsidR="00657578">
              <w:t xml:space="preserve"> O fato do pagamento da taxa permitir a participação em outros setores, não afasta o argumento acima de que a licitante tem o direito de escolher em qual bloco quer participar e ao fazer o pagamento está indicando tal opção.</w:t>
            </w:r>
          </w:p>
        </w:tc>
      </w:tr>
      <w:tr w:rsidR="00A5136E" w:rsidRPr="00170FDC" w14:paraId="60E5879E" w14:textId="77777777" w:rsidTr="0003097F">
        <w:trPr>
          <w:trHeight w:val="2268"/>
        </w:trPr>
        <w:tc>
          <w:tcPr>
            <w:tcW w:w="553" w:type="pct"/>
            <w:vAlign w:val="center"/>
          </w:tcPr>
          <w:p w14:paraId="0046B04C"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2E6086F"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DDE6657"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5.2, 2º parágrafo.</w:t>
            </w:r>
          </w:p>
        </w:tc>
        <w:tc>
          <w:tcPr>
            <w:tcW w:w="1386" w:type="pct"/>
            <w:vAlign w:val="center"/>
          </w:tcPr>
          <w:p w14:paraId="1808DB91" w14:textId="00CE9044" w:rsidR="00A5136E" w:rsidRPr="008E1478" w:rsidRDefault="00A5136E" w:rsidP="00183142">
            <w:pPr>
              <w:pStyle w:val="Contrato-Clausula-Nvel3"/>
              <w:numPr>
                <w:ilvl w:val="0"/>
                <w:numId w:val="0"/>
              </w:numPr>
              <w:ind w:left="44"/>
            </w:pPr>
            <w:r w:rsidRPr="008E1478">
              <w:t>Em caso de prorrogação da data de assinatura dos contratos de concessão que tenha sido requerida pelas licitantes</w:t>
            </w:r>
            <w:r w:rsidRPr="00DA5F23">
              <w:t xml:space="preserve"> </w:t>
            </w:r>
            <w:r w:rsidRPr="008E1478">
              <w:t>com ofertas válidas, as mesmas serão convocadas para renovar suas garantias de oferta, caso aplicável.</w:t>
            </w:r>
          </w:p>
          <w:p w14:paraId="26DC19DA" w14:textId="77777777" w:rsidR="00A5136E" w:rsidRPr="00DA5F23" w:rsidDel="00AF4620" w:rsidRDefault="00A5136E" w:rsidP="00183142">
            <w:pPr>
              <w:pStyle w:val="Contrato-Clausula-Nvel3"/>
              <w:numPr>
                <w:ilvl w:val="0"/>
                <w:numId w:val="0"/>
              </w:numPr>
              <w:ind w:left="44"/>
            </w:pPr>
          </w:p>
        </w:tc>
        <w:tc>
          <w:tcPr>
            <w:tcW w:w="2126" w:type="pct"/>
            <w:vAlign w:val="center"/>
          </w:tcPr>
          <w:p w14:paraId="64D8814E" w14:textId="77777777" w:rsidR="00A5136E" w:rsidRPr="00DA5F23" w:rsidRDefault="00A5136E" w:rsidP="00E061A4">
            <w:pPr>
              <w:pStyle w:val="Contrato-Clausula-Nvel3"/>
              <w:numPr>
                <w:ilvl w:val="0"/>
                <w:numId w:val="0"/>
              </w:numPr>
              <w:ind w:left="44"/>
            </w:pPr>
            <w:r w:rsidRPr="00DA5F23">
              <w:t>Caso haja a postergação da data de assinatura dos Contratos de Concessão, sem definição de data, e por circunstâncias alheias à vontade e ao controle dos licitantes vencedores, o IBP entende que não é razoável exigir que os mesmos tenham o ônus financeiro de renovarem, sucessivamente, por período indefinido, as garantias de oferta.  Este é o caso, por exemplo, de eventuais prorrogações em razão de decisões judiciais que impactem a assinatura dos Contratos de Concessão</w:t>
            </w:r>
          </w:p>
        </w:tc>
      </w:tr>
      <w:tr w:rsidR="00A5136E" w:rsidRPr="00170FDC" w14:paraId="626AB813" w14:textId="77777777" w:rsidTr="0003097F">
        <w:trPr>
          <w:trHeight w:val="2268"/>
        </w:trPr>
        <w:tc>
          <w:tcPr>
            <w:tcW w:w="553" w:type="pct"/>
            <w:vAlign w:val="center"/>
          </w:tcPr>
          <w:p w14:paraId="6090A305"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7CAE2DD"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D6E0F47"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5.5, alínea “c”</w:t>
            </w:r>
          </w:p>
        </w:tc>
        <w:tc>
          <w:tcPr>
            <w:tcW w:w="1386" w:type="pct"/>
            <w:vAlign w:val="center"/>
          </w:tcPr>
          <w:p w14:paraId="724CEC35" w14:textId="77777777" w:rsidR="00A5136E" w:rsidRPr="00BD1C6D" w:rsidRDefault="00A5136E" w:rsidP="00183142">
            <w:pPr>
              <w:pStyle w:val="Contrato-Clausula-Nvel3"/>
              <w:numPr>
                <w:ilvl w:val="0"/>
                <w:numId w:val="0"/>
              </w:numPr>
              <w:ind w:left="44"/>
            </w:pPr>
            <w:r w:rsidRPr="00BD1C6D">
              <w:t>no caso de consórcio ter vencido a sessão pública de apresentação de ofertas, uma ou mais consorciadas não obtiverem qualificação na categoria mínima exigida para o setor onde se localizam os blocos objeto da oferta e as demais consorciadas não assumirem as responsabilidades das licitantes não qualificadas</w:t>
            </w:r>
            <w:r>
              <w:t xml:space="preserve"> na oferta</w:t>
            </w:r>
            <w:r w:rsidRPr="00BD1C6D">
              <w:t>;</w:t>
            </w:r>
          </w:p>
          <w:p w14:paraId="0C0EB028" w14:textId="77777777" w:rsidR="00A5136E" w:rsidRPr="00F2006D" w:rsidDel="00AF4620" w:rsidRDefault="00A5136E" w:rsidP="00183142">
            <w:pPr>
              <w:pStyle w:val="Contrato-Clausula-Nvel3"/>
              <w:numPr>
                <w:ilvl w:val="0"/>
                <w:numId w:val="0"/>
              </w:numPr>
              <w:ind w:left="44"/>
            </w:pPr>
          </w:p>
        </w:tc>
        <w:tc>
          <w:tcPr>
            <w:tcW w:w="2126" w:type="pct"/>
            <w:vAlign w:val="center"/>
          </w:tcPr>
          <w:p w14:paraId="2A88AE99" w14:textId="77777777" w:rsidR="00A5136E" w:rsidRDefault="00A5136E" w:rsidP="00E061A4">
            <w:pPr>
              <w:pStyle w:val="Contrato-Clausula-Nvel3"/>
              <w:numPr>
                <w:ilvl w:val="0"/>
                <w:numId w:val="0"/>
              </w:numPr>
              <w:ind w:left="44"/>
            </w:pPr>
            <w:r w:rsidRPr="00F2006D">
              <w:t>Melhoria de redação, objetivando esclarecer que a responsabilidade em questão se refere a assunção da participação relativa àquela (s) consorciada (s).</w:t>
            </w:r>
          </w:p>
          <w:p w14:paraId="589EE2AC" w14:textId="77777777" w:rsidR="00A5136E" w:rsidRPr="00F2006D" w:rsidRDefault="00A5136E" w:rsidP="00E061A4">
            <w:pPr>
              <w:pStyle w:val="Contrato-Clausula-Nvel3"/>
              <w:numPr>
                <w:ilvl w:val="0"/>
                <w:numId w:val="0"/>
              </w:numPr>
              <w:ind w:left="44"/>
            </w:pPr>
          </w:p>
        </w:tc>
      </w:tr>
      <w:tr w:rsidR="00A5136E" w:rsidRPr="00170FDC" w14:paraId="04DACF86" w14:textId="77777777" w:rsidTr="0003097F">
        <w:trPr>
          <w:trHeight w:val="2268"/>
        </w:trPr>
        <w:tc>
          <w:tcPr>
            <w:tcW w:w="553" w:type="pct"/>
            <w:vAlign w:val="center"/>
          </w:tcPr>
          <w:p w14:paraId="332497B4"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DDCB653"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74B5124"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5.5, alínea “h”</w:t>
            </w:r>
          </w:p>
        </w:tc>
        <w:tc>
          <w:tcPr>
            <w:tcW w:w="1386" w:type="pct"/>
            <w:vAlign w:val="center"/>
          </w:tcPr>
          <w:p w14:paraId="5F749463" w14:textId="77777777" w:rsidR="00A5136E" w:rsidRPr="00170FDC" w:rsidDel="00AF4620" w:rsidRDefault="00A5136E" w:rsidP="00183142">
            <w:pPr>
              <w:pStyle w:val="Contrato-Clausula-Nvel3"/>
              <w:numPr>
                <w:ilvl w:val="0"/>
                <w:numId w:val="0"/>
              </w:numPr>
              <w:ind w:left="44"/>
              <w:rPr>
                <w:rFonts w:cs="Arial"/>
                <w:b/>
                <w:szCs w:val="22"/>
              </w:rPr>
            </w:pPr>
            <w:r>
              <w:t xml:space="preserve">nos casos de desclassificação previstos nas alíneas (c) e (d) </w:t>
            </w:r>
            <w:r w:rsidRPr="00C9557B">
              <w:t>da seção 1.5,</w:t>
            </w:r>
            <w:r>
              <w:t xml:space="preserve"> exceto nas ofertas em consórcio em que </w:t>
            </w:r>
            <w:r w:rsidRPr="00BD1C6D">
              <w:t xml:space="preserve">as demais consorciadas </w:t>
            </w:r>
            <w:r>
              <w:t>assumam a</w:t>
            </w:r>
            <w:r w:rsidRPr="00BD1C6D">
              <w:t xml:space="preserve">s </w:t>
            </w:r>
            <w:r>
              <w:t>responsabilidades das licitantes desclassificadas na oferta</w:t>
            </w:r>
            <w:r w:rsidRPr="00BD1C6D">
              <w:rPr>
                <w:rFonts w:eastAsia="Calibri"/>
              </w:rPr>
              <w:t>.</w:t>
            </w:r>
          </w:p>
        </w:tc>
        <w:tc>
          <w:tcPr>
            <w:tcW w:w="2126" w:type="pct"/>
            <w:vAlign w:val="center"/>
          </w:tcPr>
          <w:p w14:paraId="166D90A7" w14:textId="77777777" w:rsidR="00A5136E" w:rsidRDefault="00A5136E" w:rsidP="00E061A4">
            <w:pPr>
              <w:pStyle w:val="Contrato-Clausula-Nvel3"/>
              <w:numPr>
                <w:ilvl w:val="0"/>
                <w:numId w:val="0"/>
              </w:numPr>
              <w:ind w:left="44"/>
            </w:pPr>
            <w:r w:rsidRPr="00F2006D">
              <w:t>Melhoria de redação, objetivando esclarecer que a responsabilidade em questão se refere a assunção da participação relativa àquela (s) consorciada (s).</w:t>
            </w:r>
          </w:p>
          <w:p w14:paraId="045325B9" w14:textId="77777777" w:rsidR="00A5136E" w:rsidRPr="00170FDC" w:rsidRDefault="00A5136E" w:rsidP="00E061A4">
            <w:pPr>
              <w:pStyle w:val="Legenda"/>
              <w:jc w:val="both"/>
              <w:rPr>
                <w:rFonts w:cs="Arial"/>
                <w:color w:val="000000" w:themeColor="text1"/>
                <w:sz w:val="22"/>
                <w:szCs w:val="22"/>
              </w:rPr>
            </w:pPr>
          </w:p>
        </w:tc>
      </w:tr>
      <w:tr w:rsidR="00A5136E" w:rsidRPr="00170FDC" w14:paraId="62D49E87" w14:textId="77777777" w:rsidTr="0003097F">
        <w:trPr>
          <w:trHeight w:val="2268"/>
        </w:trPr>
        <w:tc>
          <w:tcPr>
            <w:tcW w:w="553" w:type="pct"/>
            <w:vAlign w:val="center"/>
          </w:tcPr>
          <w:p w14:paraId="59580CB0"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21EBA0F1"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678A11B1"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5.5, 4º parágrafo</w:t>
            </w:r>
          </w:p>
        </w:tc>
        <w:tc>
          <w:tcPr>
            <w:tcW w:w="1386" w:type="pct"/>
            <w:vAlign w:val="center"/>
          </w:tcPr>
          <w:p w14:paraId="36D5B2D4" w14:textId="77777777" w:rsidR="00A5136E" w:rsidRPr="00BB4067" w:rsidDel="00AF4620" w:rsidRDefault="00A5136E" w:rsidP="00183142">
            <w:pPr>
              <w:pStyle w:val="Contrato-Clausula-Nvel3"/>
              <w:numPr>
                <w:ilvl w:val="0"/>
                <w:numId w:val="0"/>
              </w:numPr>
              <w:ind w:left="44"/>
              <w:rPr>
                <w:rFonts w:cs="Arial"/>
                <w:b/>
                <w:strike/>
                <w:szCs w:val="22"/>
              </w:rPr>
            </w:pPr>
          </w:p>
        </w:tc>
        <w:tc>
          <w:tcPr>
            <w:tcW w:w="2126" w:type="pct"/>
            <w:vAlign w:val="center"/>
          </w:tcPr>
          <w:p w14:paraId="3F3A4EB3" w14:textId="77777777" w:rsidR="00A5136E" w:rsidRPr="00BB4067" w:rsidRDefault="00A5136E" w:rsidP="00E061A4">
            <w:pPr>
              <w:pStyle w:val="Legenda"/>
              <w:spacing w:before="120"/>
              <w:jc w:val="both"/>
              <w:rPr>
                <w:rFonts w:cs="Arial"/>
                <w:sz w:val="22"/>
                <w:szCs w:val="22"/>
              </w:rPr>
            </w:pPr>
            <w:r w:rsidRPr="00BB4067">
              <w:rPr>
                <w:rFonts w:cs="Arial"/>
                <w:sz w:val="22"/>
                <w:szCs w:val="22"/>
              </w:rPr>
              <w:t>O edital de licitações traz as regras, remédios, condições e consequências para as hipóteses de execução da garantia e/ou pagamento direto à União não deveria o edital fazer referência a potenciais ressarcimentos e/ou compensações à administração pública, as quais, além de serem de difícil quantificação, representam seara externa, distinta do certame regulado pela agência, que é a entidade detentora da capacidade regulatória para definir as situações de potencial inadimplemento e regular os atos e/ou omissões do(s) licitante(s). Visa-se, com a supressão do presente dispositivo, a evitar insegurança jurídica e dar maior previsibilidade aos investidores.</w:t>
            </w:r>
          </w:p>
          <w:p w14:paraId="3AEA0125" w14:textId="77777777" w:rsidR="00A5136E" w:rsidRPr="00BB4067" w:rsidRDefault="00A5136E" w:rsidP="00E061A4">
            <w:pPr>
              <w:pStyle w:val="Legenda"/>
              <w:spacing w:before="120"/>
              <w:jc w:val="both"/>
              <w:rPr>
                <w:rFonts w:cs="Arial"/>
                <w:sz w:val="22"/>
                <w:szCs w:val="22"/>
              </w:rPr>
            </w:pPr>
            <w:r w:rsidRPr="00BB4067">
              <w:rPr>
                <w:rFonts w:cs="Arial"/>
                <w:sz w:val="22"/>
                <w:szCs w:val="22"/>
              </w:rPr>
              <w:t>Ademais, o IBP entende que a obrigação de indenizar à administração pública é desproporcional e irrazoável. manter  esta previsão sobre indenização à administração pública no caso de não assinatura do contrato de concessão traz enorme insegurança jurídica, pois não conhecidas as causas porventura legítimas que poderiam fazer com que os vencedores sejam levados a optar por não assinar os Contratos de Concessão e que levariam a esta enorme exposição financeira, caso tenha de ser paga uma indenização à administração que poderia inclusive, no limite, vir a englobar aspectos intangíveis ou participações governamentais (bônus, taxa de retenção) que seriam  recolhidas caso o contrato tivesse sido assinado, etc.</w:t>
            </w:r>
          </w:p>
          <w:p w14:paraId="3E3AB34C" w14:textId="77777777" w:rsidR="00A5136E" w:rsidRPr="00BB4067" w:rsidRDefault="00A5136E" w:rsidP="00E061A4">
            <w:pPr>
              <w:pStyle w:val="Textodecomentrio"/>
              <w:jc w:val="both"/>
              <w:rPr>
                <w:rFonts w:ascii="Arial" w:hAnsi="Arial" w:cs="Arial"/>
                <w:sz w:val="22"/>
                <w:szCs w:val="22"/>
              </w:rPr>
            </w:pPr>
            <w:r w:rsidRPr="00BB4067">
              <w:rPr>
                <w:rFonts w:ascii="Arial" w:hAnsi="Arial" w:cs="Arial"/>
                <w:sz w:val="22"/>
                <w:szCs w:val="22"/>
              </w:rPr>
              <w:t>É de conhecimento público que existiram ações civis públicas no âmbito da 12ª Rodada de Licitações, que ensejaram a suspensão da assinatura dos Contratos de Concessão e o questionamento das regras do edital e do contrato. Caso, em razão das incertezas jurídicas, os licitantes vencedores preferissem, legitimamente, não prosseguir na assinatura dos contratos de concessão e caso houvesse tal regra prevista no Edital, a consequência poderia ser o pagamento, pelo vencedor, de perdas e danos à Administração.</w:t>
            </w:r>
          </w:p>
          <w:p w14:paraId="6CFD2FB1" w14:textId="77777777" w:rsidR="00A5136E" w:rsidRPr="00BB4067" w:rsidRDefault="00A5136E" w:rsidP="00E061A4">
            <w:pPr>
              <w:pStyle w:val="Textodecomentrio"/>
              <w:jc w:val="both"/>
              <w:rPr>
                <w:rFonts w:ascii="Arial" w:hAnsi="Arial" w:cs="Arial"/>
                <w:sz w:val="22"/>
                <w:szCs w:val="22"/>
              </w:rPr>
            </w:pPr>
            <w:r w:rsidRPr="00BB4067">
              <w:rPr>
                <w:rFonts w:ascii="Arial" w:hAnsi="Arial" w:cs="Arial"/>
                <w:sz w:val="22"/>
                <w:szCs w:val="22"/>
              </w:rPr>
              <w:br/>
            </w:r>
            <w:r w:rsidRPr="00BB4067">
              <w:rPr>
                <w:rFonts w:ascii="Arial" w:hAnsi="Arial" w:cs="Arial"/>
                <w:sz w:val="22"/>
                <w:szCs w:val="22"/>
              </w:rPr>
              <w:lastRenderedPageBreak/>
              <w:t> No entanto, ainda que o motivo para o não prosseguimento para a assinatura fosse de outra natureza, ainda assim, parece desproporcional ter de pagar a garantia de oferta e ainda pagar perdas e danos adicionais.</w:t>
            </w:r>
          </w:p>
          <w:p w14:paraId="481B8546" w14:textId="77777777" w:rsidR="00A5136E" w:rsidRPr="00BB4067" w:rsidRDefault="00A5136E" w:rsidP="00E061A4">
            <w:pPr>
              <w:pStyle w:val="Legenda"/>
              <w:jc w:val="both"/>
              <w:rPr>
                <w:rFonts w:cs="Arial"/>
                <w:sz w:val="22"/>
                <w:szCs w:val="22"/>
              </w:rPr>
            </w:pPr>
          </w:p>
        </w:tc>
      </w:tr>
      <w:tr w:rsidR="00A5136E" w:rsidRPr="00170FDC" w14:paraId="029EF2E9" w14:textId="77777777" w:rsidTr="0003097F">
        <w:trPr>
          <w:trHeight w:val="2268"/>
        </w:trPr>
        <w:tc>
          <w:tcPr>
            <w:tcW w:w="553" w:type="pct"/>
            <w:vAlign w:val="center"/>
          </w:tcPr>
          <w:p w14:paraId="11D2818E"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53C0D643"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27E8B297"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5.6, alínea “d”</w:t>
            </w:r>
          </w:p>
        </w:tc>
        <w:tc>
          <w:tcPr>
            <w:tcW w:w="1386" w:type="pct"/>
            <w:vAlign w:val="center"/>
          </w:tcPr>
          <w:p w14:paraId="25181410" w14:textId="77777777" w:rsidR="00A5136E" w:rsidRPr="00170FDC" w:rsidDel="00AF4620" w:rsidRDefault="00A5136E" w:rsidP="00183142">
            <w:pPr>
              <w:pStyle w:val="Contrato-Clausula-Nvel3"/>
              <w:numPr>
                <w:ilvl w:val="0"/>
                <w:numId w:val="0"/>
              </w:numPr>
              <w:ind w:left="44"/>
              <w:rPr>
                <w:rFonts w:cs="Arial"/>
                <w:b/>
                <w:szCs w:val="22"/>
              </w:rPr>
            </w:pPr>
            <w:r w:rsidRPr="00B708CA">
              <w:rPr>
                <w:szCs w:val="22"/>
              </w:rPr>
              <w:t>a todas as licitantes que apresentaram oferta válida, em até 15 (quinze) dias após se manifestarem pelo não prosseguimento da assinatura do Contrato de Concessão em razão de decisão administrativa ou judicial que impacte materialmente às condições do Edital ou do Contrato de Concessão.</w:t>
            </w:r>
          </w:p>
        </w:tc>
        <w:tc>
          <w:tcPr>
            <w:tcW w:w="2126" w:type="pct"/>
            <w:vAlign w:val="center"/>
          </w:tcPr>
          <w:p w14:paraId="27C66F0C" w14:textId="77777777" w:rsidR="00A5136E" w:rsidRPr="00170FDC" w:rsidRDefault="00A5136E" w:rsidP="00E061A4">
            <w:pPr>
              <w:pStyle w:val="Legenda"/>
              <w:jc w:val="both"/>
              <w:rPr>
                <w:rFonts w:cs="Arial"/>
                <w:color w:val="000000" w:themeColor="text1"/>
                <w:sz w:val="22"/>
                <w:szCs w:val="22"/>
              </w:rPr>
            </w:pPr>
            <w:r w:rsidRPr="00B708CA">
              <w:rPr>
                <w:rFonts w:cs="Arial"/>
                <w:sz w:val="22"/>
                <w:szCs w:val="22"/>
              </w:rPr>
              <w:t>No caso de decisões judiciais (por exemplo, em sede de liminares de Ações Civis Públicas) que suspendam a assinatura dos contratos de concessão ou que limitem a aplicação de regras do edital e do contrato, de maneira a trazer impactos materiais para o concessionário que realizou a oferta, os licitantes vencedores deverão ter a prerrogativa de não prosseguir na assinatura dos contratos de concessão sem qualquer ônus.</w:t>
            </w:r>
          </w:p>
        </w:tc>
      </w:tr>
      <w:tr w:rsidR="00A5136E" w:rsidRPr="00170FDC" w14:paraId="19CD3E91" w14:textId="77777777" w:rsidTr="0003097F">
        <w:trPr>
          <w:trHeight w:val="2268"/>
        </w:trPr>
        <w:tc>
          <w:tcPr>
            <w:tcW w:w="553" w:type="pct"/>
            <w:vAlign w:val="center"/>
          </w:tcPr>
          <w:p w14:paraId="6E4EE4F7" w14:textId="77777777" w:rsidR="00A5136E" w:rsidRPr="005D6C35" w:rsidRDefault="00A5136E" w:rsidP="00A5136E">
            <w:pPr>
              <w:pStyle w:val="Legenda"/>
              <w:jc w:val="center"/>
              <w:rPr>
                <w:rFonts w:cs="Arial"/>
                <w:color w:val="000000" w:themeColor="text1"/>
                <w:sz w:val="22"/>
                <w:szCs w:val="22"/>
              </w:rPr>
            </w:pPr>
            <w:r w:rsidRPr="005D6C35">
              <w:rPr>
                <w:rFonts w:cs="Arial"/>
                <w:color w:val="000000" w:themeColor="text1"/>
                <w:sz w:val="22"/>
                <w:szCs w:val="22"/>
              </w:rPr>
              <w:t>Pré-edital</w:t>
            </w:r>
          </w:p>
        </w:tc>
        <w:tc>
          <w:tcPr>
            <w:tcW w:w="441" w:type="pct"/>
            <w:vAlign w:val="center"/>
          </w:tcPr>
          <w:p w14:paraId="63B2D4C9" w14:textId="77777777" w:rsidR="00A5136E" w:rsidRPr="005D6C35" w:rsidRDefault="00A5136E" w:rsidP="00A5136E">
            <w:pPr>
              <w:pStyle w:val="Legenda"/>
              <w:jc w:val="center"/>
              <w:rPr>
                <w:rFonts w:cs="Arial"/>
                <w:color w:val="000000" w:themeColor="text1"/>
                <w:sz w:val="22"/>
                <w:szCs w:val="22"/>
              </w:rPr>
            </w:pPr>
            <w:r w:rsidRPr="005D6C35">
              <w:rPr>
                <w:rFonts w:cs="Arial"/>
                <w:color w:val="000000" w:themeColor="text1"/>
                <w:sz w:val="22"/>
                <w:szCs w:val="22"/>
              </w:rPr>
              <w:t>Inclusão</w:t>
            </w:r>
          </w:p>
        </w:tc>
        <w:tc>
          <w:tcPr>
            <w:tcW w:w="494" w:type="pct"/>
            <w:vAlign w:val="center"/>
          </w:tcPr>
          <w:p w14:paraId="5E9A0300"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6.3.1, após o 2º parágrafo</w:t>
            </w:r>
          </w:p>
        </w:tc>
        <w:tc>
          <w:tcPr>
            <w:tcW w:w="1386" w:type="pct"/>
            <w:vAlign w:val="center"/>
          </w:tcPr>
          <w:p w14:paraId="55720AFD" w14:textId="77777777" w:rsidR="00A5136E" w:rsidRPr="005D6C35" w:rsidRDefault="00A5136E" w:rsidP="00183142">
            <w:pPr>
              <w:pStyle w:val="Contrato-Clausula-Nvel3"/>
              <w:numPr>
                <w:ilvl w:val="0"/>
                <w:numId w:val="0"/>
              </w:numPr>
              <w:ind w:left="44"/>
              <w:rPr>
                <w:szCs w:val="22"/>
              </w:rPr>
            </w:pPr>
            <w:r>
              <w:t xml:space="preserve">As instruções para pagamento do bônus de assinatura estarão disponíveis diretamente no </w:t>
            </w:r>
            <w:r w:rsidRPr="006D647B">
              <w:t xml:space="preserve">o </w:t>
            </w:r>
            <w:r>
              <w:t xml:space="preserve">sítio eletrônico </w:t>
            </w:r>
            <w:r w:rsidRPr="00F816F8">
              <w:t>http://www.brasil-rounds.gov.br</w:t>
            </w:r>
            <w:r>
              <w:t>.</w:t>
            </w:r>
          </w:p>
        </w:tc>
        <w:tc>
          <w:tcPr>
            <w:tcW w:w="2126" w:type="pct"/>
            <w:vAlign w:val="center"/>
          </w:tcPr>
          <w:p w14:paraId="131C6CA5" w14:textId="77777777" w:rsidR="00A5136E" w:rsidRPr="005D6C35" w:rsidRDefault="00A5136E" w:rsidP="00E061A4">
            <w:pPr>
              <w:pStyle w:val="Legenda"/>
              <w:jc w:val="both"/>
              <w:rPr>
                <w:rFonts w:cs="Arial"/>
                <w:color w:val="000000" w:themeColor="text1"/>
                <w:sz w:val="22"/>
                <w:szCs w:val="22"/>
              </w:rPr>
            </w:pPr>
            <w:r w:rsidRPr="005D6C35">
              <w:rPr>
                <w:rFonts w:cs="Arial"/>
                <w:color w:val="000000" w:themeColor="text1"/>
                <w:sz w:val="22"/>
                <w:szCs w:val="22"/>
              </w:rPr>
              <w:t>Objetivo de explicitar informação informalmente prestada pela ANP</w:t>
            </w:r>
          </w:p>
          <w:p w14:paraId="4480BC86" w14:textId="77777777" w:rsidR="00A5136E" w:rsidRPr="005D6C35" w:rsidRDefault="00A5136E" w:rsidP="00E061A4">
            <w:pPr>
              <w:pStyle w:val="Legenda"/>
              <w:jc w:val="both"/>
              <w:rPr>
                <w:rFonts w:cs="Arial"/>
                <w:color w:val="000000" w:themeColor="text1"/>
                <w:sz w:val="22"/>
                <w:szCs w:val="22"/>
              </w:rPr>
            </w:pPr>
          </w:p>
        </w:tc>
      </w:tr>
      <w:tr w:rsidR="00E25C89" w:rsidRPr="00170FDC" w14:paraId="27A29163" w14:textId="77777777" w:rsidTr="0003097F">
        <w:trPr>
          <w:trHeight w:val="2268"/>
        </w:trPr>
        <w:tc>
          <w:tcPr>
            <w:tcW w:w="553" w:type="pct"/>
            <w:vAlign w:val="center"/>
          </w:tcPr>
          <w:p w14:paraId="601992B6" w14:textId="77777777" w:rsidR="00E25C89" w:rsidRPr="003C4148" w:rsidRDefault="00E25C89" w:rsidP="00A5136E">
            <w:pPr>
              <w:pStyle w:val="Legenda"/>
              <w:jc w:val="center"/>
              <w:rPr>
                <w:rFonts w:cs="Arial"/>
                <w:strike/>
                <w:color w:val="00B050"/>
                <w:sz w:val="22"/>
                <w:szCs w:val="22"/>
              </w:rPr>
            </w:pPr>
          </w:p>
        </w:tc>
        <w:tc>
          <w:tcPr>
            <w:tcW w:w="441" w:type="pct"/>
            <w:vAlign w:val="center"/>
          </w:tcPr>
          <w:p w14:paraId="501E3C2A" w14:textId="77777777" w:rsidR="00E25C89" w:rsidRPr="003C4148" w:rsidRDefault="00E25C89" w:rsidP="00A5136E">
            <w:pPr>
              <w:pStyle w:val="Legenda"/>
              <w:jc w:val="center"/>
              <w:rPr>
                <w:rFonts w:cs="Arial"/>
                <w:strike/>
                <w:color w:val="00B050"/>
                <w:sz w:val="22"/>
                <w:szCs w:val="22"/>
              </w:rPr>
            </w:pPr>
          </w:p>
        </w:tc>
        <w:tc>
          <w:tcPr>
            <w:tcW w:w="494" w:type="pct"/>
            <w:vAlign w:val="center"/>
          </w:tcPr>
          <w:p w14:paraId="32F6EE40" w14:textId="45F74EF4" w:rsidR="00E25C89" w:rsidRPr="00D4325D" w:rsidRDefault="00672A32" w:rsidP="00183142">
            <w:pPr>
              <w:pStyle w:val="Legenda"/>
              <w:jc w:val="center"/>
              <w:rPr>
                <w:rFonts w:cs="Arial"/>
                <w:color w:val="00B050"/>
                <w:sz w:val="22"/>
                <w:szCs w:val="22"/>
              </w:rPr>
            </w:pPr>
            <w:r>
              <w:rPr>
                <w:rFonts w:cs="Arial"/>
                <w:sz w:val="22"/>
                <w:szCs w:val="22"/>
              </w:rPr>
              <w:t xml:space="preserve">6.4, alínea </w:t>
            </w:r>
            <w:r w:rsidR="0014262B">
              <w:rPr>
                <w:rFonts w:cs="Arial"/>
                <w:sz w:val="22"/>
                <w:szCs w:val="22"/>
              </w:rPr>
              <w:t>”</w:t>
            </w:r>
            <w:r w:rsidR="00E25C89" w:rsidRPr="00010D86">
              <w:rPr>
                <w:rFonts w:cs="Arial"/>
                <w:sz w:val="22"/>
                <w:szCs w:val="22"/>
              </w:rPr>
              <w:t>l</w:t>
            </w:r>
            <w:r w:rsidR="0014262B">
              <w:rPr>
                <w:rFonts w:cs="Arial"/>
                <w:sz w:val="22"/>
                <w:szCs w:val="22"/>
              </w:rPr>
              <w:t>”</w:t>
            </w:r>
          </w:p>
        </w:tc>
        <w:tc>
          <w:tcPr>
            <w:tcW w:w="1386" w:type="pct"/>
            <w:vAlign w:val="center"/>
          </w:tcPr>
          <w:p w14:paraId="22B03B17" w14:textId="6BA90988" w:rsidR="00E25C89" w:rsidRPr="004C60FF" w:rsidRDefault="00E25C89" w:rsidP="00183142">
            <w:pPr>
              <w:pStyle w:val="Contrato-Clausula-Nvel3"/>
              <w:numPr>
                <w:ilvl w:val="0"/>
                <w:numId w:val="0"/>
              </w:numPr>
              <w:ind w:left="44"/>
            </w:pPr>
            <w:r w:rsidRPr="00EA55AC">
              <w:t>a limitação do item acima é estendida para licitantes integrantes de um mesmo grupo societário, e para licitantes que tenham administradores, diretores, sócios ou representantes credenciados comuns, exceto se demonstrado que não agem representando interesse societário em comum. Caso sejam identificadas licitantes que possam estar enquadradas nesta situação, a CEL decidirá se estas licitantes poderão fazer ofertas para os mesmos blocos, levando em conta a promoção da competitividade do certame</w:t>
            </w:r>
            <w:r w:rsidRPr="004C60FF">
              <w:t>;</w:t>
            </w:r>
          </w:p>
          <w:p w14:paraId="461EE2AB" w14:textId="77777777" w:rsidR="00E25C89" w:rsidRPr="003C4148" w:rsidRDefault="00E25C89" w:rsidP="00183142">
            <w:pPr>
              <w:pStyle w:val="Contrato-Clausula-Nvel3"/>
              <w:numPr>
                <w:ilvl w:val="0"/>
                <w:numId w:val="0"/>
              </w:numPr>
              <w:ind w:left="44"/>
              <w:rPr>
                <w:rFonts w:cs="Arial"/>
                <w:strike/>
                <w:color w:val="00B050"/>
                <w:szCs w:val="22"/>
              </w:rPr>
            </w:pPr>
          </w:p>
        </w:tc>
        <w:tc>
          <w:tcPr>
            <w:tcW w:w="2126" w:type="pct"/>
            <w:vAlign w:val="center"/>
          </w:tcPr>
          <w:p w14:paraId="29EA96A9" w14:textId="07F87BB4" w:rsidR="00E25C89" w:rsidRPr="00010D86" w:rsidRDefault="000C7234" w:rsidP="00E061A4">
            <w:pPr>
              <w:pStyle w:val="Legenda"/>
              <w:jc w:val="both"/>
              <w:rPr>
                <w:rFonts w:cs="Arial"/>
                <w:sz w:val="22"/>
                <w:szCs w:val="22"/>
              </w:rPr>
            </w:pPr>
            <w:r w:rsidRPr="00010D86">
              <w:rPr>
                <w:rFonts w:cs="Arial"/>
                <w:sz w:val="22"/>
                <w:szCs w:val="22"/>
              </w:rPr>
              <w:t xml:space="preserve">A inclusão de tal disposição impede ou ao menos </w:t>
            </w:r>
            <w:r w:rsidR="00672A32" w:rsidRPr="00010D86">
              <w:rPr>
                <w:rFonts w:cs="Arial"/>
                <w:sz w:val="22"/>
                <w:szCs w:val="22"/>
              </w:rPr>
              <w:t>dificulta</w:t>
            </w:r>
            <w:r w:rsidRPr="00010D86">
              <w:rPr>
                <w:rFonts w:cs="Arial"/>
                <w:sz w:val="22"/>
                <w:szCs w:val="22"/>
              </w:rPr>
              <w:t xml:space="preserve"> a participação de todas as empresas que atuam no setor de E&amp;P por meio de consórcio, uma vez que nessa modalidade há sempre o compartilhamento de recursos materiais, tecnológicos e humanos.</w:t>
            </w:r>
          </w:p>
        </w:tc>
      </w:tr>
      <w:tr w:rsidR="00A5136E" w:rsidRPr="00170FDC" w14:paraId="4CE94CE1" w14:textId="77777777" w:rsidTr="0003097F">
        <w:trPr>
          <w:trHeight w:val="2268"/>
        </w:trPr>
        <w:tc>
          <w:tcPr>
            <w:tcW w:w="553" w:type="pct"/>
            <w:vAlign w:val="center"/>
          </w:tcPr>
          <w:p w14:paraId="38445689"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0B8860F"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1FBC172"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7.2.1.1.1, alínea “b.1”</w:t>
            </w:r>
          </w:p>
        </w:tc>
        <w:tc>
          <w:tcPr>
            <w:tcW w:w="1386" w:type="pct"/>
            <w:vAlign w:val="center"/>
          </w:tcPr>
          <w:p w14:paraId="2238FDA5" w14:textId="77777777" w:rsidR="00A5136E" w:rsidRDefault="00A5136E" w:rsidP="00183142">
            <w:pPr>
              <w:pStyle w:val="Contrato-Clausula-Nvel3"/>
              <w:numPr>
                <w:ilvl w:val="0"/>
                <w:numId w:val="0"/>
              </w:numPr>
              <w:ind w:left="44"/>
            </w:pPr>
            <w:r>
              <w:t>- 20</w:t>
            </w:r>
            <w:r w:rsidRPr="00FC56CF">
              <w:t xml:space="preserve"> (</w:t>
            </w:r>
            <w:r>
              <w:t>vinte</w:t>
            </w:r>
            <w:r w:rsidRPr="00FC56CF">
              <w:t>) pontos</w:t>
            </w:r>
            <w:r w:rsidRPr="008340EE">
              <w:t xml:space="preserve"> na condição de operadora; ou</w:t>
            </w:r>
          </w:p>
          <w:p w14:paraId="7F676480" w14:textId="0F81263F" w:rsidR="00A5136E" w:rsidRDefault="00A5136E" w:rsidP="00183142">
            <w:pPr>
              <w:pStyle w:val="Contrato-Clausula-Nvel3"/>
              <w:numPr>
                <w:ilvl w:val="0"/>
                <w:numId w:val="0"/>
              </w:numPr>
              <w:ind w:left="44"/>
            </w:pPr>
            <w:r>
              <w:t xml:space="preserve">-  </w:t>
            </w:r>
            <w:r w:rsidRPr="00FC56CF">
              <w:t xml:space="preserve">10 </w:t>
            </w:r>
            <w:r>
              <w:t>(</w:t>
            </w:r>
            <w:r w:rsidRPr="00FC56CF">
              <w:t>dez</w:t>
            </w:r>
            <w:r>
              <w:t>)</w:t>
            </w:r>
            <w:r w:rsidRPr="00FC56CF">
              <w:t xml:space="preserve"> pontos</w:t>
            </w:r>
            <w:r>
              <w:t xml:space="preserve"> na condição </w:t>
            </w:r>
            <w:r w:rsidRPr="000C3DCB">
              <w:t xml:space="preserve">de não </w:t>
            </w:r>
            <w:r>
              <w:t>operadora; ou</w:t>
            </w:r>
          </w:p>
          <w:p w14:paraId="3C87803B" w14:textId="77777777" w:rsidR="00A5136E" w:rsidRDefault="00A5136E" w:rsidP="00183142">
            <w:pPr>
              <w:pStyle w:val="Contrato-Clausula-Nvel3"/>
              <w:numPr>
                <w:ilvl w:val="0"/>
                <w:numId w:val="0"/>
              </w:numPr>
              <w:ind w:left="44"/>
            </w:pPr>
            <w:r>
              <w:t xml:space="preserve">-  </w:t>
            </w:r>
            <w:r w:rsidRPr="00FC56CF">
              <w:t xml:space="preserve">10 </w:t>
            </w:r>
            <w:r>
              <w:t>(</w:t>
            </w:r>
            <w:r w:rsidRPr="00FC56CF">
              <w:t>(dez) pontos</w:t>
            </w:r>
            <w:r>
              <w:t xml:space="preserve"> na condição de prestadora</w:t>
            </w:r>
            <w:r w:rsidRPr="00134E53">
              <w:t xml:space="preserve"> de serviços técnicos para companhias de petróleo</w:t>
            </w:r>
            <w:r>
              <w:t>.</w:t>
            </w:r>
          </w:p>
          <w:p w14:paraId="354F297B" w14:textId="77777777" w:rsidR="00A5136E" w:rsidRPr="00FC56CF" w:rsidDel="00AF4620" w:rsidRDefault="00A5136E" w:rsidP="00183142">
            <w:pPr>
              <w:pStyle w:val="Contrato-Clausula-Nvel3"/>
              <w:numPr>
                <w:ilvl w:val="0"/>
                <w:numId w:val="0"/>
              </w:numPr>
              <w:ind w:left="44"/>
            </w:pPr>
          </w:p>
        </w:tc>
        <w:tc>
          <w:tcPr>
            <w:tcW w:w="2126" w:type="pct"/>
            <w:vAlign w:val="center"/>
          </w:tcPr>
          <w:p w14:paraId="38F7298D" w14:textId="77777777" w:rsidR="00A5136E" w:rsidRDefault="00A5136E" w:rsidP="00E061A4">
            <w:pPr>
              <w:pStyle w:val="Contrato-Clausula-Nvel3"/>
              <w:numPr>
                <w:ilvl w:val="0"/>
                <w:numId w:val="0"/>
              </w:numPr>
              <w:ind w:left="44"/>
            </w:pPr>
            <w:r w:rsidRPr="00FC56CF">
              <w:t xml:space="preserve">Para a licitante obter qualificação técnica o critério de pontos deveria ser diferente para cada ambiente no qual opera. Sendo que para os ambientes mais complexos </w:t>
            </w:r>
            <w:r>
              <w:t xml:space="preserve">a licitante </w:t>
            </w:r>
            <w:r w:rsidRPr="00FC56CF">
              <w:t>dever</w:t>
            </w:r>
            <w:r>
              <w:t>á</w:t>
            </w:r>
            <w:r w:rsidRPr="00FC56CF">
              <w:t xml:space="preserve"> receber um número maior de pontos.</w:t>
            </w:r>
          </w:p>
          <w:p w14:paraId="7D01E634" w14:textId="77777777" w:rsidR="00A5136E" w:rsidRPr="00170FDC" w:rsidRDefault="00A5136E" w:rsidP="00E061A4">
            <w:pPr>
              <w:pStyle w:val="Legenda"/>
              <w:jc w:val="both"/>
              <w:rPr>
                <w:rFonts w:cs="Arial"/>
                <w:color w:val="000000" w:themeColor="text1"/>
                <w:sz w:val="22"/>
                <w:szCs w:val="22"/>
              </w:rPr>
            </w:pPr>
          </w:p>
        </w:tc>
      </w:tr>
      <w:tr w:rsidR="00A5136E" w:rsidRPr="00170FDC" w14:paraId="4E96B7AF" w14:textId="77777777" w:rsidTr="0003097F">
        <w:trPr>
          <w:trHeight w:val="2268"/>
        </w:trPr>
        <w:tc>
          <w:tcPr>
            <w:tcW w:w="553" w:type="pct"/>
            <w:vAlign w:val="center"/>
          </w:tcPr>
          <w:p w14:paraId="2D373479"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9E4CC8A"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987A805"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7.2.1.1.1, alínea “b.2”</w:t>
            </w:r>
          </w:p>
        </w:tc>
        <w:tc>
          <w:tcPr>
            <w:tcW w:w="1386" w:type="pct"/>
            <w:vAlign w:val="center"/>
          </w:tcPr>
          <w:p w14:paraId="04459226" w14:textId="77777777" w:rsidR="00A5136E" w:rsidRDefault="00A5136E" w:rsidP="00183142">
            <w:pPr>
              <w:pStyle w:val="Contrato-Clausula-Nvel3"/>
              <w:numPr>
                <w:ilvl w:val="0"/>
                <w:numId w:val="0"/>
              </w:numPr>
              <w:ind w:left="44"/>
            </w:pPr>
            <w:r>
              <w:t>- 20</w:t>
            </w:r>
            <w:r w:rsidRPr="00FC56CF">
              <w:t xml:space="preserve"> (</w:t>
            </w:r>
            <w:r>
              <w:t>vinte</w:t>
            </w:r>
            <w:r w:rsidRPr="00FC56CF">
              <w:t>) pontos</w:t>
            </w:r>
            <w:r w:rsidRPr="008340EE">
              <w:t xml:space="preserve"> na condição de operadora; ou</w:t>
            </w:r>
          </w:p>
          <w:p w14:paraId="7C047678" w14:textId="68A4F270" w:rsidR="00A5136E" w:rsidRDefault="00A5136E" w:rsidP="00183142">
            <w:pPr>
              <w:pStyle w:val="Contrato-Clausula-Nvel3"/>
              <w:numPr>
                <w:ilvl w:val="0"/>
                <w:numId w:val="0"/>
              </w:numPr>
              <w:ind w:left="44"/>
            </w:pPr>
            <w:r>
              <w:t xml:space="preserve">-  </w:t>
            </w:r>
            <w:r w:rsidRPr="00FC56CF">
              <w:t xml:space="preserve">10 </w:t>
            </w:r>
            <w:r>
              <w:t>(</w:t>
            </w:r>
            <w:r w:rsidRPr="00FC56CF">
              <w:t>dez</w:t>
            </w:r>
            <w:r>
              <w:t>)</w:t>
            </w:r>
            <w:r w:rsidRPr="00FC56CF">
              <w:t xml:space="preserve"> pontos</w:t>
            </w:r>
            <w:r>
              <w:t xml:space="preserve"> na condição </w:t>
            </w:r>
            <w:r w:rsidRPr="000C3DCB">
              <w:t xml:space="preserve">de não </w:t>
            </w:r>
            <w:r>
              <w:t>operadora; ou</w:t>
            </w:r>
          </w:p>
          <w:p w14:paraId="5241E269" w14:textId="77777777" w:rsidR="00A5136E" w:rsidRDefault="00A5136E" w:rsidP="00183142">
            <w:pPr>
              <w:pStyle w:val="Contrato-Clausula-Nvel3"/>
              <w:numPr>
                <w:ilvl w:val="0"/>
                <w:numId w:val="0"/>
              </w:numPr>
              <w:ind w:left="44"/>
            </w:pPr>
            <w:r>
              <w:t xml:space="preserve">-  </w:t>
            </w:r>
            <w:r w:rsidRPr="00FC56CF">
              <w:t xml:space="preserve">10 </w:t>
            </w:r>
            <w:r>
              <w:t>(</w:t>
            </w:r>
            <w:r w:rsidRPr="00FC56CF">
              <w:t>(dez) pontos</w:t>
            </w:r>
            <w:r>
              <w:t xml:space="preserve"> na condição de prestadora</w:t>
            </w:r>
            <w:r w:rsidRPr="00134E53">
              <w:t xml:space="preserve"> de serviços técnicos para companhias de petróleo</w:t>
            </w:r>
            <w:r>
              <w:t>.</w:t>
            </w:r>
          </w:p>
          <w:p w14:paraId="4497CA0F" w14:textId="77777777" w:rsidR="00A5136E" w:rsidRPr="003E057C" w:rsidDel="00AF4620" w:rsidRDefault="00A5136E" w:rsidP="00183142">
            <w:pPr>
              <w:pStyle w:val="Contrato-Clausula-Nvel3"/>
              <w:numPr>
                <w:ilvl w:val="0"/>
                <w:numId w:val="0"/>
              </w:numPr>
              <w:ind w:left="44"/>
            </w:pPr>
          </w:p>
        </w:tc>
        <w:tc>
          <w:tcPr>
            <w:tcW w:w="2126" w:type="pct"/>
            <w:vAlign w:val="center"/>
          </w:tcPr>
          <w:p w14:paraId="0E2F7B37" w14:textId="77777777" w:rsidR="00A5136E" w:rsidRPr="00170FDC" w:rsidRDefault="00A5136E" w:rsidP="00E061A4">
            <w:pPr>
              <w:pStyle w:val="Legenda"/>
              <w:jc w:val="both"/>
              <w:rPr>
                <w:rFonts w:cs="Arial"/>
                <w:color w:val="000000" w:themeColor="text1"/>
                <w:sz w:val="22"/>
                <w:szCs w:val="22"/>
              </w:rPr>
            </w:pPr>
            <w:r>
              <w:rPr>
                <w:rFonts w:cs="Arial"/>
                <w:color w:val="000000" w:themeColor="text1"/>
                <w:sz w:val="22"/>
                <w:szCs w:val="22"/>
              </w:rPr>
              <w:t>Vide justificativa acima</w:t>
            </w:r>
          </w:p>
        </w:tc>
      </w:tr>
      <w:tr w:rsidR="00A5136E" w:rsidRPr="00170FDC" w14:paraId="32E0C12F" w14:textId="77777777" w:rsidTr="0003097F">
        <w:trPr>
          <w:trHeight w:val="2268"/>
        </w:trPr>
        <w:tc>
          <w:tcPr>
            <w:tcW w:w="553" w:type="pct"/>
            <w:vAlign w:val="center"/>
          </w:tcPr>
          <w:p w14:paraId="07119217"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81E23D8"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751E4BE"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7.2.1.1.1, alínea “c.1”</w:t>
            </w:r>
          </w:p>
        </w:tc>
        <w:tc>
          <w:tcPr>
            <w:tcW w:w="1386" w:type="pct"/>
            <w:vAlign w:val="center"/>
          </w:tcPr>
          <w:p w14:paraId="2BC12D9C" w14:textId="77777777" w:rsidR="00A5136E" w:rsidRDefault="00A5136E" w:rsidP="00183142">
            <w:pPr>
              <w:pStyle w:val="Contrato-Clausula-Nvel3"/>
              <w:numPr>
                <w:ilvl w:val="0"/>
                <w:numId w:val="0"/>
              </w:numPr>
              <w:ind w:left="44"/>
            </w:pPr>
            <w:r>
              <w:t>-  30</w:t>
            </w:r>
            <w:r w:rsidRPr="00FC56CF">
              <w:t xml:space="preserve"> (</w:t>
            </w:r>
            <w:r>
              <w:t>trinta</w:t>
            </w:r>
            <w:r w:rsidRPr="00FC56CF">
              <w:t>) pontos</w:t>
            </w:r>
            <w:r w:rsidRPr="008340EE">
              <w:t xml:space="preserve"> na condição de operadora; ou</w:t>
            </w:r>
          </w:p>
          <w:p w14:paraId="2CFF7252" w14:textId="1AF596D5" w:rsidR="00A5136E" w:rsidRDefault="00A5136E" w:rsidP="00183142">
            <w:pPr>
              <w:pStyle w:val="Contrato-Clausula-Nvel3"/>
              <w:numPr>
                <w:ilvl w:val="0"/>
                <w:numId w:val="0"/>
              </w:numPr>
              <w:ind w:left="44"/>
            </w:pPr>
            <w:r>
              <w:t>- 15</w:t>
            </w:r>
            <w:r w:rsidRPr="00FC56CF">
              <w:t xml:space="preserve"> (</w:t>
            </w:r>
            <w:r>
              <w:t>quinze</w:t>
            </w:r>
            <w:r w:rsidRPr="00FC56CF">
              <w:t>) pontos</w:t>
            </w:r>
            <w:r>
              <w:t xml:space="preserve"> na condição </w:t>
            </w:r>
            <w:r w:rsidRPr="000C3DCB">
              <w:t xml:space="preserve">de não </w:t>
            </w:r>
            <w:r>
              <w:t>operadora; ou</w:t>
            </w:r>
          </w:p>
          <w:p w14:paraId="5ED1738D" w14:textId="77777777" w:rsidR="00A5136E" w:rsidRDefault="00A5136E" w:rsidP="00183142">
            <w:pPr>
              <w:pStyle w:val="Contrato-Clausula-Nvel3"/>
              <w:numPr>
                <w:ilvl w:val="0"/>
                <w:numId w:val="0"/>
              </w:numPr>
              <w:ind w:left="44"/>
            </w:pPr>
            <w:r>
              <w:t>- 15</w:t>
            </w:r>
            <w:r w:rsidRPr="00FC56CF">
              <w:t xml:space="preserve"> (</w:t>
            </w:r>
            <w:r>
              <w:t>quinze</w:t>
            </w:r>
            <w:r w:rsidRPr="00FC56CF">
              <w:t>) pontos</w:t>
            </w:r>
            <w:r>
              <w:t xml:space="preserve"> na condição de prestadora</w:t>
            </w:r>
            <w:r w:rsidRPr="00134E53">
              <w:t xml:space="preserve"> de serviços técnicos para companhias de petróleo</w:t>
            </w:r>
            <w:r>
              <w:t>.</w:t>
            </w:r>
          </w:p>
          <w:p w14:paraId="244AD82B" w14:textId="77777777" w:rsidR="00A5136E" w:rsidRPr="00170FDC" w:rsidDel="00AF4620" w:rsidRDefault="00A5136E" w:rsidP="00183142">
            <w:pPr>
              <w:pStyle w:val="Contrato-Clausula-Nvel3"/>
              <w:numPr>
                <w:ilvl w:val="0"/>
                <w:numId w:val="0"/>
              </w:numPr>
              <w:ind w:left="44"/>
              <w:rPr>
                <w:rFonts w:cs="Arial"/>
                <w:b/>
                <w:szCs w:val="22"/>
              </w:rPr>
            </w:pPr>
          </w:p>
        </w:tc>
        <w:tc>
          <w:tcPr>
            <w:tcW w:w="2126" w:type="pct"/>
            <w:vAlign w:val="center"/>
          </w:tcPr>
          <w:p w14:paraId="6653AB55" w14:textId="77777777" w:rsidR="00A5136E" w:rsidRPr="00A25FC5" w:rsidRDefault="00A5136E" w:rsidP="00E061A4">
            <w:pPr>
              <w:jc w:val="both"/>
              <w:rPr>
                <w:rFonts w:ascii="Arial" w:hAnsi="Arial" w:cs="Arial"/>
              </w:rPr>
            </w:pPr>
            <w:r w:rsidRPr="00A25FC5">
              <w:rPr>
                <w:rFonts w:ascii="Arial" w:hAnsi="Arial" w:cs="Arial"/>
                <w:color w:val="000000" w:themeColor="text1"/>
                <w:sz w:val="22"/>
                <w:szCs w:val="22"/>
              </w:rPr>
              <w:t>Vide justificativa acima</w:t>
            </w:r>
          </w:p>
        </w:tc>
      </w:tr>
      <w:tr w:rsidR="00A5136E" w:rsidRPr="00170FDC" w14:paraId="1BFA2A07" w14:textId="77777777" w:rsidTr="0003097F">
        <w:trPr>
          <w:trHeight w:val="2268"/>
        </w:trPr>
        <w:tc>
          <w:tcPr>
            <w:tcW w:w="553" w:type="pct"/>
            <w:vAlign w:val="center"/>
          </w:tcPr>
          <w:p w14:paraId="735FF1BA"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2C95B9D"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1CC775E"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7.2.1.1.1, alínea “d”</w:t>
            </w:r>
          </w:p>
        </w:tc>
        <w:tc>
          <w:tcPr>
            <w:tcW w:w="1386" w:type="pct"/>
            <w:vAlign w:val="center"/>
          </w:tcPr>
          <w:p w14:paraId="5C0C291D" w14:textId="77777777" w:rsidR="00A5136E" w:rsidRDefault="00A5136E" w:rsidP="00183142">
            <w:pPr>
              <w:pStyle w:val="Contrato-Clausula-Nvel3"/>
              <w:numPr>
                <w:ilvl w:val="0"/>
                <w:numId w:val="0"/>
              </w:numPr>
              <w:ind w:left="44"/>
            </w:pPr>
            <w:r>
              <w:t>- 30</w:t>
            </w:r>
            <w:r w:rsidRPr="00FC56CF">
              <w:t xml:space="preserve"> (</w:t>
            </w:r>
            <w:r>
              <w:t>trinta)</w:t>
            </w:r>
            <w:r w:rsidRPr="00FC56CF">
              <w:t xml:space="preserve"> pontos</w:t>
            </w:r>
            <w:r w:rsidRPr="008340EE">
              <w:t xml:space="preserve"> na condição de operadora; ou</w:t>
            </w:r>
          </w:p>
          <w:p w14:paraId="599220D0" w14:textId="5AA826F8" w:rsidR="00A5136E" w:rsidRDefault="00A5136E" w:rsidP="00183142">
            <w:pPr>
              <w:pStyle w:val="Contrato-Clausula-Nvel3"/>
              <w:numPr>
                <w:ilvl w:val="0"/>
                <w:numId w:val="0"/>
              </w:numPr>
              <w:ind w:left="44"/>
            </w:pPr>
            <w:r>
              <w:t>- 15</w:t>
            </w:r>
            <w:r w:rsidRPr="00FC56CF">
              <w:t xml:space="preserve"> </w:t>
            </w:r>
            <w:r>
              <w:t>(quinze)</w:t>
            </w:r>
            <w:r w:rsidRPr="00FC56CF">
              <w:t xml:space="preserve"> pontos</w:t>
            </w:r>
            <w:r>
              <w:t xml:space="preserve"> na condição </w:t>
            </w:r>
            <w:r w:rsidRPr="000C3DCB">
              <w:t xml:space="preserve">de não </w:t>
            </w:r>
            <w:r>
              <w:t>operadora; ou</w:t>
            </w:r>
          </w:p>
          <w:p w14:paraId="5601BF40" w14:textId="77777777" w:rsidR="00A5136E" w:rsidRPr="00170FDC" w:rsidDel="00AF4620" w:rsidRDefault="00A5136E" w:rsidP="00183142">
            <w:pPr>
              <w:pStyle w:val="Contrato-Clausula-Nvel3"/>
              <w:numPr>
                <w:ilvl w:val="0"/>
                <w:numId w:val="0"/>
              </w:numPr>
              <w:ind w:left="44"/>
              <w:rPr>
                <w:rFonts w:cs="Arial"/>
                <w:b/>
                <w:szCs w:val="22"/>
              </w:rPr>
            </w:pPr>
            <w:r>
              <w:t>- 15</w:t>
            </w:r>
            <w:r w:rsidRPr="00FC56CF">
              <w:t xml:space="preserve"> </w:t>
            </w:r>
            <w:r>
              <w:t>(quinze)</w:t>
            </w:r>
            <w:r w:rsidRPr="00FC56CF">
              <w:t xml:space="preserve"> pontos</w:t>
            </w:r>
            <w:r>
              <w:t xml:space="preserve"> na condição de prestadora</w:t>
            </w:r>
            <w:r w:rsidRPr="00134E53">
              <w:t xml:space="preserve"> de serviços técnicos para companhias de petróleo</w:t>
            </w:r>
            <w:r>
              <w:t>.</w:t>
            </w:r>
          </w:p>
        </w:tc>
        <w:tc>
          <w:tcPr>
            <w:tcW w:w="2126" w:type="pct"/>
            <w:vAlign w:val="center"/>
          </w:tcPr>
          <w:p w14:paraId="1C12E57A" w14:textId="77777777" w:rsidR="00A5136E" w:rsidRPr="00A25FC5" w:rsidRDefault="00A5136E" w:rsidP="00E061A4">
            <w:pPr>
              <w:pStyle w:val="Legenda"/>
              <w:jc w:val="both"/>
              <w:rPr>
                <w:rFonts w:cs="Arial"/>
                <w:color w:val="000000" w:themeColor="text1"/>
                <w:sz w:val="22"/>
                <w:szCs w:val="22"/>
              </w:rPr>
            </w:pPr>
            <w:r w:rsidRPr="00A25FC5">
              <w:rPr>
                <w:rFonts w:cs="Arial"/>
                <w:color w:val="000000" w:themeColor="text1"/>
                <w:sz w:val="22"/>
                <w:szCs w:val="22"/>
              </w:rPr>
              <w:t>Vide justificativa acima</w:t>
            </w:r>
          </w:p>
        </w:tc>
      </w:tr>
      <w:tr w:rsidR="00A5136E" w:rsidRPr="00170FDC" w14:paraId="644CB192" w14:textId="77777777" w:rsidTr="0003097F">
        <w:trPr>
          <w:trHeight w:val="2268"/>
        </w:trPr>
        <w:tc>
          <w:tcPr>
            <w:tcW w:w="553" w:type="pct"/>
            <w:vAlign w:val="center"/>
          </w:tcPr>
          <w:p w14:paraId="672B0490"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785B0717"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72BE415"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7.2.1.1.1, alínea “e”</w:t>
            </w:r>
          </w:p>
        </w:tc>
        <w:tc>
          <w:tcPr>
            <w:tcW w:w="1386" w:type="pct"/>
            <w:vAlign w:val="center"/>
          </w:tcPr>
          <w:p w14:paraId="49D9D4AB" w14:textId="77777777" w:rsidR="00A5136E" w:rsidRDefault="00A5136E" w:rsidP="00183142">
            <w:pPr>
              <w:pStyle w:val="Contrato-Clausula-Nvel3"/>
              <w:numPr>
                <w:ilvl w:val="0"/>
                <w:numId w:val="0"/>
              </w:numPr>
              <w:ind w:left="44"/>
            </w:pPr>
            <w:r>
              <w:t>- 30</w:t>
            </w:r>
            <w:r w:rsidRPr="00FC56CF">
              <w:t xml:space="preserve"> (</w:t>
            </w:r>
            <w:r>
              <w:t>trinta)</w:t>
            </w:r>
            <w:r w:rsidRPr="00FC56CF">
              <w:t xml:space="preserve"> pontos</w:t>
            </w:r>
            <w:r w:rsidRPr="008340EE">
              <w:t xml:space="preserve"> na condição de operadora; ou</w:t>
            </w:r>
          </w:p>
          <w:p w14:paraId="44C07232" w14:textId="7FEBDDC5" w:rsidR="00A5136E" w:rsidRDefault="00A5136E" w:rsidP="00183142">
            <w:pPr>
              <w:pStyle w:val="Contrato-Clausula-Nvel3"/>
              <w:numPr>
                <w:ilvl w:val="0"/>
                <w:numId w:val="0"/>
              </w:numPr>
              <w:ind w:left="44"/>
            </w:pPr>
            <w:r>
              <w:t>- 15</w:t>
            </w:r>
            <w:r w:rsidRPr="00FC56CF">
              <w:t xml:space="preserve"> </w:t>
            </w:r>
            <w:r>
              <w:t>(quinze)</w:t>
            </w:r>
            <w:r w:rsidRPr="00FC56CF">
              <w:t xml:space="preserve"> pontos</w:t>
            </w:r>
            <w:r>
              <w:t xml:space="preserve"> na condição </w:t>
            </w:r>
            <w:r w:rsidRPr="000C3DCB">
              <w:t xml:space="preserve">de não </w:t>
            </w:r>
            <w:r>
              <w:t>operadora; ou</w:t>
            </w:r>
          </w:p>
          <w:p w14:paraId="25E9CC58" w14:textId="77777777" w:rsidR="00A5136E" w:rsidRPr="00170FDC" w:rsidDel="00AF4620" w:rsidRDefault="00A5136E" w:rsidP="00183142">
            <w:pPr>
              <w:pStyle w:val="Contrato-Clausula-Nvel3"/>
              <w:numPr>
                <w:ilvl w:val="0"/>
                <w:numId w:val="0"/>
              </w:numPr>
              <w:ind w:left="44"/>
              <w:rPr>
                <w:rFonts w:cs="Arial"/>
                <w:b/>
                <w:szCs w:val="22"/>
              </w:rPr>
            </w:pPr>
            <w:r>
              <w:t>- 15</w:t>
            </w:r>
            <w:r w:rsidRPr="00FC56CF">
              <w:t xml:space="preserve"> </w:t>
            </w:r>
            <w:r>
              <w:t>(quinze)</w:t>
            </w:r>
            <w:r w:rsidRPr="00FC56CF">
              <w:t xml:space="preserve"> pontos</w:t>
            </w:r>
            <w:r>
              <w:t xml:space="preserve"> na condição de prestadora</w:t>
            </w:r>
            <w:r w:rsidRPr="00134E53">
              <w:t xml:space="preserve"> de serviços técnicos para companhias de petróleo</w:t>
            </w:r>
            <w:r>
              <w:t>.</w:t>
            </w:r>
          </w:p>
        </w:tc>
        <w:tc>
          <w:tcPr>
            <w:tcW w:w="2126" w:type="pct"/>
            <w:vAlign w:val="center"/>
          </w:tcPr>
          <w:p w14:paraId="15512031" w14:textId="77777777" w:rsidR="00A5136E" w:rsidRPr="00A25FC5" w:rsidRDefault="00A5136E" w:rsidP="00E061A4">
            <w:pPr>
              <w:pStyle w:val="Legenda"/>
              <w:jc w:val="both"/>
              <w:rPr>
                <w:rFonts w:cs="Arial"/>
                <w:color w:val="000000" w:themeColor="text1"/>
                <w:sz w:val="22"/>
                <w:szCs w:val="22"/>
              </w:rPr>
            </w:pPr>
            <w:r w:rsidRPr="00A25FC5">
              <w:rPr>
                <w:rFonts w:cs="Arial"/>
                <w:color w:val="000000" w:themeColor="text1"/>
                <w:sz w:val="22"/>
                <w:szCs w:val="22"/>
              </w:rPr>
              <w:t>Vide justificativa acima</w:t>
            </w:r>
          </w:p>
        </w:tc>
      </w:tr>
      <w:tr w:rsidR="00A5136E" w:rsidRPr="00170FDC" w14:paraId="3877CF5B" w14:textId="77777777" w:rsidTr="0003097F">
        <w:trPr>
          <w:trHeight w:val="2268"/>
        </w:trPr>
        <w:tc>
          <w:tcPr>
            <w:tcW w:w="553" w:type="pct"/>
            <w:vAlign w:val="center"/>
          </w:tcPr>
          <w:p w14:paraId="6D450999" w14:textId="77777777" w:rsidR="00A5136E" w:rsidRPr="00CE43CE" w:rsidRDefault="00A5136E" w:rsidP="00A5136E">
            <w:pPr>
              <w:pStyle w:val="Legenda"/>
              <w:jc w:val="center"/>
              <w:rPr>
                <w:rFonts w:cs="Arial"/>
                <w:color w:val="000000" w:themeColor="text1"/>
                <w:sz w:val="22"/>
                <w:szCs w:val="22"/>
              </w:rPr>
            </w:pPr>
            <w:r w:rsidRPr="00CE43CE">
              <w:rPr>
                <w:rFonts w:cs="Arial"/>
                <w:color w:val="000000" w:themeColor="text1"/>
                <w:sz w:val="22"/>
                <w:szCs w:val="22"/>
              </w:rPr>
              <w:t>Pré-Edital</w:t>
            </w:r>
          </w:p>
        </w:tc>
        <w:tc>
          <w:tcPr>
            <w:tcW w:w="441" w:type="pct"/>
            <w:vAlign w:val="center"/>
          </w:tcPr>
          <w:p w14:paraId="0C8E3170" w14:textId="77777777" w:rsidR="00A5136E" w:rsidRPr="00CE43CE" w:rsidRDefault="00A5136E" w:rsidP="00A5136E">
            <w:pPr>
              <w:pStyle w:val="Legenda"/>
              <w:jc w:val="center"/>
              <w:rPr>
                <w:rFonts w:cs="Arial"/>
                <w:color w:val="000000" w:themeColor="text1"/>
                <w:sz w:val="22"/>
                <w:szCs w:val="22"/>
              </w:rPr>
            </w:pPr>
            <w:r w:rsidRPr="00CE43CE">
              <w:rPr>
                <w:rFonts w:cs="Arial"/>
                <w:color w:val="000000" w:themeColor="text1"/>
                <w:sz w:val="22"/>
                <w:szCs w:val="22"/>
              </w:rPr>
              <w:t>Alteração</w:t>
            </w:r>
          </w:p>
        </w:tc>
        <w:tc>
          <w:tcPr>
            <w:tcW w:w="494" w:type="pct"/>
            <w:vAlign w:val="center"/>
          </w:tcPr>
          <w:p w14:paraId="460B5D18" w14:textId="77777777" w:rsidR="00A5136E" w:rsidRPr="00CE43CE" w:rsidRDefault="00A5136E" w:rsidP="00183142">
            <w:pPr>
              <w:pStyle w:val="Legenda"/>
              <w:jc w:val="center"/>
              <w:rPr>
                <w:rFonts w:cs="Arial"/>
                <w:color w:val="000000" w:themeColor="text1"/>
                <w:sz w:val="22"/>
                <w:szCs w:val="22"/>
              </w:rPr>
            </w:pPr>
            <w:r w:rsidRPr="00CE43CE">
              <w:rPr>
                <w:rFonts w:cs="Arial"/>
                <w:color w:val="000000" w:themeColor="text1"/>
                <w:sz w:val="22"/>
                <w:szCs w:val="22"/>
              </w:rPr>
              <w:t>Tabela 9</w:t>
            </w:r>
          </w:p>
        </w:tc>
        <w:tc>
          <w:tcPr>
            <w:tcW w:w="1386" w:type="pct"/>
            <w:vAlign w:val="center"/>
          </w:tcPr>
          <w:p w14:paraId="3CFF3F88" w14:textId="77777777" w:rsidR="00A5136E" w:rsidRPr="00CE43CE" w:rsidRDefault="00A5136E" w:rsidP="00183142">
            <w:pPr>
              <w:pStyle w:val="Contrato-Clausula-Nvel3"/>
              <w:numPr>
                <w:ilvl w:val="0"/>
                <w:numId w:val="0"/>
              </w:numPr>
              <w:ind w:left="44"/>
              <w:rPr>
                <w:szCs w:val="22"/>
              </w:rPr>
            </w:pPr>
            <w:r w:rsidRPr="00CE43CE">
              <w:rPr>
                <w:szCs w:val="22"/>
              </w:rPr>
              <w:t>Ajustar a pontuação aos critérios acima sugeridos.</w:t>
            </w:r>
          </w:p>
        </w:tc>
        <w:tc>
          <w:tcPr>
            <w:tcW w:w="2126" w:type="pct"/>
            <w:vAlign w:val="center"/>
          </w:tcPr>
          <w:p w14:paraId="273507C5" w14:textId="77777777" w:rsidR="00A5136E" w:rsidRPr="00CE43CE" w:rsidRDefault="00A5136E" w:rsidP="00E061A4">
            <w:pPr>
              <w:pStyle w:val="Legenda"/>
              <w:jc w:val="both"/>
              <w:rPr>
                <w:sz w:val="22"/>
                <w:szCs w:val="22"/>
              </w:rPr>
            </w:pPr>
            <w:r w:rsidRPr="00CE43CE">
              <w:rPr>
                <w:sz w:val="22"/>
                <w:szCs w:val="22"/>
              </w:rPr>
              <w:t>Vide justificativa acima</w:t>
            </w:r>
          </w:p>
        </w:tc>
      </w:tr>
      <w:tr w:rsidR="00A5136E" w:rsidRPr="00170FDC" w14:paraId="1E29B6F7" w14:textId="77777777" w:rsidTr="0003097F">
        <w:trPr>
          <w:trHeight w:val="2268"/>
        </w:trPr>
        <w:tc>
          <w:tcPr>
            <w:tcW w:w="553" w:type="pct"/>
            <w:vAlign w:val="center"/>
          </w:tcPr>
          <w:p w14:paraId="5A64E2D0"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6B5E31D5"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 xml:space="preserve">Inclusão </w:t>
            </w:r>
          </w:p>
        </w:tc>
        <w:tc>
          <w:tcPr>
            <w:tcW w:w="494" w:type="pct"/>
            <w:vAlign w:val="center"/>
          </w:tcPr>
          <w:p w14:paraId="17AAB224"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7.2.1.3, após a última frase do 2º parágrafo</w:t>
            </w:r>
          </w:p>
        </w:tc>
        <w:tc>
          <w:tcPr>
            <w:tcW w:w="1386" w:type="pct"/>
            <w:vAlign w:val="center"/>
          </w:tcPr>
          <w:p w14:paraId="0A80C900" w14:textId="77777777" w:rsidR="00A5136E" w:rsidRPr="00170FDC" w:rsidDel="00AF4620" w:rsidRDefault="00A5136E" w:rsidP="00183142">
            <w:pPr>
              <w:pStyle w:val="Contrato-Clausula-Nvel3"/>
              <w:numPr>
                <w:ilvl w:val="0"/>
                <w:numId w:val="0"/>
              </w:numPr>
              <w:ind w:left="44"/>
              <w:rPr>
                <w:rFonts w:cs="Arial"/>
                <w:b/>
                <w:szCs w:val="22"/>
              </w:rPr>
            </w:pPr>
            <w:r>
              <w:t>Para as atividades de produção referidas no Anexo XVII do Sumário Técnico 01, serão também contabilizadas as atividades de desenvolvimento, tendo em vista que fazem parte da fase de produção de cada campo.</w:t>
            </w:r>
          </w:p>
        </w:tc>
        <w:tc>
          <w:tcPr>
            <w:tcW w:w="2126" w:type="pct"/>
            <w:vAlign w:val="center"/>
          </w:tcPr>
          <w:p w14:paraId="09ABC824" w14:textId="77777777" w:rsidR="00A5136E" w:rsidRPr="00EA55AC" w:rsidRDefault="00A5136E" w:rsidP="00E061A4">
            <w:pPr>
              <w:pStyle w:val="Legenda"/>
              <w:jc w:val="both"/>
              <w:rPr>
                <w:rFonts w:cs="Arial"/>
                <w:color w:val="000000" w:themeColor="text1"/>
                <w:sz w:val="22"/>
                <w:szCs w:val="22"/>
              </w:rPr>
            </w:pPr>
            <w:r w:rsidRPr="00EA55AC">
              <w:rPr>
                <w:sz w:val="22"/>
                <w:szCs w:val="22"/>
              </w:rPr>
              <w:t>De acordo com o art. 24, §2º da lei 9.478/97, a fase de produção incluirá também as atividades de desenvolvimento.</w:t>
            </w:r>
          </w:p>
        </w:tc>
      </w:tr>
      <w:tr w:rsidR="00A5136E" w:rsidRPr="00170FDC" w14:paraId="35243673" w14:textId="77777777" w:rsidTr="0003097F">
        <w:trPr>
          <w:trHeight w:val="2268"/>
        </w:trPr>
        <w:tc>
          <w:tcPr>
            <w:tcW w:w="553" w:type="pct"/>
            <w:vAlign w:val="center"/>
          </w:tcPr>
          <w:p w14:paraId="10B82C2D"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4836F8D"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15B265A" w14:textId="25B767C8" w:rsidR="00A5136E" w:rsidRPr="008E44C8" w:rsidRDefault="00DD6760" w:rsidP="00183142">
            <w:pPr>
              <w:pStyle w:val="Legenda"/>
              <w:jc w:val="center"/>
              <w:rPr>
                <w:rFonts w:cs="Arial"/>
                <w:color w:val="000000" w:themeColor="text1"/>
                <w:sz w:val="22"/>
                <w:szCs w:val="22"/>
              </w:rPr>
            </w:pPr>
            <w:r>
              <w:rPr>
                <w:rFonts w:cs="Arial"/>
                <w:color w:val="000000" w:themeColor="text1"/>
                <w:sz w:val="22"/>
                <w:szCs w:val="22"/>
              </w:rPr>
              <w:t>7.4</w:t>
            </w:r>
            <w:r w:rsidR="00A5136E" w:rsidRPr="008E44C8">
              <w:rPr>
                <w:rFonts w:cs="Arial"/>
                <w:color w:val="000000" w:themeColor="text1"/>
                <w:sz w:val="22"/>
                <w:szCs w:val="22"/>
              </w:rPr>
              <w:t>, após a 1ª frase no 6º parágrafo</w:t>
            </w:r>
          </w:p>
        </w:tc>
        <w:tc>
          <w:tcPr>
            <w:tcW w:w="1386" w:type="pct"/>
            <w:vAlign w:val="center"/>
          </w:tcPr>
          <w:p w14:paraId="60DB1206" w14:textId="16A7BB11" w:rsidR="00A5136E" w:rsidRPr="00170FDC" w:rsidDel="00AF4620" w:rsidRDefault="00A5136E" w:rsidP="00183142">
            <w:pPr>
              <w:pStyle w:val="Contrato-Clausula-Nvel3"/>
              <w:numPr>
                <w:ilvl w:val="0"/>
                <w:numId w:val="0"/>
              </w:numPr>
              <w:ind w:left="44"/>
              <w:rPr>
                <w:rFonts w:cs="Arial"/>
                <w:b/>
                <w:szCs w:val="22"/>
              </w:rPr>
            </w:pPr>
            <w:r>
              <w:t xml:space="preserve">A licitante constituída no mesmo exercício social desta licitação deverá apresentar as Demonstrações Financeiras Intermediárias, vedada a sua substituição por balancetes provisórios, e, quando aplicável, acompanhadas de parecer de auditor independente. Neste caso, para fins </w:t>
            </w:r>
            <w:r>
              <w:lastRenderedPageBreak/>
              <w:t>de comprovação do Patrimônio Líquido, a licitante deverá apresentar uma cópia do seu último estatuto social arquivado no órgão de registro de comércio de sua jurisdição.</w:t>
            </w:r>
            <w:r w:rsidRPr="00B708CA">
              <w:rPr>
                <w:szCs w:val="22"/>
              </w:rPr>
              <w:t xml:space="preserve"> O mesmo aplicar-se-á as licitantes que apesar de constituídas há mais de 0</w:t>
            </w:r>
            <w:r>
              <w:rPr>
                <w:szCs w:val="22"/>
              </w:rPr>
              <w:t>1</w:t>
            </w:r>
            <w:r w:rsidRPr="00B708CA">
              <w:rPr>
                <w:szCs w:val="22"/>
              </w:rPr>
              <w:t xml:space="preserve"> (</w:t>
            </w:r>
            <w:r>
              <w:rPr>
                <w:szCs w:val="22"/>
              </w:rPr>
              <w:t>um</w:t>
            </w:r>
            <w:r w:rsidRPr="00B708CA">
              <w:rPr>
                <w:szCs w:val="22"/>
              </w:rPr>
              <w:t>) ano, comprovarem o aumento de Patrimônio Líquido no ano da licitação.</w:t>
            </w:r>
          </w:p>
        </w:tc>
        <w:tc>
          <w:tcPr>
            <w:tcW w:w="2126" w:type="pct"/>
            <w:vAlign w:val="center"/>
          </w:tcPr>
          <w:p w14:paraId="4F4F6D62" w14:textId="77777777" w:rsidR="00A5136E" w:rsidRPr="00170FDC" w:rsidRDefault="00A5136E" w:rsidP="00E061A4">
            <w:pPr>
              <w:pStyle w:val="Legenda"/>
              <w:jc w:val="both"/>
              <w:rPr>
                <w:rFonts w:cs="Arial"/>
                <w:color w:val="000000" w:themeColor="text1"/>
                <w:sz w:val="22"/>
                <w:szCs w:val="22"/>
              </w:rPr>
            </w:pPr>
            <w:r w:rsidRPr="00B708CA">
              <w:rPr>
                <w:sz w:val="22"/>
                <w:szCs w:val="22"/>
              </w:rPr>
              <w:lastRenderedPageBreak/>
              <w:t>Melhoria de redação objetivando esclarecer o entendimento de que a apresentação de demonstrações financeiras intermediárias se aplica as sociedades empresárias que tenham seu patrimônio líquido ajustado no exercício do ano corrente.</w:t>
            </w:r>
          </w:p>
        </w:tc>
      </w:tr>
      <w:tr w:rsidR="00A5136E" w:rsidRPr="00170FDC" w14:paraId="68007182" w14:textId="77777777" w:rsidTr="0003097F">
        <w:trPr>
          <w:trHeight w:val="2268"/>
        </w:trPr>
        <w:tc>
          <w:tcPr>
            <w:tcW w:w="553" w:type="pct"/>
            <w:vAlign w:val="center"/>
          </w:tcPr>
          <w:p w14:paraId="49499831"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7607568"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A84D5F2" w14:textId="421EF498" w:rsidR="00A5136E" w:rsidRPr="008E44C8" w:rsidRDefault="00DD6760" w:rsidP="00183142">
            <w:pPr>
              <w:pStyle w:val="Legenda"/>
              <w:jc w:val="center"/>
              <w:rPr>
                <w:rFonts w:cs="Arial"/>
                <w:color w:val="000000" w:themeColor="text1"/>
                <w:sz w:val="22"/>
                <w:szCs w:val="22"/>
              </w:rPr>
            </w:pPr>
            <w:r>
              <w:rPr>
                <w:rFonts w:cs="Arial"/>
                <w:color w:val="000000" w:themeColor="text1"/>
                <w:sz w:val="22"/>
                <w:szCs w:val="22"/>
              </w:rPr>
              <w:t>7.4</w:t>
            </w:r>
            <w:r w:rsidR="00A5136E" w:rsidRPr="008E44C8">
              <w:rPr>
                <w:rFonts w:cs="Arial"/>
                <w:color w:val="000000" w:themeColor="text1"/>
                <w:sz w:val="22"/>
                <w:szCs w:val="22"/>
              </w:rPr>
              <w:t>, após a 1ª frase no 6º parágrafo</w:t>
            </w:r>
          </w:p>
        </w:tc>
        <w:tc>
          <w:tcPr>
            <w:tcW w:w="1386" w:type="pct"/>
            <w:vAlign w:val="center"/>
          </w:tcPr>
          <w:p w14:paraId="1510837A" w14:textId="3BC02F40" w:rsidR="00A5136E" w:rsidRDefault="00A5136E" w:rsidP="00183142">
            <w:pPr>
              <w:pStyle w:val="Contrato-Clausula-Nvel3"/>
              <w:numPr>
                <w:ilvl w:val="0"/>
                <w:numId w:val="0"/>
              </w:numPr>
              <w:ind w:left="44"/>
            </w:pPr>
            <w:r>
              <w:t>Caso a empresa licitante tenha sido constituída no mesmo exercício social da licitação, ou mesmo na hipótese de utilização de empresa inativa/ dormente/ sem atividade como empresa licitante, alguns subitens das demonstrações financeiras poderão ser “não-aplicáveis” devido à falta de movimentação, sendo a existência do Patrimônio Líquido Mínimo o único requisito financeiro exigido nos termos da Tabela 14.</w:t>
            </w:r>
          </w:p>
          <w:p w14:paraId="35909BA3" w14:textId="77777777" w:rsidR="00A5136E" w:rsidRPr="00217077" w:rsidRDefault="00A5136E" w:rsidP="00183142">
            <w:pPr>
              <w:pStyle w:val="Contrato-Clausula-Nvel3"/>
              <w:numPr>
                <w:ilvl w:val="0"/>
                <w:numId w:val="0"/>
              </w:numPr>
              <w:ind w:left="44"/>
            </w:pPr>
          </w:p>
        </w:tc>
        <w:tc>
          <w:tcPr>
            <w:tcW w:w="2126" w:type="pct"/>
            <w:vAlign w:val="center"/>
          </w:tcPr>
          <w:p w14:paraId="07AF9E86" w14:textId="77777777" w:rsidR="00A5136E" w:rsidRPr="00C06E38" w:rsidRDefault="00A5136E" w:rsidP="00E061A4">
            <w:pPr>
              <w:pStyle w:val="Legenda"/>
              <w:jc w:val="both"/>
              <w:rPr>
                <w:sz w:val="22"/>
                <w:szCs w:val="22"/>
              </w:rPr>
            </w:pPr>
            <w:r w:rsidRPr="00C06E38">
              <w:rPr>
                <w:sz w:val="22"/>
                <w:szCs w:val="22"/>
              </w:rPr>
              <w:t>Objetivo de explicitar informação informalmente prestada pela ANP</w:t>
            </w:r>
          </w:p>
          <w:p w14:paraId="77613A24" w14:textId="77777777" w:rsidR="00A5136E" w:rsidRPr="00C06E38" w:rsidRDefault="00A5136E" w:rsidP="00E061A4">
            <w:pPr>
              <w:pStyle w:val="Legenda"/>
              <w:jc w:val="both"/>
              <w:rPr>
                <w:sz w:val="22"/>
                <w:szCs w:val="22"/>
              </w:rPr>
            </w:pPr>
          </w:p>
        </w:tc>
      </w:tr>
      <w:tr w:rsidR="00A5136E" w:rsidRPr="00170FDC" w14:paraId="6525FE1F" w14:textId="77777777" w:rsidTr="0003097F">
        <w:trPr>
          <w:trHeight w:val="2268"/>
        </w:trPr>
        <w:tc>
          <w:tcPr>
            <w:tcW w:w="553" w:type="pct"/>
            <w:vAlign w:val="center"/>
          </w:tcPr>
          <w:p w14:paraId="11B750EA"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0A7CA72" w14:textId="58E2753E" w:rsidR="00A5136E" w:rsidRPr="006E166E" w:rsidRDefault="00017CEA" w:rsidP="00A5136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000E3C0D" w14:textId="379588AF"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9.1.2.3, 1º parágrafo</w:t>
            </w:r>
          </w:p>
        </w:tc>
        <w:tc>
          <w:tcPr>
            <w:tcW w:w="1386" w:type="pct"/>
            <w:vAlign w:val="center"/>
          </w:tcPr>
          <w:p w14:paraId="3D2280E3" w14:textId="77777777" w:rsidR="00A5136E" w:rsidRPr="00170FDC" w:rsidDel="00AF4620" w:rsidRDefault="00A5136E" w:rsidP="00183142">
            <w:pPr>
              <w:pStyle w:val="Contrato-Clausula-Nvel3"/>
              <w:numPr>
                <w:ilvl w:val="0"/>
                <w:numId w:val="0"/>
              </w:numPr>
              <w:ind w:left="44"/>
              <w:rPr>
                <w:rFonts w:cs="Arial"/>
                <w:b/>
                <w:szCs w:val="22"/>
              </w:rPr>
            </w:pPr>
            <w:r w:rsidRPr="00B708CA">
              <w:rPr>
                <w:szCs w:val="22"/>
              </w:rPr>
              <w:t xml:space="preserve">Serão admitidos contratos de Penhor de Petróleo e Gás Natural produzido no território nacional, sobre Campos já em Produção, sujeitos à aprovação prévia da ANP e à legislação vigente, conforme modelo constante do </w:t>
            </w:r>
            <w:r w:rsidRPr="00C9557B">
              <w:t xml:space="preserve">ANEXO XXV </w:t>
            </w:r>
            <w:r w:rsidRPr="00B708CA">
              <w:rPr>
                <w:szCs w:val="22"/>
              </w:rPr>
              <w:t xml:space="preserve">deste Edital. Para que seja aceito como garantia ao Programa Exploratório Mínimo ofertado, o contrato de </w:t>
            </w:r>
            <w:r w:rsidRPr="00B708CA">
              <w:rPr>
                <w:szCs w:val="22"/>
              </w:rPr>
              <w:lastRenderedPageBreak/>
              <w:t xml:space="preserve">penhor de Petróleo e Gás Natural deve ser assinado pelas partes, registrado junto ao Cartório de Registro de Imóveis da circunscrição </w:t>
            </w:r>
            <w:r>
              <w:rPr>
                <w:szCs w:val="22"/>
              </w:rPr>
              <w:t>da sede da Concessionária que detém os direitos dos C</w:t>
            </w:r>
            <w:r w:rsidRPr="00B708CA">
              <w:rPr>
                <w:szCs w:val="22"/>
              </w:rPr>
              <w:t xml:space="preserve">ampos cujo Petróleo e Gás Natural será(ão) objeto(s) do penhor, e entregue à ANP </w:t>
            </w:r>
            <w:r>
              <w:rPr>
                <w:szCs w:val="22"/>
              </w:rPr>
              <w:t>no prazo de 10 (dez) dias contados a partir de tal registro.</w:t>
            </w:r>
          </w:p>
        </w:tc>
        <w:tc>
          <w:tcPr>
            <w:tcW w:w="2126" w:type="pct"/>
            <w:vAlign w:val="center"/>
          </w:tcPr>
          <w:p w14:paraId="4BB4D766" w14:textId="77777777" w:rsidR="00017CEA" w:rsidRPr="00672A32" w:rsidRDefault="00017CEA" w:rsidP="00E061A4">
            <w:pPr>
              <w:pStyle w:val="Contrato-Clausula-Nvel3"/>
              <w:numPr>
                <w:ilvl w:val="0"/>
                <w:numId w:val="0"/>
              </w:numPr>
              <w:ind w:left="44"/>
            </w:pPr>
            <w:r w:rsidRPr="00672A32">
              <w:lastRenderedPageBreak/>
              <w:t xml:space="preserve">O IBP entende que não seria razoável exigir, além dos demais critérios determinados neste item, que o primeiro óleo tenha ocorrido há pelo menos dois anos. </w:t>
            </w:r>
          </w:p>
          <w:p w14:paraId="73B84695" w14:textId="77777777" w:rsidR="00017CEA" w:rsidRPr="00672A32" w:rsidRDefault="00017CEA" w:rsidP="00E061A4">
            <w:pPr>
              <w:pStyle w:val="Contrato-Clausula-Nvel3"/>
              <w:numPr>
                <w:ilvl w:val="0"/>
                <w:numId w:val="0"/>
              </w:numPr>
              <w:ind w:left="44"/>
            </w:pPr>
            <w:r w:rsidRPr="00672A32">
              <w:t xml:space="preserve">Conforme o parágrafo 3º abaixo, é necessário que a média da receita operacional líquida ajustada à base de cálculo por barril dos quatro trimestres anteriores ao trimestre da data de assinatura do contrato de penhor seja positiva, exigindo-se, para tanto, produção por no mínimo 1 ano. </w:t>
            </w:r>
          </w:p>
          <w:p w14:paraId="79A0BCDB" w14:textId="77777777" w:rsidR="00D027F7" w:rsidRPr="00672A32" w:rsidRDefault="00017CEA" w:rsidP="00E061A4">
            <w:pPr>
              <w:pStyle w:val="Legenda"/>
              <w:jc w:val="both"/>
              <w:rPr>
                <w:sz w:val="22"/>
                <w:szCs w:val="22"/>
              </w:rPr>
            </w:pPr>
            <w:r w:rsidRPr="00672A32">
              <w:rPr>
                <w:sz w:val="22"/>
                <w:szCs w:val="22"/>
              </w:rPr>
              <w:lastRenderedPageBreak/>
              <w:t xml:space="preserve">Nesse sentido, como a referência para o limite máximo de empenho mencionado no parágrafo 5º abaixo é a produção média aferida nos últimos 12 meses, portanto não requerendo que o campo já estivesse em produção há 2 anos. A segurança da garantia ofertada está na reserva provada e na produção futura que seja capaz de gerar valor transacional até o final do Período Exploratório da Concessão objeto da garantia. </w:t>
            </w:r>
          </w:p>
          <w:p w14:paraId="34B52085" w14:textId="77777777" w:rsidR="00D027F7" w:rsidRPr="00672A32" w:rsidRDefault="00D027F7" w:rsidP="00E061A4">
            <w:pPr>
              <w:pStyle w:val="Legenda"/>
              <w:jc w:val="both"/>
              <w:rPr>
                <w:sz w:val="22"/>
                <w:szCs w:val="22"/>
              </w:rPr>
            </w:pPr>
          </w:p>
          <w:p w14:paraId="6FB746DA" w14:textId="267A1645" w:rsidR="00A5136E" w:rsidRPr="00170FDC" w:rsidRDefault="00017CEA" w:rsidP="00E061A4">
            <w:pPr>
              <w:pStyle w:val="Legenda"/>
              <w:jc w:val="both"/>
              <w:rPr>
                <w:rFonts w:cs="Arial"/>
                <w:color w:val="000000" w:themeColor="text1"/>
                <w:sz w:val="22"/>
                <w:szCs w:val="22"/>
              </w:rPr>
            </w:pPr>
            <w:r w:rsidRPr="00672A32">
              <w:rPr>
                <w:sz w:val="22"/>
                <w:szCs w:val="22"/>
              </w:rPr>
              <w:t>Ademais, sugere-se o registro do Contrato de penhor na circunscrição da sede da empresa detentora dos direitos do Campo ou dos Campos que sejam objeto deste penhor, uma vez que esta é a alternativa mais viável, considerando que outros critérios, tais como recolhimento de royalties, fariam com que o registro tivesse que ser realizado em diversos municípios e circunscrições.</w:t>
            </w:r>
          </w:p>
        </w:tc>
      </w:tr>
      <w:tr w:rsidR="00A5136E" w:rsidRPr="00170FDC" w14:paraId="1CAEF48A" w14:textId="77777777" w:rsidTr="0003097F">
        <w:trPr>
          <w:trHeight w:val="2268"/>
        </w:trPr>
        <w:tc>
          <w:tcPr>
            <w:tcW w:w="553" w:type="pct"/>
            <w:vAlign w:val="center"/>
          </w:tcPr>
          <w:p w14:paraId="7D92DEDF" w14:textId="77777777" w:rsidR="00A5136E" w:rsidRPr="00EA55AC" w:rsidRDefault="00A5136E" w:rsidP="00A5136E">
            <w:pPr>
              <w:pStyle w:val="Legenda"/>
              <w:jc w:val="center"/>
              <w:rPr>
                <w:rFonts w:cs="Arial"/>
                <w:color w:val="000000" w:themeColor="text1"/>
                <w:sz w:val="22"/>
                <w:szCs w:val="22"/>
              </w:rPr>
            </w:pPr>
            <w:r w:rsidRPr="00EA55AC">
              <w:rPr>
                <w:rFonts w:cs="Arial"/>
                <w:color w:val="000000" w:themeColor="text1"/>
                <w:sz w:val="22"/>
                <w:szCs w:val="22"/>
              </w:rPr>
              <w:lastRenderedPageBreak/>
              <w:t>Pré-edital</w:t>
            </w:r>
          </w:p>
        </w:tc>
        <w:tc>
          <w:tcPr>
            <w:tcW w:w="441" w:type="pct"/>
            <w:vAlign w:val="center"/>
          </w:tcPr>
          <w:p w14:paraId="067D1BA2" w14:textId="77777777" w:rsidR="00A5136E" w:rsidRPr="00EA55AC" w:rsidRDefault="00A5136E" w:rsidP="00A5136E">
            <w:pPr>
              <w:pStyle w:val="Legenda"/>
              <w:jc w:val="center"/>
              <w:rPr>
                <w:rFonts w:cs="Arial"/>
                <w:color w:val="000000" w:themeColor="text1"/>
                <w:sz w:val="22"/>
                <w:szCs w:val="22"/>
              </w:rPr>
            </w:pPr>
            <w:r w:rsidRPr="00EA55AC">
              <w:rPr>
                <w:rFonts w:cs="Arial"/>
                <w:color w:val="000000" w:themeColor="text1"/>
                <w:sz w:val="22"/>
                <w:szCs w:val="22"/>
              </w:rPr>
              <w:t>Alteração</w:t>
            </w:r>
          </w:p>
        </w:tc>
        <w:tc>
          <w:tcPr>
            <w:tcW w:w="494" w:type="pct"/>
            <w:vAlign w:val="center"/>
          </w:tcPr>
          <w:p w14:paraId="0899CAD4" w14:textId="77777777" w:rsidR="00A5136E" w:rsidRPr="00672A32" w:rsidRDefault="00A5136E" w:rsidP="00183142">
            <w:pPr>
              <w:pStyle w:val="Legenda"/>
              <w:jc w:val="center"/>
              <w:rPr>
                <w:sz w:val="22"/>
                <w:szCs w:val="22"/>
              </w:rPr>
            </w:pPr>
            <w:r w:rsidRPr="00672A32">
              <w:rPr>
                <w:rFonts w:cs="Arial"/>
                <w:color w:val="000000" w:themeColor="text1"/>
                <w:sz w:val="22"/>
                <w:szCs w:val="22"/>
              </w:rPr>
              <w:t>9.1.2.3, 5º parágrafo</w:t>
            </w:r>
          </w:p>
        </w:tc>
        <w:tc>
          <w:tcPr>
            <w:tcW w:w="1386" w:type="pct"/>
            <w:vAlign w:val="center"/>
          </w:tcPr>
          <w:p w14:paraId="0F06EA9B" w14:textId="77777777" w:rsidR="00A5136E" w:rsidRPr="00672A32" w:rsidRDefault="00A5136E" w:rsidP="00183142">
            <w:pPr>
              <w:pStyle w:val="Contrato-Clausula-Nvel3"/>
              <w:numPr>
                <w:ilvl w:val="0"/>
                <w:numId w:val="0"/>
              </w:numPr>
              <w:ind w:left="44"/>
              <w:rPr>
                <w:b/>
                <w:szCs w:val="22"/>
              </w:rPr>
            </w:pPr>
            <w:r w:rsidRPr="00672A32">
              <w:rPr>
                <w:szCs w:val="22"/>
              </w:rPr>
              <w:t>A receita operacional líquida ajustada à base de cálculo será apurada conforme disposições e definições previstas para preenchimento do Demonstrativo de Apuração da Participação Especial (DAPE), conforme arts. 25 e 26 do Decreto nº 2.705/1998, Portaria ANP nº 58/2001 e Resolução ANP nº 12/2014, caso não seja possível determinar objetivamente o preço de venda do gás firmado entre o contratado e terceiros.</w:t>
            </w:r>
          </w:p>
        </w:tc>
        <w:tc>
          <w:tcPr>
            <w:tcW w:w="2126" w:type="pct"/>
            <w:vAlign w:val="center"/>
          </w:tcPr>
          <w:p w14:paraId="1762E9A5" w14:textId="77777777" w:rsidR="00A5136E" w:rsidRPr="00672A32" w:rsidRDefault="00A5136E" w:rsidP="00E061A4">
            <w:pPr>
              <w:pStyle w:val="Legenda"/>
              <w:spacing w:before="120" w:after="120"/>
              <w:jc w:val="both"/>
              <w:rPr>
                <w:rFonts w:cs="Arial"/>
                <w:sz w:val="22"/>
                <w:szCs w:val="22"/>
              </w:rPr>
            </w:pPr>
            <w:r w:rsidRPr="00672A32">
              <w:rPr>
                <w:rFonts w:cs="Arial"/>
                <w:sz w:val="22"/>
                <w:szCs w:val="22"/>
              </w:rPr>
              <w:t>De forma alternativa, caso a ANP permaneça na posição de limitar a garantia do total de gás empenhado, deve-se levar em consideração que o “</w:t>
            </w:r>
            <w:r w:rsidRPr="00672A32">
              <w:rPr>
                <w:rFonts w:cs="Arial"/>
                <w:i/>
                <w:sz w:val="22"/>
                <w:szCs w:val="22"/>
              </w:rPr>
              <w:t>Contrato de Penhor de Gás Natural deverá estar associado a gás monetizável mediante contrato de compra e venda previamente firmado entre o contratado e terceiros”,</w:t>
            </w:r>
            <w:r w:rsidRPr="00672A32">
              <w:rPr>
                <w:rFonts w:cs="Arial"/>
                <w:sz w:val="22"/>
                <w:szCs w:val="22"/>
              </w:rPr>
              <w:t xml:space="preserve"> tornando-se desnecessário o ajuste da receita operacional líquida com base no preço de referência, já que o preço final de venda do gás estará objetivamente determinado no contrato de c/v de gás.</w:t>
            </w:r>
          </w:p>
          <w:p w14:paraId="48AA0E4C" w14:textId="77777777" w:rsidR="00A5136E" w:rsidRPr="00672A32" w:rsidRDefault="00A5136E" w:rsidP="00E061A4">
            <w:pPr>
              <w:pStyle w:val="Legenda"/>
              <w:spacing w:before="120" w:after="120"/>
              <w:jc w:val="both"/>
              <w:rPr>
                <w:rFonts w:cs="Arial"/>
                <w:sz w:val="22"/>
                <w:szCs w:val="22"/>
              </w:rPr>
            </w:pPr>
            <w:r w:rsidRPr="00672A32">
              <w:rPr>
                <w:rFonts w:cs="Arial"/>
                <w:sz w:val="22"/>
                <w:szCs w:val="22"/>
              </w:rPr>
              <w:t xml:space="preserve">A inclusão é feita para que o preço de referência seja utilizado tão somente quando não for possível determinar o preço no contrato. </w:t>
            </w:r>
            <w:r w:rsidRPr="00672A32">
              <w:rPr>
                <w:rFonts w:cs="Arial"/>
                <w:sz w:val="22"/>
                <w:szCs w:val="22"/>
              </w:rPr>
              <w:br/>
              <w:t>Utilizar o preço de referência como parâmetro, na prática, significa reduzir drasticamente o limite de empenho aceito pela ANP.</w:t>
            </w:r>
            <w:r w:rsidRPr="00672A32">
              <w:rPr>
                <w:rFonts w:cs="Arial"/>
                <w:sz w:val="22"/>
                <w:szCs w:val="22"/>
              </w:rPr>
              <w:br/>
              <w:t xml:space="preserve">A própria minuta do contrato de penhor de gás trouxe a previsão que na execução da garantia, a ANP receberá os valores relativos ao compromisso de aquisição dos volumes mínimos contratualmente previstos (cláusula “take or pay”) diretamente do interveniente anuente, ou seja, do </w:t>
            </w:r>
            <w:r w:rsidRPr="00672A32">
              <w:rPr>
                <w:rFonts w:cs="Arial"/>
                <w:sz w:val="22"/>
                <w:szCs w:val="22"/>
              </w:rPr>
              <w:lastRenderedPageBreak/>
              <w:t xml:space="preserve">comprador do gás (cláusula 7.3 do Anexo XXV). </w:t>
            </w:r>
          </w:p>
          <w:p w14:paraId="3EF34BA8" w14:textId="77777777" w:rsidR="00A5136E" w:rsidRPr="00672A32" w:rsidRDefault="00A5136E" w:rsidP="00E061A4">
            <w:pPr>
              <w:pStyle w:val="Legenda"/>
              <w:spacing w:before="120" w:after="120"/>
              <w:jc w:val="both"/>
              <w:rPr>
                <w:rFonts w:cs="Arial"/>
                <w:sz w:val="22"/>
                <w:szCs w:val="22"/>
              </w:rPr>
            </w:pPr>
            <w:r w:rsidRPr="00672A32">
              <w:rPr>
                <w:rFonts w:cs="Arial"/>
                <w:sz w:val="22"/>
                <w:szCs w:val="22"/>
              </w:rPr>
              <w:t>Reforçando-se a ideia que a execução da garantia será pautada nos valores envolvidos no contrato de c/v de gás, sendo irrelevante o preço de referência para fins de empenho do gás.</w:t>
            </w:r>
          </w:p>
          <w:p w14:paraId="16AA41E7" w14:textId="77777777" w:rsidR="00A5136E" w:rsidRPr="00672A32" w:rsidRDefault="00A5136E" w:rsidP="00E061A4">
            <w:pPr>
              <w:pStyle w:val="Legenda"/>
              <w:jc w:val="both"/>
              <w:rPr>
                <w:rFonts w:cs="Arial"/>
                <w:sz w:val="22"/>
                <w:szCs w:val="22"/>
              </w:rPr>
            </w:pPr>
          </w:p>
        </w:tc>
      </w:tr>
      <w:tr w:rsidR="00A5136E" w:rsidRPr="00170FDC" w14:paraId="0BA7F322" w14:textId="77777777" w:rsidTr="0003097F">
        <w:trPr>
          <w:trHeight w:val="2268"/>
        </w:trPr>
        <w:tc>
          <w:tcPr>
            <w:tcW w:w="553" w:type="pct"/>
            <w:vAlign w:val="center"/>
          </w:tcPr>
          <w:p w14:paraId="7EE81FC1" w14:textId="77777777" w:rsidR="00A5136E" w:rsidRPr="00EA55AC" w:rsidRDefault="00A5136E" w:rsidP="00A5136E">
            <w:pPr>
              <w:pStyle w:val="Legenda"/>
              <w:jc w:val="both"/>
              <w:rPr>
                <w:rFonts w:cs="Arial"/>
                <w:sz w:val="22"/>
                <w:szCs w:val="22"/>
              </w:rPr>
            </w:pPr>
            <w:r w:rsidRPr="00EA55AC">
              <w:rPr>
                <w:rFonts w:cs="Arial"/>
                <w:sz w:val="22"/>
                <w:szCs w:val="22"/>
              </w:rPr>
              <w:lastRenderedPageBreak/>
              <w:t>Pré-edital</w:t>
            </w:r>
          </w:p>
        </w:tc>
        <w:tc>
          <w:tcPr>
            <w:tcW w:w="441" w:type="pct"/>
            <w:vAlign w:val="center"/>
          </w:tcPr>
          <w:p w14:paraId="2A173636" w14:textId="77777777" w:rsidR="00A5136E" w:rsidRPr="00EA55AC" w:rsidRDefault="00A5136E" w:rsidP="00A5136E">
            <w:pPr>
              <w:pStyle w:val="Legenda"/>
              <w:jc w:val="both"/>
              <w:rPr>
                <w:rFonts w:cs="Arial"/>
                <w:sz w:val="22"/>
                <w:szCs w:val="22"/>
              </w:rPr>
            </w:pPr>
            <w:r w:rsidRPr="00EA55AC">
              <w:rPr>
                <w:rFonts w:cs="Arial"/>
                <w:color w:val="000000" w:themeColor="text1"/>
                <w:sz w:val="22"/>
                <w:szCs w:val="22"/>
              </w:rPr>
              <w:t>Alteração</w:t>
            </w:r>
          </w:p>
        </w:tc>
        <w:tc>
          <w:tcPr>
            <w:tcW w:w="494" w:type="pct"/>
            <w:vAlign w:val="center"/>
          </w:tcPr>
          <w:p w14:paraId="57877C46" w14:textId="77777777" w:rsidR="00A5136E" w:rsidRPr="00672A32" w:rsidRDefault="00A5136E" w:rsidP="00183142">
            <w:pPr>
              <w:pStyle w:val="Legenda"/>
              <w:jc w:val="center"/>
              <w:rPr>
                <w:sz w:val="22"/>
                <w:szCs w:val="22"/>
              </w:rPr>
            </w:pPr>
            <w:r w:rsidRPr="00672A32">
              <w:rPr>
                <w:rFonts w:cs="Arial"/>
                <w:sz w:val="22"/>
                <w:szCs w:val="22"/>
              </w:rPr>
              <w:t xml:space="preserve">9.1.2.3, </w:t>
            </w:r>
            <w:r w:rsidRPr="00672A32">
              <w:rPr>
                <w:rFonts w:cs="Arial"/>
                <w:color w:val="000000" w:themeColor="text1"/>
                <w:sz w:val="22"/>
                <w:szCs w:val="22"/>
              </w:rPr>
              <w:t>6º parágrafo</w:t>
            </w:r>
          </w:p>
        </w:tc>
        <w:tc>
          <w:tcPr>
            <w:tcW w:w="1386" w:type="pct"/>
            <w:vAlign w:val="center"/>
          </w:tcPr>
          <w:p w14:paraId="03B76E4A" w14:textId="77777777" w:rsidR="00A5136E" w:rsidRPr="00672A32" w:rsidRDefault="00A5136E" w:rsidP="00183142">
            <w:pPr>
              <w:pStyle w:val="Contrato-Clausula-Nvel3"/>
              <w:numPr>
                <w:ilvl w:val="0"/>
                <w:numId w:val="0"/>
              </w:numPr>
              <w:ind w:left="44"/>
              <w:rPr>
                <w:b/>
                <w:szCs w:val="22"/>
              </w:rPr>
            </w:pPr>
            <w:r w:rsidRPr="00672A32">
              <w:rPr>
                <w:szCs w:val="22"/>
              </w:rPr>
              <w:t>O limite máximo de empenho aceito pela ANP para os contratos de penhor, considerando inclusive os contratos em vigor, será de 50% da produção anual total de petróleo e gás natural da concessionária no Brasil, aferida pela média dos últimos 12 (doze) meses dos valores constantes do Boletim da Produção de Petróleo e Gás Natural. Quando o contrato de compra e venda previamente firmado entre o contratado e terceiros trouxer a previsão de compromisso de retirada pela cláusula take or pay, o limite máximo poderá ser igual ou inferior a limite estabelecido, observando quantidades diárias contratadas (QDC/m3) e quantidades anuais contratadas (QAC/m3).</w:t>
            </w:r>
          </w:p>
        </w:tc>
        <w:tc>
          <w:tcPr>
            <w:tcW w:w="2126" w:type="pct"/>
            <w:vAlign w:val="center"/>
          </w:tcPr>
          <w:p w14:paraId="2F0EACBB" w14:textId="77777777" w:rsidR="00A5136E" w:rsidRPr="00672A32" w:rsidRDefault="00A5136E" w:rsidP="00E061A4">
            <w:pPr>
              <w:pStyle w:val="Legenda"/>
              <w:spacing w:before="120" w:after="120"/>
              <w:jc w:val="both"/>
              <w:rPr>
                <w:rFonts w:cs="Arial"/>
                <w:sz w:val="22"/>
                <w:szCs w:val="22"/>
              </w:rPr>
            </w:pPr>
            <w:r w:rsidRPr="00672A32">
              <w:rPr>
                <w:rFonts w:cs="Arial"/>
                <w:sz w:val="22"/>
                <w:szCs w:val="22"/>
              </w:rPr>
              <w:t>De forma alternativa, caso a ANP permaneça na posição de limitar a garantia do total de gás empenhado, o limite deve considerar que o Contrato de Penhor de gás associado a monetização</w:t>
            </w:r>
            <w:r w:rsidRPr="00672A32">
              <w:rPr>
                <w:sz w:val="22"/>
                <w:szCs w:val="22"/>
              </w:rPr>
              <w:t xml:space="preserve">, na prática, utiliza a garantia adicional dos recebíveis decorrente do contrato. Assim, a limitação de </w:t>
            </w:r>
            <w:r w:rsidRPr="00672A32">
              <w:rPr>
                <w:rFonts w:cs="Arial"/>
                <w:sz w:val="22"/>
                <w:szCs w:val="22"/>
              </w:rPr>
              <w:t xml:space="preserve">50% da produção anual poderá ser bem superior, mitigando-se os riscos da produção e venda, quando o contrato prever o compromisso da cláusula take or pay. </w:t>
            </w:r>
          </w:p>
          <w:p w14:paraId="61053CFA" w14:textId="77777777" w:rsidR="00A5136E" w:rsidRPr="00672A32" w:rsidRDefault="00A5136E" w:rsidP="00E061A4">
            <w:pPr>
              <w:pStyle w:val="Legenda"/>
              <w:spacing w:before="120" w:after="120"/>
              <w:jc w:val="both"/>
              <w:rPr>
                <w:rFonts w:cs="Arial"/>
                <w:sz w:val="22"/>
                <w:szCs w:val="22"/>
              </w:rPr>
            </w:pPr>
            <w:r w:rsidRPr="00672A32">
              <w:rPr>
                <w:rFonts w:cs="Arial"/>
                <w:sz w:val="22"/>
                <w:szCs w:val="22"/>
              </w:rPr>
              <w:t xml:space="preserve">Além disso, qualquer redução na produção abaixo da QDC ou não cumprimento do contrato, poderá ser verificado pela ANP pelos BMP, o que poderia ensejar na exigência de reforço de garantia pela agência, conforme o caso. </w:t>
            </w:r>
          </w:p>
          <w:p w14:paraId="210121C2" w14:textId="77777777" w:rsidR="00A5136E" w:rsidRPr="00672A32" w:rsidRDefault="00A5136E" w:rsidP="00E061A4">
            <w:pPr>
              <w:pStyle w:val="Legenda"/>
              <w:spacing w:before="120" w:after="120"/>
              <w:jc w:val="both"/>
              <w:rPr>
                <w:rFonts w:cs="Arial"/>
                <w:sz w:val="22"/>
                <w:szCs w:val="22"/>
              </w:rPr>
            </w:pPr>
            <w:r w:rsidRPr="00672A32">
              <w:rPr>
                <w:rFonts w:cs="Arial"/>
                <w:sz w:val="22"/>
                <w:szCs w:val="22"/>
              </w:rPr>
              <w:t>A própria minuta do contrato de penhor de gás trouxe a previsão que na execução da garantia, a ANP receberá os valores relativos ao compromisso de aquisição dos volumes mínimos contratualmente previstos (cláusula “take or pay”) diretamente do interveniente anuente, ou seja, do comprador do gás (cláusula 7.3 do Anexo XXV).</w:t>
            </w:r>
          </w:p>
          <w:p w14:paraId="4378C846" w14:textId="77777777" w:rsidR="00A5136E" w:rsidRPr="00672A32" w:rsidRDefault="00A5136E" w:rsidP="00E061A4">
            <w:pPr>
              <w:pStyle w:val="Legenda"/>
              <w:jc w:val="both"/>
              <w:rPr>
                <w:rFonts w:cs="Arial"/>
                <w:sz w:val="22"/>
                <w:szCs w:val="22"/>
              </w:rPr>
            </w:pPr>
            <w:r w:rsidRPr="00672A32">
              <w:rPr>
                <w:rFonts w:cs="Arial"/>
                <w:sz w:val="22"/>
                <w:szCs w:val="22"/>
              </w:rPr>
              <w:t xml:space="preserve"> Reforçando-se a ideia que é possível, sem riscos, a garantia do penhor em patamar superior a 50%, já que, em caso de inadimplemento, a ANP poderia obter até 100% dos valores referentes da cláusula take or pay, independente da tradição ou venda do bem empenhado.</w:t>
            </w:r>
          </w:p>
        </w:tc>
      </w:tr>
      <w:tr w:rsidR="00A5136E" w:rsidRPr="00170FDC" w14:paraId="6DD02990" w14:textId="77777777" w:rsidTr="0003097F">
        <w:trPr>
          <w:trHeight w:val="2268"/>
        </w:trPr>
        <w:tc>
          <w:tcPr>
            <w:tcW w:w="553" w:type="pct"/>
            <w:vAlign w:val="center"/>
          </w:tcPr>
          <w:p w14:paraId="31481B92"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6568C5A"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1532A25"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9.1.4, após a 1ª frase do 1º parágrafo</w:t>
            </w:r>
          </w:p>
        </w:tc>
        <w:tc>
          <w:tcPr>
            <w:tcW w:w="1386" w:type="pct"/>
            <w:vAlign w:val="center"/>
          </w:tcPr>
          <w:p w14:paraId="5E8491ED" w14:textId="77777777" w:rsidR="00A5136E" w:rsidRPr="00170FDC" w:rsidDel="00AF4620" w:rsidRDefault="00A5136E" w:rsidP="00183142">
            <w:pPr>
              <w:pStyle w:val="Contrato-Clausula-Nvel3"/>
              <w:numPr>
                <w:ilvl w:val="0"/>
                <w:numId w:val="0"/>
              </w:numPr>
              <w:ind w:left="44"/>
              <w:rPr>
                <w:rFonts w:cs="Arial"/>
                <w:b/>
                <w:szCs w:val="22"/>
              </w:rPr>
            </w:pPr>
            <w:r>
              <w:t xml:space="preserve">As licitantes vencedoras que apresentaram oferta em consórcio deverão apresentar </w:t>
            </w:r>
            <w:r w:rsidRPr="00757ED3">
              <w:t>instrumento constitutivo do consórcio</w:t>
            </w:r>
            <w:r>
              <w:t xml:space="preserve"> arquivado na Junta Comercial competente</w:t>
            </w:r>
            <w:r w:rsidRPr="00757ED3">
              <w:t>, subscrito pelos consorciados</w:t>
            </w:r>
            <w:r>
              <w:t xml:space="preserve">. </w:t>
            </w:r>
            <w:r w:rsidRPr="00B708CA">
              <w:rPr>
                <w:szCs w:val="22"/>
              </w:rPr>
              <w:t xml:space="preserve"> Caso o registro não tenha sido disponibilizado pela Junta Comercial até a data estipulada pela ANP para entrega do contrato de consórcio, a ANP poderá conceder uma prorrogação do referido prazo, mediante requerimento pelas licitantes, devidamente fundamentado, acompanhado da minuta do contrato de consórcio e o respectivo protocolo de entrada do documento fornecido pela Junta Comercial.</w:t>
            </w:r>
          </w:p>
        </w:tc>
        <w:tc>
          <w:tcPr>
            <w:tcW w:w="2126" w:type="pct"/>
            <w:vAlign w:val="center"/>
          </w:tcPr>
          <w:p w14:paraId="1EDF0BB0" w14:textId="77777777" w:rsidR="00A5136E" w:rsidRPr="00170FDC" w:rsidRDefault="00A5136E" w:rsidP="00E061A4">
            <w:pPr>
              <w:pStyle w:val="Legenda"/>
              <w:jc w:val="both"/>
              <w:rPr>
                <w:rFonts w:cs="Arial"/>
                <w:color w:val="000000" w:themeColor="text1"/>
                <w:sz w:val="22"/>
                <w:szCs w:val="22"/>
              </w:rPr>
            </w:pPr>
            <w:r w:rsidRPr="00B708CA">
              <w:rPr>
                <w:sz w:val="22"/>
                <w:szCs w:val="22"/>
              </w:rPr>
              <w:t>Tendo em vista que as licitantes não têm controle sobre os prazos e processos internos das Juntas Comerciais, entende-se que é necessário prever a possibilidade de prorrogação do prazo para apresentação do contrato de consórcio, evitando-se assim prejuízos às licitantes.</w:t>
            </w:r>
          </w:p>
        </w:tc>
      </w:tr>
      <w:tr w:rsidR="00A5136E" w:rsidRPr="00170FDC" w14:paraId="13D9BBB2" w14:textId="77777777" w:rsidTr="0003097F">
        <w:trPr>
          <w:trHeight w:val="2268"/>
        </w:trPr>
        <w:tc>
          <w:tcPr>
            <w:tcW w:w="553" w:type="pct"/>
            <w:vAlign w:val="center"/>
          </w:tcPr>
          <w:p w14:paraId="65D77637"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5DF1465"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A1E1633"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9.2, 5º parágrafo</w:t>
            </w:r>
          </w:p>
        </w:tc>
        <w:tc>
          <w:tcPr>
            <w:tcW w:w="1386" w:type="pct"/>
            <w:vAlign w:val="center"/>
          </w:tcPr>
          <w:p w14:paraId="5F465C25" w14:textId="77777777" w:rsidR="00A5136E" w:rsidRPr="00C9557B" w:rsidRDefault="00A5136E" w:rsidP="00183142">
            <w:pPr>
              <w:pStyle w:val="Contrato-Clausula-Nvel3"/>
              <w:numPr>
                <w:ilvl w:val="0"/>
                <w:numId w:val="0"/>
              </w:numPr>
              <w:ind w:left="44"/>
            </w:pPr>
            <w:r>
              <w:t>A afiliada</w:t>
            </w:r>
            <w:r w:rsidRPr="00757ED3">
              <w:t xml:space="preserve"> </w:t>
            </w:r>
            <w:r>
              <w:t>que</w:t>
            </w:r>
            <w:r w:rsidRPr="00757ED3">
              <w:t xml:space="preserve"> receber a delegação </w:t>
            </w:r>
            <w:r w:rsidRPr="00C9557B">
              <w:t>deverá apresentar documentos para assinatura do contrato de concessão, previstos nas seções 9.1.2, 9.1.3 e, caso aplicável, 9.1.4 e 9.1.5, e obter qualificação econômico-financeira e jurídica no nível exigido para assinar o contrato de concessão ou superior, além de comprovar sua regularidade fiscal e trabalhista</w:t>
            </w:r>
            <w:r>
              <w:t xml:space="preserve"> no prazo constante na Tabela 1</w:t>
            </w:r>
            <w:r w:rsidRPr="00C9557B">
              <w:t>.</w:t>
            </w:r>
          </w:p>
        </w:tc>
        <w:tc>
          <w:tcPr>
            <w:tcW w:w="2126" w:type="pct"/>
            <w:vAlign w:val="center"/>
          </w:tcPr>
          <w:p w14:paraId="2949EB6F" w14:textId="77777777" w:rsidR="00A5136E" w:rsidRPr="00B708CA" w:rsidRDefault="00A5136E" w:rsidP="00E061A4">
            <w:pPr>
              <w:pStyle w:val="Legenda"/>
              <w:jc w:val="both"/>
              <w:rPr>
                <w:sz w:val="22"/>
                <w:szCs w:val="22"/>
              </w:rPr>
            </w:pPr>
            <w:r>
              <w:t>Objetivo de explicitar informação informalmente prestada pela ANP</w:t>
            </w:r>
          </w:p>
        </w:tc>
      </w:tr>
      <w:tr w:rsidR="00A5136E" w:rsidRPr="00170FDC" w14:paraId="5EB96A25" w14:textId="77777777" w:rsidTr="0003097F">
        <w:trPr>
          <w:trHeight w:val="2268"/>
        </w:trPr>
        <w:tc>
          <w:tcPr>
            <w:tcW w:w="553" w:type="pct"/>
            <w:vAlign w:val="center"/>
          </w:tcPr>
          <w:p w14:paraId="23026240" w14:textId="77777777" w:rsidR="00A5136E" w:rsidRPr="00EA55AC" w:rsidRDefault="00A5136E" w:rsidP="00A5136E">
            <w:pPr>
              <w:pStyle w:val="Legenda"/>
              <w:jc w:val="center"/>
              <w:rPr>
                <w:rFonts w:cs="Arial"/>
                <w:color w:val="000000" w:themeColor="text1"/>
                <w:sz w:val="22"/>
                <w:szCs w:val="22"/>
              </w:rPr>
            </w:pPr>
            <w:r w:rsidRPr="00EA55AC">
              <w:rPr>
                <w:rFonts w:cs="Arial"/>
                <w:color w:val="000000" w:themeColor="text1"/>
                <w:sz w:val="22"/>
                <w:szCs w:val="22"/>
              </w:rPr>
              <w:lastRenderedPageBreak/>
              <w:t>Pré-edital</w:t>
            </w:r>
          </w:p>
        </w:tc>
        <w:tc>
          <w:tcPr>
            <w:tcW w:w="441" w:type="pct"/>
            <w:vAlign w:val="center"/>
          </w:tcPr>
          <w:p w14:paraId="2D7FE8C6" w14:textId="77777777" w:rsidR="00A5136E" w:rsidRPr="00EA55AC" w:rsidRDefault="00A5136E" w:rsidP="00A5136E">
            <w:pPr>
              <w:pStyle w:val="Legenda"/>
              <w:jc w:val="center"/>
              <w:rPr>
                <w:rFonts w:cs="Arial"/>
                <w:color w:val="000000" w:themeColor="text1"/>
                <w:sz w:val="22"/>
                <w:szCs w:val="22"/>
              </w:rPr>
            </w:pPr>
            <w:r w:rsidRPr="00EA55AC">
              <w:rPr>
                <w:rFonts w:cs="Arial"/>
                <w:color w:val="000000" w:themeColor="text1"/>
                <w:sz w:val="22"/>
                <w:szCs w:val="22"/>
              </w:rPr>
              <w:t>Alteração</w:t>
            </w:r>
          </w:p>
        </w:tc>
        <w:tc>
          <w:tcPr>
            <w:tcW w:w="494" w:type="pct"/>
            <w:vAlign w:val="center"/>
          </w:tcPr>
          <w:p w14:paraId="1F11BE43" w14:textId="77777777" w:rsidR="00A5136E" w:rsidRPr="00EA55AC" w:rsidRDefault="00A5136E" w:rsidP="00183142">
            <w:pPr>
              <w:pStyle w:val="Legenda"/>
              <w:jc w:val="center"/>
              <w:rPr>
                <w:rFonts w:cs="Arial"/>
                <w:color w:val="000000" w:themeColor="text1"/>
                <w:sz w:val="22"/>
                <w:szCs w:val="22"/>
              </w:rPr>
            </w:pPr>
            <w:r w:rsidRPr="00EA55AC">
              <w:rPr>
                <w:rFonts w:cs="Arial"/>
                <w:color w:val="000000" w:themeColor="text1"/>
                <w:sz w:val="22"/>
                <w:szCs w:val="22"/>
              </w:rPr>
              <w:t>9.2.1, 1º parágrafo</w:t>
            </w:r>
          </w:p>
        </w:tc>
        <w:tc>
          <w:tcPr>
            <w:tcW w:w="1386" w:type="pct"/>
            <w:vAlign w:val="center"/>
          </w:tcPr>
          <w:p w14:paraId="06BCCB03" w14:textId="77777777" w:rsidR="00A5136E" w:rsidRPr="00EA55AC" w:rsidRDefault="00A5136E" w:rsidP="00183142">
            <w:pPr>
              <w:pStyle w:val="Edital-Corpodetexto"/>
            </w:pPr>
          </w:p>
          <w:p w14:paraId="13C4EE2F" w14:textId="77777777" w:rsidR="00A5136E" w:rsidRPr="00EA55AC" w:rsidRDefault="00A5136E" w:rsidP="00183142">
            <w:pPr>
              <w:pStyle w:val="Contrato-Clausula-Nvel3"/>
              <w:numPr>
                <w:ilvl w:val="0"/>
                <w:numId w:val="0"/>
              </w:numPr>
              <w:ind w:left="44"/>
            </w:pPr>
            <w:r w:rsidRPr="00EA55AC">
              <w:t>A afiliada indicada para assinar o contrato de concessão deverá entregar os documentos para qualificação econômico-financeira e jurídica e comprovação de regularidade fiscal e trabalhista, listados nesta seção, no prazo indicado na Tabela 16, do item 9.2.2, conforme Tabela 1, na forma prevista na seção 3.</w:t>
            </w:r>
          </w:p>
        </w:tc>
        <w:tc>
          <w:tcPr>
            <w:tcW w:w="2126" w:type="pct"/>
            <w:vAlign w:val="center"/>
          </w:tcPr>
          <w:p w14:paraId="04F24E7B" w14:textId="77777777" w:rsidR="00A5136E" w:rsidRPr="00EA55AC" w:rsidRDefault="00A5136E" w:rsidP="00E061A4">
            <w:pPr>
              <w:pStyle w:val="Legenda"/>
              <w:jc w:val="both"/>
              <w:rPr>
                <w:sz w:val="22"/>
                <w:szCs w:val="22"/>
              </w:rPr>
            </w:pPr>
            <w:r w:rsidRPr="00EA55AC">
              <w:rPr>
                <w:sz w:val="22"/>
                <w:szCs w:val="22"/>
              </w:rPr>
              <w:t>Na prática, o prazo de 05 dias corridos se revela inviável de ser cumprido, sendo a sugestão do IBP que seja adotado o mesmo prazo previsto para as hipóteses de empresas brasileiras serem constituídas após a licitação, de aproximadamente 02 meses.</w:t>
            </w:r>
          </w:p>
        </w:tc>
      </w:tr>
      <w:tr w:rsidR="00A5136E" w:rsidRPr="00170FDC" w14:paraId="4EB5B75E" w14:textId="77777777" w:rsidTr="0003097F">
        <w:trPr>
          <w:trHeight w:val="2268"/>
        </w:trPr>
        <w:tc>
          <w:tcPr>
            <w:tcW w:w="553" w:type="pct"/>
            <w:vAlign w:val="center"/>
          </w:tcPr>
          <w:p w14:paraId="0A2A06C1" w14:textId="77777777" w:rsidR="00A5136E" w:rsidRPr="00EA55AC" w:rsidRDefault="00A5136E" w:rsidP="00A5136E">
            <w:pPr>
              <w:pStyle w:val="Legenda"/>
              <w:jc w:val="center"/>
              <w:rPr>
                <w:rFonts w:cs="Arial"/>
                <w:color w:val="000000" w:themeColor="text1"/>
                <w:sz w:val="22"/>
                <w:szCs w:val="22"/>
              </w:rPr>
            </w:pPr>
            <w:r w:rsidRPr="00EA55AC">
              <w:rPr>
                <w:rFonts w:cs="Arial"/>
                <w:color w:val="000000" w:themeColor="text1"/>
                <w:sz w:val="22"/>
                <w:szCs w:val="22"/>
              </w:rPr>
              <w:t>Pré-edital</w:t>
            </w:r>
          </w:p>
        </w:tc>
        <w:tc>
          <w:tcPr>
            <w:tcW w:w="441" w:type="pct"/>
            <w:vAlign w:val="center"/>
          </w:tcPr>
          <w:p w14:paraId="0951D084" w14:textId="77777777" w:rsidR="00A5136E" w:rsidRPr="00EA55AC" w:rsidRDefault="00A5136E" w:rsidP="00A5136E">
            <w:pPr>
              <w:pStyle w:val="Legenda"/>
              <w:jc w:val="center"/>
              <w:rPr>
                <w:rFonts w:cs="Arial"/>
                <w:color w:val="000000" w:themeColor="text1"/>
                <w:sz w:val="22"/>
                <w:szCs w:val="22"/>
              </w:rPr>
            </w:pPr>
            <w:r w:rsidRPr="00EA55AC">
              <w:rPr>
                <w:rFonts w:cs="Arial"/>
                <w:color w:val="000000" w:themeColor="text1"/>
                <w:sz w:val="22"/>
                <w:szCs w:val="22"/>
              </w:rPr>
              <w:t>Alteração</w:t>
            </w:r>
          </w:p>
        </w:tc>
        <w:tc>
          <w:tcPr>
            <w:tcW w:w="494" w:type="pct"/>
            <w:vAlign w:val="center"/>
          </w:tcPr>
          <w:p w14:paraId="22B9067C" w14:textId="77777777" w:rsidR="00A5136E" w:rsidRPr="00EA55AC" w:rsidRDefault="00A5136E" w:rsidP="00183142">
            <w:pPr>
              <w:pStyle w:val="Legenda"/>
              <w:jc w:val="center"/>
              <w:rPr>
                <w:rFonts w:cs="Arial"/>
                <w:color w:val="000000" w:themeColor="text1"/>
                <w:sz w:val="22"/>
                <w:szCs w:val="22"/>
              </w:rPr>
            </w:pPr>
            <w:r w:rsidRPr="00EA55AC">
              <w:rPr>
                <w:rFonts w:cs="Arial"/>
                <w:color w:val="000000" w:themeColor="text1"/>
                <w:sz w:val="22"/>
                <w:szCs w:val="22"/>
              </w:rPr>
              <w:t>9.3.2, 1º parágrafo</w:t>
            </w:r>
          </w:p>
        </w:tc>
        <w:tc>
          <w:tcPr>
            <w:tcW w:w="1386" w:type="pct"/>
            <w:vAlign w:val="center"/>
          </w:tcPr>
          <w:p w14:paraId="2F3A952B" w14:textId="77777777" w:rsidR="00A5136E" w:rsidRPr="00EA55AC" w:rsidDel="00AF4620" w:rsidRDefault="00A5136E" w:rsidP="00183142">
            <w:pPr>
              <w:pStyle w:val="Contrato-Clausula-Nvel3"/>
              <w:numPr>
                <w:ilvl w:val="0"/>
                <w:numId w:val="0"/>
              </w:numPr>
              <w:ind w:left="44"/>
              <w:rPr>
                <w:rFonts w:cs="Arial"/>
                <w:b/>
                <w:szCs w:val="22"/>
              </w:rPr>
            </w:pPr>
            <w:r w:rsidRPr="00EA55AC">
              <w:t>Caso uma licitante integrante de consórcio vencedor não celebre o contrato de concessão até a data definida pela ANP, as demais consorciadas serão convocadas para, no prazo definido pela CEL, manifestarem interesse em assumir as responsabilidades da licitante</w:t>
            </w:r>
            <w:r w:rsidRPr="00EA55AC">
              <w:rPr>
                <w:rStyle w:val="Edital-CTChar"/>
              </w:rPr>
              <w:t xml:space="preserve"> desclassificada ou desistente, </w:t>
            </w:r>
            <w:r w:rsidRPr="00EA55AC">
              <w:t>sem prejuízo da aplicação das penalidades previstas na seção 10 e na legislação aplicável</w:t>
            </w:r>
            <w:r w:rsidRPr="00EA55AC">
              <w:rPr>
                <w:szCs w:val="22"/>
              </w:rPr>
              <w:t xml:space="preserve"> à licitante que não assinar o contrato de concessão.</w:t>
            </w:r>
          </w:p>
        </w:tc>
        <w:tc>
          <w:tcPr>
            <w:tcW w:w="2126" w:type="pct"/>
            <w:vAlign w:val="center"/>
          </w:tcPr>
          <w:p w14:paraId="0B98CCBC" w14:textId="77777777" w:rsidR="00A5136E" w:rsidRPr="00EA55AC" w:rsidRDefault="00A5136E" w:rsidP="00E061A4">
            <w:pPr>
              <w:pStyle w:val="Legenda"/>
              <w:jc w:val="both"/>
              <w:rPr>
                <w:rFonts w:cs="Arial"/>
                <w:sz w:val="22"/>
                <w:szCs w:val="22"/>
              </w:rPr>
            </w:pPr>
            <w:r w:rsidRPr="00EA55AC">
              <w:rPr>
                <w:sz w:val="22"/>
                <w:szCs w:val="22"/>
              </w:rPr>
              <w:t>Vide justificativa constante do item</w:t>
            </w:r>
            <w:r w:rsidRPr="00EA55AC">
              <w:rPr>
                <w:rFonts w:cs="Arial"/>
                <w:sz w:val="22"/>
                <w:szCs w:val="22"/>
              </w:rPr>
              <w:t xml:space="preserve"> Art. 7.6.2, 1º parágrafo</w:t>
            </w:r>
            <w:r w:rsidR="00D83D3A" w:rsidRPr="00EA55AC">
              <w:rPr>
                <w:rFonts w:cs="Arial"/>
                <w:sz w:val="22"/>
                <w:szCs w:val="22"/>
              </w:rPr>
              <w:t>.</w:t>
            </w:r>
          </w:p>
          <w:p w14:paraId="274FF100" w14:textId="77777777" w:rsidR="00D83D3A" w:rsidRPr="00EA55AC" w:rsidRDefault="00D83D3A" w:rsidP="00E061A4">
            <w:pPr>
              <w:jc w:val="both"/>
            </w:pPr>
          </w:p>
          <w:p w14:paraId="75796F74" w14:textId="328E2BCE" w:rsidR="00D83D3A" w:rsidRPr="00EA55AC" w:rsidRDefault="00D83D3A" w:rsidP="00E061A4">
            <w:pPr>
              <w:jc w:val="both"/>
            </w:pPr>
          </w:p>
        </w:tc>
      </w:tr>
      <w:tr w:rsidR="00A5136E" w:rsidRPr="00170FDC" w14:paraId="3ADBDC21" w14:textId="77777777" w:rsidTr="0003097F">
        <w:trPr>
          <w:trHeight w:val="2268"/>
        </w:trPr>
        <w:tc>
          <w:tcPr>
            <w:tcW w:w="553" w:type="pct"/>
            <w:vAlign w:val="center"/>
          </w:tcPr>
          <w:p w14:paraId="09EB4323" w14:textId="77777777"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17B5E66"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4E129E0"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9.3.2, 4º parágrafo</w:t>
            </w:r>
          </w:p>
        </w:tc>
        <w:tc>
          <w:tcPr>
            <w:tcW w:w="1386" w:type="pct"/>
            <w:vAlign w:val="center"/>
          </w:tcPr>
          <w:p w14:paraId="1D104068" w14:textId="77777777" w:rsidR="00A5136E" w:rsidRPr="00170FDC" w:rsidDel="00AF4620" w:rsidRDefault="00A5136E" w:rsidP="00183142">
            <w:pPr>
              <w:pStyle w:val="Contrato-Clausula-Nvel3"/>
              <w:numPr>
                <w:ilvl w:val="0"/>
                <w:numId w:val="0"/>
              </w:numPr>
              <w:ind w:left="44"/>
              <w:rPr>
                <w:rFonts w:cs="Arial"/>
                <w:b/>
                <w:szCs w:val="22"/>
              </w:rPr>
            </w:pPr>
            <w:r w:rsidRPr="00C9557B">
              <w:t xml:space="preserve">Caso nenhuma das licitantes integrantes do consórcio assuma as responsabilidades da licitante desclassificada ou desistente, a garantia de oferta será executada e financeiramente liquidada nos termos da seção 5.5 e será adotado o procedimento disposto na seção 9.3.1, sem prejuízo da aplicação das </w:t>
            </w:r>
            <w:r w:rsidRPr="00C9557B">
              <w:lastRenderedPageBreak/>
              <w:t>penalidades previstas na seção 10 e na legislação a</w:t>
            </w:r>
            <w:r w:rsidRPr="00D83D3A">
              <w:t xml:space="preserve">plicável </w:t>
            </w:r>
            <w:r w:rsidRPr="00D83D3A">
              <w:rPr>
                <w:szCs w:val="22"/>
              </w:rPr>
              <w:t>à licitante não qualificada.</w:t>
            </w:r>
          </w:p>
        </w:tc>
        <w:tc>
          <w:tcPr>
            <w:tcW w:w="2126" w:type="pct"/>
            <w:vAlign w:val="center"/>
          </w:tcPr>
          <w:p w14:paraId="757BF742" w14:textId="77777777" w:rsidR="00A5136E" w:rsidRDefault="00A5136E" w:rsidP="00E061A4">
            <w:pPr>
              <w:pStyle w:val="Legenda"/>
              <w:jc w:val="both"/>
              <w:rPr>
                <w:rFonts w:cs="Arial"/>
                <w:sz w:val="22"/>
                <w:szCs w:val="22"/>
              </w:rPr>
            </w:pPr>
            <w:r w:rsidRPr="00B708CA">
              <w:rPr>
                <w:sz w:val="22"/>
                <w:szCs w:val="22"/>
              </w:rPr>
              <w:lastRenderedPageBreak/>
              <w:t>Vide justificativa constante do item</w:t>
            </w:r>
            <w:r w:rsidRPr="00B708CA">
              <w:rPr>
                <w:rFonts w:cs="Arial"/>
                <w:sz w:val="22"/>
                <w:szCs w:val="22"/>
              </w:rPr>
              <w:t xml:space="preserve"> Art. 7.6.2, 1º parágrafo</w:t>
            </w:r>
            <w:r w:rsidR="00D83D3A">
              <w:rPr>
                <w:rFonts w:cs="Arial"/>
                <w:sz w:val="22"/>
                <w:szCs w:val="22"/>
              </w:rPr>
              <w:t>.</w:t>
            </w:r>
          </w:p>
          <w:p w14:paraId="13839AF1" w14:textId="13334159" w:rsidR="00D83D3A" w:rsidRPr="00D83D3A" w:rsidRDefault="00D83D3A" w:rsidP="00E061A4">
            <w:pPr>
              <w:jc w:val="both"/>
            </w:pPr>
          </w:p>
        </w:tc>
      </w:tr>
      <w:tr w:rsidR="00A5136E" w:rsidRPr="00170FDC" w14:paraId="5B299F38" w14:textId="77777777" w:rsidTr="0003097F">
        <w:trPr>
          <w:trHeight w:val="2268"/>
        </w:trPr>
        <w:tc>
          <w:tcPr>
            <w:tcW w:w="553" w:type="pct"/>
            <w:vAlign w:val="center"/>
          </w:tcPr>
          <w:p w14:paraId="1F98A9E5" w14:textId="2FC9A6D3"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EBA69BE"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07776AB" w14:textId="5DCA9B6C"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9.3.</w:t>
            </w:r>
            <w:r w:rsidR="00D83D3A">
              <w:rPr>
                <w:rFonts w:cs="Arial"/>
                <w:color w:val="000000" w:themeColor="text1"/>
                <w:sz w:val="22"/>
                <w:szCs w:val="22"/>
              </w:rPr>
              <w:t>4</w:t>
            </w:r>
          </w:p>
        </w:tc>
        <w:tc>
          <w:tcPr>
            <w:tcW w:w="1386" w:type="pct"/>
            <w:vAlign w:val="center"/>
          </w:tcPr>
          <w:p w14:paraId="52102D07" w14:textId="56E18D4E" w:rsidR="00A5136E" w:rsidRPr="00170FDC" w:rsidDel="00AF4620" w:rsidRDefault="00A5136E" w:rsidP="00183142">
            <w:pPr>
              <w:pStyle w:val="Contrato-Clausula-Nvel3"/>
              <w:numPr>
                <w:ilvl w:val="0"/>
                <w:numId w:val="0"/>
              </w:numPr>
              <w:ind w:left="44"/>
              <w:rPr>
                <w:rFonts w:cs="Arial"/>
                <w:b/>
                <w:szCs w:val="22"/>
              </w:rPr>
            </w:pPr>
            <w:r w:rsidRPr="00B708CA">
              <w:rPr>
                <w:szCs w:val="22"/>
              </w:rPr>
              <w:t>Em qualquer das hipóteses previstas nos itens 9.3.</w:t>
            </w:r>
            <w:r w:rsidR="00D83D3A">
              <w:rPr>
                <w:szCs w:val="22"/>
              </w:rPr>
              <w:t>2</w:t>
            </w:r>
            <w:r w:rsidRPr="00B708CA">
              <w:rPr>
                <w:szCs w:val="22"/>
              </w:rPr>
              <w:t xml:space="preserve"> e 9.3.3, o</w:t>
            </w:r>
            <w:r w:rsidR="00103180">
              <w:rPr>
                <w:szCs w:val="22"/>
              </w:rPr>
              <w:t>(s)</w:t>
            </w:r>
            <w:r w:rsidRPr="00B708CA">
              <w:rPr>
                <w:szCs w:val="22"/>
              </w:rPr>
              <w:t xml:space="preserve"> licitante</w:t>
            </w:r>
            <w:r w:rsidR="00103180">
              <w:rPr>
                <w:szCs w:val="22"/>
              </w:rPr>
              <w:t>(s)</w:t>
            </w:r>
            <w:r w:rsidRPr="00B708CA">
              <w:rPr>
                <w:szCs w:val="22"/>
              </w:rPr>
              <w:t xml:space="preserve"> </w:t>
            </w:r>
            <w:r w:rsidR="00103180">
              <w:rPr>
                <w:szCs w:val="22"/>
              </w:rPr>
              <w:t>devidamente qualificado(s) e/</w:t>
            </w:r>
            <w:r w:rsidRPr="00B708CA">
              <w:rPr>
                <w:szCs w:val="22"/>
              </w:rPr>
              <w:t xml:space="preserve">ou </w:t>
            </w:r>
            <w:r w:rsidR="00103180">
              <w:rPr>
                <w:szCs w:val="22"/>
              </w:rPr>
              <w:t>não se recusaram à assinar o contrato de concessão</w:t>
            </w:r>
            <w:r w:rsidRPr="00B708CA">
              <w:rPr>
                <w:szCs w:val="22"/>
              </w:rPr>
              <w:t xml:space="preserve"> fará</w:t>
            </w:r>
            <w:r w:rsidR="00672A32">
              <w:rPr>
                <w:szCs w:val="22"/>
              </w:rPr>
              <w:t>(ã</w:t>
            </w:r>
            <w:r w:rsidR="00103180">
              <w:rPr>
                <w:szCs w:val="22"/>
              </w:rPr>
              <w:t>o)</w:t>
            </w:r>
            <w:r w:rsidRPr="00B708CA">
              <w:rPr>
                <w:szCs w:val="22"/>
              </w:rPr>
              <w:t xml:space="preserve"> jus à restituição do valor equivalente ao Bônus de Assinatura, o qual deverá ser restituído pela ANP.</w:t>
            </w:r>
          </w:p>
        </w:tc>
        <w:tc>
          <w:tcPr>
            <w:tcW w:w="2126" w:type="pct"/>
            <w:vAlign w:val="center"/>
          </w:tcPr>
          <w:p w14:paraId="519C3424" w14:textId="640CF595" w:rsidR="00A5136E" w:rsidRDefault="00103180" w:rsidP="00E061A4">
            <w:pPr>
              <w:pStyle w:val="Contrato-Clausula-Nvel3"/>
              <w:numPr>
                <w:ilvl w:val="0"/>
                <w:numId w:val="0"/>
              </w:numPr>
              <w:ind w:left="44"/>
            </w:pPr>
            <w:r>
              <w:rPr>
                <w:szCs w:val="22"/>
              </w:rPr>
              <w:t xml:space="preserve">Em linha com as sugestões das alterações acima (9.3.2 §§ 1º e 4º), sugerimos que a licitante que não deu causa a não assinatura do contrato seja penalizada pela parte infratora. Ademais, ao assim admitir </w:t>
            </w:r>
            <w:r w:rsidR="00AD300D">
              <w:rPr>
                <w:szCs w:val="22"/>
              </w:rPr>
              <w:t>prevenimos</w:t>
            </w:r>
            <w:r>
              <w:rPr>
                <w:szCs w:val="22"/>
              </w:rPr>
              <w:t xml:space="preserve"> eventual </w:t>
            </w:r>
            <w:r w:rsidR="00A5136E" w:rsidRPr="00B708CA">
              <w:rPr>
                <w:szCs w:val="22"/>
              </w:rPr>
              <w:t xml:space="preserve">enriquecimento ilícito por parte da União, em desfavor aos participantes do certame. </w:t>
            </w:r>
            <w:r>
              <w:rPr>
                <w:szCs w:val="22"/>
              </w:rPr>
              <w:t>C</w:t>
            </w:r>
            <w:r w:rsidR="00A5136E" w:rsidRPr="00B708CA">
              <w:rPr>
                <w:szCs w:val="22"/>
              </w:rPr>
              <w:t xml:space="preserve">umpre destacar </w:t>
            </w:r>
            <w:r>
              <w:rPr>
                <w:szCs w:val="22"/>
              </w:rPr>
              <w:t xml:space="preserve">ainda </w:t>
            </w:r>
            <w:r w:rsidR="00A5136E" w:rsidRPr="00B708CA">
              <w:rPr>
                <w:szCs w:val="22"/>
              </w:rPr>
              <w:t>que o artigo 46 da Lei 9.478/97 determina que o bônus de assinatura deve ser pago na data da assinatura do contrato.</w:t>
            </w:r>
            <w:r w:rsidR="00A5136E">
              <w:rPr>
                <w:szCs w:val="22"/>
              </w:rPr>
              <w:t xml:space="preserve"> Além disso, a penalidade pela não assinatura do contrato de consórcio tem natureza distinta do Bônus de Assinatura. Portanto, não poderia ser deste descontado.</w:t>
            </w:r>
          </w:p>
          <w:p w14:paraId="708937AB" w14:textId="77777777" w:rsidR="00A5136E" w:rsidRPr="00170FDC" w:rsidRDefault="00A5136E" w:rsidP="00E061A4">
            <w:pPr>
              <w:pStyle w:val="Legenda"/>
              <w:jc w:val="both"/>
              <w:rPr>
                <w:rFonts w:cs="Arial"/>
                <w:color w:val="000000" w:themeColor="text1"/>
                <w:sz w:val="22"/>
                <w:szCs w:val="22"/>
              </w:rPr>
            </w:pPr>
          </w:p>
        </w:tc>
      </w:tr>
      <w:tr w:rsidR="00A5136E" w:rsidRPr="00170FDC" w14:paraId="7FD2EE4A" w14:textId="77777777" w:rsidTr="0003097F">
        <w:trPr>
          <w:trHeight w:val="2268"/>
        </w:trPr>
        <w:tc>
          <w:tcPr>
            <w:tcW w:w="553" w:type="pct"/>
            <w:vAlign w:val="center"/>
          </w:tcPr>
          <w:p w14:paraId="66CE0A2C" w14:textId="1F02025E" w:rsidR="00A5136E" w:rsidRPr="00170FDC" w:rsidRDefault="00A5136E" w:rsidP="00A5136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9692A3B" w14:textId="77777777" w:rsidR="00A5136E" w:rsidRPr="006E166E" w:rsidRDefault="00A5136E" w:rsidP="00A5136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2285D0A8" w14:textId="77777777" w:rsidR="00A5136E" w:rsidRPr="008E44C8" w:rsidRDefault="00A5136E" w:rsidP="00183142">
            <w:pPr>
              <w:pStyle w:val="Legenda"/>
              <w:jc w:val="center"/>
              <w:rPr>
                <w:rFonts w:cs="Arial"/>
                <w:color w:val="000000" w:themeColor="text1"/>
                <w:sz w:val="22"/>
                <w:szCs w:val="22"/>
              </w:rPr>
            </w:pPr>
            <w:r w:rsidRPr="008E44C8">
              <w:rPr>
                <w:rFonts w:cs="Arial"/>
                <w:color w:val="000000" w:themeColor="text1"/>
                <w:sz w:val="22"/>
                <w:szCs w:val="22"/>
              </w:rPr>
              <w:t>Item 10, alínea “c”</w:t>
            </w:r>
          </w:p>
        </w:tc>
        <w:tc>
          <w:tcPr>
            <w:tcW w:w="1386" w:type="pct"/>
            <w:vAlign w:val="center"/>
          </w:tcPr>
          <w:p w14:paraId="02A291DB" w14:textId="77777777" w:rsidR="00A5136E" w:rsidRPr="007464F3" w:rsidDel="00AF4620" w:rsidRDefault="00A5136E" w:rsidP="00183142">
            <w:pPr>
              <w:pStyle w:val="Contrato-Clausula-Nvel3"/>
              <w:numPr>
                <w:ilvl w:val="0"/>
                <w:numId w:val="0"/>
              </w:numPr>
              <w:ind w:left="44"/>
              <w:rPr>
                <w:rFonts w:cs="Arial"/>
                <w:b/>
                <w:strike/>
                <w:szCs w:val="22"/>
              </w:rPr>
            </w:pPr>
          </w:p>
        </w:tc>
        <w:tc>
          <w:tcPr>
            <w:tcW w:w="2126" w:type="pct"/>
            <w:vAlign w:val="center"/>
          </w:tcPr>
          <w:p w14:paraId="31C22359" w14:textId="77777777" w:rsidR="00A5136E" w:rsidRPr="007464F3" w:rsidRDefault="00A5136E" w:rsidP="00E061A4">
            <w:pPr>
              <w:pStyle w:val="Textodecomentrio"/>
              <w:jc w:val="both"/>
              <w:rPr>
                <w:rFonts w:ascii="Arial" w:hAnsi="Arial" w:cs="Arial"/>
                <w:sz w:val="22"/>
                <w:szCs w:val="22"/>
              </w:rPr>
            </w:pPr>
            <w:r w:rsidRPr="007464F3">
              <w:rPr>
                <w:rFonts w:ascii="Arial" w:hAnsi="Arial" w:cs="Arial"/>
                <w:sz w:val="22"/>
                <w:szCs w:val="22"/>
              </w:rPr>
              <w:t>Além de não encontrar amparo legal,</w:t>
            </w:r>
            <w:r>
              <w:rPr>
                <w:rFonts w:ascii="Arial" w:hAnsi="Arial" w:cs="Arial"/>
                <w:sz w:val="22"/>
                <w:szCs w:val="22"/>
              </w:rPr>
              <w:t xml:space="preserve"> </w:t>
            </w:r>
            <w:r w:rsidRPr="007464F3">
              <w:rPr>
                <w:rFonts w:ascii="Arial" w:hAnsi="Arial" w:cs="Arial"/>
                <w:sz w:val="22"/>
                <w:szCs w:val="22"/>
              </w:rPr>
              <w:t xml:space="preserve">o IBP entende que não seria razoável criar no Edital </w:t>
            </w:r>
            <w:r>
              <w:rPr>
                <w:rFonts w:ascii="Arial" w:hAnsi="Arial" w:cs="Arial"/>
                <w:sz w:val="22"/>
                <w:szCs w:val="22"/>
              </w:rPr>
              <w:t xml:space="preserve">uma </w:t>
            </w:r>
            <w:r w:rsidRPr="007464F3">
              <w:rPr>
                <w:rFonts w:ascii="Arial" w:hAnsi="Arial" w:cs="Arial"/>
                <w:sz w:val="22"/>
                <w:szCs w:val="22"/>
              </w:rPr>
              <w:t xml:space="preserve">sanção </w:t>
            </w:r>
            <w:r>
              <w:rPr>
                <w:rFonts w:ascii="Arial" w:hAnsi="Arial" w:cs="Arial"/>
                <w:sz w:val="22"/>
                <w:szCs w:val="22"/>
              </w:rPr>
              <w:t xml:space="preserve">que </w:t>
            </w:r>
            <w:r w:rsidRPr="007464F3">
              <w:rPr>
                <w:rFonts w:ascii="Arial" w:hAnsi="Arial" w:cs="Arial"/>
                <w:sz w:val="22"/>
                <w:szCs w:val="22"/>
              </w:rPr>
              <w:t>extrapole suas atribuições legais, podendo ainda impactar outros segmentos da economia e da administração pública.</w:t>
            </w:r>
          </w:p>
        </w:tc>
      </w:tr>
      <w:tr w:rsidR="00C73EAE" w:rsidRPr="00170FDC" w14:paraId="61232E84" w14:textId="77777777" w:rsidTr="0003097F">
        <w:trPr>
          <w:trHeight w:val="2268"/>
        </w:trPr>
        <w:tc>
          <w:tcPr>
            <w:tcW w:w="553" w:type="pct"/>
            <w:vAlign w:val="center"/>
          </w:tcPr>
          <w:p w14:paraId="56486357" w14:textId="1C811948" w:rsidR="00C73EAE" w:rsidRPr="0020089D" w:rsidRDefault="00C73EAE" w:rsidP="00C73EA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217DC05" w14:textId="7CCECA7F" w:rsidR="00C73EAE" w:rsidRPr="006E166E" w:rsidRDefault="00C73EA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5860765E" w14:textId="0E9B181E"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 xml:space="preserve">Item 10, </w:t>
            </w:r>
            <w:r>
              <w:rPr>
                <w:rFonts w:cs="Arial"/>
                <w:color w:val="000000" w:themeColor="text1"/>
                <w:sz w:val="22"/>
                <w:szCs w:val="22"/>
              </w:rPr>
              <w:t>2º parágrafo</w:t>
            </w:r>
          </w:p>
        </w:tc>
        <w:tc>
          <w:tcPr>
            <w:tcW w:w="1386" w:type="pct"/>
            <w:vAlign w:val="center"/>
          </w:tcPr>
          <w:p w14:paraId="5F91C09F" w14:textId="6EF8DE88" w:rsidR="00C73EAE" w:rsidRDefault="00C73EAE" w:rsidP="00183142">
            <w:pPr>
              <w:pStyle w:val="Contrato-Clausula-Nvel3"/>
              <w:numPr>
                <w:ilvl w:val="0"/>
                <w:numId w:val="0"/>
              </w:numPr>
              <w:ind w:left="44"/>
            </w:pPr>
            <w:r>
              <w:t>As penalidades de suspensão temporária do direito de participar de futuras licitações serão graduadas de acordo com a gravidade da infração, a vantagem auferida pela infratora e seus antecedentes.</w:t>
            </w:r>
          </w:p>
          <w:p w14:paraId="07A9EA17" w14:textId="77777777" w:rsidR="00C73EAE" w:rsidRDefault="00C73EAE" w:rsidP="00183142">
            <w:pPr>
              <w:pStyle w:val="Contrato-Clausula-Nvel3"/>
              <w:numPr>
                <w:ilvl w:val="0"/>
                <w:numId w:val="0"/>
              </w:numPr>
              <w:ind w:left="44"/>
            </w:pPr>
          </w:p>
        </w:tc>
        <w:tc>
          <w:tcPr>
            <w:tcW w:w="2126" w:type="pct"/>
            <w:vAlign w:val="center"/>
          </w:tcPr>
          <w:p w14:paraId="1C862416" w14:textId="41499270" w:rsidR="00C73EAE" w:rsidRPr="00910A34" w:rsidRDefault="00C73EAE" w:rsidP="00E061A4">
            <w:pPr>
              <w:pStyle w:val="Contrato-Clausula-Nvel3"/>
              <w:numPr>
                <w:ilvl w:val="0"/>
                <w:numId w:val="0"/>
              </w:numPr>
              <w:ind w:left="44"/>
            </w:pPr>
            <w:r>
              <w:t>Ajuste para adequar a proposta de exclusão do item 10, alínea “c” acima.</w:t>
            </w:r>
          </w:p>
        </w:tc>
      </w:tr>
      <w:tr w:rsidR="00C73EAE" w:rsidRPr="00170FDC" w14:paraId="054CED49" w14:textId="77777777" w:rsidTr="0003097F">
        <w:trPr>
          <w:trHeight w:val="2268"/>
        </w:trPr>
        <w:tc>
          <w:tcPr>
            <w:tcW w:w="553" w:type="pct"/>
            <w:vAlign w:val="center"/>
          </w:tcPr>
          <w:p w14:paraId="5A0C7F5F"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C7F4E55"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AECDF28"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Item 10.1, alínea “a”</w:t>
            </w:r>
          </w:p>
        </w:tc>
        <w:tc>
          <w:tcPr>
            <w:tcW w:w="1386" w:type="pct"/>
            <w:vAlign w:val="center"/>
          </w:tcPr>
          <w:p w14:paraId="5C39D7EC" w14:textId="146422CB" w:rsidR="00C73EAE" w:rsidRPr="00170FDC" w:rsidDel="00AF4620" w:rsidRDefault="00C73EAE" w:rsidP="00183142">
            <w:pPr>
              <w:pStyle w:val="Contrato-Clausula-Nvel3"/>
              <w:numPr>
                <w:ilvl w:val="0"/>
                <w:numId w:val="0"/>
              </w:numPr>
              <w:ind w:left="44"/>
              <w:rPr>
                <w:rFonts w:cs="Arial"/>
                <w:b/>
                <w:szCs w:val="22"/>
              </w:rPr>
            </w:pPr>
            <w:r>
              <w:t>Será aplicada multa de 5% (cinco por cento) do somatório do valor ofertado para o bônus de assinatura.</w:t>
            </w:r>
          </w:p>
        </w:tc>
        <w:tc>
          <w:tcPr>
            <w:tcW w:w="2126" w:type="pct"/>
            <w:vAlign w:val="center"/>
          </w:tcPr>
          <w:p w14:paraId="321D6322" w14:textId="77777777" w:rsidR="00C73EAE" w:rsidRPr="00910A34" w:rsidRDefault="00C73EAE" w:rsidP="00E061A4">
            <w:pPr>
              <w:pStyle w:val="Contrato-Clausula-Nvel3"/>
              <w:numPr>
                <w:ilvl w:val="0"/>
                <w:numId w:val="0"/>
              </w:numPr>
              <w:ind w:left="44"/>
            </w:pPr>
            <w:r w:rsidRPr="00910A34">
              <w:t>O PEM não está diretamente vinculado ao momento da licitação e por isso não deveria integrar a base de cálculo da multa por não assinatura do contrato.</w:t>
            </w:r>
          </w:p>
          <w:p w14:paraId="2C70E67F" w14:textId="77777777" w:rsidR="00C73EAE" w:rsidRDefault="00C73EAE" w:rsidP="00E061A4">
            <w:pPr>
              <w:pStyle w:val="Contrato-Clausula-Nvel3"/>
              <w:numPr>
                <w:ilvl w:val="0"/>
                <w:numId w:val="0"/>
              </w:numPr>
              <w:ind w:left="44"/>
            </w:pPr>
            <w:r w:rsidRPr="00910A34">
              <w:t>Ademais, o valor se revela excessivo e desproporcional em relação ao descumprimento.</w:t>
            </w:r>
          </w:p>
          <w:p w14:paraId="02475322" w14:textId="77777777" w:rsidR="00C73EAE" w:rsidRPr="00170FDC" w:rsidRDefault="00C73EAE" w:rsidP="00E061A4">
            <w:pPr>
              <w:pStyle w:val="Legenda"/>
              <w:jc w:val="both"/>
              <w:rPr>
                <w:rFonts w:cs="Arial"/>
                <w:color w:val="000000" w:themeColor="text1"/>
                <w:sz w:val="22"/>
                <w:szCs w:val="22"/>
              </w:rPr>
            </w:pPr>
          </w:p>
        </w:tc>
      </w:tr>
      <w:tr w:rsidR="00C73EAE" w:rsidRPr="00170FDC" w14:paraId="6131A135" w14:textId="77777777" w:rsidTr="0003097F">
        <w:trPr>
          <w:trHeight w:val="2268"/>
        </w:trPr>
        <w:tc>
          <w:tcPr>
            <w:tcW w:w="553" w:type="pct"/>
            <w:vAlign w:val="center"/>
          </w:tcPr>
          <w:p w14:paraId="7337CA42"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E573469"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282872C"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Item 10.1, alínea “b”</w:t>
            </w:r>
          </w:p>
        </w:tc>
        <w:tc>
          <w:tcPr>
            <w:tcW w:w="1386" w:type="pct"/>
            <w:vAlign w:val="center"/>
          </w:tcPr>
          <w:p w14:paraId="54887375" w14:textId="77777777" w:rsidR="00C73EAE" w:rsidRPr="00170FDC" w:rsidDel="00AF4620" w:rsidRDefault="00C73EAE" w:rsidP="00183142">
            <w:pPr>
              <w:pStyle w:val="Contrato-Clausula-Nvel3"/>
              <w:numPr>
                <w:ilvl w:val="0"/>
                <w:numId w:val="0"/>
              </w:numPr>
              <w:ind w:left="44"/>
              <w:rPr>
                <w:rFonts w:cs="Arial"/>
                <w:b/>
                <w:szCs w:val="22"/>
              </w:rPr>
            </w:pPr>
            <w:r>
              <w:t>Será aplicada multa de 10% (dez por cento) do somatório do valor ofertado para o bônus de assinatura</w:t>
            </w:r>
          </w:p>
        </w:tc>
        <w:tc>
          <w:tcPr>
            <w:tcW w:w="2126" w:type="pct"/>
            <w:vAlign w:val="center"/>
          </w:tcPr>
          <w:p w14:paraId="11C22C7E" w14:textId="77777777" w:rsidR="00C73EAE" w:rsidRPr="00910A34" w:rsidRDefault="00C73EAE" w:rsidP="00E061A4">
            <w:pPr>
              <w:pStyle w:val="Legenda"/>
              <w:jc w:val="both"/>
              <w:rPr>
                <w:rFonts w:cs="Arial"/>
                <w:color w:val="000000" w:themeColor="text1"/>
                <w:sz w:val="22"/>
                <w:szCs w:val="22"/>
              </w:rPr>
            </w:pPr>
            <w:r w:rsidRPr="00910A34">
              <w:rPr>
                <w:sz w:val="22"/>
                <w:szCs w:val="22"/>
              </w:rPr>
              <w:t>Fatos novos podem surgir após a sessão de apresentação de oferta que podem prejudicar o cumprimento das obrigações previstas no Edital. (Vide 10.2 – parte final)</w:t>
            </w:r>
          </w:p>
        </w:tc>
      </w:tr>
      <w:tr w:rsidR="00C73EAE" w:rsidRPr="00170FDC" w14:paraId="4E321865" w14:textId="77777777" w:rsidTr="0003097F">
        <w:trPr>
          <w:trHeight w:val="2268"/>
        </w:trPr>
        <w:tc>
          <w:tcPr>
            <w:tcW w:w="553" w:type="pct"/>
            <w:vAlign w:val="center"/>
          </w:tcPr>
          <w:p w14:paraId="48025A60"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D51F2D6"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BDDCD09"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10.1, 1º parágrafo após alínea “b.2”</w:t>
            </w:r>
          </w:p>
        </w:tc>
        <w:tc>
          <w:tcPr>
            <w:tcW w:w="1386" w:type="pct"/>
            <w:vAlign w:val="center"/>
          </w:tcPr>
          <w:p w14:paraId="370FD58B" w14:textId="77777777" w:rsidR="00C73EAE" w:rsidRPr="004324E8" w:rsidDel="00AF4620" w:rsidRDefault="00C73EAE" w:rsidP="00183142">
            <w:pPr>
              <w:pStyle w:val="Contrato-Clausula-Nvel3"/>
              <w:numPr>
                <w:ilvl w:val="0"/>
                <w:numId w:val="0"/>
              </w:numPr>
              <w:ind w:left="44"/>
            </w:pPr>
            <w:r>
              <w:t>Em caso de consórcio, a licitante que não assinar o contrato de concessão será exclusivamente responsável pelo pagamento da multa, cujo valor será proporcional à sua participação da infratora no consórcio.</w:t>
            </w:r>
          </w:p>
        </w:tc>
        <w:tc>
          <w:tcPr>
            <w:tcW w:w="2126" w:type="pct"/>
            <w:vAlign w:val="center"/>
          </w:tcPr>
          <w:p w14:paraId="75801853" w14:textId="77777777" w:rsidR="00C73EAE" w:rsidRPr="00170FDC" w:rsidRDefault="00C73EAE" w:rsidP="00E061A4">
            <w:pPr>
              <w:pStyle w:val="Legenda"/>
              <w:jc w:val="both"/>
              <w:rPr>
                <w:rFonts w:cs="Arial"/>
                <w:color w:val="000000" w:themeColor="text1"/>
                <w:sz w:val="22"/>
                <w:szCs w:val="22"/>
              </w:rPr>
            </w:pPr>
            <w:r>
              <w:rPr>
                <w:sz w:val="22"/>
                <w:szCs w:val="22"/>
              </w:rPr>
              <w:t>O IBP e</w:t>
            </w:r>
            <w:r w:rsidRPr="00B708CA">
              <w:rPr>
                <w:sz w:val="22"/>
                <w:szCs w:val="22"/>
              </w:rPr>
              <w:t>ntende</w:t>
            </w:r>
            <w:r>
              <w:rPr>
                <w:sz w:val="22"/>
                <w:szCs w:val="22"/>
              </w:rPr>
              <w:t xml:space="preserve"> </w:t>
            </w:r>
            <w:r w:rsidRPr="00B708CA">
              <w:rPr>
                <w:sz w:val="22"/>
                <w:szCs w:val="22"/>
              </w:rPr>
              <w:t>que não é razoável a licitante assumir a participação das infratoras</w:t>
            </w:r>
            <w:r>
              <w:rPr>
                <w:sz w:val="22"/>
                <w:szCs w:val="22"/>
              </w:rPr>
              <w:t xml:space="preserve">, </w:t>
            </w:r>
            <w:r w:rsidRPr="004D0C96">
              <w:rPr>
                <w:sz w:val="22"/>
                <w:szCs w:val="22"/>
              </w:rPr>
              <w:t xml:space="preserve">nem tampouco que seja </w:t>
            </w:r>
            <w:r w:rsidRPr="00B708CA">
              <w:rPr>
                <w:sz w:val="22"/>
                <w:szCs w:val="22"/>
              </w:rPr>
              <w:t>penalizada por este ato.</w:t>
            </w:r>
          </w:p>
        </w:tc>
      </w:tr>
      <w:tr w:rsidR="00C73EAE" w:rsidRPr="00170FDC" w14:paraId="39EB2E74" w14:textId="77777777" w:rsidTr="0003097F">
        <w:trPr>
          <w:trHeight w:val="2268"/>
        </w:trPr>
        <w:tc>
          <w:tcPr>
            <w:tcW w:w="553" w:type="pct"/>
            <w:vAlign w:val="center"/>
          </w:tcPr>
          <w:p w14:paraId="72DEB86D"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6556105A"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1BE361F"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Item 10.1, após o 2º parágrafo</w:t>
            </w:r>
          </w:p>
        </w:tc>
        <w:tc>
          <w:tcPr>
            <w:tcW w:w="1386" w:type="pct"/>
            <w:vAlign w:val="center"/>
          </w:tcPr>
          <w:p w14:paraId="692F0C8A" w14:textId="77777777" w:rsidR="00C73EAE" w:rsidRPr="00170FDC" w:rsidDel="00AF4620" w:rsidRDefault="00C73EAE" w:rsidP="00183142">
            <w:pPr>
              <w:pStyle w:val="Contrato-Clausula-Nvel3"/>
              <w:numPr>
                <w:ilvl w:val="0"/>
                <w:numId w:val="0"/>
              </w:numPr>
              <w:ind w:left="44"/>
              <w:rPr>
                <w:rFonts w:cs="Arial"/>
                <w:b/>
                <w:szCs w:val="22"/>
              </w:rPr>
            </w:pPr>
            <w:r>
              <w:t>As penalidades acima não serão aplicadas caso a licitante apresente justificativa fundamentada em fato posterior à sessão pública de apresentação de ofertas.</w:t>
            </w:r>
          </w:p>
        </w:tc>
        <w:tc>
          <w:tcPr>
            <w:tcW w:w="2126" w:type="pct"/>
            <w:vAlign w:val="center"/>
          </w:tcPr>
          <w:p w14:paraId="4D00FCB3" w14:textId="77777777" w:rsidR="00C73EAE" w:rsidRPr="00C73366" w:rsidRDefault="00C73EAE" w:rsidP="00E061A4">
            <w:pPr>
              <w:pStyle w:val="Legenda"/>
              <w:jc w:val="both"/>
              <w:rPr>
                <w:rFonts w:cs="Arial"/>
                <w:color w:val="000000" w:themeColor="text1"/>
                <w:sz w:val="22"/>
                <w:szCs w:val="22"/>
              </w:rPr>
            </w:pPr>
            <w:r w:rsidRPr="00C73366">
              <w:rPr>
                <w:sz w:val="22"/>
                <w:szCs w:val="22"/>
              </w:rPr>
              <w:t>Fatos novos podem surgir após a sessão de apresentação de oferta que podem prejudicar o cumprimento das obrigações previstas no Edital. (Vide 10.2 – parte final)</w:t>
            </w:r>
          </w:p>
        </w:tc>
      </w:tr>
      <w:tr w:rsidR="00C73EAE" w:rsidRPr="00170FDC" w14:paraId="6C457574" w14:textId="77777777" w:rsidTr="0003097F">
        <w:trPr>
          <w:trHeight w:val="2268"/>
        </w:trPr>
        <w:tc>
          <w:tcPr>
            <w:tcW w:w="553" w:type="pct"/>
            <w:vAlign w:val="center"/>
          </w:tcPr>
          <w:p w14:paraId="0E61E04D"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5BE69A60"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8BD3BC1"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10.2, 2º parágrafo</w:t>
            </w:r>
          </w:p>
        </w:tc>
        <w:tc>
          <w:tcPr>
            <w:tcW w:w="1386" w:type="pct"/>
            <w:vAlign w:val="center"/>
          </w:tcPr>
          <w:p w14:paraId="4EAA1DA6" w14:textId="77777777" w:rsidR="00C73EAE" w:rsidRPr="00C73366" w:rsidRDefault="00C73EAE" w:rsidP="00183142">
            <w:pPr>
              <w:pStyle w:val="Contrato-Clausula-Nvel3"/>
              <w:numPr>
                <w:ilvl w:val="0"/>
                <w:numId w:val="0"/>
              </w:numPr>
              <w:ind w:left="44"/>
              <w:rPr>
                <w:rFonts w:cs="Arial"/>
                <w:b/>
                <w:szCs w:val="22"/>
              </w:rPr>
            </w:pPr>
            <w:r>
              <w:t>A</w:t>
            </w:r>
            <w:r w:rsidRPr="00AC3B25">
              <w:t xml:space="preserve"> suspensão temporária do direito de participar de futuras licitações e de contratar com a ANP</w:t>
            </w:r>
            <w:r w:rsidRPr="001525FE">
              <w:t xml:space="preserve"> </w:t>
            </w:r>
            <w:r>
              <w:t>será aplicada, sem prejuízo das demais penalidades, caso a infratora seja reincidente em ser convocada e não assinar o contrato até a data definida pela ANP, e não apresente justificativa fundamentada em fato posterior à sessão pública de apresentação de ofertas.</w:t>
            </w:r>
          </w:p>
          <w:p w14:paraId="6F404E88" w14:textId="77777777" w:rsidR="00C73EAE" w:rsidRPr="00420E68" w:rsidDel="00AF4620" w:rsidRDefault="00C73EAE" w:rsidP="00183142">
            <w:pPr>
              <w:jc w:val="both"/>
            </w:pPr>
          </w:p>
        </w:tc>
        <w:tc>
          <w:tcPr>
            <w:tcW w:w="2126" w:type="pct"/>
            <w:vAlign w:val="center"/>
          </w:tcPr>
          <w:p w14:paraId="1111A075" w14:textId="77777777" w:rsidR="00C73EAE" w:rsidRPr="00F05C50" w:rsidRDefault="00C73EAE" w:rsidP="00E061A4">
            <w:pPr>
              <w:pStyle w:val="Contrato-Clausula-Nvel3"/>
              <w:numPr>
                <w:ilvl w:val="0"/>
                <w:numId w:val="0"/>
              </w:numPr>
              <w:ind w:left="44"/>
            </w:pPr>
            <w:r>
              <w:t>Não apenas justificativas técnicas, mas outros eventos legalmente admitidos, como por exemplo, eventos de força maior.</w:t>
            </w:r>
          </w:p>
        </w:tc>
      </w:tr>
      <w:tr w:rsidR="00C73EAE" w:rsidRPr="00170FDC" w14:paraId="6B8CD702" w14:textId="77777777" w:rsidTr="0003097F">
        <w:trPr>
          <w:trHeight w:val="2268"/>
        </w:trPr>
        <w:tc>
          <w:tcPr>
            <w:tcW w:w="553" w:type="pct"/>
            <w:vAlign w:val="center"/>
          </w:tcPr>
          <w:p w14:paraId="3FB7D1E3"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9FBB6ED"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18A56430"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10.3</w:t>
            </w:r>
          </w:p>
        </w:tc>
        <w:tc>
          <w:tcPr>
            <w:tcW w:w="1386" w:type="pct"/>
            <w:vAlign w:val="center"/>
          </w:tcPr>
          <w:p w14:paraId="1C0140DC" w14:textId="77777777" w:rsidR="00C73EAE" w:rsidRPr="00420E68" w:rsidDel="00AF4620" w:rsidRDefault="00C73EAE" w:rsidP="00183142">
            <w:pPr>
              <w:pStyle w:val="Contrato-Clausula-Nvel3"/>
              <w:numPr>
                <w:ilvl w:val="0"/>
                <w:numId w:val="0"/>
              </w:numPr>
              <w:ind w:left="44"/>
              <w:rPr>
                <w:rFonts w:cs="Arial"/>
                <w:b/>
                <w:strike/>
                <w:szCs w:val="22"/>
              </w:rPr>
            </w:pPr>
          </w:p>
        </w:tc>
        <w:tc>
          <w:tcPr>
            <w:tcW w:w="2126" w:type="pct"/>
            <w:vAlign w:val="center"/>
          </w:tcPr>
          <w:p w14:paraId="7721ECF8" w14:textId="77777777" w:rsidR="00C73EAE" w:rsidRPr="00420E68" w:rsidRDefault="00C73EAE" w:rsidP="00E061A4">
            <w:pPr>
              <w:pStyle w:val="Legenda"/>
              <w:jc w:val="both"/>
              <w:rPr>
                <w:rFonts w:cs="Arial"/>
                <w:color w:val="000000" w:themeColor="text1"/>
                <w:sz w:val="22"/>
                <w:szCs w:val="22"/>
              </w:rPr>
            </w:pPr>
            <w:r w:rsidRPr="00420E68">
              <w:rPr>
                <w:sz w:val="22"/>
                <w:szCs w:val="22"/>
              </w:rPr>
              <w:t>Vide comentário do item “c” do caput da cláusula 10.</w:t>
            </w:r>
          </w:p>
        </w:tc>
      </w:tr>
      <w:tr w:rsidR="00C73EAE" w:rsidRPr="00170FDC" w14:paraId="6C8DBC63" w14:textId="77777777" w:rsidTr="0003097F">
        <w:trPr>
          <w:trHeight w:val="2268"/>
        </w:trPr>
        <w:tc>
          <w:tcPr>
            <w:tcW w:w="553" w:type="pct"/>
            <w:vAlign w:val="center"/>
          </w:tcPr>
          <w:p w14:paraId="15215DBE"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C15F8CC"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1F67B7C"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13.1, 2ª parágrafo, após a 1ª frase.</w:t>
            </w:r>
          </w:p>
        </w:tc>
        <w:tc>
          <w:tcPr>
            <w:tcW w:w="1386" w:type="pct"/>
            <w:vAlign w:val="center"/>
          </w:tcPr>
          <w:p w14:paraId="57EC0190" w14:textId="77777777" w:rsidR="00C73EAE" w:rsidRPr="00170FDC" w:rsidDel="00AF4620" w:rsidRDefault="00C73EAE" w:rsidP="00183142">
            <w:pPr>
              <w:pStyle w:val="Contrato-Clausula-Nvel3"/>
              <w:numPr>
                <w:ilvl w:val="0"/>
                <w:numId w:val="0"/>
              </w:numPr>
              <w:ind w:left="44"/>
              <w:rPr>
                <w:rFonts w:cs="Arial"/>
                <w:b/>
                <w:szCs w:val="22"/>
              </w:rPr>
            </w:pPr>
            <w:r>
              <w:t xml:space="preserve">A ANP poderá suspender a licitação por determinação judicial em razão da concessão de medidas liminares e cautelares ajuizadas por interessados ou por terceiros, assim como por motivos de interesse público, devidamente fundamentados. </w:t>
            </w:r>
            <w:r w:rsidRPr="00B708CA">
              <w:rPr>
                <w:szCs w:val="22"/>
              </w:rPr>
              <w:t xml:space="preserve"> Neste caso, os efeitos desta suspensão não deverão acarretar ônus aos interesses dos participantes da licitação.</w:t>
            </w:r>
          </w:p>
        </w:tc>
        <w:tc>
          <w:tcPr>
            <w:tcW w:w="2126" w:type="pct"/>
            <w:vAlign w:val="center"/>
          </w:tcPr>
          <w:p w14:paraId="1404D006" w14:textId="77777777" w:rsidR="00C73EAE" w:rsidRDefault="00C73EAE" w:rsidP="00E061A4">
            <w:pPr>
              <w:pStyle w:val="Contrato-Clausula-Nvel3"/>
              <w:numPr>
                <w:ilvl w:val="0"/>
                <w:numId w:val="0"/>
              </w:numPr>
              <w:ind w:left="44"/>
            </w:pPr>
            <w:r w:rsidRPr="00420E68">
              <w:t>Nas hipóteses de eventuais ações judiciais que ensejem a suspensão da licitação, o IBP os participantes não devem suportar ônus adicionais, como, por exemplo, ter a obrigação de renovar sucessivamente, por tempo indeterminado, garantias de oferta.</w:t>
            </w:r>
          </w:p>
          <w:p w14:paraId="17AD4070" w14:textId="77777777" w:rsidR="00C73EAE" w:rsidRPr="00420E68" w:rsidRDefault="00C73EAE" w:rsidP="00E061A4">
            <w:pPr>
              <w:pStyle w:val="Contrato-Clausula-Nvel3"/>
              <w:numPr>
                <w:ilvl w:val="0"/>
                <w:numId w:val="0"/>
              </w:numPr>
              <w:ind w:left="44"/>
            </w:pPr>
          </w:p>
        </w:tc>
      </w:tr>
      <w:tr w:rsidR="00C73EAE" w:rsidRPr="00170FDC" w14:paraId="495CF808" w14:textId="77777777" w:rsidTr="0003097F">
        <w:trPr>
          <w:trHeight w:val="2268"/>
        </w:trPr>
        <w:tc>
          <w:tcPr>
            <w:tcW w:w="553" w:type="pct"/>
            <w:vAlign w:val="center"/>
          </w:tcPr>
          <w:p w14:paraId="1CFD379C"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94B26C0" w14:textId="77777777" w:rsidR="00C73EAE" w:rsidRPr="006E166E" w:rsidRDefault="00C73EA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31A6DBE"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Anexo XIII, alínea “f”</w:t>
            </w:r>
          </w:p>
        </w:tc>
        <w:tc>
          <w:tcPr>
            <w:tcW w:w="1386" w:type="pct"/>
            <w:vAlign w:val="center"/>
          </w:tcPr>
          <w:p w14:paraId="77F0CB44" w14:textId="77777777" w:rsidR="00C73EAE" w:rsidRPr="00170FDC" w:rsidDel="00AF4620" w:rsidRDefault="00C73EAE" w:rsidP="00183142">
            <w:pPr>
              <w:pStyle w:val="Contrato-Clausula-Nvel3"/>
              <w:numPr>
                <w:ilvl w:val="0"/>
                <w:numId w:val="0"/>
              </w:numPr>
              <w:ind w:left="44"/>
              <w:rPr>
                <w:rFonts w:cs="Arial"/>
                <w:b/>
                <w:szCs w:val="22"/>
              </w:rPr>
            </w:pPr>
            <w:r w:rsidRPr="002C2A0A">
              <w:rPr>
                <w:szCs w:val="22"/>
              </w:rPr>
              <w:t xml:space="preserve">A aquisição de levantamentos não exclusivos e de levantamentos não exclusivos reprocessados, que tenham sido autorizados pela ANP, poderão ser computadas as UTs, considerando o tempo </w:t>
            </w:r>
            <w:r>
              <w:rPr>
                <w:szCs w:val="22"/>
              </w:rPr>
              <w:t xml:space="preserve">decorrido </w:t>
            </w:r>
            <w:r w:rsidRPr="002C2A0A">
              <w:rPr>
                <w:szCs w:val="22"/>
              </w:rPr>
              <w:t>entre</w:t>
            </w:r>
            <w:r>
              <w:rPr>
                <w:szCs w:val="22"/>
              </w:rPr>
              <w:t xml:space="preserve"> a</w:t>
            </w:r>
            <w:r w:rsidRPr="00B708CA">
              <w:rPr>
                <w:szCs w:val="22"/>
              </w:rPr>
              <w:t xml:space="preserve"> data da compra do dado ou a data de compra do dado reprocessado e a conclusão da operação de aquisição ou a data de conclusão do reprocessamento de dados não exclusivos,</w:t>
            </w:r>
            <w:r w:rsidRPr="002C2A0A">
              <w:rPr>
                <w:szCs w:val="22"/>
              </w:rPr>
              <w:t xml:space="preserve"> utilizando se um fator redutor para a realização do abatimento, conforme condições detalhadas na Tabela 24.</w:t>
            </w:r>
          </w:p>
        </w:tc>
        <w:tc>
          <w:tcPr>
            <w:tcW w:w="2126" w:type="pct"/>
            <w:vAlign w:val="center"/>
          </w:tcPr>
          <w:p w14:paraId="6BB2E736" w14:textId="093A8C2B" w:rsidR="00C73EAE" w:rsidRPr="00170FDC" w:rsidRDefault="00C73EAE" w:rsidP="00E061A4">
            <w:pPr>
              <w:pStyle w:val="Legenda"/>
              <w:jc w:val="both"/>
              <w:rPr>
                <w:rFonts w:cs="Arial"/>
                <w:color w:val="000000" w:themeColor="text1"/>
                <w:sz w:val="22"/>
                <w:szCs w:val="22"/>
              </w:rPr>
            </w:pPr>
            <w:r w:rsidRPr="00B708CA">
              <w:rPr>
                <w:rFonts w:cs="Arial"/>
                <w:sz w:val="22"/>
                <w:szCs w:val="22"/>
              </w:rPr>
              <w:t>Seria justo e razoável considerar a data de conclusão da atividade em si, para seu abatimento, e não da solicita</w:t>
            </w:r>
            <w:r>
              <w:rPr>
                <w:rFonts w:cs="Arial"/>
                <w:sz w:val="22"/>
                <w:szCs w:val="22"/>
              </w:rPr>
              <w:t>ção relacionada a tal atividade, conforme comentário já apresentado em relação à Minuta do Contrato de Concessão da 1</w:t>
            </w:r>
            <w:r w:rsidR="00DC0B5B">
              <w:rPr>
                <w:rFonts w:cs="Arial"/>
                <w:sz w:val="22"/>
                <w:szCs w:val="22"/>
              </w:rPr>
              <w:t>4</w:t>
            </w:r>
            <w:r>
              <w:rPr>
                <w:rFonts w:cs="Arial"/>
                <w:sz w:val="22"/>
                <w:szCs w:val="22"/>
              </w:rPr>
              <w:t>ª Rodada.</w:t>
            </w:r>
          </w:p>
        </w:tc>
      </w:tr>
      <w:tr w:rsidR="00C73EAE" w:rsidRPr="00170FDC" w14:paraId="5FB3B1DC" w14:textId="77777777" w:rsidTr="0003097F">
        <w:trPr>
          <w:trHeight w:val="2268"/>
        </w:trPr>
        <w:tc>
          <w:tcPr>
            <w:tcW w:w="553" w:type="pct"/>
            <w:vAlign w:val="center"/>
          </w:tcPr>
          <w:p w14:paraId="0EA416A9"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48061D5F" w14:textId="77777777" w:rsidR="00C73EAE" w:rsidRPr="006E166E" w:rsidRDefault="00C73EA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2DA1A665"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Anexo XIII, Nota 1, Tabela 22</w:t>
            </w:r>
          </w:p>
        </w:tc>
        <w:tc>
          <w:tcPr>
            <w:tcW w:w="1386" w:type="pct"/>
            <w:vAlign w:val="center"/>
          </w:tcPr>
          <w:p w14:paraId="2D794536" w14:textId="77777777" w:rsidR="00C73EAE" w:rsidRPr="00247779" w:rsidRDefault="00C73EAE" w:rsidP="00183142">
            <w:pPr>
              <w:pStyle w:val="Legenda"/>
              <w:jc w:val="both"/>
              <w:rPr>
                <w:rFonts w:cs="Arial"/>
                <w:sz w:val="22"/>
                <w:szCs w:val="22"/>
              </w:rPr>
            </w:pPr>
            <w:r w:rsidRPr="00247779">
              <w:rPr>
                <w:rFonts w:cs="Arial"/>
                <w:sz w:val="22"/>
                <w:szCs w:val="22"/>
              </w:rPr>
              <w:t>Para efeito de cômputo do valor a considerar para cumprimento do Programa Exploratório Mínimo do primeiro período exploratório, o valor das UTs correspondentes ao trabalho exploratório realizado será multiplicado pelo fator redutor da tabela, conforme o tempo decorrido entre a data da compra do dado e a conclusão da operação de aquisição.</w:t>
            </w:r>
          </w:p>
          <w:p w14:paraId="2060FE43" w14:textId="77777777" w:rsidR="00C73EAE" w:rsidRPr="00170FDC" w:rsidDel="00AF4620" w:rsidRDefault="00C73EAE" w:rsidP="00183142">
            <w:pPr>
              <w:pStyle w:val="Legenda"/>
              <w:jc w:val="both"/>
              <w:rPr>
                <w:rFonts w:cs="Arial"/>
                <w:b/>
                <w:szCs w:val="22"/>
              </w:rPr>
            </w:pPr>
            <w:r w:rsidRPr="00247779">
              <w:rPr>
                <w:rFonts w:cs="Arial"/>
                <w:sz w:val="22"/>
                <w:szCs w:val="22"/>
              </w:rPr>
              <w:t>Para aquisição de levantamentos não exclusivos reprocessados será considerado o tempo decorrido entre a data da compra do dado e a conclusão da operação de reprocessamento de dados não exclusivos.</w:t>
            </w:r>
          </w:p>
        </w:tc>
        <w:tc>
          <w:tcPr>
            <w:tcW w:w="2126" w:type="pct"/>
            <w:vAlign w:val="center"/>
          </w:tcPr>
          <w:p w14:paraId="44071B6B" w14:textId="77777777" w:rsidR="00C73EAE" w:rsidRPr="00170FDC" w:rsidRDefault="00C73EAE" w:rsidP="00E061A4">
            <w:pPr>
              <w:pStyle w:val="Legenda"/>
              <w:jc w:val="both"/>
              <w:rPr>
                <w:rFonts w:cs="Arial"/>
                <w:color w:val="000000" w:themeColor="text1"/>
                <w:sz w:val="22"/>
                <w:szCs w:val="22"/>
              </w:rPr>
            </w:pPr>
            <w:r>
              <w:rPr>
                <w:rFonts w:cs="Arial"/>
                <w:color w:val="000000" w:themeColor="text1"/>
                <w:sz w:val="22"/>
                <w:szCs w:val="22"/>
              </w:rPr>
              <w:t>Vide justificativa acima.</w:t>
            </w:r>
          </w:p>
        </w:tc>
      </w:tr>
      <w:tr w:rsidR="00C73EAE" w:rsidRPr="00170FDC" w14:paraId="3F01C35A" w14:textId="77777777" w:rsidTr="0003097F">
        <w:trPr>
          <w:trHeight w:val="2268"/>
        </w:trPr>
        <w:tc>
          <w:tcPr>
            <w:tcW w:w="553" w:type="pct"/>
            <w:vAlign w:val="center"/>
          </w:tcPr>
          <w:p w14:paraId="0BBB2489"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575468E"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F208490"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Anexo XVII, item 2.3</w:t>
            </w:r>
          </w:p>
        </w:tc>
        <w:tc>
          <w:tcPr>
            <w:tcW w:w="1386" w:type="pct"/>
            <w:vAlign w:val="center"/>
          </w:tcPr>
          <w:p w14:paraId="3D8A4D06" w14:textId="77777777" w:rsidR="00C73EAE" w:rsidRPr="004B219B" w:rsidRDefault="00C73EAE" w:rsidP="00183142">
            <w:pPr>
              <w:pStyle w:val="Legenda"/>
              <w:jc w:val="both"/>
              <w:rPr>
                <w:rFonts w:cs="Arial"/>
                <w:sz w:val="22"/>
                <w:szCs w:val="22"/>
              </w:rPr>
            </w:pPr>
            <w:r w:rsidRPr="004B219B">
              <w:rPr>
                <w:rFonts w:cs="Arial"/>
                <w:sz w:val="22"/>
                <w:szCs w:val="22"/>
              </w:rPr>
              <w:t>Itens V, VII, VIII e IX: Para fins de pontuação, a licitante deve citar, além das atividades de produção, as atividades de desenvolvimento.</w:t>
            </w:r>
          </w:p>
          <w:p w14:paraId="7DB9A84E" w14:textId="77777777" w:rsidR="00C73EAE" w:rsidRPr="00170FDC" w:rsidDel="00AF4620" w:rsidRDefault="00C73EAE" w:rsidP="00183142">
            <w:pPr>
              <w:pStyle w:val="Contrato-Clausula-Nvel3"/>
              <w:numPr>
                <w:ilvl w:val="0"/>
                <w:numId w:val="0"/>
              </w:numPr>
              <w:ind w:left="44"/>
              <w:rPr>
                <w:rFonts w:cs="Arial"/>
                <w:b/>
                <w:szCs w:val="22"/>
              </w:rPr>
            </w:pPr>
          </w:p>
        </w:tc>
        <w:tc>
          <w:tcPr>
            <w:tcW w:w="2126" w:type="pct"/>
            <w:vAlign w:val="center"/>
          </w:tcPr>
          <w:p w14:paraId="567AC354" w14:textId="77777777" w:rsidR="00C73EAE" w:rsidRPr="004B219B" w:rsidRDefault="00C73EAE" w:rsidP="00E061A4">
            <w:pPr>
              <w:pStyle w:val="Textodecomentrio"/>
              <w:jc w:val="both"/>
              <w:rPr>
                <w:rFonts w:ascii="Arial" w:hAnsi="Arial" w:cs="Arial"/>
                <w:sz w:val="22"/>
                <w:szCs w:val="22"/>
              </w:rPr>
            </w:pPr>
            <w:r>
              <w:rPr>
                <w:rFonts w:ascii="Arial" w:hAnsi="Arial" w:cs="Arial"/>
                <w:sz w:val="22"/>
                <w:szCs w:val="22"/>
              </w:rPr>
              <w:t xml:space="preserve">Vide </w:t>
            </w:r>
            <w:r w:rsidRPr="004B219B">
              <w:rPr>
                <w:rFonts w:ascii="Arial" w:hAnsi="Arial" w:cs="Arial"/>
                <w:sz w:val="22"/>
                <w:szCs w:val="22"/>
              </w:rPr>
              <w:t>o comentário do item 7.2.1.3</w:t>
            </w:r>
          </w:p>
          <w:p w14:paraId="3EA44542" w14:textId="77777777" w:rsidR="00C73EAE" w:rsidRPr="004B219B" w:rsidRDefault="00C73EAE" w:rsidP="00E061A4">
            <w:pPr>
              <w:pStyle w:val="Legenda"/>
              <w:jc w:val="both"/>
              <w:rPr>
                <w:rFonts w:cs="Arial"/>
                <w:sz w:val="22"/>
                <w:szCs w:val="22"/>
              </w:rPr>
            </w:pPr>
          </w:p>
        </w:tc>
      </w:tr>
      <w:tr w:rsidR="00C73EAE" w:rsidRPr="00170FDC" w14:paraId="36E2C369" w14:textId="77777777" w:rsidTr="0003097F">
        <w:trPr>
          <w:trHeight w:val="2268"/>
        </w:trPr>
        <w:tc>
          <w:tcPr>
            <w:tcW w:w="553" w:type="pct"/>
            <w:vAlign w:val="center"/>
          </w:tcPr>
          <w:p w14:paraId="1A0C2A80"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5FC7435E"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A70694D"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Anexo XXV, cláusula 2.1</w:t>
            </w:r>
          </w:p>
        </w:tc>
        <w:tc>
          <w:tcPr>
            <w:tcW w:w="1386" w:type="pct"/>
            <w:vAlign w:val="center"/>
          </w:tcPr>
          <w:p w14:paraId="4584AE5A" w14:textId="77777777" w:rsidR="00C73EAE" w:rsidRPr="00170FDC" w:rsidDel="00AF4620" w:rsidRDefault="00C73EAE" w:rsidP="00183142">
            <w:pPr>
              <w:pStyle w:val="Contrato-Clausula-Nvel3"/>
              <w:numPr>
                <w:ilvl w:val="0"/>
                <w:numId w:val="0"/>
              </w:numPr>
              <w:ind w:left="44"/>
              <w:rPr>
                <w:rFonts w:cs="Arial"/>
                <w:b/>
                <w:szCs w:val="22"/>
              </w:rPr>
            </w:pPr>
            <w:r w:rsidRPr="00CB215D">
              <w:rPr>
                <w:rFonts w:cs="Arial"/>
              </w:rPr>
              <w:t xml:space="preserve">A </w:t>
            </w:r>
            <w:r>
              <w:rPr>
                <w:rFonts w:cs="Arial"/>
              </w:rPr>
              <w:fldChar w:fldCharType="begin">
                <w:ffData>
                  <w:name w:val=""/>
                  <w:enabled/>
                  <w:calcOnExit w:val="0"/>
                  <w:textInput>
                    <w:default w:val="[inserir a denominação social da licitante]"/>
                  </w:textInput>
                </w:ffData>
              </w:fldChar>
            </w:r>
            <w:r>
              <w:rPr>
                <w:rFonts w:cs="Arial"/>
              </w:rPr>
              <w:instrText xml:space="preserve"> FORMTEXT </w:instrText>
            </w:r>
            <w:r>
              <w:rPr>
                <w:rFonts w:cs="Arial"/>
              </w:rPr>
            </w:r>
            <w:r>
              <w:rPr>
                <w:rFonts w:cs="Arial"/>
              </w:rPr>
              <w:fldChar w:fldCharType="separate"/>
            </w:r>
            <w:r>
              <w:rPr>
                <w:rFonts w:cs="Arial"/>
                <w:noProof/>
              </w:rPr>
              <w:t>[inserir a denominação social da licitante]</w:t>
            </w:r>
            <w:r>
              <w:rPr>
                <w:rFonts w:cs="Arial"/>
              </w:rPr>
              <w:fldChar w:fldCharType="end"/>
            </w:r>
            <w:r w:rsidRPr="00CB215D">
              <w:rPr>
                <w:rFonts w:cs="Arial"/>
              </w:rPr>
              <w:t xml:space="preserve">, neste ato, dá em primeiro e exclusivo penhor à ANP, em conformidade com os artigos </w:t>
            </w:r>
            <w:smartTag w:uri="urn:schemas-microsoft-com:office:smarttags" w:element="metricconverter">
              <w:smartTagPr>
                <w:attr w:name="ProductID" w:val="1.431 a"/>
              </w:smartTagPr>
              <w:r w:rsidRPr="00CB215D">
                <w:rPr>
                  <w:rFonts w:cs="Arial"/>
                </w:rPr>
                <w:t>1.431 a</w:t>
              </w:r>
            </w:smartTag>
            <w:r w:rsidRPr="00CB215D">
              <w:rPr>
                <w:rFonts w:cs="Arial"/>
              </w:rPr>
              <w:t xml:space="preserve"> 1.435 e </w:t>
            </w:r>
            <w:smartTag w:uri="urn:schemas-microsoft-com:office:smarttags" w:element="metricconverter">
              <w:smartTagPr>
                <w:attr w:name="ProductID" w:val="1.447 a"/>
              </w:smartTagPr>
              <w:r w:rsidRPr="00CB215D">
                <w:rPr>
                  <w:rFonts w:cs="Arial"/>
                </w:rPr>
                <w:t>1.447 a</w:t>
              </w:r>
            </w:smartTag>
            <w:r w:rsidRPr="00CB215D">
              <w:rPr>
                <w:rFonts w:cs="Arial"/>
              </w:rPr>
              <w:t xml:space="preserve"> 1.450 da Lei n.º 10.406, de 10 de janeiro de 2002 (Código Civil Brasileiro), para o fim de garantir </w:t>
            </w:r>
            <w:r w:rsidRPr="00942426">
              <w:rPr>
                <w:rFonts w:cs="Arial"/>
              </w:rPr>
              <w:fldChar w:fldCharType="begin">
                <w:ffData>
                  <w:name w:val=""/>
                  <w:enabled/>
                  <w:calcOnExit w:val="0"/>
                  <w:textInput>
                    <w:default w:val="[inserir &quot;parcialmente&quot; ou &quot;totalmente&quot;, conforme o caso]"/>
                  </w:textInput>
                </w:ffData>
              </w:fldChar>
            </w:r>
            <w:r w:rsidRPr="00942426">
              <w:rPr>
                <w:rFonts w:cs="Arial"/>
              </w:rPr>
              <w:instrText xml:space="preserve"> FORMTEXT </w:instrText>
            </w:r>
            <w:r w:rsidRPr="00942426">
              <w:rPr>
                <w:rFonts w:cs="Arial"/>
              </w:rPr>
            </w:r>
            <w:r w:rsidRPr="00942426">
              <w:rPr>
                <w:rFonts w:cs="Arial"/>
              </w:rPr>
              <w:fldChar w:fldCharType="separate"/>
            </w:r>
            <w:r w:rsidRPr="00942426">
              <w:rPr>
                <w:rFonts w:cs="Arial"/>
              </w:rPr>
              <w:t>[inserir "parcialmente" ou "totalmente", conforme o caso]</w:t>
            </w:r>
            <w:r w:rsidRPr="00942426">
              <w:rPr>
                <w:rFonts w:cs="Arial"/>
              </w:rPr>
              <w:fldChar w:fldCharType="end"/>
            </w:r>
            <w:r w:rsidRPr="00CB215D">
              <w:rPr>
                <w:rFonts w:cs="Arial"/>
              </w:rPr>
              <w:t xml:space="preserve">as obrigações assumidas no(s) Contrato(s) de Concessão listado(s) </w:t>
            </w:r>
            <w:r w:rsidRPr="00CB215D">
              <w:rPr>
                <w:rFonts w:cs="Arial"/>
              </w:rPr>
              <w:lastRenderedPageBreak/>
              <w:t xml:space="preserve">no Anexo XX, relativamente </w:t>
            </w:r>
            <w:r w:rsidRPr="00942426">
              <w:rPr>
                <w:rFonts w:cs="Arial"/>
              </w:rPr>
              <w:t xml:space="preserve">aos Programa(s) Exploratório(s) Mínimo(s) nele(s) contido(s), </w:t>
            </w:r>
            <w:r>
              <w:rPr>
                <w:rFonts w:cs="Arial"/>
              </w:rPr>
              <w:t xml:space="preserve">a quantidade de </w:t>
            </w:r>
            <w:r w:rsidRPr="00942426">
              <w:rPr>
                <w:rFonts w:cs="Arial"/>
              </w:rPr>
              <w:t>Petróleo extraíd</w:t>
            </w:r>
            <w:r>
              <w:rPr>
                <w:rFonts w:cs="Arial"/>
              </w:rPr>
              <w:t>a</w:t>
            </w:r>
            <w:r w:rsidRPr="00942426">
              <w:rPr>
                <w:rFonts w:cs="Arial"/>
              </w:rPr>
              <w:t xml:space="preserve"> do(s) campo(s), a partir do Ponto de Medição, conforme definido no(s) referido(s) Contrato(s) de Concessão , do(s) Campo(s) em Fase de Produção listado(s) no Anexo I deste Contrato de Penhor de Petróleo</w:t>
            </w:r>
            <w:r>
              <w:rPr>
                <w:rFonts w:cs="Arial"/>
              </w:rPr>
              <w:t xml:space="preserve"> e Gás Natural (BOE)</w:t>
            </w:r>
            <w:r w:rsidRPr="00942426">
              <w:rPr>
                <w:rFonts w:cs="Arial"/>
              </w:rPr>
              <w:t xml:space="preserve">, em quantidade equivalente a/ao </w:t>
            </w:r>
            <w:r w:rsidRPr="00942426">
              <w:rPr>
                <w:rFonts w:cs="Arial"/>
              </w:rPr>
              <w:fldChar w:fldCharType="begin">
                <w:ffData>
                  <w:name w:val=""/>
                  <w:enabled/>
                  <w:calcOnExit w:val="0"/>
                  <w:textInput>
                    <w:default w:val="[inserir &quot;parte&quot; ou &quot;total&quot;, conforme o caso]"/>
                  </w:textInput>
                </w:ffData>
              </w:fldChar>
            </w:r>
            <w:r w:rsidRPr="00942426">
              <w:rPr>
                <w:rFonts w:cs="Arial"/>
              </w:rPr>
              <w:instrText xml:space="preserve"> FORMTEXT </w:instrText>
            </w:r>
            <w:r w:rsidRPr="00942426">
              <w:rPr>
                <w:rFonts w:cs="Arial"/>
              </w:rPr>
            </w:r>
            <w:r w:rsidRPr="00942426">
              <w:rPr>
                <w:rFonts w:cs="Arial"/>
              </w:rPr>
              <w:fldChar w:fldCharType="separate"/>
            </w:r>
            <w:r w:rsidRPr="00942426">
              <w:rPr>
                <w:rFonts w:cs="Arial"/>
              </w:rPr>
              <w:t>[inserir "parte" ou "total", conforme o caso]</w:t>
            </w:r>
            <w:r w:rsidRPr="00942426">
              <w:rPr>
                <w:rFonts w:cs="Arial"/>
              </w:rPr>
              <w:fldChar w:fldCharType="end"/>
            </w:r>
            <w:r w:rsidRPr="00CB215D">
              <w:rPr>
                <w:rFonts w:cs="Arial"/>
              </w:rPr>
              <w:t xml:space="preserve"> do valor comprometido no(s) Programa</w:t>
            </w:r>
            <w:r w:rsidRPr="00942426">
              <w:rPr>
                <w:rFonts w:cs="Arial"/>
              </w:rPr>
              <w:t>(s) Exploratório(s) Mínimo(s) conforme listado(s) no Anexo II do presente Contrato.</w:t>
            </w:r>
          </w:p>
        </w:tc>
        <w:tc>
          <w:tcPr>
            <w:tcW w:w="2126" w:type="pct"/>
            <w:vAlign w:val="center"/>
          </w:tcPr>
          <w:p w14:paraId="0E218472" w14:textId="29B06063" w:rsidR="00C73EAE" w:rsidRPr="00174DDA" w:rsidRDefault="00C73EAE" w:rsidP="00E061A4">
            <w:pPr>
              <w:pStyle w:val="Contrato-Clausula-Nvel3"/>
              <w:numPr>
                <w:ilvl w:val="0"/>
                <w:numId w:val="0"/>
              </w:numPr>
              <w:ind w:left="44"/>
              <w:rPr>
                <w:rFonts w:cs="Arial"/>
                <w:color w:val="000000" w:themeColor="text1"/>
                <w:szCs w:val="22"/>
              </w:rPr>
            </w:pPr>
            <w:r w:rsidRPr="003F3E17">
              <w:rPr>
                <w:rFonts w:cs="Arial"/>
              </w:rPr>
              <w:lastRenderedPageBreak/>
              <w:t xml:space="preserve">A ANP determina que o penhor seja constituído sobre a totalidade do petróleo produzido de determinado campo ou campos. Desta forma, o IBP entende que não seria razoável que a ANP determine a impossibilidade do Concessionário de instituir penhor sobre parcela excedente, quando o valor do PEM garantido for inferior ao valor da produção. Desta forma, sugerimos que seja incluída cláusula estabelecendo que caso aprovado pela ANP, o Concessionário poderá instituir outro(s) penhor(s) sobre o petróleo, a fim de possibilitar o oferecimento em garantias de parcela do petróleo que não seja necessário </w:t>
            </w:r>
            <w:r w:rsidRPr="003F3E17">
              <w:rPr>
                <w:rFonts w:cs="Arial"/>
              </w:rPr>
              <w:lastRenderedPageBreak/>
              <w:t>para garantia da ANP. Alternativamente, o contrato deve estabelecer de forma objetiv</w:t>
            </w:r>
            <w:r w:rsidR="00ED7AEB">
              <w:rPr>
                <w:rFonts w:cs="Arial"/>
              </w:rPr>
              <w:t>a</w:t>
            </w:r>
            <w:r w:rsidRPr="003F3E17">
              <w:rPr>
                <w:rFonts w:cs="Arial"/>
              </w:rPr>
              <w:t xml:space="preserve"> que a garantia é instituída somente so</w:t>
            </w:r>
            <w:r w:rsidRPr="00174DDA">
              <w:rPr>
                <w:rFonts w:cs="Arial"/>
              </w:rPr>
              <w:t>bre parcela do petróleo extraído do Campo equivalente ao valor do PEM a que se destina garantir.</w:t>
            </w:r>
          </w:p>
        </w:tc>
      </w:tr>
      <w:tr w:rsidR="00C73EAE" w:rsidRPr="00170FDC" w14:paraId="50DA083A" w14:textId="77777777" w:rsidTr="0003097F">
        <w:trPr>
          <w:trHeight w:val="2268"/>
        </w:trPr>
        <w:tc>
          <w:tcPr>
            <w:tcW w:w="553" w:type="pct"/>
            <w:vAlign w:val="center"/>
          </w:tcPr>
          <w:p w14:paraId="346F5D40" w14:textId="77777777" w:rsidR="00C73EAE" w:rsidRPr="00E061A4" w:rsidRDefault="00C73EAE" w:rsidP="00C73EAE">
            <w:pPr>
              <w:pStyle w:val="Legenda"/>
              <w:jc w:val="both"/>
              <w:rPr>
                <w:rFonts w:cs="Arial"/>
                <w:sz w:val="22"/>
                <w:szCs w:val="22"/>
              </w:rPr>
            </w:pPr>
            <w:r w:rsidRPr="00E061A4">
              <w:rPr>
                <w:rFonts w:cs="Arial"/>
                <w:sz w:val="22"/>
                <w:szCs w:val="22"/>
              </w:rPr>
              <w:lastRenderedPageBreak/>
              <w:t>Pré-edital</w:t>
            </w:r>
          </w:p>
        </w:tc>
        <w:tc>
          <w:tcPr>
            <w:tcW w:w="441" w:type="pct"/>
            <w:vAlign w:val="center"/>
          </w:tcPr>
          <w:p w14:paraId="2F592C61" w14:textId="77777777" w:rsidR="00C73EAE" w:rsidRPr="00E061A4" w:rsidRDefault="00C73EAE" w:rsidP="00C73EAE">
            <w:pPr>
              <w:pStyle w:val="Legenda"/>
              <w:jc w:val="both"/>
              <w:rPr>
                <w:rFonts w:cs="Arial"/>
                <w:sz w:val="22"/>
                <w:szCs w:val="22"/>
              </w:rPr>
            </w:pPr>
            <w:r w:rsidRPr="00E061A4">
              <w:rPr>
                <w:rFonts w:cs="Arial"/>
                <w:sz w:val="22"/>
                <w:szCs w:val="22"/>
              </w:rPr>
              <w:t>Alteração</w:t>
            </w:r>
          </w:p>
        </w:tc>
        <w:tc>
          <w:tcPr>
            <w:tcW w:w="494" w:type="pct"/>
            <w:vAlign w:val="center"/>
          </w:tcPr>
          <w:p w14:paraId="0B084DB3" w14:textId="77777777" w:rsidR="00C73EAE" w:rsidRPr="00E061A4" w:rsidRDefault="00C73EAE" w:rsidP="00183142">
            <w:pPr>
              <w:pStyle w:val="Legenda"/>
              <w:jc w:val="center"/>
              <w:rPr>
                <w:rFonts w:cs="Arial"/>
                <w:sz w:val="22"/>
                <w:szCs w:val="22"/>
              </w:rPr>
            </w:pPr>
            <w:r w:rsidRPr="00E061A4">
              <w:rPr>
                <w:rFonts w:cs="Arial"/>
                <w:sz w:val="22"/>
                <w:szCs w:val="22"/>
              </w:rPr>
              <w:t>Anexo XXV – 2.2</w:t>
            </w:r>
          </w:p>
        </w:tc>
        <w:tc>
          <w:tcPr>
            <w:tcW w:w="1386" w:type="pct"/>
            <w:vAlign w:val="center"/>
          </w:tcPr>
          <w:p w14:paraId="589971F1" w14:textId="77777777" w:rsidR="00C73EAE" w:rsidRPr="00E061A4" w:rsidRDefault="00C73EAE" w:rsidP="00183142">
            <w:pPr>
              <w:pStyle w:val="Default"/>
              <w:jc w:val="both"/>
              <w:rPr>
                <w:sz w:val="22"/>
                <w:szCs w:val="22"/>
              </w:rPr>
            </w:pPr>
          </w:p>
          <w:p w14:paraId="11B500F2" w14:textId="77777777" w:rsidR="00C73EAE" w:rsidRPr="00E061A4" w:rsidRDefault="00C73EAE" w:rsidP="00183142">
            <w:pPr>
              <w:pStyle w:val="Default"/>
              <w:jc w:val="both"/>
              <w:rPr>
                <w:sz w:val="22"/>
                <w:szCs w:val="22"/>
              </w:rPr>
            </w:pPr>
            <w:r w:rsidRPr="00E061A4">
              <w:rPr>
                <w:sz w:val="22"/>
                <w:szCs w:val="22"/>
              </w:rPr>
              <w:t>2.2 A [inserir a denominação social da licitante] confirmará, por meio de Boletins Mensais de Medição e do Contrato de compra e venda de gás previamente firmado entre o contratado e terceiros ou do Demonstrativo de Apuração da Participação Especial (DAPE), quando não for possível apurar objetivamente o preço de venda do gás, a Produção de Gás Natural dos campos mencionados no Anexo I, de maneira a manter sempre empenhada quantidade necessária à satisfação integral das obrigações assumidas no presente Contrato em relação ao(s) Programa(s) Exploratório(s) Mínimo(s), no montante definido na Cláusula 9.1.</w:t>
            </w:r>
          </w:p>
          <w:p w14:paraId="67F207F2" w14:textId="77777777" w:rsidR="00C73EAE" w:rsidRPr="00E061A4" w:rsidRDefault="00C73EAE" w:rsidP="00183142">
            <w:pPr>
              <w:pStyle w:val="Contrato-Clausula-Nvel3"/>
              <w:numPr>
                <w:ilvl w:val="0"/>
                <w:numId w:val="0"/>
              </w:numPr>
              <w:ind w:left="44"/>
              <w:rPr>
                <w:rFonts w:cs="Arial"/>
                <w:b/>
                <w:szCs w:val="22"/>
                <w:u w:val="single"/>
              </w:rPr>
            </w:pPr>
          </w:p>
        </w:tc>
        <w:tc>
          <w:tcPr>
            <w:tcW w:w="2126" w:type="pct"/>
            <w:vAlign w:val="center"/>
          </w:tcPr>
          <w:p w14:paraId="4B27CC6B" w14:textId="77777777" w:rsidR="00C73EAE" w:rsidRPr="00E061A4" w:rsidRDefault="00C73EAE" w:rsidP="00E061A4">
            <w:pPr>
              <w:pStyle w:val="Contrato-Clausula-Nvel3"/>
              <w:numPr>
                <w:ilvl w:val="0"/>
                <w:numId w:val="0"/>
              </w:numPr>
              <w:ind w:left="44"/>
              <w:rPr>
                <w:rFonts w:cs="Arial"/>
                <w:szCs w:val="22"/>
              </w:rPr>
            </w:pPr>
            <w:r w:rsidRPr="00E061A4">
              <w:rPr>
                <w:rFonts w:cs="Arial"/>
                <w:szCs w:val="22"/>
              </w:rPr>
              <w:lastRenderedPageBreak/>
              <w:t>Alteração da minuta de contrato, considerando as inclusões propostas ao pré-edital item 9.1.2.3, já que o empenho em gás deverá ser precedido de contrato de compra e venda de gás, utilizando-se o preço de referência apenas de forma subsidiária, quando não for possível apurar o preço de venda do gás.</w:t>
            </w:r>
          </w:p>
        </w:tc>
      </w:tr>
      <w:tr w:rsidR="00C73EAE" w:rsidRPr="00170FDC" w14:paraId="1BEA1BA3" w14:textId="77777777" w:rsidTr="0003097F">
        <w:trPr>
          <w:trHeight w:val="2268"/>
        </w:trPr>
        <w:tc>
          <w:tcPr>
            <w:tcW w:w="553" w:type="pct"/>
            <w:vAlign w:val="center"/>
          </w:tcPr>
          <w:p w14:paraId="577A6D5D"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t>Pré-edital</w:t>
            </w:r>
          </w:p>
        </w:tc>
        <w:tc>
          <w:tcPr>
            <w:tcW w:w="441" w:type="pct"/>
            <w:vAlign w:val="center"/>
          </w:tcPr>
          <w:p w14:paraId="0EC26FE4"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t>Alteração</w:t>
            </w:r>
          </w:p>
        </w:tc>
        <w:tc>
          <w:tcPr>
            <w:tcW w:w="494" w:type="pct"/>
            <w:vAlign w:val="center"/>
          </w:tcPr>
          <w:p w14:paraId="544B2EE8" w14:textId="77777777" w:rsidR="00C73EAE" w:rsidRPr="00E061A4" w:rsidRDefault="00C73EAE" w:rsidP="00183142">
            <w:pPr>
              <w:pStyle w:val="Legenda"/>
              <w:jc w:val="center"/>
              <w:rPr>
                <w:rFonts w:cs="Arial"/>
                <w:color w:val="000000" w:themeColor="text1"/>
                <w:sz w:val="22"/>
                <w:szCs w:val="22"/>
              </w:rPr>
            </w:pPr>
            <w:r w:rsidRPr="00E061A4">
              <w:rPr>
                <w:rFonts w:cs="Arial"/>
                <w:color w:val="000000" w:themeColor="text1"/>
                <w:sz w:val="22"/>
                <w:szCs w:val="22"/>
              </w:rPr>
              <w:t>Anexo XXV, cláusula 3.3</w:t>
            </w:r>
          </w:p>
        </w:tc>
        <w:tc>
          <w:tcPr>
            <w:tcW w:w="1386" w:type="pct"/>
            <w:vAlign w:val="center"/>
          </w:tcPr>
          <w:p w14:paraId="63535325" w14:textId="25F6C81F" w:rsidR="00C73EAE" w:rsidRPr="00E061A4" w:rsidDel="00AF4620" w:rsidRDefault="00C73EAE" w:rsidP="00183142">
            <w:pPr>
              <w:pStyle w:val="Contrato-Clausula-Nvel3"/>
              <w:numPr>
                <w:ilvl w:val="0"/>
                <w:numId w:val="0"/>
              </w:numPr>
              <w:ind w:left="44"/>
              <w:rPr>
                <w:rFonts w:cs="Arial"/>
              </w:rPr>
            </w:pPr>
            <w:r w:rsidRPr="00E061A4">
              <w:rPr>
                <w:rFonts w:cs="Arial"/>
                <w:b/>
                <w:u w:val="single"/>
              </w:rPr>
              <w:t>Valor Total Empenhado</w:t>
            </w:r>
            <w:r w:rsidRPr="00E061A4">
              <w:rPr>
                <w:rFonts w:cs="Arial"/>
              </w:rPr>
              <w:t>: valor total do penhor de petróleo e gás natural (BOE) para cada ano, conforme determinado na cláusula 3.1.</w:t>
            </w:r>
          </w:p>
        </w:tc>
        <w:tc>
          <w:tcPr>
            <w:tcW w:w="2126" w:type="pct"/>
            <w:vAlign w:val="center"/>
          </w:tcPr>
          <w:p w14:paraId="0EA99C9E" w14:textId="77777777" w:rsidR="00C73EAE" w:rsidRPr="00E061A4" w:rsidRDefault="00C73EAE" w:rsidP="00E061A4">
            <w:pPr>
              <w:pStyle w:val="Contrato-Clausula-Nvel3"/>
              <w:numPr>
                <w:ilvl w:val="0"/>
                <w:numId w:val="0"/>
              </w:numPr>
              <w:ind w:left="44"/>
              <w:rPr>
                <w:rFonts w:cs="Arial"/>
              </w:rPr>
            </w:pPr>
            <w:r w:rsidRPr="00E061A4">
              <w:rPr>
                <w:rFonts w:cs="Arial"/>
              </w:rPr>
              <w:t>Proposta objetiva alinhar a redação com o disposto na cláusula 2.1, que permite que o penhor garanta total ou parcialmente as obrigações do PEM.</w:t>
            </w:r>
          </w:p>
        </w:tc>
      </w:tr>
      <w:tr w:rsidR="00C73EAE" w:rsidRPr="00170FDC" w14:paraId="7E14C8F3" w14:textId="77777777" w:rsidTr="0003097F">
        <w:trPr>
          <w:trHeight w:val="2268"/>
        </w:trPr>
        <w:tc>
          <w:tcPr>
            <w:tcW w:w="553" w:type="pct"/>
            <w:vAlign w:val="center"/>
          </w:tcPr>
          <w:p w14:paraId="7F330591"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t>Pré-edital</w:t>
            </w:r>
          </w:p>
        </w:tc>
        <w:tc>
          <w:tcPr>
            <w:tcW w:w="441" w:type="pct"/>
            <w:vAlign w:val="center"/>
          </w:tcPr>
          <w:p w14:paraId="63698535"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t>Alteração</w:t>
            </w:r>
          </w:p>
        </w:tc>
        <w:tc>
          <w:tcPr>
            <w:tcW w:w="494" w:type="pct"/>
            <w:vAlign w:val="center"/>
          </w:tcPr>
          <w:p w14:paraId="62283411" w14:textId="77777777" w:rsidR="00C73EAE" w:rsidRPr="00E061A4" w:rsidRDefault="00C73EAE" w:rsidP="00183142">
            <w:pPr>
              <w:pStyle w:val="Legenda"/>
              <w:jc w:val="center"/>
              <w:rPr>
                <w:rFonts w:cs="Arial"/>
                <w:color w:val="000000" w:themeColor="text1"/>
                <w:sz w:val="22"/>
                <w:szCs w:val="22"/>
              </w:rPr>
            </w:pPr>
            <w:r w:rsidRPr="00E061A4">
              <w:rPr>
                <w:rFonts w:cs="Arial"/>
                <w:color w:val="000000" w:themeColor="text1"/>
                <w:sz w:val="22"/>
                <w:szCs w:val="22"/>
              </w:rPr>
              <w:t>Anexo XXV, cláusula 6.1, alínea “h”</w:t>
            </w:r>
          </w:p>
        </w:tc>
        <w:tc>
          <w:tcPr>
            <w:tcW w:w="1386" w:type="pct"/>
            <w:vAlign w:val="center"/>
          </w:tcPr>
          <w:p w14:paraId="3B626D02" w14:textId="77777777" w:rsidR="00C73EAE" w:rsidRPr="00E061A4" w:rsidDel="00AF4620" w:rsidRDefault="00C73EAE" w:rsidP="00183142">
            <w:pPr>
              <w:pStyle w:val="Contrato-Clausula-Nvel3"/>
              <w:numPr>
                <w:ilvl w:val="0"/>
                <w:numId w:val="0"/>
              </w:numPr>
              <w:ind w:left="44"/>
              <w:rPr>
                <w:rFonts w:cs="Arial"/>
              </w:rPr>
            </w:pPr>
            <w:r w:rsidRPr="00E061A4">
              <w:rPr>
                <w:rFonts w:cs="Arial"/>
              </w:rPr>
              <w:t>somente irá instituir qualquer outro gravame sobre os bens ora empenhados, mediante aprovação prévia pela ANP.</w:t>
            </w:r>
          </w:p>
        </w:tc>
        <w:tc>
          <w:tcPr>
            <w:tcW w:w="2126" w:type="pct"/>
            <w:vAlign w:val="center"/>
          </w:tcPr>
          <w:p w14:paraId="49FCB0BB" w14:textId="77777777" w:rsidR="00C73EAE" w:rsidRPr="00E061A4" w:rsidRDefault="00C73EAE" w:rsidP="00E061A4">
            <w:pPr>
              <w:pStyle w:val="Legenda"/>
              <w:jc w:val="both"/>
              <w:rPr>
                <w:rFonts w:cs="Arial"/>
                <w:color w:val="000000" w:themeColor="text1"/>
                <w:sz w:val="22"/>
                <w:szCs w:val="22"/>
              </w:rPr>
            </w:pPr>
            <w:r w:rsidRPr="00E061A4">
              <w:rPr>
                <w:rFonts w:cs="Arial"/>
                <w:color w:val="000000" w:themeColor="text1"/>
                <w:sz w:val="22"/>
                <w:szCs w:val="22"/>
              </w:rPr>
              <w:t>Vide comentário à cláusula 2.1 acima.</w:t>
            </w:r>
          </w:p>
        </w:tc>
      </w:tr>
      <w:tr w:rsidR="00C73EAE" w:rsidRPr="00170FDC" w14:paraId="681CCBE9" w14:textId="77777777" w:rsidTr="0003097F">
        <w:trPr>
          <w:trHeight w:val="2268"/>
        </w:trPr>
        <w:tc>
          <w:tcPr>
            <w:tcW w:w="553" w:type="pct"/>
            <w:vAlign w:val="center"/>
          </w:tcPr>
          <w:p w14:paraId="7E6E1C5E"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t>Pré-edital</w:t>
            </w:r>
          </w:p>
        </w:tc>
        <w:tc>
          <w:tcPr>
            <w:tcW w:w="441" w:type="pct"/>
            <w:vAlign w:val="center"/>
          </w:tcPr>
          <w:p w14:paraId="6143395C"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t>Exclusão</w:t>
            </w:r>
          </w:p>
        </w:tc>
        <w:tc>
          <w:tcPr>
            <w:tcW w:w="494" w:type="pct"/>
            <w:vAlign w:val="center"/>
          </w:tcPr>
          <w:p w14:paraId="6AFC57F5" w14:textId="77777777" w:rsidR="00C73EAE" w:rsidRPr="00E061A4" w:rsidRDefault="00C73EAE" w:rsidP="00183142">
            <w:pPr>
              <w:pStyle w:val="Legenda"/>
              <w:jc w:val="center"/>
              <w:rPr>
                <w:rFonts w:cs="Arial"/>
                <w:color w:val="000000" w:themeColor="text1"/>
                <w:sz w:val="22"/>
                <w:szCs w:val="22"/>
              </w:rPr>
            </w:pPr>
            <w:r w:rsidRPr="00E061A4">
              <w:rPr>
                <w:rFonts w:cs="Arial"/>
                <w:color w:val="000000" w:themeColor="text1"/>
                <w:sz w:val="22"/>
                <w:szCs w:val="22"/>
              </w:rPr>
              <w:t>Anexo XXV, cláusula 6.3, alínea “b”</w:t>
            </w:r>
          </w:p>
        </w:tc>
        <w:tc>
          <w:tcPr>
            <w:tcW w:w="1386" w:type="pct"/>
            <w:vAlign w:val="center"/>
          </w:tcPr>
          <w:p w14:paraId="6DC75487" w14:textId="77777777" w:rsidR="00C73EAE" w:rsidRPr="00E061A4" w:rsidDel="00AF4620" w:rsidRDefault="00C73EAE" w:rsidP="00183142">
            <w:pPr>
              <w:pStyle w:val="Contrato-Clausula-Nvel3"/>
              <w:numPr>
                <w:ilvl w:val="0"/>
                <w:numId w:val="0"/>
              </w:numPr>
              <w:ind w:left="44"/>
              <w:rPr>
                <w:rFonts w:cs="Arial"/>
                <w:strike/>
              </w:rPr>
            </w:pPr>
          </w:p>
        </w:tc>
        <w:tc>
          <w:tcPr>
            <w:tcW w:w="2126" w:type="pct"/>
            <w:vAlign w:val="center"/>
          </w:tcPr>
          <w:p w14:paraId="1302A912" w14:textId="77777777" w:rsidR="00C73EAE" w:rsidRPr="00E061A4" w:rsidRDefault="00C73EAE" w:rsidP="00E061A4">
            <w:pPr>
              <w:pStyle w:val="Legenda"/>
              <w:jc w:val="both"/>
              <w:rPr>
                <w:rFonts w:cs="Arial"/>
                <w:color w:val="000000" w:themeColor="text1"/>
                <w:sz w:val="22"/>
                <w:szCs w:val="22"/>
              </w:rPr>
            </w:pPr>
            <w:r w:rsidRPr="00E061A4">
              <w:rPr>
                <w:rFonts w:cs="Arial"/>
                <w:color w:val="000000" w:themeColor="text1"/>
                <w:sz w:val="22"/>
                <w:szCs w:val="22"/>
              </w:rPr>
              <w:t>O IBP entende que não seria aplicável que a ANP autorize o Concessionário a cumprir suas obrigações perante terceiros.</w:t>
            </w:r>
          </w:p>
        </w:tc>
      </w:tr>
      <w:tr w:rsidR="00C73EAE" w:rsidRPr="00170FDC" w14:paraId="29A31D7E" w14:textId="77777777" w:rsidTr="0003097F">
        <w:trPr>
          <w:trHeight w:val="2268"/>
        </w:trPr>
        <w:tc>
          <w:tcPr>
            <w:tcW w:w="553" w:type="pct"/>
            <w:vAlign w:val="center"/>
          </w:tcPr>
          <w:p w14:paraId="33C7A893"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lastRenderedPageBreak/>
              <w:t>Pré-edital</w:t>
            </w:r>
          </w:p>
        </w:tc>
        <w:tc>
          <w:tcPr>
            <w:tcW w:w="441" w:type="pct"/>
            <w:vAlign w:val="center"/>
          </w:tcPr>
          <w:p w14:paraId="0D9ADDB5" w14:textId="77777777" w:rsidR="00C73EAE" w:rsidRPr="00E061A4" w:rsidRDefault="00C73EAE" w:rsidP="00C73EAE">
            <w:pPr>
              <w:pStyle w:val="Legenda"/>
              <w:jc w:val="center"/>
              <w:rPr>
                <w:rFonts w:cs="Arial"/>
                <w:color w:val="000000" w:themeColor="text1"/>
                <w:sz w:val="22"/>
                <w:szCs w:val="22"/>
              </w:rPr>
            </w:pPr>
            <w:r w:rsidRPr="00E061A4">
              <w:rPr>
                <w:rFonts w:cs="Arial"/>
                <w:color w:val="000000" w:themeColor="text1"/>
                <w:sz w:val="22"/>
                <w:szCs w:val="22"/>
              </w:rPr>
              <w:t>Alteração</w:t>
            </w:r>
          </w:p>
        </w:tc>
        <w:tc>
          <w:tcPr>
            <w:tcW w:w="494" w:type="pct"/>
            <w:vAlign w:val="center"/>
          </w:tcPr>
          <w:p w14:paraId="0938151D" w14:textId="77777777" w:rsidR="00C73EAE" w:rsidRPr="00E061A4" w:rsidRDefault="00C73EAE" w:rsidP="00183142">
            <w:pPr>
              <w:pStyle w:val="Legenda"/>
              <w:jc w:val="center"/>
              <w:rPr>
                <w:rFonts w:cs="Arial"/>
                <w:color w:val="000000" w:themeColor="text1"/>
                <w:sz w:val="22"/>
                <w:szCs w:val="22"/>
              </w:rPr>
            </w:pPr>
            <w:r w:rsidRPr="00E061A4">
              <w:rPr>
                <w:rFonts w:cs="Arial"/>
                <w:color w:val="000000" w:themeColor="text1"/>
                <w:sz w:val="22"/>
                <w:szCs w:val="22"/>
              </w:rPr>
              <w:t>Anexo XXV, cláusula 7.2.1</w:t>
            </w:r>
          </w:p>
        </w:tc>
        <w:tc>
          <w:tcPr>
            <w:tcW w:w="1386" w:type="pct"/>
            <w:vAlign w:val="center"/>
          </w:tcPr>
          <w:p w14:paraId="478EC164" w14:textId="77777777" w:rsidR="00C73EAE" w:rsidRPr="00E061A4" w:rsidDel="00AF4620" w:rsidRDefault="00C73EAE" w:rsidP="00183142">
            <w:pPr>
              <w:pStyle w:val="Contrato-Clausula-Nvel3"/>
              <w:numPr>
                <w:ilvl w:val="0"/>
                <w:numId w:val="0"/>
              </w:numPr>
              <w:ind w:left="44"/>
              <w:rPr>
                <w:rFonts w:cs="Arial"/>
                <w:b/>
                <w:szCs w:val="22"/>
              </w:rPr>
            </w:pPr>
            <w:r w:rsidRPr="00E061A4">
              <w:rPr>
                <w:rFonts w:cs="Arial"/>
              </w:rPr>
              <w:t>A ANP poderá, alternativamente, solicitar à empresa que entregue o Petróleo e Gás Natural (BOE) empenhados a terceiros, para que estes pratiquem, em nome da ANP, todos os atos necessários para promover a venda e transferência do Petróleo e Gás Natural empenhados, em quantidade suficiente para cobrir o valor correspondente ao inadimplemento havido</w:t>
            </w:r>
            <w:r w:rsidRPr="00E061A4">
              <w:rPr>
                <w:rFonts w:cs="Arial"/>
                <w:color w:val="000000" w:themeColor="text1"/>
                <w:szCs w:val="22"/>
              </w:rPr>
              <w:t>, nos limites da garantia aqui constituída</w:t>
            </w:r>
            <w:r w:rsidRPr="00E061A4">
              <w:rPr>
                <w:rFonts w:cs="Arial"/>
              </w:rPr>
              <w:t>.</w:t>
            </w:r>
          </w:p>
        </w:tc>
        <w:tc>
          <w:tcPr>
            <w:tcW w:w="2126" w:type="pct"/>
            <w:vAlign w:val="center"/>
          </w:tcPr>
          <w:p w14:paraId="4A9DFA96" w14:textId="77777777" w:rsidR="00C73EAE" w:rsidRPr="00E061A4" w:rsidRDefault="00C73EAE" w:rsidP="00E061A4">
            <w:pPr>
              <w:pStyle w:val="Legenda"/>
              <w:jc w:val="both"/>
              <w:rPr>
                <w:rFonts w:cs="Arial"/>
                <w:color w:val="000000" w:themeColor="text1"/>
                <w:sz w:val="22"/>
                <w:szCs w:val="22"/>
              </w:rPr>
            </w:pPr>
            <w:r w:rsidRPr="00E061A4">
              <w:rPr>
                <w:rFonts w:cs="Arial"/>
                <w:color w:val="000000" w:themeColor="text1"/>
                <w:sz w:val="22"/>
                <w:szCs w:val="22"/>
              </w:rPr>
              <w:t>Para consistência com a cláusula 2.1 acima, que permite que o penhor garanta total ou parcialmente as obrigações do PEM.</w:t>
            </w:r>
          </w:p>
        </w:tc>
      </w:tr>
      <w:tr w:rsidR="00C73EAE" w:rsidRPr="00170FDC" w14:paraId="520DAFD2" w14:textId="77777777" w:rsidTr="0003097F">
        <w:trPr>
          <w:trHeight w:val="2268"/>
        </w:trPr>
        <w:tc>
          <w:tcPr>
            <w:tcW w:w="553" w:type="pct"/>
            <w:vAlign w:val="center"/>
          </w:tcPr>
          <w:p w14:paraId="71AF2BCF" w14:textId="77777777" w:rsidR="00C73EAE" w:rsidRPr="00170FDC" w:rsidRDefault="00C73EAE" w:rsidP="00C73EA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68309783"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B316B69"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Anexo XXV, cláusula 7.3</w:t>
            </w:r>
          </w:p>
        </w:tc>
        <w:tc>
          <w:tcPr>
            <w:tcW w:w="1386" w:type="pct"/>
            <w:vAlign w:val="center"/>
          </w:tcPr>
          <w:p w14:paraId="21F2676C" w14:textId="77777777" w:rsidR="00C73EAE" w:rsidRPr="00170FDC" w:rsidDel="00AF4620" w:rsidRDefault="00C73EAE" w:rsidP="00183142">
            <w:pPr>
              <w:pStyle w:val="Contrato-Clausula-Nvel3"/>
              <w:numPr>
                <w:ilvl w:val="0"/>
                <w:numId w:val="0"/>
              </w:numPr>
              <w:ind w:left="44"/>
              <w:rPr>
                <w:rFonts w:cs="Arial"/>
                <w:b/>
                <w:szCs w:val="22"/>
              </w:rPr>
            </w:pPr>
            <w:r w:rsidRPr="00E831DA">
              <w:rPr>
                <w:rFonts w:cs="Arial"/>
              </w:rPr>
              <w:t>Além dos direitos relacionados na legislação concernente à matéria, e dos dispositivos previstos nas Cláusulas Terceira e Sexta deste contrato, poderá a ANP exigir o reforço de garantia caso os bens se deteriorem ou pereçam sem culpa da [inserir o nome da sociedade empresária][inserir a denominação social da licitante]</w:t>
            </w:r>
            <w:r w:rsidRPr="00E831DA">
              <w:rPr>
                <w:rFonts w:cs="Arial"/>
                <w:b/>
                <w:szCs w:val="22"/>
              </w:rPr>
              <w:t>.</w:t>
            </w:r>
          </w:p>
        </w:tc>
        <w:tc>
          <w:tcPr>
            <w:tcW w:w="2126" w:type="pct"/>
            <w:vAlign w:val="center"/>
          </w:tcPr>
          <w:p w14:paraId="6B7670A0" w14:textId="77777777" w:rsidR="00C73EAE" w:rsidRPr="00E831DA" w:rsidRDefault="00C73EAE" w:rsidP="00E061A4">
            <w:pPr>
              <w:pStyle w:val="Contrato-Clausula-Nvel3"/>
              <w:numPr>
                <w:ilvl w:val="0"/>
                <w:numId w:val="0"/>
              </w:numPr>
              <w:ind w:left="44"/>
              <w:rPr>
                <w:rFonts w:cs="Arial"/>
              </w:rPr>
            </w:pPr>
            <w:r w:rsidRPr="00E831DA">
              <w:rPr>
                <w:rFonts w:cs="Arial"/>
              </w:rPr>
              <w:t xml:space="preserve">O IBP propõe o ajuste da redação quanto a danos, por entender que não está claro a quais danos se refere, podendo, portanto, implicar em responsabilidade excessiva ao concessionário, inclusive em relação a danos sobre os quais o concessionário não contribuiu. </w:t>
            </w:r>
          </w:p>
          <w:p w14:paraId="39CB9486" w14:textId="77777777" w:rsidR="00C73EAE" w:rsidRPr="00170FDC" w:rsidRDefault="00C73EAE" w:rsidP="00E061A4">
            <w:pPr>
              <w:pStyle w:val="Contrato-Clausula-Nvel3"/>
              <w:numPr>
                <w:ilvl w:val="0"/>
                <w:numId w:val="0"/>
              </w:numPr>
              <w:ind w:left="44"/>
              <w:rPr>
                <w:rFonts w:cs="Arial"/>
                <w:color w:val="000000" w:themeColor="text1"/>
                <w:szCs w:val="22"/>
              </w:rPr>
            </w:pPr>
            <w:r w:rsidRPr="00E831DA">
              <w:rPr>
                <w:rFonts w:cs="Arial"/>
              </w:rPr>
              <w:t>Quanto à redação que trata de cessão, não nos parece claro a quais direitos ela se refere. Nota-se que o penhor, como um direito real, nos termos da legislação aplicável, não é prejudicado pela cessão dos direitos de propriedade sobre o bem empenhado.</w:t>
            </w:r>
          </w:p>
        </w:tc>
      </w:tr>
      <w:tr w:rsidR="001E755E" w:rsidRPr="00170FDC" w14:paraId="3FAFD1E0" w14:textId="77777777" w:rsidTr="0003097F">
        <w:trPr>
          <w:trHeight w:val="2268"/>
        </w:trPr>
        <w:tc>
          <w:tcPr>
            <w:tcW w:w="553" w:type="pct"/>
            <w:vAlign w:val="center"/>
          </w:tcPr>
          <w:p w14:paraId="721EEEA4" w14:textId="77777777" w:rsidR="001E755E" w:rsidRDefault="001E755E" w:rsidP="001E755E">
            <w:pPr>
              <w:pStyle w:val="Legenda"/>
              <w:jc w:val="center"/>
              <w:rPr>
                <w:rFonts w:cs="Arial"/>
                <w:color w:val="000000" w:themeColor="text1"/>
                <w:sz w:val="22"/>
                <w:szCs w:val="22"/>
              </w:rPr>
            </w:pPr>
            <w:r>
              <w:rPr>
                <w:rFonts w:cs="Arial"/>
                <w:color w:val="000000" w:themeColor="text1"/>
                <w:sz w:val="22"/>
                <w:szCs w:val="22"/>
              </w:rPr>
              <w:t>Contrato</w:t>
            </w:r>
          </w:p>
        </w:tc>
        <w:tc>
          <w:tcPr>
            <w:tcW w:w="441" w:type="pct"/>
            <w:vAlign w:val="center"/>
          </w:tcPr>
          <w:p w14:paraId="27B6043D" w14:textId="530272C7" w:rsidR="001E755E" w:rsidRPr="006E166E" w:rsidRDefault="001E755E" w:rsidP="001E755E">
            <w:pPr>
              <w:pStyle w:val="Legenda"/>
              <w:jc w:val="center"/>
              <w:rPr>
                <w:rFonts w:cs="Arial"/>
                <w:color w:val="000000" w:themeColor="text1"/>
                <w:sz w:val="22"/>
                <w:szCs w:val="22"/>
              </w:rPr>
            </w:pPr>
            <w:r>
              <w:rPr>
                <w:rFonts w:cs="Arial"/>
                <w:color w:val="000000" w:themeColor="text1"/>
                <w:sz w:val="22"/>
                <w:szCs w:val="22"/>
              </w:rPr>
              <w:t>Alteraç</w:t>
            </w:r>
            <w:r w:rsidRPr="006E166E">
              <w:rPr>
                <w:rFonts w:cs="Arial"/>
                <w:color w:val="000000" w:themeColor="text1"/>
                <w:sz w:val="22"/>
                <w:szCs w:val="22"/>
              </w:rPr>
              <w:t>ão</w:t>
            </w:r>
          </w:p>
        </w:tc>
        <w:tc>
          <w:tcPr>
            <w:tcW w:w="494" w:type="pct"/>
            <w:vAlign w:val="center"/>
          </w:tcPr>
          <w:p w14:paraId="0CCD58FA" w14:textId="77777777" w:rsidR="001E755E" w:rsidRPr="008E44C8" w:rsidRDefault="001E755E" w:rsidP="00183142">
            <w:pPr>
              <w:pStyle w:val="Legenda"/>
              <w:jc w:val="center"/>
              <w:rPr>
                <w:rFonts w:cs="Arial"/>
                <w:color w:val="000000" w:themeColor="text1"/>
                <w:sz w:val="22"/>
                <w:szCs w:val="22"/>
              </w:rPr>
            </w:pPr>
            <w:r w:rsidRPr="008E44C8">
              <w:rPr>
                <w:rFonts w:cs="Arial"/>
                <w:color w:val="000000" w:themeColor="text1"/>
                <w:sz w:val="22"/>
                <w:szCs w:val="22"/>
              </w:rPr>
              <w:t>1.2.2.</w:t>
            </w:r>
          </w:p>
        </w:tc>
        <w:tc>
          <w:tcPr>
            <w:tcW w:w="1386" w:type="pct"/>
            <w:vAlign w:val="center"/>
          </w:tcPr>
          <w:p w14:paraId="3CDB26DE" w14:textId="551D44E8" w:rsidR="001E755E" w:rsidRPr="008F1BA0" w:rsidDel="00AF4620" w:rsidRDefault="001E755E" w:rsidP="00183142">
            <w:pPr>
              <w:pStyle w:val="Contrato-Clausula-Nvel3"/>
              <w:numPr>
                <w:ilvl w:val="0"/>
                <w:numId w:val="0"/>
              </w:numPr>
              <w:ind w:left="44"/>
              <w:rPr>
                <w:rFonts w:cs="Arial"/>
                <w:b/>
                <w:strike/>
                <w:szCs w:val="22"/>
              </w:rPr>
            </w:pPr>
            <w:r w:rsidRPr="00770D34">
              <w:rPr>
                <w:rFonts w:cs="Arial"/>
                <w:szCs w:val="22"/>
              </w:rPr>
              <w:t>Conforme definiç</w:t>
            </w:r>
            <w:r>
              <w:rPr>
                <w:rFonts w:cs="Arial"/>
                <w:szCs w:val="22"/>
              </w:rPr>
              <w:t>ão const</w:t>
            </w:r>
            <w:r w:rsidRPr="00770D34">
              <w:rPr>
                <w:rFonts w:cs="Arial"/>
                <w:szCs w:val="22"/>
              </w:rPr>
              <w:t>a</w:t>
            </w:r>
            <w:r>
              <w:rPr>
                <w:rFonts w:cs="Arial"/>
                <w:szCs w:val="22"/>
              </w:rPr>
              <w:t>n</w:t>
            </w:r>
            <w:r w:rsidRPr="00770D34">
              <w:rPr>
                <w:rFonts w:cs="Arial"/>
                <w:szCs w:val="22"/>
              </w:rPr>
              <w:t>te na Resolução da ANP que aprova os regulamentos técnicos do Plano de Desenvolvimento.</w:t>
            </w:r>
          </w:p>
        </w:tc>
        <w:tc>
          <w:tcPr>
            <w:tcW w:w="2126" w:type="pct"/>
            <w:vAlign w:val="center"/>
          </w:tcPr>
          <w:p w14:paraId="3E6EE765" w14:textId="37484936" w:rsidR="001E755E" w:rsidRPr="00BC1DC7" w:rsidRDefault="001E755E" w:rsidP="00E061A4">
            <w:pPr>
              <w:pStyle w:val="Legenda"/>
              <w:jc w:val="both"/>
              <w:rPr>
                <w:rFonts w:cs="Arial"/>
                <w:color w:val="000000" w:themeColor="text1"/>
                <w:sz w:val="22"/>
                <w:szCs w:val="22"/>
              </w:rPr>
            </w:pPr>
            <w:r>
              <w:rPr>
                <w:rFonts w:cs="Arial"/>
                <w:color w:val="000000" w:themeColor="text1"/>
                <w:sz w:val="22"/>
                <w:szCs w:val="22"/>
              </w:rPr>
              <w:t>Consta na Agenda Regulatória da ANP que a Resolução 17/2015 será revisada, portanto, sugerimos que a definição conste apenas na Resolução assim evitando eventuais inconsistências.</w:t>
            </w:r>
          </w:p>
        </w:tc>
      </w:tr>
      <w:tr w:rsidR="00C73EAE" w:rsidRPr="00170FDC" w14:paraId="752464A7" w14:textId="77777777" w:rsidTr="0003097F">
        <w:trPr>
          <w:trHeight w:val="2268"/>
        </w:trPr>
        <w:tc>
          <w:tcPr>
            <w:tcW w:w="553" w:type="pct"/>
            <w:vAlign w:val="center"/>
          </w:tcPr>
          <w:p w14:paraId="57136374" w14:textId="77777777" w:rsidR="00C73EAE" w:rsidRDefault="00C73EAE" w:rsidP="00770D34">
            <w:pPr>
              <w:pStyle w:val="Legenda"/>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1DDB3441" w14:textId="77777777" w:rsidR="00C73EAE" w:rsidRPr="006E166E" w:rsidRDefault="00C73EAE" w:rsidP="00770D34">
            <w:pPr>
              <w:pStyle w:val="Legenda"/>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D7076A7"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1.2.4</w:t>
            </w:r>
          </w:p>
        </w:tc>
        <w:tc>
          <w:tcPr>
            <w:tcW w:w="1386" w:type="pct"/>
            <w:vAlign w:val="center"/>
          </w:tcPr>
          <w:p w14:paraId="5E84EB16" w14:textId="0357A8DB" w:rsidR="00C73EAE" w:rsidRPr="00770D34" w:rsidDel="00AF4620" w:rsidRDefault="00770D34" w:rsidP="00183142">
            <w:pPr>
              <w:pStyle w:val="Contrato-Clausula-Nvel3"/>
              <w:numPr>
                <w:ilvl w:val="0"/>
                <w:numId w:val="0"/>
              </w:numPr>
              <w:rPr>
                <w:rFonts w:cs="Arial"/>
                <w:szCs w:val="22"/>
              </w:rPr>
            </w:pPr>
            <w:r w:rsidRPr="00770D34">
              <w:rPr>
                <w:rFonts w:cs="Arial"/>
                <w:szCs w:val="22"/>
              </w:rPr>
              <w:t>Conforme definiç</w:t>
            </w:r>
            <w:r>
              <w:rPr>
                <w:rFonts w:cs="Arial"/>
                <w:szCs w:val="22"/>
              </w:rPr>
              <w:t>ão const</w:t>
            </w:r>
            <w:r w:rsidRPr="00770D34">
              <w:rPr>
                <w:rFonts w:cs="Arial"/>
                <w:szCs w:val="22"/>
              </w:rPr>
              <w:t>a</w:t>
            </w:r>
            <w:r>
              <w:rPr>
                <w:rFonts w:cs="Arial"/>
                <w:szCs w:val="22"/>
              </w:rPr>
              <w:t>n</w:t>
            </w:r>
            <w:r w:rsidRPr="00770D34">
              <w:rPr>
                <w:rFonts w:cs="Arial"/>
                <w:szCs w:val="22"/>
              </w:rPr>
              <w:t>te na Resolução da ANP que aprova os regulamentos técnicos do Plano de Desenvolvimento.</w:t>
            </w:r>
          </w:p>
        </w:tc>
        <w:tc>
          <w:tcPr>
            <w:tcW w:w="2126" w:type="pct"/>
            <w:vAlign w:val="center"/>
          </w:tcPr>
          <w:p w14:paraId="2B72FB6E" w14:textId="6B7B9FFA" w:rsidR="00C73EAE" w:rsidRPr="00170FDC" w:rsidRDefault="00770D34" w:rsidP="00E061A4">
            <w:pPr>
              <w:pStyle w:val="Legenda"/>
              <w:jc w:val="both"/>
              <w:rPr>
                <w:rFonts w:cs="Arial"/>
                <w:color w:val="000000" w:themeColor="text1"/>
                <w:sz w:val="22"/>
                <w:szCs w:val="22"/>
              </w:rPr>
            </w:pPr>
            <w:r>
              <w:rPr>
                <w:rFonts w:cs="Arial"/>
                <w:color w:val="000000" w:themeColor="text1"/>
                <w:sz w:val="22"/>
                <w:szCs w:val="22"/>
              </w:rPr>
              <w:t>Consta na Agenda Regulatória da ANP que a Resolução 17/2015 será revisada, portanto, sugerimos que a definição conste apenas na Resolução assim evitando eventuais inconsistências.</w:t>
            </w:r>
          </w:p>
        </w:tc>
      </w:tr>
      <w:tr w:rsidR="00C73EAE" w:rsidRPr="00170FDC" w14:paraId="67A66585" w14:textId="77777777" w:rsidTr="0003097F">
        <w:trPr>
          <w:trHeight w:val="2268"/>
        </w:trPr>
        <w:tc>
          <w:tcPr>
            <w:tcW w:w="553" w:type="pct"/>
            <w:vAlign w:val="center"/>
          </w:tcPr>
          <w:p w14:paraId="103655A1"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F7FB7D1" w14:textId="77777777" w:rsidR="00C73EAE" w:rsidRPr="006E166E" w:rsidRDefault="00C73EA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31BB747D"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1.2.7</w:t>
            </w:r>
          </w:p>
        </w:tc>
        <w:tc>
          <w:tcPr>
            <w:tcW w:w="1386" w:type="pct"/>
            <w:vAlign w:val="center"/>
          </w:tcPr>
          <w:p w14:paraId="7F70B5A6" w14:textId="77777777" w:rsidR="00C73EAE" w:rsidRPr="00FC6168" w:rsidRDefault="00C73EAE" w:rsidP="00183142">
            <w:pPr>
              <w:pStyle w:val="Contrato-Clausula-Nvel3"/>
              <w:numPr>
                <w:ilvl w:val="0"/>
                <w:numId w:val="0"/>
              </w:numPr>
            </w:pPr>
            <w:r w:rsidRPr="00FC6168">
              <w:rPr>
                <w:rFonts w:cs="Arial"/>
                <w:color w:val="000000" w:themeColor="text1"/>
                <w:szCs w:val="24"/>
              </w:rPr>
              <w:t>Cessão: transferência, total ou parcial, da titularidade de direitos e obrigações decorrentes do Contrato; a fusão, cisão e incorporação, quando a reorganização societária resultar em mudança do Contratado;</w:t>
            </w:r>
          </w:p>
        </w:tc>
        <w:tc>
          <w:tcPr>
            <w:tcW w:w="2126" w:type="pct"/>
            <w:vAlign w:val="center"/>
          </w:tcPr>
          <w:p w14:paraId="21F5A422" w14:textId="77777777" w:rsidR="00C73EAE" w:rsidRPr="00FC6168" w:rsidRDefault="00C73EAE" w:rsidP="00E061A4">
            <w:pPr>
              <w:pStyle w:val="Contrato-Clausula-Nvel3"/>
              <w:numPr>
                <w:ilvl w:val="0"/>
                <w:numId w:val="0"/>
              </w:numPr>
            </w:pPr>
            <w:r w:rsidRPr="00FC6168">
              <w:rPr>
                <w:rFonts w:cs="Arial"/>
                <w:color w:val="000000" w:themeColor="text1"/>
                <w:szCs w:val="24"/>
              </w:rPr>
              <w:t>A mera modificação do Operador, sem a alteração das participações indivisas, não deveria ser considerada como Cessão. Desse modo, vislumbra-se a simplificação e desburocratização do processo (ex: necessidade de submissão ao CADE).</w:t>
            </w:r>
          </w:p>
        </w:tc>
      </w:tr>
      <w:tr w:rsidR="00C73EAE" w:rsidRPr="00177029" w14:paraId="4EA199D3" w14:textId="77777777" w:rsidTr="0003097F">
        <w:trPr>
          <w:trHeight w:val="2268"/>
        </w:trPr>
        <w:tc>
          <w:tcPr>
            <w:tcW w:w="553" w:type="pct"/>
            <w:vAlign w:val="center"/>
          </w:tcPr>
          <w:p w14:paraId="06E31E54" w14:textId="77777777" w:rsidR="00C73EAE" w:rsidRPr="00177029" w:rsidRDefault="00C73EAE" w:rsidP="00C73EAE">
            <w:pPr>
              <w:pStyle w:val="Legenda"/>
              <w:jc w:val="center"/>
              <w:rPr>
                <w:rFonts w:cs="Arial"/>
                <w:color w:val="000000" w:themeColor="text1"/>
                <w:sz w:val="22"/>
                <w:szCs w:val="22"/>
              </w:rPr>
            </w:pPr>
            <w:r w:rsidRPr="00177029">
              <w:rPr>
                <w:rFonts w:cs="Arial"/>
                <w:color w:val="000000" w:themeColor="text1"/>
                <w:sz w:val="22"/>
                <w:szCs w:val="22"/>
              </w:rPr>
              <w:t>Contrato</w:t>
            </w:r>
          </w:p>
        </w:tc>
        <w:tc>
          <w:tcPr>
            <w:tcW w:w="441" w:type="pct"/>
            <w:vAlign w:val="center"/>
          </w:tcPr>
          <w:p w14:paraId="520F26B4" w14:textId="77777777" w:rsidR="00C73EAE" w:rsidRPr="00177029" w:rsidRDefault="00C73EAE" w:rsidP="00C73EAE">
            <w:pPr>
              <w:pStyle w:val="Legenda"/>
              <w:jc w:val="center"/>
              <w:rPr>
                <w:rFonts w:cs="Arial"/>
                <w:sz w:val="22"/>
                <w:szCs w:val="22"/>
              </w:rPr>
            </w:pPr>
            <w:r w:rsidRPr="00177029">
              <w:rPr>
                <w:rFonts w:cs="Arial"/>
                <w:sz w:val="22"/>
                <w:szCs w:val="22"/>
              </w:rPr>
              <w:t>Inclusão</w:t>
            </w:r>
          </w:p>
        </w:tc>
        <w:tc>
          <w:tcPr>
            <w:tcW w:w="494" w:type="pct"/>
            <w:vAlign w:val="center"/>
          </w:tcPr>
          <w:p w14:paraId="2A4C9BFA" w14:textId="77777777" w:rsidR="00C73EAE" w:rsidRPr="00177029" w:rsidRDefault="00C73EAE" w:rsidP="00183142">
            <w:pPr>
              <w:pStyle w:val="Legenda"/>
              <w:jc w:val="center"/>
              <w:rPr>
                <w:rFonts w:cs="Arial"/>
                <w:sz w:val="22"/>
                <w:szCs w:val="22"/>
              </w:rPr>
            </w:pPr>
            <w:r w:rsidRPr="00177029">
              <w:rPr>
                <w:rFonts w:cs="Arial"/>
                <w:sz w:val="22"/>
                <w:szCs w:val="22"/>
              </w:rPr>
              <w:t>1.2.16</w:t>
            </w:r>
          </w:p>
        </w:tc>
        <w:tc>
          <w:tcPr>
            <w:tcW w:w="1386" w:type="pct"/>
            <w:vAlign w:val="center"/>
          </w:tcPr>
          <w:p w14:paraId="58089325" w14:textId="77777777" w:rsidR="00C73EAE" w:rsidRPr="00177029" w:rsidDel="00AF4620" w:rsidRDefault="00C73EAE" w:rsidP="00183142">
            <w:pPr>
              <w:pStyle w:val="Contrato-Clausula-Nvel3"/>
              <w:numPr>
                <w:ilvl w:val="0"/>
                <w:numId w:val="0"/>
              </w:numPr>
              <w:ind w:left="21"/>
              <w:rPr>
                <w:rFonts w:cs="Arial"/>
                <w:szCs w:val="22"/>
              </w:rPr>
            </w:pPr>
            <w:r w:rsidRPr="00177029">
              <w:rPr>
                <w:szCs w:val="22"/>
              </w:rPr>
              <w:t>Empresa Brasileira: Organização econômica, devidamente registrada na Junta Comercial ou no Registro Civil das Pessoas Jurídicas, instituída para a produção ou a circulação de bens ou de serviços, com finalidade lucrativa, constituída sob as leis brasileiras e com sede de sua administração no Brasil. (Art. 60, DL 2.627/40 e Art. 1.126, Lei Nº 10.406/2002). (conforme regulamento ANP 3/2015)</w:t>
            </w:r>
          </w:p>
        </w:tc>
        <w:tc>
          <w:tcPr>
            <w:tcW w:w="2126" w:type="pct"/>
            <w:vAlign w:val="center"/>
          </w:tcPr>
          <w:p w14:paraId="5C01DDAA" w14:textId="77777777" w:rsidR="00C73EAE" w:rsidRPr="00177029" w:rsidRDefault="00C73EAE" w:rsidP="00E061A4">
            <w:pPr>
              <w:pStyle w:val="Legenda"/>
              <w:jc w:val="both"/>
              <w:rPr>
                <w:rFonts w:cs="Arial"/>
                <w:color w:val="000000" w:themeColor="text1"/>
                <w:sz w:val="22"/>
                <w:szCs w:val="22"/>
              </w:rPr>
            </w:pPr>
            <w:r w:rsidRPr="00177029">
              <w:rPr>
                <w:sz w:val="22"/>
                <w:szCs w:val="22"/>
              </w:rPr>
              <w:t xml:space="preserve">Alterações propostas no texto da cláusula vigésima quarta requerem a inclusão de nova definição. </w:t>
            </w:r>
          </w:p>
        </w:tc>
      </w:tr>
      <w:tr w:rsidR="00C73EAE" w:rsidRPr="00170FDC" w14:paraId="3F174D19" w14:textId="77777777" w:rsidTr="0003097F">
        <w:trPr>
          <w:trHeight w:val="2268"/>
        </w:trPr>
        <w:tc>
          <w:tcPr>
            <w:tcW w:w="553" w:type="pct"/>
            <w:vAlign w:val="center"/>
          </w:tcPr>
          <w:p w14:paraId="3E1873D0"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4B1FBC4B" w14:textId="77777777" w:rsidR="00C73EAE" w:rsidRPr="006E166E" w:rsidRDefault="00C73EA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B8758E6"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1.2.26</w:t>
            </w:r>
          </w:p>
        </w:tc>
        <w:tc>
          <w:tcPr>
            <w:tcW w:w="1386" w:type="pct"/>
            <w:vAlign w:val="center"/>
          </w:tcPr>
          <w:p w14:paraId="17D2BF75" w14:textId="25E65C3E" w:rsidR="00C73EAE" w:rsidRPr="00E061A4" w:rsidRDefault="00C73EAE" w:rsidP="00183142">
            <w:pPr>
              <w:pStyle w:val="Contrato-Clausula-Nvel3"/>
              <w:numPr>
                <w:ilvl w:val="0"/>
                <w:numId w:val="0"/>
              </w:numPr>
              <w:ind w:left="44"/>
              <w:rPr>
                <w:rFonts w:cs="Arial"/>
                <w:szCs w:val="22"/>
              </w:rPr>
            </w:pPr>
            <w:r w:rsidRPr="00E061A4">
              <w:rPr>
                <w:rFonts w:cs="Arial"/>
                <w:szCs w:val="22"/>
              </w:rPr>
              <w:t>Melhores Práticas da Indústria do Petróleo</w:t>
            </w:r>
            <w:r w:rsidR="00E061A4">
              <w:rPr>
                <w:rFonts w:cs="Arial"/>
                <w:szCs w:val="22"/>
              </w:rPr>
              <w:t xml:space="preserve">: </w:t>
            </w:r>
            <w:r w:rsidRPr="00170FDC">
              <w:rPr>
                <w:rFonts w:cs="Arial"/>
                <w:szCs w:val="22"/>
              </w:rPr>
              <w:t>práticas e procedimentos geralmente empregados na Indústria de Petróleo em todo o mundo, por  Operadores prudentes e diligentes, sob condições e circunstâncias semelhantes àquelas experimentadas relativamente a aspecto ou aspectos relevantes das Operações, visando principalmente à garantia de: (a) aplicação das melhores técnicas e procedimentos mundialmente vigentes nas atividades de Exploração e Produção; (b) conservação de recursos petrolíferos e ga</w:t>
            </w:r>
            <w:r w:rsidR="00177029">
              <w:rPr>
                <w:rFonts w:cs="Arial"/>
                <w:szCs w:val="22"/>
              </w:rPr>
              <w:t>s</w:t>
            </w:r>
            <w:r w:rsidRPr="00170FDC">
              <w:rPr>
                <w:rFonts w:cs="Arial"/>
                <w:szCs w:val="22"/>
              </w:rPr>
              <w:t xml:space="preserve">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(c) segurança operacional, o que impõe o emprego de métodos e processos que assegurem a segurança das Operações, contribuindo para a prevenção de incidentes; (d) preservação do meio ambiente e respeito às populações, o que determina a adoção de tecnologias e procedimentos associados à prevenção e à mitigação de danos ambientais, bem como ao controle e ao monitoramento ambiental das </w:t>
            </w:r>
            <w:r w:rsidRPr="00170FDC">
              <w:rPr>
                <w:rFonts w:cs="Arial"/>
                <w:szCs w:val="22"/>
              </w:rPr>
              <w:lastRenderedPageBreak/>
              <w:t>Operações de Exploração e Prod</w:t>
            </w:r>
            <w:r w:rsidR="00E061A4">
              <w:rPr>
                <w:rFonts w:cs="Arial"/>
                <w:szCs w:val="22"/>
              </w:rPr>
              <w:t>ução de Petróleo e Gás Natural.</w:t>
            </w:r>
          </w:p>
        </w:tc>
        <w:tc>
          <w:tcPr>
            <w:tcW w:w="2126" w:type="pct"/>
            <w:vAlign w:val="center"/>
          </w:tcPr>
          <w:p w14:paraId="0B07A37B" w14:textId="77777777" w:rsidR="00C73EAE" w:rsidRPr="00170FDC" w:rsidRDefault="00C73EAE" w:rsidP="00E061A4">
            <w:pPr>
              <w:pStyle w:val="Legenda"/>
              <w:jc w:val="both"/>
              <w:rPr>
                <w:rFonts w:cs="Arial"/>
                <w:color w:val="000000" w:themeColor="text1"/>
                <w:sz w:val="22"/>
                <w:szCs w:val="22"/>
              </w:rPr>
            </w:pPr>
            <w:r w:rsidRPr="00170FDC">
              <w:rPr>
                <w:rFonts w:cs="Arial"/>
                <w:sz w:val="22"/>
                <w:szCs w:val="22"/>
              </w:rPr>
              <w:lastRenderedPageBreak/>
              <w:t>A definição constante das minutas dos contratos de concessão da 11ª e 12ª Rodada de Licitações, está menos sujeita à interpretações subjetivas, gerando, por conseguinte, menor insegurança jurídica para o concessionário. Inobstante, mantiveram-se as referências aos conceitos e garantias emanadas da Lei 9.478/97 e suas respectivas modificações.</w:t>
            </w:r>
          </w:p>
        </w:tc>
      </w:tr>
      <w:tr w:rsidR="00C73EAE" w:rsidRPr="00170FDC" w14:paraId="1976101B" w14:textId="77777777" w:rsidTr="0003097F">
        <w:trPr>
          <w:trHeight w:val="2268"/>
        </w:trPr>
        <w:tc>
          <w:tcPr>
            <w:tcW w:w="553" w:type="pct"/>
            <w:vAlign w:val="center"/>
          </w:tcPr>
          <w:p w14:paraId="7BF58062" w14:textId="77777777" w:rsidR="00C73EAE" w:rsidRPr="00A25FC5" w:rsidRDefault="00C73EAE" w:rsidP="00C73EAE">
            <w:pPr>
              <w:pStyle w:val="Legenda"/>
              <w:jc w:val="center"/>
              <w:rPr>
                <w:rFonts w:cs="Arial"/>
                <w:color w:val="000000" w:themeColor="text1"/>
                <w:sz w:val="22"/>
                <w:szCs w:val="22"/>
              </w:rPr>
            </w:pPr>
            <w:r w:rsidRPr="00A25FC5">
              <w:rPr>
                <w:rFonts w:cs="Arial"/>
                <w:color w:val="000000" w:themeColor="text1"/>
                <w:sz w:val="22"/>
                <w:szCs w:val="22"/>
              </w:rPr>
              <w:t>Contrato</w:t>
            </w:r>
          </w:p>
        </w:tc>
        <w:tc>
          <w:tcPr>
            <w:tcW w:w="441" w:type="pct"/>
            <w:vAlign w:val="center"/>
          </w:tcPr>
          <w:p w14:paraId="144B3AAC" w14:textId="77777777" w:rsidR="00C73EAE" w:rsidRPr="00A25FC5" w:rsidRDefault="00C73EAE" w:rsidP="00C73EAE">
            <w:pPr>
              <w:pStyle w:val="Legenda"/>
              <w:jc w:val="center"/>
              <w:rPr>
                <w:rFonts w:cs="Arial"/>
                <w:color w:val="000000" w:themeColor="text1"/>
                <w:sz w:val="22"/>
                <w:szCs w:val="22"/>
              </w:rPr>
            </w:pPr>
            <w:r w:rsidRPr="00A25FC5">
              <w:rPr>
                <w:rFonts w:cs="Arial"/>
                <w:color w:val="000000" w:themeColor="text1"/>
                <w:sz w:val="22"/>
                <w:szCs w:val="22"/>
              </w:rPr>
              <w:t>Inclusão</w:t>
            </w:r>
          </w:p>
        </w:tc>
        <w:tc>
          <w:tcPr>
            <w:tcW w:w="494" w:type="pct"/>
            <w:vAlign w:val="center"/>
          </w:tcPr>
          <w:p w14:paraId="251690C2"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1.2.40</w:t>
            </w:r>
          </w:p>
        </w:tc>
        <w:tc>
          <w:tcPr>
            <w:tcW w:w="1386" w:type="pct"/>
            <w:vAlign w:val="center"/>
          </w:tcPr>
          <w:p w14:paraId="66018806" w14:textId="77777777" w:rsidR="00C73EAE" w:rsidRPr="00A25FC5" w:rsidRDefault="00C73EAE" w:rsidP="00183142">
            <w:pPr>
              <w:pStyle w:val="Textodecomentrio"/>
              <w:ind w:left="156"/>
              <w:jc w:val="both"/>
              <w:rPr>
                <w:rFonts w:cs="Arial"/>
                <w:sz w:val="22"/>
                <w:szCs w:val="22"/>
              </w:rPr>
            </w:pPr>
            <w:r w:rsidRPr="00A25FC5">
              <w:rPr>
                <w:rFonts w:cs="Arial"/>
                <w:sz w:val="22"/>
                <w:szCs w:val="22"/>
              </w:rPr>
              <w:t>Receita Bruta mensal = (VPFpetróleo x Ppetróleo) + (VPFgás x Pgás)</w:t>
            </w:r>
          </w:p>
          <w:p w14:paraId="63CC3474" w14:textId="07681E7D" w:rsidR="00C73EAE" w:rsidRPr="00A25FC5" w:rsidRDefault="00C73EAE" w:rsidP="00183142">
            <w:pPr>
              <w:pStyle w:val="Textodecomentrio"/>
              <w:ind w:left="156"/>
              <w:jc w:val="both"/>
              <w:rPr>
                <w:rFonts w:cs="Arial"/>
                <w:sz w:val="22"/>
                <w:szCs w:val="22"/>
              </w:rPr>
            </w:pPr>
            <w:r w:rsidRPr="00A25FC5">
              <w:rPr>
                <w:rFonts w:cs="Arial"/>
                <w:sz w:val="22"/>
                <w:szCs w:val="22"/>
              </w:rPr>
              <w:t>Onde:</w:t>
            </w:r>
          </w:p>
          <w:p w14:paraId="2C054406" w14:textId="406650FD" w:rsidR="00C73EAE" w:rsidRPr="00A25FC5" w:rsidRDefault="00C73EAE" w:rsidP="00183142">
            <w:pPr>
              <w:pStyle w:val="Textodecomentrio"/>
              <w:ind w:left="156"/>
              <w:jc w:val="both"/>
              <w:rPr>
                <w:rFonts w:cs="Arial"/>
                <w:sz w:val="22"/>
                <w:szCs w:val="22"/>
              </w:rPr>
            </w:pPr>
            <w:r w:rsidRPr="00A25FC5">
              <w:rPr>
                <w:rFonts w:cs="Arial"/>
                <w:sz w:val="22"/>
                <w:szCs w:val="22"/>
              </w:rPr>
              <w:t>VPFpetróleo: volume de produção fiscalizada de petróleo, em m3 ;</w:t>
            </w:r>
          </w:p>
          <w:p w14:paraId="610F53A6" w14:textId="303DE0DD" w:rsidR="00C73EAE" w:rsidRPr="00A25FC5" w:rsidRDefault="00C73EAE" w:rsidP="00183142">
            <w:pPr>
              <w:pStyle w:val="Textodecomentrio"/>
              <w:ind w:left="156"/>
              <w:jc w:val="both"/>
              <w:rPr>
                <w:rFonts w:cs="Arial"/>
                <w:sz w:val="22"/>
                <w:szCs w:val="22"/>
              </w:rPr>
            </w:pPr>
            <w:r w:rsidRPr="00A25FC5">
              <w:rPr>
                <w:rFonts w:cs="Arial"/>
                <w:sz w:val="22"/>
                <w:szCs w:val="22"/>
              </w:rPr>
              <w:t>Ppetróleo: preço de referência do petróleo, em R$/m3 ; VPFgás: volume de produção fiscalizada de gás natural, em m3 ;</w:t>
            </w:r>
          </w:p>
          <w:p w14:paraId="2408ED5C" w14:textId="77777777" w:rsidR="00C73EAE" w:rsidRPr="00A25FC5" w:rsidRDefault="00C73EAE" w:rsidP="00183142">
            <w:pPr>
              <w:pStyle w:val="Contrato-Clausula-Nvel3"/>
              <w:numPr>
                <w:ilvl w:val="0"/>
                <w:numId w:val="0"/>
              </w:numPr>
              <w:rPr>
                <w:rFonts w:cs="Arial"/>
                <w:b/>
                <w:szCs w:val="22"/>
              </w:rPr>
            </w:pPr>
            <w:r w:rsidRPr="00A25FC5">
              <w:rPr>
                <w:rFonts w:cs="Arial"/>
                <w:szCs w:val="22"/>
              </w:rPr>
              <w:t>Pgás: preço de referência do gás natural, em R$/m</w:t>
            </w:r>
          </w:p>
        </w:tc>
        <w:tc>
          <w:tcPr>
            <w:tcW w:w="2126" w:type="pct"/>
            <w:vAlign w:val="center"/>
          </w:tcPr>
          <w:p w14:paraId="0586A509" w14:textId="77777777" w:rsidR="00C73EAE" w:rsidRPr="00A25FC5" w:rsidRDefault="00C73EAE" w:rsidP="00E061A4">
            <w:pPr>
              <w:pStyle w:val="Legenda"/>
              <w:jc w:val="both"/>
              <w:rPr>
                <w:rFonts w:cs="Arial"/>
                <w:sz w:val="22"/>
                <w:szCs w:val="22"/>
              </w:rPr>
            </w:pPr>
            <w:r w:rsidRPr="00A25FC5">
              <w:rPr>
                <w:sz w:val="22"/>
                <w:szCs w:val="22"/>
              </w:rPr>
              <w:t>No texto da cláusula vigésima quarta existem itens em caixa alta que não constam na cláusula primeira de definições.</w:t>
            </w:r>
          </w:p>
        </w:tc>
      </w:tr>
      <w:tr w:rsidR="00C73EAE" w:rsidRPr="00170FDC" w14:paraId="599AE5BD" w14:textId="77777777" w:rsidTr="0003097F">
        <w:trPr>
          <w:trHeight w:val="2268"/>
        </w:trPr>
        <w:tc>
          <w:tcPr>
            <w:tcW w:w="553" w:type="pct"/>
            <w:vAlign w:val="center"/>
          </w:tcPr>
          <w:p w14:paraId="61549A5F"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5B3220E"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42E2A02"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1.2.45</w:t>
            </w:r>
          </w:p>
        </w:tc>
        <w:tc>
          <w:tcPr>
            <w:tcW w:w="1386" w:type="pct"/>
            <w:vAlign w:val="center"/>
          </w:tcPr>
          <w:p w14:paraId="3A0E6E09" w14:textId="50E847CA" w:rsidR="00C73EAE" w:rsidRPr="00170FDC" w:rsidRDefault="00C73EAE" w:rsidP="00183142">
            <w:pPr>
              <w:pStyle w:val="Contrato-Clausula-Nvel3"/>
              <w:numPr>
                <w:ilvl w:val="0"/>
                <w:numId w:val="0"/>
              </w:numPr>
              <w:rPr>
                <w:rFonts w:cs="Arial"/>
                <w:color w:val="000000" w:themeColor="text1"/>
                <w:szCs w:val="22"/>
              </w:rPr>
            </w:pPr>
            <w:r w:rsidRPr="00E061A4">
              <w:rPr>
                <w:rFonts w:cs="Arial"/>
                <w:szCs w:val="22"/>
              </w:rPr>
              <w:t>Relatório Final de Avaliação de Descoberta:</w:t>
            </w:r>
            <w:r w:rsidRPr="00170FDC">
              <w:rPr>
                <w:rFonts w:cs="Arial"/>
                <w:szCs w:val="22"/>
              </w:rPr>
              <w:t xml:space="preserve"> documento preparado e apresentado pelo Concessionário à ANP qual se descreve o conjunto das Operações empregadas para a Avaliação de Descoberta de Petróleo e/ou Gás Natural, os resultados desta Avaliação e, eventualmente, a área que o Concessionário pretende reter para Desenvolvimento</w:t>
            </w:r>
          </w:p>
        </w:tc>
        <w:tc>
          <w:tcPr>
            <w:tcW w:w="2126" w:type="pct"/>
            <w:vAlign w:val="center"/>
          </w:tcPr>
          <w:p w14:paraId="56A02AE8" w14:textId="77777777" w:rsidR="00C73EAE" w:rsidRPr="00170FDC" w:rsidRDefault="00C73EAE" w:rsidP="00E061A4">
            <w:pPr>
              <w:pStyle w:val="Legenda"/>
              <w:jc w:val="both"/>
              <w:rPr>
                <w:rFonts w:cs="Arial"/>
                <w:color w:val="000000" w:themeColor="text1"/>
                <w:sz w:val="22"/>
                <w:szCs w:val="22"/>
              </w:rPr>
            </w:pPr>
            <w:r w:rsidRPr="00170FDC">
              <w:rPr>
                <w:rFonts w:cs="Arial"/>
                <w:sz w:val="22"/>
                <w:szCs w:val="22"/>
              </w:rPr>
              <w:t>A declaração de comercialidade é um ato unilateral do concessionário e sua efetividade não deve ser condicionada à aprovação do relatório final de avaliação de descoberta.</w:t>
            </w:r>
          </w:p>
        </w:tc>
      </w:tr>
      <w:tr w:rsidR="00C73EAE" w:rsidRPr="00170FDC" w14:paraId="330503C8" w14:textId="77777777" w:rsidTr="0003097F">
        <w:trPr>
          <w:trHeight w:val="2268"/>
        </w:trPr>
        <w:tc>
          <w:tcPr>
            <w:tcW w:w="553" w:type="pct"/>
            <w:vAlign w:val="center"/>
          </w:tcPr>
          <w:p w14:paraId="1FAD31FD"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5263697C"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AD2AB30"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2.3</w:t>
            </w:r>
          </w:p>
        </w:tc>
        <w:tc>
          <w:tcPr>
            <w:tcW w:w="1386" w:type="pct"/>
            <w:vAlign w:val="center"/>
          </w:tcPr>
          <w:p w14:paraId="0EFE34EB" w14:textId="77777777" w:rsidR="00C73EAE" w:rsidRPr="00170FDC" w:rsidRDefault="00C73EAE" w:rsidP="00183142">
            <w:pPr>
              <w:pStyle w:val="Contrato-Clausula-Nvel2"/>
              <w:numPr>
                <w:ilvl w:val="0"/>
                <w:numId w:val="0"/>
              </w:numPr>
              <w:ind w:left="44"/>
              <w:rPr>
                <w:rFonts w:cs="Arial"/>
                <w:szCs w:val="22"/>
              </w:rPr>
            </w:pPr>
            <w:r w:rsidRPr="00170FDC">
              <w:rPr>
                <w:rFonts w:cs="Arial"/>
                <w:szCs w:val="22"/>
              </w:rPr>
              <w:t>O Concessionário deverá suportar todos os prejuízos em que venha a incorrer, que afetem a Exploração e Produção de Petróleo e Gás Natural na Área de Concessão.</w:t>
            </w:r>
          </w:p>
          <w:p w14:paraId="4940E51A" w14:textId="77777777" w:rsidR="00C73EAE" w:rsidRPr="00170FDC" w:rsidRDefault="00C73EAE" w:rsidP="00183142">
            <w:pPr>
              <w:pStyle w:val="Legenda"/>
              <w:jc w:val="both"/>
              <w:rPr>
                <w:rFonts w:cs="Arial"/>
                <w:color w:val="000000" w:themeColor="text1"/>
                <w:sz w:val="22"/>
                <w:szCs w:val="22"/>
              </w:rPr>
            </w:pPr>
          </w:p>
        </w:tc>
        <w:tc>
          <w:tcPr>
            <w:tcW w:w="2126" w:type="pct"/>
            <w:vAlign w:val="center"/>
          </w:tcPr>
          <w:p w14:paraId="59A1E618" w14:textId="77777777" w:rsidR="00C73EAE" w:rsidRPr="00170FDC" w:rsidRDefault="00C73EAE" w:rsidP="00E061A4">
            <w:pPr>
              <w:pStyle w:val="Legenda"/>
              <w:jc w:val="both"/>
              <w:rPr>
                <w:rFonts w:cs="Arial"/>
                <w:color w:val="000000" w:themeColor="text1"/>
                <w:sz w:val="22"/>
                <w:szCs w:val="22"/>
              </w:rPr>
            </w:pPr>
            <w:r w:rsidRPr="00170FDC">
              <w:rPr>
                <w:rFonts w:cs="Arial"/>
                <w:sz w:val="22"/>
                <w:szCs w:val="22"/>
              </w:rPr>
              <w:t>O texto retirado Implicaria em responsabilidade civil por risco integral.</w:t>
            </w:r>
          </w:p>
        </w:tc>
      </w:tr>
      <w:tr w:rsidR="00C73EAE" w:rsidRPr="00170FDC" w14:paraId="22914C98" w14:textId="77777777" w:rsidTr="0003097F">
        <w:trPr>
          <w:trHeight w:val="2268"/>
        </w:trPr>
        <w:tc>
          <w:tcPr>
            <w:tcW w:w="553" w:type="pct"/>
            <w:vAlign w:val="center"/>
          </w:tcPr>
          <w:p w14:paraId="626EDA0F"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1B05973"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5646F1C"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2.5</w:t>
            </w:r>
          </w:p>
        </w:tc>
        <w:tc>
          <w:tcPr>
            <w:tcW w:w="1386" w:type="pct"/>
            <w:vAlign w:val="center"/>
          </w:tcPr>
          <w:p w14:paraId="29077950" w14:textId="77777777" w:rsidR="00C73EAE" w:rsidRPr="00170FDC" w:rsidRDefault="00C73EAE" w:rsidP="00183142">
            <w:pPr>
              <w:pStyle w:val="Legenda"/>
              <w:jc w:val="both"/>
              <w:rPr>
                <w:rFonts w:cs="Arial"/>
                <w:color w:val="000000" w:themeColor="text1"/>
                <w:sz w:val="22"/>
                <w:szCs w:val="22"/>
              </w:rPr>
            </w:pPr>
            <w:r w:rsidRPr="00170FDC">
              <w:rPr>
                <w:rFonts w:cs="Arial"/>
                <w:sz w:val="22"/>
                <w:szCs w:val="22"/>
              </w:rPr>
              <w:t>O Concessionário será o único responsável civilmente pelos seus próprios atos e os de seus prepostos e subcontratados, bem como pela reparação de quaisquer danos causados pelas Operações e sua execução, independentemente da existência de culpa excluídos os casos fortuitos e/ou de força maior, bem como acidentes ou eventos da natureza, nos termos da cláusula trigésima primeira.</w:t>
            </w:r>
          </w:p>
        </w:tc>
        <w:tc>
          <w:tcPr>
            <w:tcW w:w="2126" w:type="pct"/>
            <w:vAlign w:val="center"/>
          </w:tcPr>
          <w:p w14:paraId="1EC5BA85" w14:textId="5E35DFA9" w:rsidR="00C73EAE" w:rsidRPr="00170FDC" w:rsidRDefault="004C1DC2" w:rsidP="00E061A4">
            <w:pPr>
              <w:pStyle w:val="Legenda"/>
              <w:jc w:val="both"/>
              <w:rPr>
                <w:rFonts w:cs="Arial"/>
                <w:color w:val="000000" w:themeColor="text1"/>
                <w:sz w:val="22"/>
                <w:szCs w:val="22"/>
              </w:rPr>
            </w:pPr>
            <w:r>
              <w:rPr>
                <w:rFonts w:cs="Arial"/>
                <w:sz w:val="22"/>
                <w:szCs w:val="22"/>
              </w:rPr>
              <w:t>O texto agregado visa</w:t>
            </w:r>
            <w:r w:rsidR="00C73EAE" w:rsidRPr="00170FDC">
              <w:rPr>
                <w:rFonts w:cs="Arial"/>
                <w:sz w:val="22"/>
                <w:szCs w:val="22"/>
              </w:rPr>
              <w:t xml:space="preserve"> afastar a responsabilidade civil por risco integral. Além disso, o próprio Contrato já prevê, em consonância com a lei, hipóteses de exclusão de risco, como a Cláusula 31ª, razão pela qual estamos a fazer a presente ressalva em relação a danos causados pelas operações.</w:t>
            </w:r>
          </w:p>
        </w:tc>
      </w:tr>
      <w:tr w:rsidR="00C73EAE" w:rsidRPr="00170FDC" w14:paraId="440E54EB" w14:textId="77777777" w:rsidTr="0003097F">
        <w:trPr>
          <w:trHeight w:val="2268"/>
        </w:trPr>
        <w:tc>
          <w:tcPr>
            <w:tcW w:w="553" w:type="pct"/>
            <w:vAlign w:val="center"/>
          </w:tcPr>
          <w:p w14:paraId="322BECA6"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A227458"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6D63E37"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4.2</w:t>
            </w:r>
          </w:p>
        </w:tc>
        <w:tc>
          <w:tcPr>
            <w:tcW w:w="1386" w:type="pct"/>
            <w:vAlign w:val="center"/>
          </w:tcPr>
          <w:p w14:paraId="141DB38D" w14:textId="77777777" w:rsidR="00C73EAE" w:rsidRPr="00D65CDE" w:rsidRDefault="00C73EAE" w:rsidP="00183142">
            <w:pPr>
              <w:pStyle w:val="Legenda"/>
              <w:jc w:val="both"/>
              <w:rPr>
                <w:rFonts w:cs="Arial"/>
                <w:color w:val="000000" w:themeColor="text1"/>
                <w:sz w:val="22"/>
                <w:szCs w:val="22"/>
              </w:rPr>
            </w:pPr>
            <w:r w:rsidRPr="00D65CDE">
              <w:t>A vigência deste Contrato, corresponderá ao período decorrido desde a data de sua assinatura até o encerramento da Fase de Exploração, salvo se houver Declaração de Comercialidade de uma ou mais Descobertas, caso em que haverá um acréscimo de 35 (trinta e cinco) anos contado da Declaração de Comercialidade apresentada à ANP.</w:t>
            </w:r>
          </w:p>
        </w:tc>
        <w:tc>
          <w:tcPr>
            <w:tcW w:w="2126" w:type="pct"/>
            <w:vAlign w:val="center"/>
          </w:tcPr>
          <w:p w14:paraId="527DED88" w14:textId="77777777" w:rsidR="00C73EAE" w:rsidRPr="00D65CDE" w:rsidRDefault="00C73EAE" w:rsidP="00E061A4">
            <w:pPr>
              <w:pStyle w:val="Legenda"/>
              <w:jc w:val="both"/>
              <w:rPr>
                <w:rFonts w:cs="Arial"/>
                <w:color w:val="000000" w:themeColor="text1"/>
                <w:sz w:val="22"/>
                <w:szCs w:val="22"/>
              </w:rPr>
            </w:pPr>
            <w:r w:rsidRPr="00D65CDE">
              <w:t xml:space="preserve">Os campos da Rodada Zero demonstram que o </w:t>
            </w:r>
            <w:r>
              <w:t>prazo contratual</w:t>
            </w:r>
            <w:r w:rsidRPr="00D65CDE">
              <w:t xml:space="preserve"> </w:t>
            </w:r>
            <w:r>
              <w:t xml:space="preserve">de 27 anos </w:t>
            </w:r>
            <w:r w:rsidRPr="00D65CDE">
              <w:t xml:space="preserve">é </w:t>
            </w:r>
            <w:r>
              <w:t xml:space="preserve">não é adequado, razão pela qual ora se sugere um prazo de </w:t>
            </w:r>
            <w:r w:rsidRPr="00D65CDE">
              <w:t xml:space="preserve">35 anos. </w:t>
            </w:r>
            <w:r>
              <w:t xml:space="preserve">Há inclusive exemplos de </w:t>
            </w:r>
            <w:r w:rsidRPr="00D65CDE">
              <w:t xml:space="preserve">concessões </w:t>
            </w:r>
            <w:r>
              <w:t xml:space="preserve">de outros setores regulados (ex: setor elétrico </w:t>
            </w:r>
            <w:r w:rsidRPr="00D65CDE">
              <w:t xml:space="preserve">– </w:t>
            </w:r>
            <w:r>
              <w:t>L</w:t>
            </w:r>
            <w:r w:rsidRPr="00D65CDE">
              <w:t>ei 9074/97</w:t>
            </w:r>
            <w:r>
              <w:t>) que adotam o prazo contratual</w:t>
            </w:r>
            <w:r w:rsidRPr="00D65CDE">
              <w:t xml:space="preserve"> de 35 anos.</w:t>
            </w:r>
          </w:p>
        </w:tc>
      </w:tr>
      <w:tr w:rsidR="00C73EAE" w:rsidRPr="00170FDC" w14:paraId="48BAD431" w14:textId="77777777" w:rsidTr="0003097F">
        <w:trPr>
          <w:trHeight w:val="2268"/>
        </w:trPr>
        <w:tc>
          <w:tcPr>
            <w:tcW w:w="553" w:type="pct"/>
            <w:vAlign w:val="center"/>
          </w:tcPr>
          <w:p w14:paraId="74DCA564"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4FC1EE5B" w14:textId="77777777" w:rsidR="00C73EAE" w:rsidRPr="006E166E" w:rsidRDefault="00C73EA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5DE1EACE" w14:textId="10BE9172"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5.6.2</w:t>
            </w:r>
            <w:r w:rsidR="00EE32D1">
              <w:rPr>
                <w:rFonts w:cs="Arial"/>
                <w:color w:val="000000" w:themeColor="text1"/>
                <w:sz w:val="22"/>
                <w:szCs w:val="22"/>
              </w:rPr>
              <w:t>, “a”</w:t>
            </w:r>
          </w:p>
        </w:tc>
        <w:tc>
          <w:tcPr>
            <w:tcW w:w="1386" w:type="pct"/>
            <w:vAlign w:val="center"/>
          </w:tcPr>
          <w:p w14:paraId="3EF9C132" w14:textId="7A16F17D" w:rsidR="00C73EAE" w:rsidRPr="002B2B87" w:rsidRDefault="00C73EAE" w:rsidP="00183142">
            <w:pPr>
              <w:pStyle w:val="Contrato-Clausula-Nvel3"/>
              <w:numPr>
                <w:ilvl w:val="0"/>
                <w:numId w:val="0"/>
              </w:numPr>
            </w:pPr>
            <w:r w:rsidRPr="002B2B87">
              <w:rPr>
                <w:rFonts w:cs="Arial"/>
                <w:color w:val="000000" w:themeColor="text1"/>
                <w:szCs w:val="24"/>
              </w:rPr>
              <w:t>dado sísmico reprocessado deverá estar contido dentro da Área de Concessão, podendo, a critério da ANP, serem considerados dados reprocessados de áreas exteriores não contratadas adjacentes à área concedida, mediante justificativa técnica</w:t>
            </w:r>
          </w:p>
        </w:tc>
        <w:tc>
          <w:tcPr>
            <w:tcW w:w="2126" w:type="pct"/>
            <w:vAlign w:val="center"/>
          </w:tcPr>
          <w:p w14:paraId="0E756546" w14:textId="77777777" w:rsidR="00C73EAE" w:rsidRPr="002B2B87" w:rsidRDefault="00C73EAE" w:rsidP="00E061A4">
            <w:pPr>
              <w:pStyle w:val="Contrato-Clausula-Nvel3"/>
              <w:numPr>
                <w:ilvl w:val="0"/>
                <w:numId w:val="0"/>
              </w:numPr>
            </w:pPr>
            <w:r w:rsidRPr="002B2B87">
              <w:t>Visa a dar maior flexibilidade para a ANP especialmente em casos especiais que há potencial de unitização.</w:t>
            </w:r>
          </w:p>
        </w:tc>
      </w:tr>
      <w:tr w:rsidR="00C73EAE" w:rsidRPr="00170FDC" w14:paraId="70C6B082" w14:textId="77777777" w:rsidTr="0003097F">
        <w:trPr>
          <w:trHeight w:val="2268"/>
        </w:trPr>
        <w:tc>
          <w:tcPr>
            <w:tcW w:w="553" w:type="pct"/>
            <w:vAlign w:val="center"/>
          </w:tcPr>
          <w:p w14:paraId="426B4A9F"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91A820A"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8FB9006" w14:textId="2941188D" w:rsidR="00C73EAE" w:rsidRPr="008E44C8" w:rsidRDefault="00EE32D1" w:rsidP="00183142">
            <w:pPr>
              <w:pStyle w:val="Legenda"/>
              <w:jc w:val="center"/>
              <w:rPr>
                <w:rFonts w:cs="Arial"/>
                <w:color w:val="000000" w:themeColor="text1"/>
                <w:sz w:val="22"/>
                <w:szCs w:val="22"/>
              </w:rPr>
            </w:pPr>
            <w:r>
              <w:rPr>
                <w:rFonts w:cs="Arial"/>
                <w:color w:val="000000" w:themeColor="text1"/>
                <w:sz w:val="22"/>
                <w:szCs w:val="22"/>
              </w:rPr>
              <w:t>5.12</w:t>
            </w:r>
          </w:p>
        </w:tc>
        <w:tc>
          <w:tcPr>
            <w:tcW w:w="1386" w:type="pct"/>
            <w:vAlign w:val="center"/>
          </w:tcPr>
          <w:p w14:paraId="65D12093" w14:textId="77777777" w:rsidR="00C73EAE" w:rsidRPr="00170FDC" w:rsidRDefault="00C73EAE" w:rsidP="00183142">
            <w:pPr>
              <w:pStyle w:val="Contrato-Clausula-Nvel3"/>
              <w:numPr>
                <w:ilvl w:val="0"/>
                <w:numId w:val="0"/>
              </w:numPr>
              <w:rPr>
                <w:rFonts w:cs="Arial"/>
                <w:color w:val="000000" w:themeColor="text1"/>
                <w:szCs w:val="22"/>
              </w:rPr>
            </w:pPr>
            <w:r w:rsidRPr="001502F2">
              <w:t>O Concessionário poderá solicitar à ANP que o compromisso do Programa Exploratório possa ser aplicado em outra Concessão para a qual ele tiver obtido outorga no mesmo processo licitatório no caso de ter sido comprovada a ausência de prospectividade após as atividades já realizadas, desde que o somatório dos Programas Exploratórios Mínimos seja mantido. A ANP decidirá, a seu exclusivo critério, se tal aplicação será cabível frente aos dados e informações já disponibilizadas na área concedida, observadas as disposições do artigo 5.9.2 alíneas “a” e “c”.</w:t>
            </w:r>
          </w:p>
        </w:tc>
        <w:tc>
          <w:tcPr>
            <w:tcW w:w="2126" w:type="pct"/>
            <w:vAlign w:val="center"/>
          </w:tcPr>
          <w:p w14:paraId="22DBA4E9" w14:textId="77777777" w:rsidR="00C73EAE" w:rsidRPr="0020724E" w:rsidRDefault="00C73EAE" w:rsidP="00E061A4">
            <w:pPr>
              <w:pStyle w:val="Contrato-Clausula-Nvel3"/>
              <w:numPr>
                <w:ilvl w:val="0"/>
                <w:numId w:val="0"/>
              </w:numPr>
            </w:pPr>
            <w:r w:rsidRPr="0020724E">
              <w:t>Proposta visa otimizar investimentos totais e melhor aproveitamento dos recursos para identificação de potenciais petrolíferos.</w:t>
            </w:r>
          </w:p>
          <w:p w14:paraId="5F523BA2" w14:textId="77777777" w:rsidR="00C73EAE" w:rsidRPr="00170FDC" w:rsidRDefault="00C73EAE" w:rsidP="00E061A4">
            <w:pPr>
              <w:autoSpaceDE w:val="0"/>
              <w:autoSpaceDN w:val="0"/>
              <w:adjustRightInd w:val="0"/>
              <w:jc w:val="both"/>
              <w:rPr>
                <w:rFonts w:ascii="Arial" w:hAnsi="Arial" w:cs="Arial"/>
                <w:sz w:val="22"/>
                <w:szCs w:val="22"/>
              </w:rPr>
            </w:pPr>
          </w:p>
        </w:tc>
      </w:tr>
      <w:tr w:rsidR="00C73EAE" w:rsidRPr="00170FDC" w14:paraId="0270550F" w14:textId="77777777" w:rsidTr="0003097F">
        <w:trPr>
          <w:trHeight w:val="2268"/>
        </w:trPr>
        <w:tc>
          <w:tcPr>
            <w:tcW w:w="553" w:type="pct"/>
            <w:vAlign w:val="center"/>
          </w:tcPr>
          <w:p w14:paraId="5A7E8AD5"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3A0E874"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F028ED9"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5.17</w:t>
            </w:r>
          </w:p>
        </w:tc>
        <w:tc>
          <w:tcPr>
            <w:tcW w:w="1386" w:type="pct"/>
            <w:vAlign w:val="center"/>
          </w:tcPr>
          <w:p w14:paraId="702ED31A" w14:textId="1A18CDEE" w:rsidR="00C73EAE" w:rsidRPr="00135B78" w:rsidRDefault="004E5C45" w:rsidP="00183142">
            <w:pPr>
              <w:pStyle w:val="Contrato-Clausula-Nvel3"/>
              <w:numPr>
                <w:ilvl w:val="0"/>
                <w:numId w:val="0"/>
              </w:numPr>
            </w:pPr>
            <w:r>
              <w:t>A inexecução parcial ou integral</w:t>
            </w:r>
            <w:r w:rsidR="00C73EAE" w:rsidRPr="00345793">
              <w:t xml:space="preserve"> do Programa Exploratório Mínimo</w:t>
            </w:r>
            <w:r>
              <w:t xml:space="preserve"> ao término</w:t>
            </w:r>
            <w:r w:rsidR="00C73EAE">
              <w:t xml:space="preserve"> da Fase de Exploração</w:t>
            </w:r>
            <w:r w:rsidR="0099265E">
              <w:t>,</w:t>
            </w:r>
            <w:r w:rsidR="00C73EAE" w:rsidRPr="00345793">
              <w:t xml:space="preserve"> </w:t>
            </w:r>
            <w:r w:rsidR="00C73EAE" w:rsidRPr="001502F2">
              <w:rPr>
                <w:rFonts w:cs="Arial"/>
                <w:szCs w:val="22"/>
              </w:rPr>
              <w:t xml:space="preserve">sem a devida anuência da ANP e nos casos previstos neste Contrato, </w:t>
            </w:r>
            <w:r w:rsidR="00C73EAE" w:rsidRPr="00345793">
              <w:t xml:space="preserve">implica a extinção de pleno direito do Contrato, sem prejuízo da execução das garantias financeiras de atividades exploratórias e da </w:t>
            </w:r>
            <w:r w:rsidR="00C73EAE" w:rsidRPr="00345793">
              <w:lastRenderedPageBreak/>
              <w:t>aplicação de sanções cabíveis.</w:t>
            </w:r>
          </w:p>
        </w:tc>
        <w:tc>
          <w:tcPr>
            <w:tcW w:w="2126" w:type="pct"/>
            <w:vAlign w:val="center"/>
          </w:tcPr>
          <w:p w14:paraId="4F657618" w14:textId="77777777" w:rsidR="00C73EAE" w:rsidRPr="00170FDC" w:rsidRDefault="00C73EAE" w:rsidP="00E061A4">
            <w:pPr>
              <w:autoSpaceDE w:val="0"/>
              <w:autoSpaceDN w:val="0"/>
              <w:adjustRightInd w:val="0"/>
              <w:jc w:val="both"/>
              <w:rPr>
                <w:rFonts w:ascii="Arial" w:hAnsi="Arial" w:cs="Arial"/>
                <w:sz w:val="22"/>
                <w:szCs w:val="22"/>
              </w:rPr>
            </w:pPr>
            <w:r w:rsidRPr="007A77BA">
              <w:rPr>
                <w:rFonts w:ascii="TT15Ct00" w:hAnsi="TT15Ct00" w:cs="TT15Ct00"/>
                <w:sz w:val="22"/>
                <w:szCs w:val="22"/>
                <w:lang w:eastAsia="en-US"/>
              </w:rPr>
              <w:lastRenderedPageBreak/>
              <w:t>A proposta visa garantir a transparência do</w:t>
            </w:r>
            <w:r>
              <w:rPr>
                <w:rFonts w:ascii="TT15Ct00" w:hAnsi="TT15Ct00" w:cs="TT15Ct00"/>
                <w:sz w:val="22"/>
                <w:szCs w:val="22"/>
                <w:lang w:eastAsia="en-US"/>
              </w:rPr>
              <w:t xml:space="preserve"> </w:t>
            </w:r>
            <w:r w:rsidRPr="007A77BA">
              <w:rPr>
                <w:rFonts w:ascii="TT15Ct00" w:hAnsi="TT15Ct00" w:cs="TT15Ct00"/>
                <w:sz w:val="22"/>
                <w:szCs w:val="22"/>
                <w:lang w:eastAsia="en-US"/>
              </w:rPr>
              <w:t>processo, no sentido que a ANP deve dar conhecimento da inexecução do PEM ao Concessionário, antes de aplicar o instituto da extinção contratual, garantindo segurança jurídica ao Concessionário e equilíbrio na relação contratual</w:t>
            </w:r>
            <w:r w:rsidRPr="00B708CA">
              <w:rPr>
                <w:rFonts w:ascii="TT15Ct00" w:hAnsi="TT15Ct00" w:cs="TT15Ct00"/>
                <w:sz w:val="22"/>
                <w:szCs w:val="22"/>
                <w:lang w:eastAsia="en-US"/>
              </w:rPr>
              <w:t>.</w:t>
            </w:r>
          </w:p>
        </w:tc>
      </w:tr>
      <w:tr w:rsidR="00C73EAE" w:rsidRPr="00170FDC" w14:paraId="45EB593B" w14:textId="77777777" w:rsidTr="0003097F">
        <w:trPr>
          <w:trHeight w:val="2268"/>
        </w:trPr>
        <w:tc>
          <w:tcPr>
            <w:tcW w:w="553" w:type="pct"/>
            <w:vAlign w:val="center"/>
          </w:tcPr>
          <w:p w14:paraId="2A7BC7DD" w14:textId="77777777" w:rsidR="00C73EAE" w:rsidRPr="000D65BF" w:rsidRDefault="00C73EAE" w:rsidP="00C73EAE">
            <w:pPr>
              <w:pStyle w:val="Legenda"/>
              <w:jc w:val="center"/>
              <w:rPr>
                <w:rFonts w:cs="Arial"/>
                <w:color w:val="000000" w:themeColor="text1"/>
                <w:sz w:val="22"/>
                <w:szCs w:val="22"/>
              </w:rPr>
            </w:pPr>
            <w:r w:rsidRPr="000D65BF">
              <w:rPr>
                <w:rFonts w:cs="Arial"/>
                <w:color w:val="000000" w:themeColor="text1"/>
                <w:sz w:val="22"/>
                <w:szCs w:val="22"/>
              </w:rPr>
              <w:t>Contrato</w:t>
            </w:r>
          </w:p>
        </w:tc>
        <w:tc>
          <w:tcPr>
            <w:tcW w:w="441" w:type="pct"/>
            <w:vAlign w:val="center"/>
          </w:tcPr>
          <w:p w14:paraId="69AF3197" w14:textId="77777777" w:rsidR="00C73EAE" w:rsidRPr="000D65BF" w:rsidRDefault="00C73EAE" w:rsidP="00C73EAE">
            <w:pPr>
              <w:pStyle w:val="Legenda"/>
              <w:jc w:val="center"/>
              <w:rPr>
                <w:rFonts w:cs="Arial"/>
                <w:color w:val="000000" w:themeColor="text1"/>
                <w:sz w:val="22"/>
                <w:szCs w:val="22"/>
              </w:rPr>
            </w:pPr>
            <w:r w:rsidRPr="000D65BF">
              <w:rPr>
                <w:rFonts w:cs="Arial"/>
                <w:color w:val="000000" w:themeColor="text1"/>
                <w:sz w:val="22"/>
                <w:szCs w:val="22"/>
              </w:rPr>
              <w:t>Alteração</w:t>
            </w:r>
          </w:p>
        </w:tc>
        <w:tc>
          <w:tcPr>
            <w:tcW w:w="494" w:type="pct"/>
            <w:vAlign w:val="center"/>
          </w:tcPr>
          <w:p w14:paraId="010E6991"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5.17.1</w:t>
            </w:r>
          </w:p>
        </w:tc>
        <w:tc>
          <w:tcPr>
            <w:tcW w:w="1386" w:type="pct"/>
            <w:vAlign w:val="center"/>
          </w:tcPr>
          <w:p w14:paraId="20F48EE2" w14:textId="77777777" w:rsidR="00C73EAE" w:rsidRPr="000D65BF" w:rsidRDefault="00C73EAE" w:rsidP="00183142">
            <w:pPr>
              <w:pStyle w:val="Contrato-Clausula-Nvel3"/>
              <w:numPr>
                <w:ilvl w:val="0"/>
                <w:numId w:val="0"/>
              </w:numPr>
              <w:ind w:firstLine="17"/>
              <w:rPr>
                <w:rFonts w:cs="Arial"/>
                <w:szCs w:val="22"/>
              </w:rPr>
            </w:pPr>
            <w:r w:rsidRPr="000D65BF">
              <w:t>Os valores das atividades do Programa Exploratório Mínimo não executadas estão definidos em Unidades de Trabalho e são líquidas, podendo ser exigidos do concessionário ou do garantidor, sempre corrigidos anualmente pelo IGP-DI desde a data da sessão pública de apresentação de ofertas.</w:t>
            </w:r>
          </w:p>
        </w:tc>
        <w:tc>
          <w:tcPr>
            <w:tcW w:w="2126" w:type="pct"/>
            <w:vAlign w:val="center"/>
          </w:tcPr>
          <w:p w14:paraId="611A3836" w14:textId="272BF0E7" w:rsidR="00C73EAE" w:rsidRPr="00897DBB" w:rsidRDefault="00C73EAE" w:rsidP="00E061A4">
            <w:pPr>
              <w:autoSpaceDE w:val="0"/>
              <w:autoSpaceDN w:val="0"/>
              <w:adjustRightInd w:val="0"/>
              <w:jc w:val="both"/>
              <w:rPr>
                <w:rFonts w:ascii="Arial" w:hAnsi="Arial" w:cs="Arial"/>
                <w:color w:val="000000"/>
                <w:sz w:val="22"/>
                <w:szCs w:val="22"/>
                <w:highlight w:val="yellow"/>
              </w:rPr>
            </w:pPr>
            <w:r w:rsidRPr="00D65CDE">
              <w:rPr>
                <w:rFonts w:ascii="Arial" w:hAnsi="Arial" w:cs="Arial"/>
                <w:sz w:val="22"/>
                <w:szCs w:val="22"/>
              </w:rPr>
              <w:t>A proposta visa unificar a aplicação de um mesmo í</w:t>
            </w:r>
            <w:r w:rsidR="001D27D7">
              <w:rPr>
                <w:rFonts w:ascii="Arial" w:hAnsi="Arial" w:cs="Arial"/>
                <w:sz w:val="22"/>
                <w:szCs w:val="22"/>
              </w:rPr>
              <w:t>ndice de atualização monetária a</w:t>
            </w:r>
            <w:r w:rsidRPr="00D65CDE">
              <w:rPr>
                <w:rFonts w:ascii="Arial" w:hAnsi="Arial" w:cs="Arial"/>
                <w:sz w:val="22"/>
                <w:szCs w:val="22"/>
              </w:rPr>
              <w:t xml:space="preserve"> todas as disposições do Edital de Licitações e respectivo Contrato de Concessão; sendo certo que o IGP-DI se trata do índice historicamente utilizados pela ANP para a atualização dos valores relativos à retenção de áreas.</w:t>
            </w:r>
          </w:p>
        </w:tc>
      </w:tr>
      <w:tr w:rsidR="00C73EAE" w:rsidRPr="00170FDC" w14:paraId="76EF4BBD" w14:textId="77777777" w:rsidTr="0003097F">
        <w:trPr>
          <w:trHeight w:val="2268"/>
        </w:trPr>
        <w:tc>
          <w:tcPr>
            <w:tcW w:w="553" w:type="pct"/>
            <w:vAlign w:val="center"/>
          </w:tcPr>
          <w:p w14:paraId="1DEEA1F4"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6C7CB61" w14:textId="77777777" w:rsidR="00C73EAE" w:rsidRPr="006E166E" w:rsidRDefault="00C73EA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9D23BDB" w14:textId="6C6FE410" w:rsidR="00C73EAE" w:rsidRPr="008E44C8" w:rsidRDefault="006C45A8" w:rsidP="00183142">
            <w:pPr>
              <w:pStyle w:val="Legenda"/>
              <w:jc w:val="center"/>
              <w:rPr>
                <w:rFonts w:cs="Arial"/>
                <w:color w:val="000000" w:themeColor="text1"/>
                <w:sz w:val="22"/>
                <w:szCs w:val="22"/>
              </w:rPr>
            </w:pPr>
            <w:r>
              <w:rPr>
                <w:rFonts w:cs="Arial"/>
                <w:color w:val="000000" w:themeColor="text1"/>
                <w:sz w:val="22"/>
                <w:szCs w:val="22"/>
              </w:rPr>
              <w:t>6.13</w:t>
            </w:r>
          </w:p>
        </w:tc>
        <w:tc>
          <w:tcPr>
            <w:tcW w:w="1386" w:type="pct"/>
            <w:vAlign w:val="center"/>
          </w:tcPr>
          <w:p w14:paraId="314EFE73" w14:textId="77777777" w:rsidR="00C73EAE" w:rsidRPr="001D728E" w:rsidRDefault="00C73EAE" w:rsidP="00183142">
            <w:pPr>
              <w:pStyle w:val="Contrato-Clausula-Nvel3"/>
              <w:numPr>
                <w:ilvl w:val="0"/>
                <w:numId w:val="0"/>
              </w:numPr>
              <w:ind w:firstLine="17"/>
              <w:rPr>
                <w:rFonts w:cs="Arial"/>
                <w:strike/>
                <w:color w:val="000000" w:themeColor="text1"/>
                <w:szCs w:val="22"/>
                <w:highlight w:val="yellow"/>
              </w:rPr>
            </w:pPr>
            <w:r>
              <w:t xml:space="preserve">Em caso de deterioração </w:t>
            </w:r>
            <w:r w:rsidRPr="00701E1D">
              <w:t>significativa</w:t>
            </w:r>
            <w:r>
              <w:rPr>
                <w:color w:val="FF0000"/>
              </w:rPr>
              <w:t xml:space="preserve"> </w:t>
            </w:r>
            <w:r>
              <w:t>da garantia financeira, a critério da ANP, o Concessionário deverá substituí-la ou apresentar garantia adicional.</w:t>
            </w:r>
          </w:p>
        </w:tc>
        <w:tc>
          <w:tcPr>
            <w:tcW w:w="2126" w:type="pct"/>
            <w:vAlign w:val="center"/>
          </w:tcPr>
          <w:p w14:paraId="3E845CF7" w14:textId="77777777" w:rsidR="00C73EAE" w:rsidRPr="00170FDC" w:rsidRDefault="00C73EAE" w:rsidP="00E061A4">
            <w:pPr>
              <w:autoSpaceDE w:val="0"/>
              <w:autoSpaceDN w:val="0"/>
              <w:adjustRightInd w:val="0"/>
              <w:jc w:val="both"/>
              <w:rPr>
                <w:rFonts w:ascii="Arial" w:hAnsi="Arial" w:cs="Arial"/>
                <w:sz w:val="22"/>
                <w:szCs w:val="22"/>
                <w:lang w:eastAsia="en-US"/>
              </w:rPr>
            </w:pPr>
            <w:r w:rsidRPr="0021619E">
              <w:rPr>
                <w:rFonts w:ascii="Arial" w:hAnsi="Arial" w:cs="Arial"/>
                <w:sz w:val="22"/>
                <w:szCs w:val="22"/>
                <w:lang w:eastAsia="en-US"/>
              </w:rPr>
              <w:t>Após a assinatura do contrato de concessão e conforme previsto na minuta do contrato de concessão, é lícito ao concessionário solicitar a substituição ou alteração da garantia financeira. Nesta hipótese, seria facultado ao concessionário apresentar outras formas de garantia regularmente aceitas pela ANP para fins de cumprimento do programa exploratório mínimo que não as previstas no edital, sujeito à aprovação da ANP.</w:t>
            </w:r>
          </w:p>
        </w:tc>
      </w:tr>
      <w:tr w:rsidR="00C73EAE" w:rsidRPr="00170FDC" w14:paraId="234451BE" w14:textId="77777777" w:rsidTr="0003097F">
        <w:trPr>
          <w:trHeight w:val="2268"/>
        </w:trPr>
        <w:tc>
          <w:tcPr>
            <w:tcW w:w="553" w:type="pct"/>
            <w:vAlign w:val="center"/>
          </w:tcPr>
          <w:p w14:paraId="553993F6"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CEE196A"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7551B133" w14:textId="69713DCB" w:rsidR="00C73EAE" w:rsidRPr="008E44C8" w:rsidRDefault="00B17A94" w:rsidP="00183142">
            <w:pPr>
              <w:pStyle w:val="Legenda"/>
              <w:jc w:val="center"/>
              <w:rPr>
                <w:rFonts w:cs="Arial"/>
                <w:color w:val="000000" w:themeColor="text1"/>
                <w:sz w:val="22"/>
                <w:szCs w:val="22"/>
              </w:rPr>
            </w:pPr>
            <w:r>
              <w:rPr>
                <w:rFonts w:cs="Arial"/>
                <w:color w:val="000000" w:themeColor="text1"/>
                <w:sz w:val="22"/>
                <w:szCs w:val="22"/>
              </w:rPr>
              <w:t>6.13</w:t>
            </w:r>
            <w:r w:rsidR="00C73EAE" w:rsidRPr="008E44C8">
              <w:rPr>
                <w:rFonts w:cs="Arial"/>
                <w:color w:val="000000" w:themeColor="text1"/>
                <w:sz w:val="22"/>
                <w:szCs w:val="22"/>
              </w:rPr>
              <w:t>.1</w:t>
            </w:r>
          </w:p>
        </w:tc>
        <w:tc>
          <w:tcPr>
            <w:tcW w:w="1386" w:type="pct"/>
            <w:vAlign w:val="center"/>
          </w:tcPr>
          <w:p w14:paraId="5A07EC7C" w14:textId="77777777" w:rsidR="00C73EAE" w:rsidRPr="00B828BE" w:rsidRDefault="00C73EAE" w:rsidP="00183142">
            <w:pPr>
              <w:pStyle w:val="Contrato-Clausula-Nvel3"/>
              <w:numPr>
                <w:ilvl w:val="0"/>
                <w:numId w:val="0"/>
              </w:numPr>
              <w:ind w:firstLine="17"/>
              <w:rPr>
                <w:rFonts w:cs="Arial"/>
                <w:strike/>
                <w:color w:val="000000" w:themeColor="text1"/>
                <w:szCs w:val="22"/>
              </w:rPr>
            </w:pPr>
          </w:p>
        </w:tc>
        <w:tc>
          <w:tcPr>
            <w:tcW w:w="2126" w:type="pct"/>
            <w:vAlign w:val="center"/>
          </w:tcPr>
          <w:p w14:paraId="7D082DBB" w14:textId="77777777" w:rsidR="00C73EAE" w:rsidRPr="00170FDC" w:rsidRDefault="00C73EAE" w:rsidP="00E061A4">
            <w:pPr>
              <w:autoSpaceDE w:val="0"/>
              <w:autoSpaceDN w:val="0"/>
              <w:adjustRightInd w:val="0"/>
              <w:jc w:val="both"/>
              <w:rPr>
                <w:rFonts w:ascii="Arial" w:hAnsi="Arial" w:cs="Arial"/>
                <w:sz w:val="22"/>
                <w:szCs w:val="22"/>
                <w:lang w:eastAsia="en-US"/>
              </w:rPr>
            </w:pPr>
            <w:r w:rsidRPr="00170FDC">
              <w:rPr>
                <w:rFonts w:ascii="Arial" w:hAnsi="Arial" w:cs="Arial"/>
                <w:sz w:val="22"/>
                <w:szCs w:val="22"/>
                <w:lang w:eastAsia="en-US"/>
              </w:rPr>
              <w:t xml:space="preserve">Trata-se de garantia a indenização para o caso do Concessionário se recusar a ou por outro motivo vir as descumprir as obrigações do contrato de concessão, nas condições propostas e dentro do prazo estabelecido no mesmo. Entende-se, como já aventado pela própria Agência, que esta e outras garantias tem como objetivo cobrir as perdas para a sociedade, decorrentes da não execução das atividades exploratórias comprometidas, além de atuar como uma punição para as empresas que </w:t>
            </w:r>
            <w:r w:rsidRPr="00170FDC">
              <w:rPr>
                <w:rFonts w:ascii="Arial" w:hAnsi="Arial" w:cs="Arial"/>
                <w:sz w:val="22"/>
                <w:szCs w:val="22"/>
                <w:lang w:eastAsia="en-US"/>
              </w:rPr>
              <w:lastRenderedPageBreak/>
              <w:t>não honrarem suas propostas, refletindo a situação de momento ao tempo da licitação e o fator vinculante do Edital.</w:t>
            </w:r>
          </w:p>
          <w:p w14:paraId="3DCF5339" w14:textId="77777777" w:rsidR="00C73EAE" w:rsidRPr="00170FDC" w:rsidRDefault="00C73EAE" w:rsidP="00E061A4">
            <w:pPr>
              <w:autoSpaceDE w:val="0"/>
              <w:autoSpaceDN w:val="0"/>
              <w:adjustRightInd w:val="0"/>
              <w:jc w:val="both"/>
              <w:rPr>
                <w:rFonts w:ascii="Arial" w:hAnsi="Arial" w:cs="Arial"/>
                <w:sz w:val="22"/>
                <w:szCs w:val="22"/>
                <w:lang w:eastAsia="en-US"/>
              </w:rPr>
            </w:pPr>
          </w:p>
          <w:p w14:paraId="55B887F3" w14:textId="77777777" w:rsidR="00C73EAE" w:rsidRPr="00170FDC" w:rsidRDefault="00C73EAE" w:rsidP="00E061A4">
            <w:pPr>
              <w:pStyle w:val="Legenda"/>
              <w:jc w:val="both"/>
              <w:rPr>
                <w:rFonts w:cs="Arial"/>
                <w:sz w:val="22"/>
                <w:szCs w:val="22"/>
              </w:rPr>
            </w:pPr>
            <w:r w:rsidRPr="00170FDC">
              <w:rPr>
                <w:rFonts w:cs="Arial"/>
                <w:sz w:val="22"/>
                <w:szCs w:val="22"/>
                <w:lang w:eastAsia="en-US"/>
              </w:rPr>
              <w:t>Se a qualquer momento após a assinatura do Contrato, houver desequilíbrio em desfavor da Agência, a própria lei já permite que o contrato seja revisado e alterado. Portanto, entende-se como necessária a exclusão deste dispositivo, até mesmo para evitar incertezas para o Concessionário; excetuando-se todavia, os casos de manifesto desequilíbrio ou impossibilidade de plena</w:t>
            </w:r>
            <w:r w:rsidRPr="00170FDC">
              <w:rPr>
                <w:rFonts w:cs="Arial"/>
                <w:b/>
                <w:sz w:val="22"/>
                <w:szCs w:val="22"/>
                <w:lang w:eastAsia="en-US"/>
              </w:rPr>
              <w:t xml:space="preserve"> execução</w:t>
            </w:r>
            <w:r w:rsidRPr="00170FDC">
              <w:rPr>
                <w:rFonts w:cs="Arial"/>
                <w:sz w:val="22"/>
                <w:szCs w:val="22"/>
                <w:lang w:eastAsia="en-US"/>
              </w:rPr>
              <w:t xml:space="preserve"> da garantia.</w:t>
            </w:r>
          </w:p>
        </w:tc>
      </w:tr>
      <w:tr w:rsidR="00C73EAE" w:rsidRPr="00170FDC" w14:paraId="4FA6651B" w14:textId="77777777" w:rsidTr="0003097F">
        <w:trPr>
          <w:trHeight w:val="2268"/>
        </w:trPr>
        <w:tc>
          <w:tcPr>
            <w:tcW w:w="553" w:type="pct"/>
            <w:vAlign w:val="center"/>
          </w:tcPr>
          <w:p w14:paraId="0F009F0C"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25E24B9B"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57B2E48" w14:textId="49E712C5" w:rsidR="00C73EAE" w:rsidRPr="008E44C8" w:rsidRDefault="00842092" w:rsidP="00183142">
            <w:pPr>
              <w:pStyle w:val="Legenda"/>
              <w:jc w:val="center"/>
              <w:rPr>
                <w:rFonts w:cs="Arial"/>
                <w:color w:val="000000" w:themeColor="text1"/>
                <w:sz w:val="22"/>
                <w:szCs w:val="22"/>
              </w:rPr>
            </w:pPr>
            <w:r>
              <w:rPr>
                <w:rFonts w:cs="Arial"/>
                <w:color w:val="000000" w:themeColor="text1"/>
                <w:sz w:val="22"/>
                <w:szCs w:val="22"/>
              </w:rPr>
              <w:t>6.14 - A</w:t>
            </w:r>
          </w:p>
        </w:tc>
        <w:tc>
          <w:tcPr>
            <w:tcW w:w="1386" w:type="pct"/>
            <w:vAlign w:val="center"/>
          </w:tcPr>
          <w:p w14:paraId="11AB6A1C" w14:textId="77777777" w:rsidR="00C73EAE" w:rsidRPr="00170FDC" w:rsidRDefault="00C73EAE" w:rsidP="00183142">
            <w:pPr>
              <w:pStyle w:val="Contrato-Clausula-Nvel3"/>
              <w:numPr>
                <w:ilvl w:val="0"/>
                <w:numId w:val="0"/>
              </w:numPr>
              <w:ind w:left="76" w:hanging="14"/>
              <w:rPr>
                <w:rFonts w:cs="Arial"/>
                <w:szCs w:val="22"/>
              </w:rPr>
            </w:pPr>
            <w:r w:rsidRPr="00170FDC">
              <w:rPr>
                <w:rFonts w:cs="Arial"/>
                <w:szCs w:val="22"/>
              </w:rPr>
              <w:t>Quando um membro do consórcio for excluído compulsoriamente pela ANP nos termos do contrato de concessão, a garantia apresentada também será executada, abatendo-se o valor da garantia do valor do PEM, ficando os direitos e obrigações decorrentes da participação do consorciado excluído diluído entre os demais participantes.</w:t>
            </w:r>
          </w:p>
          <w:p w14:paraId="781261A6" w14:textId="77777777" w:rsidR="00C73EAE" w:rsidRPr="00170FDC" w:rsidRDefault="00C73EAE" w:rsidP="00183142">
            <w:pPr>
              <w:pStyle w:val="Legenda"/>
              <w:jc w:val="both"/>
              <w:rPr>
                <w:rFonts w:cs="Arial"/>
                <w:color w:val="000000" w:themeColor="text1"/>
                <w:sz w:val="22"/>
                <w:szCs w:val="22"/>
              </w:rPr>
            </w:pPr>
          </w:p>
        </w:tc>
        <w:tc>
          <w:tcPr>
            <w:tcW w:w="2126" w:type="pct"/>
            <w:vAlign w:val="center"/>
          </w:tcPr>
          <w:p w14:paraId="74392752" w14:textId="77777777" w:rsidR="00C73EAE" w:rsidRPr="00170FDC" w:rsidRDefault="00C73EAE" w:rsidP="00E061A4">
            <w:pPr>
              <w:pStyle w:val="Legenda"/>
              <w:jc w:val="both"/>
              <w:rPr>
                <w:rFonts w:cs="Arial"/>
                <w:sz w:val="22"/>
                <w:szCs w:val="22"/>
              </w:rPr>
            </w:pPr>
            <w:r w:rsidRPr="00170FDC">
              <w:rPr>
                <w:rFonts w:cs="Arial"/>
                <w:sz w:val="22"/>
                <w:szCs w:val="22"/>
              </w:rPr>
              <w:t>Trata-se de cláusula com a redação semelhante à da cláusula 14.20 do Contrato de Concessão da 4ª Rodada de Licitações de Áreas com Acumulações Marginais, a qual se aplica no que se refere à garantia do PEM, adaptada para que o valor da garantia executada possa vir a ser abatido do PEM.</w:t>
            </w:r>
          </w:p>
        </w:tc>
      </w:tr>
      <w:tr w:rsidR="00C73EAE" w:rsidRPr="00170FDC" w14:paraId="18D3CED8" w14:textId="77777777" w:rsidTr="0003097F">
        <w:trPr>
          <w:trHeight w:val="2268"/>
        </w:trPr>
        <w:tc>
          <w:tcPr>
            <w:tcW w:w="553" w:type="pct"/>
            <w:vAlign w:val="center"/>
          </w:tcPr>
          <w:p w14:paraId="3FCBB4D9"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4E5C7B2"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E2AA97D" w14:textId="7B235022" w:rsidR="00C73EAE" w:rsidRPr="008E44C8" w:rsidRDefault="00842092" w:rsidP="00183142">
            <w:pPr>
              <w:pStyle w:val="Legenda"/>
              <w:jc w:val="center"/>
              <w:rPr>
                <w:rFonts w:cs="Arial"/>
                <w:color w:val="000000" w:themeColor="text1"/>
                <w:sz w:val="22"/>
                <w:szCs w:val="22"/>
              </w:rPr>
            </w:pPr>
            <w:r>
              <w:rPr>
                <w:rFonts w:cs="Arial"/>
                <w:color w:val="000000" w:themeColor="text1"/>
                <w:sz w:val="22"/>
                <w:szCs w:val="22"/>
              </w:rPr>
              <w:t>6.14 – A.1</w:t>
            </w:r>
          </w:p>
        </w:tc>
        <w:tc>
          <w:tcPr>
            <w:tcW w:w="1386" w:type="pct"/>
            <w:vAlign w:val="center"/>
          </w:tcPr>
          <w:p w14:paraId="45B51898" w14:textId="77777777" w:rsidR="00C73EAE" w:rsidRPr="002B2B87" w:rsidDel="00891CCF" w:rsidRDefault="00C73EAE" w:rsidP="00183142">
            <w:pPr>
              <w:pStyle w:val="Legenda"/>
              <w:spacing w:before="120" w:after="120"/>
              <w:jc w:val="both"/>
              <w:rPr>
                <w:rFonts w:cs="Arial"/>
                <w:color w:val="000000" w:themeColor="text1"/>
                <w:sz w:val="22"/>
                <w:szCs w:val="22"/>
              </w:rPr>
            </w:pPr>
            <w:r w:rsidRPr="002B2B87">
              <w:rPr>
                <w:rFonts w:cs="Arial"/>
                <w:color w:val="000000" w:themeColor="text1"/>
                <w:sz w:val="22"/>
                <w:szCs w:val="22"/>
              </w:rPr>
              <w:t>No caso de inadimplemento de Concessionário não-operador, relativo à renovação de garantias financeiras no valor correspondente à cota parte, a ANP deverá notificar os demais consorciados para que os mesmos se manifestem sobre eventual interesse na assunção da participação da parte inadimplente;</w:t>
            </w:r>
          </w:p>
        </w:tc>
        <w:tc>
          <w:tcPr>
            <w:tcW w:w="2126" w:type="pct"/>
            <w:vAlign w:val="center"/>
          </w:tcPr>
          <w:p w14:paraId="4F7D668B" w14:textId="77777777" w:rsidR="00C73EAE" w:rsidRPr="002B2B87" w:rsidRDefault="00C73EAE" w:rsidP="00E061A4">
            <w:pPr>
              <w:pStyle w:val="Legenda"/>
              <w:jc w:val="both"/>
              <w:rPr>
                <w:rFonts w:cs="Arial"/>
                <w:sz w:val="22"/>
                <w:szCs w:val="22"/>
              </w:rPr>
            </w:pPr>
            <w:r w:rsidRPr="002B2B87">
              <w:rPr>
                <w:rFonts w:cs="Arial"/>
                <w:color w:val="000000" w:themeColor="text1"/>
                <w:sz w:val="22"/>
                <w:szCs w:val="22"/>
              </w:rPr>
              <w:t xml:space="preserve">Hoje no Contrato de Concessão se um dos consorciados não renovar suas garantias há o risco real de perda da concessão. </w:t>
            </w:r>
          </w:p>
        </w:tc>
      </w:tr>
      <w:tr w:rsidR="00C73EAE" w:rsidRPr="00170FDC" w14:paraId="4339B2CC" w14:textId="77777777" w:rsidTr="0003097F">
        <w:trPr>
          <w:trHeight w:val="2268"/>
        </w:trPr>
        <w:tc>
          <w:tcPr>
            <w:tcW w:w="553" w:type="pct"/>
            <w:vAlign w:val="center"/>
          </w:tcPr>
          <w:p w14:paraId="10B300F9"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3E391564"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2EF67B5D" w14:textId="13B7D432" w:rsidR="00C73EAE" w:rsidRPr="008E44C8" w:rsidRDefault="00E04DA4" w:rsidP="00183142">
            <w:pPr>
              <w:pStyle w:val="Legenda"/>
              <w:jc w:val="center"/>
              <w:rPr>
                <w:rFonts w:cs="Arial"/>
                <w:color w:val="000000" w:themeColor="text1"/>
                <w:sz w:val="22"/>
                <w:szCs w:val="22"/>
              </w:rPr>
            </w:pPr>
            <w:r>
              <w:rPr>
                <w:rFonts w:cs="Arial"/>
                <w:color w:val="000000"/>
                <w:sz w:val="22"/>
                <w:szCs w:val="22"/>
                <w:lang w:eastAsia="en-US"/>
              </w:rPr>
              <w:t>6.14 – A.2</w:t>
            </w:r>
          </w:p>
        </w:tc>
        <w:tc>
          <w:tcPr>
            <w:tcW w:w="1386" w:type="pct"/>
            <w:vAlign w:val="center"/>
          </w:tcPr>
          <w:p w14:paraId="40E7770D" w14:textId="77777777" w:rsidR="00C73EAE" w:rsidRPr="00170FDC" w:rsidDel="00891CCF" w:rsidRDefault="00C73EAE" w:rsidP="00183142">
            <w:pPr>
              <w:pStyle w:val="Legenda"/>
              <w:jc w:val="both"/>
              <w:rPr>
                <w:rFonts w:cs="Arial"/>
                <w:color w:val="000000" w:themeColor="text1"/>
                <w:sz w:val="22"/>
                <w:szCs w:val="22"/>
              </w:rPr>
            </w:pPr>
            <w:r w:rsidRPr="002B2B87">
              <w:rPr>
                <w:rFonts w:cs="Arial"/>
                <w:color w:val="000000"/>
                <w:sz w:val="22"/>
                <w:szCs w:val="22"/>
                <w:lang w:eastAsia="en-US"/>
              </w:rPr>
              <w:t>Caso o(s) consorciado(s) não inadimplente(s) manifeste(m) interesse na aquisição da cota parte, deverá(ão) providenciar a substituição das garantias financeiras e entrega-las à ANP no prazo de sessenta dias após a notificação da ANP.</w:t>
            </w:r>
          </w:p>
        </w:tc>
        <w:tc>
          <w:tcPr>
            <w:tcW w:w="2126" w:type="pct"/>
            <w:vAlign w:val="center"/>
          </w:tcPr>
          <w:p w14:paraId="0ACF0684" w14:textId="77777777" w:rsidR="00C73EAE" w:rsidRPr="00170FDC" w:rsidRDefault="00C73EAE" w:rsidP="00E061A4">
            <w:pPr>
              <w:pStyle w:val="Legenda"/>
              <w:jc w:val="both"/>
              <w:rPr>
                <w:rFonts w:cs="Arial"/>
                <w:sz w:val="22"/>
                <w:szCs w:val="22"/>
              </w:rPr>
            </w:pPr>
            <w:r>
              <w:rPr>
                <w:rFonts w:cs="Arial"/>
                <w:sz w:val="22"/>
                <w:szCs w:val="22"/>
              </w:rPr>
              <w:t>Vide justificativa da cláusula 6.11.2</w:t>
            </w:r>
          </w:p>
        </w:tc>
      </w:tr>
      <w:tr w:rsidR="00C73EAE" w:rsidRPr="00170FDC" w14:paraId="5D65C74B" w14:textId="77777777" w:rsidTr="0003097F">
        <w:trPr>
          <w:trHeight w:val="2268"/>
        </w:trPr>
        <w:tc>
          <w:tcPr>
            <w:tcW w:w="553" w:type="pct"/>
            <w:vAlign w:val="center"/>
          </w:tcPr>
          <w:p w14:paraId="178D0278"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7A47E94"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C98A419" w14:textId="2CF1AAA4" w:rsidR="00C73EAE" w:rsidRPr="008E44C8" w:rsidRDefault="00E04DA4" w:rsidP="00183142">
            <w:pPr>
              <w:pStyle w:val="Legenda"/>
              <w:jc w:val="center"/>
              <w:rPr>
                <w:rFonts w:cs="Arial"/>
                <w:color w:val="000000" w:themeColor="text1"/>
                <w:sz w:val="22"/>
                <w:szCs w:val="22"/>
              </w:rPr>
            </w:pPr>
            <w:r>
              <w:rPr>
                <w:rFonts w:cs="Arial"/>
                <w:sz w:val="22"/>
                <w:szCs w:val="22"/>
                <w:lang w:eastAsia="en-US"/>
              </w:rPr>
              <w:t>6.14 – A.3</w:t>
            </w:r>
          </w:p>
        </w:tc>
        <w:tc>
          <w:tcPr>
            <w:tcW w:w="1386" w:type="pct"/>
            <w:vAlign w:val="center"/>
          </w:tcPr>
          <w:p w14:paraId="26DC0CA1" w14:textId="77777777" w:rsidR="00C73EAE" w:rsidRPr="00170FDC" w:rsidDel="00891CCF" w:rsidRDefault="00C73EAE" w:rsidP="00183142">
            <w:pPr>
              <w:pStyle w:val="Legenda"/>
              <w:jc w:val="both"/>
              <w:rPr>
                <w:rFonts w:cs="Arial"/>
                <w:color w:val="000000" w:themeColor="text1"/>
                <w:sz w:val="22"/>
                <w:szCs w:val="22"/>
              </w:rPr>
            </w:pPr>
            <w:r w:rsidRPr="002B2B87">
              <w:rPr>
                <w:rFonts w:cs="Arial"/>
                <w:color w:val="000000"/>
                <w:sz w:val="22"/>
                <w:szCs w:val="22"/>
                <w:lang w:eastAsia="en-US"/>
              </w:rPr>
              <w:t>Caso o(s) consorciado(s) não inadimplente(s) opte(m) pela aquisição da cota parte do consorciado inadimplente, a ANP abrirá um processo de cessão de direitos, adotando o critério da proporcionalidade para cessão da cota parte inadimplente, quando houver mais de um concessionário remanescente.</w:t>
            </w:r>
          </w:p>
        </w:tc>
        <w:tc>
          <w:tcPr>
            <w:tcW w:w="2126" w:type="pct"/>
            <w:vAlign w:val="center"/>
          </w:tcPr>
          <w:p w14:paraId="62DD4325" w14:textId="77777777" w:rsidR="00C73EAE" w:rsidRPr="00170FDC" w:rsidRDefault="00C73EAE" w:rsidP="00E061A4">
            <w:pPr>
              <w:pStyle w:val="Legenda"/>
              <w:jc w:val="both"/>
              <w:rPr>
                <w:rFonts w:cs="Arial"/>
                <w:sz w:val="22"/>
                <w:szCs w:val="22"/>
              </w:rPr>
            </w:pPr>
            <w:r w:rsidRPr="00036EC4">
              <w:rPr>
                <w:rFonts w:cs="Arial"/>
                <w:sz w:val="22"/>
                <w:szCs w:val="22"/>
              </w:rPr>
              <w:t>Vide justificativa da cláusula 6.11.2</w:t>
            </w:r>
          </w:p>
        </w:tc>
      </w:tr>
      <w:tr w:rsidR="00C73EAE" w:rsidRPr="00170FDC" w14:paraId="4055ABDF" w14:textId="77777777" w:rsidTr="0003097F">
        <w:trPr>
          <w:trHeight w:val="2268"/>
        </w:trPr>
        <w:tc>
          <w:tcPr>
            <w:tcW w:w="553" w:type="pct"/>
            <w:vAlign w:val="center"/>
          </w:tcPr>
          <w:p w14:paraId="249B74D2"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ADD5754"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86C36D1" w14:textId="3D3AC3F1" w:rsidR="00C73EAE" w:rsidRPr="008E44C8" w:rsidRDefault="00C538DB" w:rsidP="00183142">
            <w:pPr>
              <w:pStyle w:val="Legenda"/>
              <w:jc w:val="center"/>
              <w:rPr>
                <w:rFonts w:cs="Arial"/>
                <w:color w:val="000000" w:themeColor="text1"/>
                <w:sz w:val="22"/>
                <w:szCs w:val="22"/>
              </w:rPr>
            </w:pPr>
            <w:r>
              <w:rPr>
                <w:rFonts w:cs="Arial"/>
                <w:sz w:val="22"/>
                <w:szCs w:val="22"/>
                <w:lang w:eastAsia="en-US"/>
              </w:rPr>
              <w:t>6.14 – A.4</w:t>
            </w:r>
          </w:p>
        </w:tc>
        <w:tc>
          <w:tcPr>
            <w:tcW w:w="1386" w:type="pct"/>
            <w:vAlign w:val="center"/>
          </w:tcPr>
          <w:p w14:paraId="0A7FA8CD" w14:textId="103A2644" w:rsidR="00C73EAE" w:rsidRPr="00170FDC" w:rsidDel="00891CCF" w:rsidRDefault="00C73EAE" w:rsidP="00183142">
            <w:pPr>
              <w:pStyle w:val="Legenda"/>
              <w:jc w:val="both"/>
              <w:rPr>
                <w:rFonts w:cs="Arial"/>
                <w:color w:val="000000" w:themeColor="text1"/>
                <w:sz w:val="22"/>
                <w:szCs w:val="22"/>
              </w:rPr>
            </w:pPr>
            <w:r w:rsidRPr="002B2B87">
              <w:rPr>
                <w:rFonts w:cs="Arial"/>
                <w:color w:val="000000"/>
                <w:sz w:val="22"/>
                <w:szCs w:val="22"/>
                <w:lang w:eastAsia="en-US"/>
              </w:rPr>
              <w:t>Caso o(s) consorciado(s) não inadimplente(s) opte(m) pela não aquisição da cota</w:t>
            </w:r>
            <w:r w:rsidR="00177029">
              <w:rPr>
                <w:rFonts w:cs="Arial"/>
                <w:color w:val="000000"/>
                <w:sz w:val="22"/>
                <w:szCs w:val="22"/>
                <w:lang w:eastAsia="en-US"/>
              </w:rPr>
              <w:t xml:space="preserve"> parte do consorciado inadimpl</w:t>
            </w:r>
            <w:r w:rsidRPr="002B2B87">
              <w:rPr>
                <w:rFonts w:cs="Arial"/>
                <w:color w:val="000000"/>
                <w:sz w:val="22"/>
                <w:szCs w:val="22"/>
                <w:lang w:eastAsia="en-US"/>
              </w:rPr>
              <w:t>ente, a ANP executará as garantias financeiras correspondentes em favor do cumprimento do PEM, de maneira que, após encerrado o período exploratório, caso haja direitos relativos à concessão, os mesmos devem ser repassados ao consorciado inadimplente ou ao seu garantidor.</w:t>
            </w:r>
          </w:p>
        </w:tc>
        <w:tc>
          <w:tcPr>
            <w:tcW w:w="2126" w:type="pct"/>
            <w:vAlign w:val="center"/>
          </w:tcPr>
          <w:p w14:paraId="5E7B6EC7" w14:textId="77777777" w:rsidR="00C73EAE" w:rsidRPr="00170FDC" w:rsidRDefault="00C73EAE" w:rsidP="00E061A4">
            <w:pPr>
              <w:pStyle w:val="Legenda"/>
              <w:jc w:val="both"/>
              <w:rPr>
                <w:rFonts w:cs="Arial"/>
                <w:sz w:val="22"/>
                <w:szCs w:val="22"/>
              </w:rPr>
            </w:pPr>
            <w:r w:rsidRPr="00036EC4">
              <w:rPr>
                <w:rFonts w:cs="Arial"/>
                <w:sz w:val="22"/>
                <w:szCs w:val="22"/>
              </w:rPr>
              <w:t>Vide justificativa da cláusula 6.11.2</w:t>
            </w:r>
          </w:p>
        </w:tc>
      </w:tr>
      <w:tr w:rsidR="00C73EAE" w:rsidRPr="00170FDC" w14:paraId="5C1F11A5" w14:textId="77777777" w:rsidTr="0003097F">
        <w:trPr>
          <w:trHeight w:val="2268"/>
        </w:trPr>
        <w:tc>
          <w:tcPr>
            <w:tcW w:w="553" w:type="pct"/>
            <w:vAlign w:val="center"/>
          </w:tcPr>
          <w:p w14:paraId="31AF7336"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32E3B95B"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54AB09F"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8.1</w:t>
            </w:r>
          </w:p>
        </w:tc>
        <w:tc>
          <w:tcPr>
            <w:tcW w:w="1386" w:type="pct"/>
            <w:vAlign w:val="center"/>
          </w:tcPr>
          <w:p w14:paraId="711FC404" w14:textId="77777777" w:rsidR="002569BA" w:rsidRDefault="002569BA" w:rsidP="00183142">
            <w:pPr>
              <w:jc w:val="both"/>
            </w:pPr>
          </w:p>
          <w:p w14:paraId="6AAFB41A" w14:textId="4D849F56" w:rsidR="002569BA" w:rsidRPr="00E061A4" w:rsidRDefault="002569BA" w:rsidP="00183142">
            <w:pPr>
              <w:pStyle w:val="Contrato-Clausula-Nvel2"/>
              <w:numPr>
                <w:ilvl w:val="0"/>
                <w:numId w:val="0"/>
              </w:numPr>
              <w:rPr>
                <w:rFonts w:cs="Arial"/>
                <w:szCs w:val="22"/>
              </w:rPr>
            </w:pPr>
            <w:bookmarkStart w:id="1" w:name="_Ref343723044"/>
            <w:bookmarkStart w:id="2" w:name="_Ref100136418"/>
            <w:r w:rsidRPr="00E061A4">
              <w:rPr>
                <w:rFonts w:cs="Arial"/>
                <w:szCs w:val="22"/>
              </w:rPr>
              <w:t>O Concessionário</w:t>
            </w:r>
            <w:bookmarkStart w:id="3" w:name="_Ref343731748"/>
            <w:bookmarkStart w:id="4" w:name="_Toc329621150"/>
            <w:bookmarkEnd w:id="1"/>
            <w:r w:rsidRPr="00E061A4">
              <w:rPr>
                <w:rFonts w:cs="Arial"/>
                <w:szCs w:val="22"/>
              </w:rPr>
              <w:t xml:space="preserve"> poderá, a seu critério, efetuar a Declaração de Comercialidade</w:t>
            </w:r>
            <w:bookmarkEnd w:id="3"/>
            <w:r w:rsidRPr="00E061A4">
              <w:rPr>
                <w:rFonts w:cs="Arial"/>
                <w:szCs w:val="22"/>
              </w:rPr>
              <w:t xml:space="preserve"> da Descoberta</w:t>
            </w:r>
            <w:bookmarkEnd w:id="2"/>
            <w:bookmarkEnd w:id="4"/>
            <w:r w:rsidRPr="00E061A4">
              <w:rPr>
                <w:rFonts w:cs="Arial"/>
                <w:szCs w:val="22"/>
              </w:rPr>
              <w:t xml:space="preserve"> por meio de notificação à ANP.</w:t>
            </w:r>
          </w:p>
          <w:p w14:paraId="7D66B86C" w14:textId="77777777" w:rsidR="002569BA" w:rsidRPr="002569BA" w:rsidRDefault="002569BA" w:rsidP="00183142">
            <w:pPr>
              <w:jc w:val="both"/>
            </w:pPr>
          </w:p>
        </w:tc>
        <w:tc>
          <w:tcPr>
            <w:tcW w:w="2126" w:type="pct"/>
            <w:vAlign w:val="center"/>
          </w:tcPr>
          <w:p w14:paraId="68BE0051" w14:textId="28070262" w:rsidR="00C73EAE" w:rsidRPr="00170FDC" w:rsidRDefault="00C73EAE" w:rsidP="00E061A4">
            <w:pPr>
              <w:pStyle w:val="Legenda"/>
              <w:jc w:val="both"/>
              <w:rPr>
                <w:rFonts w:cs="Arial"/>
                <w:sz w:val="22"/>
                <w:szCs w:val="22"/>
              </w:rPr>
            </w:pPr>
            <w:r w:rsidRPr="00170FDC">
              <w:rPr>
                <w:rFonts w:cs="Arial"/>
                <w:sz w:val="22"/>
                <w:szCs w:val="22"/>
              </w:rPr>
              <w:t>A declaração de comercialidade é um ato unilateral do concessionário e sua efetivi</w:t>
            </w:r>
            <w:r w:rsidR="003E793C">
              <w:rPr>
                <w:rFonts w:cs="Arial"/>
                <w:sz w:val="22"/>
                <w:szCs w:val="22"/>
              </w:rPr>
              <w:t xml:space="preserve">dade não deve ser condicionada ao cumprimento integral do </w:t>
            </w:r>
            <w:r w:rsidR="00E061A4">
              <w:rPr>
                <w:rFonts w:cs="Arial"/>
                <w:sz w:val="22"/>
                <w:szCs w:val="22"/>
              </w:rPr>
              <w:t>Plano de Avaliação de Descoberta (“</w:t>
            </w:r>
            <w:r w:rsidR="003E793C">
              <w:rPr>
                <w:rFonts w:cs="Arial"/>
                <w:sz w:val="22"/>
                <w:szCs w:val="22"/>
              </w:rPr>
              <w:t>PAD</w:t>
            </w:r>
            <w:r w:rsidR="00E061A4">
              <w:rPr>
                <w:rFonts w:cs="Arial"/>
                <w:sz w:val="22"/>
                <w:szCs w:val="22"/>
              </w:rPr>
              <w:t>”)</w:t>
            </w:r>
            <w:r w:rsidR="008821D4">
              <w:rPr>
                <w:rFonts w:cs="Arial"/>
                <w:sz w:val="22"/>
                <w:szCs w:val="22"/>
              </w:rPr>
              <w:t>, cabendo ao concessionário o entendimento sobre o melhor momento para declarar a comercialidade, apresentando o relatório à ANP.</w:t>
            </w:r>
          </w:p>
        </w:tc>
      </w:tr>
      <w:tr w:rsidR="00C73EAE" w:rsidRPr="00170FDC" w14:paraId="63012DE6" w14:textId="77777777" w:rsidTr="0003097F">
        <w:trPr>
          <w:trHeight w:val="2268"/>
        </w:trPr>
        <w:tc>
          <w:tcPr>
            <w:tcW w:w="553" w:type="pct"/>
            <w:vAlign w:val="center"/>
          </w:tcPr>
          <w:p w14:paraId="2EF4C833"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FB11D85"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48C68515"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8.1.2</w:t>
            </w:r>
          </w:p>
        </w:tc>
        <w:tc>
          <w:tcPr>
            <w:tcW w:w="1386" w:type="pct"/>
            <w:vAlign w:val="center"/>
          </w:tcPr>
          <w:p w14:paraId="02EC4396" w14:textId="77777777" w:rsidR="00C73EAE" w:rsidRPr="00170FDC" w:rsidRDefault="00C73EAE" w:rsidP="00183142">
            <w:pPr>
              <w:pStyle w:val="Contrato-Clausula-Nvel3"/>
              <w:numPr>
                <w:ilvl w:val="0"/>
                <w:numId w:val="0"/>
              </w:numPr>
              <w:rPr>
                <w:rFonts w:cs="Arial"/>
                <w:color w:val="000000" w:themeColor="text1"/>
                <w:szCs w:val="22"/>
              </w:rPr>
            </w:pPr>
          </w:p>
        </w:tc>
        <w:tc>
          <w:tcPr>
            <w:tcW w:w="2126" w:type="pct"/>
            <w:vAlign w:val="center"/>
          </w:tcPr>
          <w:p w14:paraId="3CE97383" w14:textId="10046356" w:rsidR="00C73EAE" w:rsidRPr="00170FDC" w:rsidRDefault="00C73EAE" w:rsidP="00E061A4">
            <w:pPr>
              <w:pStyle w:val="Legenda"/>
              <w:jc w:val="both"/>
              <w:rPr>
                <w:rFonts w:cs="Arial"/>
                <w:sz w:val="22"/>
                <w:szCs w:val="22"/>
              </w:rPr>
            </w:pPr>
            <w:r w:rsidRPr="00170FDC">
              <w:rPr>
                <w:rFonts w:cs="Arial"/>
                <w:sz w:val="22"/>
                <w:szCs w:val="22"/>
              </w:rPr>
              <w:t xml:space="preserve">A </w:t>
            </w:r>
            <w:r w:rsidR="00E061A4" w:rsidRPr="00170FDC">
              <w:rPr>
                <w:rFonts w:cs="Arial"/>
                <w:sz w:val="22"/>
                <w:szCs w:val="22"/>
              </w:rPr>
              <w:t xml:space="preserve">Declaração </w:t>
            </w:r>
            <w:r w:rsidR="00E061A4">
              <w:rPr>
                <w:rFonts w:cs="Arial"/>
                <w:sz w:val="22"/>
                <w:szCs w:val="22"/>
              </w:rPr>
              <w:t>d</w:t>
            </w:r>
            <w:r w:rsidR="00E061A4" w:rsidRPr="00170FDC">
              <w:rPr>
                <w:rFonts w:cs="Arial"/>
                <w:sz w:val="22"/>
                <w:szCs w:val="22"/>
              </w:rPr>
              <w:t>e Comercialidade</w:t>
            </w:r>
            <w:r w:rsidRPr="00170FDC">
              <w:rPr>
                <w:rFonts w:cs="Arial"/>
                <w:sz w:val="22"/>
                <w:szCs w:val="22"/>
              </w:rPr>
              <w:t xml:space="preserve"> é um ato unilateral do concessionário e sua efetividade não deve ser condicionada à aprovação do relatório final de avaliação de descoberta.</w:t>
            </w:r>
          </w:p>
        </w:tc>
      </w:tr>
      <w:tr w:rsidR="00C73EAE" w:rsidRPr="00170FDC" w14:paraId="068A8434" w14:textId="77777777" w:rsidTr="0003097F">
        <w:trPr>
          <w:trHeight w:val="2268"/>
        </w:trPr>
        <w:tc>
          <w:tcPr>
            <w:tcW w:w="553" w:type="pct"/>
            <w:vAlign w:val="center"/>
          </w:tcPr>
          <w:p w14:paraId="1C848623" w14:textId="77777777" w:rsidR="00C73EAE" w:rsidRPr="00F27ACA" w:rsidRDefault="00C73EAE" w:rsidP="00C73EAE">
            <w:pPr>
              <w:pStyle w:val="Legenda"/>
              <w:jc w:val="center"/>
              <w:rPr>
                <w:rFonts w:cs="Arial"/>
                <w:color w:val="000000" w:themeColor="text1"/>
                <w:sz w:val="22"/>
                <w:szCs w:val="22"/>
              </w:rPr>
            </w:pPr>
            <w:r w:rsidRPr="00F27ACA">
              <w:rPr>
                <w:rFonts w:cs="Arial"/>
                <w:color w:val="000000" w:themeColor="text1"/>
                <w:sz w:val="22"/>
                <w:szCs w:val="22"/>
              </w:rPr>
              <w:t>Contrato</w:t>
            </w:r>
          </w:p>
        </w:tc>
        <w:tc>
          <w:tcPr>
            <w:tcW w:w="441" w:type="pct"/>
            <w:vAlign w:val="center"/>
          </w:tcPr>
          <w:p w14:paraId="231AA1FE" w14:textId="77777777" w:rsidR="00C73EAE" w:rsidRPr="00F27ACA" w:rsidRDefault="00C73EAE" w:rsidP="00C73EAE">
            <w:pPr>
              <w:pStyle w:val="Legenda"/>
              <w:jc w:val="center"/>
              <w:rPr>
                <w:rFonts w:cs="Arial"/>
                <w:color w:val="000000" w:themeColor="text1"/>
                <w:sz w:val="22"/>
                <w:szCs w:val="22"/>
              </w:rPr>
            </w:pPr>
            <w:r w:rsidRPr="00F27ACA">
              <w:rPr>
                <w:rFonts w:cs="Arial"/>
                <w:color w:val="000000" w:themeColor="text1"/>
                <w:sz w:val="22"/>
                <w:szCs w:val="22"/>
              </w:rPr>
              <w:t>Alteração</w:t>
            </w:r>
          </w:p>
        </w:tc>
        <w:tc>
          <w:tcPr>
            <w:tcW w:w="494" w:type="pct"/>
            <w:vAlign w:val="center"/>
          </w:tcPr>
          <w:p w14:paraId="4FC5465E"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9.1</w:t>
            </w:r>
          </w:p>
        </w:tc>
        <w:tc>
          <w:tcPr>
            <w:tcW w:w="1386" w:type="pct"/>
            <w:vAlign w:val="center"/>
          </w:tcPr>
          <w:p w14:paraId="5E296DB9" w14:textId="77777777" w:rsidR="00C73EAE" w:rsidRPr="00F27ACA" w:rsidRDefault="00C73EAE" w:rsidP="00183142">
            <w:pPr>
              <w:pStyle w:val="Contrato-Clausula-Nvel2"/>
              <w:numPr>
                <w:ilvl w:val="0"/>
                <w:numId w:val="0"/>
              </w:numPr>
              <w:rPr>
                <w:rFonts w:cs="Arial"/>
                <w:szCs w:val="22"/>
              </w:rPr>
            </w:pPr>
            <w:bookmarkStart w:id="5" w:name="_Ref473081740"/>
            <w:r w:rsidRPr="00F27ACA">
              <w:rPr>
                <w:rFonts w:cs="Arial"/>
                <w:szCs w:val="22"/>
              </w:rPr>
              <w:t xml:space="preserve">A Fase de Produção de cada </w:t>
            </w:r>
            <w:r w:rsidRPr="00F27ACA">
              <w:rPr>
                <w:rFonts w:cs="Arial"/>
                <w:caps/>
                <w:szCs w:val="22"/>
              </w:rPr>
              <w:t>Á</w:t>
            </w:r>
            <w:r w:rsidRPr="00F27ACA">
              <w:rPr>
                <w:rFonts w:cs="Arial"/>
                <w:szCs w:val="22"/>
              </w:rPr>
              <w:t>rea de Desenvolvimento terá início na data da apresentação da Declaração de Comercialidade, e terá a duração inicial de 35 (</w:t>
            </w:r>
            <w:bookmarkStart w:id="6" w:name="_Hlt103509132"/>
            <w:bookmarkEnd w:id="6"/>
            <w:r w:rsidRPr="00F27ACA">
              <w:rPr>
                <w:rFonts w:cs="Arial"/>
                <w:szCs w:val="22"/>
              </w:rPr>
              <w:t>trinta e cinco) anos, ou do prazo estabelecido no Plano de Desenvolvimento aprovado, podendo ser reduzida ou prorrogada nos termos desta cláusula.</w:t>
            </w:r>
            <w:bookmarkStart w:id="7" w:name="_Hlt102884370"/>
            <w:bookmarkEnd w:id="5"/>
            <w:bookmarkEnd w:id="7"/>
          </w:p>
          <w:p w14:paraId="7663296C" w14:textId="20C49FD5" w:rsidR="00141BF8" w:rsidRDefault="00141BF8" w:rsidP="00183142">
            <w:pPr>
              <w:pStyle w:val="Legenda"/>
              <w:jc w:val="both"/>
              <w:rPr>
                <w:rFonts w:cs="Arial"/>
                <w:color w:val="000000" w:themeColor="text1"/>
                <w:sz w:val="22"/>
                <w:szCs w:val="22"/>
              </w:rPr>
            </w:pPr>
          </w:p>
          <w:p w14:paraId="323480A7" w14:textId="77777777" w:rsidR="00C73EAE" w:rsidRPr="00141BF8" w:rsidRDefault="00C73EAE" w:rsidP="00183142">
            <w:pPr>
              <w:jc w:val="both"/>
            </w:pPr>
          </w:p>
        </w:tc>
        <w:tc>
          <w:tcPr>
            <w:tcW w:w="2126" w:type="pct"/>
            <w:vAlign w:val="center"/>
          </w:tcPr>
          <w:p w14:paraId="5538FE8F" w14:textId="77777777" w:rsidR="00C73EAE" w:rsidRPr="00F27ACA" w:rsidRDefault="00C73EAE" w:rsidP="00E061A4">
            <w:pPr>
              <w:pStyle w:val="Legenda"/>
              <w:jc w:val="both"/>
              <w:rPr>
                <w:rFonts w:cs="Arial"/>
                <w:sz w:val="22"/>
                <w:szCs w:val="22"/>
              </w:rPr>
            </w:pPr>
            <w:r w:rsidRPr="00F27ACA">
              <w:rPr>
                <w:rFonts w:cs="Arial"/>
                <w:sz w:val="22"/>
                <w:szCs w:val="22"/>
              </w:rPr>
              <w:t>Reportando ao comentário constante da cláusula 4.2 acima, O IBP entende que para a maior segurança ao Concessionário, deve ficar claro que o prazo da fase de produção será de 35 anos, sendo passível de ser reduzido ou prorrogado.</w:t>
            </w:r>
          </w:p>
        </w:tc>
      </w:tr>
      <w:tr w:rsidR="00C73EAE" w:rsidRPr="00170FDC" w14:paraId="7A20ED59" w14:textId="77777777" w:rsidTr="0003097F">
        <w:trPr>
          <w:trHeight w:val="2268"/>
        </w:trPr>
        <w:tc>
          <w:tcPr>
            <w:tcW w:w="553" w:type="pct"/>
            <w:vAlign w:val="center"/>
          </w:tcPr>
          <w:p w14:paraId="0AFE609D"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5BCD1078"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4FDB697" w14:textId="3D379CE8"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9.</w:t>
            </w:r>
            <w:r w:rsidR="00141BF8">
              <w:rPr>
                <w:rFonts w:cs="Arial"/>
                <w:color w:val="000000" w:themeColor="text1"/>
                <w:sz w:val="22"/>
                <w:szCs w:val="22"/>
              </w:rPr>
              <w:t>4</w:t>
            </w:r>
            <w:r w:rsidRPr="008E44C8">
              <w:rPr>
                <w:rFonts w:cs="Arial"/>
                <w:color w:val="000000" w:themeColor="text1"/>
                <w:sz w:val="22"/>
                <w:szCs w:val="22"/>
              </w:rPr>
              <w:t>.1</w:t>
            </w:r>
          </w:p>
        </w:tc>
        <w:tc>
          <w:tcPr>
            <w:tcW w:w="1386" w:type="pct"/>
            <w:vAlign w:val="center"/>
          </w:tcPr>
          <w:p w14:paraId="7452A761" w14:textId="77777777" w:rsidR="00C73EAE" w:rsidRPr="00170FDC" w:rsidRDefault="00C73EAE" w:rsidP="00183142">
            <w:pPr>
              <w:pStyle w:val="Legenda"/>
              <w:jc w:val="both"/>
              <w:rPr>
                <w:rFonts w:cs="Arial"/>
                <w:color w:val="000000" w:themeColor="text1"/>
                <w:sz w:val="22"/>
                <w:szCs w:val="22"/>
              </w:rPr>
            </w:pPr>
            <w:r w:rsidRPr="00170FDC">
              <w:rPr>
                <w:rFonts w:cs="Arial"/>
                <w:sz w:val="22"/>
                <w:szCs w:val="22"/>
              </w:rPr>
              <w:t>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 caso a revisão do Plano de Desenvolvimento apresentado não demonstre viabilidade técnica ou econômica para a prorrogação.</w:t>
            </w:r>
          </w:p>
        </w:tc>
        <w:tc>
          <w:tcPr>
            <w:tcW w:w="2126" w:type="pct"/>
            <w:vAlign w:val="center"/>
          </w:tcPr>
          <w:p w14:paraId="21EC1CFD" w14:textId="4DCFDB40" w:rsidR="00C73EAE" w:rsidRPr="00170FDC" w:rsidRDefault="00C73EAE" w:rsidP="00E061A4">
            <w:pPr>
              <w:pStyle w:val="Legenda"/>
              <w:jc w:val="both"/>
              <w:rPr>
                <w:rFonts w:cs="Arial"/>
                <w:sz w:val="22"/>
                <w:szCs w:val="22"/>
              </w:rPr>
            </w:pPr>
            <w:r w:rsidRPr="00170FDC">
              <w:rPr>
                <w:rFonts w:cs="Arial"/>
                <w:sz w:val="22"/>
                <w:szCs w:val="22"/>
              </w:rPr>
              <w:t xml:space="preserve">O IBP entende que é indispensável estabelecer um critério objetivo para que a ANP </w:t>
            </w:r>
            <w:r w:rsidR="00141BF8">
              <w:rPr>
                <w:rFonts w:cs="Arial"/>
                <w:sz w:val="22"/>
                <w:szCs w:val="22"/>
              </w:rPr>
              <w:t>possa analisar</w:t>
            </w:r>
            <w:r w:rsidRPr="00170FDC">
              <w:rPr>
                <w:rFonts w:cs="Arial"/>
                <w:sz w:val="22"/>
                <w:szCs w:val="22"/>
              </w:rPr>
              <w:t xml:space="preserve"> o pleito de prorrogação</w:t>
            </w:r>
            <w:r w:rsidR="00141BF8">
              <w:rPr>
                <w:rFonts w:cs="Arial"/>
                <w:sz w:val="22"/>
                <w:szCs w:val="22"/>
              </w:rPr>
              <w:t>, recusando-o</w:t>
            </w:r>
            <w:r w:rsidRPr="00170FDC">
              <w:rPr>
                <w:rFonts w:cs="Arial"/>
                <w:sz w:val="22"/>
                <w:szCs w:val="22"/>
              </w:rPr>
              <w:t xml:space="preserve"> ou condicion</w:t>
            </w:r>
            <w:r w:rsidR="00141BF8">
              <w:rPr>
                <w:rFonts w:cs="Arial"/>
                <w:sz w:val="22"/>
                <w:szCs w:val="22"/>
              </w:rPr>
              <w:t>ando-o</w:t>
            </w:r>
            <w:r w:rsidRPr="00170FDC">
              <w:rPr>
                <w:rFonts w:cs="Arial"/>
                <w:sz w:val="22"/>
                <w:szCs w:val="22"/>
              </w:rPr>
              <w:t xml:space="preserve"> a modificações. Esta redação, condicionando a aprovação da prorrogação da fase de produção à demonstração de viabilidade técnica e econômica, se encontra nos Contratos de Concessão de Rodadas anteriores; cabendo destacar que a retirada do texto dos Contratos de Concessão da 12ª Rodada de Licitações, foi percebido pela indústria como um retrocesso.</w:t>
            </w:r>
          </w:p>
        </w:tc>
      </w:tr>
      <w:tr w:rsidR="00C73EAE" w:rsidRPr="00170FDC" w14:paraId="5777006E" w14:textId="77777777" w:rsidTr="0003097F">
        <w:trPr>
          <w:trHeight w:val="2268"/>
        </w:trPr>
        <w:tc>
          <w:tcPr>
            <w:tcW w:w="553" w:type="pct"/>
            <w:vAlign w:val="center"/>
          </w:tcPr>
          <w:p w14:paraId="5C3E6E8F"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2244E45"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5DBA39B" w14:textId="7636D8F5" w:rsidR="00C73EAE" w:rsidRPr="008E44C8" w:rsidRDefault="008C478E" w:rsidP="00183142">
            <w:pPr>
              <w:pStyle w:val="Legenda"/>
              <w:jc w:val="center"/>
              <w:rPr>
                <w:rFonts w:cs="Arial"/>
                <w:color w:val="000000" w:themeColor="text1"/>
                <w:sz w:val="22"/>
                <w:szCs w:val="22"/>
              </w:rPr>
            </w:pPr>
            <w:r>
              <w:rPr>
                <w:rFonts w:cs="Arial"/>
                <w:color w:val="000000" w:themeColor="text1"/>
                <w:sz w:val="22"/>
                <w:szCs w:val="22"/>
              </w:rPr>
              <w:t>9.5</w:t>
            </w:r>
            <w:r w:rsidR="00C73EAE" w:rsidRPr="008E44C8">
              <w:rPr>
                <w:rFonts w:cs="Arial"/>
                <w:color w:val="000000" w:themeColor="text1"/>
                <w:sz w:val="22"/>
                <w:szCs w:val="22"/>
              </w:rPr>
              <w:t>.1</w:t>
            </w:r>
          </w:p>
        </w:tc>
        <w:tc>
          <w:tcPr>
            <w:tcW w:w="1386" w:type="pct"/>
            <w:vAlign w:val="center"/>
          </w:tcPr>
          <w:p w14:paraId="78678D70" w14:textId="281623E7" w:rsidR="008C478E" w:rsidRDefault="008C478E" w:rsidP="00183142">
            <w:pPr>
              <w:pStyle w:val="Contrato-Clausula-Nvel3"/>
              <w:numPr>
                <w:ilvl w:val="0"/>
                <w:numId w:val="0"/>
              </w:numPr>
              <w:ind w:left="720"/>
            </w:pPr>
            <w:r w:rsidRPr="001E7377">
              <w:t xml:space="preserve">A solicitação da ANP poderá ser recusada mediante justificativa embasada, entre outras razões, </w:t>
            </w:r>
            <w:r>
              <w:t xml:space="preserve">a </w:t>
            </w:r>
            <w:r w:rsidRPr="001E7377">
              <w:t>não economicidade.</w:t>
            </w:r>
          </w:p>
          <w:p w14:paraId="0D906B0D" w14:textId="77777777" w:rsidR="008C478E" w:rsidRPr="00170FDC" w:rsidRDefault="008C478E" w:rsidP="00183142">
            <w:pPr>
              <w:pStyle w:val="Contrato-Clausula-Nvel3"/>
              <w:numPr>
                <w:ilvl w:val="0"/>
                <w:numId w:val="0"/>
              </w:numPr>
              <w:ind w:left="76"/>
              <w:rPr>
                <w:rFonts w:cs="Arial"/>
                <w:szCs w:val="22"/>
              </w:rPr>
            </w:pPr>
          </w:p>
          <w:p w14:paraId="4C3B2D27" w14:textId="77777777" w:rsidR="00C73EAE" w:rsidRPr="00170FDC" w:rsidRDefault="00C73EAE" w:rsidP="00183142">
            <w:pPr>
              <w:pStyle w:val="Legenda"/>
              <w:jc w:val="both"/>
              <w:rPr>
                <w:rFonts w:cs="Arial"/>
                <w:color w:val="000000" w:themeColor="text1"/>
                <w:sz w:val="22"/>
                <w:szCs w:val="22"/>
              </w:rPr>
            </w:pPr>
          </w:p>
        </w:tc>
        <w:tc>
          <w:tcPr>
            <w:tcW w:w="2126" w:type="pct"/>
            <w:vAlign w:val="center"/>
          </w:tcPr>
          <w:p w14:paraId="15401BCB" w14:textId="19DE0B85" w:rsidR="00C73EAE" w:rsidRPr="00170FDC" w:rsidRDefault="00D831FB" w:rsidP="00E061A4">
            <w:pPr>
              <w:pStyle w:val="Legenda"/>
              <w:jc w:val="both"/>
              <w:rPr>
                <w:rFonts w:cs="Arial"/>
                <w:sz w:val="22"/>
                <w:szCs w:val="22"/>
              </w:rPr>
            </w:pPr>
            <w:r>
              <w:rPr>
                <w:rFonts w:cs="Arial"/>
                <w:sz w:val="22"/>
                <w:szCs w:val="22"/>
              </w:rPr>
              <w:t>Considerando que os r</w:t>
            </w:r>
            <w:r w:rsidR="009131C4">
              <w:rPr>
                <w:rFonts w:cs="Arial"/>
                <w:sz w:val="22"/>
                <w:szCs w:val="22"/>
              </w:rPr>
              <w:t xml:space="preserve">iscos da operação cabem única e exclusivamente ao concessionário, entendemos que a avaliação de economicidade ou não para continuidade das atividades deve ser apenas do concessionário. </w:t>
            </w:r>
          </w:p>
        </w:tc>
      </w:tr>
      <w:tr w:rsidR="00C73EAE" w:rsidRPr="00170FDC" w14:paraId="5C4E0158" w14:textId="77777777" w:rsidTr="0003097F">
        <w:trPr>
          <w:trHeight w:val="2268"/>
        </w:trPr>
        <w:tc>
          <w:tcPr>
            <w:tcW w:w="553" w:type="pct"/>
            <w:vAlign w:val="center"/>
          </w:tcPr>
          <w:p w14:paraId="0B5852F5" w14:textId="77777777" w:rsidR="00C73EAE" w:rsidRPr="0061637B"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673300F" w14:textId="02DC335E" w:rsidR="00C73EAE" w:rsidRPr="006E166E" w:rsidRDefault="00B257A4" w:rsidP="00C73EAE">
            <w:pPr>
              <w:pStyle w:val="Legenda"/>
              <w:jc w:val="center"/>
              <w:rPr>
                <w:rFonts w:cs="Arial"/>
                <w:color w:val="000000" w:themeColor="text1"/>
                <w:sz w:val="22"/>
                <w:szCs w:val="22"/>
              </w:rPr>
            </w:pPr>
            <w:r>
              <w:rPr>
                <w:rFonts w:cs="Arial"/>
                <w:color w:val="000000" w:themeColor="text1"/>
                <w:sz w:val="22"/>
                <w:szCs w:val="22"/>
              </w:rPr>
              <w:t>Exclus</w:t>
            </w:r>
            <w:r w:rsidR="00C73EAE" w:rsidRPr="006E166E">
              <w:rPr>
                <w:rFonts w:cs="Arial"/>
                <w:color w:val="000000" w:themeColor="text1"/>
                <w:sz w:val="22"/>
                <w:szCs w:val="22"/>
              </w:rPr>
              <w:t>ão</w:t>
            </w:r>
          </w:p>
        </w:tc>
        <w:tc>
          <w:tcPr>
            <w:tcW w:w="494" w:type="pct"/>
            <w:vAlign w:val="center"/>
          </w:tcPr>
          <w:p w14:paraId="1C078BFD" w14:textId="37E2B8E1" w:rsidR="00C73EAE" w:rsidRPr="008E44C8" w:rsidRDefault="00B257A4" w:rsidP="00183142">
            <w:pPr>
              <w:pStyle w:val="Legenda"/>
              <w:jc w:val="center"/>
              <w:rPr>
                <w:rFonts w:cs="Arial"/>
                <w:color w:val="000000" w:themeColor="text1"/>
                <w:sz w:val="22"/>
                <w:szCs w:val="22"/>
              </w:rPr>
            </w:pPr>
            <w:r>
              <w:rPr>
                <w:rFonts w:cs="Arial"/>
                <w:color w:val="000000" w:themeColor="text1"/>
                <w:sz w:val="22"/>
                <w:szCs w:val="22"/>
              </w:rPr>
              <w:t>9.5.1.1</w:t>
            </w:r>
          </w:p>
        </w:tc>
        <w:tc>
          <w:tcPr>
            <w:tcW w:w="1386" w:type="pct"/>
            <w:vAlign w:val="center"/>
          </w:tcPr>
          <w:p w14:paraId="689228E6" w14:textId="54AB4B87" w:rsidR="00C73EAE" w:rsidRPr="00170FDC" w:rsidRDefault="00C73EAE" w:rsidP="00183142">
            <w:pPr>
              <w:pStyle w:val="Contrato-Clausula-Nvel2"/>
              <w:numPr>
                <w:ilvl w:val="0"/>
                <w:numId w:val="0"/>
              </w:numPr>
              <w:ind w:left="76"/>
              <w:rPr>
                <w:rFonts w:cs="Arial"/>
                <w:szCs w:val="22"/>
              </w:rPr>
            </w:pPr>
          </w:p>
        </w:tc>
        <w:tc>
          <w:tcPr>
            <w:tcW w:w="2126" w:type="pct"/>
            <w:vAlign w:val="center"/>
          </w:tcPr>
          <w:p w14:paraId="4A37DE0A" w14:textId="51FFB1CA" w:rsidR="00C73EAE" w:rsidRPr="00170FDC" w:rsidRDefault="00B257A4" w:rsidP="00E061A4">
            <w:pPr>
              <w:pStyle w:val="Legenda"/>
              <w:jc w:val="both"/>
              <w:rPr>
                <w:rFonts w:cs="Arial"/>
                <w:sz w:val="22"/>
                <w:szCs w:val="22"/>
              </w:rPr>
            </w:pPr>
            <w:r>
              <w:rPr>
                <w:rFonts w:cs="Arial"/>
                <w:sz w:val="22"/>
                <w:szCs w:val="22"/>
              </w:rPr>
              <w:t>Exclusão consistente com o comentário anterior.</w:t>
            </w:r>
          </w:p>
        </w:tc>
      </w:tr>
      <w:tr w:rsidR="00B249E0" w:rsidRPr="00170FDC" w14:paraId="4833683C" w14:textId="77777777" w:rsidTr="0003097F">
        <w:trPr>
          <w:trHeight w:val="2268"/>
        </w:trPr>
        <w:tc>
          <w:tcPr>
            <w:tcW w:w="553" w:type="pct"/>
            <w:vAlign w:val="center"/>
          </w:tcPr>
          <w:p w14:paraId="6226A1EA" w14:textId="41432A7A" w:rsidR="00B249E0" w:rsidRPr="0061637B" w:rsidRDefault="00B249E0" w:rsidP="00B249E0">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7F1E8C1C" w14:textId="48C171CC" w:rsidR="00B249E0" w:rsidRDefault="00B249E0" w:rsidP="00B249E0">
            <w:pPr>
              <w:pStyle w:val="Legenda"/>
              <w:jc w:val="center"/>
              <w:rPr>
                <w:rFonts w:cs="Arial"/>
                <w:color w:val="000000" w:themeColor="text1"/>
                <w:sz w:val="22"/>
                <w:szCs w:val="22"/>
              </w:rPr>
            </w:pPr>
            <w:r>
              <w:rPr>
                <w:rFonts w:cs="Arial"/>
                <w:color w:val="000000" w:themeColor="text1"/>
                <w:sz w:val="22"/>
                <w:szCs w:val="22"/>
              </w:rPr>
              <w:t>Exclus</w:t>
            </w:r>
            <w:r w:rsidRPr="006E166E">
              <w:rPr>
                <w:rFonts w:cs="Arial"/>
                <w:color w:val="000000" w:themeColor="text1"/>
                <w:sz w:val="22"/>
                <w:szCs w:val="22"/>
              </w:rPr>
              <w:t>ão</w:t>
            </w:r>
          </w:p>
        </w:tc>
        <w:tc>
          <w:tcPr>
            <w:tcW w:w="494" w:type="pct"/>
            <w:vAlign w:val="center"/>
          </w:tcPr>
          <w:p w14:paraId="51F202E9" w14:textId="7D7CB053" w:rsidR="00B249E0" w:rsidRDefault="00B249E0" w:rsidP="00183142">
            <w:pPr>
              <w:pStyle w:val="Legenda"/>
              <w:jc w:val="center"/>
              <w:rPr>
                <w:rFonts w:cs="Arial"/>
                <w:color w:val="000000" w:themeColor="text1"/>
                <w:sz w:val="22"/>
                <w:szCs w:val="22"/>
              </w:rPr>
            </w:pPr>
            <w:r>
              <w:rPr>
                <w:rFonts w:cs="Arial"/>
                <w:color w:val="000000" w:themeColor="text1"/>
                <w:sz w:val="22"/>
                <w:szCs w:val="22"/>
              </w:rPr>
              <w:t>9.5.2</w:t>
            </w:r>
          </w:p>
        </w:tc>
        <w:tc>
          <w:tcPr>
            <w:tcW w:w="1386" w:type="pct"/>
            <w:vAlign w:val="center"/>
          </w:tcPr>
          <w:p w14:paraId="4C667E7C" w14:textId="77777777" w:rsidR="00B249E0" w:rsidRPr="00170FDC" w:rsidRDefault="00B249E0" w:rsidP="00183142">
            <w:pPr>
              <w:pStyle w:val="Contrato-Clausula-Nvel2"/>
              <w:numPr>
                <w:ilvl w:val="0"/>
                <w:numId w:val="0"/>
              </w:numPr>
              <w:ind w:left="76"/>
              <w:rPr>
                <w:rFonts w:cs="Arial"/>
                <w:szCs w:val="22"/>
              </w:rPr>
            </w:pPr>
          </w:p>
        </w:tc>
        <w:tc>
          <w:tcPr>
            <w:tcW w:w="2126" w:type="pct"/>
            <w:vAlign w:val="center"/>
          </w:tcPr>
          <w:p w14:paraId="130F2CB9" w14:textId="7E513217" w:rsidR="00B249E0" w:rsidRDefault="00B249E0" w:rsidP="00E061A4">
            <w:pPr>
              <w:pStyle w:val="Legenda"/>
              <w:jc w:val="both"/>
              <w:rPr>
                <w:rFonts w:cs="Arial"/>
                <w:sz w:val="22"/>
                <w:szCs w:val="22"/>
              </w:rPr>
            </w:pPr>
            <w:r>
              <w:rPr>
                <w:rFonts w:cs="Arial"/>
                <w:sz w:val="22"/>
                <w:szCs w:val="22"/>
              </w:rPr>
              <w:t>Exclusão consistente com o coment</w:t>
            </w:r>
            <w:r w:rsidR="005A7778">
              <w:rPr>
                <w:rFonts w:cs="Arial"/>
                <w:sz w:val="22"/>
                <w:szCs w:val="22"/>
              </w:rPr>
              <w:t>ário anterior, cláusula 9.5.1.1</w:t>
            </w:r>
          </w:p>
        </w:tc>
      </w:tr>
      <w:tr w:rsidR="00AE603B" w:rsidRPr="00170FDC" w14:paraId="3C084ECD" w14:textId="77777777" w:rsidTr="0003097F">
        <w:trPr>
          <w:trHeight w:val="2268"/>
        </w:trPr>
        <w:tc>
          <w:tcPr>
            <w:tcW w:w="553" w:type="pct"/>
            <w:vAlign w:val="center"/>
          </w:tcPr>
          <w:p w14:paraId="2A4B3AD8" w14:textId="6196A50E" w:rsidR="00AE603B" w:rsidRPr="0061637B" w:rsidRDefault="00AE603B" w:rsidP="00AE603B">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31D2B5D" w14:textId="6B46EA71" w:rsidR="00AE603B" w:rsidRDefault="00AE603B" w:rsidP="00AE603B">
            <w:pPr>
              <w:pStyle w:val="Legenda"/>
              <w:jc w:val="center"/>
              <w:rPr>
                <w:rFonts w:cs="Arial"/>
                <w:color w:val="000000" w:themeColor="text1"/>
                <w:sz w:val="22"/>
                <w:szCs w:val="22"/>
              </w:rPr>
            </w:pPr>
            <w:r>
              <w:rPr>
                <w:rFonts w:cs="Arial"/>
                <w:color w:val="000000" w:themeColor="text1"/>
                <w:sz w:val="22"/>
                <w:szCs w:val="22"/>
              </w:rPr>
              <w:t>Exclus</w:t>
            </w:r>
            <w:r w:rsidRPr="006E166E">
              <w:rPr>
                <w:rFonts w:cs="Arial"/>
                <w:color w:val="000000" w:themeColor="text1"/>
                <w:sz w:val="22"/>
                <w:szCs w:val="22"/>
              </w:rPr>
              <w:t>ão</w:t>
            </w:r>
          </w:p>
        </w:tc>
        <w:tc>
          <w:tcPr>
            <w:tcW w:w="494" w:type="pct"/>
            <w:vAlign w:val="center"/>
          </w:tcPr>
          <w:p w14:paraId="31155FC9" w14:textId="15F8592F" w:rsidR="00AE603B" w:rsidRDefault="00AE603B" w:rsidP="00183142">
            <w:pPr>
              <w:pStyle w:val="Legenda"/>
              <w:jc w:val="center"/>
              <w:rPr>
                <w:rFonts w:cs="Arial"/>
                <w:color w:val="000000" w:themeColor="text1"/>
                <w:sz w:val="22"/>
                <w:szCs w:val="22"/>
              </w:rPr>
            </w:pPr>
            <w:r>
              <w:rPr>
                <w:rFonts w:cs="Arial"/>
                <w:color w:val="000000" w:themeColor="text1"/>
                <w:sz w:val="22"/>
                <w:szCs w:val="22"/>
              </w:rPr>
              <w:t>9.5.3</w:t>
            </w:r>
          </w:p>
        </w:tc>
        <w:tc>
          <w:tcPr>
            <w:tcW w:w="1386" w:type="pct"/>
            <w:vAlign w:val="center"/>
          </w:tcPr>
          <w:p w14:paraId="1C08630F" w14:textId="77777777" w:rsidR="00AE603B" w:rsidRPr="00170FDC" w:rsidRDefault="00AE603B" w:rsidP="00183142">
            <w:pPr>
              <w:pStyle w:val="Contrato-Clausula-Nvel2"/>
              <w:numPr>
                <w:ilvl w:val="0"/>
                <w:numId w:val="0"/>
              </w:numPr>
              <w:ind w:left="76"/>
              <w:rPr>
                <w:rFonts w:cs="Arial"/>
                <w:szCs w:val="22"/>
              </w:rPr>
            </w:pPr>
          </w:p>
        </w:tc>
        <w:tc>
          <w:tcPr>
            <w:tcW w:w="2126" w:type="pct"/>
            <w:vAlign w:val="center"/>
          </w:tcPr>
          <w:p w14:paraId="08CD0367" w14:textId="0F847786" w:rsidR="00AE603B" w:rsidRDefault="00AE603B" w:rsidP="00E061A4">
            <w:pPr>
              <w:pStyle w:val="Legenda"/>
              <w:jc w:val="both"/>
              <w:rPr>
                <w:rFonts w:cs="Arial"/>
                <w:sz w:val="22"/>
                <w:szCs w:val="22"/>
              </w:rPr>
            </w:pPr>
            <w:r>
              <w:rPr>
                <w:rFonts w:cs="Arial"/>
                <w:sz w:val="22"/>
                <w:szCs w:val="22"/>
              </w:rPr>
              <w:t>Exclusão consistente com o comentário anterior, cláusula 9.5.1.1</w:t>
            </w:r>
          </w:p>
        </w:tc>
      </w:tr>
      <w:tr w:rsidR="00C73EAE" w:rsidRPr="00170FDC" w14:paraId="14CAA63E" w14:textId="77777777" w:rsidTr="0003097F">
        <w:trPr>
          <w:trHeight w:val="2268"/>
        </w:trPr>
        <w:tc>
          <w:tcPr>
            <w:tcW w:w="553" w:type="pct"/>
            <w:vAlign w:val="center"/>
          </w:tcPr>
          <w:p w14:paraId="23C9F878"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64DE2A5"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4FC9F9E" w14:textId="54E53394" w:rsidR="00C73EAE" w:rsidRPr="008E44C8" w:rsidRDefault="005068FD" w:rsidP="00183142">
            <w:pPr>
              <w:pStyle w:val="Legenda"/>
              <w:jc w:val="center"/>
              <w:rPr>
                <w:rFonts w:cs="Arial"/>
                <w:color w:val="000000" w:themeColor="text1"/>
                <w:sz w:val="22"/>
                <w:szCs w:val="22"/>
              </w:rPr>
            </w:pPr>
            <w:r>
              <w:rPr>
                <w:rFonts w:cs="Arial"/>
                <w:color w:val="000000" w:themeColor="text1"/>
                <w:sz w:val="22"/>
                <w:szCs w:val="22"/>
              </w:rPr>
              <w:t>9.6</w:t>
            </w:r>
          </w:p>
        </w:tc>
        <w:tc>
          <w:tcPr>
            <w:tcW w:w="1386" w:type="pct"/>
            <w:vAlign w:val="center"/>
          </w:tcPr>
          <w:p w14:paraId="2A845BC6" w14:textId="5D3B31D5" w:rsidR="00C73EAE" w:rsidRPr="00170FDC" w:rsidRDefault="00C73EAE" w:rsidP="00183142">
            <w:pPr>
              <w:pStyle w:val="Contrato-Clausula-Nvel2"/>
              <w:numPr>
                <w:ilvl w:val="0"/>
                <w:numId w:val="0"/>
              </w:numPr>
              <w:ind w:left="76"/>
              <w:rPr>
                <w:rFonts w:cs="Arial"/>
                <w:color w:val="000000" w:themeColor="text1"/>
                <w:szCs w:val="22"/>
              </w:rPr>
            </w:pPr>
            <w:bookmarkStart w:id="8" w:name="_Ref346439100"/>
            <w:r w:rsidRPr="00170FDC">
              <w:rPr>
                <w:rFonts w:cs="Arial"/>
                <w:szCs w:val="22"/>
              </w:rPr>
              <w:t>Ocorrendo a prorrogação da Fase de Produção, nos termos dos parágrafos 9.3 ou 9.4, continuarão as Partes obrigadas pelos exatos termos e condições deste Contrato</w:t>
            </w:r>
            <w:bookmarkEnd w:id="8"/>
            <w:r w:rsidRPr="00170FDC">
              <w:rPr>
                <w:rFonts w:cs="Arial"/>
                <w:szCs w:val="22"/>
              </w:rPr>
              <w:t>,</w:t>
            </w:r>
          </w:p>
        </w:tc>
        <w:tc>
          <w:tcPr>
            <w:tcW w:w="2126" w:type="pct"/>
            <w:vAlign w:val="center"/>
          </w:tcPr>
          <w:p w14:paraId="32C17992" w14:textId="77777777" w:rsidR="00C73EAE" w:rsidRPr="00170FDC" w:rsidRDefault="00C73EAE" w:rsidP="00E061A4">
            <w:pPr>
              <w:pStyle w:val="Legenda"/>
              <w:jc w:val="both"/>
              <w:rPr>
                <w:rFonts w:cs="Arial"/>
                <w:sz w:val="22"/>
                <w:szCs w:val="22"/>
              </w:rPr>
            </w:pPr>
            <w:r w:rsidRPr="00170FDC">
              <w:rPr>
                <w:rFonts w:cs="Arial"/>
                <w:sz w:val="22"/>
                <w:szCs w:val="22"/>
              </w:rPr>
              <w:t>Sugerimos a exclusão deste trecho, diante da possibilidade de serem formuladas pela ANP  exigências que modificariam os termos do Contrato de Concessão, condicionando a prorrogação ao cumprimento de tais exigências, ferindo a legislação e o princípio da vinculação ao edital.</w:t>
            </w:r>
          </w:p>
          <w:p w14:paraId="4361AA2F" w14:textId="77777777" w:rsidR="00C73EAE" w:rsidRPr="00170FDC" w:rsidRDefault="00C73EAE" w:rsidP="00E061A4">
            <w:pPr>
              <w:pStyle w:val="Legenda"/>
              <w:jc w:val="both"/>
              <w:rPr>
                <w:rFonts w:cs="Arial"/>
                <w:sz w:val="22"/>
                <w:szCs w:val="22"/>
              </w:rPr>
            </w:pPr>
            <w:r w:rsidRPr="00170FDC">
              <w:rPr>
                <w:rFonts w:cs="Arial"/>
                <w:sz w:val="22"/>
                <w:szCs w:val="22"/>
              </w:rPr>
              <w:t>A aprovação da postergação da fase de produção é decisiva para a realização de novos investimentos que somente apresentem retorno após os 27 anos iniciais. Tais investimentos e o prosseguimento das atividades de produção garantem o atendimento de uma série de objetivos da política energética nacional; assegurando inclusive a continuidade quanto ao recebimento de royalties e eventual Participação Especial pelos entes beneficiados, trazendo, assim, benefícios para o setor, para o País e para a sociedade.</w:t>
            </w:r>
          </w:p>
        </w:tc>
      </w:tr>
      <w:tr w:rsidR="00700C2E" w:rsidRPr="00170FDC" w14:paraId="1A944AE7" w14:textId="77777777" w:rsidTr="0003097F">
        <w:trPr>
          <w:trHeight w:val="2268"/>
        </w:trPr>
        <w:tc>
          <w:tcPr>
            <w:tcW w:w="553" w:type="pct"/>
            <w:vAlign w:val="center"/>
          </w:tcPr>
          <w:p w14:paraId="72B8727B" w14:textId="26C0E16C" w:rsidR="00700C2E" w:rsidRPr="0061637B" w:rsidRDefault="00700C2E" w:rsidP="00C73EAE">
            <w:pPr>
              <w:pStyle w:val="Legenda"/>
              <w:jc w:val="center"/>
              <w:rPr>
                <w:rFonts w:cs="Arial"/>
                <w:color w:val="000000" w:themeColor="text1"/>
                <w:sz w:val="22"/>
                <w:szCs w:val="22"/>
              </w:rPr>
            </w:pPr>
            <w:r>
              <w:rPr>
                <w:rFonts w:cs="Arial"/>
                <w:color w:val="000000" w:themeColor="text1"/>
                <w:sz w:val="22"/>
                <w:szCs w:val="22"/>
              </w:rPr>
              <w:lastRenderedPageBreak/>
              <w:t>Contrato</w:t>
            </w:r>
          </w:p>
        </w:tc>
        <w:tc>
          <w:tcPr>
            <w:tcW w:w="441" w:type="pct"/>
            <w:vAlign w:val="center"/>
          </w:tcPr>
          <w:p w14:paraId="290CD464" w14:textId="6F623CBC" w:rsidR="00700C2E" w:rsidRPr="00A4424E" w:rsidRDefault="00700C2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6C3CD5F8" w14:textId="460A4FCB" w:rsidR="00700C2E" w:rsidRPr="008E44C8" w:rsidRDefault="00700C2E" w:rsidP="00183142">
            <w:pPr>
              <w:pStyle w:val="Legenda"/>
              <w:jc w:val="center"/>
              <w:rPr>
                <w:rFonts w:cs="Arial"/>
                <w:color w:val="000000" w:themeColor="text1"/>
                <w:sz w:val="22"/>
                <w:szCs w:val="22"/>
              </w:rPr>
            </w:pPr>
            <w:r>
              <w:rPr>
                <w:rFonts w:cs="Arial"/>
                <w:color w:val="000000" w:themeColor="text1"/>
                <w:sz w:val="22"/>
                <w:szCs w:val="22"/>
              </w:rPr>
              <w:t>9.8</w:t>
            </w:r>
          </w:p>
        </w:tc>
        <w:tc>
          <w:tcPr>
            <w:tcW w:w="1386" w:type="pct"/>
            <w:vAlign w:val="center"/>
          </w:tcPr>
          <w:p w14:paraId="74E97C88" w14:textId="42F3A819" w:rsidR="00700C2E" w:rsidRPr="00E061A4" w:rsidRDefault="00E04D72" w:rsidP="00183142">
            <w:pPr>
              <w:pStyle w:val="Legenda"/>
              <w:jc w:val="both"/>
              <w:rPr>
                <w:rFonts w:cs="Arial"/>
                <w:sz w:val="22"/>
                <w:szCs w:val="22"/>
              </w:rPr>
            </w:pPr>
            <w:bookmarkStart w:id="9" w:name="_Ref295239401"/>
            <w:r w:rsidRPr="00E061A4">
              <w:rPr>
                <w:rFonts w:cs="Arial"/>
                <w:sz w:val="22"/>
                <w:szCs w:val="22"/>
              </w:rPr>
              <w:t>Concluída a Fase de Produção nos termos do parágrafo 9.1, o Campo será devolvido à ANP.</w:t>
            </w:r>
            <w:bookmarkEnd w:id="9"/>
          </w:p>
        </w:tc>
        <w:tc>
          <w:tcPr>
            <w:tcW w:w="2126" w:type="pct"/>
            <w:vAlign w:val="center"/>
          </w:tcPr>
          <w:p w14:paraId="3C5B6DE9" w14:textId="2CB4A70F" w:rsidR="00700C2E" w:rsidRPr="00A4424E" w:rsidRDefault="00EC3CD7" w:rsidP="00E061A4">
            <w:pPr>
              <w:pStyle w:val="Legenda"/>
              <w:jc w:val="both"/>
              <w:rPr>
                <w:rFonts w:cs="Arial"/>
                <w:sz w:val="22"/>
                <w:szCs w:val="22"/>
              </w:rPr>
            </w:pPr>
            <w:r>
              <w:rPr>
                <w:rFonts w:cs="Arial"/>
                <w:sz w:val="22"/>
                <w:szCs w:val="22"/>
              </w:rPr>
              <w:t xml:space="preserve">Sugerimos a redação contida na cláusula 9.7 do contrato de concessão da R14 </w:t>
            </w:r>
            <w:r w:rsidR="00700C2E">
              <w:rPr>
                <w:rFonts w:cs="Arial"/>
                <w:sz w:val="22"/>
                <w:szCs w:val="22"/>
              </w:rPr>
              <w:t xml:space="preserve">que indicava a conclusão na fase de produção como um critério objetivo para a devolução do campo. </w:t>
            </w:r>
          </w:p>
        </w:tc>
      </w:tr>
      <w:tr w:rsidR="00EC3CD7" w:rsidRPr="00170FDC" w14:paraId="5FADE86A" w14:textId="77777777" w:rsidTr="0003097F">
        <w:trPr>
          <w:trHeight w:val="2268"/>
        </w:trPr>
        <w:tc>
          <w:tcPr>
            <w:tcW w:w="553" w:type="pct"/>
            <w:vAlign w:val="center"/>
          </w:tcPr>
          <w:p w14:paraId="57B93351" w14:textId="3CD41A6E" w:rsidR="00EC3CD7" w:rsidRDefault="00EC3CD7" w:rsidP="00C73EAE">
            <w:pPr>
              <w:pStyle w:val="Legenda"/>
              <w:jc w:val="center"/>
              <w:rPr>
                <w:rFonts w:cs="Arial"/>
                <w:color w:val="000000" w:themeColor="text1"/>
                <w:sz w:val="22"/>
                <w:szCs w:val="22"/>
              </w:rPr>
            </w:pPr>
            <w:r>
              <w:rPr>
                <w:rFonts w:cs="Arial"/>
                <w:color w:val="000000" w:themeColor="text1"/>
                <w:sz w:val="22"/>
                <w:szCs w:val="22"/>
              </w:rPr>
              <w:t>Contrato</w:t>
            </w:r>
          </w:p>
        </w:tc>
        <w:tc>
          <w:tcPr>
            <w:tcW w:w="441" w:type="pct"/>
            <w:vAlign w:val="center"/>
          </w:tcPr>
          <w:p w14:paraId="76F291C0" w14:textId="0E098236" w:rsidR="00EC3CD7" w:rsidRDefault="00EC3CD7"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52CE5F18" w14:textId="2979B2FB" w:rsidR="00EC3CD7" w:rsidRDefault="00EC3CD7" w:rsidP="00183142">
            <w:pPr>
              <w:pStyle w:val="Legenda"/>
              <w:jc w:val="center"/>
              <w:rPr>
                <w:rFonts w:cs="Arial"/>
                <w:color w:val="000000" w:themeColor="text1"/>
                <w:sz w:val="22"/>
                <w:szCs w:val="22"/>
              </w:rPr>
            </w:pPr>
            <w:r>
              <w:rPr>
                <w:rFonts w:cs="Arial"/>
                <w:color w:val="000000" w:themeColor="text1"/>
                <w:sz w:val="22"/>
                <w:szCs w:val="22"/>
              </w:rPr>
              <w:t>9.11</w:t>
            </w:r>
          </w:p>
        </w:tc>
        <w:tc>
          <w:tcPr>
            <w:tcW w:w="1386" w:type="pct"/>
            <w:vAlign w:val="center"/>
          </w:tcPr>
          <w:p w14:paraId="52230EBC" w14:textId="6C53E0BD" w:rsidR="00EC3CD7" w:rsidRPr="00E061A4" w:rsidRDefault="00EC3CD7" w:rsidP="00183142">
            <w:pPr>
              <w:pStyle w:val="Legenda"/>
              <w:jc w:val="both"/>
              <w:rPr>
                <w:rFonts w:cs="Arial"/>
                <w:sz w:val="22"/>
                <w:szCs w:val="22"/>
              </w:rPr>
            </w:pPr>
            <w:r w:rsidRPr="00E061A4">
              <w:rPr>
                <w:rFonts w:cs="Arial"/>
                <w:sz w:val="22"/>
                <w:szCs w:val="22"/>
              </w:rPr>
              <w:t>Na ausência de regulamentação específica, a ANP terá o prazo de 180 (cento e oitenta) dias, contados da data de recebimento do Programa de Desativação das Instalações, para aprová-lo ou solicitar ao Concessionário as modificações que julgar cabíveis.</w:t>
            </w:r>
          </w:p>
        </w:tc>
        <w:tc>
          <w:tcPr>
            <w:tcW w:w="2126" w:type="pct"/>
            <w:vAlign w:val="center"/>
          </w:tcPr>
          <w:p w14:paraId="25F9152B" w14:textId="448F377E" w:rsidR="00EC3CD7" w:rsidRDefault="00EC3CD7" w:rsidP="00E061A4">
            <w:pPr>
              <w:pStyle w:val="Legenda"/>
              <w:jc w:val="both"/>
              <w:rPr>
                <w:rFonts w:cs="Arial"/>
                <w:sz w:val="22"/>
                <w:szCs w:val="22"/>
              </w:rPr>
            </w:pPr>
            <w:r>
              <w:rPr>
                <w:rFonts w:cs="Arial"/>
                <w:sz w:val="22"/>
                <w:szCs w:val="22"/>
              </w:rPr>
              <w:t>Sugerimos a redação contida na cláusula 9.10 do contrato de concessão da R14 que estipula 180 dias para que a ANP aprove o programa de d</w:t>
            </w:r>
            <w:r w:rsidR="00A30D15">
              <w:rPr>
                <w:rFonts w:cs="Arial"/>
                <w:sz w:val="22"/>
                <w:szCs w:val="22"/>
              </w:rPr>
              <w:t>e</w:t>
            </w:r>
            <w:r>
              <w:rPr>
                <w:rFonts w:cs="Arial"/>
                <w:sz w:val="22"/>
                <w:szCs w:val="22"/>
              </w:rPr>
              <w:t>sativação permitindo que a efetiva desativação se dê tão logo concluída a fase de produção.</w:t>
            </w:r>
          </w:p>
        </w:tc>
      </w:tr>
      <w:tr w:rsidR="00C73EAE" w:rsidRPr="00170FDC" w14:paraId="7243A0D4" w14:textId="77777777" w:rsidTr="0003097F">
        <w:trPr>
          <w:trHeight w:val="2268"/>
        </w:trPr>
        <w:tc>
          <w:tcPr>
            <w:tcW w:w="553" w:type="pct"/>
            <w:vAlign w:val="center"/>
          </w:tcPr>
          <w:p w14:paraId="18546B4E"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9A54056"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3A21B80" w14:textId="5DC15DB6" w:rsidR="00C73EAE" w:rsidRPr="008E44C8" w:rsidRDefault="00DE352E" w:rsidP="00183142">
            <w:pPr>
              <w:pStyle w:val="Legenda"/>
              <w:jc w:val="center"/>
              <w:rPr>
                <w:rFonts w:cs="Arial"/>
                <w:color w:val="000000" w:themeColor="text1"/>
                <w:sz w:val="22"/>
                <w:szCs w:val="22"/>
              </w:rPr>
            </w:pPr>
            <w:r>
              <w:rPr>
                <w:rFonts w:cs="Arial"/>
                <w:color w:val="000000" w:themeColor="text1"/>
                <w:sz w:val="22"/>
                <w:szCs w:val="22"/>
              </w:rPr>
              <w:t>10.1</w:t>
            </w:r>
          </w:p>
        </w:tc>
        <w:tc>
          <w:tcPr>
            <w:tcW w:w="1386" w:type="pct"/>
            <w:vAlign w:val="center"/>
          </w:tcPr>
          <w:p w14:paraId="0D05EBDF" w14:textId="77777777" w:rsidR="00C73EAE" w:rsidRPr="00170FDC" w:rsidRDefault="00C73EAE" w:rsidP="00183142">
            <w:pPr>
              <w:pStyle w:val="Legenda"/>
              <w:jc w:val="both"/>
              <w:rPr>
                <w:rFonts w:cs="Arial"/>
                <w:color w:val="000000" w:themeColor="text1"/>
                <w:sz w:val="22"/>
                <w:szCs w:val="22"/>
              </w:rPr>
            </w:pPr>
            <w:r w:rsidRPr="00170FDC">
              <w:rPr>
                <w:rFonts w:cs="Arial"/>
                <w:color w:val="000000" w:themeColor="text1"/>
                <w:sz w:val="22"/>
                <w:szCs w:val="22"/>
              </w:rPr>
              <w:t>O Concessionário deverá apresentar o Plano de Desenvolvimento à ANP no prazo de 180 (cento e oitenta) dias</w:t>
            </w:r>
            <w:r>
              <w:rPr>
                <w:rFonts w:cs="Arial"/>
                <w:color w:val="000000" w:themeColor="text1"/>
                <w:sz w:val="22"/>
                <w:szCs w:val="22"/>
              </w:rPr>
              <w:t>,</w:t>
            </w:r>
            <w:r w:rsidRPr="00170FDC">
              <w:rPr>
                <w:rFonts w:cs="Arial"/>
                <w:color w:val="000000" w:themeColor="text1"/>
                <w:sz w:val="22"/>
                <w:szCs w:val="22"/>
              </w:rPr>
              <w:t xml:space="preserve"> contados </w:t>
            </w:r>
            <w:r>
              <w:rPr>
                <w:rFonts w:cs="Arial"/>
                <w:color w:val="000000" w:themeColor="text1"/>
                <w:sz w:val="22"/>
                <w:szCs w:val="22"/>
              </w:rPr>
              <w:t xml:space="preserve">a partir da </w:t>
            </w:r>
            <w:r w:rsidRPr="00547E56">
              <w:rPr>
                <w:rFonts w:cs="Arial"/>
                <w:color w:val="000000" w:themeColor="text1"/>
                <w:sz w:val="22"/>
                <w:szCs w:val="22"/>
              </w:rPr>
              <w:t xml:space="preserve">submissão da Declaração de Comercialidade </w:t>
            </w:r>
            <w:r>
              <w:rPr>
                <w:rFonts w:cs="Arial"/>
                <w:color w:val="000000" w:themeColor="text1"/>
                <w:sz w:val="22"/>
                <w:szCs w:val="22"/>
              </w:rPr>
              <w:t xml:space="preserve">ou </w:t>
            </w:r>
            <w:r w:rsidRPr="00170FDC">
              <w:rPr>
                <w:rFonts w:cs="Arial"/>
                <w:color w:val="000000" w:themeColor="text1"/>
                <w:sz w:val="22"/>
                <w:szCs w:val="22"/>
              </w:rPr>
              <w:t>do recebimento</w:t>
            </w:r>
            <w:r>
              <w:rPr>
                <w:rFonts w:cs="Arial"/>
                <w:color w:val="000000" w:themeColor="text1"/>
                <w:sz w:val="22"/>
                <w:szCs w:val="22"/>
              </w:rPr>
              <w:t>,</w:t>
            </w:r>
            <w:r w:rsidRPr="00170FDC">
              <w:rPr>
                <w:rFonts w:cs="Arial"/>
                <w:color w:val="000000" w:themeColor="text1"/>
                <w:sz w:val="22"/>
                <w:szCs w:val="22"/>
              </w:rPr>
              <w:t xml:space="preserve"> pelo operador</w:t>
            </w:r>
            <w:r>
              <w:rPr>
                <w:rFonts w:cs="Arial"/>
                <w:color w:val="000000" w:themeColor="text1"/>
                <w:sz w:val="22"/>
                <w:szCs w:val="22"/>
              </w:rPr>
              <w:t>,</w:t>
            </w:r>
            <w:r w:rsidRPr="00170FDC">
              <w:rPr>
                <w:rFonts w:cs="Arial"/>
                <w:color w:val="000000" w:themeColor="text1"/>
                <w:sz w:val="22"/>
                <w:szCs w:val="22"/>
              </w:rPr>
              <w:t xml:space="preserve"> de comunicação de aprovação do Relatório Final de Avaliação de Descoberta</w:t>
            </w:r>
            <w:r>
              <w:rPr>
                <w:rFonts w:cs="Arial"/>
                <w:color w:val="000000" w:themeColor="text1"/>
                <w:sz w:val="22"/>
                <w:szCs w:val="22"/>
              </w:rPr>
              <w:t>.</w:t>
            </w:r>
          </w:p>
        </w:tc>
        <w:tc>
          <w:tcPr>
            <w:tcW w:w="2126" w:type="pct"/>
            <w:vAlign w:val="center"/>
          </w:tcPr>
          <w:p w14:paraId="3FE93FDC" w14:textId="48F02D2D" w:rsidR="00C73EAE" w:rsidRPr="00170FDC" w:rsidRDefault="0048158E" w:rsidP="00E061A4">
            <w:pPr>
              <w:pStyle w:val="Legenda"/>
              <w:jc w:val="both"/>
              <w:rPr>
                <w:rFonts w:cs="Arial"/>
                <w:sz w:val="22"/>
                <w:szCs w:val="22"/>
              </w:rPr>
            </w:pPr>
            <w:r>
              <w:rPr>
                <w:rFonts w:cs="Arial"/>
                <w:sz w:val="22"/>
                <w:szCs w:val="22"/>
              </w:rPr>
              <w:t xml:space="preserve">Considerando que a declaração de comercialidade é uma prerrogativa do concessionário, esta não poderá estar sujeita ao PAD. </w:t>
            </w:r>
            <w:r w:rsidR="00C73EAE">
              <w:rPr>
                <w:rFonts w:cs="Arial"/>
                <w:sz w:val="22"/>
                <w:szCs w:val="22"/>
              </w:rPr>
              <w:t>A contagem do prazo de entrega do Plano de Desenvolvimento, via de regra, tem início após a apresentação da Declaração de Comercialidade. Nas hipóteses em que o concessionário decida por avaliar uma</w:t>
            </w:r>
            <w:r>
              <w:rPr>
                <w:rFonts w:cs="Arial"/>
                <w:sz w:val="22"/>
                <w:szCs w:val="22"/>
              </w:rPr>
              <w:t xml:space="preserve"> descoberta</w:t>
            </w:r>
            <w:r w:rsidR="00C73EAE">
              <w:rPr>
                <w:rFonts w:cs="Arial"/>
                <w:sz w:val="22"/>
                <w:szCs w:val="22"/>
              </w:rPr>
              <w:t>, a Declaração de Comercialidade será então apresentada concomitantemente ao Relatório Final do correspondente Plano de Avaliação de Descoberta. O prazo para entrega do PD, por sua vez, terá sua contagem iniciada após a aprovação pela ANP do Relatório Final de Avaliação da Descoberta. As mudanças ora propostas objetivam explicitar de maneira objetiva os marcos temporais aplicáveis tanto à regra geral (contagem do prazo a partir da declaração de comercialidade até o fim da fase de exploração), e sua exceção (contagem do prazo após a aprovação do relatório final de avaliação de descoberta).</w:t>
            </w:r>
          </w:p>
        </w:tc>
      </w:tr>
      <w:tr w:rsidR="00C73EAE" w:rsidRPr="00170FDC" w14:paraId="410D7634" w14:textId="77777777" w:rsidTr="0003097F">
        <w:trPr>
          <w:trHeight w:val="2268"/>
        </w:trPr>
        <w:tc>
          <w:tcPr>
            <w:tcW w:w="553" w:type="pct"/>
            <w:vAlign w:val="center"/>
          </w:tcPr>
          <w:p w14:paraId="277DD0EA"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20C46A11"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2A25C579" w14:textId="09723FDB" w:rsidR="00C73EAE" w:rsidRPr="008E44C8" w:rsidRDefault="00DE352E" w:rsidP="00183142">
            <w:pPr>
              <w:pStyle w:val="Legenda"/>
              <w:jc w:val="center"/>
              <w:rPr>
                <w:rFonts w:cs="Arial"/>
                <w:color w:val="000000" w:themeColor="text1"/>
                <w:sz w:val="22"/>
                <w:szCs w:val="22"/>
              </w:rPr>
            </w:pPr>
            <w:r>
              <w:rPr>
                <w:rFonts w:cs="Arial"/>
                <w:color w:val="000000" w:themeColor="text1"/>
                <w:sz w:val="22"/>
                <w:szCs w:val="22"/>
              </w:rPr>
              <w:t>10.1.2</w:t>
            </w:r>
          </w:p>
        </w:tc>
        <w:tc>
          <w:tcPr>
            <w:tcW w:w="1386" w:type="pct"/>
            <w:vAlign w:val="center"/>
          </w:tcPr>
          <w:p w14:paraId="06158EC0" w14:textId="77777777" w:rsidR="00C73EAE" w:rsidRPr="00170FDC" w:rsidRDefault="00C73EAE" w:rsidP="00183142">
            <w:pPr>
              <w:pStyle w:val="Legenda"/>
              <w:jc w:val="both"/>
              <w:rPr>
                <w:rFonts w:cs="Arial"/>
                <w:color w:val="000000" w:themeColor="text1"/>
                <w:sz w:val="22"/>
                <w:szCs w:val="22"/>
              </w:rPr>
            </w:pPr>
            <w:r>
              <w:rPr>
                <w:rFonts w:cs="Arial"/>
                <w:color w:val="000000" w:themeColor="text1"/>
                <w:sz w:val="22"/>
                <w:szCs w:val="22"/>
              </w:rPr>
              <w:t xml:space="preserve">O prazo para apresentação do Plano de Desenvolvimento à ANP, poderá ser </w:t>
            </w:r>
            <w:r w:rsidRPr="00170FDC">
              <w:rPr>
                <w:rFonts w:cs="Arial"/>
                <w:sz w:val="22"/>
                <w:szCs w:val="22"/>
              </w:rPr>
              <w:t>prorrogado mediante requerimento fundamentado do concessionário, sujeito à aprovação prévia da ANP.</w:t>
            </w:r>
          </w:p>
        </w:tc>
        <w:tc>
          <w:tcPr>
            <w:tcW w:w="2126" w:type="pct"/>
            <w:vAlign w:val="center"/>
          </w:tcPr>
          <w:p w14:paraId="0411FC6C" w14:textId="77777777" w:rsidR="00C73EAE" w:rsidRPr="00170FDC" w:rsidDel="00547E56" w:rsidRDefault="00C73EAE" w:rsidP="00E061A4">
            <w:pPr>
              <w:pStyle w:val="Legenda"/>
              <w:jc w:val="both"/>
              <w:rPr>
                <w:rFonts w:cs="Arial"/>
                <w:sz w:val="22"/>
                <w:szCs w:val="22"/>
              </w:rPr>
            </w:pPr>
            <w:r w:rsidRPr="00170FDC">
              <w:rPr>
                <w:rFonts w:cs="Arial"/>
                <w:sz w:val="22"/>
                <w:szCs w:val="22"/>
              </w:rPr>
              <w:t>Os casos práticos têm demonstrado que o prazo de 180 dias, por vezes, se demonstra exíguo, sendo certo que não existe instrumento normativo-legal que vede a prorrogação do prazo nas hipóteses devidamente justificadas pelo concessionário. Ademais, a Resolução ANP nº 17/2015 estabelece a participação da ANP no processo de elaboração do Plano de Desenvolvimento, podendo acarretar em novas demandas e, por conseguinte, tempo adicional, para apresentação do citado plano.</w:t>
            </w:r>
          </w:p>
        </w:tc>
      </w:tr>
      <w:tr w:rsidR="00C73EAE" w:rsidRPr="00170FDC" w14:paraId="2859B864" w14:textId="77777777" w:rsidTr="0003097F">
        <w:trPr>
          <w:trHeight w:val="2268"/>
        </w:trPr>
        <w:tc>
          <w:tcPr>
            <w:tcW w:w="553" w:type="pct"/>
            <w:vAlign w:val="center"/>
          </w:tcPr>
          <w:p w14:paraId="3C7C80DB"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F6834D8"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BBFE96F"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10.4</w:t>
            </w:r>
          </w:p>
        </w:tc>
        <w:tc>
          <w:tcPr>
            <w:tcW w:w="1386" w:type="pct"/>
            <w:vAlign w:val="center"/>
          </w:tcPr>
          <w:p w14:paraId="31BF3E24" w14:textId="421BF0CF" w:rsidR="00C73EAE" w:rsidRPr="00E061A4" w:rsidRDefault="00C73EAE" w:rsidP="00183142">
            <w:pPr>
              <w:pStyle w:val="Contrato-Clausula-Nvel2"/>
              <w:numPr>
                <w:ilvl w:val="0"/>
                <w:numId w:val="0"/>
              </w:numPr>
              <w:rPr>
                <w:rFonts w:cs="Arial"/>
                <w:szCs w:val="22"/>
              </w:rPr>
            </w:pPr>
            <w:r w:rsidRPr="00170FDC">
              <w:rPr>
                <w:rFonts w:cs="Arial"/>
                <w:szCs w:val="22"/>
              </w:rPr>
              <w:t xml:space="preserve">A Área de Desenvolvimento deverá abranger a(s) Jazida(s) a ser(em) produzida(s), conforme constante(s) </w:t>
            </w:r>
            <w:r w:rsidR="00177029">
              <w:rPr>
                <w:rFonts w:cs="Arial"/>
                <w:szCs w:val="22"/>
              </w:rPr>
              <w:t>na(s) respectiva(s) Declaração(õ</w:t>
            </w:r>
            <w:r w:rsidR="00E061A4">
              <w:rPr>
                <w:rFonts w:cs="Arial"/>
                <w:szCs w:val="22"/>
              </w:rPr>
              <w:t>es) de Comercialidade.</w:t>
            </w:r>
          </w:p>
        </w:tc>
        <w:tc>
          <w:tcPr>
            <w:tcW w:w="2126" w:type="pct"/>
            <w:vAlign w:val="center"/>
          </w:tcPr>
          <w:p w14:paraId="10BFC79E" w14:textId="5E9C1ECC" w:rsidR="00C73EAE" w:rsidRPr="00170FDC" w:rsidRDefault="00EC65D7" w:rsidP="00E061A4">
            <w:pPr>
              <w:pStyle w:val="Legenda"/>
              <w:jc w:val="both"/>
              <w:rPr>
                <w:rFonts w:cs="Arial"/>
                <w:sz w:val="22"/>
                <w:szCs w:val="22"/>
              </w:rPr>
            </w:pPr>
            <w:r>
              <w:rPr>
                <w:rFonts w:cs="Arial"/>
                <w:sz w:val="22"/>
                <w:szCs w:val="22"/>
              </w:rPr>
              <w:t xml:space="preserve">A área objeto do contrato de concessão pode conter </w:t>
            </w:r>
            <w:r w:rsidR="00C73EAE">
              <w:rPr>
                <w:rFonts w:cs="Arial"/>
                <w:sz w:val="22"/>
                <w:szCs w:val="22"/>
              </w:rPr>
              <w:t xml:space="preserve">uma ou </w:t>
            </w:r>
            <w:r w:rsidR="00C73EAE" w:rsidRPr="00170FDC">
              <w:rPr>
                <w:rFonts w:cs="Arial"/>
                <w:sz w:val="22"/>
                <w:szCs w:val="22"/>
              </w:rPr>
              <w:t xml:space="preserve">mais </w:t>
            </w:r>
            <w:r w:rsidR="00C73EAE">
              <w:rPr>
                <w:rFonts w:cs="Arial"/>
                <w:sz w:val="22"/>
                <w:szCs w:val="22"/>
              </w:rPr>
              <w:t>Jazidas</w:t>
            </w:r>
            <w:r>
              <w:rPr>
                <w:rFonts w:cs="Arial"/>
                <w:sz w:val="22"/>
                <w:szCs w:val="22"/>
              </w:rPr>
              <w:t>.</w:t>
            </w:r>
            <w:r w:rsidR="00C73EAE">
              <w:rPr>
                <w:rFonts w:cs="Arial"/>
                <w:sz w:val="22"/>
                <w:szCs w:val="22"/>
              </w:rPr>
              <w:t xml:space="preserve"> </w:t>
            </w:r>
            <w:r>
              <w:rPr>
                <w:rFonts w:cs="Arial"/>
                <w:sz w:val="22"/>
                <w:szCs w:val="22"/>
              </w:rPr>
              <w:t>E, dependendo das características geológicas, poderão ensejar a definição de áreas de desenvolvimento distintas.</w:t>
            </w:r>
          </w:p>
        </w:tc>
      </w:tr>
      <w:tr w:rsidR="00C73EAE" w:rsidRPr="00170FDC" w14:paraId="43B36E6C" w14:textId="77777777" w:rsidTr="0003097F">
        <w:trPr>
          <w:trHeight w:val="2268"/>
        </w:trPr>
        <w:tc>
          <w:tcPr>
            <w:tcW w:w="553" w:type="pct"/>
            <w:vAlign w:val="center"/>
          </w:tcPr>
          <w:p w14:paraId="01D70B11"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1D02FE4"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ACA17D2" w14:textId="12369C2C" w:rsidR="00C73EAE" w:rsidRPr="008E44C8" w:rsidRDefault="002E3A6D" w:rsidP="00183142">
            <w:pPr>
              <w:pStyle w:val="Legenda"/>
              <w:jc w:val="center"/>
              <w:rPr>
                <w:rFonts w:cs="Arial"/>
                <w:color w:val="000000" w:themeColor="text1"/>
                <w:sz w:val="22"/>
                <w:szCs w:val="22"/>
                <w:highlight w:val="yellow"/>
              </w:rPr>
            </w:pPr>
            <w:r>
              <w:rPr>
                <w:rFonts w:cs="Arial"/>
                <w:color w:val="000000" w:themeColor="text1"/>
                <w:sz w:val="22"/>
                <w:szCs w:val="22"/>
              </w:rPr>
              <w:t>10.11</w:t>
            </w:r>
            <w:r w:rsidR="00C73EAE" w:rsidRPr="008E44C8">
              <w:rPr>
                <w:rFonts w:cs="Arial"/>
                <w:color w:val="000000" w:themeColor="text1"/>
                <w:sz w:val="22"/>
                <w:szCs w:val="22"/>
              </w:rPr>
              <w:t>.1</w:t>
            </w:r>
          </w:p>
        </w:tc>
        <w:tc>
          <w:tcPr>
            <w:tcW w:w="1386" w:type="pct"/>
            <w:vAlign w:val="center"/>
          </w:tcPr>
          <w:p w14:paraId="5600A389" w14:textId="47896362" w:rsidR="00C73EAE" w:rsidRPr="006F57CD" w:rsidRDefault="00C73EAE" w:rsidP="00183142">
            <w:pPr>
              <w:pStyle w:val="Legenda"/>
              <w:jc w:val="both"/>
              <w:rPr>
                <w:rFonts w:cs="Arial"/>
                <w:color w:val="000000" w:themeColor="text1"/>
                <w:sz w:val="22"/>
                <w:szCs w:val="22"/>
              </w:rPr>
            </w:pPr>
            <w:r w:rsidRPr="006F57CD">
              <w:rPr>
                <w:rFonts w:cs="Arial"/>
                <w:sz w:val="22"/>
                <w:szCs w:val="22"/>
              </w:rPr>
              <w:t xml:space="preserve">Caso o Concessionário tenha interesse de incorporar novo reservatório ao Campo, deverá </w:t>
            </w:r>
            <w:r w:rsidR="00AF16B2">
              <w:rPr>
                <w:rFonts w:cs="Arial"/>
                <w:sz w:val="22"/>
                <w:szCs w:val="22"/>
              </w:rPr>
              <w:t xml:space="preserve">ser precedida de </w:t>
            </w:r>
            <w:r w:rsidRPr="006F57CD">
              <w:rPr>
                <w:rFonts w:cs="Arial"/>
                <w:sz w:val="22"/>
                <w:szCs w:val="22"/>
              </w:rPr>
              <w:t>um Plano de Avaliaç</w:t>
            </w:r>
            <w:r w:rsidR="00AF16B2">
              <w:rPr>
                <w:rFonts w:cs="Arial"/>
                <w:sz w:val="22"/>
                <w:szCs w:val="22"/>
              </w:rPr>
              <w:t xml:space="preserve">ão de Descoberta aprovado pela </w:t>
            </w:r>
            <w:r w:rsidRPr="006F57CD">
              <w:rPr>
                <w:rFonts w:cs="Arial"/>
                <w:sz w:val="22"/>
                <w:szCs w:val="22"/>
              </w:rPr>
              <w:t>ANP</w:t>
            </w:r>
            <w:r w:rsidRPr="006F57CD">
              <w:rPr>
                <w:sz w:val="22"/>
                <w:szCs w:val="22"/>
              </w:rPr>
              <w:t>.</w:t>
            </w:r>
          </w:p>
        </w:tc>
        <w:tc>
          <w:tcPr>
            <w:tcW w:w="2126" w:type="pct"/>
            <w:vAlign w:val="center"/>
          </w:tcPr>
          <w:p w14:paraId="718EAD36" w14:textId="77777777" w:rsidR="00C73EAE" w:rsidRDefault="00C73EAE" w:rsidP="00E061A4">
            <w:pPr>
              <w:pStyle w:val="Textodecomentrio"/>
              <w:jc w:val="both"/>
              <w:rPr>
                <w:rFonts w:ascii="Arial" w:hAnsi="Arial" w:cs="Arial"/>
                <w:sz w:val="22"/>
                <w:szCs w:val="22"/>
                <w:lang w:eastAsia="en-US"/>
              </w:rPr>
            </w:pPr>
          </w:p>
          <w:p w14:paraId="0997E6C8" w14:textId="3B12730F" w:rsidR="00AF16B2" w:rsidRPr="00170FDC" w:rsidRDefault="00AF16B2" w:rsidP="00E061A4">
            <w:pPr>
              <w:pStyle w:val="Legenda"/>
              <w:jc w:val="both"/>
              <w:rPr>
                <w:rFonts w:cs="Arial"/>
                <w:sz w:val="22"/>
                <w:szCs w:val="22"/>
              </w:rPr>
            </w:pPr>
            <w:r>
              <w:rPr>
                <w:rFonts w:cs="Arial"/>
                <w:sz w:val="22"/>
                <w:szCs w:val="22"/>
              </w:rPr>
              <w:t xml:space="preserve">A incorporação do novo reservatório ao campo não deve ser automática, uma vez que dependem de análises econômicas e técnicas que são prerrogativas exclusivas do concessionário. </w:t>
            </w:r>
          </w:p>
          <w:p w14:paraId="18C11E48" w14:textId="61D709E3" w:rsidR="00C73EAE" w:rsidRPr="00170FDC" w:rsidRDefault="00C73EAE" w:rsidP="00E061A4">
            <w:pPr>
              <w:pStyle w:val="Legenda"/>
              <w:jc w:val="both"/>
              <w:rPr>
                <w:rFonts w:cs="Arial"/>
                <w:sz w:val="22"/>
                <w:szCs w:val="22"/>
              </w:rPr>
            </w:pPr>
          </w:p>
        </w:tc>
      </w:tr>
      <w:tr w:rsidR="00C73EAE" w:rsidRPr="00170FDC" w14:paraId="2021794F" w14:textId="77777777" w:rsidTr="0003097F">
        <w:trPr>
          <w:trHeight w:val="2268"/>
        </w:trPr>
        <w:tc>
          <w:tcPr>
            <w:tcW w:w="553" w:type="pct"/>
            <w:vAlign w:val="center"/>
          </w:tcPr>
          <w:p w14:paraId="559FFCE6" w14:textId="77777777" w:rsidR="00C73EAE" w:rsidRPr="003D1BF0" w:rsidRDefault="00C73EAE" w:rsidP="00C73EAE">
            <w:pPr>
              <w:pStyle w:val="Legenda"/>
              <w:jc w:val="center"/>
              <w:rPr>
                <w:rFonts w:cs="Arial"/>
                <w:color w:val="000000" w:themeColor="text1"/>
                <w:sz w:val="22"/>
                <w:szCs w:val="22"/>
              </w:rPr>
            </w:pPr>
            <w:r w:rsidRPr="003D1BF0">
              <w:rPr>
                <w:rFonts w:cs="Arial"/>
                <w:color w:val="000000" w:themeColor="text1"/>
                <w:sz w:val="22"/>
                <w:szCs w:val="22"/>
              </w:rPr>
              <w:t>Contrato</w:t>
            </w:r>
          </w:p>
        </w:tc>
        <w:tc>
          <w:tcPr>
            <w:tcW w:w="441" w:type="pct"/>
            <w:vAlign w:val="center"/>
          </w:tcPr>
          <w:p w14:paraId="75B5F152" w14:textId="77777777" w:rsidR="00C73EAE" w:rsidRPr="003D1BF0" w:rsidRDefault="00C73EAE" w:rsidP="00C73EAE">
            <w:pPr>
              <w:pStyle w:val="Legenda"/>
              <w:jc w:val="center"/>
              <w:rPr>
                <w:rFonts w:cs="Arial"/>
                <w:color w:val="000000" w:themeColor="text1"/>
                <w:sz w:val="22"/>
                <w:szCs w:val="22"/>
              </w:rPr>
            </w:pPr>
            <w:r w:rsidRPr="003D1BF0">
              <w:rPr>
                <w:rFonts w:cs="Arial"/>
                <w:color w:val="000000" w:themeColor="text1"/>
                <w:sz w:val="22"/>
                <w:szCs w:val="22"/>
              </w:rPr>
              <w:t>Alteração</w:t>
            </w:r>
          </w:p>
        </w:tc>
        <w:tc>
          <w:tcPr>
            <w:tcW w:w="494" w:type="pct"/>
            <w:vAlign w:val="center"/>
          </w:tcPr>
          <w:p w14:paraId="5FF7DAF6" w14:textId="1F1FF61C" w:rsidR="00C73EAE" w:rsidRPr="008E44C8" w:rsidRDefault="009963A8" w:rsidP="00183142">
            <w:pPr>
              <w:pStyle w:val="Legenda"/>
              <w:jc w:val="center"/>
              <w:rPr>
                <w:rFonts w:cs="Arial"/>
                <w:color w:val="000000" w:themeColor="text1"/>
                <w:sz w:val="22"/>
                <w:szCs w:val="22"/>
              </w:rPr>
            </w:pPr>
            <w:r>
              <w:rPr>
                <w:rFonts w:cs="Arial"/>
                <w:color w:val="000000" w:themeColor="text1"/>
                <w:sz w:val="22"/>
                <w:szCs w:val="22"/>
              </w:rPr>
              <w:t>10.12</w:t>
            </w:r>
          </w:p>
        </w:tc>
        <w:tc>
          <w:tcPr>
            <w:tcW w:w="1386" w:type="pct"/>
            <w:vAlign w:val="center"/>
          </w:tcPr>
          <w:p w14:paraId="4297F917" w14:textId="117A28AF" w:rsidR="00C73EAE" w:rsidRPr="003D1BF0" w:rsidRDefault="00C73EAE" w:rsidP="00183142">
            <w:pPr>
              <w:pStyle w:val="Legenda"/>
              <w:jc w:val="both"/>
              <w:rPr>
                <w:rFonts w:cs="Arial"/>
                <w:color w:val="000000" w:themeColor="text1"/>
                <w:sz w:val="22"/>
                <w:szCs w:val="22"/>
                <w:highlight w:val="yellow"/>
              </w:rPr>
            </w:pPr>
            <w:r w:rsidRPr="003D1BF0">
              <w:rPr>
                <w:rFonts w:cs="Arial"/>
                <w:color w:val="000000" w:themeColor="text1"/>
                <w:sz w:val="22"/>
                <w:szCs w:val="22"/>
              </w:rPr>
              <w:t xml:space="preserve">A Descoberta Comercial </w:t>
            </w:r>
            <w:r w:rsidR="009963A8">
              <w:rPr>
                <w:rFonts w:cs="Arial"/>
                <w:color w:val="000000" w:themeColor="text1"/>
                <w:sz w:val="22"/>
                <w:szCs w:val="22"/>
              </w:rPr>
              <w:t>poderá ensejar nova Declaração de Comercialidade ou a sua incorporação ao sistema de Produção do Campo, observando a Cláusula Décima</w:t>
            </w:r>
            <w:r w:rsidRPr="003D1BF0">
              <w:rPr>
                <w:rFonts w:cs="Arial"/>
                <w:color w:val="000000" w:themeColor="text1"/>
                <w:sz w:val="22"/>
                <w:szCs w:val="22"/>
              </w:rPr>
              <w:t xml:space="preserve"> deste Contrato.</w:t>
            </w:r>
          </w:p>
        </w:tc>
        <w:tc>
          <w:tcPr>
            <w:tcW w:w="2126" w:type="pct"/>
            <w:vAlign w:val="center"/>
          </w:tcPr>
          <w:p w14:paraId="5B3BCC82" w14:textId="5FE26111" w:rsidR="00C73EAE" w:rsidRPr="003D1BF0" w:rsidRDefault="00B47F9D" w:rsidP="00E061A4">
            <w:pPr>
              <w:pStyle w:val="Legenda"/>
              <w:jc w:val="both"/>
              <w:rPr>
                <w:rFonts w:cs="Arial"/>
                <w:sz w:val="22"/>
                <w:szCs w:val="22"/>
              </w:rPr>
            </w:pPr>
            <w:r>
              <w:rPr>
                <w:rFonts w:cs="Arial"/>
                <w:sz w:val="22"/>
                <w:szCs w:val="22"/>
              </w:rPr>
              <w:t>Faz-se necessária a inclusão de nova Declaração de Comercialidade uma vez que uma</w:t>
            </w:r>
            <w:r w:rsidR="00C73EAE" w:rsidRPr="003D1BF0">
              <w:rPr>
                <w:rFonts w:cs="Arial"/>
                <w:sz w:val="22"/>
                <w:szCs w:val="22"/>
              </w:rPr>
              <w:t xml:space="preserve"> Descoberta </w:t>
            </w:r>
            <w:r>
              <w:rPr>
                <w:rFonts w:cs="Arial"/>
                <w:sz w:val="22"/>
                <w:szCs w:val="22"/>
              </w:rPr>
              <w:t>Comercial pode não se limitar tão somente a um caso de incorporação ao sistema de produção de um campo já existente.</w:t>
            </w:r>
            <w:r w:rsidR="00B57EDD">
              <w:rPr>
                <w:rFonts w:cs="Arial"/>
                <w:sz w:val="22"/>
                <w:szCs w:val="22"/>
              </w:rPr>
              <w:t xml:space="preserve"> Em qualquer das hipóteses, o procedimento da cláusula décima deverá ser observado.</w:t>
            </w:r>
          </w:p>
        </w:tc>
      </w:tr>
      <w:tr w:rsidR="00C73EAE" w:rsidRPr="00170FDC" w14:paraId="42F68186" w14:textId="77777777" w:rsidTr="0003097F">
        <w:trPr>
          <w:trHeight w:val="2268"/>
        </w:trPr>
        <w:tc>
          <w:tcPr>
            <w:tcW w:w="553" w:type="pct"/>
            <w:vAlign w:val="center"/>
          </w:tcPr>
          <w:p w14:paraId="3F184A2E"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21E28FD8"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BB50FBD"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11.2.1</w:t>
            </w:r>
          </w:p>
        </w:tc>
        <w:tc>
          <w:tcPr>
            <w:tcW w:w="1386" w:type="pct"/>
            <w:vAlign w:val="center"/>
          </w:tcPr>
          <w:p w14:paraId="3C2976F7" w14:textId="77777777" w:rsidR="00C73EAE" w:rsidRPr="0007023E" w:rsidRDefault="00C73EAE" w:rsidP="00183142">
            <w:pPr>
              <w:pStyle w:val="Legenda"/>
              <w:jc w:val="both"/>
              <w:rPr>
                <w:sz w:val="22"/>
                <w:szCs w:val="22"/>
              </w:rPr>
            </w:pPr>
            <w:r w:rsidRPr="0007023E">
              <w:rPr>
                <w:sz w:val="22"/>
                <w:szCs w:val="22"/>
              </w:rPr>
              <w:t>Eventual variação igual ou superior a 10% (dez por cento) deverá ser tecnicamente fundamentada ou que decorra de caso fortuito, força maior ou causas similares a serem avaliados pela ANP.</w:t>
            </w:r>
          </w:p>
        </w:tc>
        <w:tc>
          <w:tcPr>
            <w:tcW w:w="2126" w:type="pct"/>
            <w:vAlign w:val="center"/>
          </w:tcPr>
          <w:p w14:paraId="1DC5A924" w14:textId="77777777" w:rsidR="00C73EAE" w:rsidRPr="00C22354" w:rsidRDefault="00C73EAE" w:rsidP="00E061A4">
            <w:pPr>
              <w:pStyle w:val="Legenda"/>
              <w:jc w:val="both"/>
              <w:rPr>
                <w:rFonts w:cs="Arial"/>
                <w:sz w:val="22"/>
                <w:szCs w:val="22"/>
              </w:rPr>
            </w:pPr>
            <w:r w:rsidRPr="00D11473">
              <w:rPr>
                <w:rFonts w:cs="Arial"/>
                <w:sz w:val="22"/>
                <w:szCs w:val="22"/>
              </w:rPr>
              <w:t>Sugestão de refraseamento em razão do fato de que as hipóteses sugeridas pela ANP não impactam concretamente na variação de produção. Sugerimos que as justificativas a serem adotadas sejam de caráter técnico ou de fatos de terceiros que serão demonstradas no caso a caso.</w:t>
            </w:r>
          </w:p>
        </w:tc>
      </w:tr>
      <w:tr w:rsidR="0007023E" w:rsidRPr="00170FDC" w14:paraId="08245996" w14:textId="77777777" w:rsidTr="0003097F">
        <w:trPr>
          <w:trHeight w:val="2268"/>
        </w:trPr>
        <w:tc>
          <w:tcPr>
            <w:tcW w:w="553" w:type="pct"/>
            <w:vAlign w:val="center"/>
          </w:tcPr>
          <w:p w14:paraId="583D4E62" w14:textId="0E1599FF" w:rsidR="0007023E" w:rsidRPr="0061637B" w:rsidRDefault="0007023E" w:rsidP="00C73EAE">
            <w:pPr>
              <w:pStyle w:val="Legenda"/>
              <w:jc w:val="center"/>
              <w:rPr>
                <w:rFonts w:cs="Arial"/>
                <w:color w:val="000000" w:themeColor="text1"/>
                <w:sz w:val="22"/>
                <w:szCs w:val="22"/>
              </w:rPr>
            </w:pPr>
            <w:r>
              <w:rPr>
                <w:rFonts w:cs="Arial"/>
                <w:color w:val="000000" w:themeColor="text1"/>
                <w:sz w:val="22"/>
                <w:szCs w:val="22"/>
              </w:rPr>
              <w:t>Contrato</w:t>
            </w:r>
          </w:p>
        </w:tc>
        <w:tc>
          <w:tcPr>
            <w:tcW w:w="441" w:type="pct"/>
            <w:vAlign w:val="center"/>
          </w:tcPr>
          <w:p w14:paraId="42F4DF5E" w14:textId="6B7EBCB1" w:rsidR="0007023E" w:rsidRPr="006E166E" w:rsidRDefault="0007023E"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4729E3DA" w14:textId="51E8EA20" w:rsidR="0007023E" w:rsidRPr="008E44C8" w:rsidRDefault="0007023E" w:rsidP="00183142">
            <w:pPr>
              <w:pStyle w:val="Legenda"/>
              <w:jc w:val="center"/>
              <w:rPr>
                <w:rFonts w:cs="Arial"/>
                <w:color w:val="000000" w:themeColor="text1"/>
                <w:sz w:val="22"/>
                <w:szCs w:val="22"/>
              </w:rPr>
            </w:pPr>
            <w:r>
              <w:rPr>
                <w:rFonts w:cs="Arial"/>
                <w:color w:val="000000" w:themeColor="text1"/>
                <w:sz w:val="22"/>
                <w:szCs w:val="22"/>
              </w:rPr>
              <w:t>11.5.2</w:t>
            </w:r>
          </w:p>
        </w:tc>
        <w:tc>
          <w:tcPr>
            <w:tcW w:w="1386" w:type="pct"/>
            <w:vAlign w:val="center"/>
          </w:tcPr>
          <w:p w14:paraId="758D89B5" w14:textId="7C0FD482" w:rsidR="0007023E" w:rsidRPr="00E061A4" w:rsidRDefault="0007023E" w:rsidP="00183142">
            <w:pPr>
              <w:pStyle w:val="Legenda"/>
              <w:jc w:val="both"/>
              <w:rPr>
                <w:sz w:val="22"/>
                <w:szCs w:val="22"/>
              </w:rPr>
            </w:pPr>
            <w:r w:rsidRPr="00E061A4">
              <w:rPr>
                <w:sz w:val="22"/>
                <w:szCs w:val="22"/>
              </w:rPr>
              <w:t>Caso o Concessionário discorde das modificações propostas, poderá discuti-las com a ANP, visando a ajustar as modificações a serem implementadas no Programa Anual de Produção, de acordo com as Melhores Práticas da Indústria do Petróleo.</w:t>
            </w:r>
          </w:p>
          <w:p w14:paraId="2D16FFB5" w14:textId="77777777" w:rsidR="0007023E" w:rsidRPr="0007023E" w:rsidRDefault="0007023E" w:rsidP="00183142">
            <w:pPr>
              <w:pStyle w:val="Legenda"/>
              <w:jc w:val="both"/>
              <w:rPr>
                <w:sz w:val="22"/>
                <w:szCs w:val="22"/>
              </w:rPr>
            </w:pPr>
          </w:p>
        </w:tc>
        <w:tc>
          <w:tcPr>
            <w:tcW w:w="2126" w:type="pct"/>
            <w:vAlign w:val="center"/>
          </w:tcPr>
          <w:p w14:paraId="665C909A" w14:textId="46631DF1" w:rsidR="0007023E" w:rsidRPr="0000098E" w:rsidRDefault="0000098E" w:rsidP="00E061A4">
            <w:pPr>
              <w:pStyle w:val="Legenda"/>
              <w:jc w:val="both"/>
              <w:rPr>
                <w:rFonts w:cs="Arial"/>
                <w:sz w:val="22"/>
                <w:szCs w:val="22"/>
              </w:rPr>
            </w:pPr>
            <w:r w:rsidRPr="0000098E">
              <w:rPr>
                <w:rFonts w:cs="Arial"/>
                <w:sz w:val="22"/>
                <w:szCs w:val="22"/>
              </w:rPr>
              <w:t>O PAP deve se basear em critérios técnicos e objetivos</w:t>
            </w:r>
            <w:r>
              <w:rPr>
                <w:rFonts w:cs="Arial"/>
                <w:sz w:val="22"/>
                <w:szCs w:val="22"/>
              </w:rPr>
              <w:t>, observadas</w:t>
            </w:r>
            <w:r w:rsidRPr="0000098E">
              <w:rPr>
                <w:sz w:val="22"/>
                <w:szCs w:val="22"/>
              </w:rPr>
              <w:t xml:space="preserve"> </w:t>
            </w:r>
            <w:r>
              <w:rPr>
                <w:sz w:val="22"/>
                <w:szCs w:val="22"/>
              </w:rPr>
              <w:t xml:space="preserve">as </w:t>
            </w:r>
            <w:r w:rsidRPr="0000098E">
              <w:rPr>
                <w:sz w:val="22"/>
                <w:szCs w:val="22"/>
              </w:rPr>
              <w:t>Melhores Práticas da Indústria do Petróleo</w:t>
            </w:r>
            <w:r>
              <w:rPr>
                <w:sz w:val="22"/>
                <w:szCs w:val="22"/>
              </w:rPr>
              <w:t>.</w:t>
            </w:r>
          </w:p>
        </w:tc>
      </w:tr>
      <w:tr w:rsidR="00887AB9" w:rsidRPr="00170FDC" w14:paraId="50FC11F8" w14:textId="77777777" w:rsidTr="0003097F">
        <w:trPr>
          <w:trHeight w:val="2268"/>
        </w:trPr>
        <w:tc>
          <w:tcPr>
            <w:tcW w:w="553" w:type="pct"/>
            <w:vAlign w:val="center"/>
          </w:tcPr>
          <w:p w14:paraId="05D1B695" w14:textId="76B836CC" w:rsidR="00887AB9" w:rsidRPr="0061637B" w:rsidRDefault="00887AB9" w:rsidP="00C73EAE">
            <w:pPr>
              <w:pStyle w:val="Legenda"/>
              <w:jc w:val="center"/>
              <w:rPr>
                <w:rFonts w:cs="Arial"/>
                <w:color w:val="000000" w:themeColor="text1"/>
                <w:sz w:val="22"/>
                <w:szCs w:val="22"/>
              </w:rPr>
            </w:pPr>
            <w:r>
              <w:rPr>
                <w:rFonts w:cs="Arial"/>
                <w:color w:val="000000" w:themeColor="text1"/>
                <w:sz w:val="22"/>
                <w:szCs w:val="22"/>
              </w:rPr>
              <w:t>Contrato</w:t>
            </w:r>
          </w:p>
        </w:tc>
        <w:tc>
          <w:tcPr>
            <w:tcW w:w="441" w:type="pct"/>
            <w:vAlign w:val="center"/>
          </w:tcPr>
          <w:p w14:paraId="59562454" w14:textId="3146730B" w:rsidR="00887AB9" w:rsidRPr="006E166E" w:rsidRDefault="00887AB9" w:rsidP="00C73EA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58BC9F2E" w14:textId="6771D412" w:rsidR="00887AB9" w:rsidRPr="008E44C8" w:rsidRDefault="00887AB9" w:rsidP="00183142">
            <w:pPr>
              <w:pStyle w:val="Legenda"/>
              <w:jc w:val="center"/>
              <w:rPr>
                <w:rFonts w:cs="Arial"/>
                <w:color w:val="000000" w:themeColor="text1"/>
                <w:sz w:val="22"/>
                <w:szCs w:val="22"/>
              </w:rPr>
            </w:pPr>
            <w:r>
              <w:rPr>
                <w:rFonts w:cs="Arial"/>
                <w:color w:val="000000" w:themeColor="text1"/>
                <w:sz w:val="22"/>
                <w:szCs w:val="22"/>
              </w:rPr>
              <w:t>11.6</w:t>
            </w:r>
          </w:p>
        </w:tc>
        <w:tc>
          <w:tcPr>
            <w:tcW w:w="1386" w:type="pct"/>
            <w:vAlign w:val="center"/>
          </w:tcPr>
          <w:p w14:paraId="2725927F" w14:textId="18849A41" w:rsidR="00887AB9" w:rsidRPr="00E061A4" w:rsidRDefault="00887AB9" w:rsidP="00183142">
            <w:pPr>
              <w:pStyle w:val="Legenda"/>
              <w:jc w:val="both"/>
              <w:rPr>
                <w:sz w:val="22"/>
                <w:szCs w:val="22"/>
              </w:rPr>
            </w:pPr>
            <w:bookmarkStart w:id="10" w:name="_Ref343770830"/>
            <w:r w:rsidRPr="00E061A4">
              <w:rPr>
                <w:sz w:val="22"/>
                <w:szCs w:val="22"/>
              </w:rPr>
              <w:t>O Concessionário estará obrigado a cumprir o Programa Anual de Produção submetido à ANP, com as modificações implementadas de acordo com o procedimento previsto n</w:t>
            </w:r>
            <w:r w:rsidR="00C16D6C" w:rsidRPr="00E061A4">
              <w:rPr>
                <w:sz w:val="22"/>
                <w:szCs w:val="22"/>
              </w:rPr>
              <w:t>a cláusula</w:t>
            </w:r>
            <w:r w:rsidRPr="00E061A4">
              <w:rPr>
                <w:sz w:val="22"/>
                <w:szCs w:val="22"/>
              </w:rPr>
              <w:t xml:space="preserve"> 11.5.</w:t>
            </w:r>
            <w:bookmarkEnd w:id="10"/>
          </w:p>
          <w:p w14:paraId="57337A6E" w14:textId="77777777" w:rsidR="00887AB9" w:rsidRPr="0007023E" w:rsidRDefault="00887AB9" w:rsidP="00183142">
            <w:pPr>
              <w:pStyle w:val="Legenda"/>
              <w:jc w:val="both"/>
              <w:rPr>
                <w:sz w:val="22"/>
                <w:szCs w:val="22"/>
              </w:rPr>
            </w:pPr>
          </w:p>
        </w:tc>
        <w:tc>
          <w:tcPr>
            <w:tcW w:w="2126" w:type="pct"/>
            <w:vAlign w:val="center"/>
          </w:tcPr>
          <w:p w14:paraId="6CECBC2E" w14:textId="5F40904B" w:rsidR="00887AB9" w:rsidRPr="00C22354" w:rsidRDefault="00C16D6C" w:rsidP="00E061A4">
            <w:pPr>
              <w:pStyle w:val="Legenda"/>
              <w:jc w:val="both"/>
              <w:rPr>
                <w:rFonts w:cs="Arial"/>
                <w:sz w:val="22"/>
                <w:szCs w:val="22"/>
              </w:rPr>
            </w:pPr>
            <w:r>
              <w:rPr>
                <w:rFonts w:cs="Arial"/>
                <w:sz w:val="22"/>
                <w:szCs w:val="22"/>
              </w:rPr>
              <w:t>Todas as modificações ao PAP devem observar o procedimento previsto na cláusula 11.5.</w:t>
            </w:r>
          </w:p>
        </w:tc>
      </w:tr>
      <w:tr w:rsidR="00C73EAE" w:rsidRPr="00170FDC" w14:paraId="59FA734C" w14:textId="77777777" w:rsidTr="0003097F">
        <w:trPr>
          <w:trHeight w:val="2268"/>
        </w:trPr>
        <w:tc>
          <w:tcPr>
            <w:tcW w:w="553" w:type="pct"/>
            <w:vAlign w:val="center"/>
          </w:tcPr>
          <w:p w14:paraId="05D3DB68"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B94E393"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9EB3A20" w14:textId="0F1F0796" w:rsidR="00C73EAE" w:rsidRPr="008E44C8" w:rsidRDefault="00B7215D" w:rsidP="00183142">
            <w:pPr>
              <w:pStyle w:val="Legenda"/>
              <w:jc w:val="center"/>
              <w:rPr>
                <w:rFonts w:cs="Arial"/>
                <w:color w:val="000000" w:themeColor="text1"/>
                <w:sz w:val="22"/>
                <w:szCs w:val="22"/>
              </w:rPr>
            </w:pPr>
            <w:r>
              <w:rPr>
                <w:rFonts w:cs="Arial"/>
                <w:color w:val="000000" w:themeColor="text1"/>
                <w:sz w:val="22"/>
                <w:szCs w:val="22"/>
              </w:rPr>
              <w:t>11.10</w:t>
            </w:r>
          </w:p>
        </w:tc>
        <w:tc>
          <w:tcPr>
            <w:tcW w:w="1386" w:type="pct"/>
            <w:vAlign w:val="center"/>
          </w:tcPr>
          <w:p w14:paraId="20218830" w14:textId="77777777" w:rsidR="00C73EAE" w:rsidRPr="0007023E" w:rsidRDefault="00C73EAE" w:rsidP="00183142">
            <w:pPr>
              <w:pStyle w:val="Legenda"/>
              <w:jc w:val="both"/>
              <w:rPr>
                <w:rFonts w:cs="Arial"/>
                <w:color w:val="000000" w:themeColor="text1"/>
                <w:sz w:val="22"/>
                <w:szCs w:val="22"/>
              </w:rPr>
            </w:pPr>
            <w:bookmarkStart w:id="11" w:name="_Ref343770909"/>
            <w:r w:rsidRPr="0007023E">
              <w:rPr>
                <w:sz w:val="22"/>
                <w:szCs w:val="22"/>
              </w:rPr>
              <w:t xml:space="preserve">O volume produzido </w:t>
            </w:r>
            <w:r w:rsidRPr="00E061A4">
              <w:rPr>
                <w:sz w:val="22"/>
                <w:szCs w:val="22"/>
              </w:rPr>
              <w:t>em cada</w:t>
            </w:r>
            <w:r w:rsidRPr="0007023E">
              <w:rPr>
                <w:sz w:val="22"/>
                <w:szCs w:val="22"/>
              </w:rPr>
              <w:t xml:space="preserve">   Campo, a cada mês, não poderá sofrer variação superior a 15% (quinze por cento) em relação ao volume referente ao nível de Produção previsto para o mês correspondente no Programa Anual de Produção.</w:t>
            </w:r>
            <w:bookmarkEnd w:id="11"/>
          </w:p>
        </w:tc>
        <w:tc>
          <w:tcPr>
            <w:tcW w:w="2126" w:type="pct"/>
            <w:vAlign w:val="center"/>
          </w:tcPr>
          <w:p w14:paraId="41725382" w14:textId="77101042" w:rsidR="00C73EAE" w:rsidRPr="00170FDC" w:rsidRDefault="00B7215D" w:rsidP="00E061A4">
            <w:pPr>
              <w:pStyle w:val="Legenda"/>
              <w:jc w:val="both"/>
              <w:rPr>
                <w:rFonts w:cs="Arial"/>
                <w:sz w:val="22"/>
                <w:szCs w:val="22"/>
              </w:rPr>
            </w:pPr>
            <w:r>
              <w:rPr>
                <w:rFonts w:cs="Arial"/>
                <w:sz w:val="22"/>
                <w:szCs w:val="22"/>
              </w:rPr>
              <w:t xml:space="preserve">A área sob </w:t>
            </w:r>
            <w:r w:rsidR="00C73EAE" w:rsidRPr="00C22354">
              <w:rPr>
                <w:rFonts w:cs="Arial"/>
                <w:sz w:val="22"/>
                <w:szCs w:val="22"/>
              </w:rPr>
              <w:t>contrato pode</w:t>
            </w:r>
            <w:r>
              <w:rPr>
                <w:rFonts w:cs="Arial"/>
                <w:sz w:val="22"/>
                <w:szCs w:val="22"/>
              </w:rPr>
              <w:t xml:space="preserve"> contemplar a definição de</w:t>
            </w:r>
            <w:r w:rsidR="00C73EAE" w:rsidRPr="00C22354">
              <w:rPr>
                <w:rFonts w:cs="Arial"/>
                <w:sz w:val="22"/>
                <w:szCs w:val="22"/>
              </w:rPr>
              <w:t xml:space="preserve"> mais de um Campo.</w:t>
            </w:r>
          </w:p>
        </w:tc>
      </w:tr>
      <w:tr w:rsidR="0096718B" w:rsidRPr="00170FDC" w14:paraId="493250F7" w14:textId="77777777" w:rsidTr="0003097F">
        <w:trPr>
          <w:trHeight w:val="2268"/>
        </w:trPr>
        <w:tc>
          <w:tcPr>
            <w:tcW w:w="553" w:type="pct"/>
            <w:vAlign w:val="center"/>
          </w:tcPr>
          <w:p w14:paraId="1B8E9C05" w14:textId="555F0F7B" w:rsidR="0096718B" w:rsidRPr="0061637B" w:rsidRDefault="0096718B" w:rsidP="0096718B">
            <w:pPr>
              <w:pStyle w:val="Legenda"/>
              <w:jc w:val="center"/>
              <w:rPr>
                <w:rFonts w:cs="Arial"/>
                <w:color w:val="000000" w:themeColor="text1"/>
                <w:sz w:val="22"/>
                <w:szCs w:val="22"/>
              </w:rPr>
            </w:pPr>
            <w:r>
              <w:rPr>
                <w:rFonts w:cs="Arial"/>
                <w:color w:val="000000" w:themeColor="text1"/>
                <w:szCs w:val="24"/>
              </w:rPr>
              <w:t xml:space="preserve"> Contrato</w:t>
            </w:r>
          </w:p>
        </w:tc>
        <w:tc>
          <w:tcPr>
            <w:tcW w:w="441" w:type="pct"/>
            <w:vAlign w:val="center"/>
          </w:tcPr>
          <w:p w14:paraId="49041D45" w14:textId="5531AD04" w:rsidR="0096718B" w:rsidRPr="006E166E" w:rsidRDefault="0096718B" w:rsidP="0096718B">
            <w:pPr>
              <w:pStyle w:val="Legenda"/>
              <w:jc w:val="center"/>
              <w:rPr>
                <w:rFonts w:cs="Arial"/>
                <w:color w:val="000000" w:themeColor="text1"/>
                <w:sz w:val="22"/>
                <w:szCs w:val="22"/>
              </w:rPr>
            </w:pPr>
            <w:r>
              <w:rPr>
                <w:rFonts w:cs="Arial"/>
                <w:color w:val="000000" w:themeColor="text1"/>
                <w:szCs w:val="24"/>
              </w:rPr>
              <w:t>Alteração</w:t>
            </w:r>
          </w:p>
        </w:tc>
        <w:tc>
          <w:tcPr>
            <w:tcW w:w="494" w:type="pct"/>
            <w:vAlign w:val="center"/>
          </w:tcPr>
          <w:p w14:paraId="3DE3B569" w14:textId="6DC76384" w:rsidR="0096718B" w:rsidRPr="008E44C8" w:rsidRDefault="0096718B" w:rsidP="00183142">
            <w:pPr>
              <w:pStyle w:val="Legenda"/>
              <w:jc w:val="center"/>
              <w:rPr>
                <w:rFonts w:cs="Arial"/>
                <w:color w:val="000000" w:themeColor="text1"/>
                <w:sz w:val="22"/>
                <w:szCs w:val="22"/>
              </w:rPr>
            </w:pPr>
            <w:r>
              <w:rPr>
                <w:rFonts w:cs="Arial"/>
                <w:color w:val="000000" w:themeColor="text1"/>
                <w:szCs w:val="24"/>
              </w:rPr>
              <w:t>12.3</w:t>
            </w:r>
          </w:p>
        </w:tc>
        <w:tc>
          <w:tcPr>
            <w:tcW w:w="1386" w:type="pct"/>
            <w:vAlign w:val="center"/>
          </w:tcPr>
          <w:p w14:paraId="63B352B6" w14:textId="321E7AEB" w:rsidR="0096718B" w:rsidRPr="00E061A4" w:rsidRDefault="0096718B" w:rsidP="00183142">
            <w:pPr>
              <w:pStyle w:val="Legenda"/>
              <w:jc w:val="both"/>
              <w:rPr>
                <w:sz w:val="22"/>
                <w:szCs w:val="22"/>
              </w:rPr>
            </w:pPr>
            <w:r w:rsidRPr="00E061A4">
              <w:rPr>
                <w:rFonts w:cs="Arial"/>
                <w:color w:val="000000" w:themeColor="text1"/>
                <w:szCs w:val="24"/>
              </w:rPr>
              <w:t>A propriedade dos volumes de Petróleo e Gás Natural medidos nos termos do parágrafo 12.1. será disponibilizada ao Concessionário no Ponto de Medição da Produção.</w:t>
            </w:r>
          </w:p>
        </w:tc>
        <w:tc>
          <w:tcPr>
            <w:tcW w:w="2126" w:type="pct"/>
            <w:vAlign w:val="center"/>
          </w:tcPr>
          <w:p w14:paraId="7178FA96" w14:textId="16DC0CDE" w:rsidR="0096718B" w:rsidRDefault="0096718B" w:rsidP="00E061A4">
            <w:pPr>
              <w:pStyle w:val="Legenda"/>
              <w:jc w:val="both"/>
              <w:rPr>
                <w:rFonts w:cs="Arial"/>
                <w:sz w:val="22"/>
                <w:szCs w:val="22"/>
              </w:rPr>
            </w:pPr>
            <w:r>
              <w:rPr>
                <w:rFonts w:cs="Arial"/>
                <w:color w:val="000000" w:themeColor="text1"/>
                <w:szCs w:val="24"/>
              </w:rPr>
              <w:t>Tal proposta tem por objetivo mitigar qualquer risco de questionamento no sentido de que somente no ponto de medição os concessionários adquirem a propriedade do Petróleo e Gás Natural extraídos, contrariando a lógica da aquisição originária. De igual modo, considerando que o título da cláusula é “Disponibilização da Produção”, entendemos que a adoção do termo “disponibilizada” é mais coerente.</w:t>
            </w:r>
          </w:p>
        </w:tc>
      </w:tr>
      <w:tr w:rsidR="004D35A5" w:rsidRPr="00170FDC" w14:paraId="48F4E209" w14:textId="77777777" w:rsidTr="0003097F">
        <w:trPr>
          <w:trHeight w:val="2268"/>
        </w:trPr>
        <w:tc>
          <w:tcPr>
            <w:tcW w:w="553" w:type="pct"/>
            <w:vAlign w:val="center"/>
          </w:tcPr>
          <w:p w14:paraId="537E9C38" w14:textId="61728D73" w:rsidR="004D35A5" w:rsidRPr="0061637B" w:rsidRDefault="004D35A5" w:rsidP="004D35A5">
            <w:pPr>
              <w:pStyle w:val="Legenda"/>
              <w:jc w:val="center"/>
              <w:rPr>
                <w:rFonts w:cs="Arial"/>
                <w:color w:val="000000" w:themeColor="text1"/>
                <w:sz w:val="22"/>
                <w:szCs w:val="22"/>
              </w:rPr>
            </w:pPr>
            <w:r>
              <w:rPr>
                <w:rFonts w:cs="Arial"/>
                <w:color w:val="000000" w:themeColor="text1"/>
                <w:szCs w:val="24"/>
              </w:rPr>
              <w:t>Contrato</w:t>
            </w:r>
          </w:p>
        </w:tc>
        <w:tc>
          <w:tcPr>
            <w:tcW w:w="441" w:type="pct"/>
            <w:vAlign w:val="center"/>
          </w:tcPr>
          <w:p w14:paraId="3B3BE9F5" w14:textId="2981F83D" w:rsidR="004D35A5" w:rsidRPr="006E166E" w:rsidRDefault="004D35A5" w:rsidP="004D35A5">
            <w:pPr>
              <w:pStyle w:val="Legenda"/>
              <w:jc w:val="center"/>
              <w:rPr>
                <w:rFonts w:cs="Arial"/>
                <w:color w:val="000000" w:themeColor="text1"/>
                <w:sz w:val="22"/>
                <w:szCs w:val="22"/>
              </w:rPr>
            </w:pPr>
            <w:r>
              <w:rPr>
                <w:rFonts w:cs="Arial"/>
                <w:color w:val="000000" w:themeColor="text1"/>
                <w:szCs w:val="24"/>
              </w:rPr>
              <w:t>Alteração</w:t>
            </w:r>
          </w:p>
        </w:tc>
        <w:tc>
          <w:tcPr>
            <w:tcW w:w="494" w:type="pct"/>
            <w:vAlign w:val="center"/>
          </w:tcPr>
          <w:p w14:paraId="048B3F23" w14:textId="7A1D0151" w:rsidR="004D35A5" w:rsidRPr="008E44C8" w:rsidRDefault="004D35A5" w:rsidP="00183142">
            <w:pPr>
              <w:pStyle w:val="Legenda"/>
              <w:jc w:val="center"/>
              <w:rPr>
                <w:rFonts w:cs="Arial"/>
                <w:color w:val="000000" w:themeColor="text1"/>
                <w:sz w:val="22"/>
                <w:szCs w:val="22"/>
              </w:rPr>
            </w:pPr>
            <w:r>
              <w:rPr>
                <w:rFonts w:cs="Arial"/>
                <w:color w:val="000000" w:themeColor="text1"/>
                <w:szCs w:val="24"/>
              </w:rPr>
              <w:t>12.4</w:t>
            </w:r>
          </w:p>
        </w:tc>
        <w:tc>
          <w:tcPr>
            <w:tcW w:w="1386" w:type="pct"/>
            <w:vAlign w:val="center"/>
          </w:tcPr>
          <w:p w14:paraId="6D01E11A" w14:textId="17D0150D" w:rsidR="004D35A5" w:rsidRPr="00E061A4" w:rsidRDefault="004D35A5" w:rsidP="00183142">
            <w:pPr>
              <w:pStyle w:val="Contrato-Clausula-Nvel2-1dezena"/>
              <w:numPr>
                <w:ilvl w:val="0"/>
                <w:numId w:val="0"/>
              </w:numPr>
            </w:pPr>
            <w:r w:rsidRPr="00345793">
              <w:t xml:space="preserve">É assegurado ao Concessionário a livre disposição dos volumes de Petróleo e de Gás Natural </w:t>
            </w:r>
            <w:r>
              <w:t>a ele disponibilizados</w:t>
            </w:r>
            <w:r w:rsidRPr="00345793">
              <w:t xml:space="preserve"> nos termos do parágrafo </w:t>
            </w:r>
            <w:r>
              <w:t>12.3</w:t>
            </w:r>
            <w:r w:rsidRPr="00345793">
              <w:t>.</w:t>
            </w:r>
          </w:p>
        </w:tc>
        <w:tc>
          <w:tcPr>
            <w:tcW w:w="2126" w:type="pct"/>
            <w:vAlign w:val="center"/>
          </w:tcPr>
          <w:p w14:paraId="7C2595E8" w14:textId="35FEA934" w:rsidR="004D35A5" w:rsidRDefault="004D35A5" w:rsidP="00E061A4">
            <w:pPr>
              <w:pStyle w:val="Legenda"/>
              <w:jc w:val="both"/>
              <w:rPr>
                <w:rFonts w:cs="Arial"/>
                <w:sz w:val="22"/>
                <w:szCs w:val="22"/>
              </w:rPr>
            </w:pPr>
            <w:r>
              <w:rPr>
                <w:rFonts w:cs="Arial"/>
                <w:color w:val="000000" w:themeColor="text1"/>
                <w:szCs w:val="24"/>
              </w:rPr>
              <w:t>Vide justificativa acima.</w:t>
            </w:r>
          </w:p>
        </w:tc>
      </w:tr>
      <w:tr w:rsidR="00C73EAE" w:rsidRPr="00170FDC" w14:paraId="7B1E71AA" w14:textId="77777777" w:rsidTr="0003097F">
        <w:trPr>
          <w:trHeight w:val="2268"/>
        </w:trPr>
        <w:tc>
          <w:tcPr>
            <w:tcW w:w="553" w:type="pct"/>
            <w:vAlign w:val="center"/>
          </w:tcPr>
          <w:p w14:paraId="782618FA"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8991E03"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5214835"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12.6</w:t>
            </w:r>
          </w:p>
        </w:tc>
        <w:tc>
          <w:tcPr>
            <w:tcW w:w="1386" w:type="pct"/>
            <w:vAlign w:val="center"/>
          </w:tcPr>
          <w:p w14:paraId="78DC0167" w14:textId="77777777" w:rsidR="00C73EAE" w:rsidRPr="00D235E1" w:rsidRDefault="00C73EAE" w:rsidP="00183142">
            <w:pPr>
              <w:pStyle w:val="Legenda"/>
              <w:jc w:val="both"/>
              <w:rPr>
                <w:rFonts w:cs="Arial"/>
                <w:color w:val="000000" w:themeColor="text1"/>
                <w:sz w:val="22"/>
                <w:szCs w:val="22"/>
              </w:rPr>
            </w:pPr>
            <w:bookmarkStart w:id="12" w:name="_Ref343790896"/>
            <w:r w:rsidRPr="00D235E1">
              <w:rPr>
                <w:sz w:val="22"/>
                <w:szCs w:val="22"/>
              </w:rPr>
              <w:t>O Concessionário poderá utilizar como combustível, na execução das Operações, Petróleo e Gás Natural produzidos na Área de Concessão, desde que em quantidades razoáveis e compatíveis com as Melhores Práticas da Indústria do Petróleo.</w:t>
            </w:r>
            <w:bookmarkEnd w:id="12"/>
          </w:p>
        </w:tc>
        <w:tc>
          <w:tcPr>
            <w:tcW w:w="2126" w:type="pct"/>
            <w:vAlign w:val="center"/>
          </w:tcPr>
          <w:p w14:paraId="2B2EB8B1" w14:textId="77777777" w:rsidR="00C73EAE" w:rsidRPr="00C701E2" w:rsidRDefault="00C73EAE" w:rsidP="00E061A4">
            <w:pPr>
              <w:pStyle w:val="Legenda"/>
              <w:jc w:val="both"/>
              <w:rPr>
                <w:rFonts w:cs="Arial"/>
                <w:sz w:val="22"/>
                <w:szCs w:val="22"/>
              </w:rPr>
            </w:pPr>
            <w:r>
              <w:rPr>
                <w:rFonts w:cs="Arial"/>
                <w:sz w:val="22"/>
                <w:szCs w:val="22"/>
              </w:rPr>
              <w:t>O</w:t>
            </w:r>
            <w:r w:rsidRPr="00C701E2">
              <w:rPr>
                <w:rFonts w:cs="Arial"/>
                <w:sz w:val="22"/>
                <w:szCs w:val="22"/>
              </w:rPr>
              <w:t xml:space="preserve"> consumo de parte da produção, principalmente gás e condensado, e eventualmente petróleo leve chamado de gasolina natural, é parte da normal otimização das operações de produção em todo o mundo, reduzindo custos de transporte, reduzindo riscos de transporte de combustíveis, e principalmente no caso de gás, é um fator de segurança de fornecimento de energia à instalações de produção e destinação evitando a queima ou reinjeç</w:t>
            </w:r>
            <w:r>
              <w:rPr>
                <w:rFonts w:cs="Arial"/>
                <w:sz w:val="22"/>
                <w:szCs w:val="22"/>
              </w:rPr>
              <w:t>ã</w:t>
            </w:r>
            <w:r w:rsidRPr="00C701E2">
              <w:rPr>
                <w:rFonts w:cs="Arial"/>
                <w:sz w:val="22"/>
                <w:szCs w:val="22"/>
              </w:rPr>
              <w:t>o do gás, sendo naturalmente uma das Melhores Práticas da Indústria, não requerendo autorização da ANP para ser implementado.</w:t>
            </w:r>
          </w:p>
          <w:p w14:paraId="3A7023E9" w14:textId="77777777" w:rsidR="00C73EAE" w:rsidRPr="00C22354" w:rsidRDefault="00C73EAE" w:rsidP="00E061A4">
            <w:pPr>
              <w:pStyle w:val="Legenda"/>
              <w:jc w:val="both"/>
              <w:rPr>
                <w:rFonts w:cs="Arial"/>
                <w:sz w:val="22"/>
                <w:szCs w:val="22"/>
                <w:highlight w:val="yellow"/>
              </w:rPr>
            </w:pPr>
          </w:p>
        </w:tc>
      </w:tr>
      <w:tr w:rsidR="00C73EAE" w:rsidRPr="00170FDC" w14:paraId="7DD4894E" w14:textId="77777777" w:rsidTr="0003097F">
        <w:trPr>
          <w:trHeight w:val="2268"/>
        </w:trPr>
        <w:tc>
          <w:tcPr>
            <w:tcW w:w="553" w:type="pct"/>
            <w:vAlign w:val="center"/>
          </w:tcPr>
          <w:p w14:paraId="4332C273"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D5A8654"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4E0021B"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12.7</w:t>
            </w:r>
          </w:p>
        </w:tc>
        <w:tc>
          <w:tcPr>
            <w:tcW w:w="1386" w:type="pct"/>
            <w:vAlign w:val="center"/>
          </w:tcPr>
          <w:p w14:paraId="0768A08C" w14:textId="200527BE" w:rsidR="00C73EAE" w:rsidRPr="00E061A4" w:rsidRDefault="00C73EAE" w:rsidP="00183142">
            <w:pPr>
              <w:pStyle w:val="Contrato-Clausula-Nvel2"/>
              <w:numPr>
                <w:ilvl w:val="0"/>
                <w:numId w:val="0"/>
              </w:numPr>
              <w:ind w:left="76"/>
              <w:rPr>
                <w:rFonts w:cs="Arial"/>
                <w:szCs w:val="22"/>
              </w:rPr>
            </w:pPr>
            <w:r w:rsidRPr="00170FDC">
              <w:rPr>
                <w:rFonts w:cs="Arial"/>
                <w:szCs w:val="22"/>
              </w:rPr>
              <w:t>Os da</w:t>
            </w:r>
            <w:r w:rsidR="00E061A4">
              <w:rPr>
                <w:rFonts w:cs="Arial"/>
                <w:szCs w:val="22"/>
              </w:rPr>
              <w:t>dos, informações e resultados</w:t>
            </w:r>
            <w:r w:rsidRPr="00170FDC">
              <w:rPr>
                <w:rFonts w:cs="Arial"/>
                <w:szCs w:val="22"/>
              </w:rPr>
              <w:t xml:space="preserve"> obtidos dos testes de formação, Testes de Longa Duração ou Sistemas de Produção Antecipada durante a execução das Operações deste Contrato deverão ser enviado à ANP imediatamente após a sua obtenção, conclusão ou conform</w:t>
            </w:r>
            <w:r w:rsidR="00E061A4">
              <w:rPr>
                <w:rFonts w:cs="Arial"/>
                <w:szCs w:val="22"/>
              </w:rPr>
              <w:t>e prazo definido na Legislação.</w:t>
            </w:r>
          </w:p>
        </w:tc>
        <w:tc>
          <w:tcPr>
            <w:tcW w:w="2126" w:type="pct"/>
            <w:vAlign w:val="center"/>
          </w:tcPr>
          <w:p w14:paraId="53E3CEEF" w14:textId="77777777" w:rsidR="00C73EAE" w:rsidRPr="00170FDC" w:rsidRDefault="00C73EAE" w:rsidP="00E061A4">
            <w:pPr>
              <w:pStyle w:val="Legenda"/>
              <w:jc w:val="both"/>
              <w:rPr>
                <w:rFonts w:cs="Arial"/>
                <w:b/>
                <w:sz w:val="22"/>
                <w:szCs w:val="22"/>
              </w:rPr>
            </w:pPr>
            <w:r w:rsidRPr="00170FDC">
              <w:rPr>
                <w:rFonts w:cs="Arial"/>
                <w:sz w:val="22"/>
                <w:szCs w:val="22"/>
              </w:rPr>
              <w:t>O termo “Informação” não se confunde com “interpretação”.  A produção da interpretação demanda conhecimento, classificação, análise e reflexão, o que requer esforço e investimentos pecuniários pelo Concessionário.</w:t>
            </w:r>
          </w:p>
          <w:p w14:paraId="65869561" w14:textId="77777777" w:rsidR="00C73EAE" w:rsidRPr="00170FDC" w:rsidRDefault="00C73EAE" w:rsidP="00E061A4">
            <w:pPr>
              <w:pStyle w:val="Legenda"/>
              <w:jc w:val="both"/>
              <w:rPr>
                <w:rFonts w:cs="Arial"/>
                <w:b/>
                <w:sz w:val="22"/>
                <w:szCs w:val="22"/>
              </w:rPr>
            </w:pPr>
          </w:p>
          <w:p w14:paraId="771D97A1" w14:textId="77777777" w:rsidR="00C73EAE" w:rsidRPr="00170FDC" w:rsidRDefault="00C73EAE" w:rsidP="00E061A4">
            <w:pPr>
              <w:pStyle w:val="Legenda"/>
              <w:jc w:val="both"/>
              <w:rPr>
                <w:rFonts w:cs="Arial"/>
                <w:b/>
                <w:sz w:val="22"/>
                <w:szCs w:val="22"/>
              </w:rPr>
            </w:pPr>
            <w:r w:rsidRPr="00170FDC">
              <w:rPr>
                <w:rFonts w:cs="Arial"/>
                <w:sz w:val="22"/>
                <w:szCs w:val="22"/>
              </w:rPr>
              <w:t>Compreende-se por conhecimento os dados e as informações interpretadas, isto é, aquelas submetidas a estudos conduzidos em conformidade com os métodos recomendados pelo estado da arte da ciência e da tecnologia, conferindo-se à mesma a qualidade de propriedade intelectual, gozando, por conseguinte, de proteção legal conferida pela Constituição, pelo acordo TRIPS e pela Lei de Direito Autoral (Lei 9.610/98). Portanto, as cláusulas contratuais que solicitam a entrega dos  dados e informações interpretadas violam o direito de propriedade do concessionário.</w:t>
            </w:r>
          </w:p>
          <w:p w14:paraId="454F032F" w14:textId="77777777" w:rsidR="00C73EAE" w:rsidRPr="00170FDC" w:rsidRDefault="00C73EAE" w:rsidP="00E061A4">
            <w:pPr>
              <w:pStyle w:val="Legenda"/>
              <w:jc w:val="both"/>
              <w:rPr>
                <w:rFonts w:cs="Arial"/>
                <w:b/>
                <w:sz w:val="22"/>
                <w:szCs w:val="22"/>
              </w:rPr>
            </w:pPr>
          </w:p>
          <w:p w14:paraId="0339FA1E" w14:textId="77777777" w:rsidR="00C73EAE" w:rsidRPr="00170FDC" w:rsidRDefault="00C73EAE" w:rsidP="00E061A4">
            <w:pPr>
              <w:pStyle w:val="Legenda"/>
              <w:jc w:val="both"/>
              <w:rPr>
                <w:rFonts w:cs="Arial"/>
                <w:b/>
                <w:sz w:val="22"/>
                <w:szCs w:val="22"/>
              </w:rPr>
            </w:pPr>
            <w:r w:rsidRPr="00170FDC">
              <w:rPr>
                <w:rFonts w:cs="Arial"/>
                <w:sz w:val="22"/>
                <w:szCs w:val="22"/>
              </w:rPr>
              <w:t>Dessa forma, o IBP entende que somente os elementos em estado bruto e aqueles submetidos a tratamento preliminar obtidos como resultado das operações de exploração e produção, realizadas sob a égide do Contrato de Concessão, devem ser entregues pelas Concessionárias à ANP, a fim de compor os “recursos petrolíferos nacionais” referidos no art. 22, caput, da Lei do Petróleo, o que não abrange os dados e informações interpretadas.</w:t>
            </w:r>
          </w:p>
          <w:p w14:paraId="623D14C8" w14:textId="77777777" w:rsidR="00C73EAE" w:rsidRPr="00170FDC" w:rsidRDefault="00C73EAE" w:rsidP="00E061A4">
            <w:pPr>
              <w:ind w:firstLine="708"/>
              <w:jc w:val="both"/>
              <w:rPr>
                <w:rFonts w:ascii="Arial" w:hAnsi="Arial" w:cs="Arial"/>
                <w:sz w:val="22"/>
                <w:szCs w:val="22"/>
              </w:rPr>
            </w:pPr>
          </w:p>
          <w:p w14:paraId="5C532C3A" w14:textId="77777777" w:rsidR="00C73EAE" w:rsidRPr="00170FDC" w:rsidRDefault="00C73EAE" w:rsidP="00E061A4">
            <w:pPr>
              <w:pStyle w:val="Legenda"/>
              <w:jc w:val="both"/>
              <w:rPr>
                <w:rFonts w:cs="Arial"/>
                <w:sz w:val="22"/>
                <w:szCs w:val="22"/>
              </w:rPr>
            </w:pPr>
            <w:r w:rsidRPr="00170FDC">
              <w:rPr>
                <w:rFonts w:cs="Arial"/>
                <w:sz w:val="22"/>
                <w:szCs w:val="22"/>
              </w:rPr>
              <w:t>Ainda, sustentamos que a propriedade privada é um dos princípios da Ordem Econômica (art. 170, II CRFB/88), situado no mesmo capítulo da Constituição que trata do órgão regulador para o setor petrolífero (art. 177 § 1.º), de modo que a Constituição, neste aspecto deve ser interpretada considerando a valoração axiológica existente entre o citado princípio positivado e a regra de seu art. 177, § 1.º .</w:t>
            </w:r>
          </w:p>
        </w:tc>
      </w:tr>
      <w:tr w:rsidR="00C73EAE" w:rsidRPr="00170FDC" w14:paraId="4A7A31F0" w14:textId="77777777" w:rsidTr="0003097F">
        <w:trPr>
          <w:trHeight w:val="2268"/>
        </w:trPr>
        <w:tc>
          <w:tcPr>
            <w:tcW w:w="553" w:type="pct"/>
            <w:vAlign w:val="center"/>
          </w:tcPr>
          <w:p w14:paraId="024F6ECE"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C5A7595"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55D9711"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13.2</w:t>
            </w:r>
          </w:p>
        </w:tc>
        <w:tc>
          <w:tcPr>
            <w:tcW w:w="1386" w:type="pct"/>
            <w:vAlign w:val="center"/>
          </w:tcPr>
          <w:p w14:paraId="22795207" w14:textId="77777777" w:rsidR="00C73EAE" w:rsidRPr="00170FDC" w:rsidRDefault="00C73EAE" w:rsidP="00183142">
            <w:pPr>
              <w:pStyle w:val="Contrato-Alnea"/>
              <w:ind w:left="360"/>
            </w:pPr>
            <w:bookmarkStart w:id="13" w:name="_Ref473088009"/>
            <w:r w:rsidRPr="001502F2">
              <w:t xml:space="preserve">O Acordo de </w:t>
            </w:r>
            <w:bookmarkEnd w:id="13"/>
            <w:r w:rsidRPr="001502F2">
              <w:t xml:space="preserve">Individualização da </w:t>
            </w:r>
            <w:bookmarkStart w:id="14" w:name="_Ref473088045"/>
            <w:bookmarkStart w:id="15" w:name="_Ref7241693"/>
            <w:bookmarkStart w:id="16" w:name="_Ref69126542"/>
            <w:bookmarkStart w:id="17" w:name="_Ref71619042"/>
            <w:r w:rsidRPr="001502F2">
              <w:t>Produção e o Compromisso de Individualização da Produção</w:t>
            </w:r>
            <w:bookmarkEnd w:id="14"/>
            <w:bookmarkEnd w:id="15"/>
            <w:bookmarkEnd w:id="16"/>
            <w:bookmarkEnd w:id="17"/>
            <w:r w:rsidRPr="001502F2">
              <w:t xml:space="preserve"> serão elaborados nos termos da Legislação Aplicável</w:t>
            </w:r>
            <w:r>
              <w:t xml:space="preserve">, </w:t>
            </w:r>
            <w:r w:rsidRPr="001502F2">
              <w:t>respeitados os termos e condições deste Contrato no que diz respeito à Área de Concessão, de forma a assegurar a manutenção do equilíbrio econômico-financeiro do Contrato.</w:t>
            </w:r>
          </w:p>
        </w:tc>
        <w:tc>
          <w:tcPr>
            <w:tcW w:w="2126" w:type="pct"/>
            <w:vAlign w:val="center"/>
          </w:tcPr>
          <w:p w14:paraId="234C8AEC" w14:textId="77777777" w:rsidR="00C73EAE" w:rsidRPr="00170FDC" w:rsidRDefault="00C73EAE" w:rsidP="00E061A4">
            <w:pPr>
              <w:pStyle w:val="Legenda"/>
              <w:jc w:val="both"/>
              <w:rPr>
                <w:rFonts w:cs="Arial"/>
                <w:sz w:val="22"/>
                <w:szCs w:val="22"/>
              </w:rPr>
            </w:pPr>
            <w:r w:rsidRPr="00B34EAC">
              <w:rPr>
                <w:rFonts w:cs="Arial"/>
                <w:sz w:val="22"/>
                <w:szCs w:val="22"/>
              </w:rPr>
              <w:t>A sugestão objetiva conferir segurança jurídica aos Concessionários, de modo que processos de individualização da produção não venham a ensejar um desequilíbrio econômico-financeiro do Contrato.</w:t>
            </w:r>
          </w:p>
        </w:tc>
      </w:tr>
      <w:tr w:rsidR="00C73EAE" w:rsidRPr="00170FDC" w14:paraId="7405DF58" w14:textId="77777777" w:rsidTr="0003097F">
        <w:trPr>
          <w:trHeight w:val="2268"/>
        </w:trPr>
        <w:tc>
          <w:tcPr>
            <w:tcW w:w="553" w:type="pct"/>
            <w:vAlign w:val="center"/>
          </w:tcPr>
          <w:p w14:paraId="4CDA927D"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8329821"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8031835"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13.3</w:t>
            </w:r>
          </w:p>
        </w:tc>
        <w:tc>
          <w:tcPr>
            <w:tcW w:w="1386" w:type="pct"/>
            <w:vAlign w:val="center"/>
          </w:tcPr>
          <w:p w14:paraId="44057475" w14:textId="23A9B630" w:rsidR="00C73EAE" w:rsidRPr="00170FDC" w:rsidRDefault="00C73EAE" w:rsidP="00183142">
            <w:pPr>
              <w:pStyle w:val="Contrato-Alnea"/>
              <w:ind w:left="360"/>
            </w:pPr>
            <w:r w:rsidRPr="001502F2">
              <w:t>Nos casos em que a Jazida Compartilhada se estenda por área não contratada, o Concessionário não será obrigado a realizar desembolso para arcar com a participação da União no rateio dos investimentos concernentes à etapa de Desenvolvi</w:t>
            </w:r>
            <w:r w:rsidR="00E061A4">
              <w:t>mento e dos custos de produção.</w:t>
            </w:r>
          </w:p>
        </w:tc>
        <w:tc>
          <w:tcPr>
            <w:tcW w:w="2126" w:type="pct"/>
            <w:vAlign w:val="center"/>
          </w:tcPr>
          <w:p w14:paraId="20518FC9" w14:textId="2BD63003" w:rsidR="00C73EAE" w:rsidRPr="00170FDC" w:rsidRDefault="00336C78" w:rsidP="00E061A4">
            <w:pPr>
              <w:pStyle w:val="Legenda"/>
              <w:jc w:val="both"/>
              <w:rPr>
                <w:rFonts w:cs="Arial"/>
                <w:sz w:val="22"/>
                <w:szCs w:val="22"/>
              </w:rPr>
            </w:pPr>
            <w:r>
              <w:rPr>
                <w:rFonts w:cs="Arial"/>
                <w:sz w:val="22"/>
                <w:szCs w:val="22"/>
              </w:rPr>
              <w:t xml:space="preserve">Importante refletir as diretrizes constantes na Resolução do CNPE e o conceito contido na Resolução da ANP 25/2013 no Contrato de Concessão ante a ausência de Legislação Federal específica. </w:t>
            </w:r>
          </w:p>
        </w:tc>
      </w:tr>
      <w:tr w:rsidR="00C73EAE" w:rsidRPr="00170FDC" w14:paraId="656D4E4D" w14:textId="77777777" w:rsidTr="0003097F">
        <w:trPr>
          <w:trHeight w:val="2268"/>
        </w:trPr>
        <w:tc>
          <w:tcPr>
            <w:tcW w:w="553" w:type="pct"/>
            <w:vAlign w:val="center"/>
          </w:tcPr>
          <w:p w14:paraId="20561E32" w14:textId="77777777" w:rsidR="00C73EAE" w:rsidRPr="008E44C8" w:rsidRDefault="00C73EAE" w:rsidP="00C73EAE">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22D114F2" w14:textId="77777777" w:rsidR="00C73EAE" w:rsidRPr="008E44C8" w:rsidRDefault="00C73EAE" w:rsidP="00C73EAE">
            <w:pPr>
              <w:pStyle w:val="Legenda"/>
              <w:jc w:val="center"/>
              <w:rPr>
                <w:rFonts w:cs="Arial"/>
                <w:color w:val="000000" w:themeColor="text1"/>
                <w:sz w:val="22"/>
                <w:szCs w:val="22"/>
              </w:rPr>
            </w:pPr>
            <w:r w:rsidRPr="008E44C8">
              <w:rPr>
                <w:rFonts w:cs="Arial"/>
                <w:color w:val="000000" w:themeColor="text1"/>
                <w:sz w:val="22"/>
                <w:szCs w:val="22"/>
              </w:rPr>
              <w:t>Inclusão</w:t>
            </w:r>
          </w:p>
        </w:tc>
        <w:tc>
          <w:tcPr>
            <w:tcW w:w="494" w:type="pct"/>
            <w:vAlign w:val="center"/>
          </w:tcPr>
          <w:p w14:paraId="4A1D44E8" w14:textId="77777777" w:rsidR="00C73EAE" w:rsidRPr="008E44C8" w:rsidRDefault="00C73EAE" w:rsidP="00183142">
            <w:pPr>
              <w:pStyle w:val="Legenda"/>
              <w:jc w:val="center"/>
              <w:rPr>
                <w:rFonts w:cs="Arial"/>
                <w:color w:val="000000" w:themeColor="text1"/>
                <w:sz w:val="22"/>
                <w:szCs w:val="22"/>
              </w:rPr>
            </w:pPr>
            <w:r w:rsidRPr="008E44C8">
              <w:rPr>
                <w:sz w:val="22"/>
                <w:szCs w:val="22"/>
              </w:rPr>
              <w:t>13.4</w:t>
            </w:r>
          </w:p>
        </w:tc>
        <w:tc>
          <w:tcPr>
            <w:tcW w:w="1386" w:type="pct"/>
            <w:vAlign w:val="center"/>
          </w:tcPr>
          <w:p w14:paraId="5FE94C93" w14:textId="77777777" w:rsidR="00C73EAE" w:rsidRPr="008E44C8" w:rsidRDefault="00C73EAE" w:rsidP="00183142">
            <w:pPr>
              <w:pStyle w:val="Contrato-Alnea"/>
              <w:ind w:left="360"/>
            </w:pPr>
            <w:r w:rsidRPr="008E44C8">
              <w:t>O curso do prazo contratual poderá ser suspenso no caso de procedimento de Individualização da Produção de Petróleo e Gás Natural, desde a instauração do procedimento até a formalização do Acordo de Individualização da Produção, nos termos da Legislação Aplicável.</w:t>
            </w:r>
          </w:p>
        </w:tc>
        <w:tc>
          <w:tcPr>
            <w:tcW w:w="2126" w:type="pct"/>
            <w:vAlign w:val="center"/>
          </w:tcPr>
          <w:p w14:paraId="142B8A82" w14:textId="4E1D3D8E" w:rsidR="00C73EAE" w:rsidRPr="008E44C8" w:rsidRDefault="00A17943" w:rsidP="00E061A4">
            <w:pPr>
              <w:pStyle w:val="Legenda"/>
              <w:jc w:val="both"/>
              <w:rPr>
                <w:rFonts w:cs="Arial"/>
                <w:sz w:val="22"/>
                <w:szCs w:val="22"/>
              </w:rPr>
            </w:pPr>
            <w:r>
              <w:rPr>
                <w:rFonts w:cs="Arial"/>
                <w:sz w:val="22"/>
                <w:szCs w:val="22"/>
              </w:rPr>
              <w:t>Importante refletir as diretrizes constantes na Resolução do CNPE e o conceito contido na Resolução da ANP 25/2013 no Contrato de Concessão ante a ausência de Legislação Federal específica.</w:t>
            </w:r>
          </w:p>
        </w:tc>
      </w:tr>
      <w:tr w:rsidR="00C73EAE" w:rsidRPr="00170FDC" w14:paraId="5FFE24E1" w14:textId="77777777" w:rsidTr="0003097F">
        <w:trPr>
          <w:trHeight w:val="2268"/>
        </w:trPr>
        <w:tc>
          <w:tcPr>
            <w:tcW w:w="553" w:type="pct"/>
            <w:vAlign w:val="center"/>
          </w:tcPr>
          <w:p w14:paraId="2D61DF34" w14:textId="77777777" w:rsidR="00C73EAE" w:rsidRPr="008E44C8" w:rsidRDefault="00C73EAE" w:rsidP="00C73EAE">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1EBC91B4" w14:textId="77777777" w:rsidR="00C73EAE" w:rsidRPr="008E44C8" w:rsidRDefault="00C73EAE" w:rsidP="00C73EAE">
            <w:pPr>
              <w:pStyle w:val="Legenda"/>
              <w:jc w:val="center"/>
              <w:rPr>
                <w:rFonts w:cs="Arial"/>
                <w:color w:val="000000" w:themeColor="text1"/>
                <w:sz w:val="22"/>
                <w:szCs w:val="22"/>
              </w:rPr>
            </w:pPr>
            <w:r w:rsidRPr="008E44C8">
              <w:rPr>
                <w:rFonts w:cs="Arial"/>
                <w:color w:val="000000" w:themeColor="text1"/>
                <w:sz w:val="22"/>
                <w:szCs w:val="22"/>
              </w:rPr>
              <w:t>Inclusão</w:t>
            </w:r>
          </w:p>
        </w:tc>
        <w:tc>
          <w:tcPr>
            <w:tcW w:w="494" w:type="pct"/>
            <w:vAlign w:val="center"/>
          </w:tcPr>
          <w:p w14:paraId="432E68A1" w14:textId="77777777" w:rsidR="00C73EAE" w:rsidRPr="008E44C8" w:rsidRDefault="00C73EAE" w:rsidP="00183142">
            <w:pPr>
              <w:pStyle w:val="Legenda"/>
              <w:jc w:val="center"/>
              <w:rPr>
                <w:rFonts w:cs="Arial"/>
                <w:color w:val="000000" w:themeColor="text1"/>
                <w:sz w:val="22"/>
                <w:szCs w:val="22"/>
              </w:rPr>
            </w:pPr>
            <w:r w:rsidRPr="008E44C8">
              <w:rPr>
                <w:sz w:val="22"/>
                <w:szCs w:val="22"/>
              </w:rPr>
              <w:t>13.5</w:t>
            </w:r>
          </w:p>
        </w:tc>
        <w:tc>
          <w:tcPr>
            <w:tcW w:w="1386" w:type="pct"/>
            <w:vAlign w:val="center"/>
          </w:tcPr>
          <w:p w14:paraId="6670B1D7" w14:textId="77777777" w:rsidR="00C73EAE" w:rsidRPr="008E44C8" w:rsidRDefault="00C73EAE" w:rsidP="00183142">
            <w:pPr>
              <w:pStyle w:val="Contrato-Alnea"/>
              <w:ind w:left="360"/>
            </w:pPr>
            <w:r w:rsidRPr="008E44C8">
              <w:rPr>
                <w:lang w:eastAsia="en-US"/>
              </w:rPr>
              <w:t>A ANP poderá autorizar a anexação da área adjacente pelo Concessionário caso se comprove a dispensa ou a inexigibilidade de licitação para a área adjacente que detém parcela da Jazida Compartilhada.</w:t>
            </w:r>
          </w:p>
        </w:tc>
        <w:tc>
          <w:tcPr>
            <w:tcW w:w="2126" w:type="pct"/>
            <w:vAlign w:val="center"/>
          </w:tcPr>
          <w:p w14:paraId="0C637EA5" w14:textId="41E29612" w:rsidR="00C73EAE" w:rsidRPr="008E44C8" w:rsidRDefault="00C73EAE" w:rsidP="00E061A4">
            <w:pPr>
              <w:pStyle w:val="Legenda"/>
              <w:jc w:val="both"/>
              <w:rPr>
                <w:rFonts w:cs="Arial"/>
                <w:sz w:val="22"/>
                <w:szCs w:val="22"/>
              </w:rPr>
            </w:pPr>
            <w:r w:rsidRPr="008E44C8">
              <w:rPr>
                <w:rFonts w:cs="Arial"/>
                <w:sz w:val="22"/>
                <w:szCs w:val="22"/>
              </w:rPr>
              <w:t>Inclusão pautada no princípio da eficiência e respaldada pelos comandos licitatórios, bem como alinhado aos princípios da política energética nacional.</w:t>
            </w:r>
          </w:p>
        </w:tc>
      </w:tr>
      <w:tr w:rsidR="00C73EAE" w:rsidRPr="00170FDC" w14:paraId="22475F1A" w14:textId="77777777" w:rsidTr="0003097F">
        <w:trPr>
          <w:trHeight w:val="2268"/>
        </w:trPr>
        <w:tc>
          <w:tcPr>
            <w:tcW w:w="553" w:type="pct"/>
            <w:vAlign w:val="center"/>
          </w:tcPr>
          <w:p w14:paraId="33D9BAA2" w14:textId="77777777" w:rsidR="00C73EAE" w:rsidRPr="008E44C8" w:rsidRDefault="00C73EAE" w:rsidP="00C73EAE">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42D9AC19" w14:textId="77777777" w:rsidR="00C73EAE" w:rsidRPr="008E44C8" w:rsidRDefault="00C73EAE" w:rsidP="00C73EAE">
            <w:pPr>
              <w:pStyle w:val="Legenda"/>
              <w:jc w:val="center"/>
              <w:rPr>
                <w:rFonts w:cs="Arial"/>
                <w:color w:val="000000" w:themeColor="text1"/>
                <w:sz w:val="22"/>
                <w:szCs w:val="22"/>
              </w:rPr>
            </w:pPr>
            <w:r w:rsidRPr="008E44C8">
              <w:rPr>
                <w:rFonts w:cs="Arial"/>
                <w:color w:val="000000" w:themeColor="text1"/>
                <w:sz w:val="22"/>
                <w:szCs w:val="22"/>
              </w:rPr>
              <w:t>Inclusão</w:t>
            </w:r>
          </w:p>
        </w:tc>
        <w:tc>
          <w:tcPr>
            <w:tcW w:w="494" w:type="pct"/>
            <w:vAlign w:val="center"/>
          </w:tcPr>
          <w:p w14:paraId="33AC0D5B"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13.6</w:t>
            </w:r>
          </w:p>
        </w:tc>
        <w:tc>
          <w:tcPr>
            <w:tcW w:w="1386" w:type="pct"/>
            <w:vAlign w:val="center"/>
          </w:tcPr>
          <w:p w14:paraId="6A892077" w14:textId="77777777" w:rsidR="00C73EAE" w:rsidRPr="008E44C8" w:rsidRDefault="00C73EAE" w:rsidP="00183142">
            <w:pPr>
              <w:pStyle w:val="Contrato-Alnea"/>
              <w:ind w:left="360"/>
              <w:rPr>
                <w:lang w:eastAsia="en-US"/>
              </w:rPr>
            </w:pPr>
            <w:r w:rsidRPr="008E44C8">
              <w:rPr>
                <w:lang w:eastAsia="en-US"/>
              </w:rPr>
              <w:t>Será aplicado ao acordo de individualização da produção o conceito jurídico da aquisição originária sobre os volumes de hidrocarbonetos produzidos que devam ser equalizados entre as partes integrantes do acordo, independente da forma de equalização definida</w:t>
            </w:r>
          </w:p>
          <w:p w14:paraId="29AF6F37" w14:textId="77777777" w:rsidR="00C73EAE" w:rsidRPr="008E44C8" w:rsidRDefault="00C73EAE" w:rsidP="00183142">
            <w:pPr>
              <w:pStyle w:val="Contrato-Alnea"/>
              <w:ind w:left="360"/>
            </w:pPr>
          </w:p>
        </w:tc>
        <w:tc>
          <w:tcPr>
            <w:tcW w:w="2126" w:type="pct"/>
            <w:vAlign w:val="center"/>
          </w:tcPr>
          <w:p w14:paraId="4A4A5FBB" w14:textId="10A6C869" w:rsidR="00C73EAE" w:rsidRPr="008E44C8" w:rsidRDefault="00590C79" w:rsidP="00E061A4">
            <w:pPr>
              <w:pStyle w:val="Legenda"/>
              <w:jc w:val="both"/>
              <w:rPr>
                <w:rFonts w:cs="Arial"/>
                <w:sz w:val="22"/>
                <w:szCs w:val="22"/>
              </w:rPr>
            </w:pPr>
            <w:r>
              <w:rPr>
                <w:rFonts w:cs="Arial"/>
                <w:sz w:val="22"/>
                <w:szCs w:val="22"/>
              </w:rPr>
              <w:t xml:space="preserve">Importante que a ANP deixe claro no contrato o regime de aquisição da propriedade também para </w:t>
            </w:r>
            <w:r w:rsidR="00C73EAE" w:rsidRPr="008E44C8">
              <w:rPr>
                <w:sz w:val="22"/>
                <w:szCs w:val="22"/>
              </w:rPr>
              <w:t>os volume</w:t>
            </w:r>
            <w:r>
              <w:rPr>
                <w:sz w:val="22"/>
                <w:szCs w:val="22"/>
              </w:rPr>
              <w:t>s</w:t>
            </w:r>
            <w:r w:rsidR="00C73EAE" w:rsidRPr="008E44C8">
              <w:rPr>
                <w:sz w:val="22"/>
                <w:szCs w:val="22"/>
              </w:rPr>
              <w:t xml:space="preserve"> a serem equalizados nos processos de individualização da produção</w:t>
            </w:r>
            <w:r w:rsidR="00D5784A">
              <w:rPr>
                <w:sz w:val="22"/>
                <w:szCs w:val="22"/>
              </w:rPr>
              <w:t>,</w:t>
            </w:r>
            <w:r w:rsidR="00C73EAE" w:rsidRPr="008E44C8">
              <w:rPr>
                <w:sz w:val="22"/>
                <w:szCs w:val="22"/>
              </w:rPr>
              <w:t xml:space="preserve"> independentemente da forma elegida para a equalização</w:t>
            </w:r>
            <w:r>
              <w:rPr>
                <w:sz w:val="22"/>
                <w:szCs w:val="22"/>
              </w:rPr>
              <w:t>.</w:t>
            </w:r>
          </w:p>
        </w:tc>
      </w:tr>
      <w:tr w:rsidR="00C73EAE" w:rsidRPr="00170FDC" w14:paraId="2C0EF408" w14:textId="77777777" w:rsidTr="0003097F">
        <w:trPr>
          <w:trHeight w:val="2268"/>
        </w:trPr>
        <w:tc>
          <w:tcPr>
            <w:tcW w:w="553" w:type="pct"/>
            <w:vAlign w:val="center"/>
          </w:tcPr>
          <w:p w14:paraId="5F54F6DA" w14:textId="77777777" w:rsidR="00C73EAE" w:rsidRPr="00793EBA"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98EFC36"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D6E767D"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14.20.4</w:t>
            </w:r>
          </w:p>
        </w:tc>
        <w:tc>
          <w:tcPr>
            <w:tcW w:w="1386" w:type="pct"/>
            <w:vAlign w:val="center"/>
          </w:tcPr>
          <w:p w14:paraId="71C46F33" w14:textId="77777777" w:rsidR="00C73EAE" w:rsidRPr="00793EBA" w:rsidRDefault="00C73EAE" w:rsidP="00183142">
            <w:pPr>
              <w:pStyle w:val="Contrato-Clausula-Nvel2"/>
              <w:numPr>
                <w:ilvl w:val="0"/>
                <w:numId w:val="0"/>
              </w:numPr>
              <w:rPr>
                <w:rFonts w:cs="Arial"/>
                <w:szCs w:val="22"/>
              </w:rPr>
            </w:pPr>
            <w:r w:rsidRPr="00793EBA">
              <w:t>Operações fora dos limites da Área de Concessão serão consideradas para efeito de abatimento do Programa Exploratório Mínimo.</w:t>
            </w:r>
          </w:p>
        </w:tc>
        <w:tc>
          <w:tcPr>
            <w:tcW w:w="2126" w:type="pct"/>
            <w:vAlign w:val="center"/>
          </w:tcPr>
          <w:p w14:paraId="30EF66A2" w14:textId="77777777" w:rsidR="001D44DF" w:rsidRDefault="001D44DF" w:rsidP="00E061A4">
            <w:pPr>
              <w:pStyle w:val="Legenda"/>
              <w:jc w:val="both"/>
              <w:rPr>
                <w:rFonts w:cs="Arial"/>
                <w:sz w:val="22"/>
                <w:szCs w:val="22"/>
              </w:rPr>
            </w:pPr>
            <w:r>
              <w:rPr>
                <w:rFonts w:cs="Arial"/>
                <w:sz w:val="22"/>
                <w:szCs w:val="22"/>
              </w:rPr>
              <w:t xml:space="preserve">Não obstante a determinação da Diretoria Colegiada da ANP na RD 940/2011, entendemos que este posicionamento poderia ser revisto, uma vez que </w:t>
            </w:r>
            <w:r w:rsidR="00C73EAE" w:rsidRPr="00793EBA">
              <w:rPr>
                <w:rFonts w:cs="Arial"/>
                <w:sz w:val="22"/>
                <w:szCs w:val="22"/>
              </w:rPr>
              <w:t>a execução de tais operações em localidade externa à Área de Concessão será realizada apenas mediante justificativa técnica, feita pelo Concessionário e aprovada pela ANP</w:t>
            </w:r>
            <w:r>
              <w:rPr>
                <w:rFonts w:cs="Arial"/>
                <w:sz w:val="22"/>
                <w:szCs w:val="22"/>
              </w:rPr>
              <w:t xml:space="preserve">. </w:t>
            </w:r>
          </w:p>
          <w:p w14:paraId="3A817DD3" w14:textId="77777777" w:rsidR="001D44DF" w:rsidRDefault="001D44DF" w:rsidP="00E061A4">
            <w:pPr>
              <w:pStyle w:val="Legenda"/>
              <w:jc w:val="both"/>
              <w:rPr>
                <w:rFonts w:cs="Arial"/>
                <w:sz w:val="22"/>
                <w:szCs w:val="22"/>
              </w:rPr>
            </w:pPr>
          </w:p>
          <w:p w14:paraId="17EAF6E9" w14:textId="5C58B146" w:rsidR="00C73EAE" w:rsidRPr="00170FDC" w:rsidRDefault="001D44DF" w:rsidP="00E061A4">
            <w:pPr>
              <w:pStyle w:val="Legenda"/>
              <w:jc w:val="both"/>
              <w:rPr>
                <w:rFonts w:cs="Arial"/>
                <w:sz w:val="22"/>
                <w:szCs w:val="22"/>
              </w:rPr>
            </w:pPr>
            <w:r>
              <w:rPr>
                <w:rFonts w:cs="Arial"/>
                <w:sz w:val="22"/>
                <w:szCs w:val="22"/>
              </w:rPr>
              <w:t xml:space="preserve">Sendo portanto investimentos obrigatórios à atividade exploratória e cumprimento do PEM, </w:t>
            </w:r>
            <w:r w:rsidR="00C73EAE" w:rsidRPr="00793EBA">
              <w:rPr>
                <w:rFonts w:cs="Arial"/>
                <w:sz w:val="22"/>
                <w:szCs w:val="22"/>
              </w:rPr>
              <w:t>é razoável que a aquisição de dados e/ou a execução de outras Operações sejam consideradas para efeito de abatimento do Programa Exploratório Mínimo. Tal possibilidade estaria alinhada aos objetivos e princípios emanados da Lei 9.478/97 e demais normas aplicáveis.</w:t>
            </w:r>
          </w:p>
        </w:tc>
      </w:tr>
      <w:tr w:rsidR="00C73EAE" w:rsidRPr="00170FDC" w14:paraId="79DB73C1" w14:textId="77777777" w:rsidTr="0003097F">
        <w:trPr>
          <w:trHeight w:val="2268"/>
        </w:trPr>
        <w:tc>
          <w:tcPr>
            <w:tcW w:w="553" w:type="pct"/>
            <w:vAlign w:val="center"/>
          </w:tcPr>
          <w:p w14:paraId="54B490E6" w14:textId="77777777" w:rsidR="00C73EAE" w:rsidRPr="00170FDC" w:rsidRDefault="00C73EAE" w:rsidP="00C73EA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E27B806" w14:textId="77777777" w:rsidR="00C73EAE" w:rsidRPr="006E166E" w:rsidRDefault="00C73EAE" w:rsidP="00C73EA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4CB8A4F" w14:textId="77777777" w:rsidR="00C73EAE" w:rsidRPr="008E44C8" w:rsidRDefault="00C73EAE" w:rsidP="00183142">
            <w:pPr>
              <w:pStyle w:val="Legenda"/>
              <w:jc w:val="center"/>
              <w:rPr>
                <w:rFonts w:cs="Arial"/>
                <w:color w:val="000000" w:themeColor="text1"/>
                <w:sz w:val="22"/>
                <w:szCs w:val="22"/>
              </w:rPr>
            </w:pPr>
            <w:r w:rsidRPr="008E44C8">
              <w:rPr>
                <w:rFonts w:cs="Arial"/>
                <w:color w:val="000000" w:themeColor="text1"/>
                <w:sz w:val="22"/>
                <w:szCs w:val="22"/>
              </w:rPr>
              <w:t>15.2</w:t>
            </w:r>
          </w:p>
        </w:tc>
        <w:tc>
          <w:tcPr>
            <w:tcW w:w="1386" w:type="pct"/>
            <w:vAlign w:val="center"/>
          </w:tcPr>
          <w:p w14:paraId="4F85C127" w14:textId="77777777" w:rsidR="00C73EAE" w:rsidRPr="00170FDC" w:rsidRDefault="00C73EAE" w:rsidP="00183142">
            <w:pPr>
              <w:pStyle w:val="Contrato-Clausula-Nvel2"/>
              <w:numPr>
                <w:ilvl w:val="0"/>
                <w:numId w:val="0"/>
              </w:numPr>
              <w:rPr>
                <w:rFonts w:cs="Arial"/>
                <w:szCs w:val="22"/>
              </w:rPr>
            </w:pPr>
            <w:bookmarkStart w:id="18" w:name="_Ref473092164"/>
            <w:r w:rsidRPr="00170FDC">
              <w:rPr>
                <w:rFonts w:cs="Arial"/>
                <w:szCs w:val="22"/>
              </w:rPr>
              <w:t xml:space="preserve">Respeitados os princípios da proporcionalidade e da razoabilidade, bem com as normas de Saúde, Meio Ambiente e Segurança, ANP terá livre acesso à Área de Concessão e às Operações em curso, aos equipamentos e instalações do Concessionário bem como a todos os registros, e dados técnicos disponíveis, para fins do acompanhamento e fiscalização. </w:t>
            </w:r>
            <w:bookmarkEnd w:id="18"/>
            <w:r w:rsidRPr="00170FDC">
              <w:rPr>
                <w:rFonts w:cs="Arial"/>
                <w:szCs w:val="22"/>
              </w:rPr>
              <w:t>A ANP dará ciência previamente ao Concessionário da realização de tais inspeções e zelará para que tais inspeções não prejudiquem a execução normal das operações.</w:t>
            </w:r>
          </w:p>
          <w:p w14:paraId="594FE7CF" w14:textId="77777777" w:rsidR="00C73EAE" w:rsidRPr="00170FDC" w:rsidRDefault="00C73EAE" w:rsidP="00183142">
            <w:pPr>
              <w:pStyle w:val="Contrato-Clausula-Nvel2"/>
              <w:numPr>
                <w:ilvl w:val="0"/>
                <w:numId w:val="0"/>
              </w:numPr>
              <w:rPr>
                <w:rFonts w:cs="Arial"/>
                <w:szCs w:val="22"/>
              </w:rPr>
            </w:pPr>
          </w:p>
          <w:p w14:paraId="697CC697" w14:textId="77777777" w:rsidR="00C73EAE" w:rsidRPr="00170FDC" w:rsidRDefault="00C73EAE" w:rsidP="00183142">
            <w:pPr>
              <w:pStyle w:val="Legenda"/>
              <w:jc w:val="both"/>
              <w:rPr>
                <w:rFonts w:cs="Arial"/>
                <w:color w:val="000000" w:themeColor="text1"/>
                <w:sz w:val="22"/>
                <w:szCs w:val="22"/>
              </w:rPr>
            </w:pPr>
          </w:p>
        </w:tc>
        <w:tc>
          <w:tcPr>
            <w:tcW w:w="2126" w:type="pct"/>
            <w:vAlign w:val="center"/>
          </w:tcPr>
          <w:p w14:paraId="72DB7940" w14:textId="77777777" w:rsidR="00C73EAE" w:rsidRDefault="00C73EAE" w:rsidP="00E061A4">
            <w:pPr>
              <w:pStyle w:val="Legenda"/>
              <w:jc w:val="both"/>
              <w:rPr>
                <w:rFonts w:cs="Arial"/>
                <w:sz w:val="22"/>
                <w:szCs w:val="22"/>
                <w:lang w:eastAsia="en-US"/>
              </w:rPr>
            </w:pPr>
          </w:p>
          <w:p w14:paraId="68C789C1" w14:textId="5C1D4954" w:rsidR="00C73EAE" w:rsidRDefault="003906C1" w:rsidP="00E061A4">
            <w:pPr>
              <w:pStyle w:val="Legenda"/>
              <w:jc w:val="both"/>
              <w:rPr>
                <w:rFonts w:cs="Arial"/>
                <w:sz w:val="22"/>
                <w:szCs w:val="22"/>
                <w:lang w:eastAsia="en-US"/>
              </w:rPr>
            </w:pPr>
            <w:r>
              <w:rPr>
                <w:rFonts w:cs="Arial"/>
                <w:sz w:val="22"/>
                <w:szCs w:val="22"/>
                <w:lang w:eastAsia="en-US"/>
              </w:rPr>
              <w:t xml:space="preserve">Inobstante os princípios da razoabilidade e proporcionalidade que regem a atuação da administração pública, é de amplo conhecimento a limitação do número de pessoas que podem permanecer embarcadas e o constante alto volume de atividades necessárias à continuidade das operações. Portanto, é muito importante para o Operador a ciência prévia para </w:t>
            </w:r>
            <w:r w:rsidR="00C73EAE" w:rsidRPr="00170FDC">
              <w:rPr>
                <w:rFonts w:cs="Arial"/>
                <w:sz w:val="22"/>
                <w:szCs w:val="22"/>
                <w:lang w:eastAsia="en-US"/>
              </w:rPr>
              <w:t>possibilitar</w:t>
            </w:r>
            <w:r>
              <w:rPr>
                <w:rFonts w:cs="Arial"/>
                <w:sz w:val="22"/>
                <w:szCs w:val="22"/>
                <w:lang w:eastAsia="en-US"/>
              </w:rPr>
              <w:t xml:space="preserve">a organização de </w:t>
            </w:r>
            <w:r w:rsidR="00C73EAE" w:rsidRPr="00170FDC">
              <w:rPr>
                <w:rFonts w:cs="Arial"/>
                <w:sz w:val="22"/>
                <w:szCs w:val="22"/>
                <w:lang w:eastAsia="en-US"/>
              </w:rPr>
              <w:t xml:space="preserve">toda a logística necessária para a realização de inspeção pela ANP, de acordo com as normas de segurança aplicáveis ao setor de exploração e produção de petróleo/gás natural. </w:t>
            </w:r>
          </w:p>
          <w:p w14:paraId="49FC948B" w14:textId="77777777" w:rsidR="00C73EAE" w:rsidRPr="00FF2EDE" w:rsidRDefault="00C73EAE" w:rsidP="00E061A4">
            <w:pPr>
              <w:jc w:val="both"/>
              <w:rPr>
                <w:lang w:eastAsia="en-US"/>
              </w:rPr>
            </w:pPr>
          </w:p>
        </w:tc>
      </w:tr>
      <w:tr w:rsidR="00A30D15" w:rsidRPr="00170FDC" w14:paraId="640E9FD9" w14:textId="77777777" w:rsidTr="0003097F">
        <w:trPr>
          <w:trHeight w:val="2268"/>
        </w:trPr>
        <w:tc>
          <w:tcPr>
            <w:tcW w:w="553" w:type="pct"/>
            <w:vAlign w:val="center"/>
          </w:tcPr>
          <w:p w14:paraId="479E0A22" w14:textId="6B084AFA" w:rsidR="00A30D15" w:rsidRPr="008E44C8" w:rsidRDefault="00A30D15" w:rsidP="00A30D1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4F78535" w14:textId="38315906" w:rsidR="00A30D15" w:rsidRPr="008E44C8" w:rsidRDefault="00A30D15" w:rsidP="00A30D1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6BE0756" w14:textId="12E9129C" w:rsidR="00A30D15" w:rsidRPr="008E44C8" w:rsidRDefault="00A30D15" w:rsidP="00183142">
            <w:pPr>
              <w:pStyle w:val="Legenda"/>
              <w:jc w:val="center"/>
              <w:rPr>
                <w:rFonts w:cs="Arial"/>
                <w:color w:val="000000" w:themeColor="text1"/>
                <w:sz w:val="22"/>
                <w:szCs w:val="22"/>
              </w:rPr>
            </w:pPr>
            <w:r w:rsidRPr="008E44C8">
              <w:rPr>
                <w:rFonts w:cs="Arial"/>
                <w:color w:val="000000" w:themeColor="text1"/>
                <w:sz w:val="22"/>
                <w:szCs w:val="22"/>
              </w:rPr>
              <w:t>15.</w:t>
            </w:r>
            <w:r>
              <w:rPr>
                <w:rFonts w:cs="Arial"/>
                <w:color w:val="000000" w:themeColor="text1"/>
                <w:sz w:val="22"/>
                <w:szCs w:val="22"/>
              </w:rPr>
              <w:t>3</w:t>
            </w:r>
          </w:p>
        </w:tc>
        <w:tc>
          <w:tcPr>
            <w:tcW w:w="1386" w:type="pct"/>
            <w:vAlign w:val="center"/>
          </w:tcPr>
          <w:p w14:paraId="732C5A36" w14:textId="4BDC4A0F" w:rsidR="00A30D15" w:rsidRPr="008E44C8" w:rsidRDefault="00A30D15" w:rsidP="00183142">
            <w:pPr>
              <w:pStyle w:val="Contrato-Clausula-Nvel3-1dezena"/>
              <w:numPr>
                <w:ilvl w:val="0"/>
                <w:numId w:val="0"/>
              </w:numPr>
              <w:rPr>
                <w:rFonts w:cs="Arial"/>
                <w:szCs w:val="22"/>
              </w:rPr>
            </w:pPr>
            <w:r w:rsidRPr="00345793">
              <w:t>O Concessionário deverá permitir livre acesso às autoridades que tenham competência sobre quaisquer de suas atividades</w:t>
            </w:r>
            <w:r>
              <w:t>, observadas as disposições constantes na cláusula 15.2</w:t>
            </w:r>
            <w:r w:rsidRPr="00345793">
              <w:t>.</w:t>
            </w:r>
          </w:p>
        </w:tc>
        <w:tc>
          <w:tcPr>
            <w:tcW w:w="2126" w:type="pct"/>
            <w:vAlign w:val="center"/>
          </w:tcPr>
          <w:p w14:paraId="078DC015" w14:textId="133C822A" w:rsidR="00A30D15" w:rsidRDefault="00A30D15" w:rsidP="00E061A4">
            <w:pPr>
              <w:pStyle w:val="Legenda"/>
              <w:jc w:val="both"/>
              <w:rPr>
                <w:sz w:val="22"/>
                <w:szCs w:val="22"/>
              </w:rPr>
            </w:pPr>
            <w:r>
              <w:rPr>
                <w:sz w:val="22"/>
                <w:szCs w:val="22"/>
              </w:rPr>
              <w:t>Em consonância com o comentário que consta da cláusula 15.2.</w:t>
            </w:r>
          </w:p>
        </w:tc>
      </w:tr>
      <w:tr w:rsidR="00E96023" w:rsidRPr="00170FDC" w14:paraId="02E1AC59" w14:textId="77777777" w:rsidTr="0003097F">
        <w:trPr>
          <w:trHeight w:val="2268"/>
        </w:trPr>
        <w:tc>
          <w:tcPr>
            <w:tcW w:w="553" w:type="pct"/>
            <w:vAlign w:val="center"/>
          </w:tcPr>
          <w:p w14:paraId="6AFD560C" w14:textId="21671374" w:rsidR="00E96023" w:rsidRPr="008E44C8" w:rsidRDefault="00E96023" w:rsidP="00E96023">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13DB08EB" w14:textId="0A6212B9" w:rsidR="00E96023" w:rsidRPr="008E44C8" w:rsidRDefault="00E96023" w:rsidP="00E96023">
            <w:pPr>
              <w:pStyle w:val="Legenda"/>
              <w:jc w:val="center"/>
              <w:rPr>
                <w:rFonts w:cs="Arial"/>
                <w:color w:val="000000" w:themeColor="text1"/>
                <w:sz w:val="22"/>
                <w:szCs w:val="22"/>
              </w:rPr>
            </w:pPr>
            <w:r w:rsidRPr="008E44C8">
              <w:rPr>
                <w:rFonts w:cs="Arial"/>
                <w:color w:val="000000" w:themeColor="text1"/>
                <w:sz w:val="22"/>
                <w:szCs w:val="22"/>
              </w:rPr>
              <w:t>Alteração</w:t>
            </w:r>
          </w:p>
        </w:tc>
        <w:tc>
          <w:tcPr>
            <w:tcW w:w="494" w:type="pct"/>
            <w:vAlign w:val="center"/>
          </w:tcPr>
          <w:p w14:paraId="54F1CAE7" w14:textId="2ED4D48D" w:rsidR="00E96023" w:rsidRPr="008E44C8" w:rsidRDefault="00E96023" w:rsidP="00183142">
            <w:pPr>
              <w:pStyle w:val="Legenda"/>
              <w:jc w:val="center"/>
              <w:rPr>
                <w:rFonts w:cs="Arial"/>
                <w:color w:val="000000" w:themeColor="text1"/>
                <w:sz w:val="22"/>
                <w:szCs w:val="22"/>
              </w:rPr>
            </w:pPr>
            <w:r w:rsidRPr="008E44C8">
              <w:rPr>
                <w:rFonts w:cs="Arial"/>
                <w:color w:val="000000" w:themeColor="text1"/>
                <w:sz w:val="22"/>
                <w:szCs w:val="22"/>
              </w:rPr>
              <w:t>1</w:t>
            </w:r>
            <w:r>
              <w:rPr>
                <w:rFonts w:cs="Arial"/>
                <w:color w:val="000000" w:themeColor="text1"/>
                <w:sz w:val="22"/>
                <w:szCs w:val="22"/>
              </w:rPr>
              <w:t>6</w:t>
            </w:r>
            <w:r w:rsidRPr="008E44C8">
              <w:rPr>
                <w:rFonts w:cs="Arial"/>
                <w:color w:val="000000" w:themeColor="text1"/>
                <w:sz w:val="22"/>
                <w:szCs w:val="22"/>
              </w:rPr>
              <w:t>.</w:t>
            </w:r>
            <w:r>
              <w:rPr>
                <w:rFonts w:cs="Arial"/>
                <w:color w:val="000000" w:themeColor="text1"/>
                <w:sz w:val="22"/>
                <w:szCs w:val="22"/>
              </w:rPr>
              <w:t>4</w:t>
            </w:r>
          </w:p>
        </w:tc>
        <w:tc>
          <w:tcPr>
            <w:tcW w:w="1386" w:type="pct"/>
            <w:vAlign w:val="center"/>
          </w:tcPr>
          <w:p w14:paraId="5B01EE36" w14:textId="28C95A54" w:rsidR="00E96023" w:rsidRPr="00172C21" w:rsidRDefault="00E96023" w:rsidP="00183142">
            <w:pPr>
              <w:pStyle w:val="Contrato-Clausula-Nvel2-1dezena"/>
              <w:numPr>
                <w:ilvl w:val="0"/>
                <w:numId w:val="0"/>
              </w:numPr>
              <w:ind w:left="360"/>
            </w:pPr>
            <w:r w:rsidRPr="00345793">
              <w:t xml:space="preserve">O Concessionário deverá cumprir o Programa Anual de Trabalho e Orçamento submetido à ANP, </w:t>
            </w:r>
            <w:r>
              <w:t xml:space="preserve">respeitando, caso existam, </w:t>
            </w:r>
            <w:r w:rsidRPr="00345793">
              <w:t xml:space="preserve">as </w:t>
            </w:r>
            <w:r w:rsidR="00172C21" w:rsidRPr="00345793">
              <w:t xml:space="preserve">modificações </w:t>
            </w:r>
            <w:r w:rsidR="00172C21">
              <w:t>implementadas</w:t>
            </w:r>
            <w:r w:rsidR="007C46EE">
              <w:t xml:space="preserve"> de acordo com </w:t>
            </w:r>
            <w:r w:rsidR="007C46EE" w:rsidRPr="00345793">
              <w:t>o procedimento previsto n</w:t>
            </w:r>
            <w:r w:rsidR="007C46EE">
              <w:t>a cláusula 16.3</w:t>
            </w:r>
            <w:r w:rsidRPr="00345793">
              <w:t>.</w:t>
            </w:r>
          </w:p>
        </w:tc>
        <w:tc>
          <w:tcPr>
            <w:tcW w:w="2126" w:type="pct"/>
            <w:vAlign w:val="center"/>
          </w:tcPr>
          <w:p w14:paraId="741C75D7" w14:textId="745E1A8B" w:rsidR="00E96023" w:rsidRDefault="00E96023" w:rsidP="00E061A4">
            <w:pPr>
              <w:pStyle w:val="Legenda"/>
              <w:jc w:val="both"/>
              <w:rPr>
                <w:sz w:val="22"/>
                <w:szCs w:val="22"/>
              </w:rPr>
            </w:pPr>
            <w:r>
              <w:rPr>
                <w:rFonts w:cs="Arial"/>
                <w:sz w:val="22"/>
                <w:szCs w:val="22"/>
              </w:rPr>
              <w:t>Todas as modificações ao PAP devem observar o procedimento previsto na cláusula 1</w:t>
            </w:r>
            <w:r w:rsidR="007C46EE">
              <w:rPr>
                <w:rFonts w:cs="Arial"/>
                <w:sz w:val="22"/>
                <w:szCs w:val="22"/>
              </w:rPr>
              <w:t>6</w:t>
            </w:r>
            <w:r>
              <w:rPr>
                <w:rFonts w:cs="Arial"/>
                <w:sz w:val="22"/>
                <w:szCs w:val="22"/>
              </w:rPr>
              <w:t>.</w:t>
            </w:r>
            <w:r w:rsidR="007C46EE">
              <w:rPr>
                <w:rFonts w:cs="Arial"/>
                <w:sz w:val="22"/>
                <w:szCs w:val="22"/>
              </w:rPr>
              <w:t>3</w:t>
            </w:r>
            <w:r>
              <w:rPr>
                <w:rFonts w:cs="Arial"/>
                <w:sz w:val="22"/>
                <w:szCs w:val="22"/>
              </w:rPr>
              <w:t>.</w:t>
            </w:r>
          </w:p>
        </w:tc>
      </w:tr>
      <w:tr w:rsidR="00E96023" w:rsidRPr="00170FDC" w14:paraId="636A0846" w14:textId="77777777" w:rsidTr="0003097F">
        <w:trPr>
          <w:trHeight w:val="2268"/>
        </w:trPr>
        <w:tc>
          <w:tcPr>
            <w:tcW w:w="553" w:type="pct"/>
            <w:vAlign w:val="center"/>
          </w:tcPr>
          <w:p w14:paraId="72F4BC74" w14:textId="77777777" w:rsidR="00E96023" w:rsidRPr="008E44C8" w:rsidRDefault="00E96023" w:rsidP="00E96023">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31EEAC65" w14:textId="77777777" w:rsidR="00E96023" w:rsidRPr="008E44C8" w:rsidRDefault="00E96023" w:rsidP="00E96023">
            <w:pPr>
              <w:pStyle w:val="Legenda"/>
              <w:jc w:val="center"/>
              <w:rPr>
                <w:rFonts w:cs="Arial"/>
                <w:color w:val="000000" w:themeColor="text1"/>
                <w:sz w:val="22"/>
                <w:szCs w:val="22"/>
              </w:rPr>
            </w:pPr>
            <w:r w:rsidRPr="008E44C8">
              <w:rPr>
                <w:rFonts w:cs="Arial"/>
                <w:color w:val="000000" w:themeColor="text1"/>
                <w:sz w:val="22"/>
                <w:szCs w:val="22"/>
              </w:rPr>
              <w:t>Alteração</w:t>
            </w:r>
          </w:p>
        </w:tc>
        <w:tc>
          <w:tcPr>
            <w:tcW w:w="494" w:type="pct"/>
            <w:vAlign w:val="center"/>
          </w:tcPr>
          <w:p w14:paraId="2C587B14" w14:textId="77777777" w:rsidR="00E96023" w:rsidRPr="008E44C8" w:rsidRDefault="00E96023" w:rsidP="00183142">
            <w:pPr>
              <w:pStyle w:val="Legenda"/>
              <w:jc w:val="center"/>
              <w:rPr>
                <w:rFonts w:cs="Arial"/>
                <w:color w:val="000000" w:themeColor="text1"/>
                <w:sz w:val="22"/>
                <w:szCs w:val="22"/>
              </w:rPr>
            </w:pPr>
            <w:r w:rsidRPr="008E44C8">
              <w:rPr>
                <w:rFonts w:cs="Arial"/>
                <w:color w:val="000000" w:themeColor="text1"/>
                <w:sz w:val="22"/>
                <w:szCs w:val="22"/>
              </w:rPr>
              <w:t>17.1.1</w:t>
            </w:r>
          </w:p>
        </w:tc>
        <w:tc>
          <w:tcPr>
            <w:tcW w:w="1386" w:type="pct"/>
            <w:vAlign w:val="center"/>
          </w:tcPr>
          <w:p w14:paraId="597686AE" w14:textId="77777777" w:rsidR="00E96023" w:rsidRPr="008E44C8" w:rsidRDefault="00E96023" w:rsidP="00183142">
            <w:pPr>
              <w:pStyle w:val="Contrato-Clausula-Nvel3-1dezena"/>
              <w:numPr>
                <w:ilvl w:val="0"/>
                <w:numId w:val="0"/>
              </w:numPr>
              <w:rPr>
                <w:rFonts w:cs="Arial"/>
                <w:szCs w:val="22"/>
              </w:rPr>
            </w:pPr>
            <w:r w:rsidRPr="008E44C8">
              <w:rPr>
                <w:rFonts w:cs="Arial"/>
                <w:szCs w:val="22"/>
              </w:rPr>
              <w:t>O Concessionário enviará à ANP, na forma por esta determinada, cópias de mapas, seções, perfis, estudos, outros dados e informações geológicas, geoquímicas e geofísicas, inclusive dados de poços, 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de Concessão.</w:t>
            </w:r>
          </w:p>
          <w:p w14:paraId="3319A7F0" w14:textId="77777777" w:rsidR="00E96023" w:rsidRPr="008E44C8" w:rsidRDefault="00E96023" w:rsidP="00183142">
            <w:pPr>
              <w:pStyle w:val="Legenda"/>
              <w:jc w:val="both"/>
              <w:rPr>
                <w:rFonts w:cs="Arial"/>
                <w:color w:val="000000" w:themeColor="text1"/>
                <w:sz w:val="22"/>
                <w:szCs w:val="22"/>
              </w:rPr>
            </w:pPr>
          </w:p>
        </w:tc>
        <w:tc>
          <w:tcPr>
            <w:tcW w:w="2126" w:type="pct"/>
            <w:vAlign w:val="center"/>
          </w:tcPr>
          <w:p w14:paraId="7A4C7D26" w14:textId="2D6E205E" w:rsidR="00E96023" w:rsidRPr="008E44C8" w:rsidRDefault="00E96023" w:rsidP="00E061A4">
            <w:pPr>
              <w:pStyle w:val="Legenda"/>
              <w:jc w:val="both"/>
              <w:rPr>
                <w:rFonts w:cs="Arial"/>
                <w:sz w:val="22"/>
                <w:szCs w:val="22"/>
              </w:rPr>
            </w:pPr>
            <w:r>
              <w:rPr>
                <w:sz w:val="22"/>
                <w:szCs w:val="22"/>
              </w:rPr>
              <w:t>Em que pese o concessionário ter ciência de que a informação apresentada à ANP será tratada de forma confidencial pela mesma, o Operador é obrigado a dividir com os demais concessionários todas as informações submetidas à ANP, uma vez que são solidariamente responsáveis pelas obrigações decorrentes do contrato de concessão. Os modelos de reservatórios são elaborados por cada concessionário consideradas as suas particularidades, não sendo informação dividida no consórcio. Além disso, o</w:t>
            </w:r>
            <w:r w:rsidRPr="008E44C8">
              <w:rPr>
                <w:sz w:val="22"/>
                <w:szCs w:val="22"/>
              </w:rPr>
              <w:t>s modelos de reservatórios não são informações essenciais para o exercício do poder fiscalizatório da Agência e consistem em informações proprietárias, preservando assim a confidencialidade da propriedade intelectual de tais modelos e, consequentemente, as vantagens competitivas dos operadores.</w:t>
            </w:r>
          </w:p>
        </w:tc>
      </w:tr>
      <w:tr w:rsidR="00E96023" w:rsidRPr="00170FDC" w14:paraId="4D4DE7BC" w14:textId="77777777" w:rsidTr="0003097F">
        <w:trPr>
          <w:trHeight w:val="2268"/>
        </w:trPr>
        <w:tc>
          <w:tcPr>
            <w:tcW w:w="553" w:type="pct"/>
            <w:vAlign w:val="center"/>
          </w:tcPr>
          <w:p w14:paraId="75CC4DCD" w14:textId="77777777" w:rsidR="00E96023" w:rsidRPr="008E44C8" w:rsidRDefault="00E96023" w:rsidP="00E96023">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39D1B2A6" w14:textId="77777777" w:rsidR="00E96023" w:rsidRPr="008E44C8" w:rsidRDefault="00E96023" w:rsidP="00E96023">
            <w:pPr>
              <w:pStyle w:val="Legenda"/>
              <w:jc w:val="center"/>
              <w:rPr>
                <w:rFonts w:cs="Arial"/>
                <w:color w:val="000000" w:themeColor="text1"/>
                <w:sz w:val="22"/>
                <w:szCs w:val="22"/>
              </w:rPr>
            </w:pPr>
            <w:r w:rsidRPr="008E44C8">
              <w:rPr>
                <w:rFonts w:cs="Arial"/>
                <w:color w:val="000000" w:themeColor="text1"/>
                <w:sz w:val="22"/>
                <w:szCs w:val="22"/>
              </w:rPr>
              <w:t>Alteração</w:t>
            </w:r>
          </w:p>
        </w:tc>
        <w:tc>
          <w:tcPr>
            <w:tcW w:w="494" w:type="pct"/>
            <w:vAlign w:val="center"/>
          </w:tcPr>
          <w:p w14:paraId="3CBF69D7" w14:textId="77777777" w:rsidR="00E96023" w:rsidRPr="008E44C8" w:rsidRDefault="00E96023" w:rsidP="00183142">
            <w:pPr>
              <w:pStyle w:val="Legenda"/>
              <w:jc w:val="center"/>
              <w:rPr>
                <w:rFonts w:cs="Arial"/>
                <w:color w:val="000000" w:themeColor="text1"/>
                <w:sz w:val="22"/>
                <w:szCs w:val="22"/>
              </w:rPr>
            </w:pPr>
            <w:r w:rsidRPr="008E44C8">
              <w:rPr>
                <w:rFonts w:cs="Arial"/>
                <w:color w:val="000000" w:themeColor="text1"/>
                <w:sz w:val="22"/>
                <w:szCs w:val="22"/>
              </w:rPr>
              <w:t>17.1.2</w:t>
            </w:r>
          </w:p>
        </w:tc>
        <w:tc>
          <w:tcPr>
            <w:tcW w:w="1386" w:type="pct"/>
            <w:vAlign w:val="center"/>
          </w:tcPr>
          <w:p w14:paraId="164C274A" w14:textId="77777777" w:rsidR="00E96023" w:rsidRPr="008E44C8" w:rsidRDefault="00E96023" w:rsidP="00183142">
            <w:pPr>
              <w:pStyle w:val="Legenda"/>
              <w:jc w:val="both"/>
              <w:rPr>
                <w:rFonts w:cs="Arial"/>
                <w:color w:val="000000" w:themeColor="text1"/>
                <w:sz w:val="22"/>
                <w:szCs w:val="22"/>
              </w:rPr>
            </w:pPr>
            <w:r w:rsidRPr="008E44C8">
              <w:rPr>
                <w:rFonts w:cs="Arial"/>
                <w:sz w:val="22"/>
                <w:szCs w:val="22"/>
              </w:rPr>
              <w:t>Nos termos do art. 22 da Lei nº 9.478/1997, o acervo técnico constituído pelos dados e informações sobre as bacias sedimentares brasileiras é parte integrante dos recursos petrolíferos nacionais, devendo tais dados e informa</w:t>
            </w:r>
            <w:r>
              <w:rPr>
                <w:rFonts w:cs="Arial"/>
                <w:sz w:val="22"/>
                <w:szCs w:val="22"/>
              </w:rPr>
              <w:t>ções, inclusive os referentes à</w:t>
            </w:r>
            <w:r w:rsidRPr="008E44C8">
              <w:rPr>
                <w:rFonts w:cs="Arial"/>
                <w:sz w:val="22"/>
                <w:szCs w:val="22"/>
              </w:rPr>
              <w:t xml:space="preserve"> geologia, geofísica e geoquímica da Área de Concessão, ser entregues pelo Concessionário à ANP</w:t>
            </w:r>
          </w:p>
        </w:tc>
        <w:tc>
          <w:tcPr>
            <w:tcW w:w="2126" w:type="pct"/>
            <w:vAlign w:val="center"/>
          </w:tcPr>
          <w:p w14:paraId="028BEE9E" w14:textId="77777777" w:rsidR="00E96023" w:rsidRPr="008E44C8" w:rsidRDefault="00E96023" w:rsidP="00E061A4">
            <w:pPr>
              <w:pStyle w:val="Legenda"/>
              <w:jc w:val="both"/>
              <w:rPr>
                <w:rFonts w:cs="Arial"/>
                <w:sz w:val="22"/>
                <w:szCs w:val="22"/>
              </w:rPr>
            </w:pPr>
            <w:r w:rsidRPr="008E44C8">
              <w:rPr>
                <w:rFonts w:cs="Arial"/>
                <w:sz w:val="22"/>
                <w:szCs w:val="22"/>
              </w:rPr>
              <w:t>Vide comentário acima e do Plano de Desenvolvimento. Modelagem geológica implica em informação sensível de cada empresa. Sugerimos sua exclusão.</w:t>
            </w:r>
          </w:p>
        </w:tc>
      </w:tr>
      <w:tr w:rsidR="00E96023" w:rsidRPr="00170FDC" w14:paraId="3125B3A9" w14:textId="77777777" w:rsidTr="0003097F">
        <w:trPr>
          <w:trHeight w:val="2268"/>
        </w:trPr>
        <w:tc>
          <w:tcPr>
            <w:tcW w:w="553" w:type="pct"/>
            <w:vAlign w:val="center"/>
          </w:tcPr>
          <w:p w14:paraId="40BFE3F3" w14:textId="77777777" w:rsidR="00E96023" w:rsidRPr="00170FDC" w:rsidRDefault="00E96023" w:rsidP="00E96023">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C98CB27" w14:textId="08064E47" w:rsidR="00E96023" w:rsidRPr="006E166E" w:rsidRDefault="00762DB0" w:rsidP="00E96023">
            <w:pPr>
              <w:pStyle w:val="Legenda"/>
              <w:jc w:val="center"/>
              <w:rPr>
                <w:rFonts w:cs="Arial"/>
                <w:color w:val="000000" w:themeColor="text1"/>
                <w:sz w:val="22"/>
                <w:szCs w:val="22"/>
              </w:rPr>
            </w:pPr>
            <w:r>
              <w:rPr>
                <w:rFonts w:cs="Arial"/>
                <w:color w:val="000000" w:themeColor="text1"/>
                <w:sz w:val="22"/>
                <w:szCs w:val="22"/>
              </w:rPr>
              <w:t>Inclusão</w:t>
            </w:r>
          </w:p>
        </w:tc>
        <w:tc>
          <w:tcPr>
            <w:tcW w:w="494" w:type="pct"/>
            <w:vAlign w:val="center"/>
          </w:tcPr>
          <w:p w14:paraId="2CB663E5" w14:textId="23C8D20B" w:rsidR="00E96023" w:rsidRPr="008E44C8" w:rsidRDefault="00E96023" w:rsidP="00183142">
            <w:pPr>
              <w:pStyle w:val="Legenda"/>
              <w:jc w:val="center"/>
              <w:rPr>
                <w:rFonts w:cs="Arial"/>
                <w:color w:val="000000" w:themeColor="text1"/>
                <w:sz w:val="22"/>
                <w:szCs w:val="22"/>
              </w:rPr>
            </w:pPr>
            <w:r w:rsidRPr="008E44C8">
              <w:rPr>
                <w:rFonts w:cs="Arial"/>
                <w:color w:val="000000" w:themeColor="text1"/>
                <w:sz w:val="22"/>
                <w:szCs w:val="22"/>
              </w:rPr>
              <w:t>18.8</w:t>
            </w:r>
            <w:r w:rsidR="00762DB0">
              <w:rPr>
                <w:rFonts w:cs="Arial"/>
                <w:color w:val="000000" w:themeColor="text1"/>
                <w:sz w:val="22"/>
                <w:szCs w:val="22"/>
              </w:rPr>
              <w:t>, alínea “e”</w:t>
            </w:r>
          </w:p>
        </w:tc>
        <w:tc>
          <w:tcPr>
            <w:tcW w:w="1386" w:type="pct"/>
            <w:vAlign w:val="center"/>
          </w:tcPr>
          <w:p w14:paraId="625189C3" w14:textId="23D02313" w:rsidR="00E96023" w:rsidRPr="00762DB0" w:rsidRDefault="00E96023" w:rsidP="00183142">
            <w:pPr>
              <w:pStyle w:val="Contrato-Alnea"/>
            </w:pPr>
            <w:bookmarkStart w:id="19" w:name="_Ref3095476"/>
            <w:r w:rsidRPr="00170FDC">
              <w:t>garantia fornecida por empresa Afiliada da Concessionária</w:t>
            </w:r>
            <w:bookmarkEnd w:id="19"/>
            <w:r w:rsidR="00762DB0">
              <w:t>.</w:t>
            </w:r>
          </w:p>
        </w:tc>
        <w:tc>
          <w:tcPr>
            <w:tcW w:w="2126" w:type="pct"/>
            <w:vAlign w:val="center"/>
          </w:tcPr>
          <w:p w14:paraId="7114AE94" w14:textId="084BBC11" w:rsidR="00E96023" w:rsidRDefault="00E96023" w:rsidP="00E061A4">
            <w:pPr>
              <w:pStyle w:val="Legenda"/>
              <w:jc w:val="both"/>
              <w:rPr>
                <w:rFonts w:cs="Arial"/>
                <w:sz w:val="22"/>
                <w:szCs w:val="22"/>
              </w:rPr>
            </w:pPr>
            <w:r>
              <w:rPr>
                <w:rFonts w:cs="Arial"/>
                <w:sz w:val="22"/>
                <w:szCs w:val="22"/>
              </w:rPr>
              <w:t>O IBP reconhece que o tema das garantias de abandono ainda será objeto de regulação específica</w:t>
            </w:r>
            <w:r w:rsidR="00562194">
              <w:rPr>
                <w:rFonts w:cs="Arial"/>
                <w:sz w:val="22"/>
                <w:szCs w:val="22"/>
              </w:rPr>
              <w:t>. Inobstante,</w:t>
            </w:r>
            <w:r>
              <w:rPr>
                <w:rFonts w:cs="Arial"/>
                <w:sz w:val="22"/>
                <w:szCs w:val="22"/>
              </w:rPr>
              <w:t xml:space="preserve"> </w:t>
            </w:r>
            <w:r w:rsidR="00562194">
              <w:rPr>
                <w:rFonts w:cs="Arial"/>
                <w:sz w:val="22"/>
                <w:szCs w:val="22"/>
              </w:rPr>
              <w:t xml:space="preserve">o IBP entende </w:t>
            </w:r>
            <w:r>
              <w:rPr>
                <w:rFonts w:cs="Arial"/>
                <w:sz w:val="22"/>
                <w:szCs w:val="22"/>
              </w:rPr>
              <w:t xml:space="preserve">que </w:t>
            </w:r>
            <w:r w:rsidR="00562194">
              <w:rPr>
                <w:rFonts w:cs="Arial"/>
                <w:sz w:val="22"/>
                <w:szCs w:val="22"/>
              </w:rPr>
              <w:t>a previsão sobre a possibilidade de apresentação de garantia por empresa afiliada deve constar d</w:t>
            </w:r>
            <w:r>
              <w:rPr>
                <w:rFonts w:cs="Arial"/>
                <w:sz w:val="22"/>
                <w:szCs w:val="22"/>
              </w:rPr>
              <w:t>o contrato de concess</w:t>
            </w:r>
            <w:r w:rsidR="00562194">
              <w:rPr>
                <w:rFonts w:cs="Arial"/>
                <w:sz w:val="22"/>
                <w:szCs w:val="22"/>
              </w:rPr>
              <w:t>ão.</w:t>
            </w:r>
          </w:p>
          <w:p w14:paraId="28F05C50" w14:textId="77777777" w:rsidR="00E96023" w:rsidRPr="00AD132B" w:rsidRDefault="00E96023" w:rsidP="00E061A4">
            <w:pPr>
              <w:jc w:val="both"/>
            </w:pPr>
          </w:p>
          <w:p w14:paraId="6D1EF5F3" w14:textId="77777777" w:rsidR="00E96023" w:rsidRDefault="00E96023" w:rsidP="00E061A4">
            <w:pPr>
              <w:pStyle w:val="Legenda"/>
              <w:jc w:val="both"/>
              <w:rPr>
                <w:rFonts w:cs="Arial"/>
                <w:sz w:val="22"/>
                <w:szCs w:val="22"/>
              </w:rPr>
            </w:pPr>
            <w:r w:rsidRPr="00170FDC">
              <w:rPr>
                <w:rFonts w:cs="Arial"/>
                <w:sz w:val="22"/>
                <w:szCs w:val="22"/>
              </w:rPr>
              <w:t>A apresentação de garantia por parte de empresa Afiliada do Concessionário não só estaria em consonância com as Melhores Práticas da Indústria do Petróleo e com a prática até então adotada pela ANP (vide garantias de performance outorgadas pelo controlador do concessionário para garantir quaisquer obrigações assumidas pelo garantido no âmbito da concessão, inclusive aquelas referentes ao abandono), como atenderia ao estipulado no Contrato de Concessão, sem impor ao Concessionário custos adicionais e excessivos, os quais podem inviabilizar o projeto ou até mesmo impactar a competitividade do País no mercado internacional.</w:t>
            </w:r>
          </w:p>
          <w:p w14:paraId="57CE4BA2" w14:textId="77777777" w:rsidR="00E96023" w:rsidRDefault="00E96023" w:rsidP="00E061A4">
            <w:pPr>
              <w:jc w:val="both"/>
            </w:pPr>
          </w:p>
          <w:p w14:paraId="20387679" w14:textId="5C7A83C8" w:rsidR="00E96023" w:rsidRPr="00AB1FBA" w:rsidRDefault="00E96023" w:rsidP="00E061A4">
            <w:pPr>
              <w:jc w:val="both"/>
            </w:pPr>
          </w:p>
        </w:tc>
      </w:tr>
      <w:tr w:rsidR="00E96023" w:rsidRPr="00170FDC" w14:paraId="64162D47" w14:textId="77777777" w:rsidTr="0003097F">
        <w:trPr>
          <w:trHeight w:val="2268"/>
        </w:trPr>
        <w:tc>
          <w:tcPr>
            <w:tcW w:w="553" w:type="pct"/>
            <w:vAlign w:val="center"/>
          </w:tcPr>
          <w:p w14:paraId="0E6A1A9D" w14:textId="281243E1" w:rsidR="00E96023" w:rsidRPr="00170FDC" w:rsidRDefault="00E96023" w:rsidP="00E96023">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78B9FB3" w14:textId="77777777" w:rsidR="00E96023" w:rsidRPr="006E166E" w:rsidRDefault="00E96023" w:rsidP="00E96023">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27A6560" w14:textId="77777777" w:rsidR="00E96023" w:rsidRPr="008E44C8" w:rsidRDefault="00E96023" w:rsidP="00183142">
            <w:pPr>
              <w:pStyle w:val="Legenda"/>
              <w:jc w:val="center"/>
              <w:rPr>
                <w:rFonts w:cs="Arial"/>
                <w:color w:val="000000" w:themeColor="text1"/>
                <w:sz w:val="22"/>
                <w:szCs w:val="22"/>
              </w:rPr>
            </w:pPr>
            <w:r w:rsidRPr="008E44C8">
              <w:rPr>
                <w:rFonts w:cs="Arial"/>
                <w:color w:val="000000" w:themeColor="text1"/>
                <w:sz w:val="22"/>
                <w:szCs w:val="22"/>
              </w:rPr>
              <w:t>18.8.1</w:t>
            </w:r>
          </w:p>
        </w:tc>
        <w:tc>
          <w:tcPr>
            <w:tcW w:w="1386" w:type="pct"/>
            <w:vAlign w:val="center"/>
          </w:tcPr>
          <w:p w14:paraId="0C8FFB6E" w14:textId="77777777" w:rsidR="00E96023" w:rsidRPr="00AF4182" w:rsidRDefault="00E96023" w:rsidP="00183142">
            <w:pPr>
              <w:pStyle w:val="Legenda"/>
              <w:jc w:val="both"/>
              <w:rPr>
                <w:rFonts w:cs="Arial"/>
                <w:color w:val="000000" w:themeColor="text1"/>
                <w:sz w:val="22"/>
                <w:szCs w:val="22"/>
              </w:rPr>
            </w:pPr>
            <w:r w:rsidRPr="00AF4182">
              <w:rPr>
                <w:rFonts w:cs="Arial"/>
                <w:sz w:val="22"/>
                <w:szCs w:val="22"/>
              </w:rPr>
              <w:t>Para as hipóteses em que o Concessionário comprovar o atendimento a critérios financeiros mínimos a serem estabelecidos pela ANP com base nos parâmetros do Edital de Licitação correspondente, a ANP deverá isentar o Concessionário da apresentação de garantia para os fins desta Cláusula.</w:t>
            </w:r>
          </w:p>
        </w:tc>
        <w:tc>
          <w:tcPr>
            <w:tcW w:w="2126" w:type="pct"/>
            <w:vAlign w:val="center"/>
          </w:tcPr>
          <w:p w14:paraId="3FD5D2E3" w14:textId="4FF48805" w:rsidR="00E96023" w:rsidRPr="00AD132B" w:rsidRDefault="00E96023" w:rsidP="00E061A4">
            <w:pPr>
              <w:pStyle w:val="Textodecomentrio"/>
              <w:jc w:val="both"/>
              <w:rPr>
                <w:rFonts w:ascii="Arial" w:hAnsi="Arial" w:cs="Arial"/>
                <w:sz w:val="22"/>
                <w:szCs w:val="22"/>
              </w:rPr>
            </w:pPr>
            <w:r w:rsidRPr="00AD132B">
              <w:rPr>
                <w:rFonts w:ascii="Arial" w:hAnsi="Arial" w:cs="Arial"/>
                <w:sz w:val="22"/>
                <w:szCs w:val="22"/>
              </w:rPr>
              <w:t>O IBP reconhece que o tema das garantias de abandono ainda será objeto de regulação específica</w:t>
            </w:r>
            <w:r w:rsidR="000326F7">
              <w:rPr>
                <w:rFonts w:ascii="Arial" w:hAnsi="Arial" w:cs="Arial"/>
                <w:sz w:val="22"/>
                <w:szCs w:val="22"/>
              </w:rPr>
              <w:t xml:space="preserve">, mas considerando a relevância do tema, é importante que </w:t>
            </w:r>
            <w:r w:rsidRPr="00AD132B">
              <w:rPr>
                <w:rFonts w:ascii="Arial" w:hAnsi="Arial" w:cs="Arial"/>
                <w:sz w:val="22"/>
                <w:szCs w:val="22"/>
              </w:rPr>
              <w:t xml:space="preserve">tais diretrizes </w:t>
            </w:r>
            <w:r w:rsidR="000326F7">
              <w:rPr>
                <w:rFonts w:ascii="Arial" w:hAnsi="Arial" w:cs="Arial"/>
                <w:sz w:val="22"/>
                <w:szCs w:val="22"/>
              </w:rPr>
              <w:t xml:space="preserve">estejam </w:t>
            </w:r>
            <w:r w:rsidRPr="00AD132B">
              <w:rPr>
                <w:rFonts w:ascii="Arial" w:hAnsi="Arial" w:cs="Arial"/>
                <w:sz w:val="22"/>
                <w:szCs w:val="22"/>
              </w:rPr>
              <w:t>refletidas no contrato de concessão.</w:t>
            </w:r>
          </w:p>
          <w:p w14:paraId="16196B60" w14:textId="77777777" w:rsidR="00E96023" w:rsidRDefault="00E96023" w:rsidP="00E061A4">
            <w:pPr>
              <w:pStyle w:val="Textodecomentrio"/>
              <w:jc w:val="both"/>
              <w:rPr>
                <w:rFonts w:cs="Arial"/>
                <w:sz w:val="22"/>
                <w:szCs w:val="22"/>
              </w:rPr>
            </w:pPr>
          </w:p>
          <w:p w14:paraId="0AAD5F7D" w14:textId="090814FA" w:rsidR="00E96023" w:rsidRPr="00F93C07" w:rsidRDefault="00E96023" w:rsidP="00E061A4">
            <w:pPr>
              <w:pStyle w:val="Textodecomentrio"/>
              <w:jc w:val="both"/>
              <w:rPr>
                <w:rFonts w:ascii="Arial" w:hAnsi="Arial" w:cs="Arial"/>
              </w:rPr>
            </w:pPr>
            <w:r w:rsidRPr="00F93C07">
              <w:rPr>
                <w:rFonts w:ascii="Arial" w:hAnsi="Arial" w:cs="Arial"/>
                <w:sz w:val="22"/>
                <w:szCs w:val="22"/>
              </w:rPr>
              <w:t>O IBP entende ser necessário prever a possibilidade de isenção do Concessionário da apresentação de qualquer tipo de garantia de abandono em casos de comprovada robustez financeira, conforme as Melhores Práticas da Indústria do Petróleo.</w:t>
            </w:r>
          </w:p>
          <w:p w14:paraId="3834FE8D" w14:textId="77777777" w:rsidR="00E96023" w:rsidRPr="00170FDC" w:rsidRDefault="00E96023" w:rsidP="00E061A4">
            <w:pPr>
              <w:pStyle w:val="Legenda"/>
              <w:jc w:val="both"/>
              <w:rPr>
                <w:rFonts w:cs="Arial"/>
                <w:sz w:val="22"/>
                <w:szCs w:val="22"/>
              </w:rPr>
            </w:pPr>
          </w:p>
        </w:tc>
      </w:tr>
      <w:tr w:rsidR="00E96023" w:rsidRPr="00170FDC" w14:paraId="75386424" w14:textId="77777777" w:rsidTr="0003097F">
        <w:trPr>
          <w:trHeight w:val="2268"/>
        </w:trPr>
        <w:tc>
          <w:tcPr>
            <w:tcW w:w="553" w:type="pct"/>
            <w:vAlign w:val="center"/>
          </w:tcPr>
          <w:p w14:paraId="1DAD2019" w14:textId="77777777" w:rsidR="00E96023" w:rsidRPr="00170FDC" w:rsidRDefault="00E96023" w:rsidP="00E96023">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5B514BC" w14:textId="77777777" w:rsidR="00E96023" w:rsidRPr="006E166E" w:rsidRDefault="00E96023" w:rsidP="00E96023">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EE925DE" w14:textId="77777777" w:rsidR="00E96023" w:rsidRPr="008E44C8" w:rsidRDefault="00E96023" w:rsidP="00183142">
            <w:pPr>
              <w:pStyle w:val="Legenda"/>
              <w:jc w:val="center"/>
              <w:rPr>
                <w:rFonts w:cs="Arial"/>
                <w:color w:val="000000" w:themeColor="text1"/>
                <w:sz w:val="22"/>
                <w:szCs w:val="22"/>
              </w:rPr>
            </w:pPr>
            <w:r w:rsidRPr="008E44C8">
              <w:rPr>
                <w:rFonts w:cs="Arial"/>
                <w:color w:val="000000" w:themeColor="text1"/>
                <w:sz w:val="22"/>
                <w:szCs w:val="22"/>
              </w:rPr>
              <w:t>18.8.5</w:t>
            </w:r>
          </w:p>
        </w:tc>
        <w:tc>
          <w:tcPr>
            <w:tcW w:w="1386" w:type="pct"/>
            <w:vAlign w:val="center"/>
          </w:tcPr>
          <w:p w14:paraId="315EB0FB" w14:textId="77777777" w:rsidR="00E96023" w:rsidRPr="005B1E12" w:rsidRDefault="00E96023" w:rsidP="00183142">
            <w:pPr>
              <w:pStyle w:val="Legenda"/>
              <w:jc w:val="both"/>
              <w:rPr>
                <w:rFonts w:cs="Arial"/>
                <w:color w:val="000000" w:themeColor="text1"/>
                <w:sz w:val="22"/>
                <w:szCs w:val="22"/>
              </w:rPr>
            </w:pPr>
            <w:r w:rsidRPr="005B1E12">
              <w:rPr>
                <w:rFonts w:cs="Arial"/>
                <w:sz w:val="22"/>
                <w:szCs w:val="22"/>
              </w:rPr>
              <w:t>A ANP deverá conferir tratamento isonômico a Concessionários que possuam o mesmo grau de qualificação técnica e financeira, nos termos do Edital de Licitações correspondente.</w:t>
            </w:r>
          </w:p>
        </w:tc>
        <w:tc>
          <w:tcPr>
            <w:tcW w:w="2126" w:type="pct"/>
            <w:vAlign w:val="center"/>
          </w:tcPr>
          <w:p w14:paraId="5F8D1C32" w14:textId="6849EC2C" w:rsidR="00E96023" w:rsidRDefault="003E3F7B" w:rsidP="00E061A4">
            <w:pPr>
              <w:pStyle w:val="Legenda"/>
              <w:jc w:val="both"/>
              <w:rPr>
                <w:rFonts w:cs="Arial"/>
                <w:sz w:val="22"/>
                <w:szCs w:val="22"/>
              </w:rPr>
            </w:pPr>
            <w:r w:rsidRPr="00AD132B">
              <w:rPr>
                <w:rFonts w:cs="Arial"/>
                <w:sz w:val="22"/>
                <w:szCs w:val="22"/>
              </w:rPr>
              <w:t>O IBP reconhece que o tema das garantias de abandono ainda será objeto de regulação específica</w:t>
            </w:r>
            <w:r>
              <w:rPr>
                <w:rFonts w:cs="Arial"/>
                <w:sz w:val="22"/>
                <w:szCs w:val="22"/>
              </w:rPr>
              <w:t xml:space="preserve">, mas considerando a relevância do tema, é importante que </w:t>
            </w:r>
            <w:r w:rsidRPr="00AD132B">
              <w:rPr>
                <w:rFonts w:cs="Arial"/>
                <w:sz w:val="22"/>
                <w:szCs w:val="22"/>
              </w:rPr>
              <w:t xml:space="preserve">tais diretrizes </w:t>
            </w:r>
            <w:r>
              <w:rPr>
                <w:rFonts w:cs="Arial"/>
                <w:sz w:val="22"/>
                <w:szCs w:val="22"/>
              </w:rPr>
              <w:t xml:space="preserve">estejam </w:t>
            </w:r>
            <w:r w:rsidRPr="00AD132B">
              <w:rPr>
                <w:rFonts w:cs="Arial"/>
                <w:sz w:val="22"/>
                <w:szCs w:val="22"/>
              </w:rPr>
              <w:t>refletidas no contrato de concessão.</w:t>
            </w:r>
          </w:p>
          <w:p w14:paraId="0D9070B2" w14:textId="77777777" w:rsidR="00E96023" w:rsidRDefault="00E96023" w:rsidP="00E061A4">
            <w:pPr>
              <w:pStyle w:val="Legenda"/>
              <w:jc w:val="both"/>
              <w:rPr>
                <w:rFonts w:cs="Arial"/>
                <w:sz w:val="22"/>
                <w:szCs w:val="22"/>
              </w:rPr>
            </w:pPr>
          </w:p>
          <w:p w14:paraId="18B86647" w14:textId="437F814E" w:rsidR="00E96023" w:rsidRPr="00170FDC" w:rsidRDefault="00E96023" w:rsidP="00E061A4">
            <w:pPr>
              <w:pStyle w:val="Legenda"/>
              <w:jc w:val="both"/>
              <w:rPr>
                <w:rFonts w:cs="Arial"/>
                <w:sz w:val="22"/>
                <w:szCs w:val="22"/>
              </w:rPr>
            </w:pPr>
            <w:r w:rsidRPr="00F93C07">
              <w:rPr>
                <w:rFonts w:cs="Arial"/>
                <w:sz w:val="22"/>
                <w:szCs w:val="22"/>
              </w:rPr>
              <w:t>O IBP entende ser importante assegurar que Concessionários com as mesmas qualificações estejam sujeitos às mesmas exigências quanto à garantia de abandono.</w:t>
            </w:r>
            <w:r>
              <w:rPr>
                <w:rFonts w:cs="Arial"/>
                <w:sz w:val="22"/>
                <w:szCs w:val="22"/>
              </w:rPr>
              <w:t xml:space="preserve"> </w:t>
            </w:r>
          </w:p>
        </w:tc>
      </w:tr>
      <w:tr w:rsidR="00E96023" w:rsidRPr="00170FDC" w14:paraId="366C64D1" w14:textId="77777777" w:rsidTr="0003097F">
        <w:trPr>
          <w:trHeight w:val="2268"/>
        </w:trPr>
        <w:tc>
          <w:tcPr>
            <w:tcW w:w="553" w:type="pct"/>
            <w:vAlign w:val="center"/>
          </w:tcPr>
          <w:p w14:paraId="0F66BBAE" w14:textId="77777777" w:rsidR="00E96023" w:rsidRPr="00170FDC" w:rsidRDefault="00E96023" w:rsidP="00E96023">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33ACCC3" w14:textId="77777777" w:rsidR="00E96023" w:rsidRPr="006E166E" w:rsidRDefault="00E96023" w:rsidP="00E96023">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1CE4AC7" w14:textId="77777777" w:rsidR="00E96023" w:rsidRPr="008E44C8" w:rsidRDefault="00E96023" w:rsidP="00183142">
            <w:pPr>
              <w:pStyle w:val="Legenda"/>
              <w:jc w:val="center"/>
              <w:rPr>
                <w:rFonts w:cs="Arial"/>
                <w:color w:val="000000" w:themeColor="text1"/>
                <w:sz w:val="22"/>
                <w:szCs w:val="22"/>
              </w:rPr>
            </w:pPr>
            <w:r w:rsidRPr="008E44C8">
              <w:rPr>
                <w:rFonts w:cs="Arial"/>
                <w:color w:val="000000" w:themeColor="text1"/>
                <w:sz w:val="22"/>
                <w:szCs w:val="22"/>
              </w:rPr>
              <w:t>18.9.2</w:t>
            </w:r>
          </w:p>
        </w:tc>
        <w:tc>
          <w:tcPr>
            <w:tcW w:w="1386" w:type="pct"/>
            <w:vAlign w:val="center"/>
          </w:tcPr>
          <w:p w14:paraId="52178A89" w14:textId="565E51E7" w:rsidR="00E96023" w:rsidRPr="00D235E1" w:rsidRDefault="00E96023" w:rsidP="00183142">
            <w:pPr>
              <w:pStyle w:val="Legenda"/>
              <w:jc w:val="both"/>
              <w:rPr>
                <w:sz w:val="22"/>
                <w:szCs w:val="22"/>
              </w:rPr>
            </w:pPr>
            <w:r w:rsidRPr="00D235E1">
              <w:rPr>
                <w:sz w:val="22"/>
                <w:szCs w:val="22"/>
              </w:rPr>
              <w:t>Os bens cujos custos de aquisição não tenham sido deduzidos de acordo com as normas aplicáveis para o cálculo da Participação Especial deverão ser indenizados.</w:t>
            </w:r>
          </w:p>
        </w:tc>
        <w:tc>
          <w:tcPr>
            <w:tcW w:w="2126" w:type="pct"/>
            <w:vAlign w:val="center"/>
          </w:tcPr>
          <w:p w14:paraId="0AEB37EF" w14:textId="1B876317" w:rsidR="00746DE4" w:rsidRDefault="00207E83" w:rsidP="00E061A4">
            <w:pPr>
              <w:pStyle w:val="Legenda"/>
              <w:jc w:val="both"/>
              <w:rPr>
                <w:rFonts w:cs="Arial"/>
                <w:bCs/>
                <w:sz w:val="22"/>
                <w:szCs w:val="22"/>
              </w:rPr>
            </w:pPr>
            <w:r>
              <w:rPr>
                <w:rFonts w:cs="Arial"/>
                <w:bCs/>
                <w:sz w:val="22"/>
                <w:szCs w:val="22"/>
              </w:rPr>
              <w:t xml:space="preserve">Assim como a cláusula 18.9 reflete previsão constante na Lei do Petróleo sobre a possibilidade de reversão de bens, o IBP entende que </w:t>
            </w:r>
            <w:r w:rsidR="00746DE4">
              <w:rPr>
                <w:rFonts w:cs="Arial"/>
                <w:bCs/>
                <w:sz w:val="22"/>
                <w:szCs w:val="22"/>
              </w:rPr>
              <w:t xml:space="preserve">a indenização dos bens revertidos </w:t>
            </w:r>
            <w:r w:rsidR="00921F96">
              <w:rPr>
                <w:rFonts w:cs="Arial"/>
                <w:bCs/>
                <w:sz w:val="22"/>
                <w:szCs w:val="22"/>
              </w:rPr>
              <w:t xml:space="preserve">prevista na Constituição Federal </w:t>
            </w:r>
            <w:r w:rsidR="00746DE4">
              <w:rPr>
                <w:rFonts w:cs="Arial"/>
                <w:bCs/>
                <w:sz w:val="22"/>
                <w:szCs w:val="22"/>
              </w:rPr>
              <w:t xml:space="preserve">também </w:t>
            </w:r>
            <w:r>
              <w:rPr>
                <w:rFonts w:cs="Arial"/>
                <w:bCs/>
                <w:sz w:val="22"/>
                <w:szCs w:val="22"/>
              </w:rPr>
              <w:t xml:space="preserve">deve </w:t>
            </w:r>
            <w:r w:rsidR="00746DE4">
              <w:rPr>
                <w:rFonts w:cs="Arial"/>
                <w:bCs/>
                <w:sz w:val="22"/>
                <w:szCs w:val="22"/>
              </w:rPr>
              <w:t>est</w:t>
            </w:r>
            <w:r>
              <w:rPr>
                <w:rFonts w:cs="Arial"/>
                <w:bCs/>
                <w:sz w:val="22"/>
                <w:szCs w:val="22"/>
              </w:rPr>
              <w:t>ar</w:t>
            </w:r>
            <w:r w:rsidR="00746DE4">
              <w:rPr>
                <w:rFonts w:cs="Arial"/>
                <w:bCs/>
                <w:sz w:val="22"/>
                <w:szCs w:val="22"/>
              </w:rPr>
              <w:t xml:space="preserve"> contemplada no contrato de concessão. </w:t>
            </w:r>
          </w:p>
          <w:p w14:paraId="7584DD04" w14:textId="77777777" w:rsidR="00746DE4" w:rsidRPr="00746DE4" w:rsidRDefault="00746DE4" w:rsidP="00E061A4">
            <w:pPr>
              <w:jc w:val="both"/>
            </w:pPr>
          </w:p>
          <w:p w14:paraId="6C2A863B" w14:textId="45DF48D0" w:rsidR="00E96023" w:rsidRPr="00D235E1" w:rsidRDefault="00207E83" w:rsidP="00E061A4">
            <w:pPr>
              <w:pStyle w:val="Legenda"/>
              <w:jc w:val="both"/>
              <w:rPr>
                <w:rFonts w:cs="Arial"/>
                <w:sz w:val="22"/>
                <w:szCs w:val="22"/>
              </w:rPr>
            </w:pPr>
            <w:r>
              <w:rPr>
                <w:rFonts w:cs="Arial"/>
                <w:bCs/>
                <w:sz w:val="22"/>
                <w:szCs w:val="22"/>
              </w:rPr>
              <w:t>Vale notar que a</w:t>
            </w:r>
            <w:r w:rsidR="00E96023" w:rsidRPr="00D235E1">
              <w:rPr>
                <w:rFonts w:cs="Arial"/>
                <w:bCs/>
                <w:sz w:val="22"/>
                <w:szCs w:val="22"/>
              </w:rPr>
              <w:t xml:space="preserve"> Constituição Federal estabelece que qualquer </w:t>
            </w:r>
            <w:r w:rsidR="00921F96" w:rsidRPr="00D235E1">
              <w:rPr>
                <w:rFonts w:cs="Arial"/>
                <w:bCs/>
                <w:sz w:val="22"/>
                <w:szCs w:val="22"/>
              </w:rPr>
              <w:t>desapropriação -</w:t>
            </w:r>
            <w:r w:rsidR="00E96023" w:rsidRPr="00D235E1">
              <w:rPr>
                <w:rFonts w:cs="Arial"/>
                <w:bCs/>
                <w:sz w:val="22"/>
                <w:szCs w:val="22"/>
              </w:rPr>
              <w:t xml:space="preserve"> como neste caso - deve ser sujeita </w:t>
            </w:r>
            <w:r w:rsidR="00921F96">
              <w:rPr>
                <w:rFonts w:cs="Arial"/>
                <w:bCs/>
                <w:sz w:val="22"/>
                <w:szCs w:val="22"/>
              </w:rPr>
              <w:t xml:space="preserve">à </w:t>
            </w:r>
            <w:r w:rsidR="00E96023" w:rsidRPr="00D235E1">
              <w:rPr>
                <w:rFonts w:cs="Arial"/>
                <w:bCs/>
                <w:sz w:val="22"/>
                <w:szCs w:val="22"/>
              </w:rPr>
              <w:t xml:space="preserve">justa e prévia indenização em dinheiro. </w:t>
            </w:r>
          </w:p>
        </w:tc>
      </w:tr>
      <w:tr w:rsidR="00E96023" w:rsidRPr="00170FDC" w14:paraId="16DB51A5" w14:textId="77777777" w:rsidTr="0003097F">
        <w:trPr>
          <w:trHeight w:val="2268"/>
        </w:trPr>
        <w:tc>
          <w:tcPr>
            <w:tcW w:w="553" w:type="pct"/>
            <w:vAlign w:val="center"/>
          </w:tcPr>
          <w:p w14:paraId="57C34D22" w14:textId="0FE2C732"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de Contrato</w:t>
            </w:r>
          </w:p>
        </w:tc>
        <w:tc>
          <w:tcPr>
            <w:tcW w:w="441" w:type="pct"/>
            <w:vAlign w:val="center"/>
          </w:tcPr>
          <w:p w14:paraId="7A72E472" w14:textId="0A008662"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24B2D41D" w14:textId="51302070"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20.4</w:t>
            </w:r>
          </w:p>
        </w:tc>
        <w:tc>
          <w:tcPr>
            <w:tcW w:w="1386" w:type="pct"/>
            <w:vAlign w:val="center"/>
          </w:tcPr>
          <w:p w14:paraId="7B80292F" w14:textId="3E59436D" w:rsidR="00E96023" w:rsidRPr="00A31F66" w:rsidRDefault="00E96023" w:rsidP="00183142">
            <w:pPr>
              <w:pStyle w:val="Legenda"/>
              <w:jc w:val="both"/>
              <w:rPr>
                <w:sz w:val="22"/>
                <w:szCs w:val="22"/>
              </w:rPr>
            </w:pPr>
            <w:r w:rsidRPr="00A31F66">
              <w:rPr>
                <w:rFonts w:cs="Arial"/>
                <w:color w:val="000000" w:themeColor="text1"/>
                <w:szCs w:val="24"/>
              </w:rPr>
              <w:t>O Concessionário deverá apresentar à ANP o Relatório de Conteúdo Local para acompanhamento de Conteúdo Local em Exploração e Desenvolvimento, nos termos da legislação aplicável.</w:t>
            </w:r>
          </w:p>
        </w:tc>
        <w:tc>
          <w:tcPr>
            <w:tcW w:w="2126" w:type="pct"/>
            <w:vAlign w:val="center"/>
          </w:tcPr>
          <w:p w14:paraId="7EB8E94E" w14:textId="017C852B" w:rsidR="00E96023" w:rsidRPr="00A31F66" w:rsidRDefault="00E96023" w:rsidP="00E061A4">
            <w:pPr>
              <w:pStyle w:val="Legenda"/>
              <w:jc w:val="both"/>
              <w:rPr>
                <w:rFonts w:cs="Arial"/>
                <w:sz w:val="22"/>
                <w:szCs w:val="22"/>
              </w:rPr>
            </w:pPr>
            <w:r w:rsidRPr="00A31F66">
              <w:rPr>
                <w:rFonts w:cs="Arial"/>
                <w:color w:val="000000" w:themeColor="text1"/>
                <w:szCs w:val="24"/>
              </w:rPr>
              <w:t>A legislação hoje aplicável - Resolução 27/2016 – estabelece o Relatório de Conteúdo Local, definido também na cláusula 1.2.39 de definições deste contrato como o documento pertinente para a demonstração dos dispêndios para fins de Conteúdo Local. O Relatório de Gastos Trimestrais, usado até a 6ª Rodada para reportar o Conteúdo Local realizado não é mais aplicável para a presente legislação.</w:t>
            </w:r>
          </w:p>
        </w:tc>
      </w:tr>
      <w:tr w:rsidR="00E96023" w:rsidRPr="00170FDC" w14:paraId="4008F127" w14:textId="77777777" w:rsidTr="0003097F">
        <w:trPr>
          <w:trHeight w:val="2268"/>
        </w:trPr>
        <w:tc>
          <w:tcPr>
            <w:tcW w:w="553" w:type="pct"/>
            <w:vAlign w:val="center"/>
          </w:tcPr>
          <w:p w14:paraId="7C068710" w14:textId="210D6A8F"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de Contrato</w:t>
            </w:r>
          </w:p>
        </w:tc>
        <w:tc>
          <w:tcPr>
            <w:tcW w:w="441" w:type="pct"/>
            <w:vAlign w:val="center"/>
          </w:tcPr>
          <w:p w14:paraId="2178609C" w14:textId="1ABDC2AC"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Inclusão</w:t>
            </w:r>
          </w:p>
        </w:tc>
        <w:tc>
          <w:tcPr>
            <w:tcW w:w="494" w:type="pct"/>
            <w:vAlign w:val="center"/>
          </w:tcPr>
          <w:p w14:paraId="221EF473" w14:textId="7CE213D7"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Após o atual item 20.5.1</w:t>
            </w:r>
          </w:p>
        </w:tc>
        <w:tc>
          <w:tcPr>
            <w:tcW w:w="1386" w:type="pct"/>
            <w:vAlign w:val="center"/>
          </w:tcPr>
          <w:p w14:paraId="1894A6F6" w14:textId="08200F04" w:rsidR="00E96023" w:rsidRPr="00A31F66" w:rsidRDefault="00E96023" w:rsidP="00183142">
            <w:pPr>
              <w:pStyle w:val="Legenda"/>
              <w:jc w:val="both"/>
              <w:rPr>
                <w:sz w:val="22"/>
                <w:szCs w:val="22"/>
              </w:rPr>
            </w:pPr>
            <w:r w:rsidRPr="00A31F66">
              <w:rPr>
                <w:rFonts w:cs="Arial"/>
                <w:color w:val="000000" w:themeColor="text1"/>
                <w:szCs w:val="24"/>
              </w:rPr>
              <w:t>Para fins de aferição o compromisso referente à Fase de Exploração será limitado aos investimentos realizados no Programa Exploratório Mínimo – PEM, nos termos da legislação aplicável.</w:t>
            </w:r>
          </w:p>
        </w:tc>
        <w:tc>
          <w:tcPr>
            <w:tcW w:w="2126" w:type="pct"/>
            <w:vAlign w:val="center"/>
          </w:tcPr>
          <w:p w14:paraId="50ECB789" w14:textId="77777777" w:rsidR="00E96023" w:rsidRPr="00A31F66" w:rsidRDefault="00E96023" w:rsidP="00E061A4">
            <w:pPr>
              <w:pStyle w:val="Legenda"/>
              <w:jc w:val="both"/>
              <w:rPr>
                <w:rFonts w:cs="Arial"/>
                <w:color w:val="000000" w:themeColor="text1"/>
                <w:szCs w:val="24"/>
              </w:rPr>
            </w:pPr>
            <w:r w:rsidRPr="00A31F66">
              <w:rPr>
                <w:rFonts w:cs="Arial"/>
                <w:color w:val="000000" w:themeColor="text1"/>
                <w:szCs w:val="24"/>
              </w:rPr>
              <w:t>A fase de exploração é uma atividade que envolve alto risco para o operador além de pouco investimento em equipamentos de uso permanente. No contrato, assumem-se compromissos de Conteúdo Local com base em uma proposta de atividade exploratória (PEM). Assim, as exigências de Conteúdo Local devem ser vinculadas aos investimentos contidos no PEM a fim de estimular as atividades exploratórias além do mínimo comprometido.</w:t>
            </w:r>
          </w:p>
          <w:p w14:paraId="19D5F446" w14:textId="2449ED9F" w:rsidR="00E96023" w:rsidRPr="00A31F66" w:rsidRDefault="00E96023" w:rsidP="00E061A4">
            <w:pPr>
              <w:pStyle w:val="Legenda"/>
              <w:jc w:val="both"/>
              <w:rPr>
                <w:rFonts w:cs="Arial"/>
                <w:sz w:val="22"/>
                <w:szCs w:val="22"/>
              </w:rPr>
            </w:pPr>
            <w:r w:rsidRPr="00A31F66">
              <w:rPr>
                <w:rFonts w:cs="Arial"/>
                <w:color w:val="000000" w:themeColor="text1"/>
                <w:szCs w:val="24"/>
              </w:rPr>
              <w:t>A tomada de risco além do compromisso mínimo (PEM) deve ser estimulada, e não inibida com mais compromissos, pois aumenta as chances de descoberta, e consequente investimento em desenvolvimento da produção, bem como fornece mais dados geológicos para a agência reguladora.</w:t>
            </w:r>
          </w:p>
        </w:tc>
      </w:tr>
      <w:tr w:rsidR="00E96023" w:rsidRPr="00170FDC" w14:paraId="04BD68C6" w14:textId="77777777" w:rsidTr="0003097F">
        <w:trPr>
          <w:trHeight w:val="2268"/>
        </w:trPr>
        <w:tc>
          <w:tcPr>
            <w:tcW w:w="553" w:type="pct"/>
            <w:vAlign w:val="center"/>
          </w:tcPr>
          <w:p w14:paraId="09B4CC79" w14:textId="432DA0FD"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de Contrato</w:t>
            </w:r>
          </w:p>
        </w:tc>
        <w:tc>
          <w:tcPr>
            <w:tcW w:w="441" w:type="pct"/>
            <w:vAlign w:val="center"/>
          </w:tcPr>
          <w:p w14:paraId="7814EF1B" w14:textId="4885D48A"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5625E501" w14:textId="513788AD"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20.7</w:t>
            </w:r>
          </w:p>
        </w:tc>
        <w:tc>
          <w:tcPr>
            <w:tcW w:w="1386" w:type="pct"/>
            <w:vAlign w:val="center"/>
          </w:tcPr>
          <w:p w14:paraId="5A8326D1" w14:textId="77777777" w:rsidR="00E96023" w:rsidRPr="00A31F66" w:rsidRDefault="00E96023" w:rsidP="00183142">
            <w:pPr>
              <w:pStyle w:val="Legenda"/>
              <w:jc w:val="both"/>
              <w:rPr>
                <w:rFonts w:cs="Arial"/>
                <w:color w:val="000000" w:themeColor="text1"/>
                <w:szCs w:val="24"/>
              </w:rPr>
            </w:pPr>
            <w:r w:rsidRPr="00A31F66">
              <w:rPr>
                <w:rFonts w:cs="Arial"/>
                <w:color w:val="000000" w:themeColor="text1"/>
                <w:szCs w:val="24"/>
              </w:rPr>
              <w:t>Os marcos para aferição de Conteúdo Local pela ANP serão:</w:t>
            </w:r>
          </w:p>
          <w:p w14:paraId="74751530" w14:textId="77777777" w:rsidR="00E96023" w:rsidRPr="00A31F66" w:rsidRDefault="00E96023" w:rsidP="00183142">
            <w:pPr>
              <w:pStyle w:val="Legenda"/>
              <w:jc w:val="both"/>
              <w:rPr>
                <w:rFonts w:cs="Arial"/>
                <w:color w:val="000000" w:themeColor="text1"/>
                <w:szCs w:val="24"/>
              </w:rPr>
            </w:pPr>
            <w:r w:rsidRPr="00A31F66">
              <w:rPr>
                <w:rFonts w:cs="Arial"/>
                <w:color w:val="000000" w:themeColor="text1"/>
                <w:szCs w:val="24"/>
              </w:rPr>
              <w:t>a) a entrega do último Relatório de Conteúdo Local da Fase de Exploração; e</w:t>
            </w:r>
          </w:p>
          <w:p w14:paraId="4ABAB68B" w14:textId="77777777" w:rsidR="00E96023" w:rsidRPr="00A31F66" w:rsidRDefault="00E96023" w:rsidP="00183142">
            <w:pPr>
              <w:pStyle w:val="Legenda"/>
              <w:jc w:val="both"/>
              <w:rPr>
                <w:rFonts w:cs="Arial"/>
                <w:color w:val="000000" w:themeColor="text1"/>
                <w:szCs w:val="24"/>
              </w:rPr>
            </w:pPr>
            <w:r w:rsidRPr="00A31F66">
              <w:rPr>
                <w:rFonts w:cs="Arial"/>
                <w:color w:val="000000" w:themeColor="text1"/>
                <w:szCs w:val="24"/>
              </w:rPr>
              <w:t>b) a entrega do último Relatório de Conteúdo Local da Etapa de Desenvolvimento em Campo que não contemple Desenvolvimento modular.</w:t>
            </w:r>
          </w:p>
          <w:p w14:paraId="06CF3D7F" w14:textId="77F9BFBE" w:rsidR="00E96023" w:rsidRPr="00A31F66" w:rsidRDefault="00E96023" w:rsidP="00183142">
            <w:pPr>
              <w:pStyle w:val="Legenda"/>
              <w:jc w:val="both"/>
              <w:rPr>
                <w:sz w:val="22"/>
                <w:szCs w:val="22"/>
              </w:rPr>
            </w:pPr>
            <w:r w:rsidRPr="00A31F66">
              <w:rPr>
                <w:rFonts w:cs="Arial"/>
                <w:color w:val="000000" w:themeColor="text1"/>
                <w:szCs w:val="24"/>
              </w:rPr>
              <w:t>c) a entrega do último Relatório de Conteúdo Local da Etapa de Desenvolvimento de cada módulo, em Campo que contemple o Desenvolvimento modular.</w:t>
            </w:r>
          </w:p>
        </w:tc>
        <w:tc>
          <w:tcPr>
            <w:tcW w:w="2126" w:type="pct"/>
            <w:vAlign w:val="center"/>
          </w:tcPr>
          <w:p w14:paraId="5776D45A" w14:textId="433DE6A4" w:rsidR="00E96023" w:rsidRPr="00A31F66" w:rsidRDefault="00E96023" w:rsidP="00E061A4">
            <w:pPr>
              <w:pStyle w:val="Legenda"/>
              <w:jc w:val="both"/>
              <w:rPr>
                <w:rFonts w:cs="Arial"/>
                <w:sz w:val="22"/>
                <w:szCs w:val="22"/>
              </w:rPr>
            </w:pPr>
            <w:r w:rsidRPr="00A31F66">
              <w:rPr>
                <w:rFonts w:cs="Arial"/>
                <w:color w:val="000000" w:themeColor="text1"/>
                <w:szCs w:val="24"/>
              </w:rPr>
              <w:t>Frequentemente operadores efetuam dispêndios referentes à fase de exploração ou à etapa de desenvolvimento da produção após a conclusão das mesmas, uma vez que os ciclos de faturamento podem ser longos (por vezes superiores a 3 meses). Ao definir o limite temporal de aferição igual ao limite da fase pode-se excluir importantes investimentos dos cálculos de conteúdo local da mesma. Desta forma, sugere-se adotar limite temporal para recebimento das faturas igual ao limite de entrega do último relatório de conteúdo local, sem prejuízo das atividades fiscalizatórias.</w:t>
            </w:r>
          </w:p>
        </w:tc>
      </w:tr>
      <w:tr w:rsidR="00E96023" w:rsidRPr="00170FDC" w14:paraId="1F533250" w14:textId="77777777" w:rsidTr="0003097F">
        <w:trPr>
          <w:trHeight w:val="2268"/>
        </w:trPr>
        <w:tc>
          <w:tcPr>
            <w:tcW w:w="553" w:type="pct"/>
            <w:vAlign w:val="center"/>
          </w:tcPr>
          <w:p w14:paraId="0DE73B5C" w14:textId="38C5FCEB"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de Contrato</w:t>
            </w:r>
          </w:p>
        </w:tc>
        <w:tc>
          <w:tcPr>
            <w:tcW w:w="441" w:type="pct"/>
            <w:vAlign w:val="center"/>
          </w:tcPr>
          <w:p w14:paraId="7ADCDEB5" w14:textId="1E8486F5"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0658BEFE" w14:textId="5D3A38B3"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20.8</w:t>
            </w:r>
          </w:p>
        </w:tc>
        <w:tc>
          <w:tcPr>
            <w:tcW w:w="1386" w:type="pct"/>
            <w:vAlign w:val="center"/>
          </w:tcPr>
          <w:p w14:paraId="1D9E00BF" w14:textId="77777777" w:rsidR="00E96023" w:rsidRPr="00A31F66" w:rsidRDefault="00E96023" w:rsidP="00183142">
            <w:pPr>
              <w:pStyle w:val="Legenda"/>
              <w:jc w:val="both"/>
              <w:rPr>
                <w:rFonts w:cs="Arial"/>
                <w:color w:val="000000" w:themeColor="text1"/>
                <w:szCs w:val="24"/>
              </w:rPr>
            </w:pPr>
            <w:r w:rsidRPr="00A31F66">
              <w:rPr>
                <w:rFonts w:cs="Arial"/>
                <w:color w:val="000000" w:themeColor="text1"/>
                <w:szCs w:val="24"/>
              </w:rPr>
              <w:t>Para fins de aferição do Conteúdo Local, a Etapa de Desenvolvimento terá início na data da apresentação da Declaração de Comercialidade e se encerrará, para cada Módulo da Etapa de Desenvolvimento, com a primeira entre as seguintes ocorrências:</w:t>
            </w:r>
          </w:p>
          <w:p w14:paraId="518F716F" w14:textId="77777777" w:rsidR="00E96023" w:rsidRPr="00A31F66" w:rsidRDefault="00E96023" w:rsidP="00183142">
            <w:pPr>
              <w:pStyle w:val="Legenda"/>
              <w:jc w:val="both"/>
              <w:rPr>
                <w:rFonts w:cs="Arial"/>
                <w:color w:val="000000" w:themeColor="text1"/>
                <w:szCs w:val="24"/>
              </w:rPr>
            </w:pPr>
            <w:r w:rsidRPr="00A31F66">
              <w:rPr>
                <w:rFonts w:cs="Arial"/>
                <w:color w:val="000000" w:themeColor="text1"/>
                <w:szCs w:val="24"/>
              </w:rPr>
              <w:t>a) O decurso de 05 (cinco) anos após a Extração do Primeiro Óleo;</w:t>
            </w:r>
          </w:p>
          <w:p w14:paraId="06FF8532" w14:textId="77777777" w:rsidR="00E96023" w:rsidRPr="00A31F66" w:rsidRDefault="00E96023" w:rsidP="00183142">
            <w:pPr>
              <w:pStyle w:val="Legenda"/>
              <w:jc w:val="both"/>
              <w:rPr>
                <w:rFonts w:cs="Arial"/>
                <w:color w:val="000000" w:themeColor="text1"/>
                <w:szCs w:val="24"/>
              </w:rPr>
            </w:pPr>
            <w:r w:rsidRPr="00A31F66">
              <w:rPr>
                <w:rFonts w:cs="Arial"/>
                <w:color w:val="000000" w:themeColor="text1"/>
                <w:szCs w:val="24"/>
              </w:rPr>
              <w:t>b) A desistência, pelo Concessionário, do Desenvolvimento do Módulo da Etapa de Desenvolvimento; ou</w:t>
            </w:r>
          </w:p>
          <w:p w14:paraId="15A3C5DB" w14:textId="13A588C9" w:rsidR="00E96023" w:rsidRPr="00A31F66" w:rsidRDefault="00E96023" w:rsidP="00183142">
            <w:pPr>
              <w:pStyle w:val="Legenda"/>
              <w:jc w:val="both"/>
              <w:rPr>
                <w:sz w:val="22"/>
                <w:szCs w:val="22"/>
              </w:rPr>
            </w:pPr>
            <w:r w:rsidRPr="00A31F66">
              <w:rPr>
                <w:rFonts w:cs="Arial"/>
                <w:color w:val="000000" w:themeColor="text1"/>
                <w:szCs w:val="24"/>
              </w:rPr>
              <w:t>c) A realização dos investimentos previstos no Plano de Desenvolvimento, exceto os relativos ao abandono do campo.</w:t>
            </w:r>
          </w:p>
        </w:tc>
        <w:tc>
          <w:tcPr>
            <w:tcW w:w="2126" w:type="pct"/>
            <w:vAlign w:val="center"/>
          </w:tcPr>
          <w:p w14:paraId="507D54A5" w14:textId="77777777" w:rsidR="00E96023" w:rsidRPr="00A31F66" w:rsidRDefault="00E96023" w:rsidP="00E061A4">
            <w:pPr>
              <w:pStyle w:val="Legenda"/>
              <w:jc w:val="both"/>
              <w:rPr>
                <w:rFonts w:cs="Arial"/>
                <w:color w:val="000000" w:themeColor="text1"/>
                <w:szCs w:val="24"/>
              </w:rPr>
            </w:pPr>
            <w:r w:rsidRPr="00A31F66">
              <w:rPr>
                <w:rFonts w:cs="Arial"/>
                <w:color w:val="000000" w:themeColor="text1"/>
                <w:szCs w:val="24"/>
              </w:rPr>
              <w:t>Entendemos ser pertinente a retomada do prazo de 05 anos após a extração do primeiro óleo como marco de encerramento para a Etapa de Desenvolvimento da Produção, conforme observado nos contratos da 12ª Rodada de Concessão e 1ª Rodada de Partilha de Produção. A extensão excessiva desse período, conforme proposto na presente minuta, provoca confusão entre atividades de desenvolvimento da produção e de produção, além de provocar sobreposição desnecessária entre projetos e resultar em ineficiência e desperdícios na alocação de esforços e recursos por parte dos concessionários e reguladores.</w:t>
            </w:r>
          </w:p>
          <w:p w14:paraId="46EA2326" w14:textId="73251EAC" w:rsidR="00E96023" w:rsidRPr="00A31F66" w:rsidRDefault="00E96023" w:rsidP="00E061A4">
            <w:pPr>
              <w:pStyle w:val="Legenda"/>
              <w:jc w:val="both"/>
              <w:rPr>
                <w:rFonts w:cs="Arial"/>
                <w:sz w:val="22"/>
                <w:szCs w:val="22"/>
              </w:rPr>
            </w:pPr>
            <w:r w:rsidRPr="00A31F66">
              <w:rPr>
                <w:rFonts w:cs="Arial"/>
                <w:color w:val="000000" w:themeColor="text1"/>
                <w:szCs w:val="24"/>
              </w:rPr>
              <w:t>Cabe ressaltar que o prazo limite proposto, de 5 anos após a extração do primeiro óleo, já contempla um período que facilmente excede 10 anos, ao longo dos quais estudos dos operadores apontam que normalmente são executados mais de 90% dos investimentos no campo. Decorrido este prazo, na maior parte dos campos o foco dos investimentos recai sobre iniciativas de aumento de fator de recuperação de hidrocarbonetos, que devem ser estimuladas para melhor aproveitamento dos recursos naturais e, consequentemente, aumento das participações governamentais.</w:t>
            </w:r>
          </w:p>
        </w:tc>
      </w:tr>
      <w:tr w:rsidR="00E96023" w:rsidRPr="00170FDC" w14:paraId="1327DDF4" w14:textId="77777777" w:rsidTr="0003097F">
        <w:trPr>
          <w:trHeight w:val="2268"/>
        </w:trPr>
        <w:tc>
          <w:tcPr>
            <w:tcW w:w="553" w:type="pct"/>
            <w:vAlign w:val="center"/>
          </w:tcPr>
          <w:p w14:paraId="185ECAED" w14:textId="7216996D"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079BA7AA" w14:textId="6808EEFE"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Inclusão</w:t>
            </w:r>
          </w:p>
        </w:tc>
        <w:tc>
          <w:tcPr>
            <w:tcW w:w="494" w:type="pct"/>
            <w:vAlign w:val="center"/>
          </w:tcPr>
          <w:p w14:paraId="797BD5C2" w14:textId="39C584FA"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Após o atual item 20.8</w:t>
            </w:r>
          </w:p>
        </w:tc>
        <w:tc>
          <w:tcPr>
            <w:tcW w:w="1386" w:type="pct"/>
            <w:vAlign w:val="center"/>
          </w:tcPr>
          <w:p w14:paraId="1EC46BBD" w14:textId="698B4A94" w:rsidR="00E96023" w:rsidRPr="00A31F66" w:rsidRDefault="00E96023" w:rsidP="00183142">
            <w:pPr>
              <w:pStyle w:val="Legenda"/>
              <w:jc w:val="both"/>
              <w:rPr>
                <w:sz w:val="22"/>
                <w:szCs w:val="22"/>
              </w:rPr>
            </w:pPr>
            <w:r w:rsidRPr="00A31F66">
              <w:rPr>
                <w:rFonts w:cs="Arial"/>
                <w:color w:val="000000" w:themeColor="text1"/>
                <w:szCs w:val="24"/>
              </w:rPr>
              <w:t>O Concessionário poderá, mediante aprovação da ANP, solicitar o reconhecimento das atividades relativas ao desenvolvimento do mercado de Fornecedores Brasileiros para fins de cumprimento de Conteúdo Local, na forma da legislação aplicável.</w:t>
            </w:r>
          </w:p>
        </w:tc>
        <w:tc>
          <w:tcPr>
            <w:tcW w:w="2126" w:type="pct"/>
            <w:vAlign w:val="center"/>
          </w:tcPr>
          <w:p w14:paraId="1FB8EEDA" w14:textId="77777777" w:rsidR="00E96023" w:rsidRPr="00A31F66" w:rsidRDefault="00E96023" w:rsidP="00E061A4">
            <w:pPr>
              <w:pStyle w:val="Legenda"/>
              <w:jc w:val="both"/>
              <w:rPr>
                <w:rFonts w:cs="Arial"/>
                <w:color w:val="000000" w:themeColor="text1"/>
                <w:szCs w:val="24"/>
              </w:rPr>
            </w:pPr>
            <w:r w:rsidRPr="00A31F66">
              <w:rPr>
                <w:rFonts w:cs="Arial"/>
                <w:color w:val="000000" w:themeColor="text1"/>
                <w:szCs w:val="24"/>
              </w:rPr>
              <w:t>As empresas operadoras tem empreendido grandes esforços no desenvolvimento da Cadeia Local de fornecedores. Exemplos claros são os investimentos na indústria naval e a instalação no Brasil de centros de produção, operação e pesquisa de grandes fornecedores. Entende-se que tais esforços devem ser computados para efeitos de incentivo à política de Conteúdo Local.</w:t>
            </w:r>
          </w:p>
          <w:p w14:paraId="7065F9AA" w14:textId="14AFE7EE" w:rsidR="00E96023" w:rsidRPr="00A31F66" w:rsidRDefault="00E96023" w:rsidP="00E061A4">
            <w:pPr>
              <w:pStyle w:val="Legenda"/>
              <w:jc w:val="both"/>
              <w:rPr>
                <w:rFonts w:cs="Arial"/>
                <w:sz w:val="22"/>
                <w:szCs w:val="22"/>
              </w:rPr>
            </w:pPr>
            <w:r w:rsidRPr="00A31F66">
              <w:rPr>
                <w:rFonts w:cs="Arial"/>
                <w:color w:val="000000" w:themeColor="text1"/>
                <w:szCs w:val="24"/>
              </w:rPr>
              <w:t>Existe a necessidade de uma previsão contratual para as diretrizes do Decreto Pede for que serão regulamentadas.</w:t>
            </w:r>
          </w:p>
        </w:tc>
      </w:tr>
      <w:tr w:rsidR="00E96023" w:rsidRPr="00170FDC" w14:paraId="34EE269C" w14:textId="77777777" w:rsidTr="0003097F">
        <w:trPr>
          <w:trHeight w:val="2268"/>
        </w:trPr>
        <w:tc>
          <w:tcPr>
            <w:tcW w:w="553" w:type="pct"/>
            <w:vAlign w:val="center"/>
          </w:tcPr>
          <w:p w14:paraId="34E59711" w14:textId="3B615AEC"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66E12E0E" w14:textId="20E9D1D3"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Exclusão</w:t>
            </w:r>
          </w:p>
        </w:tc>
        <w:tc>
          <w:tcPr>
            <w:tcW w:w="494" w:type="pct"/>
            <w:vAlign w:val="center"/>
          </w:tcPr>
          <w:p w14:paraId="67B0C8D8" w14:textId="45234712"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20.9</w:t>
            </w:r>
          </w:p>
        </w:tc>
        <w:tc>
          <w:tcPr>
            <w:tcW w:w="1386" w:type="pct"/>
            <w:vAlign w:val="center"/>
          </w:tcPr>
          <w:p w14:paraId="0415E6AE" w14:textId="7A8ABD85" w:rsidR="00E96023" w:rsidRPr="00A31F66" w:rsidRDefault="00E96023" w:rsidP="00183142">
            <w:pPr>
              <w:pStyle w:val="Legenda"/>
              <w:jc w:val="both"/>
              <w:rPr>
                <w:sz w:val="22"/>
                <w:szCs w:val="22"/>
              </w:rPr>
            </w:pPr>
          </w:p>
        </w:tc>
        <w:tc>
          <w:tcPr>
            <w:tcW w:w="2126" w:type="pct"/>
            <w:vAlign w:val="center"/>
          </w:tcPr>
          <w:p w14:paraId="0BE35333" w14:textId="47B9A94D" w:rsidR="00E96023" w:rsidRPr="00A31F66" w:rsidRDefault="00E96023" w:rsidP="00E061A4">
            <w:pPr>
              <w:pStyle w:val="Legenda"/>
              <w:jc w:val="both"/>
              <w:rPr>
                <w:rFonts w:cs="Arial"/>
                <w:color w:val="000000" w:themeColor="text1"/>
                <w:szCs w:val="24"/>
              </w:rPr>
            </w:pPr>
            <w:r w:rsidRPr="00A31F66">
              <w:rPr>
                <w:rFonts w:cs="Arial"/>
                <w:color w:val="000000" w:themeColor="text1"/>
                <w:szCs w:val="24"/>
              </w:rPr>
              <w:t xml:space="preserve">Pelo princípio da isonomia, o IBP entende que, assim como diversos </w:t>
            </w:r>
            <w:r w:rsidR="00177029" w:rsidRPr="00A31F66">
              <w:rPr>
                <w:rFonts w:cs="Arial"/>
                <w:color w:val="000000" w:themeColor="text1"/>
                <w:szCs w:val="24"/>
              </w:rPr>
              <w:t>serviços</w:t>
            </w:r>
            <w:r w:rsidRPr="00A31F66">
              <w:rPr>
                <w:rFonts w:cs="Arial"/>
                <w:color w:val="000000" w:themeColor="text1"/>
                <w:szCs w:val="24"/>
              </w:rPr>
              <w:t xml:space="preserve"> prestados por mão de obra nacional considerados para fins de apuração de CL, os dispêndios relativos a operação da Unidade, deverão também ser considerados.</w:t>
            </w:r>
          </w:p>
          <w:p w14:paraId="2AFB74D0" w14:textId="77777777" w:rsidR="00E96023" w:rsidRPr="00A31F66" w:rsidRDefault="00E96023" w:rsidP="00E061A4">
            <w:pPr>
              <w:pStyle w:val="Legenda"/>
              <w:jc w:val="both"/>
              <w:rPr>
                <w:rFonts w:cs="Arial"/>
                <w:color w:val="000000" w:themeColor="text1"/>
                <w:szCs w:val="24"/>
              </w:rPr>
            </w:pPr>
            <w:r w:rsidRPr="00A31F66">
              <w:rPr>
                <w:rFonts w:cs="Arial"/>
                <w:color w:val="000000" w:themeColor="text1"/>
                <w:szCs w:val="24"/>
              </w:rPr>
              <w:t>Se o objetivo da política pública de CL é o desenvolvimento do mercado nacional com a geração de emprego e renda não faria sentido a exclusão de um segmento altamente qualificado e essencial para operação.</w:t>
            </w:r>
          </w:p>
          <w:p w14:paraId="0BBD2CA1" w14:textId="77777777" w:rsidR="00E96023" w:rsidRPr="00A31F66" w:rsidRDefault="00E96023" w:rsidP="00E061A4">
            <w:pPr>
              <w:pStyle w:val="Legenda"/>
              <w:jc w:val="both"/>
              <w:rPr>
                <w:rFonts w:cs="Arial"/>
                <w:color w:val="000000" w:themeColor="text1"/>
                <w:szCs w:val="24"/>
              </w:rPr>
            </w:pPr>
            <w:r w:rsidRPr="00A31F66">
              <w:rPr>
                <w:rFonts w:cs="Arial"/>
                <w:color w:val="000000" w:themeColor="text1"/>
                <w:szCs w:val="24"/>
              </w:rPr>
              <w:t xml:space="preserve"> </w:t>
            </w:r>
          </w:p>
          <w:p w14:paraId="573F5D61" w14:textId="7365C087" w:rsidR="00E96023" w:rsidRPr="00A31F66" w:rsidRDefault="00E96023" w:rsidP="00E061A4">
            <w:pPr>
              <w:pStyle w:val="Legenda"/>
              <w:jc w:val="both"/>
              <w:rPr>
                <w:rFonts w:cs="Arial"/>
                <w:sz w:val="22"/>
                <w:szCs w:val="22"/>
              </w:rPr>
            </w:pPr>
            <w:r w:rsidRPr="00A31F66">
              <w:rPr>
                <w:rFonts w:cs="Arial"/>
                <w:color w:val="000000" w:themeColor="text1"/>
                <w:szCs w:val="24"/>
              </w:rPr>
              <w:t>Cabe mencionar ainda que os dispêndios relativos à operação de unidades de produção faziam parte da base de cálculo de conteúdo local até a 13ª rodada e sua exclusão na cláusula em questão não está respaldada por qualquer nova diretriz do CNPE publicada até o momento.</w:t>
            </w:r>
          </w:p>
        </w:tc>
      </w:tr>
      <w:tr w:rsidR="00E96023" w:rsidRPr="00170FDC" w14:paraId="6E8908E0" w14:textId="77777777" w:rsidTr="0003097F">
        <w:trPr>
          <w:trHeight w:val="2268"/>
        </w:trPr>
        <w:tc>
          <w:tcPr>
            <w:tcW w:w="553" w:type="pct"/>
            <w:vAlign w:val="center"/>
          </w:tcPr>
          <w:p w14:paraId="079899C4" w14:textId="2197E30C"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044FB22C" w14:textId="5AEDFB54"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0072FDC8" w14:textId="76CFB9A7"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20.10</w:t>
            </w:r>
          </w:p>
        </w:tc>
        <w:tc>
          <w:tcPr>
            <w:tcW w:w="1386" w:type="pct"/>
            <w:vAlign w:val="center"/>
          </w:tcPr>
          <w:p w14:paraId="567E932F" w14:textId="1A122A57" w:rsidR="00E96023" w:rsidRPr="00A31F66" w:rsidRDefault="00E96023" w:rsidP="00183142">
            <w:pPr>
              <w:pStyle w:val="Legenda"/>
              <w:jc w:val="both"/>
              <w:rPr>
                <w:sz w:val="22"/>
                <w:szCs w:val="22"/>
              </w:rPr>
            </w:pPr>
            <w:r w:rsidRPr="00A31F66">
              <w:rPr>
                <w:rFonts w:cs="Arial"/>
                <w:color w:val="000000" w:themeColor="text1"/>
                <w:szCs w:val="24"/>
              </w:rPr>
              <w:t>Caso o Conteúdo Local aferido seja diferente do Conteúdo Local com o qual o Concessionário se comprometeu, seja na Fase de Exploração, seja em um Módulo da Etapa de Desenvolvimento, a diferença a maior ou menor, em moeda corrente nacional, poderá ser transferido para o(s) Módulo(s) da Etapa de Desenvolvimento a ser(em) implantado(s) subsequentemente.</w:t>
            </w:r>
          </w:p>
        </w:tc>
        <w:tc>
          <w:tcPr>
            <w:tcW w:w="2126" w:type="pct"/>
            <w:vAlign w:val="center"/>
          </w:tcPr>
          <w:p w14:paraId="50E14E63" w14:textId="08B262DB" w:rsidR="00E96023" w:rsidRPr="00A31F66" w:rsidRDefault="00E96023" w:rsidP="00E061A4">
            <w:pPr>
              <w:pStyle w:val="Legenda"/>
              <w:jc w:val="both"/>
              <w:rPr>
                <w:rFonts w:cs="Arial"/>
                <w:sz w:val="22"/>
                <w:szCs w:val="22"/>
              </w:rPr>
            </w:pPr>
            <w:r w:rsidRPr="00A31F66">
              <w:rPr>
                <w:rFonts w:cs="Arial"/>
                <w:color w:val="000000" w:themeColor="text1"/>
                <w:szCs w:val="24"/>
              </w:rPr>
              <w:t xml:space="preserve">"Visando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alcançados pelo Concessionário." (Trecho extraído do documento Exposição de motivos, disponibilizado pelo </w:t>
            </w:r>
            <w:r w:rsidR="00177029" w:rsidRPr="00A31F66">
              <w:rPr>
                <w:rFonts w:cs="Arial"/>
                <w:color w:val="000000" w:themeColor="text1"/>
                <w:szCs w:val="24"/>
              </w:rPr>
              <w:t>Comitê</w:t>
            </w:r>
            <w:r w:rsidRPr="00A31F66">
              <w:rPr>
                <w:rFonts w:cs="Arial"/>
                <w:color w:val="000000" w:themeColor="text1"/>
                <w:szCs w:val="24"/>
              </w:rPr>
              <w:t xml:space="preserve"> Diretivo do Pedefor durante a Consulta Pública 01/2016.)</w:t>
            </w:r>
          </w:p>
        </w:tc>
      </w:tr>
      <w:tr w:rsidR="00E96023" w:rsidRPr="00170FDC" w14:paraId="5A586DE6" w14:textId="77777777" w:rsidTr="0003097F">
        <w:trPr>
          <w:trHeight w:val="2268"/>
        </w:trPr>
        <w:tc>
          <w:tcPr>
            <w:tcW w:w="553" w:type="pct"/>
            <w:vAlign w:val="center"/>
          </w:tcPr>
          <w:p w14:paraId="5BFAA677" w14:textId="7E60476A"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39D1131A" w14:textId="4EA0B966"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24D692A8" w14:textId="06F55CB1"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20.10.1</w:t>
            </w:r>
          </w:p>
        </w:tc>
        <w:tc>
          <w:tcPr>
            <w:tcW w:w="1386" w:type="pct"/>
            <w:vAlign w:val="center"/>
          </w:tcPr>
          <w:p w14:paraId="56C4F213" w14:textId="69CEFF88" w:rsidR="00E96023" w:rsidRPr="00A31F66" w:rsidRDefault="00E96023" w:rsidP="00183142">
            <w:pPr>
              <w:pStyle w:val="Legenda"/>
              <w:jc w:val="both"/>
              <w:rPr>
                <w:sz w:val="22"/>
                <w:szCs w:val="22"/>
              </w:rPr>
            </w:pPr>
            <w:r w:rsidRPr="00A31F66">
              <w:rPr>
                <w:rFonts w:cs="Arial"/>
                <w:color w:val="000000" w:themeColor="text1"/>
                <w:szCs w:val="24"/>
              </w:rPr>
              <w:t xml:space="preserve">No caso de Campos em Mar com lâmina d’água acima de 100 metros, o operador deverá indicar o </w:t>
            </w:r>
            <w:r w:rsidR="00177029" w:rsidRPr="00A31F66">
              <w:rPr>
                <w:rFonts w:cs="Arial"/>
                <w:color w:val="000000" w:themeColor="text1"/>
                <w:szCs w:val="24"/>
              </w:rPr>
              <w:t>Macro grupo</w:t>
            </w:r>
            <w:r w:rsidRPr="00A31F66">
              <w:rPr>
                <w:rFonts w:cs="Arial"/>
                <w:color w:val="000000" w:themeColor="text1"/>
                <w:szCs w:val="24"/>
              </w:rPr>
              <w:t xml:space="preserve"> para o qual a diferença a maior ou menor da Fase de Exploração será direcionada.</w:t>
            </w:r>
          </w:p>
        </w:tc>
        <w:tc>
          <w:tcPr>
            <w:tcW w:w="2126" w:type="pct"/>
            <w:vAlign w:val="center"/>
          </w:tcPr>
          <w:p w14:paraId="5C87A1D6" w14:textId="5E5FE93A" w:rsidR="00E96023" w:rsidRPr="00A31F66" w:rsidRDefault="00E96023" w:rsidP="00E061A4">
            <w:pPr>
              <w:pStyle w:val="Legenda"/>
              <w:jc w:val="both"/>
              <w:rPr>
                <w:rFonts w:cs="Arial"/>
                <w:sz w:val="22"/>
                <w:szCs w:val="22"/>
              </w:rPr>
            </w:pPr>
            <w:r w:rsidRPr="00A31F66">
              <w:rPr>
                <w:rFonts w:cs="Arial"/>
                <w:color w:val="000000" w:themeColor="text1"/>
                <w:szCs w:val="24"/>
              </w:rPr>
              <w:t xml:space="preserve">"Visando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alcançados pelo Concessionário." (Trecho extraído do documento Exposição de motivos, disponibilizado pelo </w:t>
            </w:r>
            <w:r w:rsidR="00177029" w:rsidRPr="00A31F66">
              <w:rPr>
                <w:rFonts w:cs="Arial"/>
                <w:color w:val="000000" w:themeColor="text1"/>
                <w:szCs w:val="24"/>
              </w:rPr>
              <w:t>Comitê</w:t>
            </w:r>
            <w:r w:rsidRPr="00A31F66">
              <w:rPr>
                <w:rFonts w:cs="Arial"/>
                <w:color w:val="000000" w:themeColor="text1"/>
                <w:szCs w:val="24"/>
              </w:rPr>
              <w:t xml:space="preserve"> Diretivo do Pedefor durante a Consulta Pública 01/2016.)</w:t>
            </w:r>
          </w:p>
        </w:tc>
      </w:tr>
      <w:tr w:rsidR="00E96023" w:rsidRPr="00170FDC" w14:paraId="7DF97086" w14:textId="77777777" w:rsidTr="0003097F">
        <w:trPr>
          <w:trHeight w:val="2268"/>
        </w:trPr>
        <w:tc>
          <w:tcPr>
            <w:tcW w:w="553" w:type="pct"/>
            <w:vAlign w:val="center"/>
          </w:tcPr>
          <w:p w14:paraId="69C92CE0" w14:textId="2675E80D"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65CB8D93" w14:textId="14540B46"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4D033870" w14:textId="77413A05"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20.10.2</w:t>
            </w:r>
          </w:p>
        </w:tc>
        <w:tc>
          <w:tcPr>
            <w:tcW w:w="1386" w:type="pct"/>
            <w:vAlign w:val="center"/>
          </w:tcPr>
          <w:p w14:paraId="0F98FA15" w14:textId="7F7F4BC1" w:rsidR="00E96023" w:rsidRPr="00A31F66" w:rsidRDefault="00E96023" w:rsidP="00183142">
            <w:pPr>
              <w:pStyle w:val="Legenda"/>
              <w:jc w:val="both"/>
              <w:rPr>
                <w:sz w:val="22"/>
                <w:szCs w:val="22"/>
              </w:rPr>
            </w:pPr>
            <w:r w:rsidRPr="00A31F66">
              <w:rPr>
                <w:rFonts w:cs="Arial"/>
                <w:color w:val="000000" w:themeColor="text1"/>
                <w:szCs w:val="24"/>
              </w:rPr>
              <w:t xml:space="preserve">Eventuais diferenças a maior ou menor verificadas nos Módulos da Etapa de Desenvolvimento poderão ser transferidas para os </w:t>
            </w:r>
            <w:r w:rsidR="00177029" w:rsidRPr="00A31F66">
              <w:rPr>
                <w:rFonts w:cs="Arial"/>
                <w:color w:val="000000" w:themeColor="text1"/>
                <w:szCs w:val="24"/>
              </w:rPr>
              <w:t>Macro grupos</w:t>
            </w:r>
            <w:r w:rsidRPr="00A31F66">
              <w:rPr>
                <w:rFonts w:cs="Arial"/>
                <w:color w:val="000000" w:themeColor="text1"/>
                <w:szCs w:val="24"/>
              </w:rPr>
              <w:t xml:space="preserve"> indicados pelo Concessionário.</w:t>
            </w:r>
          </w:p>
        </w:tc>
        <w:tc>
          <w:tcPr>
            <w:tcW w:w="2126" w:type="pct"/>
            <w:vAlign w:val="center"/>
          </w:tcPr>
          <w:p w14:paraId="7ABE9F7D" w14:textId="6794C3FD" w:rsidR="00E96023" w:rsidRPr="00A31F66" w:rsidRDefault="00E96023" w:rsidP="00E061A4">
            <w:pPr>
              <w:pStyle w:val="Legenda"/>
              <w:jc w:val="both"/>
              <w:rPr>
                <w:rFonts w:cs="Arial"/>
                <w:sz w:val="22"/>
                <w:szCs w:val="22"/>
              </w:rPr>
            </w:pPr>
            <w:r w:rsidRPr="00A31F66">
              <w:rPr>
                <w:rFonts w:cs="Arial"/>
                <w:color w:val="000000" w:themeColor="text1"/>
                <w:szCs w:val="24"/>
              </w:rPr>
              <w:t xml:space="preserve">"Visando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alcançados pelo Concessionário." (Trecho extraído do documento Exposição de motivos, disponibilizado pelo </w:t>
            </w:r>
            <w:r w:rsidR="00177029" w:rsidRPr="00A31F66">
              <w:rPr>
                <w:rFonts w:cs="Arial"/>
                <w:color w:val="000000" w:themeColor="text1"/>
                <w:szCs w:val="24"/>
              </w:rPr>
              <w:t>Comitê</w:t>
            </w:r>
            <w:r w:rsidRPr="00A31F66">
              <w:rPr>
                <w:rFonts w:cs="Arial"/>
                <w:color w:val="000000" w:themeColor="text1"/>
                <w:szCs w:val="24"/>
              </w:rPr>
              <w:t xml:space="preserve"> Diretivo do Pedefor durante a Consulta Pública 01/2016.)</w:t>
            </w:r>
          </w:p>
        </w:tc>
      </w:tr>
      <w:tr w:rsidR="00E96023" w:rsidRPr="00170FDC" w14:paraId="5D47351B" w14:textId="77777777" w:rsidTr="0003097F">
        <w:trPr>
          <w:trHeight w:val="2268"/>
        </w:trPr>
        <w:tc>
          <w:tcPr>
            <w:tcW w:w="553" w:type="pct"/>
            <w:vAlign w:val="center"/>
          </w:tcPr>
          <w:p w14:paraId="1351994A" w14:textId="31599660"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3C72613B" w14:textId="54EABFCF"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0B08FADD" w14:textId="4CCD475C"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20.11</w:t>
            </w:r>
          </w:p>
        </w:tc>
        <w:tc>
          <w:tcPr>
            <w:tcW w:w="1386" w:type="pct"/>
            <w:vAlign w:val="center"/>
          </w:tcPr>
          <w:p w14:paraId="728CAF5F" w14:textId="7A37621F" w:rsidR="00E96023" w:rsidRPr="00A31F66" w:rsidRDefault="00E96023" w:rsidP="00183142">
            <w:pPr>
              <w:pStyle w:val="Legenda"/>
              <w:jc w:val="both"/>
              <w:rPr>
                <w:sz w:val="22"/>
                <w:szCs w:val="22"/>
              </w:rPr>
            </w:pPr>
            <w:r w:rsidRPr="00A31F66">
              <w:rPr>
                <w:rFonts w:cs="Arial"/>
                <w:color w:val="000000" w:themeColor="text1"/>
                <w:szCs w:val="24"/>
              </w:rPr>
              <w:t>A solicitação de transferência de excedente deverá ser apresentada à ANP no prazo de 30 (trinta) dias, contados a partir do primeiro dia útil seguinte ao recebimento, pelo Operador, do Relatório de Fiscalização de Conteúdo Local da Etapa de Desenvolvimento da Produção, ou de Módulos subsequentes no caso de Desenvolvimento modular.</w:t>
            </w:r>
          </w:p>
        </w:tc>
        <w:tc>
          <w:tcPr>
            <w:tcW w:w="2126" w:type="pct"/>
            <w:vAlign w:val="center"/>
          </w:tcPr>
          <w:p w14:paraId="1A30CD78" w14:textId="39BC26F7" w:rsidR="00E96023" w:rsidRPr="00A31F66" w:rsidRDefault="00E96023" w:rsidP="00E061A4">
            <w:pPr>
              <w:pStyle w:val="Legenda"/>
              <w:jc w:val="both"/>
              <w:rPr>
                <w:rFonts w:cs="Arial"/>
                <w:sz w:val="22"/>
                <w:szCs w:val="22"/>
              </w:rPr>
            </w:pPr>
            <w:r w:rsidRPr="00A31F66">
              <w:rPr>
                <w:rFonts w:cs="Arial"/>
                <w:color w:val="000000" w:themeColor="text1"/>
                <w:szCs w:val="24"/>
              </w:rPr>
              <w:t>Entende-se que o período de 15(quinze) dias é insuficiente para analisar e concluir o processo interno de validação e aprovação de eventuais diferenças a maior ou menor a serem transferidas.</w:t>
            </w:r>
          </w:p>
        </w:tc>
      </w:tr>
      <w:tr w:rsidR="00E96023" w:rsidRPr="00170FDC" w14:paraId="33AC5113" w14:textId="77777777" w:rsidTr="0003097F">
        <w:trPr>
          <w:trHeight w:val="2268"/>
        </w:trPr>
        <w:tc>
          <w:tcPr>
            <w:tcW w:w="553" w:type="pct"/>
            <w:vAlign w:val="center"/>
          </w:tcPr>
          <w:p w14:paraId="7BDCF1A5" w14:textId="022F9432"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662F34DC" w14:textId="7654FA0F"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Inclusão</w:t>
            </w:r>
          </w:p>
        </w:tc>
        <w:tc>
          <w:tcPr>
            <w:tcW w:w="494" w:type="pct"/>
            <w:vAlign w:val="center"/>
          </w:tcPr>
          <w:p w14:paraId="3C0BC7BF" w14:textId="3509FEA0"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Após o atual item 20.11</w:t>
            </w:r>
          </w:p>
        </w:tc>
        <w:tc>
          <w:tcPr>
            <w:tcW w:w="1386" w:type="pct"/>
            <w:vAlign w:val="center"/>
          </w:tcPr>
          <w:p w14:paraId="2AFAAC7A" w14:textId="067B5535" w:rsidR="00E96023" w:rsidRPr="00A31F66" w:rsidRDefault="00E96023" w:rsidP="00183142">
            <w:pPr>
              <w:pStyle w:val="Legenda"/>
              <w:jc w:val="both"/>
              <w:rPr>
                <w:sz w:val="22"/>
                <w:szCs w:val="22"/>
              </w:rPr>
            </w:pPr>
            <w:r w:rsidRPr="00A31F66">
              <w:rPr>
                <w:rFonts w:cs="Arial"/>
                <w:color w:val="000000" w:themeColor="text1"/>
                <w:szCs w:val="24"/>
              </w:rPr>
              <w:t xml:space="preserve">O Concessionário poderá solicitar à ANP o ajuste do percentual de Conteúdo Local da Fase de Exploração e do determinado </w:t>
            </w:r>
            <w:r w:rsidR="00177029" w:rsidRPr="00A31F66">
              <w:rPr>
                <w:rFonts w:cs="Arial"/>
                <w:color w:val="000000" w:themeColor="text1"/>
                <w:szCs w:val="24"/>
              </w:rPr>
              <w:t>Macro grupo</w:t>
            </w:r>
            <w:r w:rsidRPr="00A31F66">
              <w:rPr>
                <w:rFonts w:cs="Arial"/>
                <w:color w:val="000000" w:themeColor="text1"/>
                <w:szCs w:val="24"/>
              </w:rPr>
              <w:t xml:space="preserve"> com o qual se comprometeu.</w:t>
            </w:r>
          </w:p>
        </w:tc>
        <w:tc>
          <w:tcPr>
            <w:tcW w:w="2126" w:type="pct"/>
            <w:vAlign w:val="center"/>
          </w:tcPr>
          <w:p w14:paraId="6DB77FBC" w14:textId="71F31C10" w:rsidR="00E96023" w:rsidRPr="00A31F66" w:rsidRDefault="00E96023" w:rsidP="00E061A4">
            <w:pPr>
              <w:pStyle w:val="Legenda"/>
              <w:jc w:val="both"/>
              <w:rPr>
                <w:rFonts w:cs="Arial"/>
                <w:sz w:val="22"/>
                <w:szCs w:val="22"/>
              </w:rPr>
            </w:pPr>
            <w:r w:rsidRPr="00A31F66">
              <w:rPr>
                <w:rFonts w:cs="Arial"/>
                <w:color w:val="000000" w:themeColor="text1"/>
                <w:szCs w:val="24"/>
              </w:rPr>
              <w:t>Em razão das oscilações de mercado entre o momento da assinatura do contrato e o momento do efetivo investimento nos projetos, torna-se indispensável que o presente contrato contemple a possibilidade de situações em que a Operadora não tenha meios de alcançar o percentual de conteúdo local previamente estabelecido.  Dessa forma, a penalização das Operadoras pelo não cumprimento dos percentuais de CL exigidos sem que haja culpa das mesmas estará em desacordo com os princípios do Direito Administrativo Sancionador.</w:t>
            </w:r>
          </w:p>
        </w:tc>
      </w:tr>
      <w:tr w:rsidR="00E96023" w:rsidRPr="00170FDC" w14:paraId="037B3C24" w14:textId="77777777" w:rsidTr="0003097F">
        <w:trPr>
          <w:trHeight w:val="2268"/>
        </w:trPr>
        <w:tc>
          <w:tcPr>
            <w:tcW w:w="553" w:type="pct"/>
            <w:vAlign w:val="center"/>
          </w:tcPr>
          <w:p w14:paraId="78057041" w14:textId="168874CC"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03B05CE3" w14:textId="0BF567A4"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Inclusão</w:t>
            </w:r>
          </w:p>
        </w:tc>
        <w:tc>
          <w:tcPr>
            <w:tcW w:w="494" w:type="pct"/>
            <w:vAlign w:val="center"/>
          </w:tcPr>
          <w:p w14:paraId="1FE819E7" w14:textId="6095B486"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Após a inclusão do item acima</w:t>
            </w:r>
          </w:p>
        </w:tc>
        <w:tc>
          <w:tcPr>
            <w:tcW w:w="1386" w:type="pct"/>
            <w:vAlign w:val="center"/>
          </w:tcPr>
          <w:p w14:paraId="2636778E" w14:textId="6A3B707D" w:rsidR="00E96023" w:rsidRPr="00A31F66" w:rsidRDefault="00E96023" w:rsidP="00183142">
            <w:pPr>
              <w:pStyle w:val="Legenda"/>
              <w:jc w:val="both"/>
              <w:rPr>
                <w:sz w:val="22"/>
                <w:szCs w:val="22"/>
              </w:rPr>
            </w:pPr>
            <w:r w:rsidRPr="00A31F66">
              <w:rPr>
                <w:rFonts w:cs="Arial"/>
                <w:color w:val="000000" w:themeColor="text1"/>
                <w:szCs w:val="24"/>
              </w:rPr>
              <w:t>A solicitação de ajustes deverá ser apresentada à ANP no prazo de 30 (trinta) dias, contados a partir do primeiro dia útil seguinte ao recebimento, pelo Operador, do Relatório de Fiscalização de Conteúdo Local da Etapa de Desenvolvimento da Produção, ou de Módulos subsequentes no caso de Desenvolvimento modular.</w:t>
            </w:r>
          </w:p>
        </w:tc>
        <w:tc>
          <w:tcPr>
            <w:tcW w:w="2126" w:type="pct"/>
            <w:vAlign w:val="center"/>
          </w:tcPr>
          <w:p w14:paraId="129544C0" w14:textId="05575643" w:rsidR="00E96023" w:rsidRPr="00A31F66" w:rsidRDefault="00E96023" w:rsidP="00E061A4">
            <w:pPr>
              <w:pStyle w:val="Legenda"/>
              <w:jc w:val="both"/>
              <w:rPr>
                <w:rFonts w:cs="Arial"/>
                <w:sz w:val="22"/>
                <w:szCs w:val="22"/>
              </w:rPr>
            </w:pPr>
            <w:r w:rsidRPr="00A31F66">
              <w:rPr>
                <w:rFonts w:cs="Arial"/>
                <w:color w:val="000000" w:themeColor="text1"/>
                <w:szCs w:val="24"/>
              </w:rPr>
              <w:t>Em razão das oscilações de mercado entre o momento da assinatura do contrato e o momento do efetivo investimento nos projetos, torna-se indispensável que o presente contrato contemple a possibilidade de situações em que a Operadora não tenha meios de alcançar o percentual de conteúdo local previamente estabelecido.  Dessa forma, a penalização das Operadoras pelo não cumprimento dos percentuais de CL exigidos sem que haja culpa das mesmas estará em desacordo com os princípios do Direito Administrativo Sancionador.</w:t>
            </w:r>
          </w:p>
        </w:tc>
      </w:tr>
      <w:tr w:rsidR="00E96023" w:rsidRPr="00170FDC" w14:paraId="07D5D96A" w14:textId="77777777" w:rsidTr="0003097F">
        <w:trPr>
          <w:trHeight w:val="2268"/>
        </w:trPr>
        <w:tc>
          <w:tcPr>
            <w:tcW w:w="553" w:type="pct"/>
            <w:vAlign w:val="center"/>
          </w:tcPr>
          <w:p w14:paraId="7764889A" w14:textId="0294FC92" w:rsidR="00E96023" w:rsidRPr="00A31F66" w:rsidRDefault="00E96023" w:rsidP="00E96023">
            <w:pPr>
              <w:pStyle w:val="Legenda"/>
              <w:jc w:val="center"/>
              <w:rPr>
                <w:rFonts w:cs="Arial"/>
                <w:color w:val="000000" w:themeColor="text1"/>
                <w:sz w:val="22"/>
                <w:szCs w:val="22"/>
                <w:vertAlign w:val="subscript"/>
              </w:rPr>
            </w:pPr>
            <w:r w:rsidRPr="00A31F66">
              <w:rPr>
                <w:rFonts w:cs="Arial"/>
                <w:color w:val="000000" w:themeColor="text1"/>
                <w:szCs w:val="24"/>
              </w:rPr>
              <w:t>Minuta do Contrato</w:t>
            </w:r>
          </w:p>
        </w:tc>
        <w:tc>
          <w:tcPr>
            <w:tcW w:w="441" w:type="pct"/>
            <w:vAlign w:val="center"/>
          </w:tcPr>
          <w:p w14:paraId="66D9849D" w14:textId="28AA114E"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41C160DD" w14:textId="1F66B3E2"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20.11.1</w:t>
            </w:r>
          </w:p>
        </w:tc>
        <w:tc>
          <w:tcPr>
            <w:tcW w:w="1386" w:type="pct"/>
            <w:vAlign w:val="center"/>
          </w:tcPr>
          <w:p w14:paraId="2D95046B" w14:textId="754C6D86" w:rsidR="00E96023" w:rsidRPr="00A31F66" w:rsidRDefault="00E96023" w:rsidP="00F27B72">
            <w:pPr>
              <w:pStyle w:val="Legenda"/>
              <w:jc w:val="both"/>
              <w:rPr>
                <w:sz w:val="22"/>
                <w:szCs w:val="22"/>
              </w:rPr>
            </w:pPr>
            <w:r w:rsidRPr="00A31F66">
              <w:rPr>
                <w:rFonts w:cs="Arial"/>
                <w:color w:val="000000" w:themeColor="text1"/>
                <w:szCs w:val="24"/>
              </w:rPr>
              <w:t xml:space="preserve">O valor monetário excedente será </w:t>
            </w:r>
            <w:r w:rsidRPr="00A31F66">
              <w:rPr>
                <w:rFonts w:cs="Arial"/>
                <w:szCs w:val="24"/>
              </w:rPr>
              <w:t>atualizado</w:t>
            </w:r>
            <w:r w:rsidRPr="00A31F66">
              <w:rPr>
                <w:rFonts w:cs="Arial"/>
                <w:color w:val="000000" w:themeColor="text1"/>
                <w:szCs w:val="24"/>
              </w:rPr>
              <w:t xml:space="preserve"> </w:t>
            </w:r>
            <w:r w:rsidR="00F27B72">
              <w:rPr>
                <w:rFonts w:cs="Arial"/>
                <w:color w:val="000000" w:themeColor="text1"/>
                <w:szCs w:val="24"/>
              </w:rPr>
              <w:t>por</w:t>
            </w:r>
            <w:r w:rsidRPr="00A31F66">
              <w:rPr>
                <w:rFonts w:cs="Arial"/>
                <w:color w:val="000000" w:themeColor="text1"/>
                <w:szCs w:val="24"/>
              </w:rPr>
              <w:t xml:space="preserve"> índice </w:t>
            </w:r>
            <w:r w:rsidR="00E956AD">
              <w:rPr>
                <w:rFonts w:cs="Arial"/>
                <w:color w:val="000000" w:themeColor="text1"/>
                <w:szCs w:val="24"/>
              </w:rPr>
              <w:t xml:space="preserve">que </w:t>
            </w:r>
            <w:r w:rsidR="00F27B72">
              <w:rPr>
                <w:rFonts w:cs="Arial"/>
                <w:color w:val="000000" w:themeColor="text1"/>
                <w:szCs w:val="24"/>
              </w:rPr>
              <w:t>reflita com a melhor exatidão as atividades relacionadas à indústria do petróleo e gás.</w:t>
            </w:r>
          </w:p>
        </w:tc>
        <w:tc>
          <w:tcPr>
            <w:tcW w:w="2126" w:type="pct"/>
            <w:vAlign w:val="center"/>
          </w:tcPr>
          <w:p w14:paraId="48D7549D" w14:textId="0170B261" w:rsidR="00E96023" w:rsidRPr="00A31F66" w:rsidRDefault="00F27B72" w:rsidP="00F27B72">
            <w:pPr>
              <w:pStyle w:val="Legenda"/>
              <w:jc w:val="both"/>
              <w:rPr>
                <w:rFonts w:cs="Arial"/>
                <w:sz w:val="22"/>
                <w:szCs w:val="22"/>
              </w:rPr>
            </w:pPr>
            <w:r>
              <w:rPr>
                <w:rFonts w:cs="Arial"/>
                <w:color w:val="000000" w:themeColor="text1"/>
                <w:szCs w:val="24"/>
              </w:rPr>
              <w:t>Buscar a equalização</w:t>
            </w:r>
            <w:r w:rsidR="00E96023" w:rsidRPr="00A31F66">
              <w:rPr>
                <w:rFonts w:cs="Arial"/>
                <w:color w:val="000000" w:themeColor="text1"/>
                <w:szCs w:val="24"/>
              </w:rPr>
              <w:t xml:space="preserve"> </w:t>
            </w:r>
            <w:r>
              <w:rPr>
                <w:rFonts w:cs="Arial"/>
                <w:color w:val="000000" w:themeColor="text1"/>
                <w:szCs w:val="24"/>
              </w:rPr>
              <w:t xml:space="preserve">e/ou consistência </w:t>
            </w:r>
            <w:r w:rsidR="00E96023" w:rsidRPr="00A31F66">
              <w:rPr>
                <w:rFonts w:cs="Arial"/>
                <w:color w:val="000000" w:themeColor="text1"/>
                <w:szCs w:val="24"/>
              </w:rPr>
              <w:t>com o Índice utilizado nos contratos anteriores, de forma a evitar duplicação de controles e gestão interna, tanto das Operadores quanto da ANP.</w:t>
            </w:r>
          </w:p>
        </w:tc>
      </w:tr>
      <w:tr w:rsidR="00E96023" w:rsidRPr="00170FDC" w14:paraId="12A58A7E" w14:textId="77777777" w:rsidTr="0003097F">
        <w:trPr>
          <w:trHeight w:val="2268"/>
        </w:trPr>
        <w:tc>
          <w:tcPr>
            <w:tcW w:w="553" w:type="pct"/>
            <w:vAlign w:val="center"/>
          </w:tcPr>
          <w:p w14:paraId="32026AD6" w14:textId="75B42AFD"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Minuta do Contrato</w:t>
            </w:r>
          </w:p>
        </w:tc>
        <w:tc>
          <w:tcPr>
            <w:tcW w:w="441" w:type="pct"/>
            <w:vAlign w:val="center"/>
          </w:tcPr>
          <w:p w14:paraId="21C9577B" w14:textId="1BE21F87" w:rsidR="00E96023" w:rsidRPr="00A31F66" w:rsidRDefault="00E96023" w:rsidP="00E96023">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442DC4F4" w14:textId="4CE03C02" w:rsidR="00E96023" w:rsidRPr="00A31F66" w:rsidRDefault="00E96023" w:rsidP="00183142">
            <w:pPr>
              <w:pStyle w:val="Legenda"/>
              <w:jc w:val="center"/>
              <w:rPr>
                <w:rFonts w:cs="Arial"/>
                <w:color w:val="000000" w:themeColor="text1"/>
                <w:sz w:val="22"/>
                <w:szCs w:val="22"/>
              </w:rPr>
            </w:pPr>
            <w:r w:rsidRPr="00A31F66">
              <w:rPr>
                <w:rFonts w:cs="Arial"/>
                <w:color w:val="000000" w:themeColor="text1"/>
                <w:szCs w:val="24"/>
              </w:rPr>
              <w:t>20.12</w:t>
            </w:r>
          </w:p>
        </w:tc>
        <w:tc>
          <w:tcPr>
            <w:tcW w:w="1386" w:type="pct"/>
            <w:vAlign w:val="center"/>
          </w:tcPr>
          <w:p w14:paraId="516AFAE2" w14:textId="77777777" w:rsidR="00E96023" w:rsidRPr="00A31F66" w:rsidRDefault="00E96023" w:rsidP="00183142">
            <w:pPr>
              <w:pStyle w:val="Legenda"/>
              <w:jc w:val="both"/>
              <w:rPr>
                <w:rFonts w:cs="Arial"/>
                <w:szCs w:val="24"/>
              </w:rPr>
            </w:pPr>
            <w:r w:rsidRPr="00A31F66">
              <w:rPr>
                <w:rFonts w:cs="Arial"/>
                <w:szCs w:val="24"/>
              </w:rPr>
              <w:t>O descumprimento do Conteúdo Local sujeitará o Concessionário à aplicação de multa, a qual será calculada sobre o valor monetário descumprido, aplicando-se o seguinte percentual, conforme o caso:</w:t>
            </w:r>
          </w:p>
          <w:p w14:paraId="102787FF" w14:textId="77777777" w:rsidR="00E96023" w:rsidRPr="00A31F66" w:rsidRDefault="00E96023" w:rsidP="00183142">
            <w:pPr>
              <w:pStyle w:val="Legenda"/>
              <w:jc w:val="both"/>
              <w:rPr>
                <w:rFonts w:cs="Arial"/>
                <w:szCs w:val="24"/>
              </w:rPr>
            </w:pPr>
            <w:r w:rsidRPr="00A31F66">
              <w:rPr>
                <w:rFonts w:cs="Arial"/>
                <w:szCs w:val="24"/>
              </w:rPr>
              <w:t>a) Caso o percentual de Conteúdo Local Não Realizado (NR) seja inferior a 65% (sessenta e cinco por cento) do Conteúdo Local Mínimo, a multa será de 10% (dez por cento) sobre o valor do Conteúdo Local Não Realizado.</w:t>
            </w:r>
          </w:p>
          <w:p w14:paraId="5798F795" w14:textId="7B78DE29" w:rsidR="00E96023" w:rsidRPr="00A31F66" w:rsidRDefault="00E96023" w:rsidP="00183142">
            <w:pPr>
              <w:pStyle w:val="Legenda"/>
              <w:jc w:val="both"/>
              <w:rPr>
                <w:rFonts w:cs="Arial"/>
                <w:szCs w:val="24"/>
              </w:rPr>
            </w:pPr>
            <w:r w:rsidRPr="00A31F66">
              <w:rPr>
                <w:rFonts w:cs="Arial"/>
                <w:szCs w:val="24"/>
              </w:rPr>
              <w:t>b) Caso o percentual de Conteúdo Local Não Realizado (NR) seja igual ou superior a 65% (sessenta e cinco por cento), a multa será crescente a partir de 10% (dez por cento), atingindo 24% (vinte e quatro por cento) do valor de Conteúdo Local Mínimo, no caso de 100% de Conteúdo Local Não Realizado (NR), de modo a obedecer à fórmula:</w:t>
            </w:r>
          </w:p>
          <w:p w14:paraId="225F06F1" w14:textId="66EFC387" w:rsidR="00E96023" w:rsidRPr="00A31F66" w:rsidRDefault="00E96023" w:rsidP="00183142">
            <w:pPr>
              <w:pStyle w:val="Legenda"/>
              <w:jc w:val="both"/>
              <w:rPr>
                <w:rFonts w:cs="Arial"/>
                <w:szCs w:val="24"/>
              </w:rPr>
            </w:pPr>
            <w:r w:rsidRPr="00A31F66">
              <w:rPr>
                <w:rFonts w:cs="Arial"/>
                <w:szCs w:val="24"/>
              </w:rPr>
              <w:t>M (%) = 0,4 x NR (%) - 16%.</w:t>
            </w:r>
          </w:p>
          <w:p w14:paraId="2AE9921E" w14:textId="329A1009" w:rsidR="00E96023" w:rsidRPr="00A31F66" w:rsidRDefault="00E96023" w:rsidP="00183142">
            <w:pPr>
              <w:pStyle w:val="Legenda"/>
              <w:jc w:val="both"/>
              <w:rPr>
                <w:rFonts w:cs="Arial"/>
                <w:szCs w:val="24"/>
              </w:rPr>
            </w:pPr>
            <w:r w:rsidRPr="00A31F66">
              <w:rPr>
                <w:rFonts w:cs="Arial"/>
                <w:szCs w:val="24"/>
              </w:rPr>
              <w:t>No qual NR (%) é o percentual de Conteúdo Local Não Realizado</w:t>
            </w:r>
          </w:p>
        </w:tc>
        <w:tc>
          <w:tcPr>
            <w:tcW w:w="2126" w:type="pct"/>
            <w:vAlign w:val="center"/>
          </w:tcPr>
          <w:p w14:paraId="5D975BB1" w14:textId="5B6603DB" w:rsidR="00E96023" w:rsidRPr="00A31F66" w:rsidRDefault="00E96023" w:rsidP="00E061A4">
            <w:pPr>
              <w:pStyle w:val="Legenda"/>
              <w:jc w:val="both"/>
              <w:rPr>
                <w:rFonts w:cs="Arial"/>
                <w:szCs w:val="24"/>
              </w:rPr>
            </w:pPr>
            <w:r w:rsidRPr="00A31F66">
              <w:rPr>
                <w:rFonts w:cs="Arial"/>
                <w:szCs w:val="24"/>
              </w:rPr>
              <w:t>O setor de petróleo é caracterizado por investimentos realizados em longo prazo, normalmente superior a dez anos após a assinatura do contrato, acarretando grande incerteza em relação às condições tecnológicas e de mercado quando da efetiva realização dos investimentos. Com a eliminação do mecanismo de isenção para o presente contrato, não há qualquer instrumento que evite a penalização indevida dos concessionários em casos de impossibilidade de cumprimento das obrigações sem culpa objetiva. Nesse contexto, a manutenção de patamares pesadamente elevados de aplicação de penalidades, ainda que inferiores aos praticados até o momento, expõe os projetos a risco financeiro que reduz sua atratividade e terá impacto negativo na composição das ofertas.</w:t>
            </w:r>
          </w:p>
        </w:tc>
      </w:tr>
      <w:tr w:rsidR="002860BD" w:rsidRPr="00170FDC" w14:paraId="148D5BA9" w14:textId="77777777" w:rsidTr="0003097F">
        <w:trPr>
          <w:trHeight w:val="2268"/>
        </w:trPr>
        <w:tc>
          <w:tcPr>
            <w:tcW w:w="553" w:type="pct"/>
            <w:vAlign w:val="center"/>
          </w:tcPr>
          <w:p w14:paraId="73BEBA8B" w14:textId="73AED98C" w:rsidR="002860BD" w:rsidRPr="00A31F66" w:rsidRDefault="002860BD" w:rsidP="002860BD">
            <w:pPr>
              <w:pStyle w:val="Legenda"/>
              <w:jc w:val="center"/>
              <w:rPr>
                <w:rFonts w:cs="Arial"/>
                <w:color w:val="000000" w:themeColor="text1"/>
                <w:sz w:val="22"/>
                <w:szCs w:val="22"/>
              </w:rPr>
            </w:pPr>
            <w:r w:rsidRPr="00A31F66">
              <w:rPr>
                <w:rFonts w:cs="Arial"/>
                <w:color w:val="000000" w:themeColor="text1"/>
                <w:szCs w:val="24"/>
              </w:rPr>
              <w:t>Minuta do Contrato</w:t>
            </w:r>
          </w:p>
        </w:tc>
        <w:tc>
          <w:tcPr>
            <w:tcW w:w="441" w:type="pct"/>
            <w:vAlign w:val="center"/>
          </w:tcPr>
          <w:p w14:paraId="77075E3A" w14:textId="15DCCCC5" w:rsidR="002860BD" w:rsidRPr="00A31F66" w:rsidRDefault="002860BD" w:rsidP="002860BD">
            <w:pPr>
              <w:pStyle w:val="Legenda"/>
              <w:jc w:val="center"/>
              <w:rPr>
                <w:rFonts w:cs="Arial"/>
                <w:color w:val="000000" w:themeColor="text1"/>
                <w:sz w:val="22"/>
                <w:szCs w:val="22"/>
              </w:rPr>
            </w:pPr>
            <w:r w:rsidRPr="00A31F66">
              <w:rPr>
                <w:rFonts w:cs="Arial"/>
                <w:color w:val="000000" w:themeColor="text1"/>
                <w:szCs w:val="24"/>
              </w:rPr>
              <w:t>Alteração</w:t>
            </w:r>
          </w:p>
        </w:tc>
        <w:tc>
          <w:tcPr>
            <w:tcW w:w="494" w:type="pct"/>
            <w:vAlign w:val="center"/>
          </w:tcPr>
          <w:p w14:paraId="70B6E176" w14:textId="52A84D40" w:rsidR="002860BD" w:rsidRPr="00A31F66" w:rsidRDefault="002860BD" w:rsidP="002860BD">
            <w:pPr>
              <w:pStyle w:val="Legenda"/>
              <w:jc w:val="center"/>
              <w:rPr>
                <w:rFonts w:cs="Arial"/>
                <w:color w:val="000000" w:themeColor="text1"/>
                <w:sz w:val="22"/>
                <w:szCs w:val="22"/>
              </w:rPr>
            </w:pPr>
            <w:r w:rsidRPr="00A31F66">
              <w:rPr>
                <w:rFonts w:cs="Arial"/>
                <w:color w:val="000000" w:themeColor="text1"/>
                <w:szCs w:val="24"/>
              </w:rPr>
              <w:t>20.14</w:t>
            </w:r>
          </w:p>
        </w:tc>
        <w:tc>
          <w:tcPr>
            <w:tcW w:w="1386" w:type="pct"/>
            <w:vAlign w:val="center"/>
          </w:tcPr>
          <w:p w14:paraId="32F45897" w14:textId="1012A98A" w:rsidR="002860BD" w:rsidRPr="00A31F66" w:rsidRDefault="002860BD" w:rsidP="002860BD">
            <w:pPr>
              <w:pStyle w:val="Legenda"/>
              <w:jc w:val="both"/>
              <w:rPr>
                <w:sz w:val="22"/>
                <w:szCs w:val="22"/>
              </w:rPr>
            </w:pPr>
            <w:r w:rsidRPr="00A31F66">
              <w:rPr>
                <w:rFonts w:cs="Arial"/>
                <w:color w:val="000000" w:themeColor="text1"/>
                <w:szCs w:val="24"/>
              </w:rPr>
              <w:t xml:space="preserve">O valor monetário excedente será </w:t>
            </w:r>
            <w:r w:rsidRPr="00A31F66">
              <w:rPr>
                <w:rFonts w:cs="Arial"/>
                <w:szCs w:val="24"/>
              </w:rPr>
              <w:t>atualizado</w:t>
            </w:r>
            <w:r w:rsidRPr="00A31F66">
              <w:rPr>
                <w:rFonts w:cs="Arial"/>
                <w:color w:val="000000" w:themeColor="text1"/>
                <w:szCs w:val="24"/>
              </w:rPr>
              <w:t xml:space="preserve"> </w:t>
            </w:r>
            <w:r>
              <w:rPr>
                <w:rFonts w:cs="Arial"/>
                <w:color w:val="000000" w:themeColor="text1"/>
                <w:szCs w:val="24"/>
              </w:rPr>
              <w:t>por</w:t>
            </w:r>
            <w:r w:rsidRPr="00A31F66">
              <w:rPr>
                <w:rFonts w:cs="Arial"/>
                <w:color w:val="000000" w:themeColor="text1"/>
                <w:szCs w:val="24"/>
              </w:rPr>
              <w:t xml:space="preserve"> índice </w:t>
            </w:r>
            <w:r w:rsidR="00E956AD">
              <w:rPr>
                <w:rFonts w:cs="Arial"/>
                <w:color w:val="000000" w:themeColor="text1"/>
                <w:szCs w:val="24"/>
              </w:rPr>
              <w:t xml:space="preserve">que </w:t>
            </w:r>
            <w:r>
              <w:rPr>
                <w:rFonts w:cs="Arial"/>
                <w:color w:val="000000" w:themeColor="text1"/>
                <w:szCs w:val="24"/>
              </w:rPr>
              <w:t>reflita com a melhor exatidão as atividades relacionadas à indústria do petróleo e gás.</w:t>
            </w:r>
          </w:p>
        </w:tc>
        <w:tc>
          <w:tcPr>
            <w:tcW w:w="2126" w:type="pct"/>
            <w:vAlign w:val="center"/>
          </w:tcPr>
          <w:p w14:paraId="48FC5D1F" w14:textId="4E83A78A" w:rsidR="002860BD" w:rsidRPr="00A31F66" w:rsidRDefault="002860BD" w:rsidP="002860BD">
            <w:pPr>
              <w:pStyle w:val="Legenda"/>
              <w:jc w:val="both"/>
              <w:rPr>
                <w:rFonts w:cs="Arial"/>
                <w:sz w:val="22"/>
                <w:szCs w:val="22"/>
              </w:rPr>
            </w:pPr>
            <w:r>
              <w:rPr>
                <w:rFonts w:cs="Arial"/>
                <w:color w:val="000000" w:themeColor="text1"/>
                <w:szCs w:val="24"/>
              </w:rPr>
              <w:t>Buscar a equalização</w:t>
            </w:r>
            <w:r w:rsidRPr="00A31F66">
              <w:rPr>
                <w:rFonts w:cs="Arial"/>
                <w:color w:val="000000" w:themeColor="text1"/>
                <w:szCs w:val="24"/>
              </w:rPr>
              <w:t xml:space="preserve"> </w:t>
            </w:r>
            <w:r>
              <w:rPr>
                <w:rFonts w:cs="Arial"/>
                <w:color w:val="000000" w:themeColor="text1"/>
                <w:szCs w:val="24"/>
              </w:rPr>
              <w:t xml:space="preserve">e/ou consistência </w:t>
            </w:r>
            <w:r w:rsidRPr="00A31F66">
              <w:rPr>
                <w:rFonts w:cs="Arial"/>
                <w:color w:val="000000" w:themeColor="text1"/>
                <w:szCs w:val="24"/>
              </w:rPr>
              <w:t>com o Índice utilizado nos contratos anteriores, de forma a evitar duplicação de controles e gestão interna, tanto das Operadores quanto da ANP.</w:t>
            </w:r>
          </w:p>
        </w:tc>
      </w:tr>
      <w:tr w:rsidR="001336CE" w:rsidRPr="00170FDC" w14:paraId="67D2E149" w14:textId="77777777" w:rsidTr="0003097F">
        <w:trPr>
          <w:trHeight w:val="2268"/>
        </w:trPr>
        <w:tc>
          <w:tcPr>
            <w:tcW w:w="553" w:type="pct"/>
            <w:vAlign w:val="center"/>
          </w:tcPr>
          <w:p w14:paraId="3832AC4A" w14:textId="6491D076" w:rsidR="001336CE" w:rsidRPr="0061637B" w:rsidRDefault="001336CE" w:rsidP="001336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B0858B8" w14:textId="48F73AA6" w:rsidR="001336CE" w:rsidRPr="00AA3B7A" w:rsidRDefault="001336CE" w:rsidP="001336CE">
            <w:pPr>
              <w:pStyle w:val="Legenda"/>
              <w:jc w:val="center"/>
              <w:rPr>
                <w:rFonts w:cs="Arial"/>
                <w:color w:val="000000" w:themeColor="text1"/>
                <w:sz w:val="22"/>
                <w:szCs w:val="22"/>
              </w:rPr>
            </w:pPr>
            <w:r w:rsidRPr="00AA3B7A">
              <w:rPr>
                <w:rFonts w:cs="Arial"/>
                <w:color w:val="000000" w:themeColor="text1"/>
                <w:sz w:val="22"/>
                <w:szCs w:val="22"/>
              </w:rPr>
              <w:t>Alteração</w:t>
            </w:r>
          </w:p>
        </w:tc>
        <w:tc>
          <w:tcPr>
            <w:tcW w:w="494" w:type="pct"/>
            <w:vAlign w:val="center"/>
          </w:tcPr>
          <w:p w14:paraId="5A404968" w14:textId="54026698" w:rsidR="001336CE" w:rsidRPr="008E44C8" w:rsidRDefault="001336CE" w:rsidP="00183142">
            <w:pPr>
              <w:pStyle w:val="Legenda"/>
              <w:jc w:val="center"/>
              <w:rPr>
                <w:rFonts w:cs="Arial"/>
                <w:color w:val="000000" w:themeColor="text1"/>
                <w:sz w:val="22"/>
                <w:szCs w:val="22"/>
              </w:rPr>
            </w:pPr>
            <w:r w:rsidRPr="008E44C8">
              <w:rPr>
                <w:rFonts w:cs="Arial"/>
                <w:color w:val="000000" w:themeColor="text1"/>
                <w:sz w:val="22"/>
                <w:szCs w:val="22"/>
              </w:rPr>
              <w:t>2</w:t>
            </w:r>
            <w:r>
              <w:rPr>
                <w:rFonts w:cs="Arial"/>
                <w:color w:val="000000" w:themeColor="text1"/>
                <w:sz w:val="22"/>
                <w:szCs w:val="22"/>
              </w:rPr>
              <w:t>1</w:t>
            </w:r>
            <w:r w:rsidRPr="008E44C8">
              <w:rPr>
                <w:rFonts w:cs="Arial"/>
                <w:color w:val="000000" w:themeColor="text1"/>
                <w:sz w:val="22"/>
                <w:szCs w:val="22"/>
              </w:rPr>
              <w:t>.2</w:t>
            </w:r>
            <w:r>
              <w:rPr>
                <w:rFonts w:cs="Arial"/>
                <w:color w:val="000000" w:themeColor="text1"/>
                <w:sz w:val="22"/>
                <w:szCs w:val="22"/>
              </w:rPr>
              <w:t>, alínea “e”</w:t>
            </w:r>
          </w:p>
        </w:tc>
        <w:tc>
          <w:tcPr>
            <w:tcW w:w="1386" w:type="pct"/>
            <w:vAlign w:val="center"/>
          </w:tcPr>
          <w:p w14:paraId="6F4D0E51" w14:textId="44A944C8" w:rsidR="001336CE" w:rsidRPr="008E44C8" w:rsidRDefault="001336CE" w:rsidP="00183142">
            <w:pPr>
              <w:pStyle w:val="Legenda"/>
              <w:jc w:val="both"/>
              <w:rPr>
                <w:rFonts w:cs="Arial"/>
                <w:sz w:val="22"/>
                <w:szCs w:val="22"/>
              </w:rPr>
            </w:pPr>
            <w:r w:rsidRPr="00345793">
              <w:t>re</w:t>
            </w:r>
            <w:r>
              <w:t>cuperar áreas degradadas, em conformidade com a solução técnica exigida pelo órgão ambiental competente;</w:t>
            </w:r>
          </w:p>
        </w:tc>
        <w:tc>
          <w:tcPr>
            <w:tcW w:w="2126" w:type="pct"/>
            <w:vAlign w:val="center"/>
          </w:tcPr>
          <w:p w14:paraId="7A2B3D12" w14:textId="19433F3A" w:rsidR="001336CE" w:rsidRDefault="001336CE" w:rsidP="00E061A4">
            <w:pPr>
              <w:pStyle w:val="Legenda"/>
              <w:jc w:val="both"/>
              <w:rPr>
                <w:rFonts w:cs="Arial"/>
                <w:sz w:val="22"/>
                <w:szCs w:val="22"/>
              </w:rPr>
            </w:pPr>
            <w:r>
              <w:rPr>
                <w:rFonts w:cs="Arial"/>
                <w:sz w:val="22"/>
                <w:szCs w:val="22"/>
              </w:rPr>
              <w:t xml:space="preserve">O IBP solicita o retorno da redação original, na qual restava clara a competência do órgão ambiental para determinar tecnicamente a forma de recuperação de áreas degradadas. </w:t>
            </w:r>
          </w:p>
        </w:tc>
      </w:tr>
      <w:tr w:rsidR="001336CE" w:rsidRPr="00170FDC" w14:paraId="5093B5D6" w14:textId="77777777" w:rsidTr="0003097F">
        <w:trPr>
          <w:trHeight w:val="2268"/>
        </w:trPr>
        <w:tc>
          <w:tcPr>
            <w:tcW w:w="553" w:type="pct"/>
            <w:vAlign w:val="center"/>
          </w:tcPr>
          <w:p w14:paraId="28C809B2" w14:textId="71F5B2E4" w:rsidR="001336CE" w:rsidRPr="0061637B" w:rsidRDefault="001336CE" w:rsidP="001336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D28AAC3" w14:textId="79DCBF00" w:rsidR="001336CE" w:rsidRPr="00AA3B7A" w:rsidRDefault="001336CE" w:rsidP="001336CE">
            <w:pPr>
              <w:pStyle w:val="Legenda"/>
              <w:jc w:val="center"/>
              <w:rPr>
                <w:rFonts w:cs="Arial"/>
                <w:color w:val="000000" w:themeColor="text1"/>
                <w:sz w:val="22"/>
                <w:szCs w:val="22"/>
              </w:rPr>
            </w:pPr>
            <w:r w:rsidRPr="00AA3B7A">
              <w:rPr>
                <w:rFonts w:cs="Arial"/>
                <w:color w:val="000000" w:themeColor="text1"/>
                <w:sz w:val="22"/>
                <w:szCs w:val="22"/>
              </w:rPr>
              <w:t>Alteração</w:t>
            </w:r>
          </w:p>
        </w:tc>
        <w:tc>
          <w:tcPr>
            <w:tcW w:w="494" w:type="pct"/>
            <w:vAlign w:val="center"/>
          </w:tcPr>
          <w:p w14:paraId="3C2BBE0D" w14:textId="3183F1FF" w:rsidR="001336CE" w:rsidRPr="008E44C8" w:rsidRDefault="001336CE" w:rsidP="00183142">
            <w:pPr>
              <w:pStyle w:val="Legenda"/>
              <w:jc w:val="center"/>
              <w:rPr>
                <w:rFonts w:cs="Arial"/>
                <w:color w:val="000000" w:themeColor="text1"/>
                <w:sz w:val="22"/>
                <w:szCs w:val="22"/>
              </w:rPr>
            </w:pPr>
            <w:r w:rsidRPr="008E44C8">
              <w:rPr>
                <w:rFonts w:cs="Arial"/>
                <w:color w:val="000000" w:themeColor="text1"/>
                <w:sz w:val="22"/>
                <w:szCs w:val="22"/>
              </w:rPr>
              <w:t>2</w:t>
            </w:r>
            <w:r>
              <w:rPr>
                <w:rFonts w:cs="Arial"/>
                <w:color w:val="000000" w:themeColor="text1"/>
                <w:sz w:val="22"/>
                <w:szCs w:val="22"/>
              </w:rPr>
              <w:t>1</w:t>
            </w:r>
            <w:r w:rsidRPr="008E44C8">
              <w:rPr>
                <w:rFonts w:cs="Arial"/>
                <w:color w:val="000000" w:themeColor="text1"/>
                <w:sz w:val="22"/>
                <w:szCs w:val="22"/>
              </w:rPr>
              <w:t>.</w:t>
            </w:r>
            <w:r>
              <w:rPr>
                <w:rFonts w:cs="Arial"/>
                <w:color w:val="000000" w:themeColor="text1"/>
                <w:sz w:val="22"/>
                <w:szCs w:val="22"/>
              </w:rPr>
              <w:t>4</w:t>
            </w:r>
          </w:p>
        </w:tc>
        <w:tc>
          <w:tcPr>
            <w:tcW w:w="1386" w:type="pct"/>
            <w:vAlign w:val="center"/>
          </w:tcPr>
          <w:p w14:paraId="7526CFF0" w14:textId="1788E800" w:rsidR="001336CE" w:rsidRPr="008E44C8" w:rsidRDefault="001336CE" w:rsidP="00183142">
            <w:pPr>
              <w:pStyle w:val="Legenda"/>
              <w:jc w:val="both"/>
              <w:rPr>
                <w:rFonts w:cs="Arial"/>
                <w:sz w:val="22"/>
                <w:szCs w:val="22"/>
              </w:rPr>
            </w:pPr>
            <w:r w:rsidRPr="00345793">
              <w:t xml:space="preserve">Caso haja processo de licenciamento ambiental em que o órgão competente julgue necessária a realização de </w:t>
            </w:r>
            <w:r>
              <w:t>a</w:t>
            </w:r>
            <w:r w:rsidRPr="00345793">
              <w:t xml:space="preserve">udiência </w:t>
            </w:r>
            <w:r>
              <w:t>p</w:t>
            </w:r>
            <w:r w:rsidRPr="00345793">
              <w:t xml:space="preserve">ública, o Concessionário deverá enviar à ANP cópia dos estudos elaborados visando à obtenção das licenças no mínimo </w:t>
            </w:r>
            <w:r>
              <w:t>1</w:t>
            </w:r>
            <w:r w:rsidRPr="00345793">
              <w:t>0</w:t>
            </w:r>
            <w:r>
              <w:t xml:space="preserve"> (dez)</w:t>
            </w:r>
            <w:r w:rsidRPr="00345793">
              <w:t xml:space="preserve"> dias úteis antes da realização da </w:t>
            </w:r>
            <w:r>
              <w:t>a</w:t>
            </w:r>
            <w:r w:rsidRPr="00345793">
              <w:t>udiência.</w:t>
            </w:r>
          </w:p>
        </w:tc>
        <w:tc>
          <w:tcPr>
            <w:tcW w:w="2126" w:type="pct"/>
            <w:vAlign w:val="center"/>
          </w:tcPr>
          <w:p w14:paraId="6D041482" w14:textId="01D063C7" w:rsidR="001336CE" w:rsidRDefault="002F2DBD" w:rsidP="00E061A4">
            <w:pPr>
              <w:pStyle w:val="Legenda"/>
              <w:jc w:val="both"/>
              <w:rPr>
                <w:rFonts w:cs="Arial"/>
                <w:sz w:val="22"/>
                <w:szCs w:val="22"/>
              </w:rPr>
            </w:pPr>
            <w:r>
              <w:rPr>
                <w:rFonts w:cs="Arial"/>
                <w:sz w:val="22"/>
                <w:szCs w:val="22"/>
              </w:rPr>
              <w:t>O IBP sugere o retorno do prazo anteriormente  previsto de 10 dias úteis antes da realização da  Audiência Pública, uma vez que 30 dias úteis seria muito tempo de antecedência onerando não apenas o concessionário, mas também comprometendo a atualidade dos estudos</w:t>
            </w:r>
          </w:p>
        </w:tc>
      </w:tr>
      <w:tr w:rsidR="001336CE" w:rsidRPr="00170FDC" w14:paraId="6F3800DF" w14:textId="77777777" w:rsidTr="0003097F">
        <w:trPr>
          <w:trHeight w:val="2268"/>
        </w:trPr>
        <w:tc>
          <w:tcPr>
            <w:tcW w:w="553" w:type="pct"/>
            <w:vAlign w:val="center"/>
          </w:tcPr>
          <w:p w14:paraId="01B20EDD" w14:textId="77777777" w:rsidR="001336CE" w:rsidRPr="00170FDC" w:rsidRDefault="001336CE" w:rsidP="001336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6F0E298" w14:textId="77777777" w:rsidR="001336CE" w:rsidRPr="006E166E" w:rsidRDefault="001336CE" w:rsidP="001336CE">
            <w:pPr>
              <w:pStyle w:val="Legenda"/>
              <w:jc w:val="center"/>
              <w:rPr>
                <w:rFonts w:cs="Arial"/>
                <w:color w:val="000000" w:themeColor="text1"/>
                <w:sz w:val="22"/>
                <w:szCs w:val="22"/>
              </w:rPr>
            </w:pPr>
            <w:r w:rsidRPr="00AA3B7A">
              <w:rPr>
                <w:rFonts w:cs="Arial"/>
                <w:color w:val="000000" w:themeColor="text1"/>
                <w:sz w:val="22"/>
                <w:szCs w:val="22"/>
              </w:rPr>
              <w:t>Alteração</w:t>
            </w:r>
          </w:p>
        </w:tc>
        <w:tc>
          <w:tcPr>
            <w:tcW w:w="494" w:type="pct"/>
            <w:vAlign w:val="center"/>
          </w:tcPr>
          <w:p w14:paraId="02319E71" w14:textId="77777777" w:rsidR="001336CE" w:rsidRPr="008E44C8" w:rsidRDefault="001336CE" w:rsidP="00183142">
            <w:pPr>
              <w:pStyle w:val="Legenda"/>
              <w:jc w:val="center"/>
              <w:rPr>
                <w:rFonts w:cs="Arial"/>
                <w:color w:val="000000" w:themeColor="text1"/>
                <w:sz w:val="22"/>
                <w:szCs w:val="22"/>
              </w:rPr>
            </w:pPr>
            <w:r w:rsidRPr="008E44C8">
              <w:rPr>
                <w:rFonts w:cs="Arial"/>
                <w:color w:val="000000" w:themeColor="text1"/>
                <w:sz w:val="22"/>
                <w:szCs w:val="22"/>
              </w:rPr>
              <w:t>22.2</w:t>
            </w:r>
          </w:p>
        </w:tc>
        <w:tc>
          <w:tcPr>
            <w:tcW w:w="1386" w:type="pct"/>
            <w:vAlign w:val="center"/>
          </w:tcPr>
          <w:p w14:paraId="44980887" w14:textId="77777777" w:rsidR="001336CE" w:rsidRPr="00170FDC" w:rsidRDefault="001336CE" w:rsidP="00183142">
            <w:pPr>
              <w:pStyle w:val="Legenda"/>
              <w:jc w:val="both"/>
              <w:rPr>
                <w:rFonts w:cs="Arial"/>
                <w:color w:val="000000" w:themeColor="text1"/>
                <w:sz w:val="22"/>
                <w:szCs w:val="22"/>
              </w:rPr>
            </w:pPr>
            <w:r w:rsidRPr="008E44C8">
              <w:rPr>
                <w:rFonts w:cs="Arial"/>
                <w:sz w:val="22"/>
                <w:szCs w:val="22"/>
              </w:rPr>
              <w:t>A exclusivo critério da ANP e desde que por esta previamente autorizado, o auto seguro poderá ser admitido. A ANP deverá conferir tratamento isonômico a Concessionários que possuam o mesmo grau de qualificação técnica e financeira, nos termos do Edital de Licitações correspondente.</w:t>
            </w:r>
          </w:p>
        </w:tc>
        <w:tc>
          <w:tcPr>
            <w:tcW w:w="2126" w:type="pct"/>
            <w:vAlign w:val="center"/>
          </w:tcPr>
          <w:p w14:paraId="7BEBC763" w14:textId="77777777" w:rsidR="006F1B82" w:rsidRDefault="006F1B82" w:rsidP="00E061A4">
            <w:pPr>
              <w:pStyle w:val="Legenda"/>
              <w:jc w:val="both"/>
              <w:rPr>
                <w:rFonts w:cs="Arial"/>
                <w:sz w:val="22"/>
                <w:szCs w:val="22"/>
              </w:rPr>
            </w:pPr>
          </w:p>
          <w:p w14:paraId="1F4D2657" w14:textId="577BC471" w:rsidR="006F1B82" w:rsidRDefault="006F1B82" w:rsidP="00E061A4">
            <w:pPr>
              <w:pStyle w:val="Legenda"/>
              <w:jc w:val="both"/>
              <w:rPr>
                <w:rFonts w:cs="Arial"/>
                <w:sz w:val="22"/>
                <w:szCs w:val="22"/>
              </w:rPr>
            </w:pPr>
            <w:r>
              <w:rPr>
                <w:rFonts w:cs="Arial"/>
                <w:sz w:val="22"/>
                <w:szCs w:val="22"/>
              </w:rPr>
              <w:t>O Edital de Licitações traz regras claras e objetivas para aferir a qualificação técnica e financeira</w:t>
            </w:r>
            <w:r w:rsidR="006B01A7">
              <w:rPr>
                <w:rFonts w:cs="Arial"/>
                <w:sz w:val="22"/>
                <w:szCs w:val="22"/>
              </w:rPr>
              <w:t xml:space="preserve"> - cuja manutenção inclusive é exigida ao longo de toda a vigência da concessão</w:t>
            </w:r>
            <w:r w:rsidR="000F4966">
              <w:rPr>
                <w:rFonts w:cs="Arial"/>
                <w:sz w:val="22"/>
                <w:szCs w:val="22"/>
              </w:rPr>
              <w:t>.</w:t>
            </w:r>
            <w:r w:rsidR="006B01A7">
              <w:rPr>
                <w:rFonts w:cs="Arial"/>
                <w:sz w:val="22"/>
                <w:szCs w:val="22"/>
              </w:rPr>
              <w:t xml:space="preserve"> </w:t>
            </w:r>
            <w:r w:rsidR="002C31F2">
              <w:rPr>
                <w:rFonts w:cs="Arial"/>
                <w:sz w:val="22"/>
                <w:szCs w:val="22"/>
              </w:rPr>
              <w:t xml:space="preserve">Dessa forma, entendemos que tal critério </w:t>
            </w:r>
            <w:r w:rsidR="000F4966">
              <w:rPr>
                <w:rFonts w:cs="Arial"/>
                <w:sz w:val="22"/>
                <w:szCs w:val="22"/>
              </w:rPr>
              <w:t xml:space="preserve">objetivo </w:t>
            </w:r>
            <w:r w:rsidR="002C31F2">
              <w:rPr>
                <w:rFonts w:cs="Arial"/>
                <w:sz w:val="22"/>
                <w:szCs w:val="22"/>
              </w:rPr>
              <w:t>também seria adequado para aferição da possibilidade do auto-seguro.</w:t>
            </w:r>
          </w:p>
          <w:p w14:paraId="053CC359" w14:textId="77777777" w:rsidR="006F1B82" w:rsidRPr="006F1B82" w:rsidRDefault="006F1B82" w:rsidP="00E061A4">
            <w:pPr>
              <w:jc w:val="both"/>
            </w:pPr>
          </w:p>
          <w:p w14:paraId="68D8DCC2" w14:textId="257A45E8" w:rsidR="001336CE" w:rsidRDefault="001336CE" w:rsidP="00E061A4">
            <w:pPr>
              <w:pStyle w:val="Legenda"/>
              <w:jc w:val="both"/>
              <w:rPr>
                <w:rFonts w:cs="Arial"/>
                <w:sz w:val="22"/>
                <w:szCs w:val="22"/>
              </w:rPr>
            </w:pPr>
            <w:r w:rsidRPr="00170FDC">
              <w:rPr>
                <w:rFonts w:cs="Arial"/>
                <w:sz w:val="22"/>
                <w:szCs w:val="22"/>
              </w:rPr>
              <w:t xml:space="preserve">Concessionários com as mesmas qualificações </w:t>
            </w:r>
            <w:r w:rsidR="000F4966">
              <w:rPr>
                <w:rFonts w:cs="Arial"/>
                <w:sz w:val="22"/>
                <w:szCs w:val="22"/>
              </w:rPr>
              <w:t xml:space="preserve">devem </w:t>
            </w:r>
            <w:r w:rsidRPr="00170FDC">
              <w:rPr>
                <w:rFonts w:cs="Arial"/>
                <w:sz w:val="22"/>
                <w:szCs w:val="22"/>
              </w:rPr>
              <w:t>est</w:t>
            </w:r>
            <w:r w:rsidR="000F4966">
              <w:rPr>
                <w:rFonts w:cs="Arial"/>
                <w:sz w:val="22"/>
                <w:szCs w:val="22"/>
              </w:rPr>
              <w:t>ar</w:t>
            </w:r>
            <w:r w:rsidRPr="00170FDC">
              <w:rPr>
                <w:rFonts w:cs="Arial"/>
                <w:sz w:val="22"/>
                <w:szCs w:val="22"/>
              </w:rPr>
              <w:t xml:space="preserve"> sujeitos às mesmas exigências quanto à possibilidade de apresentar auto seguro.</w:t>
            </w:r>
          </w:p>
          <w:p w14:paraId="178BF4B8" w14:textId="77777777" w:rsidR="00D45750" w:rsidRPr="00D45750" w:rsidRDefault="00D45750" w:rsidP="00E061A4">
            <w:pPr>
              <w:jc w:val="both"/>
            </w:pPr>
          </w:p>
        </w:tc>
      </w:tr>
      <w:tr w:rsidR="001336CE" w:rsidRPr="00170FDC" w14:paraId="0FAA48E5" w14:textId="77777777" w:rsidTr="0003097F">
        <w:trPr>
          <w:trHeight w:val="2268"/>
        </w:trPr>
        <w:tc>
          <w:tcPr>
            <w:tcW w:w="553" w:type="pct"/>
            <w:vAlign w:val="center"/>
          </w:tcPr>
          <w:p w14:paraId="52865688" w14:textId="77777777" w:rsidR="001336CE" w:rsidRPr="00170FDC" w:rsidRDefault="001336CE" w:rsidP="001336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6B2926D" w14:textId="77777777" w:rsidR="001336CE" w:rsidRPr="006E166E" w:rsidRDefault="001336CE" w:rsidP="001336CE">
            <w:pPr>
              <w:pStyle w:val="Legenda"/>
              <w:jc w:val="center"/>
              <w:rPr>
                <w:rFonts w:cs="Arial"/>
                <w:color w:val="000000" w:themeColor="text1"/>
                <w:sz w:val="22"/>
                <w:szCs w:val="22"/>
              </w:rPr>
            </w:pPr>
            <w:r w:rsidRPr="00AA3B7A">
              <w:rPr>
                <w:rFonts w:cs="Arial"/>
                <w:color w:val="000000" w:themeColor="text1"/>
                <w:sz w:val="22"/>
                <w:szCs w:val="22"/>
              </w:rPr>
              <w:t>Alteração</w:t>
            </w:r>
          </w:p>
        </w:tc>
        <w:tc>
          <w:tcPr>
            <w:tcW w:w="494" w:type="pct"/>
            <w:vAlign w:val="center"/>
          </w:tcPr>
          <w:p w14:paraId="0BA80C1C" w14:textId="77777777" w:rsidR="001336CE" w:rsidRPr="008E44C8" w:rsidRDefault="001336CE" w:rsidP="00183142">
            <w:pPr>
              <w:pStyle w:val="Legenda"/>
              <w:jc w:val="center"/>
              <w:rPr>
                <w:rFonts w:cs="Arial"/>
                <w:color w:val="000000" w:themeColor="text1"/>
                <w:sz w:val="22"/>
                <w:szCs w:val="22"/>
              </w:rPr>
            </w:pPr>
            <w:r w:rsidRPr="008E44C8">
              <w:rPr>
                <w:rFonts w:cs="Arial"/>
                <w:color w:val="000000" w:themeColor="text1"/>
                <w:sz w:val="22"/>
                <w:szCs w:val="22"/>
              </w:rPr>
              <w:t>22.4</w:t>
            </w:r>
          </w:p>
        </w:tc>
        <w:tc>
          <w:tcPr>
            <w:tcW w:w="1386" w:type="pct"/>
            <w:vAlign w:val="center"/>
          </w:tcPr>
          <w:p w14:paraId="1D7915F6" w14:textId="622D597A" w:rsidR="001336CE" w:rsidRPr="00183142" w:rsidRDefault="001336CE" w:rsidP="00183142">
            <w:pPr>
              <w:pStyle w:val="Contrato-Clausula-Nvel2-1dezena"/>
              <w:numPr>
                <w:ilvl w:val="0"/>
                <w:numId w:val="0"/>
              </w:numPr>
              <w:rPr>
                <w:rFonts w:cs="Arial"/>
                <w:szCs w:val="22"/>
              </w:rPr>
            </w:pPr>
            <w:r>
              <w:rPr>
                <w:rFonts w:cs="Arial"/>
                <w:szCs w:val="22"/>
              </w:rPr>
              <w:t xml:space="preserve">O seguro por meio de </w:t>
            </w:r>
            <w:r w:rsidRPr="00170FDC">
              <w:rPr>
                <w:rFonts w:cs="Arial"/>
                <w:szCs w:val="22"/>
              </w:rPr>
              <w:t>Afiliadas é admitido desde que p</w:t>
            </w:r>
            <w:r w:rsidR="00183142">
              <w:rPr>
                <w:rFonts w:cs="Arial"/>
                <w:szCs w:val="22"/>
              </w:rPr>
              <w:t>reviamente autorizado pela ANP.</w:t>
            </w:r>
          </w:p>
        </w:tc>
        <w:tc>
          <w:tcPr>
            <w:tcW w:w="2126" w:type="pct"/>
            <w:vAlign w:val="center"/>
          </w:tcPr>
          <w:p w14:paraId="6299EB7F" w14:textId="77777777" w:rsidR="00D45750" w:rsidRDefault="00D45750" w:rsidP="00E061A4">
            <w:pPr>
              <w:pStyle w:val="Legenda"/>
              <w:jc w:val="both"/>
              <w:rPr>
                <w:rFonts w:cs="Arial"/>
                <w:sz w:val="22"/>
                <w:szCs w:val="22"/>
              </w:rPr>
            </w:pPr>
          </w:p>
          <w:p w14:paraId="45EC4BFD" w14:textId="4C8C9F8C" w:rsidR="00D45750" w:rsidRDefault="002C31F2" w:rsidP="00E061A4">
            <w:pPr>
              <w:pStyle w:val="Legenda"/>
              <w:jc w:val="both"/>
              <w:rPr>
                <w:rFonts w:cs="Arial"/>
                <w:sz w:val="22"/>
                <w:szCs w:val="22"/>
              </w:rPr>
            </w:pPr>
            <w:r>
              <w:rPr>
                <w:rFonts w:cs="Arial"/>
                <w:sz w:val="22"/>
                <w:szCs w:val="22"/>
              </w:rPr>
              <w:t>Reportamo-nos ao comentário da cláusula 22.3 acima, uma vez que o Edital de Licitações também prevê as regras</w:t>
            </w:r>
            <w:r w:rsidR="000F4966">
              <w:rPr>
                <w:rFonts w:cs="Arial"/>
                <w:sz w:val="22"/>
                <w:szCs w:val="22"/>
              </w:rPr>
              <w:t xml:space="preserve"> para aferir a qualificação técnica e financeira das afiliadas</w:t>
            </w:r>
            <w:r>
              <w:rPr>
                <w:rFonts w:cs="Arial"/>
                <w:sz w:val="22"/>
                <w:szCs w:val="22"/>
              </w:rPr>
              <w:t>.</w:t>
            </w:r>
          </w:p>
          <w:p w14:paraId="5740F117" w14:textId="77777777" w:rsidR="00D45750" w:rsidRPr="00D45750" w:rsidRDefault="00D45750" w:rsidP="00E061A4">
            <w:pPr>
              <w:jc w:val="both"/>
            </w:pPr>
          </w:p>
          <w:p w14:paraId="6A1270B9" w14:textId="77777777" w:rsidR="0005201C" w:rsidRDefault="0005201C" w:rsidP="00E061A4">
            <w:pPr>
              <w:pStyle w:val="Legenda"/>
              <w:jc w:val="both"/>
              <w:rPr>
                <w:rFonts w:cs="Arial"/>
                <w:sz w:val="22"/>
                <w:szCs w:val="22"/>
              </w:rPr>
            </w:pPr>
            <w:r>
              <w:rPr>
                <w:rFonts w:cs="Arial"/>
                <w:sz w:val="22"/>
                <w:szCs w:val="22"/>
              </w:rPr>
              <w:t>O seguro por meio de afiliadas deve considerar a sólida capacidade financeira</w:t>
            </w:r>
            <w:r w:rsidR="001336CE" w:rsidRPr="00170FDC">
              <w:rPr>
                <w:rFonts w:cs="Arial"/>
                <w:sz w:val="22"/>
                <w:szCs w:val="22"/>
              </w:rPr>
              <w:t xml:space="preserve"> e operaciona</w:t>
            </w:r>
            <w:r>
              <w:rPr>
                <w:rFonts w:cs="Arial"/>
                <w:sz w:val="22"/>
                <w:szCs w:val="22"/>
              </w:rPr>
              <w:t>l</w:t>
            </w:r>
            <w:r w:rsidR="001336CE" w:rsidRPr="00170FDC">
              <w:rPr>
                <w:rFonts w:cs="Arial"/>
                <w:sz w:val="22"/>
                <w:szCs w:val="22"/>
              </w:rPr>
              <w:t xml:space="preserve"> </w:t>
            </w:r>
            <w:r>
              <w:rPr>
                <w:rFonts w:cs="Arial"/>
                <w:sz w:val="22"/>
                <w:szCs w:val="22"/>
              </w:rPr>
              <w:t>dessas empresas</w:t>
            </w:r>
            <w:r w:rsidR="001336CE" w:rsidRPr="00170FDC">
              <w:rPr>
                <w:rFonts w:cs="Arial"/>
                <w:sz w:val="22"/>
                <w:szCs w:val="22"/>
              </w:rPr>
              <w:t xml:space="preserve">. Assim, sugere-se excluir a necessidade de autorização prévia, pela SUSEP para o fornecimento de seguros por essas afiliadas, sempre preservando o poder discricionário e regulatório da ANP. </w:t>
            </w:r>
          </w:p>
          <w:p w14:paraId="767CB5DC" w14:textId="77777777" w:rsidR="0005201C" w:rsidRDefault="0005201C" w:rsidP="00E061A4">
            <w:pPr>
              <w:pStyle w:val="Legenda"/>
              <w:jc w:val="both"/>
              <w:rPr>
                <w:rFonts w:cs="Arial"/>
                <w:sz w:val="22"/>
                <w:szCs w:val="22"/>
              </w:rPr>
            </w:pPr>
          </w:p>
          <w:p w14:paraId="494C501D" w14:textId="607B551A" w:rsidR="001336CE" w:rsidRPr="00170FDC" w:rsidRDefault="001336CE" w:rsidP="00E061A4">
            <w:pPr>
              <w:pStyle w:val="Legenda"/>
              <w:jc w:val="both"/>
              <w:rPr>
                <w:rFonts w:cs="Arial"/>
                <w:sz w:val="22"/>
                <w:szCs w:val="22"/>
              </w:rPr>
            </w:pPr>
            <w:r w:rsidRPr="00170FDC">
              <w:rPr>
                <w:rFonts w:cs="Arial"/>
                <w:sz w:val="22"/>
                <w:szCs w:val="22"/>
              </w:rPr>
              <w:t>Além disso, há situações nas quais empresas transnacionais podem vir a contratar apólices de seguros fora do Brasil, incluindo suas afiliadas como beneficiárias em tais produtos de seguro.</w:t>
            </w:r>
          </w:p>
        </w:tc>
      </w:tr>
      <w:tr w:rsidR="001336CE" w:rsidRPr="00170FDC" w14:paraId="3988006E" w14:textId="77777777" w:rsidTr="009127E5">
        <w:trPr>
          <w:trHeight w:val="2268"/>
        </w:trPr>
        <w:tc>
          <w:tcPr>
            <w:tcW w:w="553" w:type="pct"/>
            <w:vAlign w:val="center"/>
          </w:tcPr>
          <w:p w14:paraId="1C43D786" w14:textId="77777777" w:rsidR="001336CE" w:rsidRPr="007733A9" w:rsidRDefault="001336CE" w:rsidP="001336CE">
            <w:pPr>
              <w:pStyle w:val="Legenda"/>
              <w:rPr>
                <w:rFonts w:cs="Arial"/>
                <w:color w:val="000000" w:themeColor="text1"/>
                <w:sz w:val="22"/>
                <w:szCs w:val="22"/>
              </w:rPr>
            </w:pPr>
            <w:r w:rsidRPr="007733A9">
              <w:rPr>
                <w:rFonts w:cs="Arial"/>
                <w:color w:val="000000" w:themeColor="text1"/>
                <w:sz w:val="22"/>
                <w:szCs w:val="22"/>
              </w:rPr>
              <w:t>Contrato</w:t>
            </w:r>
          </w:p>
        </w:tc>
        <w:tc>
          <w:tcPr>
            <w:tcW w:w="441" w:type="pct"/>
            <w:vAlign w:val="center"/>
          </w:tcPr>
          <w:p w14:paraId="71AFFB5B" w14:textId="488C85E3" w:rsidR="001336CE" w:rsidRPr="007733A9" w:rsidRDefault="001336CE" w:rsidP="001336CE">
            <w:pPr>
              <w:pStyle w:val="Legenda"/>
              <w:rPr>
                <w:rFonts w:cs="Arial"/>
                <w:sz w:val="22"/>
                <w:szCs w:val="22"/>
              </w:rPr>
            </w:pPr>
            <w:r w:rsidRPr="007733A9">
              <w:rPr>
                <w:sz w:val="22"/>
                <w:szCs w:val="22"/>
              </w:rPr>
              <w:t>Alteração</w:t>
            </w:r>
          </w:p>
        </w:tc>
        <w:tc>
          <w:tcPr>
            <w:tcW w:w="494" w:type="pct"/>
            <w:vAlign w:val="center"/>
          </w:tcPr>
          <w:p w14:paraId="074ABD6F" w14:textId="5EF4D361" w:rsidR="001336CE" w:rsidRPr="007733A9" w:rsidRDefault="001336CE" w:rsidP="00183142">
            <w:pPr>
              <w:pStyle w:val="Legenda"/>
              <w:jc w:val="center"/>
              <w:rPr>
                <w:rFonts w:cs="Arial"/>
                <w:sz w:val="22"/>
                <w:szCs w:val="22"/>
              </w:rPr>
            </w:pPr>
            <w:r w:rsidRPr="007733A9">
              <w:rPr>
                <w:sz w:val="22"/>
                <w:szCs w:val="22"/>
              </w:rPr>
              <w:t>24.1.1</w:t>
            </w:r>
          </w:p>
        </w:tc>
        <w:tc>
          <w:tcPr>
            <w:tcW w:w="1386" w:type="pct"/>
            <w:vAlign w:val="center"/>
          </w:tcPr>
          <w:p w14:paraId="59520A0A" w14:textId="172CFCF8" w:rsidR="001336CE" w:rsidRPr="007733A9" w:rsidRDefault="001336CE" w:rsidP="00183142">
            <w:pPr>
              <w:pStyle w:val="Contrato-Clausula-Nvel3-1dezena"/>
              <w:numPr>
                <w:ilvl w:val="0"/>
                <w:numId w:val="0"/>
              </w:numPr>
              <w:rPr>
                <w:szCs w:val="22"/>
              </w:rPr>
            </w:pPr>
            <w:r w:rsidRPr="007733A9">
              <w:rPr>
                <w:szCs w:val="22"/>
              </w:rPr>
              <w:t>O valor a que se refere este parágrafo é devido para cada Campo originado a partir da Área de Concessão.</w:t>
            </w:r>
          </w:p>
        </w:tc>
        <w:tc>
          <w:tcPr>
            <w:tcW w:w="2126" w:type="pct"/>
            <w:vAlign w:val="center"/>
          </w:tcPr>
          <w:p w14:paraId="3B57FCBF" w14:textId="08F12893" w:rsidR="001336CE" w:rsidRPr="007733A9" w:rsidRDefault="001336CE" w:rsidP="00E061A4">
            <w:pPr>
              <w:pStyle w:val="Legenda"/>
              <w:spacing w:before="120" w:after="120"/>
              <w:jc w:val="both"/>
              <w:rPr>
                <w:rFonts w:cs="Arial"/>
                <w:sz w:val="22"/>
                <w:szCs w:val="22"/>
              </w:rPr>
            </w:pPr>
            <w:r w:rsidRPr="007733A9">
              <w:rPr>
                <w:sz w:val="22"/>
                <w:szCs w:val="22"/>
              </w:rPr>
              <w:t>A partir do Bloco objeto do contrato de concessão, é possível que se origine mais de um Campo.</w:t>
            </w:r>
          </w:p>
        </w:tc>
      </w:tr>
      <w:tr w:rsidR="001336CE" w:rsidRPr="00170FDC" w14:paraId="7BD2429A" w14:textId="77777777" w:rsidTr="009127E5">
        <w:trPr>
          <w:trHeight w:val="1408"/>
        </w:trPr>
        <w:tc>
          <w:tcPr>
            <w:tcW w:w="553" w:type="pct"/>
            <w:vAlign w:val="center"/>
          </w:tcPr>
          <w:p w14:paraId="31855C05" w14:textId="77777777" w:rsidR="001336CE" w:rsidRPr="007733A9" w:rsidRDefault="001336CE" w:rsidP="001336CE">
            <w:pPr>
              <w:pStyle w:val="Legenda"/>
              <w:jc w:val="both"/>
              <w:rPr>
                <w:rFonts w:cs="Arial"/>
                <w:color w:val="000000" w:themeColor="text1"/>
                <w:sz w:val="22"/>
                <w:szCs w:val="22"/>
              </w:rPr>
            </w:pPr>
            <w:r w:rsidRPr="007733A9">
              <w:rPr>
                <w:rFonts w:cs="Arial"/>
                <w:color w:val="000000" w:themeColor="text1"/>
                <w:sz w:val="22"/>
                <w:szCs w:val="22"/>
              </w:rPr>
              <w:t>Contrato</w:t>
            </w:r>
          </w:p>
        </w:tc>
        <w:tc>
          <w:tcPr>
            <w:tcW w:w="441" w:type="pct"/>
            <w:vAlign w:val="center"/>
          </w:tcPr>
          <w:p w14:paraId="64280069" w14:textId="5FF09476" w:rsidR="001336CE" w:rsidRPr="007733A9" w:rsidRDefault="001336CE" w:rsidP="001336CE">
            <w:pPr>
              <w:pStyle w:val="Legenda"/>
              <w:jc w:val="both"/>
              <w:rPr>
                <w:rFonts w:cs="Arial"/>
                <w:color w:val="000000" w:themeColor="text1"/>
                <w:sz w:val="22"/>
                <w:szCs w:val="22"/>
              </w:rPr>
            </w:pPr>
            <w:r w:rsidRPr="007733A9">
              <w:rPr>
                <w:rFonts w:cs="Arial"/>
                <w:color w:val="000000" w:themeColor="text1"/>
                <w:sz w:val="22"/>
                <w:szCs w:val="22"/>
              </w:rPr>
              <w:t>Alteração</w:t>
            </w:r>
          </w:p>
        </w:tc>
        <w:tc>
          <w:tcPr>
            <w:tcW w:w="494" w:type="pct"/>
            <w:vAlign w:val="center"/>
          </w:tcPr>
          <w:p w14:paraId="6DA498C1" w14:textId="5E7A20AD" w:rsidR="001336CE" w:rsidRPr="007733A9" w:rsidRDefault="001336CE" w:rsidP="00183142">
            <w:pPr>
              <w:pStyle w:val="Legenda"/>
              <w:jc w:val="center"/>
              <w:rPr>
                <w:rFonts w:cs="Arial"/>
                <w:color w:val="000000" w:themeColor="text1"/>
                <w:sz w:val="22"/>
                <w:szCs w:val="22"/>
              </w:rPr>
            </w:pPr>
            <w:r w:rsidRPr="007733A9">
              <w:rPr>
                <w:rFonts w:cs="Arial"/>
                <w:sz w:val="22"/>
                <w:szCs w:val="22"/>
              </w:rPr>
              <w:t>24.1.2</w:t>
            </w:r>
          </w:p>
        </w:tc>
        <w:tc>
          <w:tcPr>
            <w:tcW w:w="1386" w:type="pct"/>
            <w:vAlign w:val="center"/>
          </w:tcPr>
          <w:p w14:paraId="31FAA9C4" w14:textId="0E448629" w:rsidR="001336CE" w:rsidRPr="007733A9" w:rsidRDefault="001336CE" w:rsidP="00183142">
            <w:pPr>
              <w:pStyle w:val="Legenda"/>
              <w:jc w:val="both"/>
              <w:rPr>
                <w:rFonts w:cs="Arial"/>
                <w:color w:val="000000" w:themeColor="text1"/>
                <w:sz w:val="22"/>
                <w:szCs w:val="22"/>
              </w:rPr>
            </w:pPr>
            <w:r w:rsidRPr="007733A9">
              <w:rPr>
                <w:rFonts w:cs="Arial"/>
                <w:color w:val="000000" w:themeColor="text1"/>
                <w:sz w:val="22"/>
                <w:szCs w:val="22"/>
              </w:rPr>
              <w:t xml:space="preserve">O Concessionário tem até o dia 30 de junho do ano seguinte ao ano calendário de apuração da receita bruta de produção para realizar </w:t>
            </w:r>
            <w:r w:rsidRPr="00183142">
              <w:rPr>
                <w:rFonts w:cs="Arial"/>
                <w:color w:val="000000" w:themeColor="text1"/>
                <w:sz w:val="22"/>
                <w:szCs w:val="22"/>
              </w:rPr>
              <w:t>ou contratar</w:t>
            </w:r>
            <w:r w:rsidRPr="007733A9">
              <w:rPr>
                <w:rFonts w:cs="Arial"/>
                <w:color w:val="000000" w:themeColor="text1"/>
                <w:sz w:val="22"/>
                <w:szCs w:val="22"/>
              </w:rPr>
              <w:t xml:space="preserve"> a aplicação desses recursos.</w:t>
            </w:r>
          </w:p>
        </w:tc>
        <w:tc>
          <w:tcPr>
            <w:tcW w:w="2126" w:type="pct"/>
            <w:vAlign w:val="center"/>
          </w:tcPr>
          <w:p w14:paraId="75DB894A" w14:textId="77777777" w:rsidR="001336CE" w:rsidRPr="007733A9" w:rsidRDefault="001336CE" w:rsidP="00E061A4">
            <w:pPr>
              <w:pStyle w:val="Legenda"/>
              <w:spacing w:before="120" w:after="120"/>
              <w:jc w:val="both"/>
              <w:rPr>
                <w:rFonts w:cs="Arial"/>
                <w:sz w:val="22"/>
                <w:szCs w:val="22"/>
              </w:rPr>
            </w:pPr>
            <w:r w:rsidRPr="007733A9">
              <w:rPr>
                <w:rFonts w:cs="Arial"/>
                <w:sz w:val="22"/>
                <w:szCs w:val="22"/>
              </w:rPr>
              <w:t>Considerando os prazos necessários para o desenvolvimento dos projetos de P&amp;D, e a boa prática de pagamentos por etapa executada, é necessário considerar contratações de maior prazo e, tendo em vista os compromissos financeiros assumidos, contabilizar o valor dos contratos como provisionamento das aplicações do período de cumprimento da obrigação.</w:t>
            </w:r>
          </w:p>
          <w:p w14:paraId="022ED725" w14:textId="77777777" w:rsidR="001336CE" w:rsidRPr="007733A9" w:rsidRDefault="001336CE" w:rsidP="00E061A4">
            <w:pPr>
              <w:jc w:val="both"/>
              <w:rPr>
                <w:sz w:val="22"/>
                <w:szCs w:val="22"/>
              </w:rPr>
            </w:pPr>
          </w:p>
          <w:p w14:paraId="5A005246" w14:textId="77777777" w:rsidR="001336CE" w:rsidRPr="007733A9" w:rsidRDefault="001336CE" w:rsidP="00E061A4">
            <w:pPr>
              <w:jc w:val="both"/>
              <w:rPr>
                <w:rFonts w:ascii="Arial" w:hAnsi="Arial" w:cs="Arial"/>
                <w:sz w:val="22"/>
                <w:szCs w:val="22"/>
              </w:rPr>
            </w:pPr>
            <w:r w:rsidRPr="007733A9">
              <w:rPr>
                <w:rFonts w:ascii="Arial" w:hAnsi="Arial" w:cs="Arial"/>
                <w:sz w:val="22"/>
                <w:szCs w:val="22"/>
              </w:rPr>
              <w:t xml:space="preserve">Cabe ressaltar que os contratos das Rodadas 11 e 12 já preveem a possibilidade de contratação. </w:t>
            </w:r>
          </w:p>
          <w:p w14:paraId="59612B3C" w14:textId="77777777" w:rsidR="001336CE" w:rsidRPr="007733A9" w:rsidRDefault="001336CE" w:rsidP="00E061A4">
            <w:pPr>
              <w:jc w:val="both"/>
              <w:rPr>
                <w:rFonts w:ascii="Arial" w:hAnsi="Arial" w:cs="Arial"/>
                <w:sz w:val="22"/>
                <w:szCs w:val="22"/>
              </w:rPr>
            </w:pPr>
          </w:p>
          <w:p w14:paraId="6D83FEC8" w14:textId="7FC48B8A" w:rsidR="001336CE" w:rsidRPr="007733A9" w:rsidRDefault="001336CE" w:rsidP="00E061A4">
            <w:pPr>
              <w:pStyle w:val="Legenda"/>
              <w:jc w:val="both"/>
              <w:rPr>
                <w:rFonts w:cs="Arial"/>
                <w:sz w:val="22"/>
                <w:szCs w:val="22"/>
              </w:rPr>
            </w:pPr>
            <w:r w:rsidRPr="007733A9">
              <w:rPr>
                <w:rFonts w:cs="Arial"/>
                <w:sz w:val="22"/>
                <w:szCs w:val="22"/>
              </w:rPr>
              <w:t>As contratações serão admitidas exclusivamente para aplicação da parcela externa da obrigação.</w:t>
            </w:r>
          </w:p>
        </w:tc>
      </w:tr>
      <w:tr w:rsidR="001336CE" w:rsidRPr="00170FDC" w14:paraId="0F32EA49" w14:textId="77777777" w:rsidTr="0003097F">
        <w:trPr>
          <w:trHeight w:val="2268"/>
        </w:trPr>
        <w:tc>
          <w:tcPr>
            <w:tcW w:w="553" w:type="pct"/>
            <w:vAlign w:val="center"/>
          </w:tcPr>
          <w:p w14:paraId="75CD472F" w14:textId="4EB72643" w:rsidR="001336CE" w:rsidRPr="007733A9" w:rsidRDefault="001336CE" w:rsidP="001336CE">
            <w:pPr>
              <w:pStyle w:val="Legenda"/>
              <w:rPr>
                <w:rFonts w:cs="Arial"/>
                <w:color w:val="000000" w:themeColor="text1"/>
                <w:sz w:val="22"/>
                <w:szCs w:val="22"/>
              </w:rPr>
            </w:pPr>
            <w:r w:rsidRPr="007733A9">
              <w:rPr>
                <w:rFonts w:cs="Arial"/>
                <w:color w:val="000000" w:themeColor="text1"/>
                <w:sz w:val="22"/>
                <w:szCs w:val="22"/>
              </w:rPr>
              <w:t>Contrato</w:t>
            </w:r>
          </w:p>
        </w:tc>
        <w:tc>
          <w:tcPr>
            <w:tcW w:w="441" w:type="pct"/>
            <w:vAlign w:val="center"/>
          </w:tcPr>
          <w:p w14:paraId="5F30C7BD" w14:textId="71D57D88" w:rsidR="001336CE" w:rsidRPr="007733A9" w:rsidRDefault="001336CE" w:rsidP="001336CE">
            <w:pPr>
              <w:pStyle w:val="Legenda"/>
              <w:rPr>
                <w:rFonts w:cs="Arial"/>
                <w:color w:val="000000" w:themeColor="text1"/>
                <w:sz w:val="22"/>
                <w:szCs w:val="22"/>
              </w:rPr>
            </w:pPr>
            <w:r w:rsidRPr="007733A9">
              <w:rPr>
                <w:rFonts w:cs="Arial"/>
                <w:color w:val="000000" w:themeColor="text1"/>
                <w:sz w:val="22"/>
                <w:szCs w:val="22"/>
              </w:rPr>
              <w:t>Inclusão</w:t>
            </w:r>
          </w:p>
        </w:tc>
        <w:tc>
          <w:tcPr>
            <w:tcW w:w="494" w:type="pct"/>
            <w:vAlign w:val="center"/>
          </w:tcPr>
          <w:p w14:paraId="6D6B8CA0" w14:textId="263DC31E" w:rsidR="001336CE" w:rsidRPr="007733A9" w:rsidRDefault="001336CE" w:rsidP="00183142">
            <w:pPr>
              <w:pStyle w:val="Legenda"/>
              <w:jc w:val="center"/>
              <w:rPr>
                <w:rFonts w:cs="Arial"/>
                <w:color w:val="000000" w:themeColor="text1"/>
                <w:sz w:val="22"/>
                <w:szCs w:val="22"/>
              </w:rPr>
            </w:pPr>
            <w:r w:rsidRPr="007733A9">
              <w:rPr>
                <w:rFonts w:cs="Arial"/>
                <w:sz w:val="22"/>
                <w:szCs w:val="22"/>
              </w:rPr>
              <w:t>24.1.2.1</w:t>
            </w:r>
          </w:p>
        </w:tc>
        <w:tc>
          <w:tcPr>
            <w:tcW w:w="1386" w:type="pct"/>
            <w:vAlign w:val="center"/>
          </w:tcPr>
          <w:p w14:paraId="51FED6B4" w14:textId="2A73215A" w:rsidR="001336CE" w:rsidRPr="007733A9" w:rsidRDefault="001336CE" w:rsidP="00183142">
            <w:pPr>
              <w:pStyle w:val="Legenda"/>
              <w:spacing w:before="120" w:after="120"/>
              <w:jc w:val="both"/>
              <w:rPr>
                <w:rFonts w:cs="Arial"/>
                <w:sz w:val="22"/>
                <w:szCs w:val="22"/>
              </w:rPr>
            </w:pPr>
            <w:r w:rsidRPr="007733A9">
              <w:rPr>
                <w:sz w:val="22"/>
                <w:szCs w:val="22"/>
              </w:rPr>
              <w:t>O Concessionário deverá fornecer à ANP relatório completo das Despesas Qualificadas como Pesquisa, Desenvolvimento e Inovação realizadas ou contratadas, nos prazos e formatos definidos na Legislação Aplicável.</w:t>
            </w:r>
          </w:p>
        </w:tc>
        <w:tc>
          <w:tcPr>
            <w:tcW w:w="2126" w:type="pct"/>
            <w:vAlign w:val="center"/>
          </w:tcPr>
          <w:p w14:paraId="387F858B" w14:textId="1DD3502A" w:rsidR="001336CE" w:rsidRPr="007733A9" w:rsidRDefault="001336CE" w:rsidP="00E061A4">
            <w:pPr>
              <w:pStyle w:val="Legenda"/>
              <w:jc w:val="both"/>
              <w:rPr>
                <w:rFonts w:cs="Arial"/>
                <w:color w:val="000000" w:themeColor="text1"/>
                <w:sz w:val="22"/>
                <w:szCs w:val="22"/>
              </w:rPr>
            </w:pPr>
            <w:r w:rsidRPr="007733A9">
              <w:rPr>
                <w:rFonts w:cs="Arial"/>
                <w:sz w:val="22"/>
                <w:szCs w:val="22"/>
              </w:rPr>
              <w:t>Justificativa apresentada no item anterior.</w:t>
            </w:r>
          </w:p>
        </w:tc>
      </w:tr>
      <w:tr w:rsidR="001336CE" w:rsidRPr="00170FDC" w14:paraId="03C111B9" w14:textId="77777777" w:rsidTr="0003097F">
        <w:trPr>
          <w:trHeight w:val="2268"/>
        </w:trPr>
        <w:tc>
          <w:tcPr>
            <w:tcW w:w="553" w:type="pct"/>
            <w:vAlign w:val="center"/>
          </w:tcPr>
          <w:p w14:paraId="7B54913C" w14:textId="3F4583C8" w:rsidR="001336CE" w:rsidRPr="007733A9" w:rsidRDefault="001336CE" w:rsidP="001336CE">
            <w:pPr>
              <w:pStyle w:val="Legenda"/>
              <w:rPr>
                <w:rFonts w:cs="Arial"/>
                <w:color w:val="000000" w:themeColor="text1"/>
                <w:sz w:val="22"/>
                <w:szCs w:val="22"/>
              </w:rPr>
            </w:pPr>
            <w:r w:rsidRPr="007733A9">
              <w:rPr>
                <w:rFonts w:cs="Arial"/>
                <w:color w:val="000000" w:themeColor="text1"/>
                <w:sz w:val="22"/>
                <w:szCs w:val="22"/>
              </w:rPr>
              <w:t>Contrato</w:t>
            </w:r>
          </w:p>
        </w:tc>
        <w:tc>
          <w:tcPr>
            <w:tcW w:w="441" w:type="pct"/>
            <w:vAlign w:val="center"/>
          </w:tcPr>
          <w:p w14:paraId="7654AF0B" w14:textId="47C78812" w:rsidR="001336CE" w:rsidRPr="007733A9" w:rsidRDefault="001336CE" w:rsidP="001336CE">
            <w:pPr>
              <w:pStyle w:val="Legenda"/>
              <w:rPr>
                <w:rFonts w:cs="Arial"/>
                <w:color w:val="000000" w:themeColor="text1"/>
                <w:sz w:val="22"/>
                <w:szCs w:val="22"/>
              </w:rPr>
            </w:pPr>
            <w:r w:rsidRPr="007733A9">
              <w:rPr>
                <w:rFonts w:cs="Arial"/>
                <w:color w:val="000000" w:themeColor="text1"/>
                <w:sz w:val="22"/>
                <w:szCs w:val="22"/>
              </w:rPr>
              <w:t>Inclusão</w:t>
            </w:r>
          </w:p>
        </w:tc>
        <w:tc>
          <w:tcPr>
            <w:tcW w:w="494" w:type="pct"/>
            <w:vAlign w:val="center"/>
          </w:tcPr>
          <w:p w14:paraId="29CC29C4" w14:textId="4CBBE671" w:rsidR="001336CE" w:rsidRPr="007733A9" w:rsidRDefault="001336CE" w:rsidP="00183142">
            <w:pPr>
              <w:pStyle w:val="Legenda"/>
              <w:jc w:val="center"/>
              <w:rPr>
                <w:rFonts w:cs="Arial"/>
                <w:color w:val="000000" w:themeColor="text1"/>
                <w:sz w:val="22"/>
                <w:szCs w:val="22"/>
              </w:rPr>
            </w:pPr>
            <w:r w:rsidRPr="007733A9">
              <w:rPr>
                <w:rFonts w:cs="Arial"/>
                <w:sz w:val="22"/>
                <w:szCs w:val="22"/>
              </w:rPr>
              <w:t>24.1.2.2</w:t>
            </w:r>
          </w:p>
        </w:tc>
        <w:tc>
          <w:tcPr>
            <w:tcW w:w="1386" w:type="pct"/>
            <w:vAlign w:val="center"/>
          </w:tcPr>
          <w:p w14:paraId="186B05EB" w14:textId="5F8456F7" w:rsidR="001336CE" w:rsidRPr="007733A9" w:rsidRDefault="001336CE" w:rsidP="00183142">
            <w:pPr>
              <w:pStyle w:val="Legenda"/>
              <w:spacing w:before="120" w:after="120"/>
              <w:jc w:val="both"/>
              <w:rPr>
                <w:rFonts w:cs="Arial"/>
                <w:sz w:val="22"/>
                <w:szCs w:val="22"/>
              </w:rPr>
            </w:pPr>
            <w:r w:rsidRPr="007733A9">
              <w:rPr>
                <w:sz w:val="22"/>
                <w:szCs w:val="22"/>
              </w:rPr>
              <w:t>A contratação referente ao item 24.1.2. não poderá exceder  3 anos.</w:t>
            </w:r>
          </w:p>
        </w:tc>
        <w:tc>
          <w:tcPr>
            <w:tcW w:w="2126" w:type="pct"/>
            <w:vAlign w:val="center"/>
          </w:tcPr>
          <w:p w14:paraId="5CCEC74F" w14:textId="73091A5E" w:rsidR="001336CE" w:rsidRPr="007733A9" w:rsidRDefault="001336CE" w:rsidP="00E061A4">
            <w:pPr>
              <w:pStyle w:val="Legenda"/>
              <w:jc w:val="both"/>
              <w:rPr>
                <w:rFonts w:cs="Arial"/>
                <w:color w:val="000000" w:themeColor="text1"/>
                <w:sz w:val="22"/>
                <w:szCs w:val="22"/>
              </w:rPr>
            </w:pPr>
            <w:r w:rsidRPr="007733A9">
              <w:rPr>
                <w:rFonts w:cs="Arial"/>
                <w:sz w:val="22"/>
                <w:szCs w:val="22"/>
              </w:rPr>
              <w:t>Embora possam ocorrer projetos de mais longo prazo, para efeitos do controle dos investimentos realizados e contabilizados como provisionamento, sugere-se que apenas os 3 primeiros anos do cronograma financeiro do projeto sejam considerados.</w:t>
            </w:r>
          </w:p>
        </w:tc>
      </w:tr>
      <w:tr w:rsidR="001336CE" w:rsidRPr="00170FDC" w14:paraId="2351A4FE" w14:textId="77777777" w:rsidTr="0003097F">
        <w:trPr>
          <w:trHeight w:val="2268"/>
        </w:trPr>
        <w:tc>
          <w:tcPr>
            <w:tcW w:w="553" w:type="pct"/>
            <w:vAlign w:val="center"/>
          </w:tcPr>
          <w:p w14:paraId="04EFA7C0" w14:textId="50FE1F95" w:rsidR="001336CE" w:rsidRPr="007733A9" w:rsidRDefault="001336CE" w:rsidP="001336CE">
            <w:pPr>
              <w:pStyle w:val="Legenda"/>
              <w:jc w:val="center"/>
              <w:rPr>
                <w:rFonts w:cs="Arial"/>
                <w:color w:val="000000" w:themeColor="text1"/>
                <w:sz w:val="22"/>
                <w:szCs w:val="22"/>
              </w:rPr>
            </w:pPr>
            <w:r w:rsidRPr="007733A9">
              <w:rPr>
                <w:rFonts w:cs="Arial"/>
                <w:color w:val="000000" w:themeColor="text1"/>
                <w:sz w:val="22"/>
                <w:szCs w:val="22"/>
              </w:rPr>
              <w:t>Contrato</w:t>
            </w:r>
          </w:p>
        </w:tc>
        <w:tc>
          <w:tcPr>
            <w:tcW w:w="441" w:type="pct"/>
            <w:vAlign w:val="center"/>
          </w:tcPr>
          <w:p w14:paraId="79031563" w14:textId="0A274EDE" w:rsidR="001336CE" w:rsidRPr="007733A9" w:rsidRDefault="001336CE" w:rsidP="001336CE">
            <w:pPr>
              <w:pStyle w:val="Legenda"/>
              <w:jc w:val="center"/>
              <w:rPr>
                <w:rFonts w:cs="Arial"/>
                <w:color w:val="000000" w:themeColor="text1"/>
                <w:sz w:val="22"/>
                <w:szCs w:val="22"/>
              </w:rPr>
            </w:pPr>
            <w:r w:rsidRPr="007733A9">
              <w:rPr>
                <w:rFonts w:cs="Arial"/>
                <w:color w:val="000000" w:themeColor="text1"/>
                <w:szCs w:val="24"/>
              </w:rPr>
              <w:t>Alteração</w:t>
            </w:r>
          </w:p>
        </w:tc>
        <w:tc>
          <w:tcPr>
            <w:tcW w:w="494" w:type="pct"/>
            <w:vAlign w:val="center"/>
          </w:tcPr>
          <w:p w14:paraId="0658705A" w14:textId="21095D69" w:rsidR="001336CE" w:rsidRPr="007733A9" w:rsidRDefault="001336CE" w:rsidP="00183142">
            <w:pPr>
              <w:pStyle w:val="Legenda"/>
              <w:jc w:val="center"/>
              <w:rPr>
                <w:rFonts w:cs="Arial"/>
                <w:color w:val="000000" w:themeColor="text1"/>
                <w:sz w:val="22"/>
                <w:szCs w:val="22"/>
              </w:rPr>
            </w:pPr>
            <w:r w:rsidRPr="007733A9">
              <w:rPr>
                <w:rFonts w:cs="Arial"/>
                <w:color w:val="000000" w:themeColor="text1"/>
                <w:sz w:val="22"/>
                <w:szCs w:val="22"/>
              </w:rPr>
              <w:t>24.2.a</w:t>
            </w:r>
          </w:p>
        </w:tc>
        <w:tc>
          <w:tcPr>
            <w:tcW w:w="1386" w:type="pct"/>
            <w:vAlign w:val="center"/>
          </w:tcPr>
          <w:p w14:paraId="09DAEA11" w14:textId="73F65FAF" w:rsidR="001336CE" w:rsidRPr="007733A9" w:rsidRDefault="001336CE" w:rsidP="00183142">
            <w:pPr>
              <w:pStyle w:val="Legenda"/>
              <w:spacing w:before="120" w:after="120"/>
              <w:jc w:val="both"/>
              <w:rPr>
                <w:rFonts w:cs="Arial"/>
                <w:sz w:val="22"/>
                <w:szCs w:val="22"/>
              </w:rPr>
            </w:pPr>
            <w:r w:rsidRPr="00183142">
              <w:rPr>
                <w:rFonts w:cs="Arial"/>
                <w:sz w:val="22"/>
                <w:szCs w:val="22"/>
              </w:rPr>
              <w:t>Até 40%</w:t>
            </w:r>
            <w:r w:rsidRPr="007733A9">
              <w:rPr>
                <w:rFonts w:cs="Arial"/>
                <w:sz w:val="22"/>
                <w:szCs w:val="22"/>
              </w:rPr>
              <w:t xml:space="preserve"> (quarenta por cento) dos recursos previstos no parágrafo 24.1 deverão ser investidos em atividades de pesquisa e desenvolvimento junto a universidades ou institutos de pesquisa e desenvolvimento nacionais credenciados pela ANP.</w:t>
            </w:r>
          </w:p>
        </w:tc>
        <w:tc>
          <w:tcPr>
            <w:tcW w:w="2126" w:type="pct"/>
            <w:vAlign w:val="center"/>
          </w:tcPr>
          <w:p w14:paraId="738A760A" w14:textId="77777777" w:rsidR="001336CE" w:rsidRPr="007733A9" w:rsidRDefault="001336CE" w:rsidP="00E061A4">
            <w:pPr>
              <w:pStyle w:val="Legenda"/>
              <w:jc w:val="both"/>
              <w:rPr>
                <w:rFonts w:cs="Arial"/>
                <w:color w:val="000000" w:themeColor="text1"/>
                <w:sz w:val="22"/>
                <w:szCs w:val="22"/>
              </w:rPr>
            </w:pPr>
          </w:p>
          <w:p w14:paraId="21DF634F" w14:textId="77777777" w:rsidR="001336CE" w:rsidRPr="007733A9" w:rsidRDefault="001336CE" w:rsidP="00E061A4">
            <w:pPr>
              <w:pStyle w:val="Legenda"/>
              <w:jc w:val="both"/>
              <w:rPr>
                <w:rFonts w:cs="Arial"/>
                <w:color w:val="000000" w:themeColor="text1"/>
                <w:sz w:val="22"/>
                <w:szCs w:val="22"/>
              </w:rPr>
            </w:pPr>
            <w:r w:rsidRPr="007733A9">
              <w:rPr>
                <w:rFonts w:cs="Arial"/>
                <w:color w:val="000000" w:themeColor="text1"/>
                <w:sz w:val="22"/>
                <w:szCs w:val="22"/>
              </w:rPr>
              <w:t xml:space="preserve">Tendo em vista o novo objetivo declarado da ANP “de desenvolver tecnologia para o fortalecimento do conteúdo local”, a divisão da alocação dos investimentos entre instituições credenciadas e empresas, conforme apresentado, não faz mais sentido. A necessidade de se promover a mobilidade do talento e a transferência de conhecimento do mundo acadêmico para o empresarial é por si só um incentivo natural e suficiente ao envolvimento tanto da academia quanto das empresas nestes projetos, sem que seja necessária uma intervenção da ANP para determinar a alocação de um percentual mínimo de investimento em um ou outro ator. </w:t>
            </w:r>
          </w:p>
          <w:p w14:paraId="11F182FA" w14:textId="77777777" w:rsidR="001336CE" w:rsidRPr="007733A9" w:rsidRDefault="001336CE" w:rsidP="00E061A4">
            <w:pPr>
              <w:pStyle w:val="Legenda"/>
              <w:jc w:val="both"/>
              <w:rPr>
                <w:rFonts w:cs="Arial"/>
                <w:color w:val="000000" w:themeColor="text1"/>
                <w:sz w:val="22"/>
                <w:szCs w:val="22"/>
              </w:rPr>
            </w:pPr>
            <w:r w:rsidRPr="007733A9">
              <w:rPr>
                <w:rFonts w:cs="Arial"/>
                <w:color w:val="000000" w:themeColor="text1"/>
                <w:sz w:val="22"/>
                <w:szCs w:val="22"/>
              </w:rPr>
              <w:t xml:space="preserve">O modelo existente, que privilegia o investimento mandatório em instituições credenciadas, não se demonstrou eficiente para a promoção da inovação e do desenvolvimento da indústria local. </w:t>
            </w:r>
          </w:p>
          <w:p w14:paraId="793A69EA" w14:textId="77777777" w:rsidR="001336CE" w:rsidRPr="007733A9" w:rsidRDefault="001336CE" w:rsidP="00E061A4">
            <w:pPr>
              <w:pStyle w:val="Legenda"/>
              <w:jc w:val="both"/>
              <w:rPr>
                <w:rFonts w:cs="Arial"/>
                <w:color w:val="000000" w:themeColor="text1"/>
                <w:sz w:val="22"/>
                <w:szCs w:val="22"/>
              </w:rPr>
            </w:pPr>
            <w:r w:rsidRPr="007733A9">
              <w:rPr>
                <w:rFonts w:cs="Arial"/>
                <w:color w:val="000000" w:themeColor="text1"/>
                <w:sz w:val="22"/>
                <w:szCs w:val="22"/>
              </w:rPr>
              <w:t>A presente sugestão justifica-se pela impossibilidade de cumprimento da obrigação prevista no modelo atual, tendo em vista que, conforme explicado anteriormente, as instituições credenciadas pela ANP podem receber os investimentos em P,D&amp;I disciplinados por este regulamento até um limite máximo além do qual não terão recursos humanos ou materiais para conduzir novas pesquisas. É preciso, portanto, ampliar o leque e flexibilizar as instituições aptas a receber investimentos.</w:t>
            </w:r>
          </w:p>
          <w:p w14:paraId="2E523896" w14:textId="77777777" w:rsidR="001336CE" w:rsidRPr="007733A9" w:rsidRDefault="001336CE" w:rsidP="00E061A4">
            <w:pPr>
              <w:pStyle w:val="Legenda"/>
              <w:jc w:val="both"/>
              <w:rPr>
                <w:rFonts w:cs="Arial"/>
                <w:color w:val="000000" w:themeColor="text1"/>
                <w:sz w:val="22"/>
                <w:szCs w:val="22"/>
              </w:rPr>
            </w:pPr>
          </w:p>
        </w:tc>
      </w:tr>
      <w:tr w:rsidR="001336CE" w:rsidRPr="00170FDC" w14:paraId="25CEC91F" w14:textId="77777777" w:rsidTr="0003097F">
        <w:trPr>
          <w:trHeight w:val="2268"/>
        </w:trPr>
        <w:tc>
          <w:tcPr>
            <w:tcW w:w="553" w:type="pct"/>
            <w:vAlign w:val="center"/>
          </w:tcPr>
          <w:p w14:paraId="685B66A2" w14:textId="1371DE28" w:rsidR="001336CE" w:rsidRPr="007733A9" w:rsidRDefault="001336CE" w:rsidP="001336CE">
            <w:pPr>
              <w:pStyle w:val="Legenda"/>
              <w:jc w:val="center"/>
              <w:rPr>
                <w:rFonts w:cs="Arial"/>
                <w:color w:val="000000" w:themeColor="text1"/>
                <w:sz w:val="22"/>
                <w:szCs w:val="22"/>
              </w:rPr>
            </w:pPr>
            <w:r w:rsidRPr="007733A9">
              <w:rPr>
                <w:rFonts w:cs="Arial"/>
                <w:color w:val="000000" w:themeColor="text1"/>
                <w:sz w:val="22"/>
                <w:szCs w:val="22"/>
              </w:rPr>
              <w:t>Contrato</w:t>
            </w:r>
          </w:p>
        </w:tc>
        <w:tc>
          <w:tcPr>
            <w:tcW w:w="441" w:type="pct"/>
            <w:vAlign w:val="center"/>
          </w:tcPr>
          <w:p w14:paraId="157D4279" w14:textId="569EA06F" w:rsidR="001336CE" w:rsidRPr="007733A9" w:rsidRDefault="001336CE" w:rsidP="001336CE">
            <w:pPr>
              <w:pStyle w:val="Legenda"/>
              <w:jc w:val="center"/>
              <w:rPr>
                <w:rFonts w:cs="Arial"/>
                <w:color w:val="000000" w:themeColor="text1"/>
                <w:sz w:val="22"/>
                <w:szCs w:val="22"/>
              </w:rPr>
            </w:pPr>
            <w:r w:rsidRPr="007733A9">
              <w:rPr>
                <w:rFonts w:cs="Arial"/>
                <w:color w:val="000000" w:themeColor="text1"/>
                <w:sz w:val="22"/>
                <w:szCs w:val="22"/>
              </w:rPr>
              <w:t>Alteração</w:t>
            </w:r>
          </w:p>
        </w:tc>
        <w:tc>
          <w:tcPr>
            <w:tcW w:w="494" w:type="pct"/>
            <w:vAlign w:val="center"/>
          </w:tcPr>
          <w:p w14:paraId="016BEBD6" w14:textId="1E7D9738" w:rsidR="001336CE" w:rsidRPr="007733A9" w:rsidRDefault="001336CE" w:rsidP="00183142">
            <w:pPr>
              <w:pStyle w:val="Legenda"/>
              <w:jc w:val="center"/>
              <w:rPr>
                <w:rFonts w:cs="Arial"/>
                <w:color w:val="000000" w:themeColor="text1"/>
                <w:sz w:val="22"/>
                <w:szCs w:val="22"/>
              </w:rPr>
            </w:pPr>
            <w:r w:rsidRPr="007733A9">
              <w:rPr>
                <w:rFonts w:cs="Arial"/>
                <w:color w:val="000000" w:themeColor="text1"/>
                <w:sz w:val="22"/>
                <w:szCs w:val="22"/>
              </w:rPr>
              <w:t>24.2.b</w:t>
            </w:r>
          </w:p>
        </w:tc>
        <w:tc>
          <w:tcPr>
            <w:tcW w:w="1386" w:type="pct"/>
            <w:vAlign w:val="center"/>
          </w:tcPr>
          <w:p w14:paraId="531F1177" w14:textId="77777777" w:rsidR="001336CE" w:rsidRPr="007733A9" w:rsidRDefault="001336CE" w:rsidP="00183142">
            <w:pPr>
              <w:pStyle w:val="Legenda"/>
              <w:jc w:val="both"/>
              <w:rPr>
                <w:sz w:val="22"/>
                <w:szCs w:val="22"/>
              </w:rPr>
            </w:pPr>
            <w:r w:rsidRPr="00183142">
              <w:rPr>
                <w:rFonts w:cs="Arial"/>
                <w:sz w:val="22"/>
                <w:szCs w:val="22"/>
              </w:rPr>
              <w:t>Até 40% (quarenta por cento)</w:t>
            </w:r>
            <w:r w:rsidRPr="007733A9">
              <w:rPr>
                <w:rFonts w:cs="Arial"/>
                <w:sz w:val="22"/>
                <w:szCs w:val="22"/>
              </w:rPr>
              <w:t xml:space="preserve"> dos recursos previstos no parágrafo 24.1 deverão ser investidos em atividades de pesquisa e desenvolvimento e inovação, que tenham por objetivo resultar em produtos ou processos com inovação tecnológica junto a Empresas Brasileiras de qualquer porte.</w:t>
            </w:r>
          </w:p>
          <w:p w14:paraId="69EDDF10" w14:textId="77777777" w:rsidR="001336CE" w:rsidRPr="007733A9" w:rsidRDefault="001336CE" w:rsidP="00183142">
            <w:pPr>
              <w:jc w:val="both"/>
              <w:rPr>
                <w:sz w:val="22"/>
                <w:szCs w:val="22"/>
              </w:rPr>
            </w:pPr>
          </w:p>
          <w:p w14:paraId="244315FC" w14:textId="77777777" w:rsidR="001336CE" w:rsidRPr="007733A9" w:rsidRDefault="001336CE" w:rsidP="00183142">
            <w:pPr>
              <w:pStyle w:val="Legenda"/>
              <w:spacing w:before="120" w:after="120"/>
              <w:jc w:val="both"/>
              <w:rPr>
                <w:rFonts w:cs="Arial"/>
                <w:sz w:val="22"/>
                <w:szCs w:val="22"/>
              </w:rPr>
            </w:pPr>
          </w:p>
        </w:tc>
        <w:tc>
          <w:tcPr>
            <w:tcW w:w="2126" w:type="pct"/>
            <w:vAlign w:val="center"/>
          </w:tcPr>
          <w:p w14:paraId="65936B09" w14:textId="0F8C0025" w:rsidR="001336CE" w:rsidRPr="007733A9" w:rsidRDefault="001336CE" w:rsidP="00E061A4">
            <w:pPr>
              <w:ind w:right="121"/>
              <w:jc w:val="both"/>
              <w:rPr>
                <w:rFonts w:ascii="Arial" w:hAnsi="Arial"/>
                <w:sz w:val="22"/>
                <w:szCs w:val="22"/>
              </w:rPr>
            </w:pPr>
            <w:r w:rsidRPr="007733A9">
              <w:rPr>
                <w:rFonts w:ascii="Arial" w:hAnsi="Arial"/>
                <w:sz w:val="22"/>
                <w:szCs w:val="22"/>
              </w:rPr>
              <w:t>O foco dos investimentos da verba de P&amp;D deve ser orientado à execução de projetos de pesquisa e desenvolvimento de novos produtos, processos e metodologias, que a médio e longo prazo levem a melhorar a competitividade da nossa indústria. Mesmo entendendo que o desenvolvimento da cadeia de fornecedores é um objetivo chave e uma necessidade do país, acreditamos que isso deva ser alcançado por outros meios e desvinculado dos objetivos de P&amp;D. Na área de P&amp;D, devemos priorizar a realização de inovações, com critérios de excelência. Entre as várias metas de desenvolvimento local, entendemos que o foco da pesquisa nacional deveria incluir o desenvolvimento de inovações que venham a viabilizar tecnicamente e/ou economicamente as jazidas de pr</w:t>
            </w:r>
            <w:r w:rsidR="00177029">
              <w:rPr>
                <w:rFonts w:ascii="Arial" w:hAnsi="Arial"/>
                <w:sz w:val="22"/>
                <w:szCs w:val="22"/>
              </w:rPr>
              <w:t>é</w:t>
            </w:r>
            <w:r w:rsidRPr="007733A9">
              <w:rPr>
                <w:rFonts w:ascii="Arial" w:hAnsi="Arial"/>
                <w:sz w:val="22"/>
                <w:szCs w:val="22"/>
              </w:rPr>
              <w:t>-sal, já que estas podem trazer muitos ganhos futuros ao país, com Royalties, Impostos, empregos e geração de empresas localmente. As parcerias entre operadoras e as empresas fornecedoras devem ser incentivadas, o que favoreceria a geração de nova indústria local para fornecer esses novos produtos e serviços sempre que houver oportunidade.</w:t>
            </w:r>
          </w:p>
          <w:p w14:paraId="637E2CA2" w14:textId="29969C36" w:rsidR="001336CE" w:rsidRPr="007733A9" w:rsidRDefault="001336CE" w:rsidP="00E061A4">
            <w:pPr>
              <w:ind w:right="121"/>
              <w:jc w:val="both"/>
              <w:rPr>
                <w:rFonts w:ascii="Arial" w:hAnsi="Arial"/>
                <w:sz w:val="22"/>
                <w:szCs w:val="22"/>
              </w:rPr>
            </w:pPr>
            <w:r w:rsidRPr="007733A9">
              <w:rPr>
                <w:rFonts w:ascii="Arial" w:hAnsi="Arial"/>
                <w:sz w:val="22"/>
                <w:szCs w:val="22"/>
              </w:rPr>
              <w:t xml:space="preserve">Além disso, durante a execução das atividades de pesquisa, o critério de excelência poderá levar, em algumas situações, a precisar de colaborações internacionais com Centros de Referência em algumas tecnologias específicas, o que ainda não é aceito no nosso regulamento atual nem nas propostas de mudança que estão em andamento em distintos foros. Contudo, acreditamos que teríamos grandes ganhos de inovação localmente ao disponibilizar um percentual (ex. 5%, 10%, 15, </w:t>
            </w:r>
            <w:r w:rsidR="00177029" w:rsidRPr="007733A9">
              <w:rPr>
                <w:rFonts w:ascii="Arial" w:hAnsi="Arial"/>
                <w:sz w:val="22"/>
                <w:szCs w:val="22"/>
              </w:rPr>
              <w:t>etc.</w:t>
            </w:r>
            <w:r w:rsidRPr="007733A9">
              <w:rPr>
                <w:rFonts w:ascii="Arial" w:hAnsi="Arial"/>
                <w:sz w:val="22"/>
                <w:szCs w:val="22"/>
              </w:rPr>
              <w:t>) do valor total de P,D&amp;I para ser utilizado em centros de excelência de pesquisa, universidades e empresas estrangeiras.</w:t>
            </w:r>
          </w:p>
          <w:p w14:paraId="3CAF2297" w14:textId="7A83200F" w:rsidR="001336CE" w:rsidRPr="007733A9" w:rsidRDefault="001336CE" w:rsidP="00E061A4">
            <w:pPr>
              <w:pStyle w:val="Legenda"/>
              <w:jc w:val="both"/>
              <w:rPr>
                <w:rFonts w:cs="Arial"/>
                <w:color w:val="000000" w:themeColor="text1"/>
                <w:sz w:val="22"/>
                <w:szCs w:val="22"/>
              </w:rPr>
            </w:pPr>
            <w:r w:rsidRPr="007733A9">
              <w:rPr>
                <w:sz w:val="22"/>
                <w:szCs w:val="22"/>
              </w:rPr>
              <w:t>Além disso, temos também linhas abertas de discussão para futuras modificações no regulamento que atendam a inclusão de custos indiretos e custos nas instalações das operadoras executados fora do país. Porém, limitar esse investimento privado pode ser um risco no futuro</w:t>
            </w:r>
          </w:p>
        </w:tc>
      </w:tr>
      <w:tr w:rsidR="001336CE" w:rsidRPr="00170FDC" w14:paraId="3C3D7ECC" w14:textId="77777777" w:rsidTr="0003097F">
        <w:trPr>
          <w:trHeight w:val="2268"/>
        </w:trPr>
        <w:tc>
          <w:tcPr>
            <w:tcW w:w="553" w:type="pct"/>
            <w:vAlign w:val="center"/>
          </w:tcPr>
          <w:p w14:paraId="2CE25275" w14:textId="77777777" w:rsidR="001336CE" w:rsidRPr="007733A9" w:rsidRDefault="001336CE" w:rsidP="001336CE">
            <w:pPr>
              <w:pStyle w:val="Legenda"/>
              <w:rPr>
                <w:rFonts w:cs="Arial"/>
                <w:color w:val="000000" w:themeColor="text1"/>
                <w:sz w:val="22"/>
                <w:szCs w:val="22"/>
              </w:rPr>
            </w:pPr>
            <w:r w:rsidRPr="007733A9">
              <w:rPr>
                <w:rFonts w:cs="Arial"/>
                <w:color w:val="000000" w:themeColor="text1"/>
                <w:sz w:val="22"/>
                <w:szCs w:val="22"/>
              </w:rPr>
              <w:t>Contrato</w:t>
            </w:r>
          </w:p>
        </w:tc>
        <w:tc>
          <w:tcPr>
            <w:tcW w:w="441" w:type="pct"/>
            <w:vAlign w:val="center"/>
          </w:tcPr>
          <w:p w14:paraId="018226E1" w14:textId="6170E6C9" w:rsidR="001336CE" w:rsidRPr="007733A9" w:rsidRDefault="001336CE" w:rsidP="001336CE">
            <w:pPr>
              <w:pStyle w:val="Legenda"/>
              <w:rPr>
                <w:rFonts w:cs="Arial"/>
                <w:color w:val="000000" w:themeColor="text1"/>
                <w:sz w:val="22"/>
                <w:szCs w:val="22"/>
              </w:rPr>
            </w:pPr>
            <w:r w:rsidRPr="007733A9">
              <w:rPr>
                <w:rFonts w:cs="Arial"/>
                <w:color w:val="000000" w:themeColor="text1"/>
                <w:sz w:val="22"/>
                <w:szCs w:val="22"/>
              </w:rPr>
              <w:t>Inclusão</w:t>
            </w:r>
          </w:p>
        </w:tc>
        <w:tc>
          <w:tcPr>
            <w:tcW w:w="494" w:type="pct"/>
            <w:vAlign w:val="center"/>
          </w:tcPr>
          <w:p w14:paraId="533CD2DD" w14:textId="77777777" w:rsidR="001336CE" w:rsidRPr="007733A9" w:rsidRDefault="001336CE" w:rsidP="00183142">
            <w:pPr>
              <w:pStyle w:val="CTO-TxtClau-N1"/>
              <w:ind w:left="58" w:firstLine="0"/>
              <w:jc w:val="center"/>
              <w:rPr>
                <w:rFonts w:cs="Arial"/>
                <w:color w:val="000000" w:themeColor="text1"/>
                <w:szCs w:val="22"/>
              </w:rPr>
            </w:pPr>
            <w:r w:rsidRPr="007733A9">
              <w:rPr>
                <w:rFonts w:cs="Arial"/>
                <w:color w:val="000000" w:themeColor="text1"/>
                <w:szCs w:val="22"/>
              </w:rPr>
              <w:t>24.3</w:t>
            </w:r>
          </w:p>
          <w:p w14:paraId="791A2714" w14:textId="43529C23" w:rsidR="001336CE" w:rsidRPr="007733A9" w:rsidRDefault="001336CE" w:rsidP="00183142">
            <w:pPr>
              <w:pStyle w:val="Legenda"/>
              <w:jc w:val="center"/>
              <w:rPr>
                <w:rFonts w:cs="Arial"/>
                <w:color w:val="000000" w:themeColor="text1"/>
                <w:sz w:val="22"/>
                <w:szCs w:val="22"/>
              </w:rPr>
            </w:pPr>
          </w:p>
        </w:tc>
        <w:tc>
          <w:tcPr>
            <w:tcW w:w="1386" w:type="pct"/>
            <w:vAlign w:val="center"/>
          </w:tcPr>
          <w:p w14:paraId="4022B77C" w14:textId="77777777" w:rsidR="001336CE" w:rsidRPr="007733A9" w:rsidRDefault="001336CE" w:rsidP="00183142">
            <w:pPr>
              <w:pStyle w:val="Legenda"/>
              <w:spacing w:before="120" w:after="120"/>
              <w:jc w:val="both"/>
              <w:rPr>
                <w:rFonts w:cs="Arial"/>
                <w:color w:val="000000" w:themeColor="text1"/>
                <w:sz w:val="22"/>
                <w:szCs w:val="22"/>
              </w:rPr>
            </w:pPr>
            <w:r w:rsidRPr="007733A9">
              <w:rPr>
                <w:rFonts w:cs="Arial"/>
                <w:color w:val="000000" w:themeColor="text1"/>
                <w:sz w:val="22"/>
                <w:szCs w:val="22"/>
              </w:rPr>
              <w:t>O saldo remanescente das Despesas Qualificadas como Pesquisa, Desenvolvimento e Inovação, após a observância dos parágrafos 7.2 e 7.3, poderá ser investido em:</w:t>
            </w:r>
          </w:p>
          <w:p w14:paraId="0EE5D91B" w14:textId="33F1714A" w:rsidR="001336CE" w:rsidRPr="007733A9" w:rsidRDefault="001336CE" w:rsidP="00183142">
            <w:pPr>
              <w:pStyle w:val="Legenda"/>
              <w:spacing w:before="120" w:after="120"/>
              <w:jc w:val="both"/>
              <w:rPr>
                <w:rFonts w:cs="Arial"/>
                <w:color w:val="000000" w:themeColor="text1"/>
                <w:sz w:val="22"/>
                <w:szCs w:val="22"/>
              </w:rPr>
            </w:pPr>
            <w:r w:rsidRPr="007733A9">
              <w:rPr>
                <w:rFonts w:cs="Arial"/>
                <w:color w:val="000000" w:themeColor="text1"/>
                <w:sz w:val="22"/>
                <w:szCs w:val="22"/>
              </w:rPr>
              <w:t>a)  atividades de pesquisa desenvolvimento e inovação realizadas em instalações do próprio Contratado ou de suas Afiliadas, localizadas no Brasil ou no exterior, com a qualificação dos recursos destinados à remuneração direta de pessoal próprio, residente no país ou no exterior, que atue em projetos e programas de Pesquisa Desenvolvimento &amp; Inovação junto a empresas fornecedoras nacionais ou instituições credenciadas pela ANP;</w:t>
            </w:r>
          </w:p>
          <w:p w14:paraId="22C6981C" w14:textId="77777777" w:rsidR="001336CE" w:rsidRPr="007733A9" w:rsidRDefault="001336CE" w:rsidP="00183142">
            <w:pPr>
              <w:pStyle w:val="Legenda"/>
              <w:spacing w:before="120" w:after="120"/>
              <w:jc w:val="both"/>
              <w:rPr>
                <w:rFonts w:cs="Arial"/>
                <w:color w:val="000000" w:themeColor="text1"/>
                <w:sz w:val="22"/>
                <w:szCs w:val="22"/>
              </w:rPr>
            </w:pPr>
            <w:r w:rsidRPr="007733A9">
              <w:rPr>
                <w:rFonts w:cs="Arial"/>
                <w:color w:val="000000" w:themeColor="text1"/>
                <w:sz w:val="22"/>
                <w:szCs w:val="22"/>
              </w:rPr>
              <w:t>b) ressarcimento de custos indiretos do próprio Contratado referentes à utilização das instalações e serviços, compreendendo, entre outras, despesas com água, luz, serviços de manutenção, segurança e limpeza, limitado a até 15% sobre o valor das despesas do projeto ou programa; ou</w:t>
            </w:r>
          </w:p>
          <w:p w14:paraId="7B5A23F2" w14:textId="197192B4" w:rsidR="001336CE" w:rsidRPr="007733A9" w:rsidRDefault="001336CE" w:rsidP="00183142">
            <w:pPr>
              <w:pStyle w:val="Legenda"/>
              <w:jc w:val="both"/>
              <w:rPr>
                <w:rFonts w:cs="Arial"/>
                <w:color w:val="000000" w:themeColor="text1"/>
                <w:sz w:val="22"/>
                <w:szCs w:val="22"/>
              </w:rPr>
            </w:pPr>
            <w:r w:rsidRPr="007733A9">
              <w:rPr>
                <w:rFonts w:cs="Arial"/>
                <w:color w:val="000000" w:themeColor="text1"/>
                <w:sz w:val="22"/>
                <w:szCs w:val="22"/>
              </w:rPr>
              <w:t>c) empresas fornecedoras nacionais da Indústria de Petróleo, Gás Natural e Biocombustíveis ou em universidades ou institutos de pesquisa e desenvo</w:t>
            </w:r>
            <w:r w:rsidR="00183142">
              <w:rPr>
                <w:rFonts w:cs="Arial"/>
                <w:color w:val="000000" w:themeColor="text1"/>
                <w:sz w:val="22"/>
                <w:szCs w:val="22"/>
              </w:rPr>
              <w:t>lvimento credenciados pela ANP.</w:t>
            </w:r>
          </w:p>
        </w:tc>
        <w:tc>
          <w:tcPr>
            <w:tcW w:w="2126" w:type="pct"/>
            <w:vAlign w:val="center"/>
          </w:tcPr>
          <w:p w14:paraId="46B6F79D" w14:textId="77777777" w:rsidR="001336CE" w:rsidRPr="007733A9" w:rsidRDefault="001336CE" w:rsidP="00E061A4">
            <w:pPr>
              <w:pStyle w:val="Legenda"/>
              <w:spacing w:before="120" w:after="120"/>
              <w:jc w:val="both"/>
              <w:rPr>
                <w:rFonts w:cs="Arial"/>
                <w:color w:val="000000" w:themeColor="text1"/>
                <w:sz w:val="22"/>
                <w:szCs w:val="22"/>
              </w:rPr>
            </w:pPr>
            <w:r w:rsidRPr="007733A9">
              <w:rPr>
                <w:rFonts w:cs="Arial"/>
                <w:color w:val="000000" w:themeColor="text1"/>
                <w:sz w:val="22"/>
                <w:szCs w:val="22"/>
              </w:rPr>
              <w:t>Necessidade de futuras modificações no regulamento que atendam a inclusão de custos indiretos e custos nas instalações das operadoras executados fora do país. Porém, limitar esse investimento privado pode ser um risco no futuro.</w:t>
            </w:r>
          </w:p>
          <w:p w14:paraId="7446235D" w14:textId="77777777" w:rsidR="001336CE" w:rsidRPr="007733A9" w:rsidRDefault="001336CE" w:rsidP="00E061A4">
            <w:pPr>
              <w:pStyle w:val="NormalWeb"/>
              <w:jc w:val="both"/>
              <w:rPr>
                <w:rFonts w:ascii="Arial" w:hAnsi="Arial" w:cs="Arial"/>
                <w:color w:val="000000" w:themeColor="text1"/>
                <w:sz w:val="22"/>
                <w:szCs w:val="22"/>
              </w:rPr>
            </w:pPr>
            <w:r w:rsidRPr="007733A9">
              <w:rPr>
                <w:rFonts w:ascii="Arial" w:hAnsi="Arial" w:cs="Arial"/>
                <w:color w:val="000000" w:themeColor="text1"/>
                <w:sz w:val="22"/>
                <w:szCs w:val="22"/>
              </w:rPr>
              <w:t xml:space="preserve">Necessidade de futuras modificações no regulamento que atendam a inclusão de custos indiretos e custos nas instalações das operadoras executados fora do país. Porém, limitar esse investimento privado pode ser um risco no futuro. Sendo o objetivo do Regulamento possibilitar que o Brasil se beneficie do conhecimento gerado com a obrigação de PD&amp;I, e de que pesquisadores nacionais se apropriem do mesmo a fim de gerar um círculo virtuoso que só benefícios traria ao país, a atuação de pesquisadores estrangeiros só poderia somar experiência, onde os mesmos atuariam como indutores de pesquisa localmente, pois ao desempenharem suas atividades acabariam por beneficiar também pesquisadores locais. </w:t>
            </w:r>
          </w:p>
          <w:p w14:paraId="0FFEC7A3" w14:textId="1CD8D70A" w:rsidR="001336CE" w:rsidRPr="00183142" w:rsidRDefault="001336CE" w:rsidP="00183142">
            <w:pPr>
              <w:pStyle w:val="NormalWeb"/>
              <w:jc w:val="both"/>
              <w:rPr>
                <w:rFonts w:ascii="Arial" w:hAnsi="Arial" w:cs="Arial"/>
                <w:color w:val="000000" w:themeColor="text1"/>
                <w:sz w:val="22"/>
                <w:szCs w:val="22"/>
              </w:rPr>
            </w:pPr>
            <w:r w:rsidRPr="007733A9">
              <w:rPr>
                <w:rFonts w:ascii="Arial" w:hAnsi="Arial" w:cs="Arial"/>
                <w:color w:val="000000" w:themeColor="text1"/>
                <w:sz w:val="22"/>
                <w:szCs w:val="22"/>
              </w:rPr>
              <w:t>Ao se desconsiderar a admissibilidade de despesas inevitáveis a serem incorridas como resultado da obrigação, tais como custos com pessoal e custos indiretos, estar-se-ia impondo, na prática, uma obrigação de investimento substancialmente superior àquele estipulado nos contratos de exploração e produção (1%). Isto porque as EP teriam o ônus adicional de custear despesas que, por serem indispensáveis ao cumprimento da obrigação de investir em P&amp;D, serão necessariamente incorridas e não seriam qualificáveis como parte do investimento mandatório. Ou seja, estar-se-ia, na prática, exigindo investimentos em medida superior àquela estabelecida pelos cont</w:t>
            </w:r>
            <w:r w:rsidR="00183142">
              <w:rPr>
                <w:rFonts w:ascii="Arial" w:hAnsi="Arial" w:cs="Arial"/>
                <w:color w:val="000000" w:themeColor="text1"/>
                <w:sz w:val="22"/>
                <w:szCs w:val="22"/>
              </w:rPr>
              <w:t>ratos de exploração e produção.</w:t>
            </w:r>
          </w:p>
        </w:tc>
      </w:tr>
      <w:tr w:rsidR="001336CE" w:rsidRPr="00170FDC" w14:paraId="374E4B4E" w14:textId="77777777" w:rsidTr="0003097F">
        <w:trPr>
          <w:trHeight w:val="2268"/>
        </w:trPr>
        <w:tc>
          <w:tcPr>
            <w:tcW w:w="553" w:type="pct"/>
            <w:vAlign w:val="center"/>
          </w:tcPr>
          <w:p w14:paraId="546436D6" w14:textId="77777777" w:rsidR="001336CE" w:rsidRPr="00170FDC" w:rsidRDefault="001336CE" w:rsidP="001336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3988B9B" w14:textId="77777777" w:rsidR="001336CE" w:rsidRPr="006E166E" w:rsidRDefault="001336CE" w:rsidP="001336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E30874F" w14:textId="77777777" w:rsidR="001336CE" w:rsidRPr="008E44C8" w:rsidRDefault="001336CE" w:rsidP="00183142">
            <w:pPr>
              <w:pStyle w:val="Legenda"/>
              <w:jc w:val="center"/>
              <w:rPr>
                <w:rFonts w:cs="Arial"/>
                <w:color w:val="000000" w:themeColor="text1"/>
                <w:sz w:val="22"/>
                <w:szCs w:val="22"/>
              </w:rPr>
            </w:pPr>
            <w:r w:rsidRPr="008E44C8">
              <w:rPr>
                <w:rFonts w:cs="Arial"/>
                <w:color w:val="000000" w:themeColor="text1"/>
                <w:sz w:val="22"/>
                <w:szCs w:val="22"/>
              </w:rPr>
              <w:t>27.2</w:t>
            </w:r>
          </w:p>
        </w:tc>
        <w:tc>
          <w:tcPr>
            <w:tcW w:w="1386" w:type="pct"/>
            <w:vAlign w:val="center"/>
          </w:tcPr>
          <w:p w14:paraId="16C3BEEA" w14:textId="77777777" w:rsidR="001336CE" w:rsidRPr="00170FDC" w:rsidRDefault="001336CE" w:rsidP="00183142">
            <w:pPr>
              <w:pStyle w:val="Contrato-Clausula-Nvel2-1dezena"/>
              <w:numPr>
                <w:ilvl w:val="0"/>
                <w:numId w:val="0"/>
              </w:numPr>
              <w:rPr>
                <w:rFonts w:cs="Arial"/>
                <w:szCs w:val="22"/>
              </w:rPr>
            </w:pPr>
            <w:r>
              <w:rPr>
                <w:rFonts w:cs="Arial"/>
                <w:color w:val="000000" w:themeColor="text1"/>
                <w:szCs w:val="22"/>
              </w:rPr>
              <w:t>A ANP poderá realizar auditoria contábil e financeira deste Contrato, inclusive dos demonstrativos de apuração das Participações Governamentais, nos termos da Legislação aplicável.</w:t>
            </w:r>
          </w:p>
        </w:tc>
        <w:tc>
          <w:tcPr>
            <w:tcW w:w="2126" w:type="pct"/>
            <w:vAlign w:val="center"/>
          </w:tcPr>
          <w:p w14:paraId="24906B81" w14:textId="69103C54" w:rsidR="00815A8A" w:rsidRPr="00FE7446" w:rsidRDefault="00815A8A" w:rsidP="00E061A4">
            <w:pPr>
              <w:pStyle w:val="Legenda"/>
              <w:jc w:val="both"/>
              <w:rPr>
                <w:rFonts w:cs="Arial"/>
                <w:color w:val="000000" w:themeColor="text1"/>
                <w:sz w:val="22"/>
                <w:szCs w:val="22"/>
              </w:rPr>
            </w:pPr>
            <w:r>
              <w:rPr>
                <w:rFonts w:cs="Arial"/>
                <w:color w:val="000000" w:themeColor="text1"/>
                <w:sz w:val="22"/>
                <w:szCs w:val="22"/>
              </w:rPr>
              <w:t>O IBP não questiona a competência da ANP para realização de auditoria, mas é importante deixar expresso no contrato que o escopo desta auditoria deve ser limitado</w:t>
            </w:r>
          </w:p>
          <w:p w14:paraId="6E7FC8FC" w14:textId="408D63B4" w:rsidR="001336CE" w:rsidRPr="00170FDC" w:rsidRDefault="001336CE" w:rsidP="00E061A4">
            <w:pPr>
              <w:pStyle w:val="Legenda"/>
              <w:jc w:val="both"/>
              <w:rPr>
                <w:rFonts w:cs="Arial"/>
                <w:sz w:val="22"/>
                <w:szCs w:val="22"/>
              </w:rPr>
            </w:pPr>
            <w:r w:rsidRPr="00FE7446">
              <w:rPr>
                <w:rFonts w:cs="Arial"/>
                <w:color w:val="000000" w:themeColor="text1"/>
                <w:sz w:val="22"/>
                <w:szCs w:val="22"/>
              </w:rPr>
              <w:t xml:space="preserve"> ao contrato.</w:t>
            </w:r>
          </w:p>
        </w:tc>
      </w:tr>
      <w:tr w:rsidR="001336CE" w:rsidRPr="00170FDC" w14:paraId="664B9D73" w14:textId="77777777" w:rsidTr="0003097F">
        <w:trPr>
          <w:trHeight w:val="2268"/>
        </w:trPr>
        <w:tc>
          <w:tcPr>
            <w:tcW w:w="553" w:type="pct"/>
            <w:vAlign w:val="center"/>
          </w:tcPr>
          <w:p w14:paraId="51ABCE92" w14:textId="77777777" w:rsidR="001336CE" w:rsidRPr="00170FDC" w:rsidRDefault="001336CE" w:rsidP="001336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7208BB5" w14:textId="77777777" w:rsidR="001336CE" w:rsidRPr="006E166E" w:rsidRDefault="001336CE" w:rsidP="001336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69C8255" w14:textId="77777777" w:rsidR="001336CE" w:rsidRPr="008E44C8" w:rsidRDefault="001336CE" w:rsidP="00183142">
            <w:pPr>
              <w:pStyle w:val="Legenda"/>
              <w:jc w:val="center"/>
              <w:rPr>
                <w:rFonts w:cs="Arial"/>
                <w:color w:val="000000" w:themeColor="text1"/>
                <w:sz w:val="22"/>
                <w:szCs w:val="22"/>
              </w:rPr>
            </w:pPr>
            <w:r w:rsidRPr="008E44C8">
              <w:rPr>
                <w:rFonts w:cs="Arial"/>
                <w:color w:val="000000" w:themeColor="text1"/>
                <w:sz w:val="22"/>
                <w:szCs w:val="22"/>
              </w:rPr>
              <w:t>27.2.3</w:t>
            </w:r>
          </w:p>
        </w:tc>
        <w:tc>
          <w:tcPr>
            <w:tcW w:w="1386" w:type="pct"/>
            <w:vAlign w:val="center"/>
          </w:tcPr>
          <w:p w14:paraId="7D40E013" w14:textId="481A3906" w:rsidR="001336CE" w:rsidRPr="00170FDC" w:rsidRDefault="001336CE" w:rsidP="00183142">
            <w:pPr>
              <w:pStyle w:val="Contrato-Clausula-Nvel2-1dezena"/>
              <w:numPr>
                <w:ilvl w:val="0"/>
                <w:numId w:val="0"/>
              </w:numPr>
              <w:rPr>
                <w:rFonts w:cs="Arial"/>
                <w:szCs w:val="22"/>
              </w:rPr>
            </w:pPr>
            <w:r w:rsidRPr="00CD6FD3">
              <w:rPr>
                <w:rFonts w:cs="Arial"/>
                <w:color w:val="000000" w:themeColor="text1"/>
                <w:szCs w:val="22"/>
              </w:rPr>
              <w:t>A ANP terá amplo acesso aos documentos, livros, papéis, registros e outras peças</w:t>
            </w:r>
            <w:r>
              <w:rPr>
                <w:rFonts w:cs="Arial"/>
                <w:color w:val="000000" w:themeColor="text1"/>
                <w:szCs w:val="22"/>
              </w:rPr>
              <w:t xml:space="preserve"> </w:t>
            </w:r>
            <w:r w:rsidRPr="00CD6FD3">
              <w:rPr>
                <w:rFonts w:cs="Arial"/>
                <w:color w:val="000000" w:themeColor="text1"/>
                <w:szCs w:val="22"/>
              </w:rPr>
              <w:t xml:space="preserve">outros documentos, referidos no parágrafo 27.1, inclusive aos contratos e acordos firmados pelo Concessionário e relacionados com a aquisição de bens e serviços para as Operações, relativos aos últimos </w:t>
            </w:r>
            <w:r w:rsidR="00BB09ED">
              <w:rPr>
                <w:rFonts w:cs="Arial"/>
                <w:color w:val="000000" w:themeColor="text1"/>
                <w:szCs w:val="22"/>
              </w:rPr>
              <w:t>5 (</w:t>
            </w:r>
            <w:r>
              <w:rPr>
                <w:rFonts w:cs="Arial"/>
                <w:color w:val="000000" w:themeColor="text1"/>
                <w:szCs w:val="22"/>
              </w:rPr>
              <w:t>cinco</w:t>
            </w:r>
            <w:r w:rsidR="00BB09ED">
              <w:rPr>
                <w:rFonts w:cs="Arial"/>
                <w:color w:val="000000" w:themeColor="text1"/>
                <w:szCs w:val="22"/>
              </w:rPr>
              <w:t>)</w:t>
            </w:r>
            <w:r w:rsidRPr="00CD6FD3">
              <w:rPr>
                <w:rFonts w:cs="Arial"/>
                <w:color w:val="000000" w:themeColor="text1"/>
                <w:szCs w:val="22"/>
              </w:rPr>
              <w:t xml:space="preserve"> anos</w:t>
            </w:r>
            <w:r w:rsidR="00532C77">
              <w:rPr>
                <w:rFonts w:cs="Arial"/>
                <w:color w:val="000000" w:themeColor="text1"/>
                <w:szCs w:val="22"/>
              </w:rPr>
              <w:t>.</w:t>
            </w:r>
            <w:r w:rsidR="009560DC">
              <w:rPr>
                <w:rFonts w:cs="Arial"/>
                <w:color w:val="000000" w:themeColor="text1"/>
                <w:szCs w:val="22"/>
              </w:rPr>
              <w:t xml:space="preserve"> Com relação aos documentos para aferição do Conteúdo Local, a ANP terá acesso a tais documentos pelo prazo de 10 (dez) anos, contados a partir da emissão dos </w:t>
            </w:r>
            <w:r w:rsidR="00532C77">
              <w:rPr>
                <w:rFonts w:cs="Arial"/>
                <w:color w:val="000000" w:themeColor="text1"/>
                <w:szCs w:val="22"/>
              </w:rPr>
              <w:t>certifica</w:t>
            </w:r>
            <w:r w:rsidR="009560DC">
              <w:rPr>
                <w:rFonts w:cs="Arial"/>
                <w:color w:val="000000" w:themeColor="text1"/>
                <w:szCs w:val="22"/>
              </w:rPr>
              <w:t>dos</w:t>
            </w:r>
            <w:r w:rsidR="00532C77">
              <w:rPr>
                <w:rFonts w:cs="Arial"/>
                <w:color w:val="000000" w:themeColor="text1"/>
                <w:szCs w:val="22"/>
              </w:rPr>
              <w:t xml:space="preserve"> de </w:t>
            </w:r>
            <w:r w:rsidR="009560DC">
              <w:rPr>
                <w:rFonts w:cs="Arial"/>
                <w:color w:val="000000" w:themeColor="text1"/>
                <w:szCs w:val="22"/>
              </w:rPr>
              <w:t>Conteúdo Local</w:t>
            </w:r>
            <w:r w:rsidR="00532C77">
              <w:rPr>
                <w:rFonts w:cs="Arial"/>
                <w:color w:val="000000" w:themeColor="text1"/>
                <w:szCs w:val="22"/>
              </w:rPr>
              <w:t>.</w:t>
            </w:r>
          </w:p>
        </w:tc>
        <w:tc>
          <w:tcPr>
            <w:tcW w:w="2126" w:type="pct"/>
            <w:vAlign w:val="center"/>
          </w:tcPr>
          <w:p w14:paraId="3CE13A01" w14:textId="77777777" w:rsidR="001336CE" w:rsidRDefault="001336CE" w:rsidP="00E061A4">
            <w:pPr>
              <w:pStyle w:val="Textodecomentrio"/>
              <w:jc w:val="both"/>
              <w:rPr>
                <w:rFonts w:ascii="Arial" w:hAnsi="Arial" w:cs="Arial"/>
                <w:sz w:val="22"/>
                <w:szCs w:val="22"/>
              </w:rPr>
            </w:pPr>
          </w:p>
          <w:p w14:paraId="2F131C4B" w14:textId="310A8355" w:rsidR="009560DC" w:rsidRDefault="009560DC" w:rsidP="00E061A4">
            <w:pPr>
              <w:pStyle w:val="Textodecomentrio"/>
              <w:jc w:val="both"/>
              <w:rPr>
                <w:rFonts w:ascii="Arial" w:hAnsi="Arial" w:cs="Arial"/>
                <w:sz w:val="22"/>
                <w:szCs w:val="22"/>
              </w:rPr>
            </w:pPr>
            <w:r>
              <w:rPr>
                <w:rFonts w:ascii="Arial" w:hAnsi="Arial" w:cs="Arial"/>
                <w:sz w:val="22"/>
                <w:szCs w:val="22"/>
              </w:rPr>
              <w:t xml:space="preserve">O IBP sugere prazos distintos para a auditoria de documentos fiscais e relativos à Conteúdo Local. Desta forma, </w:t>
            </w:r>
            <w:r w:rsidR="00BB09ED">
              <w:rPr>
                <w:rFonts w:ascii="Arial" w:hAnsi="Arial" w:cs="Arial"/>
                <w:sz w:val="22"/>
                <w:szCs w:val="22"/>
              </w:rPr>
              <w:t xml:space="preserve">para documentos fiscais </w:t>
            </w:r>
            <w:r>
              <w:rPr>
                <w:rFonts w:ascii="Arial" w:hAnsi="Arial" w:cs="Arial"/>
                <w:sz w:val="22"/>
                <w:szCs w:val="22"/>
              </w:rPr>
              <w:t xml:space="preserve">deve ser observado o prazo de 5 </w:t>
            </w:r>
            <w:r w:rsidR="00BB09ED">
              <w:rPr>
                <w:rFonts w:ascii="Arial" w:hAnsi="Arial" w:cs="Arial"/>
                <w:sz w:val="22"/>
                <w:szCs w:val="22"/>
              </w:rPr>
              <w:t xml:space="preserve">(cinco) </w:t>
            </w:r>
            <w:r>
              <w:rPr>
                <w:rFonts w:ascii="Arial" w:hAnsi="Arial" w:cs="Arial"/>
                <w:sz w:val="22"/>
                <w:szCs w:val="22"/>
              </w:rPr>
              <w:t>anos</w:t>
            </w:r>
            <w:r w:rsidR="00BB09ED">
              <w:rPr>
                <w:rFonts w:ascii="Arial" w:hAnsi="Arial" w:cs="Arial"/>
                <w:sz w:val="22"/>
                <w:szCs w:val="22"/>
              </w:rPr>
              <w:t xml:space="preserve">, </w:t>
            </w:r>
            <w:r w:rsidR="00BB09ED" w:rsidRPr="00CD6FD3">
              <w:rPr>
                <w:rFonts w:ascii="Arial" w:hAnsi="Arial" w:cs="Arial"/>
                <w:sz w:val="22"/>
                <w:szCs w:val="22"/>
              </w:rPr>
              <w:t>conforme estabelecida pelo CTN, Lei 9.873/99, Lei 9.847/99, Decreto 2.953/99 e demais normativos aplicáveis</w:t>
            </w:r>
            <w:r w:rsidR="00BB09ED">
              <w:rPr>
                <w:rFonts w:ascii="Arial" w:hAnsi="Arial" w:cs="Arial"/>
                <w:sz w:val="22"/>
                <w:szCs w:val="22"/>
              </w:rPr>
              <w:t>. Já com relação ao Conteúdo Local, foi mantido o prazo de 10 (dez) anos proposto pela ANP em conformidade com o Parecer nº 269/2014/PF-ANP/PGF/AGU.</w:t>
            </w:r>
          </w:p>
          <w:p w14:paraId="7C99ACA4" w14:textId="77777777" w:rsidR="009560DC" w:rsidRDefault="009560DC" w:rsidP="00E061A4">
            <w:pPr>
              <w:pStyle w:val="Textodecomentrio"/>
              <w:jc w:val="both"/>
              <w:rPr>
                <w:rFonts w:ascii="Arial" w:hAnsi="Arial" w:cs="Arial"/>
                <w:sz w:val="22"/>
                <w:szCs w:val="22"/>
              </w:rPr>
            </w:pPr>
          </w:p>
          <w:p w14:paraId="277B1101" w14:textId="50E79DFC" w:rsidR="001336CE" w:rsidRDefault="001336CE" w:rsidP="00E061A4">
            <w:pPr>
              <w:pStyle w:val="Textodecomentrio"/>
              <w:jc w:val="both"/>
              <w:rPr>
                <w:rFonts w:ascii="Arial" w:hAnsi="Arial" w:cs="Arial"/>
                <w:sz w:val="22"/>
                <w:szCs w:val="22"/>
              </w:rPr>
            </w:pPr>
          </w:p>
          <w:p w14:paraId="374828A2" w14:textId="77777777" w:rsidR="001336CE" w:rsidRPr="00170FDC" w:rsidRDefault="001336CE" w:rsidP="00E061A4">
            <w:pPr>
              <w:pStyle w:val="Legenda"/>
              <w:jc w:val="both"/>
              <w:rPr>
                <w:rFonts w:cs="Arial"/>
                <w:sz w:val="22"/>
                <w:szCs w:val="22"/>
              </w:rPr>
            </w:pPr>
          </w:p>
        </w:tc>
      </w:tr>
      <w:tr w:rsidR="001336CE" w:rsidRPr="00170FDC" w14:paraId="375F0A91" w14:textId="77777777" w:rsidTr="0003097F">
        <w:trPr>
          <w:trHeight w:val="2268"/>
        </w:trPr>
        <w:tc>
          <w:tcPr>
            <w:tcW w:w="553" w:type="pct"/>
            <w:vAlign w:val="center"/>
          </w:tcPr>
          <w:p w14:paraId="7DE4335E" w14:textId="77777777" w:rsidR="001336CE" w:rsidRPr="00AC01F5" w:rsidRDefault="001336CE" w:rsidP="001336CE">
            <w:pPr>
              <w:pStyle w:val="Legenda"/>
              <w:jc w:val="center"/>
              <w:rPr>
                <w:rFonts w:cs="Arial"/>
                <w:color w:val="000000" w:themeColor="text1"/>
                <w:sz w:val="22"/>
                <w:szCs w:val="22"/>
              </w:rPr>
            </w:pPr>
            <w:r w:rsidRPr="00AC01F5">
              <w:rPr>
                <w:rFonts w:cs="Arial"/>
                <w:color w:val="000000" w:themeColor="text1"/>
                <w:sz w:val="22"/>
                <w:szCs w:val="22"/>
              </w:rPr>
              <w:t>Contrato</w:t>
            </w:r>
          </w:p>
        </w:tc>
        <w:tc>
          <w:tcPr>
            <w:tcW w:w="441" w:type="pct"/>
            <w:vAlign w:val="center"/>
          </w:tcPr>
          <w:p w14:paraId="3693A13F" w14:textId="77777777" w:rsidR="001336CE" w:rsidRPr="00AC01F5" w:rsidRDefault="001336CE" w:rsidP="001336CE">
            <w:pPr>
              <w:pStyle w:val="Legenda"/>
              <w:jc w:val="center"/>
              <w:rPr>
                <w:rFonts w:cs="Arial"/>
                <w:color w:val="000000" w:themeColor="text1"/>
                <w:sz w:val="22"/>
                <w:szCs w:val="22"/>
              </w:rPr>
            </w:pPr>
            <w:r w:rsidRPr="00AC01F5">
              <w:rPr>
                <w:rFonts w:cs="Arial"/>
                <w:color w:val="000000" w:themeColor="text1"/>
                <w:sz w:val="22"/>
                <w:szCs w:val="22"/>
              </w:rPr>
              <w:t>Alteração</w:t>
            </w:r>
          </w:p>
        </w:tc>
        <w:tc>
          <w:tcPr>
            <w:tcW w:w="494" w:type="pct"/>
            <w:vAlign w:val="center"/>
          </w:tcPr>
          <w:p w14:paraId="589DD0B7" w14:textId="77777777" w:rsidR="001336CE" w:rsidRPr="00AC01F5" w:rsidRDefault="001336CE" w:rsidP="00183142">
            <w:pPr>
              <w:pStyle w:val="Legenda"/>
              <w:jc w:val="center"/>
              <w:rPr>
                <w:rFonts w:cs="Arial"/>
                <w:color w:val="000000" w:themeColor="text1"/>
                <w:sz w:val="22"/>
                <w:szCs w:val="22"/>
              </w:rPr>
            </w:pPr>
            <w:r w:rsidRPr="00AC01F5">
              <w:rPr>
                <w:rFonts w:cs="Arial"/>
                <w:color w:val="000000" w:themeColor="text1"/>
                <w:sz w:val="22"/>
                <w:szCs w:val="22"/>
              </w:rPr>
              <w:t>27.2.5</w:t>
            </w:r>
          </w:p>
        </w:tc>
        <w:tc>
          <w:tcPr>
            <w:tcW w:w="1386" w:type="pct"/>
            <w:vAlign w:val="center"/>
          </w:tcPr>
          <w:p w14:paraId="395CECB9" w14:textId="322EA9AE" w:rsidR="00993428" w:rsidRPr="00183142" w:rsidRDefault="001336CE" w:rsidP="00183142">
            <w:pPr>
              <w:pStyle w:val="Contrato-Clausula-Nvel2-1dezena"/>
              <w:numPr>
                <w:ilvl w:val="0"/>
                <w:numId w:val="0"/>
              </w:numPr>
              <w:rPr>
                <w:szCs w:val="22"/>
              </w:rPr>
            </w:pPr>
            <w:r w:rsidRPr="00AC01F5">
              <w:rPr>
                <w:szCs w:val="22"/>
              </w:rPr>
              <w:t>O concessionário deverá manter à disposição da ANP os respectivos certificados de Conteúdo Local, além se contratos, documentos fiscais e demais registros comprobatórios, correspondentes ao bem ou serviço adquirido, pelo prazo de 10 (dez) anos após sua emissão.</w:t>
            </w:r>
          </w:p>
        </w:tc>
        <w:tc>
          <w:tcPr>
            <w:tcW w:w="2126" w:type="pct"/>
            <w:vAlign w:val="center"/>
          </w:tcPr>
          <w:p w14:paraId="33D0DDAD" w14:textId="44ABE1C4" w:rsidR="001336CE" w:rsidRPr="00AC01F5" w:rsidRDefault="001336CE" w:rsidP="00E061A4">
            <w:pPr>
              <w:pStyle w:val="Legenda"/>
              <w:jc w:val="both"/>
              <w:rPr>
                <w:color w:val="000000"/>
                <w:sz w:val="22"/>
                <w:szCs w:val="22"/>
              </w:rPr>
            </w:pPr>
            <w:r w:rsidRPr="00AC01F5">
              <w:rPr>
                <w:color w:val="000000"/>
                <w:sz w:val="22"/>
                <w:szCs w:val="22"/>
              </w:rPr>
              <w:t xml:space="preserve">Sugere-se </w:t>
            </w:r>
            <w:r w:rsidRPr="00AC01F5">
              <w:rPr>
                <w:sz w:val="22"/>
                <w:szCs w:val="22"/>
              </w:rPr>
              <w:t>a contagem do período de guarda de documentos a partir de sua emissão, conforme legislação e jurisprudência vigentes, inclusive de tribunais superio</w:t>
            </w:r>
            <w:r w:rsidR="00BB09ED" w:rsidRPr="00AC01F5">
              <w:rPr>
                <w:sz w:val="22"/>
                <w:szCs w:val="22"/>
              </w:rPr>
              <w:t>res</w:t>
            </w:r>
            <w:r w:rsidRPr="00AC01F5">
              <w:rPr>
                <w:color w:val="000000"/>
                <w:sz w:val="22"/>
                <w:szCs w:val="22"/>
              </w:rPr>
              <w:t>. A sugestão visa a trazer maior efetividade para as atividades dos concessionários ao invés de gerar maior custo operacional para a guarda de documentos por período</w:t>
            </w:r>
            <w:r w:rsidRPr="00AC01F5">
              <w:rPr>
                <w:sz w:val="22"/>
                <w:szCs w:val="22"/>
              </w:rPr>
              <w:t>s incertos e excessivamente longos</w:t>
            </w:r>
            <w:r w:rsidRPr="00AC01F5">
              <w:rPr>
                <w:color w:val="000000"/>
                <w:sz w:val="22"/>
                <w:szCs w:val="22"/>
              </w:rPr>
              <w:t>.</w:t>
            </w:r>
          </w:p>
          <w:p w14:paraId="6ED50ABD" w14:textId="77777777" w:rsidR="00993428" w:rsidRPr="00AC01F5" w:rsidRDefault="00993428" w:rsidP="00E061A4">
            <w:pPr>
              <w:jc w:val="both"/>
            </w:pPr>
          </w:p>
          <w:p w14:paraId="3CF252CB" w14:textId="3DB31FEB" w:rsidR="00993428" w:rsidRPr="00AC01F5" w:rsidRDefault="00993428" w:rsidP="00E061A4">
            <w:pPr>
              <w:jc w:val="both"/>
              <w:rPr>
                <w:rFonts w:ascii="Arial" w:hAnsi="Arial" w:cs="Arial"/>
                <w:sz w:val="22"/>
                <w:szCs w:val="22"/>
              </w:rPr>
            </w:pPr>
          </w:p>
        </w:tc>
      </w:tr>
      <w:tr w:rsidR="001336CE" w:rsidRPr="00170FDC" w14:paraId="66717CDC" w14:textId="77777777" w:rsidTr="0003097F">
        <w:trPr>
          <w:trHeight w:val="2268"/>
        </w:trPr>
        <w:tc>
          <w:tcPr>
            <w:tcW w:w="553" w:type="pct"/>
            <w:vAlign w:val="center"/>
          </w:tcPr>
          <w:p w14:paraId="542527D4" w14:textId="77777777" w:rsidR="001336CE" w:rsidRPr="00170FDC" w:rsidRDefault="001336CE" w:rsidP="001336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075D0F9" w14:textId="77777777" w:rsidR="001336CE" w:rsidRPr="006E166E" w:rsidRDefault="001336CE" w:rsidP="001336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2DEBBF2" w14:textId="77777777" w:rsidR="001336CE" w:rsidRPr="008E44C8" w:rsidRDefault="001336CE" w:rsidP="00183142">
            <w:pPr>
              <w:pStyle w:val="Legenda"/>
              <w:jc w:val="center"/>
              <w:rPr>
                <w:rFonts w:cs="Arial"/>
                <w:color w:val="000000" w:themeColor="text1"/>
                <w:sz w:val="22"/>
                <w:szCs w:val="22"/>
              </w:rPr>
            </w:pPr>
            <w:r w:rsidRPr="008E44C8">
              <w:rPr>
                <w:rFonts w:cs="Arial"/>
                <w:color w:val="000000" w:themeColor="text1"/>
                <w:sz w:val="22"/>
                <w:szCs w:val="22"/>
              </w:rPr>
              <w:t>27.2.6</w:t>
            </w:r>
          </w:p>
        </w:tc>
        <w:tc>
          <w:tcPr>
            <w:tcW w:w="1386" w:type="pct"/>
            <w:vAlign w:val="center"/>
          </w:tcPr>
          <w:p w14:paraId="2B000824" w14:textId="45BE5779" w:rsidR="001336CE" w:rsidRPr="00D44CED" w:rsidRDefault="001336CE" w:rsidP="00183142">
            <w:pPr>
              <w:pStyle w:val="Contrato-Clausula-Nvel2-1dezena"/>
              <w:numPr>
                <w:ilvl w:val="0"/>
                <w:numId w:val="0"/>
              </w:numPr>
            </w:pPr>
            <w:r w:rsidRPr="00D44CED">
              <w:t>A ANP poderá exigir do Concessionário quaisquer documentos necessários para dirimir eventuais dúvidas das auditorias sob sua responsabilidade</w:t>
            </w:r>
          </w:p>
        </w:tc>
        <w:tc>
          <w:tcPr>
            <w:tcW w:w="2126" w:type="pct"/>
            <w:vAlign w:val="center"/>
          </w:tcPr>
          <w:p w14:paraId="3B45238C" w14:textId="4C3A0230" w:rsidR="001336CE" w:rsidRPr="00D44CED" w:rsidRDefault="00AC01F5" w:rsidP="00E061A4">
            <w:pPr>
              <w:pStyle w:val="Contrato-Clausula-Nvel2-1dezena"/>
              <w:numPr>
                <w:ilvl w:val="0"/>
                <w:numId w:val="0"/>
              </w:numPr>
              <w:rPr>
                <w:rFonts w:cs="Arial"/>
                <w:sz w:val="24"/>
                <w:szCs w:val="24"/>
              </w:rPr>
            </w:pPr>
            <w:r>
              <w:t>Vide comentário anterior aplicável a cláusula 27.2.5.</w:t>
            </w:r>
            <w:r w:rsidR="001336CE" w:rsidRPr="00D44CED">
              <w:t xml:space="preserve"> </w:t>
            </w:r>
          </w:p>
        </w:tc>
      </w:tr>
      <w:tr w:rsidR="00AC01F5" w:rsidRPr="00170FDC" w14:paraId="2FF46322" w14:textId="77777777" w:rsidTr="0003097F">
        <w:trPr>
          <w:trHeight w:val="2268"/>
        </w:trPr>
        <w:tc>
          <w:tcPr>
            <w:tcW w:w="553" w:type="pct"/>
            <w:vAlign w:val="center"/>
          </w:tcPr>
          <w:p w14:paraId="2ACFFD4F"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8357D12"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70BC5F4"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28.5</w:t>
            </w:r>
          </w:p>
        </w:tc>
        <w:tc>
          <w:tcPr>
            <w:tcW w:w="1386" w:type="pct"/>
            <w:vAlign w:val="center"/>
          </w:tcPr>
          <w:p w14:paraId="69B5CDC5" w14:textId="77777777" w:rsidR="00AC01F5" w:rsidRPr="00170FDC" w:rsidRDefault="00AC01F5" w:rsidP="00183142">
            <w:pPr>
              <w:pStyle w:val="Contrato-Clausula-Nvel2-1dezena"/>
              <w:numPr>
                <w:ilvl w:val="0"/>
                <w:numId w:val="0"/>
              </w:numPr>
              <w:rPr>
                <w:rFonts w:cs="Arial"/>
                <w:szCs w:val="22"/>
              </w:rPr>
            </w:pPr>
            <w:r>
              <w:t>Os</w:t>
            </w:r>
            <w:r w:rsidRPr="00345793">
              <w:t xml:space="preserve"> Concessionário</w:t>
            </w:r>
            <w:r>
              <w:t>s</w:t>
            </w:r>
            <w:r w:rsidRPr="00345793">
              <w:t xml:space="preserve"> dever</w:t>
            </w:r>
            <w:r>
              <w:t>ão</w:t>
            </w:r>
            <w:r w:rsidRPr="00345793">
              <w:t xml:space="preserve"> notifica</w:t>
            </w:r>
            <w:r>
              <w:t>r</w:t>
            </w:r>
            <w:r w:rsidRPr="00345793">
              <w:t xml:space="preserve"> </w:t>
            </w:r>
            <w:r>
              <w:t>a</w:t>
            </w:r>
            <w:r w:rsidRPr="00345793">
              <w:t xml:space="preserve"> ANP</w:t>
            </w:r>
            <w:r>
              <w:t xml:space="preserve"> sobre a alteração de seu controle societário no prazo de</w:t>
            </w:r>
            <w:r w:rsidRPr="00345793">
              <w:t xml:space="preserve"> </w:t>
            </w:r>
            <w:r>
              <w:t>90 (noventa)</w:t>
            </w:r>
            <w:r w:rsidRPr="00345793">
              <w:t xml:space="preserve"> dias, contados da </w:t>
            </w:r>
            <w:r>
              <w:t xml:space="preserve">averbação do ato societário no órgão de registro competente, </w:t>
            </w:r>
            <w:r w:rsidRPr="001502F2">
              <w:rPr>
                <w:rFonts w:cs="Arial"/>
                <w:szCs w:val="24"/>
              </w:rPr>
              <w:t>sobre a alteração do seu controle societário, que implique na exclusão do concessionário do grupo econômico do qual pertencia originalmente</w:t>
            </w:r>
            <w:r>
              <w:rPr>
                <w:rFonts w:cs="Arial"/>
                <w:szCs w:val="24"/>
              </w:rPr>
              <w:t xml:space="preserve"> </w:t>
            </w:r>
            <w:r>
              <w:t>nos termos da Legislação Aplicável.</w:t>
            </w:r>
          </w:p>
        </w:tc>
        <w:tc>
          <w:tcPr>
            <w:tcW w:w="2126" w:type="pct"/>
            <w:vAlign w:val="center"/>
          </w:tcPr>
          <w:p w14:paraId="72BBF6B5" w14:textId="2451F3CB" w:rsidR="00AC01F5" w:rsidRPr="00AA2CC2" w:rsidRDefault="006A7B34" w:rsidP="00E061A4">
            <w:pPr>
              <w:autoSpaceDE w:val="0"/>
              <w:autoSpaceDN w:val="0"/>
              <w:adjustRightInd w:val="0"/>
              <w:jc w:val="both"/>
              <w:rPr>
                <w:rFonts w:ascii="Arial" w:hAnsi="Arial" w:cs="Arial"/>
                <w:sz w:val="22"/>
                <w:szCs w:val="22"/>
              </w:rPr>
            </w:pPr>
            <w:r>
              <w:rPr>
                <w:rFonts w:ascii="Arial" w:hAnsi="Arial" w:cs="Arial"/>
                <w:sz w:val="22"/>
                <w:szCs w:val="22"/>
              </w:rPr>
              <w:t>O IBP reitera seu posicionamento manifestado na Consulta Pública para revisão dos Procedimentos de Cessão de Contratos de E&amp;</w:t>
            </w:r>
            <w:r w:rsidR="00D04E19">
              <w:rPr>
                <w:rFonts w:ascii="Arial" w:hAnsi="Arial" w:cs="Arial"/>
                <w:sz w:val="22"/>
                <w:szCs w:val="22"/>
              </w:rPr>
              <w:t>P</w:t>
            </w:r>
            <w:r>
              <w:rPr>
                <w:rFonts w:ascii="Arial" w:hAnsi="Arial" w:cs="Arial"/>
                <w:sz w:val="22"/>
                <w:szCs w:val="22"/>
              </w:rPr>
              <w:t xml:space="preserve">, no sentido de que </w:t>
            </w:r>
            <w:r w:rsidR="00C05C19">
              <w:rPr>
                <w:rFonts w:ascii="Arial" w:hAnsi="Arial" w:cs="Arial"/>
                <w:sz w:val="22"/>
                <w:szCs w:val="22"/>
              </w:rPr>
              <w:t xml:space="preserve">a obrigação de notificar a ANP deve ser aplicável à hipótese em que ocorra </w:t>
            </w:r>
            <w:r w:rsidR="00D04E19">
              <w:rPr>
                <w:rFonts w:ascii="Arial" w:hAnsi="Arial" w:cs="Arial"/>
                <w:sz w:val="22"/>
                <w:szCs w:val="22"/>
              </w:rPr>
              <w:t xml:space="preserve">alteração do controle societário </w:t>
            </w:r>
            <w:r w:rsidR="00C05C19">
              <w:rPr>
                <w:rFonts w:ascii="Arial" w:hAnsi="Arial" w:cs="Arial"/>
                <w:sz w:val="22"/>
                <w:szCs w:val="22"/>
              </w:rPr>
              <w:t xml:space="preserve">que implique </w:t>
            </w:r>
            <w:r w:rsidR="00D04E19">
              <w:rPr>
                <w:rFonts w:ascii="Arial" w:hAnsi="Arial" w:cs="Arial"/>
                <w:sz w:val="22"/>
                <w:szCs w:val="22"/>
              </w:rPr>
              <w:t>na exclusão do Concessionário do grupo econômico ao qual pertencia originalmente</w:t>
            </w:r>
            <w:r w:rsidR="00AA2CC2">
              <w:rPr>
                <w:rFonts w:ascii="Arial" w:hAnsi="Arial" w:cs="Arial"/>
                <w:sz w:val="22"/>
                <w:szCs w:val="22"/>
              </w:rPr>
              <w:t>.</w:t>
            </w:r>
          </w:p>
        </w:tc>
      </w:tr>
      <w:tr w:rsidR="00AC01F5" w:rsidRPr="00170FDC" w14:paraId="56B4F0C8" w14:textId="77777777" w:rsidTr="0003097F">
        <w:trPr>
          <w:trHeight w:val="2268"/>
        </w:trPr>
        <w:tc>
          <w:tcPr>
            <w:tcW w:w="553" w:type="pct"/>
            <w:vAlign w:val="center"/>
          </w:tcPr>
          <w:p w14:paraId="4D8BE00D"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A1F1E41"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6D85AAF"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28.5.2</w:t>
            </w:r>
          </w:p>
        </w:tc>
        <w:tc>
          <w:tcPr>
            <w:tcW w:w="1386" w:type="pct"/>
            <w:vAlign w:val="center"/>
          </w:tcPr>
          <w:p w14:paraId="151BD8D3" w14:textId="77777777" w:rsidR="00AC01F5" w:rsidRPr="00170FDC" w:rsidRDefault="00AC01F5" w:rsidP="00183142">
            <w:pPr>
              <w:pStyle w:val="Contrato-Clausula-Nvel2-1dezena"/>
              <w:numPr>
                <w:ilvl w:val="0"/>
                <w:numId w:val="0"/>
              </w:numPr>
              <w:rPr>
                <w:rFonts w:cs="Arial"/>
                <w:szCs w:val="22"/>
              </w:rPr>
            </w:pPr>
            <w:r w:rsidRPr="001502F2">
              <w:rPr>
                <w:rFonts w:cs="Arial"/>
                <w:szCs w:val="24"/>
              </w:rPr>
              <w:t>Excetuam-se de tal obrigação, as alterações de controle societário ocorridas em sociedade controladora, mesmo que indiretas, cujas ações representativas de seu capital social se encontrem cotadas em bolsa de valores</w:t>
            </w:r>
            <w:r w:rsidRPr="001502F2">
              <w:t>.</w:t>
            </w:r>
          </w:p>
        </w:tc>
        <w:tc>
          <w:tcPr>
            <w:tcW w:w="2126" w:type="pct"/>
            <w:vAlign w:val="center"/>
          </w:tcPr>
          <w:p w14:paraId="6859C3AF" w14:textId="56E67BC6" w:rsidR="00AC01F5" w:rsidRPr="00170FDC" w:rsidRDefault="00AA2CC2" w:rsidP="00E061A4">
            <w:pPr>
              <w:pStyle w:val="Legenda"/>
              <w:jc w:val="both"/>
              <w:rPr>
                <w:rFonts w:cs="Arial"/>
                <w:sz w:val="22"/>
                <w:szCs w:val="22"/>
              </w:rPr>
            </w:pPr>
            <w:r>
              <w:rPr>
                <w:rFonts w:cs="Arial"/>
                <w:sz w:val="22"/>
                <w:szCs w:val="22"/>
              </w:rPr>
              <w:t>O IBP reitera seu posicionamento manifestado na Consulta Pública para revisão dos Procedimentos de Cessão de Contratos de E&amp;P</w:t>
            </w:r>
            <w:r w:rsidR="003A7B71">
              <w:rPr>
                <w:rFonts w:cs="Arial"/>
                <w:sz w:val="22"/>
                <w:szCs w:val="22"/>
              </w:rPr>
              <w:t>. Como esclarecido, para aquelas sociedades que tenham ações cotadas em bolsa de valores, alterações no controle societário não são passíveis de objeção ou controle</w:t>
            </w:r>
            <w:r w:rsidR="00AC01F5">
              <w:rPr>
                <w:rFonts w:cs="Arial"/>
                <w:sz w:val="22"/>
                <w:szCs w:val="22"/>
              </w:rPr>
              <w:t>.</w:t>
            </w:r>
          </w:p>
        </w:tc>
      </w:tr>
      <w:tr w:rsidR="00AC01F5" w:rsidRPr="00170FDC" w14:paraId="7394374D" w14:textId="77777777" w:rsidTr="0003097F">
        <w:trPr>
          <w:trHeight w:val="2268"/>
        </w:trPr>
        <w:tc>
          <w:tcPr>
            <w:tcW w:w="553" w:type="pct"/>
            <w:vAlign w:val="center"/>
          </w:tcPr>
          <w:p w14:paraId="76860B2F"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F6804CF"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48D410F"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28.6</w:t>
            </w:r>
          </w:p>
        </w:tc>
        <w:tc>
          <w:tcPr>
            <w:tcW w:w="1386" w:type="pct"/>
            <w:vAlign w:val="center"/>
          </w:tcPr>
          <w:p w14:paraId="5A059757" w14:textId="77777777" w:rsidR="00AC01F5" w:rsidRPr="00170FDC" w:rsidRDefault="00AC01F5" w:rsidP="00183142">
            <w:pPr>
              <w:pStyle w:val="Contrato-Clausula-Nvel2-1dezena"/>
              <w:numPr>
                <w:ilvl w:val="0"/>
                <w:numId w:val="0"/>
              </w:numPr>
              <w:rPr>
                <w:rFonts w:cs="Arial"/>
                <w:szCs w:val="22"/>
              </w:rPr>
            </w:pPr>
            <w:bookmarkStart w:id="20" w:name="_Ref72289353"/>
            <w:r w:rsidRPr="001502F2">
              <w:t>A Cessão no todo ou em parte da Área do Contrato será sempre de uma participação indivisa nos direitos e obrigações do Concessionário</w:t>
            </w:r>
            <w:bookmarkEnd w:id="20"/>
            <w:r w:rsidRPr="001502F2">
              <w:t>.</w:t>
            </w:r>
          </w:p>
        </w:tc>
        <w:tc>
          <w:tcPr>
            <w:tcW w:w="2126" w:type="pct"/>
            <w:vAlign w:val="center"/>
          </w:tcPr>
          <w:p w14:paraId="261FF879" w14:textId="77777777" w:rsidR="006E7BD6" w:rsidRDefault="006E7BD6" w:rsidP="00E061A4">
            <w:pPr>
              <w:pStyle w:val="Textodecomentrio"/>
              <w:jc w:val="both"/>
              <w:rPr>
                <w:rFonts w:ascii="Arial" w:hAnsi="Arial" w:cs="Arial"/>
                <w:sz w:val="22"/>
                <w:szCs w:val="22"/>
              </w:rPr>
            </w:pPr>
            <w:r>
              <w:rPr>
                <w:rFonts w:ascii="Arial" w:hAnsi="Arial" w:cs="Arial"/>
                <w:sz w:val="22"/>
                <w:szCs w:val="22"/>
              </w:rPr>
              <w:t xml:space="preserve">Esta sugestão também foi apresentada na oportunidade da Consulta Pública para revisão dos Procedimentos de Cessão de Contratos de E&amp;P. </w:t>
            </w:r>
          </w:p>
          <w:p w14:paraId="1EA41902" w14:textId="77777777" w:rsidR="006E7BD6" w:rsidRDefault="006E7BD6" w:rsidP="00E061A4">
            <w:pPr>
              <w:pStyle w:val="Textodecomentrio"/>
              <w:jc w:val="both"/>
              <w:rPr>
                <w:rFonts w:ascii="Arial" w:hAnsi="Arial" w:cs="Arial"/>
                <w:sz w:val="22"/>
                <w:szCs w:val="22"/>
              </w:rPr>
            </w:pPr>
          </w:p>
          <w:p w14:paraId="238BDBF8" w14:textId="4C795DD7" w:rsidR="00AC01F5" w:rsidRPr="00E80E67" w:rsidRDefault="006E7BD6" w:rsidP="00E061A4">
            <w:pPr>
              <w:pStyle w:val="Textodecomentrio"/>
              <w:jc w:val="both"/>
              <w:rPr>
                <w:rFonts w:ascii="Arial" w:hAnsi="Arial" w:cs="Arial"/>
              </w:rPr>
            </w:pPr>
            <w:r>
              <w:rPr>
                <w:rFonts w:ascii="Arial" w:hAnsi="Arial" w:cs="Arial"/>
                <w:sz w:val="22"/>
                <w:szCs w:val="22"/>
              </w:rPr>
              <w:t xml:space="preserve">Considerando que a </w:t>
            </w:r>
            <w:r w:rsidR="00AC01F5" w:rsidRPr="00E80E67">
              <w:rPr>
                <w:rFonts w:ascii="Arial" w:hAnsi="Arial" w:cs="Arial"/>
                <w:sz w:val="22"/>
                <w:szCs w:val="22"/>
              </w:rPr>
              <w:t>lei aplicável prevê as hipóteses de sobrevivência de obrigações por parte do cedente, as quais representam exceções (e não a regra), propõe-se excluir o fragmento em questão, de modo a evitar dúvidas e entendimentos equivocados quanto às obrigações assumidas pelo cessionário, em substituição ao cedente</w:t>
            </w:r>
            <w:r>
              <w:rPr>
                <w:rFonts w:ascii="Arial" w:hAnsi="Arial" w:cs="Arial"/>
                <w:sz w:val="22"/>
                <w:szCs w:val="22"/>
              </w:rPr>
              <w:t>,</w:t>
            </w:r>
            <w:r w:rsidR="00AC01F5" w:rsidRPr="00E80E67">
              <w:rPr>
                <w:rFonts w:ascii="Arial" w:hAnsi="Arial" w:cs="Arial"/>
                <w:sz w:val="22"/>
                <w:szCs w:val="22"/>
              </w:rPr>
              <w:t xml:space="preserve"> no contrato de concessão. Exigir do cedente o adimplemento de obrigações em período posterior à sua participação como concessionário, ressalvadas as hipóteses exaustivamente descritas na lei aplicável, é pouco razoável, além de legalmente questionável.</w:t>
            </w:r>
          </w:p>
          <w:p w14:paraId="47827A22" w14:textId="77777777" w:rsidR="00AC01F5" w:rsidRPr="00170FDC" w:rsidRDefault="00AC01F5" w:rsidP="00E061A4">
            <w:pPr>
              <w:pStyle w:val="Legenda"/>
              <w:jc w:val="both"/>
              <w:rPr>
                <w:rFonts w:cs="Arial"/>
                <w:sz w:val="22"/>
                <w:szCs w:val="22"/>
              </w:rPr>
            </w:pPr>
          </w:p>
        </w:tc>
      </w:tr>
      <w:tr w:rsidR="00AC01F5" w:rsidRPr="00170FDC" w14:paraId="417B1534" w14:textId="77777777" w:rsidTr="0003097F">
        <w:trPr>
          <w:trHeight w:val="2268"/>
        </w:trPr>
        <w:tc>
          <w:tcPr>
            <w:tcW w:w="553" w:type="pct"/>
            <w:vAlign w:val="center"/>
          </w:tcPr>
          <w:p w14:paraId="181A73B8"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9D61F4D"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367BB56C"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28.7.2</w:t>
            </w:r>
          </w:p>
        </w:tc>
        <w:tc>
          <w:tcPr>
            <w:tcW w:w="1386" w:type="pct"/>
            <w:vAlign w:val="center"/>
          </w:tcPr>
          <w:p w14:paraId="42EBD204" w14:textId="77777777" w:rsidR="00AC01F5" w:rsidRPr="00034B65" w:rsidRDefault="00AC01F5" w:rsidP="00183142">
            <w:pPr>
              <w:pStyle w:val="Contrato-Clausula-Nvel2-1dezena"/>
              <w:numPr>
                <w:ilvl w:val="0"/>
                <w:numId w:val="0"/>
              </w:numPr>
              <w:rPr>
                <w:rFonts w:cs="Arial"/>
                <w:strike/>
                <w:szCs w:val="22"/>
              </w:rPr>
            </w:pPr>
          </w:p>
        </w:tc>
        <w:tc>
          <w:tcPr>
            <w:tcW w:w="2126" w:type="pct"/>
            <w:vAlign w:val="center"/>
          </w:tcPr>
          <w:p w14:paraId="6BE4BEDD" w14:textId="77777777" w:rsidR="00AC01F5" w:rsidRPr="00170FDC" w:rsidRDefault="00AC01F5" w:rsidP="00E061A4">
            <w:pPr>
              <w:pStyle w:val="Legenda"/>
              <w:jc w:val="both"/>
              <w:rPr>
                <w:rFonts w:cs="Arial"/>
                <w:sz w:val="22"/>
                <w:szCs w:val="22"/>
              </w:rPr>
            </w:pPr>
            <w:r>
              <w:rPr>
                <w:rFonts w:cs="Arial"/>
                <w:sz w:val="22"/>
                <w:szCs w:val="22"/>
              </w:rPr>
              <w:t xml:space="preserve">O IBP sugere </w:t>
            </w:r>
            <w:r w:rsidRPr="003B2E8F">
              <w:rPr>
                <w:rFonts w:cs="Arial"/>
                <w:sz w:val="22"/>
                <w:szCs w:val="22"/>
              </w:rPr>
              <w:t>a exclusão desta cláusula considerando que não existe previsão legal para a determinação de um programa exploratório mínimo adicional para as áreas. Tal medida seria</w:t>
            </w:r>
            <w:r>
              <w:rPr>
                <w:rFonts w:cs="Arial"/>
                <w:sz w:val="22"/>
                <w:szCs w:val="22"/>
              </w:rPr>
              <w:t xml:space="preserve"> </w:t>
            </w:r>
            <w:r w:rsidRPr="003B2E8F">
              <w:rPr>
                <w:rFonts w:cs="Arial"/>
                <w:sz w:val="22"/>
                <w:szCs w:val="22"/>
              </w:rPr>
              <w:t>desproporcional e onerosa para as partes, uma vez que seria alterado um critério ofertado por ocasião da licitação da área – a mera divisão dos blocos não deveria ensejar a adição de mais compromissos exploratórios.</w:t>
            </w:r>
          </w:p>
        </w:tc>
      </w:tr>
      <w:tr w:rsidR="00AC01F5" w:rsidRPr="00170FDC" w14:paraId="5193B5BD" w14:textId="77777777" w:rsidTr="0003097F">
        <w:trPr>
          <w:trHeight w:val="2268"/>
        </w:trPr>
        <w:tc>
          <w:tcPr>
            <w:tcW w:w="553" w:type="pct"/>
            <w:vAlign w:val="center"/>
          </w:tcPr>
          <w:p w14:paraId="29E93B8B"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39DFA31"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0E941A92"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28.7.3</w:t>
            </w:r>
          </w:p>
        </w:tc>
        <w:tc>
          <w:tcPr>
            <w:tcW w:w="1386" w:type="pct"/>
            <w:vAlign w:val="center"/>
          </w:tcPr>
          <w:p w14:paraId="62CC14C0" w14:textId="77777777" w:rsidR="00AC01F5" w:rsidRPr="00436DFE" w:rsidRDefault="00AC01F5" w:rsidP="00183142">
            <w:pPr>
              <w:pStyle w:val="Contrato-Clausula-Nvel2-1dezena"/>
              <w:numPr>
                <w:ilvl w:val="0"/>
                <w:numId w:val="0"/>
              </w:numPr>
              <w:rPr>
                <w:rFonts w:cs="Arial"/>
                <w:strike/>
                <w:szCs w:val="22"/>
              </w:rPr>
            </w:pPr>
          </w:p>
        </w:tc>
        <w:tc>
          <w:tcPr>
            <w:tcW w:w="2126" w:type="pct"/>
            <w:vAlign w:val="center"/>
          </w:tcPr>
          <w:p w14:paraId="4A44EF0E" w14:textId="77777777" w:rsidR="00AC01F5" w:rsidRPr="00170FDC" w:rsidRDefault="00AC01F5" w:rsidP="00E061A4">
            <w:pPr>
              <w:pStyle w:val="Legenda"/>
              <w:jc w:val="both"/>
              <w:rPr>
                <w:rFonts w:cs="Arial"/>
                <w:sz w:val="22"/>
                <w:szCs w:val="22"/>
              </w:rPr>
            </w:pPr>
            <w:r w:rsidRPr="003B2E8F">
              <w:rPr>
                <w:rFonts w:cs="Arial"/>
                <w:sz w:val="22"/>
                <w:szCs w:val="22"/>
              </w:rPr>
              <w:t>Vide justificativa a cláusula 28.7.2</w:t>
            </w:r>
          </w:p>
        </w:tc>
      </w:tr>
      <w:tr w:rsidR="00AC01F5" w:rsidRPr="00170FDC" w14:paraId="0AB0CB09" w14:textId="77777777" w:rsidTr="0003097F">
        <w:trPr>
          <w:trHeight w:val="2268"/>
        </w:trPr>
        <w:tc>
          <w:tcPr>
            <w:tcW w:w="553" w:type="pct"/>
            <w:vAlign w:val="center"/>
          </w:tcPr>
          <w:p w14:paraId="2AB002B5"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D649493"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6A4956E"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28.9</w:t>
            </w:r>
          </w:p>
        </w:tc>
        <w:tc>
          <w:tcPr>
            <w:tcW w:w="1386" w:type="pct"/>
            <w:vAlign w:val="center"/>
          </w:tcPr>
          <w:p w14:paraId="0305887D" w14:textId="77777777" w:rsidR="00AC01F5" w:rsidRPr="00345793" w:rsidRDefault="00AC01F5" w:rsidP="00183142">
            <w:pPr>
              <w:pStyle w:val="Contrato-Clausula-Nvel2-1dezena"/>
              <w:numPr>
                <w:ilvl w:val="0"/>
                <w:numId w:val="0"/>
              </w:numPr>
            </w:pPr>
            <w:r w:rsidRPr="00345793">
              <w:t xml:space="preserve">Qualquer Cessão que não cumpra o disposto nesta Cláusula </w:t>
            </w:r>
            <w:r>
              <w:t>ou na Legislação Aplicável</w:t>
            </w:r>
            <w:r w:rsidRPr="00345793">
              <w:t xml:space="preserve"> será </w:t>
            </w:r>
            <w:r>
              <w:t>anulável e sujeita às penalidades previstas neste Contrato e na Legislação Aplicável</w:t>
            </w:r>
            <w:r w:rsidRPr="00345793">
              <w:t>.</w:t>
            </w:r>
          </w:p>
        </w:tc>
        <w:tc>
          <w:tcPr>
            <w:tcW w:w="2126" w:type="pct"/>
            <w:vAlign w:val="center"/>
          </w:tcPr>
          <w:p w14:paraId="70C58420" w14:textId="77777777" w:rsidR="00594975" w:rsidRDefault="00594975" w:rsidP="00E061A4">
            <w:pPr>
              <w:pStyle w:val="Contrato-Clausula-Nvel2-1dezena"/>
              <w:numPr>
                <w:ilvl w:val="0"/>
                <w:numId w:val="0"/>
              </w:numPr>
              <w:rPr>
                <w:rFonts w:cs="Arial"/>
                <w:szCs w:val="22"/>
              </w:rPr>
            </w:pPr>
            <w:r>
              <w:rPr>
                <w:rFonts w:cs="Arial"/>
                <w:szCs w:val="22"/>
              </w:rPr>
              <w:t xml:space="preserve">Esta sugestão também foi apresentada na oportunidade da Consulta Pública para revisão dos Procedimentos de Cessão de Contratos de E&amp;P. </w:t>
            </w:r>
          </w:p>
          <w:p w14:paraId="0651C9A1" w14:textId="646AA1A1" w:rsidR="00AC01F5" w:rsidRPr="00436DFE" w:rsidRDefault="00AC01F5" w:rsidP="00E061A4">
            <w:pPr>
              <w:pStyle w:val="Contrato-Clausula-Nvel2-1dezena"/>
              <w:numPr>
                <w:ilvl w:val="0"/>
                <w:numId w:val="0"/>
              </w:numPr>
            </w:pPr>
            <w:r>
              <w:t>Eventuais vícios no processo de cessão podem ser sanados, havendo, portanto, a possibilidade de convalidação do ato jurídico.</w:t>
            </w:r>
          </w:p>
        </w:tc>
      </w:tr>
      <w:tr w:rsidR="00AC01F5" w:rsidRPr="00170FDC" w14:paraId="009F4995" w14:textId="77777777" w:rsidTr="0003097F">
        <w:trPr>
          <w:trHeight w:val="2268"/>
        </w:trPr>
        <w:tc>
          <w:tcPr>
            <w:tcW w:w="553" w:type="pct"/>
            <w:vAlign w:val="center"/>
          </w:tcPr>
          <w:p w14:paraId="3B69BC73"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26F6E75"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7ED59EA"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28.11, alínea “a”</w:t>
            </w:r>
          </w:p>
        </w:tc>
        <w:tc>
          <w:tcPr>
            <w:tcW w:w="1386" w:type="pct"/>
            <w:vAlign w:val="center"/>
          </w:tcPr>
          <w:p w14:paraId="179F56ED" w14:textId="77777777" w:rsidR="00AC01F5" w:rsidRPr="003E43F8" w:rsidRDefault="00AC01F5" w:rsidP="00183142">
            <w:pPr>
              <w:pStyle w:val="Contrato-Clausula-Nvel2-1dezena"/>
              <w:numPr>
                <w:ilvl w:val="0"/>
                <w:numId w:val="0"/>
              </w:numPr>
              <w:rPr>
                <w:szCs w:val="22"/>
              </w:rPr>
            </w:pPr>
            <w:r w:rsidRPr="003E43F8">
              <w:rPr>
                <w:szCs w:val="22"/>
              </w:rPr>
              <w:t>os concessionários estejam adimplentes com as obrigações do Contrato, salvo se tais obrigações estiverem sendo contestadas nas vias administrativa, judicial e/ou arbitral</w:t>
            </w:r>
          </w:p>
        </w:tc>
        <w:tc>
          <w:tcPr>
            <w:tcW w:w="2126" w:type="pct"/>
            <w:vAlign w:val="center"/>
          </w:tcPr>
          <w:p w14:paraId="298447F8" w14:textId="77777777" w:rsidR="00594975" w:rsidRDefault="00594975" w:rsidP="00E061A4">
            <w:pPr>
              <w:pStyle w:val="Textodecomentrio"/>
              <w:jc w:val="both"/>
              <w:rPr>
                <w:rFonts w:ascii="Arial" w:hAnsi="Arial" w:cs="Arial"/>
                <w:sz w:val="22"/>
                <w:szCs w:val="22"/>
              </w:rPr>
            </w:pPr>
            <w:r>
              <w:rPr>
                <w:rFonts w:ascii="Arial" w:hAnsi="Arial" w:cs="Arial"/>
                <w:sz w:val="22"/>
                <w:szCs w:val="22"/>
              </w:rPr>
              <w:t xml:space="preserve">Esta sugestão também foi apresentada na oportunidade da Consulta Pública para revisão dos Procedimentos de Cessão de Contratos de E&amp;P. </w:t>
            </w:r>
          </w:p>
          <w:p w14:paraId="2325B7B9" w14:textId="77777777" w:rsidR="00594975" w:rsidRDefault="00594975" w:rsidP="00E061A4">
            <w:pPr>
              <w:pStyle w:val="Textodecomentrio"/>
              <w:jc w:val="both"/>
              <w:rPr>
                <w:rFonts w:ascii="Arial" w:hAnsi="Arial" w:cs="Arial"/>
                <w:sz w:val="22"/>
                <w:szCs w:val="22"/>
              </w:rPr>
            </w:pPr>
          </w:p>
          <w:p w14:paraId="56D691AC" w14:textId="52C9CF62" w:rsidR="00AC01F5" w:rsidRPr="003B2E8F" w:rsidRDefault="00AC01F5" w:rsidP="00E061A4">
            <w:pPr>
              <w:pStyle w:val="Textodecomentrio"/>
              <w:jc w:val="both"/>
              <w:rPr>
                <w:rFonts w:ascii="Arial" w:hAnsi="Arial" w:cs="Arial"/>
                <w:sz w:val="22"/>
                <w:szCs w:val="22"/>
              </w:rPr>
            </w:pPr>
            <w:r w:rsidRPr="003E43F8">
              <w:rPr>
                <w:rFonts w:ascii="Arial" w:hAnsi="Arial" w:cs="Arial"/>
                <w:sz w:val="22"/>
                <w:szCs w:val="22"/>
              </w:rPr>
              <w:t>Não condicionar o pedido de cessão nos casos em que o concessionário esteja exercendo seu direito de contestar em qualquer esfera.</w:t>
            </w:r>
          </w:p>
        </w:tc>
      </w:tr>
      <w:tr w:rsidR="00AC01F5" w:rsidRPr="00170FDC" w14:paraId="2BA52E5A" w14:textId="77777777" w:rsidTr="0003097F">
        <w:trPr>
          <w:trHeight w:val="2268"/>
        </w:trPr>
        <w:tc>
          <w:tcPr>
            <w:tcW w:w="553" w:type="pct"/>
            <w:vAlign w:val="center"/>
          </w:tcPr>
          <w:p w14:paraId="79D6814A"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52ADB83"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4833F7B2"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28.11, alínea “b”</w:t>
            </w:r>
          </w:p>
        </w:tc>
        <w:tc>
          <w:tcPr>
            <w:tcW w:w="1386" w:type="pct"/>
            <w:vAlign w:val="center"/>
          </w:tcPr>
          <w:p w14:paraId="0CB24FF8" w14:textId="77777777" w:rsidR="00AC01F5" w:rsidRPr="00170FDC" w:rsidRDefault="00AC01F5" w:rsidP="00183142">
            <w:pPr>
              <w:pStyle w:val="Contrato-Clausula-Nvel2-1dezena"/>
              <w:numPr>
                <w:ilvl w:val="0"/>
                <w:numId w:val="0"/>
              </w:numPr>
              <w:rPr>
                <w:rFonts w:cs="Arial"/>
                <w:szCs w:val="22"/>
              </w:rPr>
            </w:pPr>
          </w:p>
        </w:tc>
        <w:tc>
          <w:tcPr>
            <w:tcW w:w="2126" w:type="pct"/>
            <w:vAlign w:val="center"/>
          </w:tcPr>
          <w:p w14:paraId="2AA24F48" w14:textId="77777777" w:rsidR="007C3E04" w:rsidRDefault="007C3E04" w:rsidP="00E061A4">
            <w:pPr>
              <w:pStyle w:val="Textodecomentrio"/>
              <w:jc w:val="both"/>
              <w:rPr>
                <w:rFonts w:ascii="Arial" w:hAnsi="Arial" w:cs="Arial"/>
                <w:sz w:val="22"/>
                <w:szCs w:val="22"/>
              </w:rPr>
            </w:pPr>
          </w:p>
          <w:p w14:paraId="6EE1A229" w14:textId="4A61F289" w:rsidR="007C3E04" w:rsidRDefault="007C3E04" w:rsidP="00E061A4">
            <w:pPr>
              <w:pStyle w:val="Textodecomentrio"/>
              <w:jc w:val="both"/>
              <w:rPr>
                <w:rFonts w:ascii="Arial" w:hAnsi="Arial" w:cs="Arial"/>
                <w:sz w:val="22"/>
                <w:szCs w:val="22"/>
              </w:rPr>
            </w:pPr>
            <w:r>
              <w:rPr>
                <w:rFonts w:ascii="Arial" w:hAnsi="Arial" w:cs="Arial"/>
                <w:sz w:val="22"/>
                <w:szCs w:val="22"/>
              </w:rPr>
              <w:t>Esta sugestão também foi apresentada na oportunidade da Consulta Pública para revisão dos Procedimentos de Cessão de Contratos de E&amp;P.</w:t>
            </w:r>
          </w:p>
          <w:p w14:paraId="6116FFD8" w14:textId="77777777" w:rsidR="007C3E04" w:rsidRDefault="007C3E04" w:rsidP="00E061A4">
            <w:pPr>
              <w:pStyle w:val="Textodecomentrio"/>
              <w:jc w:val="both"/>
              <w:rPr>
                <w:rFonts w:ascii="Arial" w:hAnsi="Arial" w:cs="Arial"/>
                <w:sz w:val="22"/>
                <w:szCs w:val="22"/>
              </w:rPr>
            </w:pPr>
          </w:p>
          <w:p w14:paraId="2FB28A94" w14:textId="77777777" w:rsidR="00AC01F5" w:rsidRDefault="00AC01F5" w:rsidP="00E061A4">
            <w:pPr>
              <w:pStyle w:val="Textodecomentrio"/>
              <w:jc w:val="both"/>
              <w:rPr>
                <w:rFonts w:ascii="Arial" w:hAnsi="Arial" w:cs="Arial"/>
                <w:sz w:val="22"/>
                <w:szCs w:val="22"/>
              </w:rPr>
            </w:pPr>
            <w:r w:rsidRPr="008E44C8">
              <w:rPr>
                <w:rFonts w:ascii="Arial" w:hAnsi="Arial" w:cs="Arial"/>
                <w:sz w:val="22"/>
                <w:szCs w:val="22"/>
              </w:rPr>
              <w:t>Entendemos que a adimplência das obrigações de cedente e do cessionário deve limitar-se ao contrato em questão, sob pena de ser desproporcional.</w:t>
            </w:r>
          </w:p>
          <w:p w14:paraId="6F7B0D0E" w14:textId="77777777" w:rsidR="00AC01F5" w:rsidRPr="008E44C8" w:rsidRDefault="00AC01F5" w:rsidP="00E061A4">
            <w:pPr>
              <w:pStyle w:val="Textodecomentrio"/>
              <w:jc w:val="both"/>
              <w:rPr>
                <w:rFonts w:ascii="Arial" w:hAnsi="Arial" w:cs="Arial"/>
                <w:sz w:val="22"/>
                <w:szCs w:val="22"/>
              </w:rPr>
            </w:pPr>
          </w:p>
          <w:p w14:paraId="5EB0C241" w14:textId="151AEABE" w:rsidR="00AC01F5" w:rsidRDefault="00AC01F5" w:rsidP="00E061A4">
            <w:pPr>
              <w:pStyle w:val="Textodecomentrio"/>
              <w:jc w:val="both"/>
              <w:rPr>
                <w:rFonts w:ascii="Arial" w:hAnsi="Arial" w:cs="Arial"/>
                <w:sz w:val="22"/>
                <w:szCs w:val="22"/>
              </w:rPr>
            </w:pPr>
            <w:r w:rsidRPr="0064033F">
              <w:rPr>
                <w:rFonts w:ascii="Arial" w:hAnsi="Arial" w:cs="Arial"/>
                <w:sz w:val="22"/>
                <w:szCs w:val="22"/>
              </w:rPr>
              <w:t>A redação sugerida pela Agência no sentido de que o cedente e cessionário não podem contar com débitos de P</w:t>
            </w:r>
            <w:r w:rsidR="00177029">
              <w:rPr>
                <w:rFonts w:ascii="Arial" w:hAnsi="Arial" w:cs="Arial"/>
                <w:sz w:val="22"/>
                <w:szCs w:val="22"/>
              </w:rPr>
              <w:t xml:space="preserve">articipações </w:t>
            </w:r>
            <w:r w:rsidRPr="0064033F">
              <w:rPr>
                <w:rFonts w:ascii="Arial" w:hAnsi="Arial" w:cs="Arial"/>
                <w:sz w:val="22"/>
                <w:szCs w:val="22"/>
              </w:rPr>
              <w:t>G</w:t>
            </w:r>
            <w:r w:rsidR="00177029">
              <w:rPr>
                <w:rFonts w:ascii="Arial" w:hAnsi="Arial" w:cs="Arial"/>
                <w:sz w:val="22"/>
                <w:szCs w:val="22"/>
              </w:rPr>
              <w:t>overnamentai</w:t>
            </w:r>
            <w:r w:rsidRPr="0064033F">
              <w:rPr>
                <w:rFonts w:ascii="Arial" w:hAnsi="Arial" w:cs="Arial"/>
                <w:sz w:val="22"/>
                <w:szCs w:val="22"/>
              </w:rPr>
              <w:t>s (e de terceiros), no contrato cedido ou em qualquer outro contrato de E&amp;P, tem um alcance muito amplo, podendo, inclusive, atingir questões que estão judicializadas ou pendentes de exame por esse regulador, entre outras hipóteses.</w:t>
            </w:r>
          </w:p>
          <w:p w14:paraId="3E190E4E" w14:textId="77777777" w:rsidR="00AC01F5" w:rsidRPr="0064033F" w:rsidRDefault="00AC01F5" w:rsidP="00E061A4">
            <w:pPr>
              <w:pStyle w:val="Textodecomentrio"/>
              <w:jc w:val="both"/>
              <w:rPr>
                <w:rFonts w:ascii="Arial" w:hAnsi="Arial" w:cs="Arial"/>
                <w:sz w:val="22"/>
                <w:szCs w:val="22"/>
              </w:rPr>
            </w:pPr>
          </w:p>
          <w:p w14:paraId="6246A63E" w14:textId="77777777" w:rsidR="00AC01F5" w:rsidRDefault="00AC01F5" w:rsidP="00E061A4">
            <w:pPr>
              <w:pStyle w:val="Textodecomentrio"/>
              <w:jc w:val="both"/>
              <w:rPr>
                <w:rFonts w:ascii="Arial" w:hAnsi="Arial" w:cs="Arial"/>
                <w:sz w:val="22"/>
                <w:szCs w:val="22"/>
              </w:rPr>
            </w:pPr>
            <w:r w:rsidRPr="0064033F">
              <w:rPr>
                <w:rFonts w:ascii="Arial" w:hAnsi="Arial" w:cs="Arial"/>
                <w:sz w:val="22"/>
                <w:szCs w:val="22"/>
              </w:rPr>
              <w:t xml:space="preserve">A respeito, é válido recordar que os Tribunais sempre rechaçaram com veemência os meios de cobrança indireto que a Administração Pública cria para a cobrança de seus créditos, definindo, como se identifica na jurisprudência, sanções políticas, como a ANP busca implementar na redação desse dispositivo.  Entendemos relevante recordar, </w:t>
            </w:r>
            <w:r w:rsidRPr="008E44C8">
              <w:rPr>
                <w:rFonts w:ascii="Arial" w:hAnsi="Arial" w:cs="Arial"/>
                <w:sz w:val="22"/>
                <w:szCs w:val="22"/>
              </w:rPr>
              <w:t>mutatis mutandis</w:t>
            </w:r>
            <w:r w:rsidRPr="0064033F">
              <w:rPr>
                <w:rFonts w:ascii="Arial" w:hAnsi="Arial" w:cs="Arial"/>
                <w:sz w:val="22"/>
                <w:szCs w:val="22"/>
              </w:rPr>
              <w:t>, o teor da súmula 547 do STF (“Não é lícito à autoridade proibir que o contribuinte em débito adquira estampilhas, despache mercadorias nas alfândegas e exerça suas atividades profissionais.)  É dizer, a forma como busca tratar a ANP atinge direta e concretamente as atividades econômicas de nossas associadas.</w:t>
            </w:r>
          </w:p>
          <w:p w14:paraId="4B64858B" w14:textId="77777777" w:rsidR="00AC01F5" w:rsidRPr="0064033F" w:rsidRDefault="00AC01F5" w:rsidP="00E061A4">
            <w:pPr>
              <w:pStyle w:val="Textodecomentrio"/>
              <w:jc w:val="both"/>
              <w:rPr>
                <w:rFonts w:ascii="Arial" w:hAnsi="Arial" w:cs="Arial"/>
                <w:sz w:val="22"/>
                <w:szCs w:val="22"/>
              </w:rPr>
            </w:pPr>
          </w:p>
          <w:p w14:paraId="6A640A59" w14:textId="77777777" w:rsidR="00AC01F5" w:rsidRPr="0064033F" w:rsidRDefault="00AC01F5" w:rsidP="00E061A4">
            <w:pPr>
              <w:pStyle w:val="Textodecomentrio"/>
              <w:jc w:val="both"/>
              <w:rPr>
                <w:rFonts w:ascii="Arial" w:hAnsi="Arial" w:cs="Arial"/>
                <w:sz w:val="22"/>
                <w:szCs w:val="22"/>
              </w:rPr>
            </w:pPr>
            <w:r w:rsidRPr="0064033F">
              <w:rPr>
                <w:rFonts w:ascii="Arial" w:hAnsi="Arial" w:cs="Arial"/>
                <w:sz w:val="22"/>
                <w:szCs w:val="22"/>
              </w:rPr>
              <w:t>Os Tribunais têm repelido essas normas justamente porque a Administração Pública conta com diversos poderes especiais que não são conferidos ao particular (especialmente para o caso em tela, a possibilidade de criação de título executivo extrajudicial e meios especiais de execução, haja vista o particular rito da Lei 6.830/80).</w:t>
            </w:r>
          </w:p>
          <w:p w14:paraId="1AEDE4E8" w14:textId="77777777" w:rsidR="00AC01F5" w:rsidRDefault="00AC01F5" w:rsidP="00E061A4">
            <w:pPr>
              <w:pStyle w:val="Textodecomentrio"/>
              <w:jc w:val="both"/>
              <w:rPr>
                <w:rFonts w:ascii="Arial" w:hAnsi="Arial" w:cs="Arial"/>
                <w:sz w:val="22"/>
                <w:szCs w:val="22"/>
              </w:rPr>
            </w:pPr>
            <w:r w:rsidRPr="0064033F">
              <w:rPr>
                <w:rFonts w:ascii="Arial" w:hAnsi="Arial" w:cs="Arial"/>
                <w:sz w:val="22"/>
                <w:szCs w:val="22"/>
              </w:rPr>
              <w:t>Portanto, a forma como se encontra descrito este dispositivo encontra sérias dificuldades de confirmação judicial, o que exige a sua adequação ou sua exclusão.</w:t>
            </w:r>
          </w:p>
          <w:p w14:paraId="33735353" w14:textId="77777777" w:rsidR="00AC01F5" w:rsidRPr="0064033F" w:rsidRDefault="00AC01F5" w:rsidP="00E061A4">
            <w:pPr>
              <w:pStyle w:val="Textodecomentrio"/>
              <w:jc w:val="both"/>
              <w:rPr>
                <w:rFonts w:ascii="Arial" w:hAnsi="Arial" w:cs="Arial"/>
                <w:sz w:val="22"/>
                <w:szCs w:val="22"/>
              </w:rPr>
            </w:pPr>
          </w:p>
          <w:p w14:paraId="6A507616" w14:textId="77777777" w:rsidR="00AC01F5" w:rsidRDefault="00AC01F5" w:rsidP="00E061A4">
            <w:pPr>
              <w:pStyle w:val="Textodecomentrio"/>
              <w:jc w:val="both"/>
              <w:rPr>
                <w:rFonts w:ascii="Arial" w:hAnsi="Arial" w:cs="Arial"/>
                <w:sz w:val="22"/>
                <w:szCs w:val="22"/>
              </w:rPr>
            </w:pPr>
            <w:r w:rsidRPr="0064033F">
              <w:rPr>
                <w:rFonts w:ascii="Arial" w:hAnsi="Arial" w:cs="Arial"/>
                <w:sz w:val="22"/>
                <w:szCs w:val="22"/>
              </w:rPr>
              <w:t>Acreditamos que uma forma de legitimar a intenção da ANP seria deixar claro que a norma só se aplica aos eventos que não tenham depósito do montante devido, liminar judicial ou arbitral, pendência de exame de defesa ou recurso administrativo a respeito da cobrança, ou mesmo, mediante pedido de parcelamento da dívida.</w:t>
            </w:r>
          </w:p>
          <w:p w14:paraId="2BCF0927" w14:textId="77777777" w:rsidR="00AC01F5" w:rsidRPr="0064033F" w:rsidRDefault="00AC01F5" w:rsidP="00E061A4">
            <w:pPr>
              <w:pStyle w:val="Textodecomentrio"/>
              <w:jc w:val="both"/>
              <w:rPr>
                <w:rFonts w:ascii="Arial" w:hAnsi="Arial" w:cs="Arial"/>
                <w:sz w:val="22"/>
                <w:szCs w:val="22"/>
              </w:rPr>
            </w:pPr>
          </w:p>
          <w:p w14:paraId="409EEADE" w14:textId="602008A2" w:rsidR="00AC01F5" w:rsidRPr="008E44C8" w:rsidRDefault="00AC01F5" w:rsidP="00E061A4">
            <w:pPr>
              <w:pStyle w:val="Textodecomentrio"/>
              <w:jc w:val="both"/>
              <w:rPr>
                <w:rFonts w:ascii="Arial" w:hAnsi="Arial" w:cs="Arial"/>
                <w:sz w:val="22"/>
                <w:szCs w:val="22"/>
              </w:rPr>
            </w:pPr>
            <w:r w:rsidRPr="008E44C8">
              <w:rPr>
                <w:rFonts w:ascii="Arial" w:hAnsi="Arial" w:cs="Arial"/>
                <w:sz w:val="22"/>
                <w:szCs w:val="22"/>
              </w:rPr>
              <w:t xml:space="preserve">Em adição aos argumentos de ordem jurídica antes relatado, acreditamos que a supressão do dispositivo ou o seu contorno para uma redação alternativa em muito contribuirá para o desenvolvimento de negócios de E&amp;P entre os diversos investidores do setor, contribuindo significativamente com o desenvolvimento do mercado nacional e até possibilitando o pagamento de eventuais débitos de </w:t>
            </w:r>
            <w:r w:rsidR="00177029">
              <w:rPr>
                <w:rFonts w:ascii="Arial" w:hAnsi="Arial" w:cs="Arial"/>
                <w:sz w:val="22"/>
                <w:szCs w:val="22"/>
              </w:rPr>
              <w:t>Participações Governamentais</w:t>
            </w:r>
            <w:r w:rsidRPr="008E44C8">
              <w:rPr>
                <w:rFonts w:ascii="Arial" w:hAnsi="Arial" w:cs="Arial"/>
                <w:sz w:val="22"/>
                <w:szCs w:val="22"/>
              </w:rPr>
              <w:t xml:space="preserve"> e de terceiros de forma mais abreviada em razão de uma regulação mais permissiva ao desenvolvimento desses negócios.</w:t>
            </w:r>
          </w:p>
        </w:tc>
      </w:tr>
      <w:tr w:rsidR="00AC01F5" w:rsidRPr="00170FDC" w14:paraId="428BD27C" w14:textId="77777777" w:rsidTr="0003097F">
        <w:trPr>
          <w:trHeight w:val="2268"/>
        </w:trPr>
        <w:tc>
          <w:tcPr>
            <w:tcW w:w="553" w:type="pct"/>
            <w:vAlign w:val="center"/>
          </w:tcPr>
          <w:p w14:paraId="7AEFF527"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29CDDCA"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6F57BB4"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28.13</w:t>
            </w:r>
          </w:p>
        </w:tc>
        <w:tc>
          <w:tcPr>
            <w:tcW w:w="1386" w:type="pct"/>
            <w:vAlign w:val="center"/>
          </w:tcPr>
          <w:p w14:paraId="029782C2" w14:textId="77777777" w:rsidR="00AC01F5" w:rsidRPr="00170FDC" w:rsidRDefault="00AC01F5" w:rsidP="00183142">
            <w:pPr>
              <w:pStyle w:val="Contrato-Clausula-Nvel2-1dezena"/>
              <w:numPr>
                <w:ilvl w:val="0"/>
                <w:numId w:val="0"/>
              </w:numPr>
              <w:rPr>
                <w:rFonts w:cs="Arial"/>
                <w:szCs w:val="22"/>
              </w:rPr>
            </w:pPr>
            <w:r>
              <w:t>O termo aditivo ao Contrato de Concessão adquirirá vigência e eficácia a partir da data de sua assinatura, exceto se de outra forma permitido pela Legislação Aplicável.</w:t>
            </w:r>
          </w:p>
        </w:tc>
        <w:tc>
          <w:tcPr>
            <w:tcW w:w="2126" w:type="pct"/>
            <w:vAlign w:val="center"/>
          </w:tcPr>
          <w:p w14:paraId="09800234" w14:textId="77777777" w:rsidR="00AC01F5" w:rsidRPr="00965D27" w:rsidRDefault="00AC01F5" w:rsidP="00E061A4">
            <w:pPr>
              <w:pStyle w:val="Legenda"/>
              <w:jc w:val="both"/>
              <w:rPr>
                <w:rFonts w:cs="Arial"/>
                <w:sz w:val="22"/>
                <w:szCs w:val="22"/>
              </w:rPr>
            </w:pPr>
            <w:r w:rsidRPr="00965D27">
              <w:rPr>
                <w:rFonts w:cs="Arial"/>
                <w:sz w:val="22"/>
                <w:szCs w:val="22"/>
              </w:rPr>
              <w:t>Segundo o parágrafo único do artigo 29 da lei 9.478 a cessão e transferência ocorrem mediante a prévia e expressa autorização da ANP a qual se dá através da Resolução da Diretoria Colegiada</w:t>
            </w:r>
          </w:p>
          <w:p w14:paraId="0EE14170" w14:textId="77777777" w:rsidR="00AC01F5" w:rsidRPr="00965D27" w:rsidRDefault="00AC01F5" w:rsidP="00E061A4">
            <w:pPr>
              <w:pStyle w:val="Legenda"/>
              <w:jc w:val="both"/>
              <w:rPr>
                <w:rFonts w:cs="Arial"/>
                <w:sz w:val="22"/>
                <w:szCs w:val="22"/>
              </w:rPr>
            </w:pPr>
          </w:p>
          <w:p w14:paraId="7298272A" w14:textId="77777777" w:rsidR="00AC01F5" w:rsidRPr="00965D27" w:rsidRDefault="00AC01F5" w:rsidP="00E061A4">
            <w:pPr>
              <w:pStyle w:val="Legenda"/>
              <w:jc w:val="both"/>
              <w:rPr>
                <w:rFonts w:cs="Arial"/>
                <w:sz w:val="22"/>
                <w:szCs w:val="22"/>
              </w:rPr>
            </w:pPr>
            <w:r w:rsidRPr="00965D27">
              <w:rPr>
                <w:rFonts w:cs="Arial"/>
                <w:sz w:val="22"/>
                <w:szCs w:val="22"/>
              </w:rPr>
              <w:t>Nesse sentido o Termo de Cessão incluído no Manual da ANP publicado na página web da agência e que acompanha o requerimento do cedente estabelece que os efeitos da cessão terão eficácia e entrará em vigor após a aprovação pela ANP através da Resolução da Diretoria Colegiada.</w:t>
            </w:r>
          </w:p>
          <w:p w14:paraId="52235DC5" w14:textId="77777777" w:rsidR="00AC01F5" w:rsidRPr="00965D27" w:rsidRDefault="00AC01F5" w:rsidP="00E061A4">
            <w:pPr>
              <w:pStyle w:val="Legenda"/>
              <w:jc w:val="both"/>
              <w:rPr>
                <w:rFonts w:cs="Arial"/>
                <w:sz w:val="22"/>
                <w:szCs w:val="22"/>
              </w:rPr>
            </w:pPr>
          </w:p>
          <w:p w14:paraId="31D13931" w14:textId="77777777" w:rsidR="00AC01F5" w:rsidRPr="00170FDC" w:rsidRDefault="00AC01F5" w:rsidP="00E061A4">
            <w:pPr>
              <w:pStyle w:val="Legenda"/>
              <w:jc w:val="both"/>
              <w:rPr>
                <w:rFonts w:cs="Arial"/>
                <w:sz w:val="22"/>
                <w:szCs w:val="22"/>
              </w:rPr>
            </w:pPr>
            <w:r w:rsidRPr="00965D27">
              <w:rPr>
                <w:rFonts w:cs="Arial"/>
                <w:sz w:val="22"/>
                <w:szCs w:val="22"/>
              </w:rPr>
              <w:t>A assinatura de Termo Aditivo é formalidade cujo objeto é consolidar o contrato de concessão refletindo a nova composição do concessionário, mas, a cessão e transferência se materializam através do Termo de Cessão que passa a vigorar a partir da aprovação pela Diretoria Colegiada da ANP, tal como disposto na lei, no contrato de concessão e no próprio Termo de Cessão. De forma consistente o modelo de Termo de Cessão incluído no Manual da ANP inclui disposição específica estabelecendo que a cessão terá efeitos a partir da data de aprovação pela Diretoria Colegiada da ANP.</w:t>
            </w:r>
          </w:p>
        </w:tc>
      </w:tr>
      <w:tr w:rsidR="00AC01F5" w:rsidRPr="00170FDC" w14:paraId="4281125E" w14:textId="77777777" w:rsidTr="0003097F">
        <w:trPr>
          <w:trHeight w:val="2268"/>
        </w:trPr>
        <w:tc>
          <w:tcPr>
            <w:tcW w:w="553" w:type="pct"/>
            <w:vAlign w:val="center"/>
          </w:tcPr>
          <w:p w14:paraId="321E008C" w14:textId="77777777" w:rsidR="00AC01F5" w:rsidRPr="0061637B"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407B9F3"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77576DE"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28.18</w:t>
            </w:r>
          </w:p>
        </w:tc>
        <w:tc>
          <w:tcPr>
            <w:tcW w:w="1386" w:type="pct"/>
            <w:vAlign w:val="center"/>
          </w:tcPr>
          <w:p w14:paraId="705E0973" w14:textId="5945DAA1" w:rsidR="00AC01F5" w:rsidRDefault="00AC01F5" w:rsidP="00183142">
            <w:pPr>
              <w:pStyle w:val="Contrato-Clausula-Nvel2-1dezena"/>
              <w:numPr>
                <w:ilvl w:val="0"/>
                <w:numId w:val="0"/>
              </w:numPr>
              <w:rPr>
                <w:rFonts w:cs="Arial"/>
                <w:szCs w:val="22"/>
              </w:rPr>
            </w:pPr>
            <w:r w:rsidRPr="00345793">
              <w:t xml:space="preserve">Os novos Contratos de Concessão firmados pelas Partes </w:t>
            </w:r>
            <w:r>
              <w:t xml:space="preserve">adquirirão vigência e </w:t>
            </w:r>
            <w:r w:rsidRPr="00345793">
              <w:t>eficácia a partir</w:t>
            </w:r>
            <w:r w:rsidRPr="001502F2">
              <w:rPr>
                <w:rFonts w:cs="Arial"/>
                <w:szCs w:val="24"/>
              </w:rPr>
              <w:t xml:space="preserve"> </w:t>
            </w:r>
            <w:r>
              <w:rPr>
                <w:rFonts w:cs="Arial"/>
                <w:szCs w:val="24"/>
              </w:rPr>
              <w:t xml:space="preserve">da </w:t>
            </w:r>
            <w:r w:rsidRPr="001502F2">
              <w:rPr>
                <w:rFonts w:cs="Arial"/>
                <w:szCs w:val="24"/>
              </w:rPr>
              <w:t>aprovação da Diretoria Colegiada da ANP, por meio de Resolução de Diretoria</w:t>
            </w:r>
            <w:r>
              <w:t>, nos termos da Legislação Aplicável</w:t>
            </w:r>
            <w:r w:rsidRPr="00345793">
              <w:t>.</w:t>
            </w:r>
          </w:p>
        </w:tc>
        <w:tc>
          <w:tcPr>
            <w:tcW w:w="2126" w:type="pct"/>
            <w:vAlign w:val="center"/>
          </w:tcPr>
          <w:p w14:paraId="070A6290" w14:textId="77777777" w:rsidR="000B7947" w:rsidRDefault="000B7947" w:rsidP="00E061A4">
            <w:pPr>
              <w:pStyle w:val="Textodecomentrio"/>
              <w:jc w:val="both"/>
              <w:rPr>
                <w:rFonts w:ascii="Arial" w:hAnsi="Arial" w:cs="Arial"/>
                <w:sz w:val="22"/>
                <w:szCs w:val="22"/>
              </w:rPr>
            </w:pPr>
          </w:p>
          <w:p w14:paraId="5D00102C" w14:textId="66795F31" w:rsidR="000B7947" w:rsidRDefault="000B7947" w:rsidP="00E061A4">
            <w:pPr>
              <w:pStyle w:val="Textodecomentrio"/>
              <w:jc w:val="both"/>
              <w:rPr>
                <w:rFonts w:ascii="Arial" w:hAnsi="Arial" w:cs="Arial"/>
                <w:sz w:val="22"/>
                <w:szCs w:val="22"/>
              </w:rPr>
            </w:pPr>
            <w:r>
              <w:rPr>
                <w:rFonts w:ascii="Arial" w:hAnsi="Arial" w:cs="Arial"/>
                <w:sz w:val="22"/>
                <w:szCs w:val="22"/>
              </w:rPr>
              <w:t>Esta sugestão também foi apresentada na oportunidade da Consulta Pública para revisão dos Procedimentos de Cessão de Contratos de E&amp;P.</w:t>
            </w:r>
          </w:p>
          <w:p w14:paraId="3473E40A" w14:textId="77777777" w:rsidR="000B7947" w:rsidRDefault="000B7947" w:rsidP="00E061A4">
            <w:pPr>
              <w:pStyle w:val="Textodecomentrio"/>
              <w:jc w:val="both"/>
              <w:rPr>
                <w:rFonts w:ascii="Arial" w:hAnsi="Arial" w:cs="Arial"/>
                <w:sz w:val="22"/>
                <w:szCs w:val="22"/>
              </w:rPr>
            </w:pPr>
          </w:p>
          <w:p w14:paraId="629D62B5" w14:textId="77777777" w:rsidR="00AC01F5" w:rsidRDefault="00AC01F5" w:rsidP="00E061A4">
            <w:pPr>
              <w:pStyle w:val="Textodecomentrio"/>
              <w:jc w:val="both"/>
              <w:rPr>
                <w:rFonts w:ascii="Arial" w:hAnsi="Arial" w:cs="Arial"/>
                <w:sz w:val="22"/>
                <w:szCs w:val="22"/>
              </w:rPr>
            </w:pPr>
            <w:r w:rsidRPr="003B2E8F">
              <w:rPr>
                <w:rFonts w:ascii="Arial" w:hAnsi="Arial" w:cs="Arial"/>
                <w:sz w:val="22"/>
                <w:szCs w:val="22"/>
              </w:rPr>
              <w:t>Segundo o parágrafo único do artigo 29 da lei 9.478 a cessão e transferência ocorrem mediante a prévia e expressa autorização da ANP a qual se dá através da Resolução da Diretoria Colegiada</w:t>
            </w:r>
            <w:r>
              <w:rPr>
                <w:rFonts w:ascii="Arial" w:hAnsi="Arial" w:cs="Arial"/>
                <w:sz w:val="22"/>
                <w:szCs w:val="22"/>
              </w:rPr>
              <w:t>.</w:t>
            </w:r>
          </w:p>
          <w:p w14:paraId="4AE0A32D" w14:textId="77777777" w:rsidR="00AC01F5" w:rsidRPr="003B2E8F" w:rsidRDefault="00AC01F5" w:rsidP="00E061A4">
            <w:pPr>
              <w:pStyle w:val="Textodecomentrio"/>
              <w:jc w:val="both"/>
              <w:rPr>
                <w:rFonts w:ascii="Arial" w:hAnsi="Arial" w:cs="Arial"/>
                <w:sz w:val="22"/>
                <w:szCs w:val="22"/>
              </w:rPr>
            </w:pPr>
          </w:p>
          <w:p w14:paraId="26E0E4FE" w14:textId="77777777" w:rsidR="00AC01F5" w:rsidRDefault="00AC01F5" w:rsidP="00E061A4">
            <w:pPr>
              <w:pStyle w:val="Textodecomentrio"/>
              <w:jc w:val="both"/>
              <w:rPr>
                <w:rFonts w:ascii="Arial" w:hAnsi="Arial" w:cs="Arial"/>
                <w:sz w:val="22"/>
                <w:szCs w:val="22"/>
              </w:rPr>
            </w:pPr>
            <w:r w:rsidRPr="003B2E8F">
              <w:rPr>
                <w:rFonts w:ascii="Arial" w:hAnsi="Arial" w:cs="Arial"/>
                <w:sz w:val="22"/>
                <w:szCs w:val="22"/>
              </w:rPr>
              <w:t>Nesse sentido o Termo de Cessão incluído no Manual da ANP publicado na página web da agência e que acompanha o requerimento do cedente estabelece que os efeitos da cessão terão eficácia e entrará em vigor após a aprovação pela ANP através da Resolução da Diretoria Colegiada.</w:t>
            </w:r>
          </w:p>
          <w:p w14:paraId="1CBDB07A" w14:textId="77777777" w:rsidR="00AC01F5" w:rsidRPr="003B2E8F" w:rsidRDefault="00AC01F5" w:rsidP="00E061A4">
            <w:pPr>
              <w:pStyle w:val="Textodecomentrio"/>
              <w:jc w:val="both"/>
              <w:rPr>
                <w:rFonts w:ascii="Arial" w:hAnsi="Arial" w:cs="Arial"/>
                <w:sz w:val="22"/>
                <w:szCs w:val="22"/>
              </w:rPr>
            </w:pPr>
          </w:p>
          <w:p w14:paraId="342807BF" w14:textId="77777777" w:rsidR="00AC01F5" w:rsidRDefault="00AC01F5" w:rsidP="00E061A4">
            <w:pPr>
              <w:pStyle w:val="Legenda"/>
              <w:jc w:val="both"/>
              <w:rPr>
                <w:rFonts w:cs="Arial"/>
                <w:sz w:val="22"/>
                <w:szCs w:val="22"/>
              </w:rPr>
            </w:pPr>
            <w:r w:rsidRPr="003B2E8F">
              <w:rPr>
                <w:rFonts w:cs="Arial"/>
                <w:sz w:val="22"/>
                <w:szCs w:val="22"/>
              </w:rPr>
              <w:t xml:space="preserve">A assinatura de Termo Aditivo é formalidade cujo objeto é consolidar o contrato de concessão refletindo a nova composição do concessionário, mas, a cessão e transferência se materializam através do Termo de Cessão que passa a vigorar a partir da aprovação pela Diretoria Colegiada da ANP, tal como disposto na lei, no contrato de concessão e no próprio Termo de Cessão. </w:t>
            </w:r>
          </w:p>
          <w:p w14:paraId="7EBDF28A" w14:textId="77777777" w:rsidR="00AC01F5" w:rsidRDefault="00AC01F5" w:rsidP="00E061A4">
            <w:pPr>
              <w:pStyle w:val="Legenda"/>
              <w:jc w:val="both"/>
              <w:rPr>
                <w:rFonts w:cs="Arial"/>
                <w:sz w:val="22"/>
                <w:szCs w:val="22"/>
              </w:rPr>
            </w:pPr>
          </w:p>
          <w:p w14:paraId="580E9543" w14:textId="77777777" w:rsidR="00AC01F5" w:rsidRDefault="00AC01F5" w:rsidP="00E061A4">
            <w:pPr>
              <w:pStyle w:val="Legenda"/>
              <w:jc w:val="both"/>
              <w:rPr>
                <w:color w:val="000000" w:themeColor="text1"/>
                <w:szCs w:val="24"/>
              </w:rPr>
            </w:pPr>
            <w:r w:rsidRPr="003B2E8F">
              <w:rPr>
                <w:rFonts w:cs="Arial"/>
                <w:sz w:val="22"/>
                <w:szCs w:val="22"/>
              </w:rPr>
              <w:t>De forma consistente o modelo de Termo de Cessão incluído no Manual da ANP inclui disposição específica estabelecendo que a cessão terá efeitos a partir da data de aprovação pela Diretoria Colegiada da ANP.</w:t>
            </w:r>
          </w:p>
        </w:tc>
      </w:tr>
      <w:tr w:rsidR="00AC01F5" w:rsidRPr="00170FDC" w14:paraId="79185532" w14:textId="77777777" w:rsidTr="0003097F">
        <w:trPr>
          <w:trHeight w:val="2268"/>
        </w:trPr>
        <w:tc>
          <w:tcPr>
            <w:tcW w:w="553" w:type="pct"/>
            <w:vAlign w:val="center"/>
          </w:tcPr>
          <w:p w14:paraId="6CAA709E" w14:textId="77777777" w:rsidR="00AC01F5" w:rsidRPr="00CC3477" w:rsidRDefault="00AC01F5" w:rsidP="00AC01F5">
            <w:pPr>
              <w:pStyle w:val="Legenda"/>
              <w:jc w:val="center"/>
              <w:rPr>
                <w:rFonts w:cs="Arial"/>
                <w:color w:val="000000" w:themeColor="text1"/>
                <w:sz w:val="22"/>
                <w:szCs w:val="22"/>
              </w:rPr>
            </w:pPr>
            <w:r w:rsidRPr="00CC3477">
              <w:rPr>
                <w:rFonts w:cs="Arial"/>
                <w:color w:val="000000" w:themeColor="text1"/>
                <w:sz w:val="22"/>
                <w:szCs w:val="22"/>
              </w:rPr>
              <w:t>Contrato</w:t>
            </w:r>
          </w:p>
        </w:tc>
        <w:tc>
          <w:tcPr>
            <w:tcW w:w="441" w:type="pct"/>
            <w:vAlign w:val="center"/>
          </w:tcPr>
          <w:p w14:paraId="61AF60BF" w14:textId="77777777" w:rsidR="00AC01F5" w:rsidRPr="00CC3477" w:rsidRDefault="00AC01F5" w:rsidP="00AC01F5">
            <w:pPr>
              <w:pStyle w:val="Legenda"/>
              <w:jc w:val="center"/>
              <w:rPr>
                <w:rFonts w:cs="Arial"/>
                <w:color w:val="000000" w:themeColor="text1"/>
                <w:sz w:val="22"/>
                <w:szCs w:val="22"/>
              </w:rPr>
            </w:pPr>
            <w:r w:rsidRPr="00CC3477">
              <w:rPr>
                <w:rFonts w:cs="Arial"/>
                <w:color w:val="000000" w:themeColor="text1"/>
                <w:sz w:val="22"/>
                <w:szCs w:val="22"/>
              </w:rPr>
              <w:t>Exclusão</w:t>
            </w:r>
          </w:p>
        </w:tc>
        <w:tc>
          <w:tcPr>
            <w:tcW w:w="494" w:type="pct"/>
            <w:vAlign w:val="center"/>
          </w:tcPr>
          <w:p w14:paraId="201F6943"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30.1, alínea “e”</w:t>
            </w:r>
          </w:p>
        </w:tc>
        <w:tc>
          <w:tcPr>
            <w:tcW w:w="1386" w:type="pct"/>
            <w:vAlign w:val="center"/>
          </w:tcPr>
          <w:p w14:paraId="7015FC10" w14:textId="77777777" w:rsidR="00AC01F5" w:rsidRPr="00CC3477" w:rsidRDefault="00AC01F5" w:rsidP="00183142">
            <w:pPr>
              <w:pStyle w:val="Contrato-Clausula-Nvel2-1dezena"/>
              <w:numPr>
                <w:ilvl w:val="0"/>
                <w:numId w:val="0"/>
              </w:numPr>
              <w:rPr>
                <w:rFonts w:cs="Arial"/>
                <w:strike/>
                <w:szCs w:val="22"/>
              </w:rPr>
            </w:pPr>
          </w:p>
        </w:tc>
        <w:tc>
          <w:tcPr>
            <w:tcW w:w="2126" w:type="pct"/>
            <w:vAlign w:val="center"/>
          </w:tcPr>
          <w:p w14:paraId="1673F205" w14:textId="77777777" w:rsidR="00AC01F5" w:rsidRPr="00CC3477" w:rsidRDefault="00AC01F5" w:rsidP="00E061A4">
            <w:pPr>
              <w:pStyle w:val="Legenda"/>
              <w:jc w:val="both"/>
              <w:rPr>
                <w:color w:val="000000" w:themeColor="text1"/>
                <w:sz w:val="22"/>
                <w:szCs w:val="22"/>
              </w:rPr>
            </w:pPr>
            <w:r w:rsidRPr="00CC3477">
              <w:rPr>
                <w:color w:val="000000" w:themeColor="text1"/>
                <w:sz w:val="22"/>
                <w:szCs w:val="22"/>
              </w:rPr>
              <w:t>Necessidade de imediata exclusão do item pois o formato confere à ANP o direito de rescindir por um ato de vontade sua, ou seja, a simples reprovação do PD.</w:t>
            </w:r>
          </w:p>
        </w:tc>
      </w:tr>
      <w:tr w:rsidR="00AC01F5" w:rsidRPr="00170FDC" w14:paraId="04058669" w14:textId="77777777" w:rsidTr="0003097F">
        <w:trPr>
          <w:trHeight w:val="2268"/>
        </w:trPr>
        <w:tc>
          <w:tcPr>
            <w:tcW w:w="553" w:type="pct"/>
            <w:vAlign w:val="center"/>
          </w:tcPr>
          <w:p w14:paraId="358965E3"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3167FB7"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412E8FE8"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30.1, alíneas “f” e “g”</w:t>
            </w:r>
          </w:p>
        </w:tc>
        <w:tc>
          <w:tcPr>
            <w:tcW w:w="1386" w:type="pct"/>
            <w:vAlign w:val="center"/>
          </w:tcPr>
          <w:p w14:paraId="32539E02" w14:textId="77777777" w:rsidR="00AC01F5" w:rsidRPr="00BF71E8" w:rsidRDefault="00AC01F5" w:rsidP="00183142">
            <w:pPr>
              <w:pStyle w:val="Contrato-Clausula-Nvel2-1dezena"/>
              <w:numPr>
                <w:ilvl w:val="0"/>
                <w:numId w:val="0"/>
              </w:numPr>
              <w:rPr>
                <w:rFonts w:cs="Arial"/>
                <w:strike/>
                <w:szCs w:val="22"/>
              </w:rPr>
            </w:pPr>
          </w:p>
        </w:tc>
        <w:tc>
          <w:tcPr>
            <w:tcW w:w="2126" w:type="pct"/>
            <w:vAlign w:val="center"/>
          </w:tcPr>
          <w:p w14:paraId="4CE18DB0" w14:textId="77777777" w:rsidR="00AC01F5" w:rsidRPr="00965D27" w:rsidRDefault="00AC01F5" w:rsidP="00E061A4">
            <w:pPr>
              <w:pStyle w:val="Legenda"/>
              <w:jc w:val="both"/>
              <w:rPr>
                <w:rFonts w:cs="Arial"/>
                <w:sz w:val="22"/>
                <w:szCs w:val="22"/>
              </w:rPr>
            </w:pPr>
            <w:r w:rsidRPr="00965D27">
              <w:rPr>
                <w:color w:val="000000" w:themeColor="text1"/>
                <w:sz w:val="22"/>
                <w:szCs w:val="22"/>
              </w:rPr>
              <w:t>Os eventos descritos nas Alíneas (f) e (g) são sujeitos a discussão e requerem provas. Desse modo, o contrato de concessão não poderia ser extinto de pleno direito nesses eventos, que foram excluídos e recolocados na Cláusula 30.4, de forma mais adequada.</w:t>
            </w:r>
          </w:p>
        </w:tc>
      </w:tr>
      <w:tr w:rsidR="00AC01F5" w:rsidRPr="00170FDC" w14:paraId="2A3F7605" w14:textId="77777777" w:rsidTr="0003097F">
        <w:trPr>
          <w:trHeight w:val="2268"/>
        </w:trPr>
        <w:tc>
          <w:tcPr>
            <w:tcW w:w="553" w:type="pct"/>
            <w:vAlign w:val="center"/>
          </w:tcPr>
          <w:p w14:paraId="63022C14"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561F579"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A13069C"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30.4</w:t>
            </w:r>
          </w:p>
        </w:tc>
        <w:tc>
          <w:tcPr>
            <w:tcW w:w="1386" w:type="pct"/>
            <w:vAlign w:val="center"/>
          </w:tcPr>
          <w:p w14:paraId="46F17ED7" w14:textId="77777777" w:rsidR="00AC01F5" w:rsidRPr="00170FDC" w:rsidRDefault="00AC01F5" w:rsidP="00183142">
            <w:pPr>
              <w:pStyle w:val="Contrato-Clausula-Nvel2-1dezena"/>
              <w:numPr>
                <w:ilvl w:val="0"/>
                <w:numId w:val="0"/>
              </w:numPr>
              <w:rPr>
                <w:rFonts w:cs="Arial"/>
                <w:szCs w:val="22"/>
              </w:rPr>
            </w:pPr>
            <w:bookmarkStart w:id="21" w:name="_Ref473092239"/>
            <w:r w:rsidRPr="00345793">
              <w:t xml:space="preserve">Este Contrato </w:t>
            </w:r>
            <w:r>
              <w:t>poderá ser</w:t>
            </w:r>
            <w:r w:rsidRPr="00345793">
              <w:t xml:space="preserve"> resolvido, assegurado o </w:t>
            </w:r>
            <w:r>
              <w:t>disposto na Cláusula 30.4.4 abaixo,</w:t>
            </w:r>
            <w:r w:rsidRPr="00345793">
              <w:t xml:space="preserve"> nos seguintes casos:</w:t>
            </w:r>
            <w:bookmarkEnd w:id="21"/>
          </w:p>
        </w:tc>
        <w:tc>
          <w:tcPr>
            <w:tcW w:w="2126" w:type="pct"/>
            <w:vAlign w:val="center"/>
          </w:tcPr>
          <w:p w14:paraId="399BD4CC" w14:textId="77777777" w:rsidR="00AC01F5" w:rsidRPr="00170FDC" w:rsidRDefault="00AC01F5" w:rsidP="00E061A4">
            <w:pPr>
              <w:pStyle w:val="Legenda"/>
              <w:jc w:val="both"/>
              <w:rPr>
                <w:rFonts w:cs="Arial"/>
                <w:sz w:val="22"/>
                <w:szCs w:val="22"/>
              </w:rPr>
            </w:pPr>
            <w:r>
              <w:rPr>
                <w:rFonts w:cs="Arial"/>
                <w:sz w:val="22"/>
                <w:szCs w:val="22"/>
              </w:rPr>
              <w:t>R</w:t>
            </w:r>
            <w:r w:rsidRPr="00BF71E8">
              <w:rPr>
                <w:rFonts w:cs="Arial"/>
                <w:sz w:val="22"/>
                <w:szCs w:val="22"/>
              </w:rPr>
              <w:t>essalta-se que o contrato ‘ poderá’ ser resolvido, mas não necessariamente o será, usando como precedente o disposto no modelo de Contrato de Partilha de Produção na 1ª. Rodada (Libra), no qual existia a alternativa de aplicação de sanção como alternativa à inadimplência, a depender da gravidade e/ou histórico do concessionário/contratado inadimplente. Ainda, faz-se referência a proposta de cláusula 30.4.4, conforme justificado abaixo</w:t>
            </w:r>
          </w:p>
        </w:tc>
      </w:tr>
      <w:tr w:rsidR="00AC01F5" w:rsidRPr="00170FDC" w14:paraId="5F84A324" w14:textId="77777777" w:rsidTr="0003097F">
        <w:trPr>
          <w:trHeight w:val="2514"/>
        </w:trPr>
        <w:tc>
          <w:tcPr>
            <w:tcW w:w="553" w:type="pct"/>
            <w:vAlign w:val="center"/>
          </w:tcPr>
          <w:p w14:paraId="5F9F6479"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0DE5AD1"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D4EA3C5"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30.4, alíneas “c” e “d”</w:t>
            </w:r>
          </w:p>
        </w:tc>
        <w:tc>
          <w:tcPr>
            <w:tcW w:w="1386" w:type="pct"/>
            <w:vAlign w:val="center"/>
          </w:tcPr>
          <w:p w14:paraId="7CED9DF9" w14:textId="77777777" w:rsidR="00AC01F5" w:rsidRDefault="00AC01F5" w:rsidP="00183142">
            <w:pPr>
              <w:pStyle w:val="Contrato-Clausula-Nvel2-1dezena"/>
              <w:numPr>
                <w:ilvl w:val="0"/>
                <w:numId w:val="0"/>
              </w:numPr>
            </w:pPr>
            <w:r>
              <w:t>c) reprovação</w:t>
            </w:r>
            <w:r w:rsidRPr="00F73532">
              <w:t xml:space="preserve"> do Plano de Desenvolvimento pela ANP</w:t>
            </w:r>
            <w:r>
              <w:t>;</w:t>
            </w:r>
          </w:p>
          <w:p w14:paraId="42D243EE" w14:textId="77777777" w:rsidR="00AC01F5" w:rsidRPr="00170FDC" w:rsidRDefault="00AC01F5" w:rsidP="00183142">
            <w:pPr>
              <w:pStyle w:val="Contrato-Clausula-Nvel2-1dezena"/>
              <w:numPr>
                <w:ilvl w:val="0"/>
                <w:numId w:val="0"/>
              </w:numPr>
              <w:spacing w:before="240"/>
              <w:rPr>
                <w:rFonts w:cs="Arial"/>
                <w:szCs w:val="22"/>
              </w:rPr>
            </w:pPr>
            <w:r>
              <w:t xml:space="preserve">d) </w:t>
            </w:r>
            <w:r w:rsidRPr="00345793">
              <w:t xml:space="preserve"> total ou parcialmente, pela recusa dos Consorciados em firmar o </w:t>
            </w:r>
            <w:r>
              <w:t>a</w:t>
            </w:r>
            <w:r w:rsidRPr="00345793">
              <w:t xml:space="preserve">cordo de </w:t>
            </w:r>
            <w:r>
              <w:t>i</w:t>
            </w:r>
            <w:r w:rsidRPr="00345793">
              <w:t xml:space="preserve">ndividualização da </w:t>
            </w:r>
            <w:r>
              <w:t>p</w:t>
            </w:r>
            <w:r w:rsidRPr="00345793">
              <w:t>rodução, após decisão da ANP</w:t>
            </w:r>
            <w:r>
              <w:t>;</w:t>
            </w:r>
            <w:r w:rsidRPr="00345793">
              <w:t xml:space="preserve"> </w:t>
            </w:r>
            <w:r>
              <w:t>ou</w:t>
            </w:r>
          </w:p>
        </w:tc>
        <w:tc>
          <w:tcPr>
            <w:tcW w:w="2126" w:type="pct"/>
            <w:vAlign w:val="center"/>
          </w:tcPr>
          <w:p w14:paraId="1784DFA6" w14:textId="77777777" w:rsidR="00AC01F5" w:rsidRPr="00170FDC" w:rsidRDefault="00AC01F5" w:rsidP="00E061A4">
            <w:pPr>
              <w:pStyle w:val="Legenda"/>
              <w:jc w:val="both"/>
              <w:rPr>
                <w:rFonts w:cs="Arial"/>
                <w:sz w:val="22"/>
                <w:szCs w:val="22"/>
              </w:rPr>
            </w:pPr>
            <w:r w:rsidRPr="00BF71E8">
              <w:rPr>
                <w:rFonts w:cs="Arial"/>
                <w:sz w:val="22"/>
                <w:szCs w:val="22"/>
              </w:rPr>
              <w:t>Considerando que tais eventos não necessariamente levam ao término do contrato de concessão, uma vez que outras alternativas e remédios contratuais podem ser aplicados, nós propomos ajustar o caput da Cláusula 30.4.</w:t>
            </w:r>
          </w:p>
        </w:tc>
      </w:tr>
      <w:tr w:rsidR="00AC01F5" w:rsidRPr="00170FDC" w14:paraId="4B28BBAB" w14:textId="77777777" w:rsidTr="0003097F">
        <w:trPr>
          <w:trHeight w:val="2268"/>
        </w:trPr>
        <w:tc>
          <w:tcPr>
            <w:tcW w:w="553" w:type="pct"/>
            <w:vAlign w:val="center"/>
          </w:tcPr>
          <w:p w14:paraId="7E7392FC" w14:textId="77777777" w:rsidR="00AC01F5" w:rsidRPr="0061637B"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2DAD7DE"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0981F1E"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30.4.4</w:t>
            </w:r>
          </w:p>
        </w:tc>
        <w:tc>
          <w:tcPr>
            <w:tcW w:w="1386" w:type="pct"/>
            <w:vAlign w:val="center"/>
          </w:tcPr>
          <w:p w14:paraId="36EE6F9B" w14:textId="77777777" w:rsidR="00AC01F5" w:rsidRPr="00B573DE" w:rsidRDefault="00AC01F5" w:rsidP="00183142">
            <w:pPr>
              <w:pStyle w:val="Contrato-Clausula-Nvel2-1dezena"/>
              <w:numPr>
                <w:ilvl w:val="0"/>
                <w:numId w:val="0"/>
              </w:numPr>
              <w:rPr>
                <w:szCs w:val="22"/>
              </w:rPr>
            </w:pPr>
            <w:r w:rsidRPr="00B573DE">
              <w:t>Esta Cláusula 30.4 não se aplica para os casos de inadimplemento em que há indenização em forma de multa ou execução de garantia.</w:t>
            </w:r>
          </w:p>
        </w:tc>
        <w:tc>
          <w:tcPr>
            <w:tcW w:w="2126" w:type="pct"/>
            <w:vAlign w:val="center"/>
          </w:tcPr>
          <w:p w14:paraId="743C5F81" w14:textId="77777777" w:rsidR="00AC01F5" w:rsidRPr="00B573DE" w:rsidRDefault="00AC01F5" w:rsidP="00E061A4">
            <w:pPr>
              <w:jc w:val="both"/>
              <w:rPr>
                <w:rFonts w:ascii="Arial" w:hAnsi="Arial" w:cs="Arial"/>
                <w:color w:val="000000" w:themeColor="text1"/>
                <w:sz w:val="22"/>
                <w:szCs w:val="22"/>
              </w:rPr>
            </w:pPr>
            <w:r w:rsidRPr="00B573DE">
              <w:rPr>
                <w:rFonts w:ascii="Arial" w:hAnsi="Arial" w:cs="Arial"/>
                <w:sz w:val="22"/>
                <w:szCs w:val="22"/>
              </w:rPr>
              <w:t>A compensação pecuniária já garante a satisfação do interesse público.</w:t>
            </w:r>
          </w:p>
        </w:tc>
      </w:tr>
      <w:tr w:rsidR="00AC01F5" w:rsidRPr="00170FDC" w14:paraId="55364F8D" w14:textId="77777777" w:rsidTr="0003097F">
        <w:trPr>
          <w:trHeight w:val="2268"/>
        </w:trPr>
        <w:tc>
          <w:tcPr>
            <w:tcW w:w="553" w:type="pct"/>
            <w:vAlign w:val="center"/>
          </w:tcPr>
          <w:p w14:paraId="74B466DC"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7DAFAA9"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6CEFF3C"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30.5</w:t>
            </w:r>
          </w:p>
        </w:tc>
        <w:tc>
          <w:tcPr>
            <w:tcW w:w="1386" w:type="pct"/>
            <w:vAlign w:val="center"/>
          </w:tcPr>
          <w:p w14:paraId="3E227278" w14:textId="35424517" w:rsidR="00AC01F5" w:rsidRPr="00965D27" w:rsidRDefault="00AC01F5" w:rsidP="00183142">
            <w:pPr>
              <w:pStyle w:val="Contrato-Clausula-Nvel2-1dezena"/>
              <w:numPr>
                <w:ilvl w:val="0"/>
                <w:numId w:val="0"/>
              </w:numPr>
              <w:rPr>
                <w:rFonts w:cs="Arial"/>
                <w:szCs w:val="22"/>
              </w:rPr>
            </w:pPr>
            <w:r w:rsidRPr="00183142">
              <w:rPr>
                <w:szCs w:val="22"/>
              </w:rPr>
              <w:t xml:space="preserve">A resolução deste </w:t>
            </w:r>
            <w:r w:rsidR="00C22BAC" w:rsidRPr="00183142">
              <w:rPr>
                <w:szCs w:val="22"/>
              </w:rPr>
              <w:t>Contrato, na forma do parágrafo</w:t>
            </w:r>
            <w:r w:rsidR="005B2A71">
              <w:rPr>
                <w:szCs w:val="22"/>
              </w:rPr>
              <w:t xml:space="preserve"> 30.4</w:t>
            </w:r>
            <w:r w:rsidRPr="00965D27">
              <w:rPr>
                <w:szCs w:val="22"/>
                <w:lang w:val="en-US"/>
              </w:rPr>
              <w:fldChar w:fldCharType="begin"/>
            </w:r>
            <w:r w:rsidRPr="00965D27">
              <w:rPr>
                <w:szCs w:val="22"/>
              </w:rPr>
              <w:instrText xml:space="preserve"> REF _Ref360723122 \n \h  \* MERGEFORMAT </w:instrText>
            </w:r>
            <w:r w:rsidRPr="00965D27">
              <w:rPr>
                <w:szCs w:val="22"/>
                <w:lang w:val="en-US"/>
              </w:rPr>
            </w:r>
            <w:r w:rsidRPr="00965D27">
              <w:rPr>
                <w:szCs w:val="22"/>
                <w:lang w:val="en-US"/>
              </w:rPr>
              <w:fldChar w:fldCharType="separate"/>
            </w:r>
            <w:r w:rsidR="00A423A5">
              <w:rPr>
                <w:b/>
                <w:bCs/>
                <w:szCs w:val="22"/>
              </w:rPr>
              <w:t>Erro! Fonte de referência não encontrada.</w:t>
            </w:r>
            <w:r w:rsidRPr="00965D27">
              <w:rPr>
                <w:szCs w:val="22"/>
                <w:lang w:val="en-US"/>
              </w:rPr>
              <w:fldChar w:fldCharType="end"/>
            </w:r>
            <w:r w:rsidRPr="00965D27">
              <w:rPr>
                <w:szCs w:val="22"/>
              </w:rPr>
              <w:t>, deverá ser precedida da verificação do inadimplemento absoluto do Contratado em processo administrativo em que lhe seja assegurado o contraditório e a ampla defesa, e por um procedimento arbitral sob a Cláusula 34 abaixo no qual o tribunal deverá verificar de novo o inadimplemento absoluto do Contratado.</w:t>
            </w:r>
          </w:p>
        </w:tc>
        <w:tc>
          <w:tcPr>
            <w:tcW w:w="2126" w:type="pct"/>
            <w:vAlign w:val="center"/>
          </w:tcPr>
          <w:p w14:paraId="4A8E3EFC" w14:textId="77777777" w:rsidR="00AC01F5" w:rsidRPr="00965D27" w:rsidRDefault="00AC01F5" w:rsidP="00E061A4">
            <w:pPr>
              <w:jc w:val="both"/>
              <w:rPr>
                <w:rFonts w:cs="Arial"/>
                <w:color w:val="000000" w:themeColor="text1"/>
                <w:sz w:val="22"/>
                <w:szCs w:val="22"/>
              </w:rPr>
            </w:pPr>
            <w:r w:rsidRPr="00965D27">
              <w:rPr>
                <w:rFonts w:ascii="Arial" w:hAnsi="Arial" w:cs="Arial"/>
                <w:color w:val="000000" w:themeColor="text1"/>
                <w:sz w:val="22"/>
                <w:szCs w:val="22"/>
              </w:rPr>
              <w:t>A Cláusula proposta garante ao concessionário direito à ampla defesa e ao contraditório na eventualidade de resolução contratual. Considerando que tal previsão não é contrária a qualquer outra do contrato de concessão e está de acordo com a Constituição Federal, não há prejuízos em incluí-la no contrato de concessão, além de conceder segurança jurídica ao investidor.</w:t>
            </w:r>
          </w:p>
          <w:p w14:paraId="4E1317C5" w14:textId="77777777" w:rsidR="00AC01F5" w:rsidRPr="00965D27" w:rsidRDefault="00AC01F5" w:rsidP="00E061A4">
            <w:pPr>
              <w:jc w:val="both"/>
              <w:rPr>
                <w:rFonts w:cs="Arial"/>
                <w:color w:val="000000" w:themeColor="text1"/>
                <w:sz w:val="22"/>
                <w:szCs w:val="22"/>
              </w:rPr>
            </w:pPr>
          </w:p>
          <w:p w14:paraId="4D83D2AF" w14:textId="77777777" w:rsidR="00AC01F5" w:rsidRPr="00965D27" w:rsidRDefault="00AC01F5" w:rsidP="00E061A4">
            <w:pPr>
              <w:pStyle w:val="Legenda"/>
              <w:jc w:val="both"/>
              <w:rPr>
                <w:rFonts w:cs="Arial"/>
                <w:sz w:val="22"/>
                <w:szCs w:val="22"/>
              </w:rPr>
            </w:pPr>
            <w:r w:rsidRPr="00965D27">
              <w:rPr>
                <w:rFonts w:cs="Arial"/>
                <w:color w:val="000000" w:themeColor="text1"/>
                <w:sz w:val="22"/>
                <w:szCs w:val="22"/>
              </w:rPr>
              <w:t>Adicionalmente, a resolução contratual precisa ser sujeita a um procedimento imparcial e transparente. Esta proposta também busca garantir transparência e imparcialidade em um evento de término.</w:t>
            </w:r>
          </w:p>
        </w:tc>
      </w:tr>
      <w:tr w:rsidR="00AC01F5" w:rsidRPr="00170FDC" w14:paraId="1231E688" w14:textId="77777777" w:rsidTr="0003097F">
        <w:trPr>
          <w:trHeight w:val="2268"/>
        </w:trPr>
        <w:tc>
          <w:tcPr>
            <w:tcW w:w="553" w:type="pct"/>
            <w:vAlign w:val="center"/>
          </w:tcPr>
          <w:p w14:paraId="1F96B51B"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3AEA153"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D6FE929"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30.6</w:t>
            </w:r>
          </w:p>
        </w:tc>
        <w:tc>
          <w:tcPr>
            <w:tcW w:w="1386" w:type="pct"/>
            <w:vAlign w:val="center"/>
          </w:tcPr>
          <w:p w14:paraId="4372CE51" w14:textId="43304131" w:rsidR="00AC01F5" w:rsidRPr="00965D27" w:rsidRDefault="00AC01F5" w:rsidP="00183142">
            <w:pPr>
              <w:pStyle w:val="Contrato-Clausula-Nvel2-1dezena"/>
              <w:numPr>
                <w:ilvl w:val="0"/>
                <w:numId w:val="0"/>
              </w:numPr>
              <w:rPr>
                <w:szCs w:val="22"/>
              </w:rPr>
            </w:pPr>
            <w:r w:rsidRPr="00965D27">
              <w:rPr>
                <w:szCs w:val="22"/>
              </w:rPr>
              <w:t>Este Contrato não será extinto, e a ANP aplicará as sanções previstas na cláusula 29 acima quando:</w:t>
            </w:r>
          </w:p>
        </w:tc>
        <w:tc>
          <w:tcPr>
            <w:tcW w:w="2126" w:type="pct"/>
            <w:vAlign w:val="center"/>
          </w:tcPr>
          <w:p w14:paraId="2661D4EA" w14:textId="77777777" w:rsidR="00AC01F5" w:rsidRPr="00965D27" w:rsidRDefault="00AC01F5" w:rsidP="00E061A4">
            <w:pPr>
              <w:pStyle w:val="Legenda"/>
              <w:jc w:val="both"/>
              <w:rPr>
                <w:rFonts w:cs="Arial"/>
                <w:sz w:val="22"/>
                <w:szCs w:val="22"/>
              </w:rPr>
            </w:pPr>
            <w:r w:rsidRPr="00965D27">
              <w:rPr>
                <w:rFonts w:cs="Arial"/>
                <w:sz w:val="22"/>
                <w:szCs w:val="22"/>
              </w:rPr>
              <w:t>Esta proposta está alinhada com as Melhores Práticas da Indústria de Óleo e Gás, e uma previsão semelhante já havia sido incluída no contrato de partilha de produção de Libra.</w:t>
            </w:r>
          </w:p>
        </w:tc>
      </w:tr>
      <w:tr w:rsidR="00AC01F5" w:rsidRPr="00170FDC" w14:paraId="6271C1E4" w14:textId="77777777" w:rsidTr="0003097F">
        <w:trPr>
          <w:trHeight w:val="2268"/>
        </w:trPr>
        <w:tc>
          <w:tcPr>
            <w:tcW w:w="553" w:type="pct"/>
            <w:vAlign w:val="center"/>
          </w:tcPr>
          <w:p w14:paraId="1F65BADD"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CBE6064"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E84A755" w14:textId="77777777" w:rsidR="00AC01F5" w:rsidRPr="008E44C8" w:rsidRDefault="00AC01F5" w:rsidP="00183142">
            <w:pPr>
              <w:pStyle w:val="Legenda"/>
              <w:jc w:val="center"/>
              <w:rPr>
                <w:rFonts w:cs="Arial"/>
                <w:color w:val="000000" w:themeColor="text1"/>
                <w:sz w:val="22"/>
                <w:szCs w:val="22"/>
              </w:rPr>
            </w:pPr>
            <w:r w:rsidRPr="008E44C8">
              <w:rPr>
                <w:sz w:val="22"/>
                <w:szCs w:val="22"/>
              </w:rPr>
              <w:t>30.6.1</w:t>
            </w:r>
          </w:p>
        </w:tc>
        <w:tc>
          <w:tcPr>
            <w:tcW w:w="1386" w:type="pct"/>
            <w:vAlign w:val="center"/>
          </w:tcPr>
          <w:p w14:paraId="6D246D48" w14:textId="2D41CB7F" w:rsidR="00AC01F5" w:rsidRPr="00965D27" w:rsidRDefault="00AC01F5" w:rsidP="00183142">
            <w:pPr>
              <w:pStyle w:val="Contrato-Clausula-Nvel2-1dezena"/>
              <w:numPr>
                <w:ilvl w:val="0"/>
                <w:numId w:val="0"/>
              </w:numPr>
              <w:rPr>
                <w:szCs w:val="22"/>
              </w:rPr>
            </w:pPr>
            <w:r w:rsidRPr="00965D27">
              <w:rPr>
                <w:szCs w:val="22"/>
              </w:rPr>
              <w:t>O descumprimento deste Contrato pela Concessionária não for grave, reiterado ou não revele dolo, grave imperícia ou imprudência contumazes;</w:t>
            </w:r>
          </w:p>
        </w:tc>
        <w:tc>
          <w:tcPr>
            <w:tcW w:w="2126" w:type="pct"/>
            <w:vAlign w:val="center"/>
          </w:tcPr>
          <w:p w14:paraId="29815A4B" w14:textId="77777777" w:rsidR="00AC01F5" w:rsidRPr="00965D27" w:rsidRDefault="00AC01F5" w:rsidP="00E061A4">
            <w:pPr>
              <w:pStyle w:val="Legenda"/>
              <w:jc w:val="both"/>
              <w:rPr>
                <w:rFonts w:cs="Arial"/>
                <w:sz w:val="22"/>
                <w:szCs w:val="22"/>
              </w:rPr>
            </w:pPr>
            <w:r w:rsidRPr="00965D27">
              <w:rPr>
                <w:rFonts w:cs="Arial"/>
                <w:sz w:val="22"/>
                <w:szCs w:val="22"/>
              </w:rPr>
              <w:t>Vide justificativa anterior</w:t>
            </w:r>
          </w:p>
        </w:tc>
      </w:tr>
      <w:tr w:rsidR="00AC01F5" w:rsidRPr="00170FDC" w14:paraId="14F77C92" w14:textId="77777777" w:rsidTr="0003097F">
        <w:trPr>
          <w:trHeight w:val="2268"/>
        </w:trPr>
        <w:tc>
          <w:tcPr>
            <w:tcW w:w="553" w:type="pct"/>
            <w:vAlign w:val="center"/>
          </w:tcPr>
          <w:p w14:paraId="41282F14"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DA2F7A5"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0034591" w14:textId="77777777" w:rsidR="00AC01F5" w:rsidRPr="008E44C8" w:rsidRDefault="00AC01F5" w:rsidP="00183142">
            <w:pPr>
              <w:pStyle w:val="Legenda"/>
              <w:jc w:val="center"/>
              <w:rPr>
                <w:rFonts w:cs="Arial"/>
                <w:color w:val="000000" w:themeColor="text1"/>
                <w:sz w:val="22"/>
                <w:szCs w:val="22"/>
              </w:rPr>
            </w:pPr>
            <w:r w:rsidRPr="008E44C8">
              <w:rPr>
                <w:sz w:val="22"/>
                <w:szCs w:val="22"/>
              </w:rPr>
              <w:t>30.6.2</w:t>
            </w:r>
          </w:p>
        </w:tc>
        <w:tc>
          <w:tcPr>
            <w:tcW w:w="1386" w:type="pct"/>
            <w:vAlign w:val="center"/>
          </w:tcPr>
          <w:p w14:paraId="0890903D" w14:textId="77777777" w:rsidR="00AC01F5" w:rsidRPr="00965D27" w:rsidRDefault="00AC01F5" w:rsidP="00183142">
            <w:pPr>
              <w:pStyle w:val="Contrato-Clausula-Nvel2-1dezena"/>
              <w:numPr>
                <w:ilvl w:val="0"/>
                <w:numId w:val="0"/>
              </w:numPr>
              <w:rPr>
                <w:szCs w:val="22"/>
              </w:rPr>
            </w:pPr>
            <w:r w:rsidRPr="00965D27">
              <w:rPr>
                <w:szCs w:val="22"/>
              </w:rPr>
              <w:t>Houver ação diligente em andamento no sentid</w:t>
            </w:r>
            <w:r>
              <w:rPr>
                <w:szCs w:val="22"/>
              </w:rPr>
              <w:t>o de corrigir o descumprimento.</w:t>
            </w:r>
          </w:p>
        </w:tc>
        <w:tc>
          <w:tcPr>
            <w:tcW w:w="2126" w:type="pct"/>
            <w:vAlign w:val="center"/>
          </w:tcPr>
          <w:p w14:paraId="2CFA2F5B" w14:textId="77777777" w:rsidR="00AC01F5" w:rsidRPr="00170FDC" w:rsidRDefault="00AC01F5" w:rsidP="00E061A4">
            <w:pPr>
              <w:pStyle w:val="Legenda"/>
              <w:jc w:val="both"/>
              <w:rPr>
                <w:rFonts w:cs="Arial"/>
                <w:sz w:val="22"/>
                <w:szCs w:val="22"/>
              </w:rPr>
            </w:pPr>
            <w:r>
              <w:rPr>
                <w:rFonts w:cs="Arial"/>
                <w:sz w:val="22"/>
                <w:szCs w:val="22"/>
              </w:rPr>
              <w:t>Vide justificativa anterior</w:t>
            </w:r>
          </w:p>
        </w:tc>
      </w:tr>
      <w:tr w:rsidR="00AC01F5" w:rsidRPr="00170FDC" w14:paraId="5FCB9E0F" w14:textId="77777777" w:rsidTr="0003097F">
        <w:trPr>
          <w:trHeight w:val="2268"/>
        </w:trPr>
        <w:tc>
          <w:tcPr>
            <w:tcW w:w="553" w:type="pct"/>
            <w:vAlign w:val="center"/>
          </w:tcPr>
          <w:p w14:paraId="75729D97"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9149EAB"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3717E6DB"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31.1.2</w:t>
            </w:r>
          </w:p>
        </w:tc>
        <w:tc>
          <w:tcPr>
            <w:tcW w:w="1386" w:type="pct"/>
            <w:vAlign w:val="center"/>
          </w:tcPr>
          <w:p w14:paraId="2B002625" w14:textId="77777777" w:rsidR="00AC01F5" w:rsidRPr="004E6EE0" w:rsidRDefault="00AC01F5" w:rsidP="00183142">
            <w:pPr>
              <w:pStyle w:val="Contrato-Clausula-Nvel2-1dezena"/>
              <w:numPr>
                <w:ilvl w:val="0"/>
                <w:numId w:val="0"/>
              </w:numPr>
              <w:rPr>
                <w:rFonts w:cs="Arial"/>
                <w:strike/>
                <w:szCs w:val="22"/>
              </w:rPr>
            </w:pPr>
          </w:p>
        </w:tc>
        <w:tc>
          <w:tcPr>
            <w:tcW w:w="2126" w:type="pct"/>
            <w:vAlign w:val="center"/>
          </w:tcPr>
          <w:p w14:paraId="3FC410F7" w14:textId="77777777" w:rsidR="00AC01F5" w:rsidRPr="00965D27" w:rsidRDefault="00AC01F5" w:rsidP="00E061A4">
            <w:pPr>
              <w:pStyle w:val="Legenda"/>
              <w:jc w:val="both"/>
              <w:rPr>
                <w:rFonts w:cs="Arial"/>
                <w:sz w:val="22"/>
                <w:szCs w:val="22"/>
              </w:rPr>
            </w:pPr>
            <w:r w:rsidRPr="00965D27">
              <w:rPr>
                <w:sz w:val="22"/>
                <w:szCs w:val="22"/>
              </w:rPr>
              <w:t>A incidência dos eventos de força maior e caso fortuito já têm previsão legal no Código Civil, e independe do seu reconhecimento pela ANP. Caso as partes não consigam chegar a um acordo com relação ao evento, então deverá ser remetido ao mecanismo de solução de disputas do contrato.</w:t>
            </w:r>
          </w:p>
        </w:tc>
      </w:tr>
      <w:tr w:rsidR="00AC01F5" w:rsidRPr="00170FDC" w14:paraId="02D03B89" w14:textId="77777777" w:rsidTr="0003097F">
        <w:trPr>
          <w:trHeight w:val="2268"/>
        </w:trPr>
        <w:tc>
          <w:tcPr>
            <w:tcW w:w="553" w:type="pct"/>
            <w:vAlign w:val="center"/>
          </w:tcPr>
          <w:p w14:paraId="217B867C"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AE2FF24"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1162D57B"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31.1.3</w:t>
            </w:r>
          </w:p>
        </w:tc>
        <w:tc>
          <w:tcPr>
            <w:tcW w:w="1386" w:type="pct"/>
            <w:vAlign w:val="center"/>
          </w:tcPr>
          <w:p w14:paraId="17A49B84" w14:textId="77777777" w:rsidR="00AC01F5" w:rsidRPr="004E6EE0" w:rsidRDefault="00AC01F5" w:rsidP="00183142">
            <w:pPr>
              <w:pStyle w:val="Contrato-Clausula-Nvel2-1dezena"/>
              <w:numPr>
                <w:ilvl w:val="0"/>
                <w:numId w:val="0"/>
              </w:numPr>
              <w:rPr>
                <w:rFonts w:cs="Arial"/>
                <w:strike/>
                <w:szCs w:val="22"/>
              </w:rPr>
            </w:pPr>
          </w:p>
        </w:tc>
        <w:tc>
          <w:tcPr>
            <w:tcW w:w="2126" w:type="pct"/>
            <w:vAlign w:val="center"/>
          </w:tcPr>
          <w:p w14:paraId="20EEC38A" w14:textId="77777777" w:rsidR="00AC01F5" w:rsidRPr="007C2039" w:rsidRDefault="00AC01F5" w:rsidP="00E061A4">
            <w:pPr>
              <w:pStyle w:val="Legenda"/>
              <w:jc w:val="both"/>
              <w:rPr>
                <w:rFonts w:cs="Arial"/>
                <w:sz w:val="22"/>
                <w:szCs w:val="22"/>
              </w:rPr>
            </w:pPr>
            <w:r w:rsidRPr="007C2039">
              <w:rPr>
                <w:sz w:val="22"/>
                <w:szCs w:val="22"/>
              </w:rPr>
              <w:t>Não seria razoável que o Concessionário pague taxa de retenção de área, por exemplo, quando impossibilitado de explorar e/ou produzir na área por motivos alheios à sua vontade.</w:t>
            </w:r>
          </w:p>
        </w:tc>
      </w:tr>
      <w:tr w:rsidR="00AC01F5" w:rsidRPr="00170FDC" w14:paraId="141CD206" w14:textId="77777777" w:rsidTr="0003097F">
        <w:trPr>
          <w:trHeight w:val="2268"/>
        </w:trPr>
        <w:tc>
          <w:tcPr>
            <w:tcW w:w="553" w:type="pct"/>
            <w:vAlign w:val="center"/>
          </w:tcPr>
          <w:p w14:paraId="0988A54E"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A3A4D18"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09AC858D"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31.3.3</w:t>
            </w:r>
          </w:p>
        </w:tc>
        <w:tc>
          <w:tcPr>
            <w:tcW w:w="1386" w:type="pct"/>
            <w:vAlign w:val="center"/>
          </w:tcPr>
          <w:p w14:paraId="3A8C35BC" w14:textId="77777777" w:rsidR="00AC01F5" w:rsidRPr="00170FDC" w:rsidRDefault="00AC01F5" w:rsidP="00183142">
            <w:pPr>
              <w:pStyle w:val="Contrato-Clausula-Nvel2-1dezena"/>
              <w:numPr>
                <w:ilvl w:val="0"/>
                <w:numId w:val="0"/>
              </w:numPr>
              <w:rPr>
                <w:rFonts w:cs="Arial"/>
                <w:szCs w:val="22"/>
              </w:rPr>
            </w:pPr>
          </w:p>
        </w:tc>
        <w:tc>
          <w:tcPr>
            <w:tcW w:w="2126" w:type="pct"/>
            <w:vAlign w:val="center"/>
          </w:tcPr>
          <w:p w14:paraId="2FF63A06" w14:textId="77777777" w:rsidR="00AC01F5" w:rsidRPr="00170FDC" w:rsidRDefault="00AC01F5" w:rsidP="00E061A4">
            <w:pPr>
              <w:pStyle w:val="Legenda"/>
              <w:jc w:val="both"/>
              <w:rPr>
                <w:rFonts w:cs="Arial"/>
                <w:sz w:val="22"/>
                <w:szCs w:val="22"/>
              </w:rPr>
            </w:pPr>
            <w:r>
              <w:rPr>
                <w:rFonts w:cs="Arial"/>
                <w:sz w:val="22"/>
                <w:szCs w:val="22"/>
              </w:rPr>
              <w:t>Cláusula idêntica à 31.3.1</w:t>
            </w:r>
          </w:p>
        </w:tc>
      </w:tr>
      <w:tr w:rsidR="00AC01F5" w:rsidRPr="00170FDC" w14:paraId="25E09ABC" w14:textId="77777777" w:rsidTr="0003097F">
        <w:trPr>
          <w:trHeight w:val="2268"/>
        </w:trPr>
        <w:tc>
          <w:tcPr>
            <w:tcW w:w="553" w:type="pct"/>
            <w:vAlign w:val="center"/>
          </w:tcPr>
          <w:p w14:paraId="30B1DB7D"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23E23CD"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4F03DB3" w14:textId="2CC39D93" w:rsidR="00AC01F5" w:rsidRPr="008E44C8" w:rsidRDefault="00A622F9" w:rsidP="00183142">
            <w:pPr>
              <w:pStyle w:val="Legenda"/>
              <w:jc w:val="center"/>
              <w:rPr>
                <w:rFonts w:cs="Arial"/>
                <w:color w:val="000000" w:themeColor="text1"/>
                <w:sz w:val="22"/>
                <w:szCs w:val="22"/>
              </w:rPr>
            </w:pPr>
            <w:r>
              <w:rPr>
                <w:rFonts w:cs="Arial"/>
                <w:color w:val="000000" w:themeColor="text1"/>
                <w:sz w:val="22"/>
                <w:szCs w:val="22"/>
              </w:rPr>
              <w:t>31.7</w:t>
            </w:r>
            <w:r w:rsidR="00AC01F5" w:rsidRPr="008E44C8">
              <w:rPr>
                <w:rFonts w:cs="Arial"/>
                <w:color w:val="000000" w:themeColor="text1"/>
                <w:sz w:val="22"/>
                <w:szCs w:val="22"/>
              </w:rPr>
              <w:t>.1</w:t>
            </w:r>
          </w:p>
        </w:tc>
        <w:tc>
          <w:tcPr>
            <w:tcW w:w="1386" w:type="pct"/>
            <w:vAlign w:val="center"/>
          </w:tcPr>
          <w:p w14:paraId="5F7BC7C7" w14:textId="77777777" w:rsidR="00AC01F5" w:rsidRPr="007C2039" w:rsidRDefault="00AC01F5" w:rsidP="00183142">
            <w:pPr>
              <w:pStyle w:val="Contrato-Clausula-Nvel2-1dezena"/>
              <w:numPr>
                <w:ilvl w:val="0"/>
                <w:numId w:val="0"/>
              </w:numPr>
              <w:rPr>
                <w:rFonts w:cs="Arial"/>
                <w:szCs w:val="22"/>
              </w:rPr>
            </w:pPr>
            <w:r w:rsidRPr="007C2039">
              <w:rPr>
                <w:rFonts w:cs="Arial"/>
              </w:rPr>
              <w:t>Para que o indeferimento do licenciamento ambiental possa ser enquadrado como caso fortuito, força maior e causas similares, ensejando eventual indenização ao Concessionário caberá a este comprovar que não contribuiu para o indeferimento do processo de licenciamento ambiental.</w:t>
            </w:r>
          </w:p>
        </w:tc>
        <w:tc>
          <w:tcPr>
            <w:tcW w:w="2126" w:type="pct"/>
            <w:vAlign w:val="center"/>
          </w:tcPr>
          <w:p w14:paraId="2AAC0FA3" w14:textId="77777777" w:rsidR="00AC01F5" w:rsidRPr="007C2039" w:rsidRDefault="00AC01F5" w:rsidP="00E061A4">
            <w:pPr>
              <w:pStyle w:val="Legenda"/>
              <w:jc w:val="both"/>
              <w:rPr>
                <w:rFonts w:cs="Arial"/>
                <w:sz w:val="22"/>
                <w:szCs w:val="22"/>
              </w:rPr>
            </w:pPr>
            <w:r w:rsidRPr="007C2039">
              <w:rPr>
                <w:sz w:val="22"/>
                <w:szCs w:val="22"/>
              </w:rPr>
              <w:t>O Estado não poderá se eximir da indenização ao Concessionário em razão da decisão de outro órgão público ou mesmo por ato da própria Agência, a exemplo do ocorrido no caso New Field x ANP, onde a impossibilidade de realizar atividade na área independe de vontade ou ação do Concessionário.</w:t>
            </w:r>
          </w:p>
        </w:tc>
      </w:tr>
      <w:tr w:rsidR="00AC01F5" w:rsidRPr="00170FDC" w14:paraId="4F54D30D" w14:textId="77777777" w:rsidTr="0003097F">
        <w:trPr>
          <w:trHeight w:val="2268"/>
        </w:trPr>
        <w:tc>
          <w:tcPr>
            <w:tcW w:w="553" w:type="pct"/>
            <w:vAlign w:val="center"/>
          </w:tcPr>
          <w:p w14:paraId="349CF2D1"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41C1193"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3DAD91E" w14:textId="7464FEB5" w:rsidR="00AC01F5" w:rsidRPr="008E44C8" w:rsidRDefault="00A622F9" w:rsidP="00183142">
            <w:pPr>
              <w:pStyle w:val="Legenda"/>
              <w:jc w:val="center"/>
              <w:rPr>
                <w:rFonts w:cs="Arial"/>
                <w:color w:val="000000" w:themeColor="text1"/>
                <w:sz w:val="22"/>
                <w:szCs w:val="22"/>
              </w:rPr>
            </w:pPr>
            <w:r>
              <w:rPr>
                <w:rFonts w:cs="Arial"/>
                <w:color w:val="000000" w:themeColor="text1"/>
                <w:sz w:val="22"/>
                <w:szCs w:val="22"/>
              </w:rPr>
              <w:t>31.8</w:t>
            </w:r>
          </w:p>
        </w:tc>
        <w:tc>
          <w:tcPr>
            <w:tcW w:w="1386" w:type="pct"/>
            <w:vAlign w:val="center"/>
          </w:tcPr>
          <w:p w14:paraId="3DC82DE3" w14:textId="2DC2E35E" w:rsidR="00AC01F5" w:rsidRPr="00B43775" w:rsidRDefault="00AC01F5" w:rsidP="00183142">
            <w:pPr>
              <w:pStyle w:val="Contrato-Clausula-Nvel2-1dezena"/>
              <w:numPr>
                <w:ilvl w:val="0"/>
                <w:numId w:val="0"/>
              </w:numPr>
              <w:rPr>
                <w:rFonts w:cs="Arial"/>
                <w:szCs w:val="22"/>
              </w:rPr>
            </w:pPr>
            <w:r w:rsidRPr="00170FDC">
              <w:rPr>
                <w:rFonts w:cs="Arial"/>
                <w:szCs w:val="22"/>
              </w:rPr>
              <w:t>O Concessionário assumirá, individual e exclusivamente, todas as suas perdas decorrentes da situação d</w:t>
            </w:r>
            <w:r>
              <w:rPr>
                <w:rFonts w:cs="Arial"/>
                <w:szCs w:val="22"/>
              </w:rPr>
              <w:t>e caso fortuito</w:t>
            </w:r>
            <w:r w:rsidR="00467C99">
              <w:rPr>
                <w:rFonts w:cs="Arial"/>
                <w:szCs w:val="22"/>
              </w:rPr>
              <w:t>,</w:t>
            </w:r>
            <w:r>
              <w:rPr>
                <w:rFonts w:cs="Arial"/>
                <w:szCs w:val="22"/>
              </w:rPr>
              <w:t xml:space="preserve"> força maior</w:t>
            </w:r>
            <w:r w:rsidR="00467C99">
              <w:rPr>
                <w:rFonts w:cs="Arial"/>
                <w:szCs w:val="22"/>
              </w:rPr>
              <w:t xml:space="preserve"> ou causas similares</w:t>
            </w:r>
            <w:r>
              <w:rPr>
                <w:rFonts w:cs="Arial"/>
                <w:szCs w:val="22"/>
              </w:rPr>
              <w:t>.</w:t>
            </w:r>
          </w:p>
        </w:tc>
        <w:tc>
          <w:tcPr>
            <w:tcW w:w="2126" w:type="pct"/>
            <w:vAlign w:val="center"/>
          </w:tcPr>
          <w:p w14:paraId="43953D13" w14:textId="77777777" w:rsidR="00AC01F5" w:rsidRPr="00170FDC" w:rsidRDefault="00AC01F5" w:rsidP="00E061A4">
            <w:pPr>
              <w:pStyle w:val="Legenda"/>
              <w:jc w:val="both"/>
              <w:rPr>
                <w:rFonts w:cs="Arial"/>
                <w:sz w:val="22"/>
                <w:szCs w:val="22"/>
              </w:rPr>
            </w:pPr>
            <w:r w:rsidRPr="00170FDC">
              <w:rPr>
                <w:rFonts w:cs="Arial"/>
                <w:sz w:val="22"/>
                <w:szCs w:val="22"/>
              </w:rPr>
              <w:t>O Contrato já prevê, em consonância com a lei, hipóteses de exclusão de risco, razão pela qual estamos a fazer a presente ressalva em relação à assunção do próprio concessionário pelas suas perdas oriundas de caso fortuito e força maior.</w:t>
            </w:r>
          </w:p>
        </w:tc>
      </w:tr>
      <w:tr w:rsidR="00AC01F5" w:rsidRPr="00170FDC" w14:paraId="29F5CBE3" w14:textId="77777777" w:rsidTr="0003097F">
        <w:trPr>
          <w:trHeight w:val="2268"/>
        </w:trPr>
        <w:tc>
          <w:tcPr>
            <w:tcW w:w="553" w:type="pct"/>
            <w:vAlign w:val="center"/>
          </w:tcPr>
          <w:p w14:paraId="043168B3" w14:textId="77777777" w:rsidR="00AC01F5" w:rsidRPr="00273CDD" w:rsidRDefault="00AC01F5" w:rsidP="00AC01F5">
            <w:pPr>
              <w:pStyle w:val="Legenda"/>
              <w:jc w:val="center"/>
              <w:rPr>
                <w:rFonts w:cs="Arial"/>
                <w:color w:val="000000" w:themeColor="text1"/>
                <w:sz w:val="22"/>
                <w:szCs w:val="22"/>
              </w:rPr>
            </w:pPr>
            <w:r w:rsidRPr="00273CDD">
              <w:rPr>
                <w:rFonts w:cs="Arial"/>
                <w:color w:val="000000" w:themeColor="text1"/>
                <w:sz w:val="22"/>
                <w:szCs w:val="22"/>
              </w:rPr>
              <w:t>Contrato</w:t>
            </w:r>
          </w:p>
        </w:tc>
        <w:tc>
          <w:tcPr>
            <w:tcW w:w="441" w:type="pct"/>
            <w:vAlign w:val="center"/>
          </w:tcPr>
          <w:p w14:paraId="768A5FBC" w14:textId="77777777" w:rsidR="00AC01F5" w:rsidRPr="00273CDD" w:rsidRDefault="00AC01F5" w:rsidP="00AC01F5">
            <w:pPr>
              <w:pStyle w:val="Legenda"/>
              <w:jc w:val="center"/>
              <w:rPr>
                <w:rFonts w:cs="Arial"/>
                <w:color w:val="000000" w:themeColor="text1"/>
                <w:sz w:val="22"/>
                <w:szCs w:val="22"/>
              </w:rPr>
            </w:pPr>
            <w:r w:rsidRPr="00273CDD">
              <w:rPr>
                <w:rFonts w:cs="Arial"/>
                <w:color w:val="000000" w:themeColor="text1"/>
                <w:sz w:val="22"/>
                <w:szCs w:val="22"/>
              </w:rPr>
              <w:t>Alteração</w:t>
            </w:r>
          </w:p>
        </w:tc>
        <w:tc>
          <w:tcPr>
            <w:tcW w:w="494" w:type="pct"/>
            <w:vAlign w:val="center"/>
          </w:tcPr>
          <w:p w14:paraId="35879ECB" w14:textId="18806E13" w:rsidR="00AC01F5" w:rsidRPr="00273CDD" w:rsidRDefault="00D771A4" w:rsidP="00183142">
            <w:pPr>
              <w:pStyle w:val="Legenda"/>
              <w:jc w:val="center"/>
              <w:rPr>
                <w:rFonts w:cs="Arial"/>
                <w:color w:val="000000" w:themeColor="text1"/>
                <w:sz w:val="22"/>
                <w:szCs w:val="22"/>
              </w:rPr>
            </w:pPr>
            <w:r w:rsidRPr="00273CDD">
              <w:rPr>
                <w:rFonts w:cs="Arial"/>
                <w:color w:val="000000" w:themeColor="text1"/>
                <w:sz w:val="22"/>
                <w:szCs w:val="22"/>
              </w:rPr>
              <w:t>32.2</w:t>
            </w:r>
            <w:r w:rsidR="00AC01F5" w:rsidRPr="00273CDD">
              <w:rPr>
                <w:rFonts w:cs="Arial"/>
                <w:color w:val="000000" w:themeColor="text1"/>
                <w:sz w:val="22"/>
                <w:szCs w:val="22"/>
              </w:rPr>
              <w:t>.1</w:t>
            </w:r>
          </w:p>
        </w:tc>
        <w:tc>
          <w:tcPr>
            <w:tcW w:w="1386" w:type="pct"/>
            <w:vAlign w:val="center"/>
          </w:tcPr>
          <w:p w14:paraId="2EE39003" w14:textId="77777777" w:rsidR="00AC01F5" w:rsidRPr="00273CDD" w:rsidRDefault="00AC01F5" w:rsidP="00183142">
            <w:pPr>
              <w:pStyle w:val="Contrato-Clausula-Nvel3"/>
              <w:numPr>
                <w:ilvl w:val="0"/>
                <w:numId w:val="0"/>
              </w:numPr>
              <w:rPr>
                <w:rFonts w:cs="Arial"/>
                <w:szCs w:val="22"/>
              </w:rPr>
            </w:pPr>
            <w:r w:rsidRPr="00273CDD">
              <w:rPr>
                <w:rFonts w:cs="Arial"/>
                <w:szCs w:val="22"/>
              </w:rPr>
              <w:t xml:space="preserve">Nas hipóteses previstas na alínea “d” a divulgação de dados e informações estará condicionada apenas que a Afiliada </w:t>
            </w:r>
            <w:r w:rsidRPr="00273CDD">
              <w:rPr>
                <w:szCs w:val="22"/>
              </w:rPr>
              <w:t>tenha sido informada e concorde em obedecer às restrições aplicadas nos termos de confidencialidade</w:t>
            </w:r>
            <w:r w:rsidRPr="00273CDD">
              <w:rPr>
                <w:rFonts w:cs="Arial"/>
                <w:szCs w:val="22"/>
              </w:rPr>
              <w:t>.</w:t>
            </w:r>
          </w:p>
        </w:tc>
        <w:tc>
          <w:tcPr>
            <w:tcW w:w="2126" w:type="pct"/>
            <w:vAlign w:val="center"/>
          </w:tcPr>
          <w:p w14:paraId="6B189AC1" w14:textId="77777777" w:rsidR="00AC01F5" w:rsidRPr="00273CDD" w:rsidRDefault="00AC01F5" w:rsidP="00E061A4">
            <w:pPr>
              <w:pStyle w:val="Legenda"/>
              <w:jc w:val="both"/>
              <w:rPr>
                <w:rFonts w:cs="Arial"/>
                <w:sz w:val="22"/>
                <w:szCs w:val="22"/>
              </w:rPr>
            </w:pPr>
            <w:r w:rsidRPr="00273CDD">
              <w:rPr>
                <w:rFonts w:cs="Arial"/>
                <w:sz w:val="22"/>
                <w:szCs w:val="22"/>
              </w:rPr>
              <w:t>Alinhar redação do Anexo VIII do Pré-Edital e permitir que para Afiliadas não se exija um acordo formal e por escritor de confidencialidade, bastando para tal que a Afiliada tenha sido informada e concorde em obedecer às restrições de confidencialidade.</w:t>
            </w:r>
          </w:p>
        </w:tc>
      </w:tr>
      <w:tr w:rsidR="00AC01F5" w:rsidRPr="00170FDC" w14:paraId="7EC00EEA" w14:textId="77777777" w:rsidTr="0003097F">
        <w:trPr>
          <w:trHeight w:val="2268"/>
        </w:trPr>
        <w:tc>
          <w:tcPr>
            <w:tcW w:w="553" w:type="pct"/>
            <w:vAlign w:val="center"/>
          </w:tcPr>
          <w:p w14:paraId="015C97C6" w14:textId="67A00F71" w:rsidR="00AC01F5" w:rsidRPr="0061637B"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8374019" w14:textId="027D4BEE"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5AA2EFA0" w14:textId="5007F0D0" w:rsidR="00AC01F5" w:rsidRPr="008E44C8" w:rsidRDefault="00AC01F5" w:rsidP="00183142">
            <w:pPr>
              <w:pStyle w:val="Legenda"/>
              <w:jc w:val="center"/>
              <w:rPr>
                <w:rFonts w:cs="Arial"/>
                <w:color w:val="000000" w:themeColor="text1"/>
                <w:sz w:val="22"/>
                <w:szCs w:val="22"/>
              </w:rPr>
            </w:pPr>
            <w:r>
              <w:rPr>
                <w:rFonts w:cs="Arial"/>
                <w:color w:val="000000" w:themeColor="text1"/>
                <w:sz w:val="22"/>
                <w:szCs w:val="22"/>
              </w:rPr>
              <w:t>34.1</w:t>
            </w:r>
          </w:p>
        </w:tc>
        <w:tc>
          <w:tcPr>
            <w:tcW w:w="1386" w:type="pct"/>
            <w:vAlign w:val="center"/>
          </w:tcPr>
          <w:p w14:paraId="37CFABAF" w14:textId="47E43237" w:rsidR="00AC01F5" w:rsidRPr="00170FDC" w:rsidRDefault="00AC01F5" w:rsidP="00183142">
            <w:pPr>
              <w:pStyle w:val="Contrato-Clausula-Nvel3"/>
              <w:numPr>
                <w:ilvl w:val="0"/>
                <w:numId w:val="0"/>
              </w:numPr>
              <w:rPr>
                <w:rFonts w:cs="Arial"/>
                <w:color w:val="000000" w:themeColor="text1"/>
                <w:szCs w:val="22"/>
              </w:rPr>
            </w:pPr>
            <w:r>
              <w:t>As partes deverão observar a Legislação Aplicável na execução do Contrato.</w:t>
            </w:r>
          </w:p>
        </w:tc>
        <w:tc>
          <w:tcPr>
            <w:tcW w:w="2126" w:type="pct"/>
            <w:vAlign w:val="center"/>
          </w:tcPr>
          <w:p w14:paraId="34FA3B41" w14:textId="232C6C28" w:rsidR="00AC01F5" w:rsidRPr="007C2039" w:rsidRDefault="00AC01F5" w:rsidP="00E061A4">
            <w:pPr>
              <w:pStyle w:val="Legenda"/>
              <w:jc w:val="both"/>
              <w:rPr>
                <w:sz w:val="22"/>
                <w:szCs w:val="22"/>
              </w:rPr>
            </w:pPr>
            <w:r>
              <w:rPr>
                <w:sz w:val="22"/>
                <w:szCs w:val="22"/>
              </w:rPr>
              <w:t>Com base no princípio jurídico da hierarquia das normas jurídicas, entendemos que é importante haver referência expressa ao fato de que as partes deverão se basear na legislação aplicável quando da execução do contrato.</w:t>
            </w:r>
          </w:p>
        </w:tc>
      </w:tr>
      <w:tr w:rsidR="00AC01F5" w:rsidRPr="00170FDC" w14:paraId="18022B25" w14:textId="77777777" w:rsidTr="0003097F">
        <w:trPr>
          <w:trHeight w:val="2268"/>
        </w:trPr>
        <w:tc>
          <w:tcPr>
            <w:tcW w:w="553" w:type="pct"/>
            <w:vAlign w:val="center"/>
          </w:tcPr>
          <w:p w14:paraId="559B7AFC"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8CA063D"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095E3332"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34.1.2</w:t>
            </w:r>
          </w:p>
        </w:tc>
        <w:tc>
          <w:tcPr>
            <w:tcW w:w="1386" w:type="pct"/>
            <w:vAlign w:val="center"/>
          </w:tcPr>
          <w:p w14:paraId="7DDEC141" w14:textId="77777777" w:rsidR="00AC01F5" w:rsidRPr="00170FDC" w:rsidRDefault="00AC01F5" w:rsidP="00183142">
            <w:pPr>
              <w:pStyle w:val="Contrato-Clausula-Nvel3"/>
              <w:numPr>
                <w:ilvl w:val="0"/>
                <w:numId w:val="0"/>
              </w:numPr>
              <w:rPr>
                <w:rFonts w:cs="Arial"/>
                <w:color w:val="000000" w:themeColor="text1"/>
                <w:szCs w:val="22"/>
              </w:rPr>
            </w:pPr>
          </w:p>
        </w:tc>
        <w:tc>
          <w:tcPr>
            <w:tcW w:w="2126" w:type="pct"/>
            <w:vAlign w:val="center"/>
          </w:tcPr>
          <w:p w14:paraId="65A8CE60" w14:textId="77777777" w:rsidR="00AC01F5" w:rsidRPr="007C2039" w:rsidRDefault="00AC01F5" w:rsidP="00E061A4">
            <w:pPr>
              <w:pStyle w:val="Legenda"/>
              <w:jc w:val="both"/>
              <w:rPr>
                <w:rFonts w:cs="Arial"/>
                <w:sz w:val="22"/>
                <w:szCs w:val="22"/>
              </w:rPr>
            </w:pPr>
            <w:r w:rsidRPr="007C2039">
              <w:rPr>
                <w:sz w:val="22"/>
                <w:szCs w:val="22"/>
              </w:rPr>
              <w:t>As orientações e regras emanadas pela Agência devem seguir o princípio da publicidade, em consonância com as disposições da Lei do Petróleo e do próprio Regimento Interno da ANP. Apesar de não conter caráter normativo, isso pode levar a uma interpretação de que para o contrato seja observado, o que conflita também com o princípio da autonomia da vontade das partes (em razão de uma alteração unilateral por uma das partes)</w:t>
            </w:r>
          </w:p>
        </w:tc>
      </w:tr>
      <w:tr w:rsidR="00AC01F5" w:rsidRPr="00170FDC" w14:paraId="3757A18B" w14:textId="77777777" w:rsidTr="0003097F">
        <w:trPr>
          <w:trHeight w:val="2268"/>
        </w:trPr>
        <w:tc>
          <w:tcPr>
            <w:tcW w:w="553" w:type="pct"/>
            <w:vAlign w:val="center"/>
          </w:tcPr>
          <w:p w14:paraId="263DDDFE"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E7A31EA" w14:textId="77777777" w:rsidR="00AC01F5" w:rsidRPr="006E166E" w:rsidRDefault="00AC01F5" w:rsidP="00AC01F5">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0D9B347"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34.5</w:t>
            </w:r>
          </w:p>
        </w:tc>
        <w:tc>
          <w:tcPr>
            <w:tcW w:w="1386" w:type="pct"/>
            <w:vAlign w:val="center"/>
          </w:tcPr>
          <w:p w14:paraId="5ABF7964" w14:textId="73929C7F" w:rsidR="00AC01F5" w:rsidRPr="00611F49" w:rsidRDefault="00AC01F5" w:rsidP="00183142">
            <w:pPr>
              <w:pStyle w:val="Contrato-Clausula-Nvel2-1dezena"/>
              <w:numPr>
                <w:ilvl w:val="0"/>
                <w:numId w:val="0"/>
              </w:numPr>
              <w:rPr>
                <w:rFonts w:cs="Arial"/>
                <w:szCs w:val="22"/>
              </w:rPr>
            </w:pPr>
            <w:bookmarkStart w:id="22" w:name="_Ref343848344"/>
            <w:bookmarkStart w:id="23" w:name="_Ref473092313"/>
            <w:r w:rsidRPr="00345793">
              <w:t>Após o procedimento previsto no parágrafo 34.2, caso uma das Partes considere que inexistem condiç</w:t>
            </w:r>
            <w:r>
              <w:t>ões para uma solução amigável da</w:t>
            </w:r>
            <w:r w:rsidRPr="00345793">
              <w:t xml:space="preserve"> disputa ou controvérsia a que se refere </w:t>
            </w:r>
            <w:r>
              <w:t xml:space="preserve">tal </w:t>
            </w:r>
            <w:r w:rsidRPr="00345793">
              <w:t xml:space="preserve">parágrafo, </w:t>
            </w:r>
            <w:bookmarkEnd w:id="22"/>
            <w:r>
              <w:t>tal disputa ou controvérsia será resolvida por arbitragem</w:t>
            </w:r>
            <w:r w:rsidRPr="00345793">
              <w:t xml:space="preserve"> </w:t>
            </w:r>
            <w:r>
              <w:t>segundo as Regras de Arbitragem Corte Internacional de Arbitragem da Câmara de Comércio Internacional (“CCI”).</w:t>
            </w:r>
            <w:bookmarkEnd w:id="23"/>
          </w:p>
        </w:tc>
        <w:tc>
          <w:tcPr>
            <w:tcW w:w="2126" w:type="pct"/>
            <w:vAlign w:val="center"/>
          </w:tcPr>
          <w:p w14:paraId="78D23C96" w14:textId="41A39D3A" w:rsidR="00AC01F5" w:rsidRDefault="00AC01F5" w:rsidP="00E061A4">
            <w:pPr>
              <w:pStyle w:val="Legenda"/>
              <w:jc w:val="both"/>
            </w:pPr>
            <w:r>
              <w:t xml:space="preserve">A utilização das regras de arbitragem da UNCITRAL com administração da arbitragem por uma instituição gera complexidade e inconvenientes para as Partes: (i) nem todas as instituições de primeira linha aceitam administrar arbitragens que não sejam conduzidas sob suas próprias regras; (ii) sob as regras de UNCITRAL as partes devem negociar os honorários dos árbitros diretamente com eles (na arbitragem institucional os valores são pré-estabelecidos), o que pode gerar conflitos e desgastes desnecessários; e (iii) caso as partes não cheguem a um acordo sobre a instituição administradora será necessário fazer uso do artigo 6 das regras de arbitragem da UNCITRAL, que prevê que o </w:t>
            </w:r>
            <w:r w:rsidR="00AC2E6A">
              <w:t>Secretário-geral</w:t>
            </w:r>
            <w:r>
              <w:t xml:space="preserve"> da Corte Permanente de Arbitragem em Haia, Holanda, será a entidade nomeadora (um procedimento demorado, caro e possivelmente ineficiente ante o distanciamento da entidade nomeadora com a realidade das partes e disputa). </w:t>
            </w:r>
          </w:p>
          <w:p w14:paraId="346B2CC5" w14:textId="77777777" w:rsidR="00AC01F5" w:rsidRDefault="00AC01F5" w:rsidP="00E061A4">
            <w:pPr>
              <w:pStyle w:val="Textodecomentrio"/>
              <w:jc w:val="both"/>
            </w:pPr>
          </w:p>
          <w:p w14:paraId="77DEBF23" w14:textId="74921D18" w:rsidR="00AC01F5" w:rsidRPr="007C2039" w:rsidRDefault="00AC01F5" w:rsidP="00E061A4">
            <w:pPr>
              <w:pStyle w:val="Legenda"/>
              <w:jc w:val="both"/>
              <w:rPr>
                <w:rFonts w:cs="Arial"/>
                <w:sz w:val="22"/>
                <w:szCs w:val="22"/>
              </w:rPr>
            </w:pPr>
            <w:r>
              <w:t>A CCI, por outro lado, é instituição reconhecidamente competente, com regras de arbitragem modernas a alinhada tanto com a Lei Modelo da UNCITRAL (na qual a Lei Brasileira de Arbitragem - Lei nº 9.307/1996 - também é inspirada) como na Convenção sobre Reconhecimento e Execução de Laudos Arbitrais Estrangeiros (Nova Iorque, 1958) (que também é refletida na Lei Brasileira de Arbitragem). Além disso, a CCI possui escritório no Brasil, prevê o pagamento de custas e honorários arbitrais em Reais e possui criterioso procedimento de revisão dos laudos finais, minimizando fortemente as possibilidades de anulação.</w:t>
            </w:r>
          </w:p>
        </w:tc>
      </w:tr>
      <w:tr w:rsidR="00AC01F5" w:rsidRPr="00170FDC" w14:paraId="536C8D3C" w14:textId="77777777" w:rsidTr="0003097F">
        <w:trPr>
          <w:trHeight w:val="2268"/>
        </w:trPr>
        <w:tc>
          <w:tcPr>
            <w:tcW w:w="553" w:type="pct"/>
            <w:vAlign w:val="center"/>
          </w:tcPr>
          <w:p w14:paraId="37DD26D7"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A27DBAD" w14:textId="77777777" w:rsidR="00AC01F5" w:rsidRPr="006E166E" w:rsidRDefault="00AC01F5" w:rsidP="00AC01F5">
            <w:pPr>
              <w:pStyle w:val="Legenda"/>
              <w:jc w:val="center"/>
              <w:rPr>
                <w:rFonts w:cs="Arial"/>
                <w:color w:val="000000" w:themeColor="text1"/>
                <w:sz w:val="22"/>
                <w:szCs w:val="22"/>
              </w:rPr>
            </w:pPr>
            <w:r>
              <w:rPr>
                <w:rFonts w:cs="Arial"/>
                <w:color w:val="000000" w:themeColor="text1"/>
                <w:sz w:val="22"/>
                <w:szCs w:val="22"/>
              </w:rPr>
              <w:t>Exclusão</w:t>
            </w:r>
          </w:p>
        </w:tc>
        <w:tc>
          <w:tcPr>
            <w:tcW w:w="494" w:type="pct"/>
            <w:vAlign w:val="center"/>
          </w:tcPr>
          <w:p w14:paraId="26233FF6" w14:textId="23B6EC51"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34.5, Alínea</w:t>
            </w:r>
            <w:r>
              <w:rPr>
                <w:rFonts w:cs="Arial"/>
                <w:color w:val="000000" w:themeColor="text1"/>
                <w:sz w:val="22"/>
                <w:szCs w:val="22"/>
              </w:rPr>
              <w:t>s</w:t>
            </w:r>
            <w:r w:rsidRPr="008E44C8">
              <w:rPr>
                <w:rFonts w:cs="Arial"/>
                <w:color w:val="000000" w:themeColor="text1"/>
                <w:sz w:val="22"/>
                <w:szCs w:val="22"/>
              </w:rPr>
              <w:t xml:space="preserve"> “a”</w:t>
            </w:r>
            <w:r>
              <w:rPr>
                <w:rFonts w:cs="Arial"/>
                <w:color w:val="000000" w:themeColor="text1"/>
                <w:sz w:val="22"/>
                <w:szCs w:val="22"/>
              </w:rPr>
              <w:t>, “b” e “c”</w:t>
            </w:r>
          </w:p>
        </w:tc>
        <w:tc>
          <w:tcPr>
            <w:tcW w:w="1386" w:type="pct"/>
            <w:vAlign w:val="center"/>
          </w:tcPr>
          <w:p w14:paraId="3159781D" w14:textId="77777777" w:rsidR="00AC01F5" w:rsidRPr="00170FDC" w:rsidRDefault="00AC01F5" w:rsidP="00183142">
            <w:pPr>
              <w:pStyle w:val="Contrato-Alnea"/>
              <w:rPr>
                <w:color w:val="000000" w:themeColor="text1"/>
                <w:lang w:val="pt-PT"/>
              </w:rPr>
            </w:pPr>
          </w:p>
        </w:tc>
        <w:tc>
          <w:tcPr>
            <w:tcW w:w="2126" w:type="pct"/>
            <w:vAlign w:val="center"/>
          </w:tcPr>
          <w:p w14:paraId="5061CFC5" w14:textId="659BBDDA" w:rsidR="00AC01F5" w:rsidRPr="00170FDC" w:rsidRDefault="00AC01F5" w:rsidP="00E061A4">
            <w:pPr>
              <w:pStyle w:val="Legenda"/>
              <w:jc w:val="both"/>
              <w:rPr>
                <w:rFonts w:cs="Arial"/>
                <w:sz w:val="22"/>
                <w:szCs w:val="22"/>
              </w:rPr>
            </w:pPr>
            <w:r>
              <w:rPr>
                <w:rFonts w:cs="Arial"/>
                <w:sz w:val="22"/>
                <w:szCs w:val="22"/>
              </w:rPr>
              <w:t>Vide justificativa referente ao item 34.5 acima.</w:t>
            </w:r>
          </w:p>
        </w:tc>
      </w:tr>
      <w:tr w:rsidR="00AC01F5" w:rsidRPr="00170FDC" w14:paraId="14DEF470" w14:textId="77777777" w:rsidTr="0003097F">
        <w:trPr>
          <w:trHeight w:val="2268"/>
        </w:trPr>
        <w:tc>
          <w:tcPr>
            <w:tcW w:w="553" w:type="pct"/>
            <w:vAlign w:val="center"/>
          </w:tcPr>
          <w:p w14:paraId="26FB0A7B" w14:textId="6CF53C7B" w:rsidR="00AC01F5" w:rsidRPr="0061637B"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7CDD519" w14:textId="22BC428F" w:rsidR="00AC01F5" w:rsidRPr="00E82FD1" w:rsidRDefault="00AC01F5" w:rsidP="00AC01F5">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7E74CD56" w14:textId="6EB84495"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34.5, Alínea “</w:t>
            </w:r>
            <w:r>
              <w:rPr>
                <w:rFonts w:cs="Arial"/>
                <w:color w:val="000000" w:themeColor="text1"/>
                <w:sz w:val="22"/>
                <w:szCs w:val="22"/>
              </w:rPr>
              <w:t>h</w:t>
            </w:r>
            <w:r w:rsidRPr="008E44C8">
              <w:rPr>
                <w:rFonts w:cs="Arial"/>
                <w:color w:val="000000" w:themeColor="text1"/>
                <w:sz w:val="22"/>
                <w:szCs w:val="22"/>
              </w:rPr>
              <w:t>”</w:t>
            </w:r>
          </w:p>
        </w:tc>
        <w:tc>
          <w:tcPr>
            <w:tcW w:w="1386" w:type="pct"/>
            <w:vAlign w:val="center"/>
          </w:tcPr>
          <w:p w14:paraId="0EFDAAB5" w14:textId="19D28EDE" w:rsidR="00AC01F5" w:rsidRPr="00345793" w:rsidRDefault="00AC01F5" w:rsidP="00183142">
            <w:pPr>
              <w:pStyle w:val="Contrato-Alnea"/>
              <w:rPr>
                <w:lang w:val="pt-PT"/>
              </w:rPr>
            </w:pPr>
            <w:r>
              <w:rPr>
                <w:bCs/>
                <w:iCs/>
                <w:lang w:val="pt-PT"/>
              </w:rPr>
              <w:t>N</w:t>
            </w:r>
            <w:r w:rsidRPr="00345793">
              <w:rPr>
                <w:bCs/>
                <w:iCs/>
                <w:lang w:val="pt-PT"/>
              </w:rPr>
              <w:t>o</w:t>
            </w:r>
            <w:r w:rsidRPr="00345793">
              <w:rPr>
                <w:lang w:val="pt-PT"/>
              </w:rPr>
              <w:t xml:space="preserve"> mérito, os árbitros </w:t>
            </w:r>
            <w:r w:rsidRPr="00345793">
              <w:rPr>
                <w:bCs/>
                <w:iCs/>
                <w:lang w:val="pt-PT"/>
              </w:rPr>
              <w:t xml:space="preserve">decidirão </w:t>
            </w:r>
            <w:r w:rsidRPr="00345793">
              <w:rPr>
                <w:lang w:val="pt-PT"/>
              </w:rPr>
              <w:t>com base nas leis substantivas brasileiras</w:t>
            </w:r>
            <w:r>
              <w:rPr>
                <w:lang w:val="pt-PT"/>
              </w:rPr>
              <w:t>, levando em consideração as Melhores Práticas da Indústria de Petróleo</w:t>
            </w:r>
            <w:r w:rsidRPr="00345793">
              <w:rPr>
                <w:bCs/>
                <w:iCs/>
                <w:lang w:val="pt-PT"/>
              </w:rPr>
              <w:t>;</w:t>
            </w:r>
          </w:p>
          <w:p w14:paraId="61F6515A" w14:textId="77777777" w:rsidR="00AC01F5" w:rsidRPr="00170FDC" w:rsidRDefault="00AC01F5" w:rsidP="00183142">
            <w:pPr>
              <w:pStyle w:val="Contrato-Clausula-Nvel2-1dezena"/>
              <w:numPr>
                <w:ilvl w:val="0"/>
                <w:numId w:val="0"/>
              </w:numPr>
              <w:ind w:left="36"/>
              <w:rPr>
                <w:rFonts w:cs="Arial"/>
                <w:szCs w:val="22"/>
                <w:lang w:val="pt-PT"/>
              </w:rPr>
            </w:pPr>
          </w:p>
        </w:tc>
        <w:tc>
          <w:tcPr>
            <w:tcW w:w="2126" w:type="pct"/>
            <w:vAlign w:val="center"/>
          </w:tcPr>
          <w:p w14:paraId="419BE64D" w14:textId="29375CF1" w:rsidR="00AC01F5" w:rsidRPr="00170FDC" w:rsidRDefault="00AC01F5" w:rsidP="00E061A4">
            <w:pPr>
              <w:pStyle w:val="Contrato-Alnea"/>
            </w:pPr>
            <w:r w:rsidRPr="00992972">
              <w:rPr>
                <w:bCs/>
                <w:iCs/>
                <w:lang w:val="pt-PT"/>
              </w:rPr>
              <w:t>A Lei do Petróleo  - Lei  9.478/1997 -refere que é elemento essencial do contratos de concessão cláusula de arbitragem internacional. Como o critério de internacionalidade da arbitragem adotado pela Lei Brasileira de Arbitragem  - Lei 9.307/1996  - é o da sede da arbitragem (são domésticas as arbitragens com sede no Brasil), é imperativo a utilização das Melhores Práticas</w:t>
            </w:r>
            <w:r>
              <w:rPr>
                <w:bCs/>
                <w:iCs/>
                <w:lang w:val="pt-PT"/>
              </w:rPr>
              <w:t xml:space="preserve"> da Indústria de Petróleo </w:t>
            </w:r>
            <w:r w:rsidRPr="00992972">
              <w:rPr>
                <w:bCs/>
                <w:iCs/>
                <w:lang w:val="pt-PT"/>
              </w:rPr>
              <w:t>para conferir algum grau de internacionalidade ao procedimento, elemento fundamental aos investidores estrangeiros.</w:t>
            </w:r>
          </w:p>
        </w:tc>
      </w:tr>
      <w:tr w:rsidR="00AC01F5" w:rsidRPr="00170FDC" w14:paraId="1944DD2A" w14:textId="77777777" w:rsidTr="0003097F">
        <w:trPr>
          <w:trHeight w:val="2268"/>
        </w:trPr>
        <w:tc>
          <w:tcPr>
            <w:tcW w:w="553" w:type="pct"/>
            <w:vAlign w:val="center"/>
          </w:tcPr>
          <w:p w14:paraId="2610CB0D" w14:textId="77575282" w:rsidR="00AC01F5" w:rsidRPr="0061637B"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D4A78D4" w14:textId="6C054008" w:rsidR="00AC01F5" w:rsidRPr="00E82FD1" w:rsidRDefault="00AC01F5" w:rsidP="00AC01F5">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5D0A4550" w14:textId="730241E8"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34.5, Alínea “</w:t>
            </w:r>
            <w:r>
              <w:rPr>
                <w:rFonts w:cs="Arial"/>
                <w:color w:val="000000" w:themeColor="text1"/>
                <w:sz w:val="22"/>
                <w:szCs w:val="22"/>
              </w:rPr>
              <w:t>o</w:t>
            </w:r>
            <w:r w:rsidRPr="008E44C8">
              <w:rPr>
                <w:rFonts w:cs="Arial"/>
                <w:color w:val="000000" w:themeColor="text1"/>
                <w:sz w:val="22"/>
                <w:szCs w:val="22"/>
              </w:rPr>
              <w:t>”</w:t>
            </w:r>
          </w:p>
        </w:tc>
        <w:tc>
          <w:tcPr>
            <w:tcW w:w="1386" w:type="pct"/>
            <w:vAlign w:val="center"/>
          </w:tcPr>
          <w:p w14:paraId="01E55274" w14:textId="5093EA64" w:rsidR="00AC01F5" w:rsidRPr="00345793" w:rsidRDefault="00AC01F5" w:rsidP="00183142">
            <w:pPr>
              <w:pStyle w:val="Contrato-Alnea"/>
              <w:rPr>
                <w:bCs/>
                <w:iCs/>
                <w:lang w:val="pt-PT"/>
              </w:rPr>
            </w:pPr>
            <w:r>
              <w:rPr>
                <w:bCs/>
                <w:iCs/>
                <w:lang w:val="pt-PT"/>
              </w:rPr>
              <w:t>O procedimento arbitral deverá observar o princípio da publicidade na medida determinada pela legislação aplicável, devendo ser mantida a confidencialidade da arbitragem na máxima extensão permitida pela legislação aplicável. A divulgação das informações não-confidenciais ficará a cargo da Parte que tiver o dever de divulgá-las.</w:t>
            </w:r>
          </w:p>
          <w:p w14:paraId="6E120845" w14:textId="77777777" w:rsidR="00AC01F5" w:rsidRPr="00170FDC" w:rsidRDefault="00AC01F5" w:rsidP="00183142">
            <w:pPr>
              <w:pStyle w:val="Contrato-Clausula-Nvel2-1dezena"/>
              <w:numPr>
                <w:ilvl w:val="0"/>
                <w:numId w:val="0"/>
              </w:numPr>
              <w:ind w:left="36"/>
              <w:rPr>
                <w:rFonts w:cs="Arial"/>
                <w:szCs w:val="22"/>
                <w:lang w:val="pt-PT"/>
              </w:rPr>
            </w:pPr>
          </w:p>
        </w:tc>
        <w:tc>
          <w:tcPr>
            <w:tcW w:w="2126" w:type="pct"/>
            <w:vAlign w:val="center"/>
          </w:tcPr>
          <w:p w14:paraId="47476645" w14:textId="41C0092E" w:rsidR="00AC01F5" w:rsidRPr="00992972" w:rsidRDefault="00AC01F5" w:rsidP="00E061A4">
            <w:pPr>
              <w:pStyle w:val="Contrato-Alnea"/>
              <w:rPr>
                <w:bCs/>
                <w:iCs/>
                <w:lang w:val="pt-PT"/>
              </w:rPr>
            </w:pPr>
            <w:r w:rsidRPr="00992972">
              <w:rPr>
                <w:bCs/>
                <w:iCs/>
                <w:lang w:val="pt-PT"/>
              </w:rPr>
              <w:t>Essa disposição pode ser inexequível por impor à instituição administradora da arbitrage</w:t>
            </w:r>
            <w:r>
              <w:rPr>
                <w:bCs/>
                <w:iCs/>
                <w:lang w:val="pt-PT"/>
              </w:rPr>
              <w:t>m</w:t>
            </w:r>
            <w:r w:rsidRPr="00992972">
              <w:rPr>
                <w:bCs/>
                <w:iCs/>
                <w:lang w:val="pt-PT"/>
              </w:rPr>
              <w:t xml:space="preserve"> um ônus que provavelmente ela não quererá assumir, colocando em risco todas a eficácia da cláusula. Cada parte tem o dever de estar ciente de suas obrigações legais de publicidade e, portanto, deve ser responsável por cumpri-las.</w:t>
            </w:r>
          </w:p>
          <w:p w14:paraId="44D422B9" w14:textId="77777777" w:rsidR="00AC01F5" w:rsidRPr="00992972" w:rsidRDefault="00AC01F5" w:rsidP="00E061A4">
            <w:pPr>
              <w:pStyle w:val="Contrato-Alnea"/>
              <w:rPr>
                <w:bCs/>
                <w:iCs/>
                <w:lang w:val="pt-PT"/>
              </w:rPr>
            </w:pPr>
          </w:p>
        </w:tc>
      </w:tr>
      <w:tr w:rsidR="00AC01F5" w:rsidRPr="00170FDC" w14:paraId="4336C27C" w14:textId="77777777" w:rsidTr="0003097F">
        <w:trPr>
          <w:trHeight w:val="2268"/>
        </w:trPr>
        <w:tc>
          <w:tcPr>
            <w:tcW w:w="553" w:type="pct"/>
            <w:vAlign w:val="center"/>
          </w:tcPr>
          <w:p w14:paraId="5197736E"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A3431C8" w14:textId="77777777" w:rsidR="00AC01F5" w:rsidRPr="006E166E" w:rsidRDefault="00AC01F5" w:rsidP="00AC01F5">
            <w:pPr>
              <w:pStyle w:val="Legenda"/>
              <w:jc w:val="center"/>
              <w:rPr>
                <w:rFonts w:cs="Arial"/>
                <w:color w:val="000000" w:themeColor="text1"/>
                <w:sz w:val="22"/>
                <w:szCs w:val="22"/>
              </w:rPr>
            </w:pPr>
            <w:r>
              <w:rPr>
                <w:rFonts w:cs="Arial"/>
                <w:color w:val="000000" w:themeColor="text1"/>
                <w:sz w:val="22"/>
                <w:szCs w:val="22"/>
              </w:rPr>
              <w:t>Exclusão</w:t>
            </w:r>
          </w:p>
        </w:tc>
        <w:tc>
          <w:tcPr>
            <w:tcW w:w="494" w:type="pct"/>
            <w:vAlign w:val="center"/>
          </w:tcPr>
          <w:p w14:paraId="7F6691EE" w14:textId="77777777"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34.6.1</w:t>
            </w:r>
          </w:p>
        </w:tc>
        <w:tc>
          <w:tcPr>
            <w:tcW w:w="1386" w:type="pct"/>
            <w:vAlign w:val="center"/>
          </w:tcPr>
          <w:p w14:paraId="1CF95438" w14:textId="77777777" w:rsidR="00AC01F5" w:rsidRPr="00170FDC" w:rsidRDefault="00AC01F5" w:rsidP="00183142">
            <w:pPr>
              <w:autoSpaceDE w:val="0"/>
              <w:autoSpaceDN w:val="0"/>
              <w:adjustRightInd w:val="0"/>
              <w:spacing w:before="200" w:after="200"/>
              <w:jc w:val="both"/>
              <w:rPr>
                <w:rFonts w:ascii="Arial" w:hAnsi="Arial" w:cs="Arial"/>
                <w:sz w:val="22"/>
                <w:szCs w:val="22"/>
              </w:rPr>
            </w:pPr>
          </w:p>
        </w:tc>
        <w:tc>
          <w:tcPr>
            <w:tcW w:w="2126" w:type="pct"/>
            <w:vAlign w:val="center"/>
          </w:tcPr>
          <w:p w14:paraId="2420AC75" w14:textId="19558D97" w:rsidR="00AC01F5" w:rsidRPr="00336475" w:rsidRDefault="00AC01F5" w:rsidP="00E061A4">
            <w:pPr>
              <w:pStyle w:val="Legenda"/>
              <w:jc w:val="both"/>
              <w:rPr>
                <w:rFonts w:cs="Arial"/>
                <w:sz w:val="22"/>
                <w:szCs w:val="22"/>
              </w:rPr>
            </w:pPr>
            <w:r w:rsidRPr="00951F1C">
              <w:rPr>
                <w:rStyle w:val="Refdecomentrio"/>
                <w:sz w:val="22"/>
                <w:szCs w:val="22"/>
              </w:rPr>
              <w:t>O conceito de “direitos patrimoniais disponíveis” é aberto e deve ser interpretado caso a caso. Não é melhor prática tentar elencá-los no contrato. Cada parte terá oportunidade de defender sua posição perante o tribunal sobre disponibilidade ou não de algum direito (e consequentemente sobre a competência ou não do tribunal arbitral sobre a respectiva disputa). A listagem de definições e direitos patrimoniais disponíveis pode limitar indevidamente ou gerar dúvidas sobre a competência do tribunal arbitral, que deve ser a mais ampla possível no</w:t>
            </w:r>
            <w:r>
              <w:rPr>
                <w:rStyle w:val="Refdecomentrio"/>
                <w:sz w:val="22"/>
                <w:szCs w:val="22"/>
              </w:rPr>
              <w:t>s</w:t>
            </w:r>
            <w:r w:rsidRPr="00951F1C">
              <w:rPr>
                <w:rStyle w:val="Refdecomentrio"/>
                <w:sz w:val="22"/>
                <w:szCs w:val="22"/>
              </w:rPr>
              <w:t xml:space="preserve"> termos da lei.</w:t>
            </w:r>
          </w:p>
          <w:p w14:paraId="1484BC41" w14:textId="77777777" w:rsidR="00AC01F5" w:rsidRPr="00170FDC" w:rsidRDefault="00AC01F5" w:rsidP="00E061A4">
            <w:pPr>
              <w:pStyle w:val="Legenda"/>
              <w:jc w:val="both"/>
              <w:rPr>
                <w:rFonts w:cs="Arial"/>
                <w:sz w:val="22"/>
                <w:szCs w:val="22"/>
              </w:rPr>
            </w:pPr>
          </w:p>
        </w:tc>
      </w:tr>
      <w:tr w:rsidR="00AC01F5" w:rsidRPr="00170FDC" w14:paraId="18B06BC3" w14:textId="77777777" w:rsidTr="0003097F">
        <w:trPr>
          <w:trHeight w:val="2268"/>
        </w:trPr>
        <w:tc>
          <w:tcPr>
            <w:tcW w:w="553" w:type="pct"/>
            <w:vAlign w:val="center"/>
          </w:tcPr>
          <w:p w14:paraId="26CFE3B8"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05FC710" w14:textId="77777777" w:rsidR="00AC01F5" w:rsidRPr="006E166E" w:rsidRDefault="00AC01F5" w:rsidP="00AC01F5">
            <w:pPr>
              <w:pStyle w:val="Legenda"/>
              <w:jc w:val="center"/>
              <w:rPr>
                <w:rFonts w:cs="Arial"/>
                <w:color w:val="000000" w:themeColor="text1"/>
                <w:sz w:val="22"/>
                <w:szCs w:val="22"/>
              </w:rPr>
            </w:pPr>
            <w:r>
              <w:rPr>
                <w:rFonts w:cs="Arial"/>
                <w:color w:val="000000" w:themeColor="text1"/>
                <w:sz w:val="22"/>
                <w:szCs w:val="22"/>
              </w:rPr>
              <w:t>Inclusão</w:t>
            </w:r>
          </w:p>
        </w:tc>
        <w:tc>
          <w:tcPr>
            <w:tcW w:w="494" w:type="pct"/>
            <w:vAlign w:val="center"/>
          </w:tcPr>
          <w:p w14:paraId="456473A6" w14:textId="121C61BA" w:rsidR="00AC01F5" w:rsidRPr="008E44C8" w:rsidRDefault="00AC01F5" w:rsidP="00183142">
            <w:pPr>
              <w:pStyle w:val="Legenda"/>
              <w:jc w:val="center"/>
              <w:rPr>
                <w:rFonts w:cs="Arial"/>
                <w:color w:val="000000" w:themeColor="text1"/>
                <w:sz w:val="22"/>
                <w:szCs w:val="22"/>
              </w:rPr>
            </w:pPr>
            <w:r w:rsidRPr="008E44C8">
              <w:rPr>
                <w:rFonts w:cs="Arial"/>
                <w:color w:val="000000" w:themeColor="text1"/>
                <w:sz w:val="22"/>
                <w:szCs w:val="22"/>
              </w:rPr>
              <w:t>35.</w:t>
            </w:r>
            <w:r>
              <w:rPr>
                <w:rFonts w:cs="Arial"/>
                <w:color w:val="000000" w:themeColor="text1"/>
                <w:sz w:val="22"/>
                <w:szCs w:val="22"/>
              </w:rPr>
              <w:t>5</w:t>
            </w:r>
          </w:p>
        </w:tc>
        <w:tc>
          <w:tcPr>
            <w:tcW w:w="1386" w:type="pct"/>
            <w:vAlign w:val="center"/>
          </w:tcPr>
          <w:p w14:paraId="39B5820B" w14:textId="77777777" w:rsidR="00AC01F5" w:rsidRPr="003A1B13" w:rsidRDefault="00AC01F5" w:rsidP="00183142">
            <w:pPr>
              <w:pStyle w:val="Legenda"/>
              <w:jc w:val="both"/>
              <w:rPr>
                <w:rFonts w:cs="Arial"/>
                <w:b/>
                <w:sz w:val="22"/>
                <w:szCs w:val="22"/>
              </w:rPr>
            </w:pPr>
            <w:r>
              <w:rPr>
                <w:rFonts w:cs="Arial"/>
                <w:b/>
                <w:sz w:val="22"/>
                <w:szCs w:val="22"/>
              </w:rPr>
              <w:t>Quitação das obrigações</w:t>
            </w:r>
          </w:p>
          <w:p w14:paraId="034AB891" w14:textId="77777777" w:rsidR="00AC01F5" w:rsidRPr="006B190C" w:rsidRDefault="00AC01F5" w:rsidP="00183142">
            <w:pPr>
              <w:autoSpaceDE w:val="0"/>
              <w:autoSpaceDN w:val="0"/>
              <w:adjustRightInd w:val="0"/>
              <w:spacing w:before="200" w:after="200"/>
              <w:jc w:val="both"/>
              <w:rPr>
                <w:rFonts w:ascii="Arial" w:hAnsi="Arial" w:cs="Arial"/>
                <w:color w:val="FF0000"/>
                <w:sz w:val="22"/>
                <w:szCs w:val="22"/>
              </w:rPr>
            </w:pPr>
            <w:r w:rsidRPr="00170FDC">
              <w:rPr>
                <w:rFonts w:ascii="Arial" w:hAnsi="Arial" w:cs="Arial"/>
                <w:sz w:val="22"/>
                <w:szCs w:val="22"/>
              </w:rPr>
              <w:t>Ao término do Contrato de Concessão e após o cumprimento de todas as obrigações previstas neste Contrato, a ANP emitirá em favor de cada um dos Concessionários, no prazo máximo de ____ (______) dias, a contar do recebimento da solicitação por escrito pelos Concessionários, o respectivo Termo de Quitação, ressalvando-se aquelas obrigações previstas nas Cláusulas 21, 33 e nos demais dispositivos legais aplicáveis.</w:t>
            </w:r>
          </w:p>
        </w:tc>
        <w:tc>
          <w:tcPr>
            <w:tcW w:w="2126" w:type="pct"/>
            <w:vAlign w:val="center"/>
          </w:tcPr>
          <w:p w14:paraId="64973A9C" w14:textId="77777777" w:rsidR="00AC01F5" w:rsidRPr="00170FDC" w:rsidRDefault="00AC01F5" w:rsidP="00E061A4">
            <w:pPr>
              <w:pStyle w:val="Legenda"/>
              <w:jc w:val="both"/>
              <w:rPr>
                <w:rFonts w:cs="Arial"/>
                <w:sz w:val="22"/>
                <w:szCs w:val="22"/>
              </w:rPr>
            </w:pPr>
            <w:r w:rsidRPr="00170FDC">
              <w:rPr>
                <w:rFonts w:cs="Arial"/>
                <w:sz w:val="22"/>
                <w:szCs w:val="22"/>
              </w:rPr>
              <w:t>A quitação acima pleiteada visa a conferir maior segurança ao investidor que, após ter realizado vultosos investimentos e cumprido todas as obrigações previstas no Contrato de Concessão e demais Portarias da ANP aplicáveis, em especial na Portaria ANP nº 114, de 25 de julho de 2001, deseja receber da ANP Termo de Quitação pelo cumprimento das obrigações contratuais. A quitação é direito do devedor sempre que cumpre as suas obrigações. É instituto pacificamente protegido e garantido nos termos do Artigo 319 e seguintes do Código Civil Brasileiro. Ressalte-se que a quitação ora pretendida diz respeito tão somente às obrigações previstas no Contrato de Concessão, excluindo, portanto, aquelas advindas de outros deveres legais do Concessionário, em especial sua responsabilidade civil, administrativa e penal por danos ao Meio Ambiente, ou em desrespeito ao compromisso de Confidencialidade, previsto na Cláusula 33 do Contrato de Concessão, com previsão expressa de sobrevivência ao término do referido contrato.</w:t>
            </w:r>
          </w:p>
        </w:tc>
      </w:tr>
      <w:tr w:rsidR="00AC01F5" w:rsidRPr="00170FDC" w14:paraId="5F231BE6" w14:textId="77777777" w:rsidTr="0003097F">
        <w:trPr>
          <w:trHeight w:val="2268"/>
        </w:trPr>
        <w:tc>
          <w:tcPr>
            <w:tcW w:w="553" w:type="pct"/>
            <w:vAlign w:val="center"/>
          </w:tcPr>
          <w:p w14:paraId="4322D056" w14:textId="77777777" w:rsidR="00AC01F5" w:rsidRPr="00170FDC" w:rsidRDefault="00AC01F5" w:rsidP="00AC01F5">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99F4B6F" w14:textId="77777777" w:rsidR="00AC01F5" w:rsidRPr="006E166E" w:rsidRDefault="00AC01F5" w:rsidP="00AC01F5">
            <w:pPr>
              <w:pStyle w:val="Legenda"/>
              <w:jc w:val="center"/>
              <w:rPr>
                <w:rFonts w:cs="Arial"/>
                <w:color w:val="000000" w:themeColor="text1"/>
                <w:sz w:val="22"/>
                <w:szCs w:val="22"/>
              </w:rPr>
            </w:pPr>
            <w:r>
              <w:rPr>
                <w:rFonts w:cs="Arial"/>
                <w:color w:val="000000" w:themeColor="text1"/>
                <w:sz w:val="22"/>
                <w:szCs w:val="22"/>
              </w:rPr>
              <w:t>Inclusão</w:t>
            </w:r>
          </w:p>
        </w:tc>
        <w:tc>
          <w:tcPr>
            <w:tcW w:w="494" w:type="pct"/>
            <w:vAlign w:val="center"/>
          </w:tcPr>
          <w:p w14:paraId="5F1DB325" w14:textId="0971EED0" w:rsidR="00AC01F5" w:rsidRPr="008E44C8" w:rsidRDefault="00AC01F5" w:rsidP="00183142">
            <w:pPr>
              <w:pStyle w:val="Legenda"/>
              <w:jc w:val="center"/>
              <w:rPr>
                <w:rFonts w:cs="Arial"/>
                <w:color w:val="000000" w:themeColor="text1"/>
                <w:sz w:val="22"/>
                <w:szCs w:val="22"/>
              </w:rPr>
            </w:pPr>
            <w:r>
              <w:rPr>
                <w:rFonts w:cs="Arial"/>
                <w:color w:val="000000" w:themeColor="text1"/>
                <w:sz w:val="22"/>
                <w:szCs w:val="22"/>
              </w:rPr>
              <w:t>35.6</w:t>
            </w:r>
          </w:p>
        </w:tc>
        <w:tc>
          <w:tcPr>
            <w:tcW w:w="1386" w:type="pct"/>
            <w:vAlign w:val="center"/>
          </w:tcPr>
          <w:p w14:paraId="116E79C5" w14:textId="77777777" w:rsidR="00AC01F5" w:rsidRPr="003A1B13" w:rsidRDefault="00AC01F5" w:rsidP="00183142">
            <w:pPr>
              <w:pStyle w:val="Legenda"/>
              <w:jc w:val="both"/>
              <w:rPr>
                <w:rFonts w:cs="Arial"/>
                <w:b/>
                <w:sz w:val="22"/>
                <w:szCs w:val="22"/>
              </w:rPr>
            </w:pPr>
            <w:r w:rsidRPr="003A1B13">
              <w:rPr>
                <w:rFonts w:cs="Arial"/>
                <w:b/>
                <w:sz w:val="22"/>
                <w:szCs w:val="22"/>
              </w:rPr>
              <w:t>Equilíbrio Econômico-Financeiro</w:t>
            </w:r>
          </w:p>
          <w:p w14:paraId="5642408C" w14:textId="77777777" w:rsidR="00AC01F5" w:rsidRDefault="00AC01F5" w:rsidP="00183142">
            <w:pPr>
              <w:jc w:val="both"/>
              <w:rPr>
                <w:rFonts w:ascii="Arial" w:hAnsi="Arial" w:cs="Arial"/>
                <w:sz w:val="22"/>
                <w:szCs w:val="22"/>
              </w:rPr>
            </w:pPr>
          </w:p>
          <w:p w14:paraId="46B32DB9" w14:textId="77777777" w:rsidR="00AC01F5" w:rsidRPr="006B190C" w:rsidRDefault="00AC01F5" w:rsidP="00183142">
            <w:pPr>
              <w:jc w:val="both"/>
              <w:rPr>
                <w:rFonts w:ascii="Arial" w:hAnsi="Arial" w:cs="Arial"/>
                <w:sz w:val="22"/>
                <w:szCs w:val="22"/>
              </w:rPr>
            </w:pPr>
            <w:r w:rsidRPr="00170FDC">
              <w:rPr>
                <w:rFonts w:ascii="Arial" w:hAnsi="Arial" w:cs="Arial"/>
                <w:sz w:val="22"/>
                <w:szCs w:val="22"/>
              </w:rPr>
              <w:t>Se a qualquer momento, após a assinatura do Contrato, advir situação extraordinária e imprevisível, nos termos do Artigo 478 do Código Civil, que afete de maneira adversa e excessiva o equilíbrio econômico-financeiro do Contrato existente na Data de Entrada em Vigor, as Partes terão o direito à revisão e alteração do Contrato, visando a restabelecer o seu e</w:t>
            </w:r>
            <w:r>
              <w:rPr>
                <w:rFonts w:ascii="Arial" w:hAnsi="Arial" w:cs="Arial"/>
                <w:sz w:val="22"/>
                <w:szCs w:val="22"/>
              </w:rPr>
              <w:t>quilíbrio econômico-financeiro.</w:t>
            </w:r>
          </w:p>
        </w:tc>
        <w:tc>
          <w:tcPr>
            <w:tcW w:w="2126" w:type="pct"/>
            <w:vAlign w:val="center"/>
          </w:tcPr>
          <w:p w14:paraId="62EDFD81" w14:textId="77777777" w:rsidR="00AC01F5" w:rsidRPr="00170FDC" w:rsidRDefault="00AC01F5" w:rsidP="00E061A4">
            <w:pPr>
              <w:pStyle w:val="Legenda"/>
              <w:jc w:val="both"/>
              <w:rPr>
                <w:rFonts w:cs="Arial"/>
                <w:sz w:val="22"/>
                <w:szCs w:val="22"/>
              </w:rPr>
            </w:pPr>
            <w:r w:rsidRPr="00170FDC">
              <w:rPr>
                <w:rFonts w:cs="Arial"/>
                <w:sz w:val="22"/>
                <w:szCs w:val="22"/>
              </w:rPr>
              <w:t>Esse princípio já está incorporado em nosso ordenamento jurídico. Dessa forma, solicitamos que o mesmo seja colocado expressamente neste Contrato para o melhor esclarecimento e segurança dos direitos e obrigações das Partes. Certamente, a sua incorporação ao texto desta minuta consolidará</w:t>
            </w:r>
          </w:p>
        </w:tc>
      </w:tr>
    </w:tbl>
    <w:p w14:paraId="2906A1E9" w14:textId="77777777" w:rsidR="00764EB1" w:rsidRDefault="00764EB1" w:rsidP="004D421E">
      <w:pPr>
        <w:pStyle w:val="Legenda"/>
        <w:spacing w:line="360" w:lineRule="auto"/>
        <w:jc w:val="both"/>
        <w:rPr>
          <w:rFonts w:cs="Arial"/>
          <w:szCs w:val="24"/>
          <w:u w:val="single"/>
        </w:rPr>
      </w:pPr>
    </w:p>
    <w:sectPr w:rsidR="00764EB1"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69E968" w14:textId="77777777" w:rsidR="00795097" w:rsidRDefault="00795097" w:rsidP="00842086">
      <w:r>
        <w:separator/>
      </w:r>
    </w:p>
  </w:endnote>
  <w:endnote w:type="continuationSeparator" w:id="0">
    <w:p w14:paraId="47E74592" w14:textId="77777777" w:rsidR="00795097" w:rsidRDefault="00795097"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TT15C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9B744" w14:textId="77777777" w:rsidR="00183142" w:rsidRDefault="00183142">
    <w:pPr>
      <w:pStyle w:val="Rodap"/>
      <w:jc w:val="right"/>
    </w:pPr>
    <w:r>
      <w:fldChar w:fldCharType="begin"/>
    </w:r>
    <w:r>
      <w:instrText xml:space="preserve"> PAGE   \* MERGEFORMAT </w:instrText>
    </w:r>
    <w:r>
      <w:fldChar w:fldCharType="separate"/>
    </w:r>
    <w:r w:rsidR="004B13FF">
      <w:rPr>
        <w:noProof/>
      </w:rPr>
      <w:t>2</w:t>
    </w:r>
    <w:r>
      <w:fldChar w:fldCharType="end"/>
    </w:r>
  </w:p>
  <w:p w14:paraId="7EE89F64" w14:textId="77777777" w:rsidR="00183142" w:rsidRDefault="0018314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76767" w14:textId="77777777" w:rsidR="00183142" w:rsidRDefault="00183142">
    <w:pPr>
      <w:pStyle w:val="Rodap"/>
      <w:jc w:val="right"/>
    </w:pPr>
    <w:r>
      <w:fldChar w:fldCharType="begin"/>
    </w:r>
    <w:r>
      <w:instrText xml:space="preserve"> PAGE   \* MERGEFORMAT </w:instrText>
    </w:r>
    <w:r>
      <w:fldChar w:fldCharType="separate"/>
    </w:r>
    <w:r w:rsidR="004B13FF">
      <w:rPr>
        <w:noProof/>
      </w:rPr>
      <w:t>1</w:t>
    </w:r>
    <w:r>
      <w:fldChar w:fldCharType="end"/>
    </w:r>
  </w:p>
  <w:p w14:paraId="1CD69AA2" w14:textId="77777777" w:rsidR="00183142" w:rsidRDefault="0018314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D204E" w14:textId="77777777" w:rsidR="00795097" w:rsidRDefault="00795097" w:rsidP="00842086">
      <w:r>
        <w:separator/>
      </w:r>
    </w:p>
  </w:footnote>
  <w:footnote w:type="continuationSeparator" w:id="0">
    <w:p w14:paraId="1C28CF1B" w14:textId="77777777" w:rsidR="00795097" w:rsidRDefault="00795097"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D8433" w14:textId="77777777" w:rsidR="00183142" w:rsidRDefault="00183142"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189"/>
      <w:gridCol w:w="6098"/>
    </w:tblGrid>
    <w:tr w:rsidR="00183142" w:rsidRPr="00B27481" w14:paraId="4148259D"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1B96BA5E" w14:textId="77777777" w:rsidR="00183142" w:rsidRPr="0036380F" w:rsidRDefault="00183142"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14:anchorId="65A52B9E" wp14:editId="0C872E55">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Pr>
              <w:rFonts w:ascii="Arial" w:hAnsi="Arial" w:cs="Arial"/>
              <w:noProof/>
              <w:sz w:val="24"/>
              <w:szCs w:val="24"/>
            </w:rPr>
            <w:drawing>
              <wp:inline distT="0" distB="0" distL="0" distR="0" wp14:anchorId="390935DE" wp14:editId="316447F6">
                <wp:extent cx="2152650" cy="11114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15_Portugues.gif"/>
                        <pic:cNvPicPr/>
                      </pic:nvPicPr>
                      <pic:blipFill>
                        <a:blip r:embed="rId2">
                          <a:extLst>
                            <a:ext uri="{28A0092B-C50C-407E-A947-70E740481C1C}">
                              <a14:useLocalDpi xmlns:a14="http://schemas.microsoft.com/office/drawing/2010/main" val="0"/>
                            </a:ext>
                          </a:extLst>
                        </a:blip>
                        <a:stretch>
                          <a:fillRect/>
                        </a:stretch>
                      </pic:blipFill>
                      <pic:spPr>
                        <a:xfrm>
                          <a:off x="0" y="0"/>
                          <a:ext cx="2186988" cy="1129164"/>
                        </a:xfrm>
                        <a:prstGeom prst="rect">
                          <a:avLst/>
                        </a:prstGeom>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14:paraId="00786525" w14:textId="77777777" w:rsidR="00183142" w:rsidRPr="00B27481" w:rsidRDefault="00183142"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Pr>
              <w:rFonts w:ascii="Arial" w:hAnsi="Arial" w:cs="Arial"/>
              <w:b/>
              <w:sz w:val="28"/>
              <w:szCs w:val="28"/>
            </w:rPr>
            <w:t>25</w:t>
          </w:r>
          <w:r w:rsidRPr="00B27481">
            <w:rPr>
              <w:rFonts w:ascii="Arial" w:hAnsi="Arial" w:cs="Arial"/>
              <w:b/>
              <w:sz w:val="28"/>
              <w:szCs w:val="28"/>
            </w:rPr>
            <w:t>/201</w:t>
          </w:r>
          <w:r>
            <w:rPr>
              <w:rFonts w:ascii="Arial" w:hAnsi="Arial" w:cs="Arial"/>
              <w:b/>
              <w:sz w:val="28"/>
              <w:szCs w:val="28"/>
            </w:rPr>
            <w:t>7</w:t>
          </w:r>
        </w:p>
        <w:p w14:paraId="25CCEA60" w14:textId="77777777" w:rsidR="00183142" w:rsidRPr="00B27481" w:rsidRDefault="00183142"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07D7DAFB" w14:textId="77777777" w:rsidR="00183142" w:rsidRDefault="001831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6D26928"/>
    <w:multiLevelType w:val="multilevel"/>
    <w:tmpl w:val="CEDA237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432" w:hanging="432"/>
      </w:pPr>
    </w:lvl>
    <w:lvl w:ilvl="2">
      <w:start w:val="1"/>
      <w:numFmt w:val="decimal"/>
      <w:pStyle w:val="Contrato-Clausula-Nvel3"/>
      <w:lvlText w:val="%1.%2.%3."/>
      <w:lvlJc w:val="left"/>
      <w:pPr>
        <w:ind w:left="122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5"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6" w15:restartNumberingAfterBreak="0">
    <w:nsid w:val="118844BE"/>
    <w:multiLevelType w:val="multilevel"/>
    <w:tmpl w:val="691CB1F8"/>
    <w:numStyleLink w:val="ListaAnexos"/>
  </w:abstractNum>
  <w:abstractNum w:abstractNumId="17"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8" w15:restartNumberingAfterBreak="0">
    <w:nsid w:val="1ABC56DD"/>
    <w:multiLevelType w:val="hybridMultilevel"/>
    <w:tmpl w:val="8C7C1D1E"/>
    <w:lvl w:ilvl="0" w:tplc="04160017">
      <w:start w:val="5"/>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0" w15:restartNumberingAfterBreak="0">
    <w:nsid w:val="25C411AC"/>
    <w:multiLevelType w:val="hybridMultilevel"/>
    <w:tmpl w:val="24FADF28"/>
    <w:lvl w:ilvl="0" w:tplc="04160017">
      <w:start w:val="12"/>
      <w:numFmt w:val="lowerLetter"/>
      <w:lvlText w:val="%1)"/>
      <w:lvlJc w:val="left"/>
      <w:pPr>
        <w:ind w:left="720" w:hanging="360"/>
      </w:pPr>
      <w:rPr>
        <w:rFonts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89063E9"/>
    <w:multiLevelType w:val="hybridMultilevel"/>
    <w:tmpl w:val="716CC1E4"/>
    <w:lvl w:ilvl="0" w:tplc="0C82276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3"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24"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pStyle w:val="Contrato-Clausula-Nvel2-1dezena"/>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pStyle w:val="Contrato-Clausula-Nvel4-1dezena"/>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C1C23D3"/>
    <w:multiLevelType w:val="hybridMultilevel"/>
    <w:tmpl w:val="436E57AE"/>
    <w:lvl w:ilvl="0" w:tplc="1968FBEC">
      <w:start w:val="1"/>
      <w:numFmt w:val="bullet"/>
      <w:pStyle w:val="Edital-Subalnea-"/>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6"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27"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28" w15:restartNumberingAfterBreak="0">
    <w:nsid w:val="58ED427B"/>
    <w:multiLevelType w:val="hybridMultilevel"/>
    <w:tmpl w:val="3F9C8DA2"/>
    <w:lvl w:ilvl="0" w:tplc="04160017">
      <w:start w:val="1"/>
      <w:numFmt w:val="lowerLetter"/>
      <w:lvlText w:val="%1)"/>
      <w:lvlJc w:val="left"/>
      <w:pPr>
        <w:ind w:left="927" w:hanging="360"/>
      </w:p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start w:val="1"/>
      <w:numFmt w:val="decimal"/>
      <w:lvlText w:val="%4."/>
      <w:lvlJc w:val="left"/>
      <w:pPr>
        <w:ind w:left="3087" w:hanging="360"/>
      </w:pPr>
    </w:lvl>
    <w:lvl w:ilvl="4" w:tplc="04160019">
      <w:start w:val="1"/>
      <w:numFmt w:val="lowerLetter"/>
      <w:lvlText w:val="%5."/>
      <w:lvlJc w:val="left"/>
      <w:pPr>
        <w:ind w:left="3807" w:hanging="360"/>
      </w:pPr>
    </w:lvl>
    <w:lvl w:ilvl="5" w:tplc="0416001B">
      <w:start w:val="1"/>
      <w:numFmt w:val="lowerRoman"/>
      <w:lvlText w:val="%6."/>
      <w:lvlJc w:val="right"/>
      <w:pPr>
        <w:ind w:left="4527" w:hanging="180"/>
      </w:pPr>
    </w:lvl>
    <w:lvl w:ilvl="6" w:tplc="0416000F">
      <w:start w:val="1"/>
      <w:numFmt w:val="decimal"/>
      <w:lvlText w:val="%7."/>
      <w:lvlJc w:val="left"/>
      <w:pPr>
        <w:ind w:left="5247" w:hanging="360"/>
      </w:pPr>
    </w:lvl>
    <w:lvl w:ilvl="7" w:tplc="04160019">
      <w:start w:val="1"/>
      <w:numFmt w:val="lowerLetter"/>
      <w:lvlText w:val="%8."/>
      <w:lvlJc w:val="left"/>
      <w:pPr>
        <w:ind w:left="5967" w:hanging="360"/>
      </w:pPr>
    </w:lvl>
    <w:lvl w:ilvl="8" w:tplc="0416001B">
      <w:start w:val="1"/>
      <w:numFmt w:val="lowerRoman"/>
      <w:lvlText w:val="%9."/>
      <w:lvlJc w:val="right"/>
      <w:pPr>
        <w:ind w:left="6687" w:hanging="180"/>
      </w:pPr>
    </w:lvl>
  </w:abstractNum>
  <w:abstractNum w:abstractNumId="29"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30"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B9A3D70"/>
    <w:multiLevelType w:val="multilevel"/>
    <w:tmpl w:val="C1F45E16"/>
    <w:lvl w:ilvl="0">
      <w:start w:val="1"/>
      <w:numFmt w:val="upperRoman"/>
      <w:pStyle w:val="Contrato-Captulo"/>
      <w:suff w:val="nothing"/>
      <w:lvlText w:val="CAPÍTULO %1 - "/>
      <w:lvlJc w:val="center"/>
      <w:pPr>
        <w:ind w:left="4819"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5"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34"/>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23"/>
  </w:num>
  <w:num w:numId="15">
    <w:abstractNumId w:val="14"/>
  </w:num>
  <w:num w:numId="16">
    <w:abstractNumId w:val="26"/>
  </w:num>
  <w:num w:numId="17">
    <w:abstractNumId w:val="15"/>
  </w:num>
  <w:num w:numId="18">
    <w:abstractNumId w:val="35"/>
  </w:num>
  <w:num w:numId="19">
    <w:abstractNumId w:val="30"/>
  </w:num>
  <w:num w:numId="20">
    <w:abstractNumId w:val="29"/>
  </w:num>
  <w:num w:numId="21">
    <w:abstractNumId w:val="19"/>
  </w:num>
  <w:num w:numId="22">
    <w:abstractNumId w:val="17"/>
  </w:num>
  <w:num w:numId="23">
    <w:abstractNumId w:val="32"/>
  </w:num>
  <w:num w:numId="24">
    <w:abstractNumId w:val="33"/>
  </w:num>
  <w:num w:numId="25">
    <w:abstractNumId w:val="27"/>
  </w:num>
  <w:num w:numId="26">
    <w:abstractNumId w:val="13"/>
  </w:num>
  <w:num w:numId="27">
    <w:abstractNumId w:val="24"/>
  </w:num>
  <w:num w:numId="28">
    <w:abstractNumId w:val="16"/>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9">
    <w:abstractNumId w:val="11"/>
  </w:num>
  <w:num w:numId="30">
    <w:abstractNumId w:val="31"/>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21"/>
  </w:num>
  <w:num w:numId="36">
    <w:abstractNumId w:val="20"/>
  </w:num>
  <w:num w:numId="37">
    <w:abstractNumId w:val="12"/>
  </w:num>
  <w:num w:numId="38">
    <w:abstractNumId w:val="10"/>
  </w:num>
  <w:num w:numId="39">
    <w:abstractNumId w:val="18"/>
  </w:num>
  <w:num w:numId="40">
    <w:abstractNumId w:val="12"/>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098E"/>
    <w:rsid w:val="00006A74"/>
    <w:rsid w:val="00010D86"/>
    <w:rsid w:val="00017CEA"/>
    <w:rsid w:val="0003097F"/>
    <w:rsid w:val="000326F7"/>
    <w:rsid w:val="00042A2C"/>
    <w:rsid w:val="000463AE"/>
    <w:rsid w:val="0005201C"/>
    <w:rsid w:val="0007023E"/>
    <w:rsid w:val="00086B91"/>
    <w:rsid w:val="000A3A4E"/>
    <w:rsid w:val="000B7947"/>
    <w:rsid w:val="000C0815"/>
    <w:rsid w:val="000C0894"/>
    <w:rsid w:val="000C7234"/>
    <w:rsid w:val="000C7F3F"/>
    <w:rsid w:val="000D0C80"/>
    <w:rsid w:val="000E6393"/>
    <w:rsid w:val="000F4966"/>
    <w:rsid w:val="00103180"/>
    <w:rsid w:val="00103946"/>
    <w:rsid w:val="001336CE"/>
    <w:rsid w:val="00141BF8"/>
    <w:rsid w:val="0014262B"/>
    <w:rsid w:val="00147217"/>
    <w:rsid w:val="00150A61"/>
    <w:rsid w:val="00164063"/>
    <w:rsid w:val="00172C21"/>
    <w:rsid w:val="00177029"/>
    <w:rsid w:val="00183142"/>
    <w:rsid w:val="00193747"/>
    <w:rsid w:val="001965B6"/>
    <w:rsid w:val="001B000C"/>
    <w:rsid w:val="001B0976"/>
    <w:rsid w:val="001D27D7"/>
    <w:rsid w:val="001D44DF"/>
    <w:rsid w:val="001E755E"/>
    <w:rsid w:val="00207E83"/>
    <w:rsid w:val="002158EA"/>
    <w:rsid w:val="0022423B"/>
    <w:rsid w:val="00256685"/>
    <w:rsid w:val="002569BA"/>
    <w:rsid w:val="00264138"/>
    <w:rsid w:val="00273B85"/>
    <w:rsid w:val="00273CDD"/>
    <w:rsid w:val="00281F86"/>
    <w:rsid w:val="002860BD"/>
    <w:rsid w:val="002A1E27"/>
    <w:rsid w:val="002C31F2"/>
    <w:rsid w:val="002E3A6D"/>
    <w:rsid w:val="002F2DBD"/>
    <w:rsid w:val="00300B92"/>
    <w:rsid w:val="00314BDB"/>
    <w:rsid w:val="00317862"/>
    <w:rsid w:val="00324BB4"/>
    <w:rsid w:val="00327F69"/>
    <w:rsid w:val="00336C78"/>
    <w:rsid w:val="0036380F"/>
    <w:rsid w:val="003906C1"/>
    <w:rsid w:val="003910E5"/>
    <w:rsid w:val="003967EB"/>
    <w:rsid w:val="003A7B71"/>
    <w:rsid w:val="003B7B12"/>
    <w:rsid w:val="003B7B4E"/>
    <w:rsid w:val="003C4148"/>
    <w:rsid w:val="003C5D29"/>
    <w:rsid w:val="003D5BFF"/>
    <w:rsid w:val="003D6CBE"/>
    <w:rsid w:val="003E3F7B"/>
    <w:rsid w:val="003E793C"/>
    <w:rsid w:val="003F2AFC"/>
    <w:rsid w:val="0040140A"/>
    <w:rsid w:val="00412AA7"/>
    <w:rsid w:val="00427D1A"/>
    <w:rsid w:val="00441491"/>
    <w:rsid w:val="004558A2"/>
    <w:rsid w:val="00461BBF"/>
    <w:rsid w:val="00467C99"/>
    <w:rsid w:val="00471ADB"/>
    <w:rsid w:val="0048158E"/>
    <w:rsid w:val="00481E38"/>
    <w:rsid w:val="004A005A"/>
    <w:rsid w:val="004A2BA3"/>
    <w:rsid w:val="004B13FF"/>
    <w:rsid w:val="004B7788"/>
    <w:rsid w:val="004C0021"/>
    <w:rsid w:val="004C1DC2"/>
    <w:rsid w:val="004D35A5"/>
    <w:rsid w:val="004D421E"/>
    <w:rsid w:val="004E5C45"/>
    <w:rsid w:val="004F050F"/>
    <w:rsid w:val="005068FD"/>
    <w:rsid w:val="00532C77"/>
    <w:rsid w:val="005600AD"/>
    <w:rsid w:val="00562194"/>
    <w:rsid w:val="0056683F"/>
    <w:rsid w:val="0057267D"/>
    <w:rsid w:val="00590C79"/>
    <w:rsid w:val="00594975"/>
    <w:rsid w:val="005A66BD"/>
    <w:rsid w:val="005A7778"/>
    <w:rsid w:val="005B2A71"/>
    <w:rsid w:val="005B3CEF"/>
    <w:rsid w:val="005B717F"/>
    <w:rsid w:val="005B7D75"/>
    <w:rsid w:val="005C4925"/>
    <w:rsid w:val="005C5B4E"/>
    <w:rsid w:val="005D7856"/>
    <w:rsid w:val="00605710"/>
    <w:rsid w:val="006068CB"/>
    <w:rsid w:val="00615A71"/>
    <w:rsid w:val="0062557C"/>
    <w:rsid w:val="00657578"/>
    <w:rsid w:val="00667967"/>
    <w:rsid w:val="00672A32"/>
    <w:rsid w:val="00673A86"/>
    <w:rsid w:val="00675939"/>
    <w:rsid w:val="006862A6"/>
    <w:rsid w:val="006A7B34"/>
    <w:rsid w:val="006B01A7"/>
    <w:rsid w:val="006C45A8"/>
    <w:rsid w:val="006E3142"/>
    <w:rsid w:val="006E7756"/>
    <w:rsid w:val="006E7BD6"/>
    <w:rsid w:val="006F1B82"/>
    <w:rsid w:val="006F3664"/>
    <w:rsid w:val="00700C2E"/>
    <w:rsid w:val="00707C97"/>
    <w:rsid w:val="007178AA"/>
    <w:rsid w:val="0072007B"/>
    <w:rsid w:val="0072285E"/>
    <w:rsid w:val="0074654F"/>
    <w:rsid w:val="00746DE4"/>
    <w:rsid w:val="00762DB0"/>
    <w:rsid w:val="00764EB1"/>
    <w:rsid w:val="007662D7"/>
    <w:rsid w:val="00770D34"/>
    <w:rsid w:val="007733A9"/>
    <w:rsid w:val="00790582"/>
    <w:rsid w:val="00795097"/>
    <w:rsid w:val="007C3E04"/>
    <w:rsid w:val="007C46EE"/>
    <w:rsid w:val="007E2560"/>
    <w:rsid w:val="007F2FE4"/>
    <w:rsid w:val="007F7936"/>
    <w:rsid w:val="00815A8A"/>
    <w:rsid w:val="00820EE1"/>
    <w:rsid w:val="0083277E"/>
    <w:rsid w:val="00842086"/>
    <w:rsid w:val="00842092"/>
    <w:rsid w:val="008500E0"/>
    <w:rsid w:val="0085051C"/>
    <w:rsid w:val="008533A2"/>
    <w:rsid w:val="00854EE5"/>
    <w:rsid w:val="0086131E"/>
    <w:rsid w:val="008675C5"/>
    <w:rsid w:val="0087358F"/>
    <w:rsid w:val="00881E8E"/>
    <w:rsid w:val="008821D4"/>
    <w:rsid w:val="00883495"/>
    <w:rsid w:val="00887AB9"/>
    <w:rsid w:val="00895FE9"/>
    <w:rsid w:val="008A4FED"/>
    <w:rsid w:val="008A590E"/>
    <w:rsid w:val="008B5AEB"/>
    <w:rsid w:val="008C478E"/>
    <w:rsid w:val="008E7D7F"/>
    <w:rsid w:val="0090713D"/>
    <w:rsid w:val="009105FA"/>
    <w:rsid w:val="009110E0"/>
    <w:rsid w:val="009127E5"/>
    <w:rsid w:val="009131C4"/>
    <w:rsid w:val="00913328"/>
    <w:rsid w:val="00921F96"/>
    <w:rsid w:val="0092578B"/>
    <w:rsid w:val="009271A8"/>
    <w:rsid w:val="00932C2C"/>
    <w:rsid w:val="009403DB"/>
    <w:rsid w:val="00951F1C"/>
    <w:rsid w:val="009560DC"/>
    <w:rsid w:val="009575A4"/>
    <w:rsid w:val="0096718B"/>
    <w:rsid w:val="0099265E"/>
    <w:rsid w:val="00992972"/>
    <w:rsid w:val="00993428"/>
    <w:rsid w:val="0099566E"/>
    <w:rsid w:val="009963A8"/>
    <w:rsid w:val="009A5C79"/>
    <w:rsid w:val="009E5894"/>
    <w:rsid w:val="00A17943"/>
    <w:rsid w:val="00A30D15"/>
    <w:rsid w:val="00A31F66"/>
    <w:rsid w:val="00A3220C"/>
    <w:rsid w:val="00A33B24"/>
    <w:rsid w:val="00A34ABD"/>
    <w:rsid w:val="00A410B0"/>
    <w:rsid w:val="00A423A5"/>
    <w:rsid w:val="00A5136E"/>
    <w:rsid w:val="00A51516"/>
    <w:rsid w:val="00A57F53"/>
    <w:rsid w:val="00A621DA"/>
    <w:rsid w:val="00A622F9"/>
    <w:rsid w:val="00A647BC"/>
    <w:rsid w:val="00A8092C"/>
    <w:rsid w:val="00A91CC2"/>
    <w:rsid w:val="00AA2CC2"/>
    <w:rsid w:val="00AB3B7A"/>
    <w:rsid w:val="00AC01F5"/>
    <w:rsid w:val="00AC2E6A"/>
    <w:rsid w:val="00AC3176"/>
    <w:rsid w:val="00AC75F7"/>
    <w:rsid w:val="00AC7BE3"/>
    <w:rsid w:val="00AD132B"/>
    <w:rsid w:val="00AD300D"/>
    <w:rsid w:val="00AD5BE0"/>
    <w:rsid w:val="00AE02B1"/>
    <w:rsid w:val="00AE5517"/>
    <w:rsid w:val="00AE603B"/>
    <w:rsid w:val="00AE6762"/>
    <w:rsid w:val="00AF03BF"/>
    <w:rsid w:val="00AF16B2"/>
    <w:rsid w:val="00B13EFD"/>
    <w:rsid w:val="00B14D87"/>
    <w:rsid w:val="00B17A94"/>
    <w:rsid w:val="00B233C4"/>
    <w:rsid w:val="00B249E0"/>
    <w:rsid w:val="00B257A4"/>
    <w:rsid w:val="00B25C8F"/>
    <w:rsid w:val="00B27481"/>
    <w:rsid w:val="00B40F4C"/>
    <w:rsid w:val="00B43186"/>
    <w:rsid w:val="00B47F9D"/>
    <w:rsid w:val="00B57EDD"/>
    <w:rsid w:val="00B607A8"/>
    <w:rsid w:val="00B7215D"/>
    <w:rsid w:val="00B75E34"/>
    <w:rsid w:val="00BA43DC"/>
    <w:rsid w:val="00BA4C9C"/>
    <w:rsid w:val="00BB09ED"/>
    <w:rsid w:val="00BB0A54"/>
    <w:rsid w:val="00BB46D5"/>
    <w:rsid w:val="00BC1BBC"/>
    <w:rsid w:val="00BE0221"/>
    <w:rsid w:val="00C05C19"/>
    <w:rsid w:val="00C102D5"/>
    <w:rsid w:val="00C16D6C"/>
    <w:rsid w:val="00C22BAC"/>
    <w:rsid w:val="00C261C7"/>
    <w:rsid w:val="00C265DA"/>
    <w:rsid w:val="00C3486A"/>
    <w:rsid w:val="00C44A37"/>
    <w:rsid w:val="00C538DB"/>
    <w:rsid w:val="00C5473A"/>
    <w:rsid w:val="00C57F32"/>
    <w:rsid w:val="00C73EAE"/>
    <w:rsid w:val="00C74691"/>
    <w:rsid w:val="00C85228"/>
    <w:rsid w:val="00C855A3"/>
    <w:rsid w:val="00CA289A"/>
    <w:rsid w:val="00CF02E6"/>
    <w:rsid w:val="00CF13FB"/>
    <w:rsid w:val="00CF2944"/>
    <w:rsid w:val="00D0017D"/>
    <w:rsid w:val="00D027F7"/>
    <w:rsid w:val="00D04E19"/>
    <w:rsid w:val="00D34F5D"/>
    <w:rsid w:val="00D4325D"/>
    <w:rsid w:val="00D45750"/>
    <w:rsid w:val="00D5784A"/>
    <w:rsid w:val="00D771A4"/>
    <w:rsid w:val="00D831FB"/>
    <w:rsid w:val="00D83D3A"/>
    <w:rsid w:val="00D94002"/>
    <w:rsid w:val="00DA5245"/>
    <w:rsid w:val="00DC0B5B"/>
    <w:rsid w:val="00DD37C6"/>
    <w:rsid w:val="00DD6760"/>
    <w:rsid w:val="00DE352E"/>
    <w:rsid w:val="00DF0BD8"/>
    <w:rsid w:val="00E000FC"/>
    <w:rsid w:val="00E04D72"/>
    <w:rsid w:val="00E04DA4"/>
    <w:rsid w:val="00E05AB8"/>
    <w:rsid w:val="00E061A4"/>
    <w:rsid w:val="00E25C89"/>
    <w:rsid w:val="00E548B4"/>
    <w:rsid w:val="00E57521"/>
    <w:rsid w:val="00E57753"/>
    <w:rsid w:val="00E91A45"/>
    <w:rsid w:val="00E956AD"/>
    <w:rsid w:val="00E96023"/>
    <w:rsid w:val="00EA1DC4"/>
    <w:rsid w:val="00EA3B60"/>
    <w:rsid w:val="00EA55AC"/>
    <w:rsid w:val="00EB185A"/>
    <w:rsid w:val="00EB6570"/>
    <w:rsid w:val="00EC0133"/>
    <w:rsid w:val="00EC3CD7"/>
    <w:rsid w:val="00EC65D7"/>
    <w:rsid w:val="00ED28BC"/>
    <w:rsid w:val="00ED4BB9"/>
    <w:rsid w:val="00ED7AEB"/>
    <w:rsid w:val="00EE32D1"/>
    <w:rsid w:val="00EF4AFC"/>
    <w:rsid w:val="00F27B72"/>
    <w:rsid w:val="00F34DFC"/>
    <w:rsid w:val="00F503A5"/>
    <w:rsid w:val="00F61771"/>
    <w:rsid w:val="00F63177"/>
    <w:rsid w:val="00F637D7"/>
    <w:rsid w:val="00F74A63"/>
    <w:rsid w:val="00F93398"/>
    <w:rsid w:val="00FA7129"/>
    <w:rsid w:val="00FB378C"/>
    <w:rsid w:val="00FF0A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38C31C9"/>
  <w14:defaultImageDpi w14:val="0"/>
  <w15:docId w15:val="{41F079F4-6F2C-4ED6-AFA0-ED51FC727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paragraph" w:styleId="Ttulo1">
    <w:name w:val="heading 1"/>
    <w:aliases w:val="EDT - Tit1"/>
    <w:basedOn w:val="Normal"/>
    <w:next w:val="Normal"/>
    <w:link w:val="Ttulo1Char"/>
    <w:autoRedefine/>
    <w:uiPriority w:val="9"/>
    <w:qFormat/>
    <w:rsid w:val="001B000C"/>
    <w:pPr>
      <w:keepNext/>
      <w:pageBreakBefore/>
      <w:numPr>
        <w:numId w:val="13"/>
      </w:numPr>
      <w:shd w:val="pct20" w:color="FFFF00" w:fill="auto"/>
      <w:spacing w:before="360" w:after="360" w:line="360" w:lineRule="auto"/>
      <w:jc w:val="center"/>
      <w:outlineLvl w:val="0"/>
    </w:pPr>
    <w:rPr>
      <w:rFonts w:ascii="Arial" w:hAnsi="Arial"/>
      <w:b/>
      <w:caps/>
      <w:kern w:val="28"/>
      <w:sz w:val="24"/>
    </w:rPr>
  </w:style>
  <w:style w:type="paragraph" w:styleId="Ttulo2">
    <w:name w:val="heading 2"/>
    <w:aliases w:val="EDT - Tit 2"/>
    <w:basedOn w:val="Normal"/>
    <w:next w:val="Normal"/>
    <w:link w:val="Ttulo2Char"/>
    <w:autoRedefine/>
    <w:uiPriority w:val="9"/>
    <w:qFormat/>
    <w:rsid w:val="001B000C"/>
    <w:pPr>
      <w:keepNext/>
      <w:numPr>
        <w:ilvl w:val="1"/>
        <w:numId w:val="13"/>
      </w:numPr>
      <w:spacing w:before="480" w:after="60" w:line="360" w:lineRule="auto"/>
      <w:outlineLvl w:val="1"/>
    </w:pPr>
    <w:rPr>
      <w:rFonts w:ascii="Arial" w:hAnsi="Arial"/>
      <w:b/>
      <w:sz w:val="24"/>
    </w:rPr>
  </w:style>
  <w:style w:type="paragraph" w:styleId="Ttulo3">
    <w:name w:val="heading 3"/>
    <w:aliases w:val="EDT - Tit 3"/>
    <w:basedOn w:val="Normal"/>
    <w:next w:val="Normal"/>
    <w:link w:val="Ttulo3Char"/>
    <w:autoRedefine/>
    <w:uiPriority w:val="9"/>
    <w:qFormat/>
    <w:rsid w:val="001B000C"/>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B000C"/>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link w:val="Ttulo5Char"/>
    <w:uiPriority w:val="9"/>
    <w:qFormat/>
    <w:rsid w:val="001B000C"/>
    <w:pPr>
      <w:keepNext/>
      <w:numPr>
        <w:ilvl w:val="4"/>
        <w:numId w:val="13"/>
      </w:numPr>
      <w:spacing w:line="360" w:lineRule="auto"/>
      <w:outlineLvl w:val="4"/>
    </w:pPr>
    <w:rPr>
      <w:sz w:val="24"/>
    </w:rPr>
  </w:style>
  <w:style w:type="paragraph" w:styleId="Ttulo6">
    <w:name w:val="heading 6"/>
    <w:basedOn w:val="Normal"/>
    <w:next w:val="Normal"/>
    <w:link w:val="Ttulo6Char"/>
    <w:uiPriority w:val="9"/>
    <w:qFormat/>
    <w:rsid w:val="001B000C"/>
    <w:pPr>
      <w:keepNext/>
      <w:numPr>
        <w:ilvl w:val="5"/>
        <w:numId w:val="13"/>
      </w:numPr>
      <w:spacing w:line="360" w:lineRule="auto"/>
      <w:jc w:val="both"/>
      <w:outlineLvl w:val="5"/>
    </w:pPr>
    <w:rPr>
      <w:b/>
    </w:rPr>
  </w:style>
  <w:style w:type="paragraph" w:styleId="Ttulo7">
    <w:name w:val="heading 7"/>
    <w:basedOn w:val="Normal"/>
    <w:next w:val="Normal"/>
    <w:link w:val="Ttulo7Char"/>
    <w:uiPriority w:val="9"/>
    <w:qFormat/>
    <w:rsid w:val="001B000C"/>
    <w:pPr>
      <w:keepNext/>
      <w:numPr>
        <w:ilvl w:val="6"/>
        <w:numId w:val="13"/>
      </w:numPr>
      <w:outlineLvl w:val="6"/>
    </w:pPr>
    <w:rPr>
      <w:b/>
    </w:rPr>
  </w:style>
  <w:style w:type="paragraph" w:styleId="Ttulo8">
    <w:name w:val="heading 8"/>
    <w:basedOn w:val="Normal"/>
    <w:next w:val="Normal"/>
    <w:link w:val="Ttulo8Char"/>
    <w:uiPriority w:val="9"/>
    <w:qFormat/>
    <w:rsid w:val="001B000C"/>
    <w:pPr>
      <w:keepNext/>
      <w:numPr>
        <w:ilvl w:val="7"/>
        <w:numId w:val="13"/>
      </w:numPr>
      <w:spacing w:before="60"/>
      <w:jc w:val="center"/>
      <w:outlineLvl w:val="7"/>
    </w:pPr>
    <w:rPr>
      <w:rFonts w:ascii="Arial" w:hAnsi="Arial"/>
      <w:b/>
      <w:color w:val="000000"/>
      <w:sz w:val="12"/>
    </w:rPr>
  </w:style>
  <w:style w:type="paragraph" w:styleId="Ttulo9">
    <w:name w:val="heading 9"/>
    <w:basedOn w:val="Normal"/>
    <w:next w:val="Normal"/>
    <w:link w:val="Ttulo9Char"/>
    <w:uiPriority w:val="9"/>
    <w:qFormat/>
    <w:rsid w:val="001B000C"/>
    <w:pPr>
      <w:keepNext/>
      <w:numPr>
        <w:ilvl w:val="8"/>
        <w:numId w:val="13"/>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aliases w:val="Tit - Anexo"/>
    <w:basedOn w:val="Normal"/>
    <w:next w:val="Normal"/>
    <w:link w:val="LegendaChar"/>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842086"/>
    <w:pPr>
      <w:tabs>
        <w:tab w:val="center" w:pos="4252"/>
        <w:tab w:val="right" w:pos="8504"/>
      </w:tabs>
    </w:pPr>
  </w:style>
  <w:style w:type="character" w:customStyle="1" w:styleId="CabealhoChar">
    <w:name w:val="Cabeçalho Char"/>
    <w:basedOn w:val="Fontepargpadro"/>
    <w:link w:val="Cabealho"/>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aliases w:val="Stinking Styles13"/>
    <w:basedOn w:val="Fontepargpadro"/>
    <w:uiPriority w:val="99"/>
    <w:semiHidden/>
    <w:unhideWhenUsed/>
    <w:rsid w:val="0040140A"/>
    <w:rPr>
      <w:rFonts w:cs="Times New Roman"/>
      <w:vertAlign w:val="superscript"/>
    </w:rPr>
  </w:style>
  <w:style w:type="paragraph" w:styleId="PargrafodaLista">
    <w:name w:val="List Paragraph"/>
    <w:basedOn w:val="Normal"/>
    <w:link w:val="PargrafodaListaChar"/>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character" w:customStyle="1" w:styleId="Ttulo1Char">
    <w:name w:val="Título 1 Char"/>
    <w:aliases w:val="EDT - Tit1 Char"/>
    <w:basedOn w:val="Fontepargpadro"/>
    <w:link w:val="Ttulo1"/>
    <w:uiPriority w:val="9"/>
    <w:rsid w:val="001B000C"/>
    <w:rPr>
      <w:rFonts w:ascii="Arial" w:hAnsi="Arial"/>
      <w:b/>
      <w:caps/>
      <w:kern w:val="28"/>
      <w:szCs w:val="20"/>
      <w:shd w:val="pct20" w:color="FFFF00" w:fill="auto"/>
      <w:lang w:eastAsia="pt-BR"/>
    </w:rPr>
  </w:style>
  <w:style w:type="character" w:customStyle="1" w:styleId="Ttulo2Char">
    <w:name w:val="Título 2 Char"/>
    <w:aliases w:val="EDT - Tit 2 Char"/>
    <w:basedOn w:val="Fontepargpadro"/>
    <w:link w:val="Ttulo2"/>
    <w:uiPriority w:val="9"/>
    <w:rsid w:val="001B000C"/>
    <w:rPr>
      <w:rFonts w:ascii="Arial" w:hAnsi="Arial"/>
      <w:b/>
      <w:szCs w:val="20"/>
      <w:lang w:eastAsia="pt-BR"/>
    </w:rPr>
  </w:style>
  <w:style w:type="character" w:customStyle="1" w:styleId="Ttulo3Char">
    <w:name w:val="Título 3 Char"/>
    <w:aliases w:val="EDT - Tit 3 Char"/>
    <w:basedOn w:val="Fontepargpadro"/>
    <w:link w:val="Ttulo3"/>
    <w:uiPriority w:val="9"/>
    <w:rsid w:val="001B000C"/>
    <w:rPr>
      <w:rFonts w:ascii="Gill Sans" w:hAnsi="Gill Sans"/>
      <w:b/>
      <w:caps/>
      <w:szCs w:val="20"/>
      <w:lang w:eastAsia="pt-BR"/>
    </w:rPr>
  </w:style>
  <w:style w:type="character" w:customStyle="1" w:styleId="Ttulo4Char">
    <w:name w:val="Título 4 Char"/>
    <w:basedOn w:val="Fontepargpadro"/>
    <w:link w:val="Ttulo4"/>
    <w:uiPriority w:val="9"/>
    <w:rsid w:val="001B000C"/>
    <w:rPr>
      <w:rFonts w:ascii="Arial" w:hAnsi="Arial"/>
      <w:b/>
      <w:smallCaps/>
      <w:snapToGrid w:val="0"/>
      <w:szCs w:val="20"/>
      <w:lang w:eastAsia="pt-BR"/>
    </w:rPr>
  </w:style>
  <w:style w:type="character" w:customStyle="1" w:styleId="Ttulo5Char">
    <w:name w:val="Título 5 Char"/>
    <w:basedOn w:val="Fontepargpadro"/>
    <w:link w:val="Ttulo5"/>
    <w:uiPriority w:val="9"/>
    <w:rsid w:val="001B000C"/>
    <w:rPr>
      <w:szCs w:val="20"/>
      <w:lang w:eastAsia="pt-BR"/>
    </w:rPr>
  </w:style>
  <w:style w:type="character" w:customStyle="1" w:styleId="Ttulo6Char">
    <w:name w:val="Título 6 Char"/>
    <w:basedOn w:val="Fontepargpadro"/>
    <w:link w:val="Ttulo6"/>
    <w:uiPriority w:val="9"/>
    <w:rsid w:val="001B000C"/>
    <w:rPr>
      <w:b/>
      <w:sz w:val="20"/>
      <w:szCs w:val="20"/>
      <w:lang w:eastAsia="pt-BR"/>
    </w:rPr>
  </w:style>
  <w:style w:type="character" w:customStyle="1" w:styleId="Ttulo7Char">
    <w:name w:val="Título 7 Char"/>
    <w:basedOn w:val="Fontepargpadro"/>
    <w:link w:val="Ttulo7"/>
    <w:uiPriority w:val="9"/>
    <w:rsid w:val="001B000C"/>
    <w:rPr>
      <w:b/>
      <w:sz w:val="20"/>
      <w:szCs w:val="20"/>
      <w:lang w:eastAsia="pt-BR"/>
    </w:rPr>
  </w:style>
  <w:style w:type="character" w:customStyle="1" w:styleId="Ttulo8Char">
    <w:name w:val="Título 8 Char"/>
    <w:basedOn w:val="Fontepargpadro"/>
    <w:link w:val="Ttulo8"/>
    <w:uiPriority w:val="9"/>
    <w:rsid w:val="001B000C"/>
    <w:rPr>
      <w:rFonts w:ascii="Arial" w:hAnsi="Arial"/>
      <w:b/>
      <w:color w:val="000000"/>
      <w:sz w:val="12"/>
      <w:szCs w:val="20"/>
      <w:lang w:eastAsia="pt-BR"/>
    </w:rPr>
  </w:style>
  <w:style w:type="character" w:customStyle="1" w:styleId="Ttulo9Char">
    <w:name w:val="Título 9 Char"/>
    <w:basedOn w:val="Fontepargpadro"/>
    <w:link w:val="Ttulo9"/>
    <w:uiPriority w:val="9"/>
    <w:rsid w:val="001B000C"/>
    <w:rPr>
      <w:rFonts w:ascii="Arial" w:hAnsi="Arial"/>
      <w:b/>
      <w:i/>
      <w:color w:val="FFFF00"/>
      <w:sz w:val="22"/>
      <w:szCs w:val="20"/>
      <w:lang w:eastAsia="pt-BR"/>
    </w:rPr>
  </w:style>
  <w:style w:type="character" w:styleId="Refdecomentrio">
    <w:name w:val="annotation reference"/>
    <w:basedOn w:val="Fontepargpadro"/>
    <w:uiPriority w:val="99"/>
    <w:rsid w:val="001B000C"/>
    <w:rPr>
      <w:sz w:val="16"/>
    </w:rPr>
  </w:style>
  <w:style w:type="paragraph" w:styleId="Textodecomentrio">
    <w:name w:val="annotation text"/>
    <w:basedOn w:val="Normal"/>
    <w:link w:val="TextodecomentrioChar"/>
    <w:uiPriority w:val="99"/>
    <w:rsid w:val="001B000C"/>
  </w:style>
  <w:style w:type="character" w:customStyle="1" w:styleId="TextodecomentrioChar">
    <w:name w:val="Texto de comentário Char"/>
    <w:basedOn w:val="Fontepargpadro"/>
    <w:link w:val="Textodecomentrio"/>
    <w:uiPriority w:val="99"/>
    <w:rsid w:val="001B000C"/>
    <w:rPr>
      <w:sz w:val="20"/>
      <w:szCs w:val="20"/>
      <w:lang w:eastAsia="pt-BR"/>
    </w:rPr>
  </w:style>
  <w:style w:type="paragraph" w:customStyle="1" w:styleId="Contrato-Clausula-Nvel1">
    <w:name w:val="Contrato - Clausula - Nível 1"/>
    <w:basedOn w:val="Contrato-Clausula-Nvel2"/>
    <w:next w:val="Normal"/>
    <w:qFormat/>
    <w:rsid w:val="001B000C"/>
    <w:pPr>
      <w:keepNext/>
      <w:numPr>
        <w:ilvl w:val="0"/>
      </w:numPr>
      <w:ind w:left="142" w:hanging="142"/>
      <w:jc w:val="center"/>
    </w:pPr>
    <w:rPr>
      <w:b/>
      <w:caps/>
    </w:rPr>
  </w:style>
  <w:style w:type="paragraph" w:customStyle="1" w:styleId="Contrato-Clausula-Nvel2">
    <w:name w:val="Contrato - Clausula - Nível 2"/>
    <w:basedOn w:val="Normal"/>
    <w:qFormat/>
    <w:rsid w:val="001B000C"/>
    <w:pPr>
      <w:numPr>
        <w:ilvl w:val="1"/>
        <w:numId w:val="2"/>
      </w:numPr>
      <w:spacing w:before="200" w:after="200"/>
      <w:jc w:val="both"/>
    </w:pPr>
    <w:rPr>
      <w:rFonts w:ascii="Arial" w:hAnsi="Arial"/>
      <w:sz w:val="22"/>
    </w:rPr>
  </w:style>
  <w:style w:type="paragraph" w:customStyle="1" w:styleId="Contrato-Clausula-Nvel3">
    <w:name w:val="Contrato - Clausula - Nível 3"/>
    <w:basedOn w:val="Contrato-Clausula-Nvel2"/>
    <w:qFormat/>
    <w:rsid w:val="001B000C"/>
    <w:pPr>
      <w:numPr>
        <w:ilvl w:val="2"/>
      </w:numPr>
    </w:pPr>
  </w:style>
  <w:style w:type="paragraph" w:customStyle="1" w:styleId="Contrato-Clausula-Nvel4">
    <w:name w:val="Contrato - Clausula - Nível 4"/>
    <w:basedOn w:val="Contrato-Clausula-Nvel3"/>
    <w:qFormat/>
    <w:rsid w:val="001B000C"/>
    <w:pPr>
      <w:numPr>
        <w:ilvl w:val="3"/>
      </w:numPr>
      <w:ind w:left="2127" w:hanging="851"/>
    </w:pPr>
  </w:style>
  <w:style w:type="paragraph" w:styleId="Corpodetexto">
    <w:name w:val="Body Text"/>
    <w:basedOn w:val="Normal"/>
    <w:link w:val="CorpodetextoChar"/>
    <w:rsid w:val="001B000C"/>
    <w:pPr>
      <w:spacing w:line="360" w:lineRule="auto"/>
      <w:ind w:firstLine="709"/>
      <w:jc w:val="both"/>
    </w:pPr>
    <w:rPr>
      <w:rFonts w:ascii="Arial" w:hAnsi="Arial"/>
      <w:sz w:val="24"/>
    </w:rPr>
  </w:style>
  <w:style w:type="character" w:customStyle="1" w:styleId="CorpodetextoChar">
    <w:name w:val="Corpo de texto Char"/>
    <w:basedOn w:val="Fontepargpadro"/>
    <w:link w:val="Corpodetexto"/>
    <w:rsid w:val="001B000C"/>
    <w:rPr>
      <w:rFonts w:ascii="Arial" w:hAnsi="Arial"/>
      <w:szCs w:val="20"/>
      <w:lang w:eastAsia="pt-BR"/>
    </w:rPr>
  </w:style>
  <w:style w:type="paragraph" w:styleId="Corpodetexto2">
    <w:name w:val="Body Text 2"/>
    <w:basedOn w:val="Normal"/>
    <w:link w:val="Corpodetexto2Char"/>
    <w:rsid w:val="001B000C"/>
    <w:pPr>
      <w:spacing w:line="480" w:lineRule="auto"/>
      <w:jc w:val="both"/>
    </w:pPr>
    <w:rPr>
      <w:sz w:val="28"/>
    </w:rPr>
  </w:style>
  <w:style w:type="character" w:customStyle="1" w:styleId="Corpodetexto2Char">
    <w:name w:val="Corpo de texto 2 Char"/>
    <w:basedOn w:val="Fontepargpadro"/>
    <w:link w:val="Corpodetexto2"/>
    <w:rsid w:val="001B000C"/>
    <w:rPr>
      <w:sz w:val="28"/>
      <w:szCs w:val="20"/>
      <w:lang w:eastAsia="pt-BR"/>
    </w:rPr>
  </w:style>
  <w:style w:type="paragraph" w:styleId="Sumrio1">
    <w:name w:val="toc 1"/>
    <w:basedOn w:val="Normal"/>
    <w:next w:val="Normal"/>
    <w:uiPriority w:val="39"/>
    <w:qFormat/>
    <w:rsid w:val="001B000C"/>
    <w:pPr>
      <w:spacing w:before="200" w:after="200"/>
    </w:pPr>
    <w:rPr>
      <w:rFonts w:asciiTheme="minorHAnsi" w:hAnsiTheme="minorHAnsi"/>
      <w:b/>
      <w:bCs/>
      <w:caps/>
    </w:rPr>
  </w:style>
  <w:style w:type="paragraph" w:styleId="Sumrio2">
    <w:name w:val="toc 2"/>
    <w:basedOn w:val="Normal"/>
    <w:next w:val="Normal"/>
    <w:autoRedefine/>
    <w:uiPriority w:val="39"/>
    <w:qFormat/>
    <w:rsid w:val="001B000C"/>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1B000C"/>
    <w:pPr>
      <w:tabs>
        <w:tab w:val="left" w:pos="5068"/>
      </w:tabs>
      <w:ind w:left="403"/>
    </w:pPr>
    <w:rPr>
      <w:rFonts w:asciiTheme="minorHAnsi" w:hAnsiTheme="minorHAnsi"/>
      <w:i/>
      <w:iCs/>
      <w:noProof/>
      <w:sz w:val="18"/>
    </w:rPr>
  </w:style>
  <w:style w:type="paragraph" w:styleId="Sumrio4">
    <w:name w:val="toc 4"/>
    <w:basedOn w:val="Normal"/>
    <w:next w:val="Normal"/>
    <w:autoRedefine/>
    <w:uiPriority w:val="39"/>
    <w:rsid w:val="001B000C"/>
    <w:pPr>
      <w:ind w:left="600"/>
    </w:pPr>
    <w:rPr>
      <w:rFonts w:asciiTheme="minorHAnsi" w:hAnsiTheme="minorHAnsi"/>
      <w:sz w:val="18"/>
      <w:szCs w:val="18"/>
    </w:rPr>
  </w:style>
  <w:style w:type="paragraph" w:styleId="Sumrio5">
    <w:name w:val="toc 5"/>
    <w:basedOn w:val="Normal"/>
    <w:next w:val="Normal"/>
    <w:autoRedefine/>
    <w:uiPriority w:val="39"/>
    <w:rsid w:val="001B000C"/>
    <w:pPr>
      <w:ind w:left="800"/>
    </w:pPr>
    <w:rPr>
      <w:rFonts w:asciiTheme="minorHAnsi" w:hAnsiTheme="minorHAnsi"/>
      <w:sz w:val="18"/>
      <w:szCs w:val="18"/>
    </w:rPr>
  </w:style>
  <w:style w:type="paragraph" w:styleId="Sumrio6">
    <w:name w:val="toc 6"/>
    <w:basedOn w:val="Normal"/>
    <w:next w:val="Normal"/>
    <w:autoRedefine/>
    <w:uiPriority w:val="39"/>
    <w:rsid w:val="001B000C"/>
    <w:pPr>
      <w:ind w:left="1000"/>
    </w:pPr>
    <w:rPr>
      <w:rFonts w:asciiTheme="minorHAnsi" w:hAnsiTheme="minorHAnsi"/>
      <w:sz w:val="18"/>
      <w:szCs w:val="18"/>
    </w:rPr>
  </w:style>
  <w:style w:type="paragraph" w:styleId="Sumrio7">
    <w:name w:val="toc 7"/>
    <w:basedOn w:val="Normal"/>
    <w:next w:val="Normal"/>
    <w:autoRedefine/>
    <w:uiPriority w:val="39"/>
    <w:rsid w:val="001B000C"/>
    <w:pPr>
      <w:ind w:left="1200"/>
    </w:pPr>
    <w:rPr>
      <w:rFonts w:asciiTheme="minorHAnsi" w:hAnsiTheme="minorHAnsi"/>
      <w:sz w:val="18"/>
      <w:szCs w:val="18"/>
    </w:rPr>
  </w:style>
  <w:style w:type="paragraph" w:styleId="Sumrio8">
    <w:name w:val="toc 8"/>
    <w:basedOn w:val="Normal"/>
    <w:next w:val="Normal"/>
    <w:autoRedefine/>
    <w:uiPriority w:val="39"/>
    <w:rsid w:val="001B000C"/>
    <w:pPr>
      <w:ind w:left="1400"/>
    </w:pPr>
    <w:rPr>
      <w:rFonts w:asciiTheme="minorHAnsi" w:hAnsiTheme="minorHAnsi"/>
      <w:sz w:val="18"/>
      <w:szCs w:val="18"/>
    </w:rPr>
  </w:style>
  <w:style w:type="paragraph" w:styleId="Sumrio9">
    <w:name w:val="toc 9"/>
    <w:basedOn w:val="Normal"/>
    <w:next w:val="Normal"/>
    <w:autoRedefine/>
    <w:uiPriority w:val="39"/>
    <w:rsid w:val="001B000C"/>
    <w:pPr>
      <w:ind w:left="1600"/>
    </w:pPr>
    <w:rPr>
      <w:rFonts w:asciiTheme="minorHAnsi" w:hAnsiTheme="minorHAnsi"/>
      <w:sz w:val="18"/>
      <w:szCs w:val="18"/>
    </w:rPr>
  </w:style>
  <w:style w:type="paragraph" w:styleId="Corpodetexto3">
    <w:name w:val="Body Text 3"/>
    <w:basedOn w:val="Normal"/>
    <w:link w:val="Corpodetexto3Char"/>
    <w:rsid w:val="001B000C"/>
    <w:pPr>
      <w:jc w:val="center"/>
    </w:pPr>
    <w:rPr>
      <w:b/>
      <w:sz w:val="32"/>
    </w:rPr>
  </w:style>
  <w:style w:type="character" w:customStyle="1" w:styleId="Corpodetexto3Char">
    <w:name w:val="Corpo de texto 3 Char"/>
    <w:basedOn w:val="Fontepargpadro"/>
    <w:link w:val="Corpodetexto3"/>
    <w:rsid w:val="001B000C"/>
    <w:rPr>
      <w:b/>
      <w:sz w:val="32"/>
      <w:szCs w:val="20"/>
      <w:lang w:eastAsia="pt-BR"/>
    </w:rPr>
  </w:style>
  <w:style w:type="paragraph" w:styleId="MapadoDocumento">
    <w:name w:val="Document Map"/>
    <w:basedOn w:val="Normal"/>
    <w:link w:val="MapadoDocumentoChar"/>
    <w:rsid w:val="001B000C"/>
    <w:pPr>
      <w:shd w:val="clear" w:color="auto" w:fill="000080"/>
    </w:pPr>
    <w:rPr>
      <w:rFonts w:ascii="Tahoma" w:hAnsi="Tahoma"/>
    </w:rPr>
  </w:style>
  <w:style w:type="character" w:customStyle="1" w:styleId="MapadoDocumentoChar">
    <w:name w:val="Mapa do Documento Char"/>
    <w:basedOn w:val="Fontepargpadro"/>
    <w:link w:val="MapadoDocumento"/>
    <w:rsid w:val="001B000C"/>
    <w:rPr>
      <w:rFonts w:ascii="Tahoma" w:hAnsi="Tahoma"/>
      <w:sz w:val="20"/>
      <w:szCs w:val="20"/>
      <w:shd w:val="clear" w:color="auto" w:fill="000080"/>
      <w:lang w:eastAsia="pt-BR"/>
    </w:rPr>
  </w:style>
  <w:style w:type="paragraph" w:styleId="Recuodecorpodetexto">
    <w:name w:val="Body Text Indent"/>
    <w:basedOn w:val="Normal"/>
    <w:link w:val="RecuodecorpodetextoChar"/>
    <w:rsid w:val="001B000C"/>
    <w:pPr>
      <w:spacing w:line="360" w:lineRule="auto"/>
      <w:ind w:firstLine="720"/>
      <w:jc w:val="both"/>
    </w:pPr>
    <w:rPr>
      <w:rFonts w:ascii="Arial" w:hAnsi="Arial"/>
      <w:sz w:val="22"/>
    </w:rPr>
  </w:style>
  <w:style w:type="character" w:customStyle="1" w:styleId="RecuodecorpodetextoChar">
    <w:name w:val="Recuo de corpo de texto Char"/>
    <w:basedOn w:val="Fontepargpadro"/>
    <w:link w:val="Recuodecorpodetexto"/>
    <w:rsid w:val="001B000C"/>
    <w:rPr>
      <w:rFonts w:ascii="Arial" w:hAnsi="Arial"/>
      <w:sz w:val="22"/>
      <w:szCs w:val="20"/>
      <w:lang w:eastAsia="pt-BR"/>
    </w:rPr>
  </w:style>
  <w:style w:type="paragraph" w:styleId="Recuodecorpodetexto2">
    <w:name w:val="Body Text Indent 2"/>
    <w:basedOn w:val="Normal"/>
    <w:link w:val="Recuodecorpodetexto2Char"/>
    <w:rsid w:val="001B000C"/>
    <w:pPr>
      <w:spacing w:line="360" w:lineRule="auto"/>
      <w:ind w:left="1440"/>
      <w:jc w:val="both"/>
    </w:pPr>
    <w:rPr>
      <w:rFonts w:ascii="Arial" w:hAnsi="Arial"/>
      <w:sz w:val="22"/>
    </w:rPr>
  </w:style>
  <w:style w:type="character" w:customStyle="1" w:styleId="Recuodecorpodetexto2Char">
    <w:name w:val="Recuo de corpo de texto 2 Char"/>
    <w:basedOn w:val="Fontepargpadro"/>
    <w:link w:val="Recuodecorpodetexto2"/>
    <w:rsid w:val="001B000C"/>
    <w:rPr>
      <w:rFonts w:ascii="Arial" w:hAnsi="Arial"/>
      <w:sz w:val="22"/>
      <w:szCs w:val="20"/>
      <w:lang w:eastAsia="pt-BR"/>
    </w:rPr>
  </w:style>
  <w:style w:type="paragraph" w:styleId="Recuodecorpodetexto3">
    <w:name w:val="Body Text Indent 3"/>
    <w:basedOn w:val="Normal"/>
    <w:link w:val="Recuodecorpodetexto3Char"/>
    <w:rsid w:val="001B000C"/>
    <w:pPr>
      <w:spacing w:line="360" w:lineRule="auto"/>
      <w:ind w:right="276" w:firstLine="720"/>
      <w:jc w:val="both"/>
    </w:pPr>
    <w:rPr>
      <w:rFonts w:ascii="Arial" w:hAnsi="Arial"/>
      <w:sz w:val="22"/>
    </w:rPr>
  </w:style>
  <w:style w:type="character" w:customStyle="1" w:styleId="Recuodecorpodetexto3Char">
    <w:name w:val="Recuo de corpo de texto 3 Char"/>
    <w:basedOn w:val="Fontepargpadro"/>
    <w:link w:val="Recuodecorpodetexto3"/>
    <w:rsid w:val="001B000C"/>
    <w:rPr>
      <w:rFonts w:ascii="Arial" w:hAnsi="Arial"/>
      <w:sz w:val="22"/>
      <w:szCs w:val="20"/>
      <w:lang w:eastAsia="pt-BR"/>
    </w:rPr>
  </w:style>
  <w:style w:type="character" w:styleId="Nmerodepgina">
    <w:name w:val="page number"/>
    <w:basedOn w:val="Fontepargpadro"/>
    <w:rsid w:val="001B000C"/>
  </w:style>
  <w:style w:type="paragraph" w:customStyle="1" w:styleId="Centeredheading">
    <w:name w:val="Centered heading"/>
    <w:basedOn w:val="Normal"/>
    <w:next w:val="Normal"/>
    <w:rsid w:val="001B000C"/>
    <w:pPr>
      <w:keepNext/>
      <w:spacing w:after="240"/>
      <w:jc w:val="center"/>
    </w:pPr>
    <w:rPr>
      <w:b/>
      <w:sz w:val="24"/>
      <w:lang w:val="en-US"/>
    </w:rPr>
  </w:style>
  <w:style w:type="paragraph" w:styleId="Ttulo">
    <w:name w:val="Title"/>
    <w:basedOn w:val="Normal"/>
    <w:link w:val="TtuloChar"/>
    <w:autoRedefine/>
    <w:qFormat/>
    <w:rsid w:val="001B000C"/>
    <w:pPr>
      <w:keepNext/>
      <w:numPr>
        <w:numId w:val="16"/>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character" w:customStyle="1" w:styleId="TtuloChar">
    <w:name w:val="Título Char"/>
    <w:basedOn w:val="Fontepargpadro"/>
    <w:link w:val="Ttulo"/>
    <w:rsid w:val="001B000C"/>
    <w:rPr>
      <w:rFonts w:ascii="Gill Sans" w:hAnsi="Gill Sans"/>
      <w:b/>
      <w:szCs w:val="20"/>
      <w:lang w:eastAsia="pt-BR"/>
    </w:rPr>
  </w:style>
  <w:style w:type="paragraph" w:styleId="TextosemFormatao">
    <w:name w:val="Plain Text"/>
    <w:basedOn w:val="Normal"/>
    <w:link w:val="TextosemFormataoChar"/>
    <w:rsid w:val="001B000C"/>
    <w:rPr>
      <w:rFonts w:ascii="Courier New" w:hAnsi="Courier New"/>
      <w:lang w:val="en-US"/>
    </w:rPr>
  </w:style>
  <w:style w:type="character" w:customStyle="1" w:styleId="TextosemFormataoChar">
    <w:name w:val="Texto sem Formatação Char"/>
    <w:basedOn w:val="Fontepargpadro"/>
    <w:link w:val="TextosemFormatao"/>
    <w:rsid w:val="001B000C"/>
    <w:rPr>
      <w:rFonts w:ascii="Courier New" w:hAnsi="Courier New"/>
      <w:sz w:val="20"/>
      <w:szCs w:val="20"/>
      <w:lang w:val="en-US" w:eastAsia="pt-BR"/>
    </w:rPr>
  </w:style>
  <w:style w:type="paragraph" w:styleId="Subttulo">
    <w:name w:val="Subtitle"/>
    <w:basedOn w:val="Normal"/>
    <w:link w:val="SubttuloChar"/>
    <w:qFormat/>
    <w:rsid w:val="001B000C"/>
    <w:pPr>
      <w:jc w:val="center"/>
    </w:pPr>
    <w:rPr>
      <w:b/>
      <w:sz w:val="24"/>
      <w:u w:val="single"/>
    </w:rPr>
  </w:style>
  <w:style w:type="character" w:customStyle="1" w:styleId="SubttuloChar">
    <w:name w:val="Subtítulo Char"/>
    <w:basedOn w:val="Fontepargpadro"/>
    <w:link w:val="Subttulo"/>
    <w:rsid w:val="001B000C"/>
    <w:rPr>
      <w:b/>
      <w:szCs w:val="20"/>
      <w:u w:val="single"/>
      <w:lang w:eastAsia="pt-BR"/>
    </w:rPr>
  </w:style>
  <w:style w:type="paragraph" w:customStyle="1" w:styleId="ttulo10">
    <w:name w:val="título10"/>
    <w:basedOn w:val="Ttulo"/>
    <w:rsid w:val="001B000C"/>
    <w:rPr>
      <w:kern w:val="28"/>
    </w:rPr>
  </w:style>
  <w:style w:type="paragraph" w:customStyle="1" w:styleId="TtulodeClusula">
    <w:name w:val="Título de Cláusula"/>
    <w:basedOn w:val="ClauseText"/>
    <w:rsid w:val="001B000C"/>
    <w:pPr>
      <w:numPr>
        <w:ilvl w:val="1"/>
        <w:numId w:val="16"/>
      </w:numPr>
      <w:tabs>
        <w:tab w:val="clear" w:pos="641"/>
        <w:tab w:val="clear" w:pos="1276"/>
        <w:tab w:val="num" w:pos="2160"/>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1B000C"/>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1B000C"/>
    <w:pPr>
      <w:ind w:left="0" w:firstLine="0"/>
    </w:pPr>
  </w:style>
  <w:style w:type="paragraph" w:customStyle="1" w:styleId="TtulodeCaptulo">
    <w:name w:val="Título de Capítulo"/>
    <w:basedOn w:val="TextoSolto"/>
    <w:rsid w:val="001B000C"/>
    <w:pPr>
      <w:pageBreakBefore/>
      <w:numPr>
        <w:numId w:val="15"/>
      </w:numPr>
      <w:tabs>
        <w:tab w:val="clear" w:pos="2160"/>
        <w:tab w:val="num" w:pos="432"/>
        <w:tab w:val="num" w:pos="2496"/>
      </w:tabs>
      <w:spacing w:before="360" w:after="80"/>
      <w:ind w:left="432" w:hanging="432"/>
      <w:jc w:val="center"/>
    </w:pPr>
    <w:rPr>
      <w:b/>
    </w:rPr>
  </w:style>
  <w:style w:type="paragraph" w:customStyle="1" w:styleId="ClauseHeading">
    <w:name w:val="Clause Heading"/>
    <w:basedOn w:val="Normal"/>
    <w:rsid w:val="001B000C"/>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1B000C"/>
    <w:pPr>
      <w:tabs>
        <w:tab w:val="left" w:pos="1620"/>
      </w:tabs>
      <w:spacing w:before="120" w:after="0"/>
      <w:ind w:left="720" w:firstLine="0"/>
    </w:pPr>
  </w:style>
  <w:style w:type="paragraph" w:customStyle="1" w:styleId="LetterIteminClause">
    <w:name w:val="Letter Item in Clause"/>
    <w:basedOn w:val="ClauseText"/>
    <w:rsid w:val="001B000C"/>
    <w:pPr>
      <w:tabs>
        <w:tab w:val="clear" w:pos="1276"/>
        <w:tab w:val="num" w:pos="641"/>
      </w:tabs>
      <w:spacing w:after="120"/>
      <w:ind w:left="641" w:hanging="499"/>
    </w:pPr>
    <w:rPr>
      <w:sz w:val="24"/>
      <w:szCs w:val="20"/>
    </w:rPr>
  </w:style>
  <w:style w:type="paragraph" w:customStyle="1" w:styleId="Corpodetexto21">
    <w:name w:val="Corpo de texto 21"/>
    <w:basedOn w:val="Normal"/>
    <w:rsid w:val="001B000C"/>
    <w:pPr>
      <w:widowControl w:val="0"/>
      <w:ind w:left="709" w:hanging="709"/>
      <w:jc w:val="both"/>
    </w:pPr>
    <w:rPr>
      <w:lang w:val="en-US"/>
    </w:rPr>
  </w:style>
  <w:style w:type="paragraph" w:customStyle="1" w:styleId="LetterIteminSubClause">
    <w:name w:val="Letter Item in SubClause"/>
    <w:basedOn w:val="SubclauseText"/>
    <w:rsid w:val="001B000C"/>
    <w:pPr>
      <w:spacing w:after="120"/>
    </w:pPr>
  </w:style>
  <w:style w:type="paragraph" w:customStyle="1" w:styleId="Style1">
    <w:name w:val="Style1"/>
    <w:basedOn w:val="Normal"/>
    <w:rsid w:val="001B000C"/>
    <w:pPr>
      <w:ind w:left="1440" w:hanging="720"/>
    </w:pPr>
    <w:rPr>
      <w:sz w:val="24"/>
      <w:vertAlign w:val="superscript"/>
      <w:lang w:val="en-US"/>
    </w:rPr>
  </w:style>
  <w:style w:type="paragraph" w:styleId="Assinatura">
    <w:name w:val="Signature"/>
    <w:basedOn w:val="Normal"/>
    <w:link w:val="AssinaturaChar"/>
    <w:rsid w:val="001B000C"/>
    <w:pPr>
      <w:keepLines/>
      <w:tabs>
        <w:tab w:val="left" w:pos="5040"/>
        <w:tab w:val="left" w:pos="8640"/>
      </w:tabs>
      <w:spacing w:after="480"/>
      <w:ind w:left="5040" w:hanging="360"/>
    </w:pPr>
    <w:rPr>
      <w:sz w:val="24"/>
      <w:lang w:val="en-US"/>
    </w:rPr>
  </w:style>
  <w:style w:type="character" w:customStyle="1" w:styleId="AssinaturaChar">
    <w:name w:val="Assinatura Char"/>
    <w:basedOn w:val="Fontepargpadro"/>
    <w:link w:val="Assinatura"/>
    <w:rsid w:val="001B000C"/>
    <w:rPr>
      <w:szCs w:val="20"/>
      <w:lang w:val="en-US" w:eastAsia="pt-BR"/>
    </w:rPr>
  </w:style>
  <w:style w:type="paragraph" w:customStyle="1" w:styleId="SingleSpace">
    <w:name w:val="Single Space"/>
    <w:basedOn w:val="Normal"/>
    <w:rsid w:val="001B000C"/>
    <w:pPr>
      <w:spacing w:after="240"/>
      <w:ind w:firstLine="1440"/>
    </w:pPr>
    <w:rPr>
      <w:sz w:val="24"/>
      <w:lang w:val="en-US"/>
    </w:rPr>
  </w:style>
  <w:style w:type="paragraph" w:styleId="Cabealhodamensagem">
    <w:name w:val="Message Header"/>
    <w:basedOn w:val="Normal"/>
    <w:link w:val="CabealhodamensagemChar"/>
    <w:rsid w:val="001B000C"/>
    <w:pPr>
      <w:ind w:left="1080" w:hanging="1080"/>
    </w:pPr>
    <w:rPr>
      <w:rFonts w:ascii="Arial" w:hAnsi="Arial"/>
      <w:sz w:val="24"/>
      <w:lang w:val="en-US"/>
    </w:rPr>
  </w:style>
  <w:style w:type="character" w:customStyle="1" w:styleId="CabealhodamensagemChar">
    <w:name w:val="Cabeçalho da mensagem Char"/>
    <w:basedOn w:val="Fontepargpadro"/>
    <w:link w:val="Cabealhodamensagem"/>
    <w:rsid w:val="001B000C"/>
    <w:rPr>
      <w:rFonts w:ascii="Arial" w:hAnsi="Arial"/>
      <w:szCs w:val="20"/>
      <w:lang w:val="en-US" w:eastAsia="pt-BR"/>
    </w:rPr>
  </w:style>
  <w:style w:type="paragraph" w:styleId="Encerramento">
    <w:name w:val="Closing"/>
    <w:basedOn w:val="Normal"/>
    <w:link w:val="EncerramentoChar"/>
    <w:rsid w:val="001B000C"/>
    <w:pPr>
      <w:ind w:left="4320"/>
    </w:pPr>
    <w:rPr>
      <w:sz w:val="24"/>
      <w:lang w:val="en-US"/>
    </w:rPr>
  </w:style>
  <w:style w:type="character" w:customStyle="1" w:styleId="EncerramentoChar">
    <w:name w:val="Encerramento Char"/>
    <w:basedOn w:val="Fontepargpadro"/>
    <w:link w:val="Encerramento"/>
    <w:rsid w:val="001B000C"/>
    <w:rPr>
      <w:szCs w:val="20"/>
      <w:lang w:val="en-US" w:eastAsia="pt-BR"/>
    </w:rPr>
  </w:style>
  <w:style w:type="paragraph" w:customStyle="1" w:styleId="BodyText4">
    <w:name w:val="Body Text 4"/>
    <w:basedOn w:val="Recuodecorpodetexto"/>
    <w:rsid w:val="001B000C"/>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B000C"/>
    <w:pPr>
      <w:spacing w:line="480" w:lineRule="auto"/>
      <w:ind w:firstLine="1440"/>
    </w:pPr>
    <w:rPr>
      <w:sz w:val="24"/>
      <w:lang w:val="en-US"/>
    </w:rPr>
  </w:style>
  <w:style w:type="paragraph" w:customStyle="1" w:styleId="A">
    <w:name w:val="(A)"/>
    <w:basedOn w:val="Normal"/>
    <w:rsid w:val="001B000C"/>
    <w:pPr>
      <w:spacing w:after="240"/>
      <w:ind w:left="720"/>
    </w:pPr>
    <w:rPr>
      <w:sz w:val="24"/>
      <w:lang w:val="en-US"/>
    </w:rPr>
  </w:style>
  <w:style w:type="character" w:styleId="HiperlinkVisitado">
    <w:name w:val="FollowedHyperlink"/>
    <w:basedOn w:val="Fontepargpadro"/>
    <w:uiPriority w:val="99"/>
    <w:rsid w:val="001B000C"/>
    <w:rPr>
      <w:color w:val="800080"/>
      <w:u w:val="single"/>
    </w:rPr>
  </w:style>
  <w:style w:type="paragraph" w:customStyle="1" w:styleId="Sub-ttulodeclusula">
    <w:name w:val="Sub-título de cláusula"/>
    <w:basedOn w:val="Ttulo"/>
    <w:next w:val="ClauseText"/>
    <w:autoRedefine/>
    <w:rsid w:val="001B000C"/>
    <w:pPr>
      <w:widowControl w:val="0"/>
      <w:numPr>
        <w:numId w:val="0"/>
      </w:numPr>
      <w:spacing w:before="100" w:beforeAutospacing="1" w:after="0" w:line="240" w:lineRule="auto"/>
      <w:jc w:val="left"/>
    </w:pPr>
    <w:rPr>
      <w:rFonts w:ascii="Arial" w:hAnsi="Arial"/>
      <w:sz w:val="22"/>
      <w:szCs w:val="22"/>
    </w:rPr>
  </w:style>
  <w:style w:type="paragraph" w:styleId="ndicedeilustraes">
    <w:name w:val="table of figures"/>
    <w:basedOn w:val="Normal"/>
    <w:next w:val="Normal"/>
    <w:rsid w:val="001B000C"/>
    <w:pPr>
      <w:ind w:left="400" w:hanging="400"/>
    </w:pPr>
    <w:rPr>
      <w:smallCaps/>
    </w:rPr>
  </w:style>
  <w:style w:type="paragraph" w:customStyle="1" w:styleId="tabela">
    <w:name w:val="tabela"/>
    <w:basedOn w:val="TextoSolto"/>
    <w:rsid w:val="001B000C"/>
  </w:style>
  <w:style w:type="paragraph" w:customStyle="1" w:styleId="SubclauseTextAlfa">
    <w:name w:val="Subclause TextAlfa"/>
    <w:basedOn w:val="SubclauseText"/>
    <w:autoRedefine/>
    <w:rsid w:val="001B000C"/>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1B000C"/>
    <w:pPr>
      <w:numPr>
        <w:numId w:val="14"/>
      </w:numPr>
      <w:tabs>
        <w:tab w:val="clear" w:pos="2496"/>
        <w:tab w:val="num" w:pos="432"/>
        <w:tab w:val="num" w:pos="5036"/>
      </w:tabs>
      <w:ind w:left="5036" w:hanging="360"/>
    </w:pPr>
  </w:style>
  <w:style w:type="paragraph" w:customStyle="1" w:styleId="endereo">
    <w:name w:val="endereço"/>
    <w:basedOn w:val="SubclauseTextAlfa"/>
    <w:rsid w:val="001B000C"/>
    <w:pPr>
      <w:ind w:firstLine="0"/>
    </w:pPr>
    <w:rPr>
      <w:b/>
    </w:rPr>
  </w:style>
  <w:style w:type="paragraph" w:customStyle="1" w:styleId="TextoSoltoFim">
    <w:name w:val="Texto SoltoFim"/>
    <w:basedOn w:val="TextoSolto"/>
    <w:rsid w:val="001B000C"/>
  </w:style>
  <w:style w:type="paragraph" w:customStyle="1" w:styleId="Anexo">
    <w:name w:val="Anexo"/>
    <w:basedOn w:val="Ttulo3"/>
    <w:link w:val="AnexoChar"/>
    <w:autoRedefine/>
    <w:rsid w:val="001B000C"/>
    <w:pPr>
      <w:pageBreakBefore/>
      <w:widowControl w:val="0"/>
    </w:pPr>
    <w:rPr>
      <w:rFonts w:ascii="Arial" w:hAnsi="Arial" w:cs="Arial"/>
    </w:rPr>
  </w:style>
  <w:style w:type="paragraph" w:styleId="Commarcadores">
    <w:name w:val="List Bullet"/>
    <w:basedOn w:val="Normal"/>
    <w:autoRedefine/>
    <w:rsid w:val="001B000C"/>
    <w:pPr>
      <w:numPr>
        <w:numId w:val="3"/>
      </w:numPr>
    </w:pPr>
  </w:style>
  <w:style w:type="paragraph" w:styleId="Commarcadores2">
    <w:name w:val="List Bullet 2"/>
    <w:basedOn w:val="Normal"/>
    <w:autoRedefine/>
    <w:rsid w:val="001B000C"/>
    <w:pPr>
      <w:numPr>
        <w:numId w:val="4"/>
      </w:numPr>
    </w:pPr>
  </w:style>
  <w:style w:type="paragraph" w:styleId="Commarcadores3">
    <w:name w:val="List Bullet 3"/>
    <w:basedOn w:val="Normal"/>
    <w:autoRedefine/>
    <w:rsid w:val="001B000C"/>
    <w:pPr>
      <w:numPr>
        <w:numId w:val="5"/>
      </w:numPr>
    </w:pPr>
  </w:style>
  <w:style w:type="paragraph" w:styleId="Commarcadores4">
    <w:name w:val="List Bullet 4"/>
    <w:basedOn w:val="Normal"/>
    <w:autoRedefine/>
    <w:rsid w:val="001B000C"/>
    <w:pPr>
      <w:numPr>
        <w:numId w:val="6"/>
      </w:numPr>
    </w:pPr>
  </w:style>
  <w:style w:type="paragraph" w:styleId="Commarcadores5">
    <w:name w:val="List Bullet 5"/>
    <w:basedOn w:val="Normal"/>
    <w:autoRedefine/>
    <w:rsid w:val="001B000C"/>
    <w:pPr>
      <w:numPr>
        <w:numId w:val="7"/>
      </w:numPr>
    </w:pPr>
  </w:style>
  <w:style w:type="paragraph" w:styleId="Data">
    <w:name w:val="Date"/>
    <w:basedOn w:val="Normal"/>
    <w:next w:val="Normal"/>
    <w:link w:val="DataChar"/>
    <w:semiHidden/>
    <w:rsid w:val="001B000C"/>
  </w:style>
  <w:style w:type="character" w:customStyle="1" w:styleId="DataChar">
    <w:name w:val="Data Char"/>
    <w:basedOn w:val="Fontepargpadro"/>
    <w:link w:val="Data"/>
    <w:semiHidden/>
    <w:rsid w:val="001B000C"/>
    <w:rPr>
      <w:sz w:val="20"/>
      <w:szCs w:val="20"/>
      <w:lang w:eastAsia="pt-BR"/>
    </w:rPr>
  </w:style>
  <w:style w:type="paragraph" w:styleId="Destinatrio">
    <w:name w:val="envelope address"/>
    <w:basedOn w:val="Normal"/>
    <w:rsid w:val="001B000C"/>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rsid w:val="001B000C"/>
    <w:pPr>
      <w:ind w:left="200" w:hanging="200"/>
    </w:pPr>
  </w:style>
  <w:style w:type="paragraph" w:styleId="Lista">
    <w:name w:val="List"/>
    <w:basedOn w:val="Normal"/>
    <w:rsid w:val="001B000C"/>
    <w:pPr>
      <w:ind w:left="283" w:hanging="283"/>
    </w:pPr>
  </w:style>
  <w:style w:type="paragraph" w:styleId="Lista2">
    <w:name w:val="List 2"/>
    <w:basedOn w:val="Normal"/>
    <w:rsid w:val="001B000C"/>
    <w:pPr>
      <w:ind w:left="566" w:hanging="283"/>
    </w:pPr>
  </w:style>
  <w:style w:type="paragraph" w:styleId="Lista3">
    <w:name w:val="List 3"/>
    <w:basedOn w:val="Normal"/>
    <w:rsid w:val="001B000C"/>
    <w:pPr>
      <w:ind w:left="849" w:hanging="283"/>
    </w:pPr>
  </w:style>
  <w:style w:type="paragraph" w:styleId="Lista4">
    <w:name w:val="List 4"/>
    <w:basedOn w:val="Normal"/>
    <w:semiHidden/>
    <w:rsid w:val="001B000C"/>
    <w:pPr>
      <w:ind w:left="1132" w:hanging="283"/>
    </w:pPr>
  </w:style>
  <w:style w:type="paragraph" w:styleId="Lista5">
    <w:name w:val="List 5"/>
    <w:basedOn w:val="Normal"/>
    <w:semiHidden/>
    <w:rsid w:val="001B000C"/>
    <w:pPr>
      <w:ind w:left="1415" w:hanging="283"/>
    </w:pPr>
  </w:style>
  <w:style w:type="paragraph" w:styleId="Listadecontinuao">
    <w:name w:val="List Continue"/>
    <w:basedOn w:val="Normal"/>
    <w:rsid w:val="001B000C"/>
    <w:pPr>
      <w:spacing w:after="120"/>
      <w:ind w:left="283"/>
    </w:pPr>
  </w:style>
  <w:style w:type="paragraph" w:styleId="Listadecontinuao2">
    <w:name w:val="List Continue 2"/>
    <w:basedOn w:val="Normal"/>
    <w:rsid w:val="001B000C"/>
    <w:pPr>
      <w:spacing w:after="120"/>
      <w:ind w:left="566"/>
    </w:pPr>
  </w:style>
  <w:style w:type="paragraph" w:styleId="Listadecontinuao3">
    <w:name w:val="List Continue 3"/>
    <w:basedOn w:val="Normal"/>
    <w:rsid w:val="001B000C"/>
    <w:pPr>
      <w:spacing w:after="120"/>
      <w:ind w:left="849"/>
    </w:pPr>
  </w:style>
  <w:style w:type="paragraph" w:styleId="Listadecontinuao4">
    <w:name w:val="List Continue 4"/>
    <w:basedOn w:val="Normal"/>
    <w:rsid w:val="001B000C"/>
    <w:pPr>
      <w:spacing w:after="120"/>
      <w:ind w:left="1132"/>
    </w:pPr>
  </w:style>
  <w:style w:type="paragraph" w:styleId="Listadecontinuao5">
    <w:name w:val="List Continue 5"/>
    <w:basedOn w:val="Normal"/>
    <w:rsid w:val="001B000C"/>
    <w:pPr>
      <w:spacing w:after="120"/>
      <w:ind w:left="1415"/>
    </w:pPr>
  </w:style>
  <w:style w:type="paragraph" w:styleId="Numerada">
    <w:name w:val="List Number"/>
    <w:basedOn w:val="Normal"/>
    <w:semiHidden/>
    <w:rsid w:val="001B000C"/>
    <w:pPr>
      <w:numPr>
        <w:numId w:val="8"/>
      </w:numPr>
      <w:tabs>
        <w:tab w:val="clear" w:pos="360"/>
        <w:tab w:val="num" w:pos="643"/>
      </w:tabs>
      <w:ind w:left="643"/>
    </w:pPr>
  </w:style>
  <w:style w:type="paragraph" w:styleId="Numerada2">
    <w:name w:val="List Number 2"/>
    <w:basedOn w:val="Normal"/>
    <w:rsid w:val="001B000C"/>
    <w:pPr>
      <w:numPr>
        <w:numId w:val="9"/>
      </w:numPr>
    </w:pPr>
  </w:style>
  <w:style w:type="paragraph" w:styleId="Numerada3">
    <w:name w:val="List Number 3"/>
    <w:basedOn w:val="Normal"/>
    <w:rsid w:val="001B000C"/>
    <w:pPr>
      <w:numPr>
        <w:numId w:val="10"/>
      </w:numPr>
    </w:pPr>
  </w:style>
  <w:style w:type="paragraph" w:styleId="Numerada4">
    <w:name w:val="List Number 4"/>
    <w:basedOn w:val="Normal"/>
    <w:rsid w:val="001B000C"/>
    <w:pPr>
      <w:numPr>
        <w:numId w:val="11"/>
      </w:numPr>
    </w:pPr>
  </w:style>
  <w:style w:type="paragraph" w:styleId="Numerada5">
    <w:name w:val="List Number 5"/>
    <w:basedOn w:val="Normal"/>
    <w:rsid w:val="001B000C"/>
    <w:pPr>
      <w:numPr>
        <w:numId w:val="12"/>
      </w:numPr>
    </w:pPr>
  </w:style>
  <w:style w:type="paragraph" w:styleId="Primeirorecuodecorpodetexto">
    <w:name w:val="Body Text First Indent"/>
    <w:basedOn w:val="Corpodetexto"/>
    <w:link w:val="PrimeirorecuodecorpodetextoChar"/>
    <w:semiHidden/>
    <w:rsid w:val="001B000C"/>
    <w:pPr>
      <w:spacing w:after="120" w:line="240" w:lineRule="auto"/>
      <w:ind w:firstLine="210"/>
      <w:jc w:val="left"/>
    </w:pPr>
    <w:rPr>
      <w:rFonts w:ascii="Times New Roman" w:hAnsi="Times New Roman"/>
      <w:sz w:val="20"/>
    </w:rPr>
  </w:style>
  <w:style w:type="character" w:customStyle="1" w:styleId="PrimeirorecuodecorpodetextoChar">
    <w:name w:val="Primeiro recuo de corpo de texto Char"/>
    <w:basedOn w:val="CorpodetextoChar"/>
    <w:link w:val="Primeirorecuodecorpodetexto"/>
    <w:semiHidden/>
    <w:rsid w:val="001B000C"/>
    <w:rPr>
      <w:rFonts w:ascii="Arial" w:hAnsi="Arial"/>
      <w:sz w:val="20"/>
      <w:szCs w:val="20"/>
      <w:lang w:eastAsia="pt-BR"/>
    </w:rPr>
  </w:style>
  <w:style w:type="paragraph" w:styleId="Primeirorecuodecorpodetexto2">
    <w:name w:val="Body Text First Indent 2"/>
    <w:basedOn w:val="Recuodecorpodetexto"/>
    <w:link w:val="Primeirorecuodecorpodetexto2Char"/>
    <w:rsid w:val="001B000C"/>
    <w:pPr>
      <w:spacing w:after="120" w:line="240" w:lineRule="auto"/>
      <w:ind w:left="283" w:firstLine="210"/>
      <w:jc w:val="left"/>
    </w:pPr>
    <w:rPr>
      <w:rFonts w:ascii="Times New Roman" w:hAnsi="Times New Roman"/>
      <w:sz w:val="20"/>
    </w:rPr>
  </w:style>
  <w:style w:type="character" w:customStyle="1" w:styleId="Primeirorecuodecorpodetexto2Char">
    <w:name w:val="Primeiro recuo de corpo de texto 2 Char"/>
    <w:basedOn w:val="RecuodecorpodetextoChar"/>
    <w:link w:val="Primeirorecuodecorpodetexto2"/>
    <w:rsid w:val="001B000C"/>
    <w:rPr>
      <w:rFonts w:ascii="Arial" w:hAnsi="Arial"/>
      <w:sz w:val="20"/>
      <w:szCs w:val="20"/>
      <w:lang w:eastAsia="pt-BR"/>
    </w:rPr>
  </w:style>
  <w:style w:type="paragraph" w:styleId="Recuonormal">
    <w:name w:val="Normal Indent"/>
    <w:basedOn w:val="Normal"/>
    <w:rsid w:val="001B000C"/>
    <w:pPr>
      <w:ind w:left="708"/>
    </w:pPr>
  </w:style>
  <w:style w:type="paragraph" w:styleId="Remetente">
    <w:name w:val="envelope return"/>
    <w:basedOn w:val="Normal"/>
    <w:rsid w:val="001B000C"/>
    <w:rPr>
      <w:rFonts w:ascii="Arial" w:hAnsi="Arial"/>
    </w:rPr>
  </w:style>
  <w:style w:type="paragraph" w:styleId="Remissivo1">
    <w:name w:val="index 1"/>
    <w:basedOn w:val="Normal"/>
    <w:next w:val="Normal"/>
    <w:autoRedefine/>
    <w:rsid w:val="001B000C"/>
    <w:pPr>
      <w:ind w:left="200" w:hanging="200"/>
    </w:pPr>
  </w:style>
  <w:style w:type="paragraph" w:styleId="Remissivo2">
    <w:name w:val="index 2"/>
    <w:basedOn w:val="Normal"/>
    <w:next w:val="Normal"/>
    <w:autoRedefine/>
    <w:rsid w:val="001B000C"/>
    <w:pPr>
      <w:ind w:left="400" w:hanging="200"/>
    </w:pPr>
  </w:style>
  <w:style w:type="paragraph" w:styleId="Remissivo3">
    <w:name w:val="index 3"/>
    <w:basedOn w:val="Normal"/>
    <w:next w:val="Normal"/>
    <w:autoRedefine/>
    <w:rsid w:val="001B000C"/>
    <w:pPr>
      <w:ind w:left="600" w:hanging="200"/>
    </w:pPr>
  </w:style>
  <w:style w:type="paragraph" w:styleId="Remissivo4">
    <w:name w:val="index 4"/>
    <w:basedOn w:val="Normal"/>
    <w:next w:val="Normal"/>
    <w:autoRedefine/>
    <w:rsid w:val="001B000C"/>
    <w:pPr>
      <w:ind w:left="800" w:hanging="200"/>
    </w:pPr>
  </w:style>
  <w:style w:type="paragraph" w:styleId="Remissivo5">
    <w:name w:val="index 5"/>
    <w:basedOn w:val="Normal"/>
    <w:next w:val="Normal"/>
    <w:autoRedefine/>
    <w:rsid w:val="001B000C"/>
    <w:pPr>
      <w:ind w:left="1000" w:hanging="200"/>
    </w:pPr>
  </w:style>
  <w:style w:type="paragraph" w:styleId="Remissivo6">
    <w:name w:val="index 6"/>
    <w:basedOn w:val="Normal"/>
    <w:next w:val="Normal"/>
    <w:autoRedefine/>
    <w:rsid w:val="001B000C"/>
    <w:pPr>
      <w:ind w:left="1200" w:hanging="200"/>
    </w:pPr>
  </w:style>
  <w:style w:type="paragraph" w:styleId="Remissivo7">
    <w:name w:val="index 7"/>
    <w:basedOn w:val="Normal"/>
    <w:next w:val="Normal"/>
    <w:autoRedefine/>
    <w:rsid w:val="001B000C"/>
    <w:pPr>
      <w:ind w:left="1400" w:hanging="200"/>
    </w:pPr>
  </w:style>
  <w:style w:type="paragraph" w:styleId="Remissivo8">
    <w:name w:val="index 8"/>
    <w:basedOn w:val="Normal"/>
    <w:next w:val="Normal"/>
    <w:autoRedefine/>
    <w:rsid w:val="001B000C"/>
    <w:pPr>
      <w:ind w:left="1600" w:hanging="200"/>
    </w:pPr>
  </w:style>
  <w:style w:type="paragraph" w:styleId="Remissivo9">
    <w:name w:val="index 9"/>
    <w:basedOn w:val="Normal"/>
    <w:next w:val="Normal"/>
    <w:autoRedefine/>
    <w:rsid w:val="001B000C"/>
    <w:pPr>
      <w:ind w:left="1800" w:hanging="200"/>
    </w:pPr>
  </w:style>
  <w:style w:type="paragraph" w:styleId="Saudao">
    <w:name w:val="Salutation"/>
    <w:basedOn w:val="Normal"/>
    <w:next w:val="Normal"/>
    <w:link w:val="SaudaoChar"/>
    <w:semiHidden/>
    <w:rsid w:val="001B000C"/>
  </w:style>
  <w:style w:type="character" w:customStyle="1" w:styleId="SaudaoChar">
    <w:name w:val="Saudação Char"/>
    <w:basedOn w:val="Fontepargpadro"/>
    <w:link w:val="Saudao"/>
    <w:semiHidden/>
    <w:rsid w:val="001B000C"/>
    <w:rPr>
      <w:sz w:val="20"/>
      <w:szCs w:val="20"/>
      <w:lang w:eastAsia="pt-BR"/>
    </w:rPr>
  </w:style>
  <w:style w:type="paragraph" w:styleId="Textodemacro">
    <w:name w:val="macro"/>
    <w:link w:val="TextodemacroChar"/>
    <w:rsid w:val="001B000C"/>
    <w:pPr>
      <w:tabs>
        <w:tab w:val="left" w:pos="480"/>
        <w:tab w:val="left" w:pos="960"/>
        <w:tab w:val="left" w:pos="1440"/>
        <w:tab w:val="left" w:pos="1920"/>
        <w:tab w:val="left" w:pos="2400"/>
        <w:tab w:val="left" w:pos="2880"/>
        <w:tab w:val="left" w:pos="3360"/>
        <w:tab w:val="left" w:pos="3840"/>
        <w:tab w:val="left" w:pos="4320"/>
      </w:tabs>
      <w:jc w:val="left"/>
    </w:pPr>
    <w:rPr>
      <w:rFonts w:ascii="Courier New" w:hAnsi="Courier New"/>
      <w:sz w:val="20"/>
      <w:szCs w:val="20"/>
      <w:lang w:eastAsia="pt-BR"/>
    </w:rPr>
  </w:style>
  <w:style w:type="character" w:customStyle="1" w:styleId="TextodemacroChar">
    <w:name w:val="Texto de macro Char"/>
    <w:basedOn w:val="Fontepargpadro"/>
    <w:link w:val="Textodemacro"/>
    <w:rsid w:val="001B000C"/>
    <w:rPr>
      <w:rFonts w:ascii="Courier New" w:hAnsi="Courier New"/>
      <w:sz w:val="20"/>
      <w:szCs w:val="20"/>
      <w:lang w:eastAsia="pt-BR"/>
    </w:rPr>
  </w:style>
  <w:style w:type="paragraph" w:styleId="Textodenotadefim">
    <w:name w:val="endnote text"/>
    <w:basedOn w:val="Normal"/>
    <w:link w:val="TextodenotadefimChar"/>
    <w:rsid w:val="001B000C"/>
  </w:style>
  <w:style w:type="character" w:customStyle="1" w:styleId="TextodenotadefimChar">
    <w:name w:val="Texto de nota de fim Char"/>
    <w:basedOn w:val="Fontepargpadro"/>
    <w:link w:val="Textodenotadefim"/>
    <w:rsid w:val="001B000C"/>
    <w:rPr>
      <w:sz w:val="20"/>
      <w:szCs w:val="20"/>
      <w:lang w:eastAsia="pt-BR"/>
    </w:rPr>
  </w:style>
  <w:style w:type="paragraph" w:styleId="Textoembloco">
    <w:name w:val="Block Text"/>
    <w:basedOn w:val="Normal"/>
    <w:rsid w:val="001B000C"/>
    <w:pPr>
      <w:spacing w:after="120"/>
      <w:ind w:left="1440" w:right="1440"/>
    </w:pPr>
  </w:style>
  <w:style w:type="paragraph" w:styleId="Ttulodanota">
    <w:name w:val="Note Heading"/>
    <w:basedOn w:val="Normal"/>
    <w:next w:val="Normal"/>
    <w:link w:val="TtulodanotaChar"/>
    <w:rsid w:val="001B000C"/>
  </w:style>
  <w:style w:type="character" w:customStyle="1" w:styleId="TtulodanotaChar">
    <w:name w:val="Título da nota Char"/>
    <w:basedOn w:val="Fontepargpadro"/>
    <w:link w:val="Ttulodanota"/>
    <w:rsid w:val="001B000C"/>
    <w:rPr>
      <w:sz w:val="20"/>
      <w:szCs w:val="20"/>
      <w:lang w:eastAsia="pt-BR"/>
    </w:rPr>
  </w:style>
  <w:style w:type="paragraph" w:styleId="Ttulodendicedeautoridades">
    <w:name w:val="toa heading"/>
    <w:basedOn w:val="Normal"/>
    <w:next w:val="Normal"/>
    <w:rsid w:val="001B000C"/>
    <w:pPr>
      <w:spacing w:before="120"/>
    </w:pPr>
    <w:rPr>
      <w:rFonts w:ascii="Arial" w:hAnsi="Arial"/>
      <w:b/>
      <w:sz w:val="24"/>
    </w:rPr>
  </w:style>
  <w:style w:type="paragraph" w:styleId="Ttulodendiceremissivo">
    <w:name w:val="index heading"/>
    <w:basedOn w:val="Normal"/>
    <w:next w:val="Remissivo1"/>
    <w:rsid w:val="001B000C"/>
    <w:rPr>
      <w:rFonts w:ascii="Arial" w:hAnsi="Arial"/>
      <w:b/>
    </w:rPr>
  </w:style>
  <w:style w:type="paragraph" w:customStyle="1" w:styleId="Analtico2Anexo">
    <w:name w:val="Analítico 2Anexo"/>
    <w:basedOn w:val="Sumrio2"/>
    <w:rsid w:val="001B000C"/>
    <w:pPr>
      <w:tabs>
        <w:tab w:val="left" w:pos="1560"/>
      </w:tabs>
      <w:ind w:left="1560" w:hanging="1362"/>
    </w:pPr>
  </w:style>
  <w:style w:type="paragraph" w:customStyle="1" w:styleId="Analtico1Anexo">
    <w:name w:val="Analítico1Anexo"/>
    <w:basedOn w:val="Sumrio1"/>
    <w:rsid w:val="001B000C"/>
  </w:style>
  <w:style w:type="paragraph" w:customStyle="1" w:styleId="ClauseTextAlternativa">
    <w:name w:val="Clause TextAlternativa"/>
    <w:basedOn w:val="ClauseText"/>
    <w:rsid w:val="001B000C"/>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1B000C"/>
    <w:pPr>
      <w:pageBreakBefore w:val="0"/>
      <w:spacing w:before="0"/>
    </w:pPr>
    <w:rPr>
      <w:caps w:val="0"/>
    </w:rPr>
  </w:style>
  <w:style w:type="paragraph" w:customStyle="1" w:styleId="Preformatted">
    <w:name w:val="Preformatted"/>
    <w:basedOn w:val="Normal"/>
    <w:rsid w:val="001B000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styleId="Forte">
    <w:name w:val="Strong"/>
    <w:basedOn w:val="Fontepargpadro"/>
    <w:uiPriority w:val="22"/>
    <w:qFormat/>
    <w:rsid w:val="001B000C"/>
    <w:rPr>
      <w:b/>
      <w:bCs/>
    </w:rPr>
  </w:style>
  <w:style w:type="paragraph" w:styleId="Assuntodocomentrio">
    <w:name w:val="annotation subject"/>
    <w:basedOn w:val="Textodecomentrio"/>
    <w:next w:val="Textodecomentrio"/>
    <w:link w:val="AssuntodocomentrioChar"/>
    <w:uiPriority w:val="99"/>
    <w:unhideWhenUsed/>
    <w:rsid w:val="001B000C"/>
    <w:rPr>
      <w:b/>
      <w:bCs/>
    </w:rPr>
  </w:style>
  <w:style w:type="character" w:customStyle="1" w:styleId="AssuntodocomentrioChar">
    <w:name w:val="Assunto do comentário Char"/>
    <w:basedOn w:val="TextodecomentrioChar"/>
    <w:link w:val="Assuntodocomentrio"/>
    <w:uiPriority w:val="99"/>
    <w:rsid w:val="001B000C"/>
    <w:rPr>
      <w:b/>
      <w:bCs/>
      <w:sz w:val="20"/>
      <w:szCs w:val="20"/>
      <w:lang w:eastAsia="pt-BR"/>
    </w:rPr>
  </w:style>
  <w:style w:type="paragraph" w:styleId="Reviso">
    <w:name w:val="Revision"/>
    <w:hidden/>
    <w:uiPriority w:val="99"/>
    <w:semiHidden/>
    <w:rsid w:val="001B000C"/>
    <w:pPr>
      <w:jc w:val="left"/>
    </w:pPr>
    <w:rPr>
      <w:sz w:val="20"/>
      <w:szCs w:val="20"/>
      <w:lang w:eastAsia="pt-BR"/>
    </w:rPr>
  </w:style>
  <w:style w:type="character" w:customStyle="1" w:styleId="apple-style-span">
    <w:name w:val="apple-style-span"/>
    <w:basedOn w:val="Fontepargpadro"/>
    <w:rsid w:val="001B000C"/>
  </w:style>
  <w:style w:type="paragraph" w:customStyle="1" w:styleId="CTO-Alneas">
    <w:name w:val="CTO - Alíneas"/>
    <w:basedOn w:val="PargrafodaLista"/>
    <w:link w:val="CTO-AlneasChar"/>
    <w:qFormat/>
    <w:rsid w:val="001B000C"/>
    <w:pPr>
      <w:numPr>
        <w:numId w:val="17"/>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after="200" w:line="264" w:lineRule="auto"/>
      <w:contextualSpacing w:val="0"/>
      <w:jc w:val="both"/>
    </w:pPr>
    <w:rPr>
      <w:rFonts w:ascii="Arial" w:hAnsi="Arial" w:cs="Arial"/>
    </w:rPr>
  </w:style>
  <w:style w:type="character" w:customStyle="1" w:styleId="CTO-Avaliar">
    <w:name w:val="CTO - Avaliar"/>
    <w:basedOn w:val="Fontepargpadro"/>
    <w:uiPriority w:val="1"/>
    <w:qFormat/>
    <w:rsid w:val="001B000C"/>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1B000C"/>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1B000C"/>
    <w:pPr>
      <w:spacing w:before="120" w:after="480"/>
      <w:contextualSpacing/>
    </w:pPr>
    <w:rPr>
      <w:rFonts w:ascii="Arial" w:hAnsi="Arial"/>
      <w:sz w:val="22"/>
      <w:szCs w:val="20"/>
      <w:lang w:eastAsia="pt-BR"/>
    </w:rPr>
  </w:style>
  <w:style w:type="character" w:customStyle="1" w:styleId="CTO-DtrGov1">
    <w:name w:val="CTO - Dtr. Gov1"/>
    <w:basedOn w:val="Fontepargpadro"/>
    <w:uiPriority w:val="1"/>
    <w:qFormat/>
    <w:rsid w:val="001B000C"/>
    <w:rPr>
      <w:rFonts w:ascii="Arial" w:hAnsi="Arial"/>
      <w:sz w:val="22"/>
      <w:bdr w:val="single" w:sz="4" w:space="0" w:color="FF0000"/>
      <w:shd w:val="clear" w:color="auto" w:fill="00B050"/>
    </w:rPr>
  </w:style>
  <w:style w:type="character" w:customStyle="1" w:styleId="CTO-PEX">
    <w:name w:val="CTO - PEX"/>
    <w:basedOn w:val="Fontepargpadro"/>
    <w:uiPriority w:val="1"/>
    <w:qFormat/>
    <w:rsid w:val="001B000C"/>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1B000C"/>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1B000C"/>
    <w:pPr>
      <w:pageBreakBefore/>
      <w:numPr>
        <w:numId w:val="18"/>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1B000C"/>
    <w:pPr>
      <w:pageBreakBefore/>
      <w:numPr>
        <w:numId w:val="24"/>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1B000C"/>
    <w:pPr>
      <w:numPr>
        <w:ilvl w:val="2"/>
        <w:numId w:val="24"/>
      </w:numPr>
      <w:spacing w:before="200" w:after="200"/>
      <w:jc w:val="both"/>
    </w:pPr>
    <w:rPr>
      <w:rFonts w:ascii="Arial" w:hAnsi="Arial"/>
      <w:sz w:val="22"/>
    </w:rPr>
  </w:style>
  <w:style w:type="paragraph" w:customStyle="1" w:styleId="CTO-TxtTabel">
    <w:name w:val="CTO - Txt Tabel"/>
    <w:basedOn w:val="Normal"/>
    <w:qFormat/>
    <w:rsid w:val="001B000C"/>
    <w:pPr>
      <w:jc w:val="center"/>
    </w:pPr>
    <w:rPr>
      <w:rFonts w:ascii="Arial" w:hAnsi="Arial"/>
    </w:rPr>
  </w:style>
  <w:style w:type="paragraph" w:customStyle="1" w:styleId="CTOA-TitAnex">
    <w:name w:val="CTO_A - Tit. Anex."/>
    <w:basedOn w:val="Normal"/>
    <w:qFormat/>
    <w:rsid w:val="001B000C"/>
    <w:pPr>
      <w:pageBreakBefore/>
      <w:numPr>
        <w:numId w:val="20"/>
      </w:numPr>
      <w:spacing w:after="600"/>
      <w:jc w:val="center"/>
      <w:outlineLvl w:val="0"/>
    </w:pPr>
    <w:rPr>
      <w:rFonts w:ascii="Arial" w:hAnsi="Arial"/>
      <w:b/>
      <w:caps/>
      <w:sz w:val="22"/>
    </w:rPr>
  </w:style>
  <w:style w:type="paragraph" w:customStyle="1" w:styleId="CTOA-TtCap">
    <w:name w:val="CTO_A - Tít. Cap."/>
    <w:basedOn w:val="Contrato-Captulo"/>
    <w:qFormat/>
    <w:rsid w:val="001B000C"/>
    <w:pPr>
      <w:numPr>
        <w:ilvl w:val="1"/>
        <w:numId w:val="20"/>
      </w:numPr>
      <w:outlineLvl w:val="1"/>
    </w:pPr>
    <w:rPr>
      <w:b w:val="0"/>
      <w:sz w:val="28"/>
      <w:szCs w:val="28"/>
    </w:rPr>
  </w:style>
  <w:style w:type="paragraph" w:customStyle="1" w:styleId="CTOA-TxtClau">
    <w:name w:val="CTO_A - Txt Clau."/>
    <w:basedOn w:val="Contrato-TextoClausula-N1"/>
    <w:qFormat/>
    <w:rsid w:val="001B000C"/>
    <w:pPr>
      <w:numPr>
        <w:ilvl w:val="3"/>
        <w:numId w:val="20"/>
      </w:numPr>
    </w:pPr>
  </w:style>
  <w:style w:type="paragraph" w:customStyle="1" w:styleId="CTOANumClau">
    <w:name w:val="CTO_A _ Num. Clau."/>
    <w:basedOn w:val="Contrato-Clausula-Nvel1"/>
    <w:qFormat/>
    <w:rsid w:val="001B000C"/>
    <w:pPr>
      <w:numPr>
        <w:ilvl w:val="2"/>
        <w:numId w:val="20"/>
      </w:numPr>
      <w:spacing w:after="600"/>
      <w:outlineLvl w:val="2"/>
    </w:pPr>
  </w:style>
  <w:style w:type="paragraph" w:customStyle="1" w:styleId="CTO-Lista">
    <w:name w:val="CTO - Lista"/>
    <w:link w:val="CTO-ListaChar"/>
    <w:qFormat/>
    <w:rsid w:val="001B000C"/>
    <w:pPr>
      <w:numPr>
        <w:numId w:val="21"/>
      </w:numPr>
      <w:spacing w:before="120"/>
    </w:pPr>
    <w:rPr>
      <w:rFonts w:ascii="Arial" w:hAnsi="Arial"/>
      <w:sz w:val="22"/>
      <w:szCs w:val="20"/>
      <w:lang w:eastAsia="pt-BR"/>
    </w:rPr>
  </w:style>
  <w:style w:type="numbering" w:customStyle="1" w:styleId="Estilo1">
    <w:name w:val="Estilo1"/>
    <w:uiPriority w:val="99"/>
    <w:rsid w:val="001B000C"/>
    <w:pPr>
      <w:numPr>
        <w:numId w:val="22"/>
      </w:numPr>
    </w:pPr>
  </w:style>
  <w:style w:type="character" w:customStyle="1" w:styleId="CTO-ListaChar">
    <w:name w:val="CTO - Lista Char"/>
    <w:basedOn w:val="Fontepargpadro"/>
    <w:link w:val="CTO-Lista"/>
    <w:rsid w:val="001B000C"/>
    <w:rPr>
      <w:rFonts w:ascii="Arial" w:hAnsi="Arial"/>
      <w:sz w:val="22"/>
      <w:szCs w:val="20"/>
      <w:lang w:eastAsia="pt-BR"/>
    </w:rPr>
  </w:style>
  <w:style w:type="paragraph" w:customStyle="1" w:styleId="CTO-TxtClau-N2">
    <w:name w:val="CTO - Txt Clau - N2"/>
    <w:basedOn w:val="Contrato-TextoClausula-N1"/>
    <w:qFormat/>
    <w:rsid w:val="001B000C"/>
    <w:pPr>
      <w:numPr>
        <w:ilvl w:val="3"/>
      </w:numPr>
    </w:pPr>
  </w:style>
  <w:style w:type="numbering" w:customStyle="1" w:styleId="Estilo2">
    <w:name w:val="Estilo2"/>
    <w:uiPriority w:val="99"/>
    <w:rsid w:val="001B000C"/>
    <w:pPr>
      <w:numPr>
        <w:numId w:val="23"/>
      </w:numPr>
    </w:pPr>
  </w:style>
  <w:style w:type="paragraph" w:customStyle="1" w:styleId="CTO-TxtClau-N3">
    <w:name w:val="CTO - Txt Clau - N3"/>
    <w:basedOn w:val="CTO-TxtClau-N2"/>
    <w:qFormat/>
    <w:rsid w:val="001B000C"/>
    <w:pPr>
      <w:numPr>
        <w:ilvl w:val="4"/>
        <w:numId w:val="19"/>
      </w:numPr>
    </w:pPr>
  </w:style>
  <w:style w:type="paragraph" w:customStyle="1" w:styleId="CTO-TxtClau-N4">
    <w:name w:val="CTO - Txt Clau - N4"/>
    <w:basedOn w:val="CTO-TxtClau-N3"/>
    <w:qFormat/>
    <w:rsid w:val="001B000C"/>
    <w:pPr>
      <w:numPr>
        <w:ilvl w:val="5"/>
        <w:numId w:val="24"/>
      </w:numPr>
    </w:pPr>
  </w:style>
  <w:style w:type="character" w:customStyle="1" w:styleId="ClauseTextChar">
    <w:name w:val="Clause Text Char"/>
    <w:basedOn w:val="Fontepargpadro"/>
    <w:link w:val="ClauseText"/>
    <w:rsid w:val="001B000C"/>
    <w:rPr>
      <w:rFonts w:ascii="Arial" w:hAnsi="Arial"/>
      <w:bCs/>
      <w:sz w:val="22"/>
      <w:szCs w:val="22"/>
      <w:lang w:eastAsia="pt-BR"/>
    </w:rPr>
  </w:style>
  <w:style w:type="paragraph" w:customStyle="1" w:styleId="CTO-TxtClau">
    <w:name w:val="CTO - Txt Clau"/>
    <w:basedOn w:val="Normal"/>
    <w:link w:val="CTO-TxtClauChar"/>
    <w:qFormat/>
    <w:rsid w:val="001B000C"/>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B000C"/>
    <w:rPr>
      <w:rFonts w:ascii="Arial" w:hAnsi="Arial"/>
      <w:sz w:val="22"/>
      <w:szCs w:val="20"/>
      <w:lang w:eastAsia="pt-BR"/>
    </w:rPr>
  </w:style>
  <w:style w:type="paragraph" w:customStyle="1" w:styleId="CTO-subpargrafo">
    <w:name w:val="CTO - subparágrafo"/>
    <w:basedOn w:val="CTOAsubpargrafo"/>
    <w:link w:val="CTO-subpargrafoChar"/>
    <w:qFormat/>
    <w:rsid w:val="001B000C"/>
    <w:pPr>
      <w:ind w:left="1248"/>
    </w:pPr>
  </w:style>
  <w:style w:type="character" w:customStyle="1" w:styleId="CTO-subpargrafoChar">
    <w:name w:val="CTO - subparágrafo Char"/>
    <w:basedOn w:val="CTO-TxtClauChar"/>
    <w:link w:val="CTO-subpargrafo"/>
    <w:rsid w:val="001B000C"/>
    <w:rPr>
      <w:rFonts w:ascii="Arial" w:hAnsi="Arial"/>
      <w:sz w:val="22"/>
      <w:szCs w:val="20"/>
      <w:lang w:eastAsia="pt-BR"/>
    </w:rPr>
  </w:style>
  <w:style w:type="paragraph" w:customStyle="1" w:styleId="CTOAsubpargrafo">
    <w:name w:val="CTO_A subparágrafo"/>
    <w:basedOn w:val="CTO-TxtClau"/>
    <w:link w:val="CTOAsubpargrafoChar"/>
    <w:qFormat/>
    <w:rsid w:val="001B000C"/>
    <w:pPr>
      <w:ind w:left="1418" w:hanging="851"/>
    </w:pPr>
  </w:style>
  <w:style w:type="paragraph" w:styleId="CabealhodoSumrio">
    <w:name w:val="TOC Heading"/>
    <w:basedOn w:val="Ttulo1"/>
    <w:next w:val="Normal"/>
    <w:uiPriority w:val="39"/>
    <w:unhideWhenUsed/>
    <w:qFormat/>
    <w:rsid w:val="001B000C"/>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B000C"/>
    <w:pPr>
      <w:spacing w:before="100" w:beforeAutospacing="1" w:after="100" w:afterAutospacing="1"/>
    </w:pPr>
    <w:rPr>
      <w:sz w:val="24"/>
      <w:szCs w:val="24"/>
    </w:rPr>
  </w:style>
  <w:style w:type="paragraph" w:customStyle="1" w:styleId="TextodeClusula">
    <w:name w:val="Texto de Cláusula"/>
    <w:basedOn w:val="Normal"/>
    <w:link w:val="TextodeClusulaChar"/>
    <w:rsid w:val="001B000C"/>
    <w:pPr>
      <w:numPr>
        <w:ilvl w:val="1"/>
        <w:numId w:val="25"/>
      </w:numPr>
      <w:tabs>
        <w:tab w:val="clear" w:pos="2484"/>
        <w:tab w:val="num" w:pos="1774"/>
      </w:tabs>
      <w:spacing w:before="120" w:after="120"/>
      <w:ind w:left="851" w:hanging="709"/>
      <w:jc w:val="both"/>
    </w:pPr>
    <w:rPr>
      <w:rFonts w:ascii="Arial" w:hAnsi="Arial"/>
      <w:sz w:val="22"/>
      <w:szCs w:val="22"/>
    </w:rPr>
  </w:style>
  <w:style w:type="paragraph" w:customStyle="1" w:styleId="Norma">
    <w:name w:val="Norma"/>
    <w:rsid w:val="001B000C"/>
    <w:pPr>
      <w:pBdr>
        <w:top w:val="single" w:sz="2" w:space="0" w:color="000080"/>
        <w:bottom w:val="single" w:sz="2" w:space="0" w:color="000080"/>
      </w:pBdr>
      <w:suppressAutoHyphens/>
      <w:jc w:val="center"/>
    </w:pPr>
    <w:rPr>
      <w:rFonts w:ascii="Arial" w:hAnsi="Arial"/>
      <w:b/>
      <w:color w:val="000080"/>
      <w:sz w:val="26"/>
      <w:szCs w:val="20"/>
      <w:lang w:eastAsia="pt-BR"/>
    </w:rPr>
  </w:style>
  <w:style w:type="paragraph" w:customStyle="1" w:styleId="Texto">
    <w:name w:val="Texto"/>
    <w:basedOn w:val="Texto-materia"/>
    <w:autoRedefine/>
    <w:rsid w:val="001B000C"/>
    <w:pPr>
      <w:spacing w:after="120"/>
      <w:ind w:firstLine="0"/>
      <w:jc w:val="both"/>
    </w:pPr>
    <w:rPr>
      <w:color w:val="auto"/>
      <w:sz w:val="20"/>
    </w:rPr>
  </w:style>
  <w:style w:type="paragraph" w:customStyle="1" w:styleId="Texto-materia">
    <w:name w:val="Texto-materia"/>
    <w:rsid w:val="001B000C"/>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jc w:val="left"/>
    </w:pPr>
    <w:rPr>
      <w:rFonts w:ascii="Arial" w:hAnsi="Arial"/>
      <w:color w:val="800000"/>
      <w:sz w:val="22"/>
      <w:szCs w:val="20"/>
      <w:lang w:eastAsia="pt-BR"/>
    </w:rPr>
  </w:style>
  <w:style w:type="paragraph" w:customStyle="1" w:styleId="Ementa">
    <w:name w:val="Ementa"/>
    <w:rsid w:val="001B000C"/>
    <w:pPr>
      <w:suppressAutoHyphens/>
      <w:spacing w:before="160"/>
      <w:ind w:left="567"/>
    </w:pPr>
    <w:rPr>
      <w:rFonts w:ascii="Arial" w:hAnsi="Arial"/>
      <w:i/>
      <w:color w:val="800000"/>
      <w:sz w:val="20"/>
      <w:szCs w:val="20"/>
      <w:lang w:eastAsia="pt-BR"/>
    </w:rPr>
  </w:style>
  <w:style w:type="paragraph" w:customStyle="1" w:styleId="titulo">
    <w:name w:val="titulo"/>
    <w:rsid w:val="001B000C"/>
    <w:pPr>
      <w:widowControl w:val="0"/>
      <w:spacing w:before="360"/>
      <w:jc w:val="center"/>
    </w:pPr>
    <w:rPr>
      <w:rFonts w:ascii="Arial" w:hAnsi="Arial"/>
      <w:b/>
      <w:color w:val="000080"/>
      <w:szCs w:val="20"/>
      <w:lang w:eastAsia="pt-BR"/>
    </w:rPr>
  </w:style>
  <w:style w:type="paragraph" w:customStyle="1" w:styleId="Subitem">
    <w:name w:val="Subitem"/>
    <w:rsid w:val="001B000C"/>
    <w:pPr>
      <w:widowControl w:val="0"/>
      <w:spacing w:before="120"/>
      <w:jc w:val="left"/>
    </w:pPr>
    <w:rPr>
      <w:rFonts w:ascii="Arial" w:hAnsi="Arial"/>
      <w:b/>
      <w:color w:val="000080"/>
      <w:sz w:val="20"/>
      <w:szCs w:val="20"/>
      <w:lang w:eastAsia="pt-BR"/>
    </w:rPr>
  </w:style>
  <w:style w:type="paragraph" w:customStyle="1" w:styleId="Level1">
    <w:name w:val="Level 1"/>
    <w:basedOn w:val="Normal"/>
    <w:rsid w:val="001B000C"/>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1B000C"/>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1B000C"/>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1B000C"/>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1B000C"/>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1B000C"/>
    <w:pPr>
      <w:spacing w:before="100" w:beforeAutospacing="1" w:after="100" w:afterAutospacing="1"/>
    </w:pPr>
    <w:rPr>
      <w:color w:val="FFFFFF"/>
    </w:rPr>
  </w:style>
  <w:style w:type="paragraph" w:customStyle="1" w:styleId="font6">
    <w:name w:val="font6"/>
    <w:basedOn w:val="Normal"/>
    <w:rsid w:val="001B000C"/>
    <w:pPr>
      <w:spacing w:before="100" w:beforeAutospacing="1" w:after="100" w:afterAutospacing="1"/>
    </w:pPr>
    <w:rPr>
      <w:color w:val="FFFFFF"/>
      <w:sz w:val="16"/>
      <w:szCs w:val="16"/>
    </w:rPr>
  </w:style>
  <w:style w:type="paragraph" w:customStyle="1" w:styleId="font7">
    <w:name w:val="font7"/>
    <w:basedOn w:val="Normal"/>
    <w:rsid w:val="001B000C"/>
    <w:pPr>
      <w:spacing w:before="100" w:beforeAutospacing="1" w:after="100" w:afterAutospacing="1"/>
    </w:pPr>
  </w:style>
  <w:style w:type="paragraph" w:customStyle="1" w:styleId="xl63">
    <w:name w:val="xl63"/>
    <w:basedOn w:val="Normal"/>
    <w:rsid w:val="001B0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1B000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1B0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1B000C"/>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1B0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1B000C"/>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1B000C"/>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1B000C"/>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1B000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1B000C"/>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1B000C"/>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1B000C"/>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1B000C"/>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1B000C"/>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1B000C"/>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1B000C"/>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1B000C"/>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1B000C"/>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1B000C"/>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1B000C"/>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1B000C"/>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1B00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1B000C"/>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1B000C"/>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1B000C"/>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1B000C"/>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1B000C"/>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1B000C"/>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1B000C"/>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1B000C"/>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1B000C"/>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1B000C"/>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1B000C"/>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1B000C"/>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1B000C"/>
    <w:pPr>
      <w:snapToGrid w:val="0"/>
      <w:spacing w:before="261" w:after="40"/>
      <w:ind w:firstLine="357"/>
      <w:jc w:val="center"/>
    </w:pPr>
    <w:rPr>
      <w:rFonts w:ascii="Arial" w:hAnsi="Arial"/>
      <w:i/>
      <w:color w:val="000080"/>
      <w:szCs w:val="24"/>
    </w:rPr>
  </w:style>
  <w:style w:type="paragraph" w:customStyle="1" w:styleId="anexo0">
    <w:name w:val="anexo"/>
    <w:basedOn w:val="Normal"/>
    <w:rsid w:val="001B000C"/>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1B000C"/>
    <w:pPr>
      <w:spacing w:before="100" w:beforeAutospacing="1" w:after="100" w:afterAutospacing="1"/>
    </w:pPr>
    <w:rPr>
      <w:sz w:val="24"/>
      <w:szCs w:val="24"/>
    </w:rPr>
  </w:style>
  <w:style w:type="character" w:customStyle="1" w:styleId="hps">
    <w:name w:val="hps"/>
    <w:basedOn w:val="Fontepargpadro"/>
    <w:rsid w:val="001B000C"/>
  </w:style>
  <w:style w:type="table" w:customStyle="1" w:styleId="Tabelacomgrade1">
    <w:name w:val="Tabela com grade1"/>
    <w:basedOn w:val="Tabelanormal"/>
    <w:next w:val="Tabelacomgrade"/>
    <w:uiPriority w:val="59"/>
    <w:rsid w:val="001B000C"/>
    <w:pPr>
      <w:jc w:val="left"/>
    </w:pPr>
    <w:rPr>
      <w:rFonts w:ascii="Calibri" w:eastAsia="Calibri" w:hAnsi="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1B000C"/>
  </w:style>
  <w:style w:type="character" w:customStyle="1" w:styleId="AnexoChar">
    <w:name w:val="Anexo Char"/>
    <w:basedOn w:val="Ttulo3Char"/>
    <w:link w:val="Anexo"/>
    <w:rsid w:val="001B000C"/>
    <w:rPr>
      <w:rFonts w:ascii="Arial" w:hAnsi="Arial" w:cs="Arial"/>
      <w:b/>
      <w:caps/>
      <w:szCs w:val="20"/>
      <w:lang w:eastAsia="pt-BR"/>
    </w:rPr>
  </w:style>
  <w:style w:type="character" w:customStyle="1" w:styleId="TtulodeAnexoChar">
    <w:name w:val="Título de Anexo Char"/>
    <w:basedOn w:val="AnexoChar"/>
    <w:link w:val="TtulodeAnexo"/>
    <w:rsid w:val="001B000C"/>
    <w:rPr>
      <w:rFonts w:ascii="Arial" w:hAnsi="Arial" w:cs="Arial"/>
      <w:b/>
      <w:caps/>
      <w:szCs w:val="20"/>
      <w:lang w:eastAsia="pt-BR"/>
    </w:rPr>
  </w:style>
  <w:style w:type="paragraph" w:customStyle="1" w:styleId="ndice">
    <w:name w:val="Índice"/>
    <w:basedOn w:val="Normal"/>
    <w:rsid w:val="001B000C"/>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1B000C"/>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1B000C"/>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1B000C"/>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1B000C"/>
    <w:rPr>
      <w:rFonts w:ascii="Arial" w:hAnsi="Arial"/>
      <w:bCs w:val="0"/>
      <w:sz w:val="22"/>
      <w:szCs w:val="22"/>
      <w:lang w:eastAsia="pt-BR"/>
    </w:rPr>
  </w:style>
  <w:style w:type="character" w:customStyle="1" w:styleId="EstiloSubParagrafoChar">
    <w:name w:val="EstiloSubParagrafo Char"/>
    <w:basedOn w:val="ClauseTextChar"/>
    <w:link w:val="EstiloSubParagrafo"/>
    <w:rsid w:val="001B000C"/>
    <w:rPr>
      <w:rFonts w:ascii="Arial" w:hAnsi="Arial" w:cs="Arial"/>
      <w:bCs/>
      <w:color w:val="000000" w:themeColor="text1"/>
      <w:sz w:val="22"/>
      <w:szCs w:val="22"/>
      <w:lang w:eastAsia="pt-BR"/>
    </w:rPr>
  </w:style>
  <w:style w:type="paragraph" w:customStyle="1" w:styleId="NT-Corpo">
    <w:name w:val="NT - Corpo"/>
    <w:basedOn w:val="Normal"/>
    <w:link w:val="NT-CorpoChar"/>
    <w:qFormat/>
    <w:rsid w:val="001B000C"/>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1B000C"/>
    <w:rPr>
      <w:rFonts w:ascii="Garamond" w:eastAsiaTheme="minorHAnsi" w:hAnsi="Garamond" w:cstheme="minorBidi"/>
      <w:sz w:val="26"/>
      <w:szCs w:val="22"/>
    </w:rPr>
  </w:style>
  <w:style w:type="paragraph" w:customStyle="1" w:styleId="Obs">
    <w:name w:val="Obs"/>
    <w:basedOn w:val="Normal"/>
    <w:link w:val="ObsChar"/>
    <w:qFormat/>
    <w:rsid w:val="001B000C"/>
    <w:rPr>
      <w:rFonts w:ascii="Arial" w:hAnsi="Arial" w:cs="Arial"/>
      <w:b/>
      <w:sz w:val="22"/>
      <w:szCs w:val="22"/>
    </w:rPr>
  </w:style>
  <w:style w:type="character" w:customStyle="1" w:styleId="ObsChar">
    <w:name w:val="Obs Char"/>
    <w:basedOn w:val="Fontepargpadro"/>
    <w:link w:val="Obs"/>
    <w:rsid w:val="001B000C"/>
    <w:rPr>
      <w:rFonts w:ascii="Arial" w:hAnsi="Arial" w:cs="Arial"/>
      <w:b/>
      <w:sz w:val="22"/>
      <w:szCs w:val="22"/>
      <w:lang w:eastAsia="pt-BR"/>
    </w:rPr>
  </w:style>
  <w:style w:type="numbering" w:customStyle="1" w:styleId="AnexodoContrato">
    <w:name w:val="Anexo do Contrato"/>
    <w:uiPriority w:val="99"/>
    <w:rsid w:val="001B000C"/>
  </w:style>
  <w:style w:type="paragraph" w:customStyle="1" w:styleId="EstiloInciso">
    <w:name w:val="EstiloInciso"/>
    <w:basedOn w:val="ClauseText"/>
    <w:link w:val="EstiloIncisoChar"/>
    <w:qFormat/>
    <w:rsid w:val="001B000C"/>
    <w:pPr>
      <w:numPr>
        <w:numId w:val="26"/>
      </w:numPr>
      <w:tabs>
        <w:tab w:val="left" w:pos="1560"/>
      </w:tabs>
    </w:pPr>
    <w:rPr>
      <w:rFonts w:cs="Arial"/>
    </w:rPr>
  </w:style>
  <w:style w:type="character" w:customStyle="1" w:styleId="EstiloIncisoChar">
    <w:name w:val="EstiloInciso Char"/>
    <w:basedOn w:val="ClauseTextChar"/>
    <w:link w:val="EstiloInciso"/>
    <w:rsid w:val="001B000C"/>
    <w:rPr>
      <w:rFonts w:ascii="Arial" w:hAnsi="Arial" w:cs="Arial"/>
      <w:bCs/>
      <w:sz w:val="22"/>
      <w:szCs w:val="22"/>
      <w:lang w:eastAsia="pt-BR"/>
    </w:rPr>
  </w:style>
  <w:style w:type="character" w:customStyle="1" w:styleId="CTO-DescFrmulaChar">
    <w:name w:val="CTO - Desc. Fórmula Char"/>
    <w:basedOn w:val="Fontepargpadro"/>
    <w:link w:val="CTO-DescFrmula"/>
    <w:rsid w:val="001B000C"/>
    <w:rPr>
      <w:rFonts w:ascii="Arial" w:hAnsi="Arial"/>
      <w:sz w:val="22"/>
      <w:szCs w:val="20"/>
      <w:lang w:eastAsia="pt-BR"/>
    </w:rPr>
  </w:style>
  <w:style w:type="character" w:customStyle="1" w:styleId="PargrafodaListaChar">
    <w:name w:val="Parágrafo da Lista Char"/>
    <w:basedOn w:val="Fontepargpadro"/>
    <w:link w:val="PargrafodaLista"/>
    <w:uiPriority w:val="34"/>
    <w:rsid w:val="001B000C"/>
    <w:rPr>
      <w:sz w:val="20"/>
      <w:szCs w:val="20"/>
      <w:lang w:eastAsia="pt-BR"/>
    </w:rPr>
  </w:style>
  <w:style w:type="character" w:customStyle="1" w:styleId="CTO-AlneasChar">
    <w:name w:val="CTO - Alíneas Char"/>
    <w:basedOn w:val="PargrafodaListaChar"/>
    <w:link w:val="CTO-Alneas"/>
    <w:rsid w:val="001B000C"/>
    <w:rPr>
      <w:rFonts w:ascii="Arial" w:hAnsi="Arial" w:cs="Arial"/>
      <w:sz w:val="20"/>
      <w:szCs w:val="20"/>
      <w:lang w:eastAsia="pt-BR"/>
    </w:rPr>
  </w:style>
  <w:style w:type="paragraph" w:customStyle="1" w:styleId="Estilo1a">
    <w:name w:val="Estilo1a"/>
    <w:basedOn w:val="Ttulo"/>
    <w:link w:val="Estilo1aChar"/>
    <w:qFormat/>
    <w:rsid w:val="001B000C"/>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1B000C"/>
    <w:rPr>
      <w:rFonts w:ascii="Arial" w:hAnsi="Arial" w:cs="Arial"/>
      <w:b/>
      <w:sz w:val="22"/>
      <w:szCs w:val="22"/>
      <w:lang w:eastAsia="pt-BR"/>
    </w:rPr>
  </w:style>
  <w:style w:type="paragraph" w:customStyle="1" w:styleId="CTOApargrafo">
    <w:name w:val="CTO_A parágrafo"/>
    <w:basedOn w:val="CTO-TxtClau"/>
    <w:link w:val="CTOApargrafoChar"/>
    <w:qFormat/>
    <w:rsid w:val="001B000C"/>
    <w:pPr>
      <w:numPr>
        <w:ilvl w:val="2"/>
        <w:numId w:val="21"/>
      </w:numPr>
      <w:ind w:left="680"/>
    </w:pPr>
  </w:style>
  <w:style w:type="character" w:customStyle="1" w:styleId="CTOApargrafoChar">
    <w:name w:val="CTO_A parágrafo Char"/>
    <w:basedOn w:val="CTO-TxtClauChar"/>
    <w:link w:val="CTOApargrafo"/>
    <w:rsid w:val="001B000C"/>
    <w:rPr>
      <w:rFonts w:ascii="Arial" w:hAnsi="Arial"/>
      <w:sz w:val="22"/>
      <w:szCs w:val="20"/>
      <w:lang w:eastAsia="pt-BR"/>
    </w:rPr>
  </w:style>
  <w:style w:type="character" w:customStyle="1" w:styleId="CTOAsubpargrafoChar">
    <w:name w:val="CTO_A subparágrafo Char"/>
    <w:basedOn w:val="CTO-TxtClauChar"/>
    <w:link w:val="CTOAsubpargrafo"/>
    <w:rsid w:val="001B000C"/>
    <w:rPr>
      <w:rFonts w:ascii="Arial" w:hAnsi="Arial"/>
      <w:sz w:val="22"/>
      <w:szCs w:val="20"/>
      <w:lang w:eastAsia="pt-BR"/>
    </w:rPr>
  </w:style>
  <w:style w:type="paragraph" w:customStyle="1" w:styleId="Corpodetextoanexos">
    <w:name w:val="Corpo de texto anexos"/>
    <w:basedOn w:val="Corpodetexto"/>
    <w:rsid w:val="001B000C"/>
    <w:pPr>
      <w:spacing w:line="288" w:lineRule="auto"/>
      <w:ind w:firstLine="0"/>
    </w:pPr>
    <w:rPr>
      <w:sz w:val="20"/>
    </w:rPr>
  </w:style>
  <w:style w:type="paragraph" w:customStyle="1" w:styleId="AX-Tit1">
    <w:name w:val="AX - Tit 1"/>
    <w:qFormat/>
    <w:rsid w:val="001B000C"/>
    <w:pPr>
      <w:pageBreakBefore/>
      <w:numPr>
        <w:numId w:val="28"/>
      </w:numPr>
      <w:suppressAutoHyphens/>
      <w:ind w:left="1418"/>
      <w:jc w:val="center"/>
      <w:outlineLvl w:val="0"/>
    </w:pPr>
    <w:rPr>
      <w:rFonts w:ascii="Arial" w:hAnsi="Arial" w:cs="Arial"/>
      <w:b/>
      <w:caps/>
      <w:szCs w:val="20"/>
      <w:lang w:eastAsia="pt-BR"/>
    </w:rPr>
  </w:style>
  <w:style w:type="numbering" w:customStyle="1" w:styleId="ListaAnexos">
    <w:name w:val="Lista Anexos"/>
    <w:uiPriority w:val="99"/>
    <w:rsid w:val="001B000C"/>
    <w:pPr>
      <w:numPr>
        <w:numId w:val="27"/>
      </w:numPr>
    </w:pPr>
  </w:style>
  <w:style w:type="paragraph" w:customStyle="1" w:styleId="00S01ItemNoNumerado">
    <w:name w:val="00S01ItemNãoNumerado"/>
    <w:basedOn w:val="Normal"/>
    <w:rsid w:val="001B000C"/>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1B000C"/>
    <w:pPr>
      <w:widowControl w:val="0"/>
      <w:ind w:left="709" w:hanging="709"/>
      <w:jc w:val="both"/>
    </w:pPr>
    <w:rPr>
      <w:lang w:val="en-US"/>
    </w:rPr>
  </w:style>
  <w:style w:type="paragraph" w:customStyle="1" w:styleId="xl26">
    <w:name w:val="xl26"/>
    <w:basedOn w:val="Normal"/>
    <w:rsid w:val="001B000C"/>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1B000C"/>
    <w:pPr>
      <w:autoSpaceDE w:val="0"/>
      <w:autoSpaceDN w:val="0"/>
      <w:adjustRightInd w:val="0"/>
      <w:jc w:val="left"/>
    </w:pPr>
    <w:rPr>
      <w:rFonts w:ascii="Arial" w:hAnsi="Arial" w:cs="Arial"/>
      <w:sz w:val="20"/>
      <w:szCs w:val="20"/>
      <w:lang w:eastAsia="pt-BR"/>
    </w:rPr>
  </w:style>
  <w:style w:type="character" w:customStyle="1" w:styleId="apple-converted-space">
    <w:name w:val="apple-converted-space"/>
    <w:basedOn w:val="Fontepargpadro"/>
    <w:rsid w:val="001B000C"/>
  </w:style>
  <w:style w:type="paragraph" w:customStyle="1" w:styleId="Contrato-Capa">
    <w:name w:val="Contrato - Capa"/>
    <w:basedOn w:val="Normal"/>
    <w:qFormat/>
    <w:rsid w:val="001B000C"/>
    <w:pPr>
      <w:jc w:val="center"/>
    </w:pPr>
    <w:rPr>
      <w:rFonts w:ascii="Arial" w:hAnsi="Arial" w:cs="Arial"/>
      <w:b/>
      <w:caps/>
      <w:sz w:val="24"/>
      <w:szCs w:val="24"/>
    </w:rPr>
  </w:style>
  <w:style w:type="paragraph" w:customStyle="1" w:styleId="Contrato-Preambulo">
    <w:name w:val="Contrato - Preambulo"/>
    <w:basedOn w:val="TextoSolto"/>
    <w:qFormat/>
    <w:rsid w:val="001B000C"/>
    <w:rPr>
      <w:rFonts w:cs="Arial"/>
    </w:rPr>
  </w:style>
  <w:style w:type="paragraph" w:customStyle="1" w:styleId="Contrato-Normal">
    <w:name w:val="Contrato - Normal"/>
    <w:basedOn w:val="Contrato-TextoClausula-N1"/>
    <w:qFormat/>
    <w:rsid w:val="001B000C"/>
    <w:pPr>
      <w:numPr>
        <w:ilvl w:val="0"/>
        <w:numId w:val="0"/>
      </w:numPr>
    </w:pPr>
    <w:rPr>
      <w:rFonts w:cs="Arial"/>
      <w:szCs w:val="22"/>
    </w:rPr>
  </w:style>
  <w:style w:type="numbering" w:customStyle="1" w:styleId="Estilo3">
    <w:name w:val="Estilo3"/>
    <w:uiPriority w:val="99"/>
    <w:rsid w:val="001B000C"/>
    <w:pPr>
      <w:numPr>
        <w:numId w:val="29"/>
      </w:numPr>
    </w:pPr>
  </w:style>
  <w:style w:type="paragraph" w:customStyle="1" w:styleId="Contrato-Alnea">
    <w:name w:val="Contrato - Alínea"/>
    <w:basedOn w:val="Contrato-Normal"/>
    <w:qFormat/>
    <w:rsid w:val="001B000C"/>
  </w:style>
  <w:style w:type="paragraph" w:customStyle="1" w:styleId="Contrato-Item">
    <w:name w:val="Contrato - Item"/>
    <w:basedOn w:val="Contrato-Normal"/>
    <w:qFormat/>
    <w:rsid w:val="001B000C"/>
  </w:style>
  <w:style w:type="paragraph" w:customStyle="1" w:styleId="Contrato-Assinaturas">
    <w:name w:val="Contrato - Assinaturas"/>
    <w:basedOn w:val="Contrato-Normal"/>
    <w:qFormat/>
    <w:rsid w:val="001B000C"/>
  </w:style>
  <w:style w:type="paragraph" w:customStyle="1" w:styleId="Contrato-Anexo">
    <w:name w:val="Contrato - Anexo"/>
    <w:basedOn w:val="Contrato-Clausula-Nvel1"/>
    <w:qFormat/>
    <w:rsid w:val="001B000C"/>
    <w:pPr>
      <w:pageBreakBefore/>
      <w:numPr>
        <w:numId w:val="0"/>
      </w:numPr>
      <w:spacing w:after="600"/>
    </w:pPr>
  </w:style>
  <w:style w:type="paragraph" w:customStyle="1" w:styleId="Contrato-Anexo-Tabela">
    <w:name w:val="Contrato - Anexo - Tabela"/>
    <w:basedOn w:val="Normal"/>
    <w:qFormat/>
    <w:rsid w:val="001B000C"/>
    <w:pPr>
      <w:jc w:val="center"/>
    </w:pPr>
    <w:rPr>
      <w:rFonts w:ascii="Arial" w:hAnsi="Arial" w:cs="Arial"/>
      <w:b/>
    </w:rPr>
  </w:style>
  <w:style w:type="paragraph" w:customStyle="1" w:styleId="Contrato-Notatabela">
    <w:name w:val="Contrato - Nota tabela"/>
    <w:basedOn w:val="Contrato-Normal"/>
    <w:qFormat/>
    <w:rsid w:val="001B000C"/>
    <w:rPr>
      <w:sz w:val="20"/>
      <w:szCs w:val="20"/>
    </w:rPr>
  </w:style>
  <w:style w:type="paragraph" w:customStyle="1" w:styleId="Contrato-Cabealho">
    <w:name w:val="Contrato - Cabeçalho"/>
    <w:basedOn w:val="Cabealho"/>
    <w:qFormat/>
    <w:rsid w:val="001B000C"/>
    <w:pPr>
      <w:tabs>
        <w:tab w:val="clear" w:pos="4252"/>
        <w:tab w:val="clear" w:pos="8504"/>
        <w:tab w:val="center" w:pos="4419"/>
        <w:tab w:val="right" w:pos="8838"/>
      </w:tabs>
    </w:pPr>
    <w:rPr>
      <w:rFonts w:ascii="Arial" w:hAnsi="Arial" w:cs="Arial"/>
      <w:sz w:val="16"/>
      <w:szCs w:val="16"/>
    </w:rPr>
  </w:style>
  <w:style w:type="paragraph" w:customStyle="1" w:styleId="Contrato-Rodap">
    <w:name w:val="Contrato - Rodapé"/>
    <w:basedOn w:val="Rodap"/>
    <w:qFormat/>
    <w:rsid w:val="001B000C"/>
    <w:pPr>
      <w:pBdr>
        <w:top w:val="single" w:sz="4" w:space="1" w:color="auto"/>
      </w:pBdr>
      <w:tabs>
        <w:tab w:val="clear" w:pos="4252"/>
        <w:tab w:val="clear" w:pos="8504"/>
        <w:tab w:val="center" w:pos="4320"/>
        <w:tab w:val="right" w:pos="9401"/>
      </w:tabs>
      <w:jc w:val="right"/>
    </w:pPr>
    <w:rPr>
      <w:rFonts w:ascii="Arial" w:hAnsi="Arial" w:cs="Arial"/>
      <w:sz w:val="16"/>
      <w:szCs w:val="16"/>
    </w:rPr>
  </w:style>
  <w:style w:type="paragraph" w:customStyle="1" w:styleId="Contrato-Clausula">
    <w:name w:val="Contrato - Clausula"/>
    <w:basedOn w:val="Contrato-Pargrafo-Nvel2"/>
    <w:next w:val="Contrato-Normal"/>
    <w:qFormat/>
    <w:rsid w:val="001B000C"/>
    <w:pPr>
      <w:keepNext/>
      <w:spacing w:after="600"/>
      <w:ind w:left="357" w:hanging="357"/>
      <w:jc w:val="center"/>
    </w:pPr>
    <w:rPr>
      <w:b/>
      <w:caps/>
    </w:rPr>
  </w:style>
  <w:style w:type="paragraph" w:customStyle="1" w:styleId="Contrato-Pargrafo-Nvel2">
    <w:name w:val="Contrato - Parágrafo - Nível 2"/>
    <w:basedOn w:val="Normal"/>
    <w:qFormat/>
    <w:rsid w:val="001B000C"/>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1B000C"/>
    <w:pPr>
      <w:ind w:left="1276" w:hanging="709"/>
    </w:pPr>
  </w:style>
  <w:style w:type="paragraph" w:customStyle="1" w:styleId="Contrato-Pargrafo-Nvel4">
    <w:name w:val="Contrato - Parágrafo - Nível 4"/>
    <w:basedOn w:val="Contrato-Pargrafo-Nvel3"/>
    <w:qFormat/>
    <w:rsid w:val="001B000C"/>
    <w:pPr>
      <w:ind w:left="2268" w:hanging="992"/>
    </w:pPr>
  </w:style>
  <w:style w:type="paragraph" w:customStyle="1" w:styleId="Edital-Alnea">
    <w:name w:val="Edital - Alínea"/>
    <w:basedOn w:val="Normal"/>
    <w:qFormat/>
    <w:rsid w:val="001B000C"/>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1B000C"/>
    <w:pPr>
      <w:numPr>
        <w:numId w:val="27"/>
      </w:numPr>
    </w:pPr>
  </w:style>
  <w:style w:type="paragraph" w:customStyle="1" w:styleId="Contrato-Clausula-Nvel3-1dezena">
    <w:name w:val="Contrato - Clausula - Nível 3 - 1 dezena"/>
    <w:basedOn w:val="Contrato-Clausula-Nvel3"/>
    <w:qFormat/>
    <w:rsid w:val="001B000C"/>
    <w:pPr>
      <w:numPr>
        <w:numId w:val="27"/>
      </w:numPr>
      <w:ind w:left="1304" w:hanging="737"/>
    </w:pPr>
  </w:style>
  <w:style w:type="paragraph" w:customStyle="1" w:styleId="Contrato-Clausula-Nivel3-2dezenas">
    <w:name w:val="Contrato - Clausula - Nivel 3 - 2 dezenas"/>
    <w:basedOn w:val="Contrato-Clausula-Nvel3-1dezena"/>
    <w:qFormat/>
    <w:rsid w:val="001B000C"/>
    <w:pPr>
      <w:ind w:left="1588" w:hanging="879"/>
    </w:pPr>
  </w:style>
  <w:style w:type="paragraph" w:customStyle="1" w:styleId="Contrato-Clausula-Nivel2-2dezenas">
    <w:name w:val="Contrato - Clausula - Nivel 2 - 2 dezenas"/>
    <w:basedOn w:val="Contrato-Clausula-Nvel2-1dezena"/>
    <w:qFormat/>
    <w:rsid w:val="001B000C"/>
    <w:pPr>
      <w:ind w:left="709" w:hanging="709"/>
    </w:pPr>
  </w:style>
  <w:style w:type="paragraph" w:customStyle="1" w:styleId="Contrato-Clausula-Nvel4-1dezena">
    <w:name w:val="Contrato - Clausula - Nível 4 - 1 dezena"/>
    <w:basedOn w:val="Contrato-Clausula-Nvel4"/>
    <w:qFormat/>
    <w:rsid w:val="001B000C"/>
    <w:pPr>
      <w:numPr>
        <w:numId w:val="27"/>
      </w:numPr>
      <w:ind w:left="2240" w:hanging="964"/>
    </w:pPr>
  </w:style>
  <w:style w:type="paragraph" w:customStyle="1" w:styleId="Edital-Corpodetexto">
    <w:name w:val="Edital - Corpo de texto"/>
    <w:basedOn w:val="Normal"/>
    <w:qFormat/>
    <w:rsid w:val="001B000C"/>
    <w:pPr>
      <w:spacing w:line="360" w:lineRule="auto"/>
      <w:ind w:firstLine="709"/>
      <w:jc w:val="both"/>
    </w:pPr>
    <w:rPr>
      <w:rFonts w:ascii="Arial" w:hAnsi="Arial" w:cs="Arial"/>
      <w:sz w:val="22"/>
    </w:rPr>
  </w:style>
  <w:style w:type="character" w:customStyle="1" w:styleId="LegendaChar">
    <w:name w:val="Legenda Char"/>
    <w:aliases w:val="Tit - Anexo Char"/>
    <w:basedOn w:val="Fontepargpadro"/>
    <w:link w:val="Legenda"/>
    <w:uiPriority w:val="35"/>
    <w:rsid w:val="001B000C"/>
    <w:rPr>
      <w:rFonts w:ascii="Arial" w:hAnsi="Arial"/>
      <w:szCs w:val="20"/>
      <w:lang w:eastAsia="pt-BR"/>
    </w:rPr>
  </w:style>
  <w:style w:type="paragraph" w:customStyle="1" w:styleId="Edital-Subalnea-">
    <w:name w:val="Edital - Subalínea (-)"/>
    <w:basedOn w:val="Normal"/>
    <w:qFormat/>
    <w:rsid w:val="001B000C"/>
    <w:pPr>
      <w:numPr>
        <w:numId w:val="32"/>
      </w:numPr>
      <w:spacing w:line="360" w:lineRule="auto"/>
      <w:jc w:val="both"/>
    </w:pPr>
    <w:rPr>
      <w:rFonts w:ascii="Arial" w:hAnsi="Arial" w:cs="Arial"/>
      <w:sz w:val="22"/>
    </w:rPr>
  </w:style>
  <w:style w:type="paragraph" w:customStyle="1" w:styleId="Edital-CT">
    <w:name w:val="Edital - CT"/>
    <w:link w:val="Edital-CTChar"/>
    <w:qFormat/>
    <w:rsid w:val="001B000C"/>
    <w:pPr>
      <w:spacing w:before="240" w:after="120" w:line="288" w:lineRule="auto"/>
    </w:pPr>
    <w:rPr>
      <w:rFonts w:ascii="Arial" w:hAnsi="Arial" w:cs="Arial"/>
      <w:sz w:val="22"/>
      <w:szCs w:val="20"/>
      <w:lang w:eastAsia="pt-BR"/>
    </w:rPr>
  </w:style>
  <w:style w:type="character" w:customStyle="1" w:styleId="Edital-CTChar">
    <w:name w:val="Edital - CT Char"/>
    <w:basedOn w:val="Fontepargpadro"/>
    <w:link w:val="Edital-CT"/>
    <w:rsid w:val="001B000C"/>
    <w:rPr>
      <w:rFonts w:ascii="Arial" w:hAnsi="Arial" w:cs="Arial"/>
      <w:sz w:val="22"/>
      <w:szCs w:val="20"/>
      <w:lang w:eastAsia="pt-BR"/>
    </w:rPr>
  </w:style>
  <w:style w:type="paragraph" w:styleId="SemEspaamento">
    <w:name w:val="No Spacing"/>
    <w:basedOn w:val="Normal"/>
    <w:uiPriority w:val="1"/>
    <w:qFormat/>
    <w:rsid w:val="001B000C"/>
    <w:rPr>
      <w:rFonts w:eastAsiaTheme="minorHAnsi"/>
      <w:sz w:val="24"/>
      <w:szCs w:val="24"/>
    </w:rPr>
  </w:style>
  <w:style w:type="paragraph" w:customStyle="1" w:styleId="CTO-NumClau">
    <w:name w:val="CTO - Num. Clau."/>
    <w:basedOn w:val="Normal"/>
    <w:next w:val="Normal"/>
    <w:qFormat/>
    <w:rsid w:val="001B000C"/>
    <w:pPr>
      <w:spacing w:before="240" w:after="360"/>
      <w:ind w:left="4394"/>
      <w:jc w:val="center"/>
      <w:outlineLvl w:val="1"/>
    </w:pPr>
    <w:rPr>
      <w:rFonts w:ascii="Arial" w:hAnsi="Arial"/>
      <w:b/>
      <w:caps/>
      <w:sz w:val="22"/>
    </w:rPr>
  </w:style>
  <w:style w:type="paragraph" w:customStyle="1" w:styleId="CTO-TtCap">
    <w:name w:val="CTO - Tít. Cap."/>
    <w:basedOn w:val="Normal"/>
    <w:next w:val="CTO-NumClau"/>
    <w:qFormat/>
    <w:rsid w:val="001B000C"/>
    <w:pPr>
      <w:pageBreakBefore/>
      <w:spacing w:before="360" w:after="80"/>
      <w:ind w:left="2694"/>
      <w:jc w:val="center"/>
      <w:outlineLvl w:val="0"/>
    </w:pPr>
    <w:rPr>
      <w:rFonts w:ascii="Arial" w:hAnsi="Arial"/>
      <w:b/>
      <w:caps/>
      <w:sz w:val="22"/>
    </w:rPr>
  </w:style>
  <w:style w:type="paragraph" w:customStyle="1" w:styleId="CTO-TxtClau-N1">
    <w:name w:val="CTO - Txt Clau - N1"/>
    <w:basedOn w:val="Normal"/>
    <w:qFormat/>
    <w:rsid w:val="001B000C"/>
    <w:pPr>
      <w:spacing w:before="200" w:after="200"/>
      <w:ind w:left="1531" w:hanging="680"/>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2A371-50AC-4E34-989A-1D592225A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18138</Words>
  <Characters>97951</Characters>
  <Application>Microsoft Office Word</Application>
  <DocSecurity>0</DocSecurity>
  <Lines>816</Lines>
  <Paragraphs>231</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115858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Peçanha</dc:creator>
  <cp:lastModifiedBy>Ana Lúcia</cp:lastModifiedBy>
  <cp:revision>2</cp:revision>
  <cp:lastPrinted>2017-12-18T19:04:00Z</cp:lastPrinted>
  <dcterms:created xsi:type="dcterms:W3CDTF">2017-12-18T22:29:00Z</dcterms:created>
  <dcterms:modified xsi:type="dcterms:W3CDTF">2017-12-18T22:29:00Z</dcterms:modified>
</cp:coreProperties>
</file>