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Instruções para preenchimento do formulário:</w:t>
      </w:r>
    </w:p>
    <w:p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campo </w:t>
      </w:r>
      <w:r>
        <w:rPr>
          <w:rFonts w:ascii="Arial" w:hAnsi="Arial" w:cs="Arial"/>
          <w:sz w:val="24"/>
          <w:szCs w:val="24"/>
          <w:u w:val="single"/>
        </w:rPr>
        <w:t>Documento</w:t>
      </w:r>
      <w:r>
        <w:rPr>
          <w:rFonts w:ascii="Arial" w:hAnsi="Arial" w:cs="Arial"/>
          <w:sz w:val="24"/>
          <w:szCs w:val="24"/>
        </w:rPr>
        <w:t xml:space="preserve">, deve ser especificado o instrumento licitatório para o qual está sendo sugerida modificação. Neste campo, deve-se digitar apenas </w:t>
      </w:r>
      <w:r>
        <w:rPr>
          <w:rFonts w:ascii="Arial" w:hAnsi="Arial" w:cs="Arial"/>
          <w:sz w:val="24"/>
          <w:szCs w:val="24"/>
          <w:u w:val="single"/>
        </w:rPr>
        <w:t>pré-edital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u w:val="single"/>
        </w:rPr>
        <w:t>minuta do contrato</w:t>
      </w:r>
      <w:r>
        <w:rPr>
          <w:rFonts w:ascii="Arial" w:hAnsi="Arial" w:cs="Arial"/>
          <w:sz w:val="24"/>
          <w:szCs w:val="24"/>
        </w:rPr>
        <w:t>;</w:t>
      </w:r>
    </w:p>
    <w:p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campo </w:t>
      </w:r>
      <w:r>
        <w:rPr>
          <w:rFonts w:ascii="Arial" w:hAnsi="Arial" w:cs="Arial"/>
          <w:sz w:val="24"/>
          <w:szCs w:val="24"/>
          <w:u w:val="single"/>
        </w:rPr>
        <w:t>Natureza da sugestão</w:t>
      </w:r>
      <w:r>
        <w:rPr>
          <w:rFonts w:ascii="Arial" w:hAnsi="Arial" w:cs="Arial"/>
          <w:sz w:val="24"/>
          <w:szCs w:val="24"/>
        </w:rPr>
        <w:t xml:space="preserve">, deve ser indicado se a sugestão proposta é de </w:t>
      </w:r>
      <w:r>
        <w:rPr>
          <w:rFonts w:ascii="Arial" w:hAnsi="Arial" w:cs="Arial"/>
          <w:sz w:val="24"/>
          <w:szCs w:val="24"/>
          <w:u w:val="single"/>
        </w:rPr>
        <w:t>Inclusão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u w:val="single"/>
        </w:rPr>
        <w:t>Alteração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u w:val="single"/>
        </w:rPr>
        <w:t>Exclusão</w:t>
      </w:r>
      <w:r>
        <w:rPr>
          <w:rFonts w:ascii="Arial" w:hAnsi="Arial" w:cs="Arial"/>
          <w:sz w:val="24"/>
          <w:szCs w:val="24"/>
        </w:rPr>
        <w:t>;</w:t>
      </w:r>
    </w:p>
    <w:p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campo </w:t>
      </w:r>
      <w:r>
        <w:rPr>
          <w:rFonts w:ascii="Arial" w:hAnsi="Arial" w:cs="Arial"/>
          <w:sz w:val="24"/>
          <w:szCs w:val="24"/>
          <w:u w:val="single"/>
        </w:rPr>
        <w:t>Item</w:t>
      </w:r>
      <w:r>
        <w:rPr>
          <w:rFonts w:ascii="Arial" w:hAnsi="Arial" w:cs="Arial"/>
          <w:sz w:val="24"/>
          <w:szCs w:val="24"/>
        </w:rPr>
        <w:t xml:space="preserve">, deve ser discriminado o item do pré-edital, ou a cláusula da minuta do contrato, ou, ainda, o anexo para o qual está sendo sugerida modificação. Neste campo, deve-se digitar apenas o </w:t>
      </w:r>
      <w:r>
        <w:rPr>
          <w:rFonts w:ascii="Arial" w:hAnsi="Arial" w:cs="Arial"/>
          <w:sz w:val="24"/>
          <w:szCs w:val="24"/>
          <w:u w:val="single"/>
        </w:rPr>
        <w:t>número do item</w:t>
      </w:r>
      <w:r>
        <w:rPr>
          <w:rFonts w:ascii="Arial" w:hAnsi="Arial" w:cs="Arial"/>
          <w:sz w:val="24"/>
          <w:szCs w:val="24"/>
        </w:rPr>
        <w:t xml:space="preserve"> ou o </w:t>
      </w:r>
      <w:r>
        <w:rPr>
          <w:rFonts w:ascii="Arial" w:hAnsi="Arial" w:cs="Arial"/>
          <w:sz w:val="24"/>
          <w:szCs w:val="24"/>
          <w:u w:val="single"/>
        </w:rPr>
        <w:t>número da cláusula</w:t>
      </w:r>
      <w:r>
        <w:rPr>
          <w:rFonts w:ascii="Arial" w:hAnsi="Arial" w:cs="Arial"/>
          <w:sz w:val="24"/>
          <w:szCs w:val="24"/>
        </w:rPr>
        <w:t xml:space="preserve">, sem detalhar o seu título. No caso de sugestão à anexo, deve-se incluir o </w:t>
      </w:r>
      <w:r>
        <w:rPr>
          <w:rFonts w:ascii="Arial" w:hAnsi="Arial" w:cs="Arial"/>
          <w:sz w:val="24"/>
          <w:szCs w:val="24"/>
          <w:u w:val="single"/>
        </w:rPr>
        <w:t>número do anexo</w:t>
      </w:r>
      <w:r>
        <w:rPr>
          <w:rFonts w:ascii="Arial" w:hAnsi="Arial" w:cs="Arial"/>
          <w:sz w:val="24"/>
          <w:szCs w:val="24"/>
        </w:rPr>
        <w:t xml:space="preserve"> e o </w:t>
      </w:r>
      <w:r>
        <w:rPr>
          <w:rFonts w:ascii="Arial" w:hAnsi="Arial" w:cs="Arial"/>
          <w:sz w:val="24"/>
          <w:szCs w:val="24"/>
          <w:u w:val="single"/>
        </w:rPr>
        <w:t>número do item</w:t>
      </w:r>
      <w:r>
        <w:rPr>
          <w:rFonts w:ascii="Arial" w:hAnsi="Arial" w:cs="Arial"/>
          <w:sz w:val="24"/>
          <w:szCs w:val="24"/>
        </w:rPr>
        <w:t xml:space="preserve"> objeto da sugestão, caso existente. Caso a sugestão seja de </w:t>
      </w:r>
      <w:r>
        <w:rPr>
          <w:rFonts w:ascii="Arial" w:hAnsi="Arial" w:cs="Arial"/>
          <w:sz w:val="24"/>
          <w:szCs w:val="24"/>
          <w:u w:val="single"/>
        </w:rPr>
        <w:t>Inclusão</w:t>
      </w:r>
      <w:r>
        <w:rPr>
          <w:rFonts w:ascii="Arial" w:hAnsi="Arial" w:cs="Arial"/>
          <w:sz w:val="24"/>
          <w:szCs w:val="24"/>
        </w:rPr>
        <w:t>, deve-se especificar o número que o item ou a cláusula teria caso a sugestão fosse acatada pela ANP;</w:t>
      </w:r>
    </w:p>
    <w:p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campo </w:t>
      </w:r>
      <w:r>
        <w:rPr>
          <w:rFonts w:ascii="Arial" w:hAnsi="Arial" w:cs="Arial"/>
          <w:sz w:val="24"/>
          <w:szCs w:val="24"/>
          <w:u w:val="single"/>
        </w:rPr>
        <w:t>Proposta de alteração</w:t>
      </w:r>
      <w:r>
        <w:rPr>
          <w:rFonts w:ascii="Arial" w:hAnsi="Arial" w:cs="Arial"/>
          <w:sz w:val="24"/>
          <w:szCs w:val="24"/>
        </w:rPr>
        <w:t xml:space="preserve">, deve ser redigida a redação proposta para o item, em sua versão final. Não se deve usar texto tachado, negrito, sublinhado ou destacado em cores. Caso a sugestão seja de </w:t>
      </w:r>
      <w:r>
        <w:rPr>
          <w:rFonts w:ascii="Arial" w:hAnsi="Arial" w:cs="Arial"/>
          <w:sz w:val="24"/>
          <w:szCs w:val="24"/>
          <w:u w:val="single"/>
        </w:rPr>
        <w:t>Exclusão</w:t>
      </w:r>
      <w:r>
        <w:rPr>
          <w:rFonts w:ascii="Arial" w:hAnsi="Arial" w:cs="Arial"/>
          <w:sz w:val="24"/>
          <w:szCs w:val="24"/>
        </w:rPr>
        <w:t>, deve-se deixar o campo em branco;</w:t>
      </w:r>
    </w:p>
    <w:p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campo </w:t>
      </w:r>
      <w:r>
        <w:rPr>
          <w:rFonts w:ascii="Arial" w:hAnsi="Arial" w:cs="Arial"/>
          <w:sz w:val="24"/>
          <w:szCs w:val="24"/>
          <w:u w:val="single"/>
        </w:rPr>
        <w:t>Justificativa</w:t>
      </w:r>
      <w:r>
        <w:rPr>
          <w:rFonts w:ascii="Arial" w:hAnsi="Arial" w:cs="Arial"/>
          <w:sz w:val="24"/>
          <w:szCs w:val="24"/>
        </w:rPr>
        <w:t xml:space="preserve">, deve ser descrita a justificativa para a sugestão proposta. 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Exemplo de preenchimento do formulário de comentários e sugestões:</w:t>
      </w:r>
    </w:p>
    <w:p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536"/>
        <w:gridCol w:w="1522"/>
        <w:gridCol w:w="1522"/>
        <w:gridCol w:w="4951"/>
        <w:gridCol w:w="4645"/>
      </w:tblGrid>
      <w:tr>
        <w:trPr>
          <w:trHeight w:val="1701"/>
          <w:tblHeader/>
        </w:trPr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>
        <w:trPr>
          <w:trHeight w:val="1701"/>
        </w:trPr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II – 3.2.1</w:t>
            </w:r>
          </w:p>
        </w:tc>
        <w:tc>
          <w:tcPr>
            <w:tcW w:w="1747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>
        <w:trPr>
          <w:trHeight w:val="1701"/>
        </w:trPr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</w:p>
    <w:p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Instruções para envio do formulário:</w:t>
      </w:r>
    </w:p>
    <w:p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  <w:r>
        <w:rPr>
          <w:rFonts w:cs="Arial"/>
          <w:szCs w:val="24"/>
        </w:rPr>
        <w:t xml:space="preserve">Após o preenchimento deste formulário, remeta-o à Agência Nacional do Petróleo, Gás Natural e Biocombustíveis (ANP) até às </w:t>
      </w:r>
      <w:r>
        <w:rPr>
          <w:rFonts w:cs="Arial"/>
          <w:b/>
          <w:szCs w:val="24"/>
        </w:rPr>
        <w:t xml:space="preserve">18 horas do </w:t>
      </w:r>
      <w:r>
        <w:rPr>
          <w:rFonts w:eastAsia="PMingLiU" w:cs="Arial"/>
          <w:b/>
          <w:color w:val="000000"/>
          <w:szCs w:val="24"/>
        </w:rPr>
        <w:t xml:space="preserve">dia 18 de dezembro de 2017 </w:t>
      </w:r>
      <w:r>
        <w:rPr>
          <w:rFonts w:cs="Arial"/>
          <w:szCs w:val="24"/>
        </w:rPr>
        <w:t>pelo</w:t>
      </w:r>
      <w:r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 xml:space="preserve">e-mail </w:t>
      </w:r>
      <w:hyperlink r:id="rId8" w:history="1">
        <w:r>
          <w:rPr>
            <w:rStyle w:val="Hyperlink"/>
            <w:rFonts w:cs="Arial"/>
            <w:szCs w:val="24"/>
          </w:rPr>
          <w:t>rodadas@anp.gov.br</w:t>
        </w:r>
      </w:hyperlink>
      <w:r>
        <w:rPr>
          <w:rFonts w:cs="Arial"/>
          <w:szCs w:val="24"/>
        </w:rPr>
        <w:t xml:space="preserve">. </w:t>
      </w:r>
      <w:r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  <w:r>
        <w:rPr>
          <w:rFonts w:cs="Arial"/>
          <w:b/>
          <w:szCs w:val="24"/>
        </w:rPr>
        <w:br w:type="page"/>
      </w:r>
    </w:p>
    <w:p>
      <w:pPr>
        <w:spacing w:before="120"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>FORMULÁRIO DE COMENTÁRIOS E SUGESTÕES</w:t>
      </w:r>
    </w:p>
    <w:p>
      <w:pPr>
        <w:pStyle w:val="Caption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 xml:space="preserve">CONSULTA PÚBLICA Nº </w:t>
      </w:r>
      <w:bookmarkStart w:id="0" w:name="_GoBack"/>
      <w:bookmarkEnd w:id="0"/>
      <w:r>
        <w:rPr>
          <w:rFonts w:cs="Arial"/>
        </w:rPr>
        <w:t>25/2017</w:t>
      </w:r>
    </w:p>
    <w:p>
      <w:pPr>
        <w:pStyle w:val="Caption"/>
        <w:jc w:val="both"/>
        <w:rPr>
          <w:rFonts w:cs="Arial"/>
          <w:b/>
          <w:szCs w:val="24"/>
        </w:rPr>
      </w:pPr>
    </w:p>
    <w:p>
      <w:pPr>
        <w:pStyle w:val="Caption"/>
        <w:jc w:val="both"/>
        <w:rPr>
          <w:rFonts w:cs="Arial"/>
          <w:b/>
          <w:szCs w:val="24"/>
        </w:rPr>
      </w:pPr>
    </w:p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1536"/>
        <w:gridCol w:w="1523"/>
        <w:gridCol w:w="1523"/>
        <w:gridCol w:w="4950"/>
        <w:gridCol w:w="4644"/>
      </w:tblGrid>
      <w:tr>
        <w:trPr>
          <w:trHeight w:val="850"/>
          <w:tblHeader/>
        </w:trPr>
        <w:tc>
          <w:tcPr>
            <w:tcW w:w="542" w:type="pct"/>
            <w:tcBorders>
              <w:bottom w:val="dashSmallGap" w:sz="4" w:space="0" w:color="BFBFBF" w:themeColor="background1" w:themeShade="BF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7" w:type="pct"/>
            <w:tcBorders>
              <w:bottom w:val="dashSmallGap" w:sz="4" w:space="0" w:color="BFBFBF" w:themeColor="background1" w:themeShade="BF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7" w:type="pct"/>
            <w:tcBorders>
              <w:bottom w:val="dashSmallGap" w:sz="4" w:space="0" w:color="BFBFBF" w:themeColor="background1" w:themeShade="BF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6" w:type="pct"/>
            <w:tcBorders>
              <w:bottom w:val="dashSmallGap" w:sz="4" w:space="0" w:color="BFBFBF" w:themeColor="background1" w:themeShade="BF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8" w:type="pct"/>
            <w:tcBorders>
              <w:bottom w:val="dashSmallGap" w:sz="4" w:space="0" w:color="BFBFBF" w:themeColor="background1" w:themeShade="BF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>
        <w:trPr>
          <w:trHeight w:val="2268"/>
        </w:trPr>
        <w:tc>
          <w:tcPr>
            <w:tcW w:w="542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de Contrato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5.16.</w:t>
            </w:r>
          </w:p>
        </w:tc>
        <w:tc>
          <w:tcPr>
            <w:tcW w:w="1746" w:type="pct"/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5.16 Executado o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PEM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e não havendo Descoberta ao término da Fase de Exploração ou que a Descoberta seja tal que sua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comercialidade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dependa de Descobertas adicionais, o Concessionário poderá apresentar programa de trabalhos adicionais com pedido de prorrogação da Fase de Exploração pelo prazo necessário à execução dessas atividades, cabendo à ANP manifestar se tem interesse nas atividades e definir o prazo.</w:t>
            </w:r>
          </w:p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8" w:type="pct"/>
            <w:vAlign w:val="center"/>
          </w:tcPr>
          <w:p>
            <w:pPr>
              <w:pStyle w:val="CommentTex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Permitirá novos investimentos exploratórios na área para elevação do conhecimento da Bacia e continuidade da exploração possibilitando descobertas que sejam necessárias para a Declaração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Comercialidade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nos termos do parágrafo 8.5, “b)” . Não se trata de instituto novo, pois já aplicado aos contratos de partilha.</w:t>
            </w:r>
          </w:p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>
        <w:trPr>
          <w:trHeight w:val="2268"/>
        </w:trPr>
        <w:tc>
          <w:tcPr>
            <w:tcW w:w="542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de Contrato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5.18.</w:t>
            </w:r>
          </w:p>
        </w:tc>
        <w:tc>
          <w:tcPr>
            <w:tcW w:w="1746" w:type="pct"/>
            <w:vAlign w:val="center"/>
          </w:tcPr>
          <w:p>
            <w:pPr>
              <w:pStyle w:val="Caption"/>
              <w:ind w:left="720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c) propor a realização de um programa de trabalhos adicionais para continuidade das atividades exploratórias; ou</w:t>
            </w:r>
          </w:p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8" w:type="pct"/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Em linha com a sugestão do parágrafo 5.16.</w:t>
            </w:r>
          </w:p>
        </w:tc>
      </w:tr>
      <w:tr>
        <w:trPr>
          <w:trHeight w:val="2268"/>
        </w:trPr>
        <w:tc>
          <w:tcPr>
            <w:tcW w:w="542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de Contrato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6.10.1.</w:t>
            </w:r>
          </w:p>
        </w:tc>
        <w:tc>
          <w:tcPr>
            <w:tcW w:w="1746" w:type="pct"/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6.10.1 A atualização incidirá apenas sobre o valor das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UT’s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ainda não executadas pelos concessionários até a data da renovação da garantia.</w:t>
            </w:r>
          </w:p>
        </w:tc>
        <w:tc>
          <w:tcPr>
            <w:tcW w:w="1638" w:type="pct"/>
            <w:vAlign w:val="center"/>
          </w:tcPr>
          <w:p>
            <w:pPr>
              <w:pStyle w:val="CommentTex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Como a redução da garantia só pode ser deferida a cada 20% cumprido (6.15.2), essa disposição permitirá que mesmo quando não seja cumprido 20%, os valor do percentual já executado seja deduzido antes de se exigir a elevação da garantia.</w:t>
            </w:r>
          </w:p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>
        <w:trPr>
          <w:trHeight w:val="2268"/>
        </w:trPr>
        <w:tc>
          <w:tcPr>
            <w:tcW w:w="542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de Contrato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6.17.2.</w:t>
            </w:r>
          </w:p>
        </w:tc>
        <w:tc>
          <w:tcPr>
            <w:tcW w:w="1746" w:type="pct"/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6.17.2. O pagamento do valor correspondente à parcela do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PEM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não executado por qualquer dos integrantes do consórcio, sub-roga-o nos direitos e garantias apresentados pelo consorciado devedor, nos termos do parágrafo único do art. 259 c/c art. 246, inciso III, do Código Civil. </w:t>
            </w:r>
          </w:p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8" w:type="pct"/>
            <w:vAlign w:val="center"/>
          </w:tcPr>
          <w:p>
            <w:pPr>
              <w:pStyle w:val="CommentTex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Dará mais segurança aos consorciados em formarem parcerias e de exigirem garantias idôneas para a parcela devida pelo consorciado à ANP, pois se forem demandados diretamente, poderão sub-rogar-se nos direitos e garantias da ANP.</w:t>
            </w:r>
          </w:p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>
        <w:trPr>
          <w:trHeight w:val="2268"/>
        </w:trPr>
        <w:tc>
          <w:tcPr>
            <w:tcW w:w="542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de Contrato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30.4.3.1</w:t>
            </w:r>
          </w:p>
        </w:tc>
        <w:tc>
          <w:tcPr>
            <w:tcW w:w="1746" w:type="pct"/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30.4.3.1 A resolução do contrato em relação ao consorciado inadimplente não o exonera das garantias prestadas por obrigações devidas, podendo a ANP executá-las ou exigir o cumprimento da obrigação dos demais consorciados, ficando estes sub-rogados na garantia do consorciado exonerado, nos termos do parágrafo único do art. 259 c/c art. 246, inciso III, do Código Civil</w:t>
            </w:r>
          </w:p>
        </w:tc>
        <w:tc>
          <w:tcPr>
            <w:tcW w:w="1638" w:type="pct"/>
            <w:vAlign w:val="center"/>
          </w:tcPr>
          <w:p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Em linha com a sugestão contida no parágrafo 6.17.2, dará mais segurança aos consorciados em formarem parcerias e de exigirem garantias idôneas para a parcela devida pelo consorciado à ANP, pois poderão executar as obrigações solidárias e ter uma garantia para executar o valor que for cumprido em seu lugar. Caso a ANP prefira executar a garantia, permitirá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excepcionalmente</w:t>
            </w:r>
            <w:r>
              <w:rPr>
                <w:rFonts w:ascii="Arial" w:hAnsi="Arial" w:cs="Arial"/>
                <w:sz w:val="24"/>
                <w:szCs w:val="24"/>
              </w:rPr>
              <w:t xml:space="preserve"> a redução proporcional 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em virtude da exclusão do consorciado.</w:t>
            </w:r>
          </w:p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>
        <w:trPr>
          <w:trHeight w:val="2268"/>
        </w:trPr>
        <w:tc>
          <w:tcPr>
            <w:tcW w:w="542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7" w:type="pct"/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3.1</w:t>
            </w:r>
          </w:p>
        </w:tc>
        <w:tc>
          <w:tcPr>
            <w:tcW w:w="1746" w:type="pct"/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 da obrigatoriedade de registro dos documentos estrangeiros no Registro de Títulos e Documentos (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RTD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). </w:t>
            </w:r>
          </w:p>
        </w:tc>
        <w:tc>
          <w:tcPr>
            <w:tcW w:w="1638" w:type="pct"/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Em linha com os princípios de racionalização dos métodos e procedimentos de controle, bem como da  eliminação de formalidades e exigências cujo custo econômico seja superior aos riscos envolvidos previstos no Decreto nº 9.094/2017, sugerimos a exclusão da obrigatoriedade de registro de documentos estrangeiros no Registro de Títulos e Documentos (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RTD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). Ressaltamos que o registro no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RTD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não é requerido por outros entes da Administração Pública (ex: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CADE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) e somente passou a ser requerido pela ANP na 11ª Rodada. </w:t>
            </w:r>
          </w:p>
        </w:tc>
      </w:tr>
      <w:tr>
        <w:trPr>
          <w:trHeight w:val="2268"/>
        </w:trPr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3.1.1</w:t>
            </w:r>
          </w:p>
        </w:tc>
        <w:tc>
          <w:tcPr>
            <w:tcW w:w="1746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 do último parágrafo da página 18 do Pré-Edital.</w:t>
            </w:r>
          </w:p>
        </w:tc>
        <w:tc>
          <w:tcPr>
            <w:tcW w:w="1638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Não é razoável a solicitação de submissão de declaração de inexistência de documento previsto no pré-edital por instituição de direito público ou notário público, uma vez que pode ser impossível ou inexistente tal declaração no país de origem documento.</w:t>
            </w:r>
          </w:p>
        </w:tc>
      </w:tr>
      <w:tr>
        <w:trPr>
          <w:trHeight w:val="2268"/>
        </w:trPr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6.1.3</w:t>
            </w:r>
          </w:p>
        </w:tc>
        <w:tc>
          <w:tcPr>
            <w:tcW w:w="1746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bônus de assinatura corresponde ao montante, em reais (R$), ofertado para obtenção da concessão do bloco objeto da oferta e deverá ser pago, </w:t>
            </w:r>
            <w:r>
              <w:rPr>
                <w:rFonts w:cs="Arial"/>
                <w:b/>
                <w:color w:val="000000" w:themeColor="text1"/>
                <w:szCs w:val="24"/>
              </w:rPr>
              <w:t>por meio de transferência bancária</w:t>
            </w:r>
            <w:r>
              <w:rPr>
                <w:rFonts w:cs="Arial"/>
                <w:color w:val="000000" w:themeColor="text1"/>
                <w:szCs w:val="24"/>
              </w:rPr>
              <w:t>, pela licitante vencedora no prazo estabelecido pela ANP, como condição para a assinatura do contrato de concessão.</w:t>
            </w:r>
          </w:p>
        </w:tc>
        <w:tc>
          <w:tcPr>
            <w:tcW w:w="1638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Considerando que o pagamento da taxa de participação pode ser feito através de transferência bancária, é razoável que o pagamento do bônus de assinatura também possa ser feito desta forma, evitando-se, assim, o pagamento por meio de Guia de Recolhimento da União (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GRU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).</w:t>
            </w:r>
          </w:p>
        </w:tc>
      </w:tr>
      <w:tr>
        <w:trPr>
          <w:trHeight w:val="2268"/>
        </w:trPr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6.4.l)</w:t>
            </w:r>
          </w:p>
        </w:tc>
        <w:tc>
          <w:tcPr>
            <w:tcW w:w="1746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Exclusão da seguinte parte: “ou que utilizem recursos materiais, tecnológicos ou humanos em comum, exceto se demonstrado que não agem representando interesse societário em comum. Caso sejam identificadas licitantes que possam estar enquadradas nesta situação, a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CEL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decidirá se estas licitantes poderão fazer ofertas para os mesmos blocos, levando em conta a promoção da competitividade do certame”</w:t>
            </w:r>
          </w:p>
        </w:tc>
        <w:tc>
          <w:tcPr>
            <w:tcW w:w="1638" w:type="pct"/>
            <w:tcBorders>
              <w:bottom w:val="single" w:sz="4" w:space="0" w:color="auto"/>
            </w:tcBorders>
            <w:vAlign w:val="center"/>
          </w:tcPr>
          <w:p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utilização de recursos humanos (ex: consultoria) por mais de uma empresa não implica em prejuízo a concorrência da licitação. A análise caso a caso pela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CEL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pode resultar em insegurança jurídica para as empresas interessadas em participar do certame.</w:t>
            </w:r>
          </w:p>
        </w:tc>
      </w:tr>
    </w:tbl>
    <w:p>
      <w:pPr>
        <w:pStyle w:val="Caption"/>
        <w:spacing w:line="360" w:lineRule="auto"/>
        <w:jc w:val="both"/>
        <w:rPr>
          <w:rFonts w:cs="Arial"/>
          <w:szCs w:val="24"/>
          <w:u w:val="single"/>
        </w:rPr>
      </w:pPr>
    </w:p>
    <w:sectPr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right"/>
    </w:pPr>
    <w:fldSimple w:instr=" PAGE   \* MERGEFORMAT ">
      <w:r>
        <w:rPr>
          <w:noProof/>
        </w:rPr>
        <w:t>3</w:t>
      </w:r>
    </w:fldSimple>
  </w:p>
  <w:p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right"/>
    </w:pPr>
    <w:fldSimple w:instr=" PAGE   \* MERGEFORMAT ">
      <w:r>
        <w:rPr>
          <w:noProof/>
        </w:rPr>
        <w:t>1</w:t>
      </w:r>
    </w:fldSimple>
  </w:p>
  <w:p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/>
    </w:tblPr>
    <w:tblGrid>
      <w:gridCol w:w="8189"/>
      <w:gridCol w:w="6098"/>
    </w:tblGrid>
    <w:tr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>
          <w:pPr>
            <w:pStyle w:val="Header"/>
            <w:spacing w:before="240" w:after="240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152650" cy="1111435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R15_Portugues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6988" cy="11291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>
          <w:pPr>
            <w:pStyle w:val="Header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CONSULTA PÚBLICA Nº 25/2017</w:t>
          </w:r>
        </w:p>
        <w:p>
          <w:pPr>
            <w:pStyle w:val="Header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202CF"/>
    <w:multiLevelType w:val="hybridMultilevel"/>
    <w:tmpl w:val="DEF29E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idIDFlag" w:val="18/12/2017 13:49:20"/>
  </w:docVar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left"/>
    </w:pPr>
    <w:rPr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Pr>
      <w:rFonts w:ascii="Arial" w:hAnsi="Arial"/>
      <w:sz w:val="24"/>
    </w:rPr>
  </w:style>
  <w:style w:type="table" w:styleId="TableGrid">
    <w:name w:val="Table Grid"/>
    <w:basedOn w:val="TableNormal"/>
    <w:uiPriority w:val="59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eastAsia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eastAsia="Times New Roman" w:cs="Times New Roman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eastAsia="pt-BR"/>
    </w:rPr>
  </w:style>
  <w:style w:type="character" w:styleId="PlaceholderText">
    <w:name w:val="Placeholder Text"/>
    <w:basedOn w:val="DefaultParagraphFont"/>
    <w:uiPriority w:val="99"/>
    <w:semiHidden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semiHidden/>
    <w:unhideWhenUsed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rFonts w:cs="Times New Roman"/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CC97C-830E-47F9-AE70-1AC5F221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1097</Words>
  <Characters>5929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TCMB</cp:lastModifiedBy>
  <cp:revision>4</cp:revision>
  <cp:lastPrinted>2017-12-18T16:00:00Z</cp:lastPrinted>
  <dcterms:created xsi:type="dcterms:W3CDTF">2017-12-18T15:46:00Z</dcterms:created>
  <dcterms:modified xsi:type="dcterms:W3CDTF">2017-12-18T15:49:00Z</dcterms:modified>
</cp:coreProperties>
</file>