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 xml:space="preserve">ré-edital,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006A74" w:rsidRDefault="00006A74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615A7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 w:rsidR="00615A71">
              <w:rPr>
                <w:rFonts w:cs="Arial"/>
                <w:color w:val="000000" w:themeColor="text1"/>
                <w:szCs w:val="24"/>
              </w:rPr>
              <w:t>II</w:t>
            </w:r>
            <w:r w:rsidR="005C4925">
              <w:rPr>
                <w:rFonts w:cs="Arial"/>
                <w:color w:val="000000" w:themeColor="text1"/>
                <w:szCs w:val="24"/>
              </w:rPr>
              <w:t xml:space="preserve"> – </w:t>
            </w:r>
            <w:r w:rsidR="00615A71">
              <w:rPr>
                <w:rFonts w:cs="Arial"/>
                <w:color w:val="000000" w:themeColor="text1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6E3142" w:rsidRDefault="006E3142" w:rsidP="005A66BD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szCs w:val="24"/>
        </w:rPr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AB3B7A" w:rsidRPr="00AB3B7A">
        <w:rPr>
          <w:rFonts w:cs="Arial"/>
          <w:b/>
          <w:szCs w:val="24"/>
        </w:rPr>
        <w:t>18</w:t>
      </w:r>
      <w:r w:rsidR="009403DB" w:rsidRPr="009403DB">
        <w:rPr>
          <w:rFonts w:cs="Arial"/>
          <w:b/>
          <w:szCs w:val="24"/>
        </w:rPr>
        <w:t xml:space="preserve">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72007B">
        <w:rPr>
          <w:rFonts w:eastAsia="PMingLiU" w:cs="Arial"/>
          <w:b/>
          <w:color w:val="000000"/>
          <w:szCs w:val="24"/>
        </w:rPr>
        <w:t>18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72007B">
        <w:rPr>
          <w:rFonts w:eastAsia="PMingLiU" w:cs="Arial"/>
          <w:b/>
          <w:color w:val="000000"/>
          <w:szCs w:val="24"/>
        </w:rPr>
        <w:t>dezembro</w:t>
      </w:r>
      <w:r w:rsidR="009403DB" w:rsidRPr="009403DB">
        <w:rPr>
          <w:rFonts w:eastAsia="PMingLiU" w:cs="Arial"/>
          <w:b/>
          <w:color w:val="000000"/>
          <w:szCs w:val="24"/>
        </w:rPr>
        <w:t xml:space="preserve">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lastRenderedPageBreak/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AB3B7A" w:rsidRPr="00AB3B7A">
        <w:rPr>
          <w:rFonts w:cs="Arial"/>
        </w:rPr>
        <w:t>25</w:t>
      </w:r>
      <w:r w:rsidRPr="00AB3B7A">
        <w:rPr>
          <w:rFonts w:cs="Arial"/>
        </w:rPr>
        <w:t>/201</w:t>
      </w:r>
      <w:r w:rsidR="002A1E27" w:rsidRPr="00AB3B7A">
        <w:rPr>
          <w:rFonts w:cs="Arial"/>
        </w:rPr>
        <w:t>7</w:t>
      </w:r>
    </w:p>
    <w:p w:rsidR="00CB1316" w:rsidRPr="00CB1316" w:rsidRDefault="00CB1316" w:rsidP="00CB1316"/>
    <w:tbl>
      <w:tblPr>
        <w:tblStyle w:val="Tabelacomgrade"/>
        <w:tblW w:w="5028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5"/>
        <w:gridCol w:w="1495"/>
        <w:gridCol w:w="1493"/>
        <w:gridCol w:w="4865"/>
        <w:gridCol w:w="4640"/>
      </w:tblGrid>
      <w:tr w:rsidR="006E3142" w:rsidRPr="00237B3A" w:rsidTr="00AD6C38">
        <w:trPr>
          <w:trHeight w:val="261"/>
          <w:tblHeader/>
        </w:trPr>
        <w:tc>
          <w:tcPr>
            <w:tcW w:w="54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237B3A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b/>
                <w:color w:val="000000" w:themeColor="text1"/>
                <w:sz w:val="20"/>
                <w:szCs w:val="24"/>
              </w:rPr>
              <w:t>Documento</w:t>
            </w:r>
          </w:p>
        </w:tc>
        <w:tc>
          <w:tcPr>
            <w:tcW w:w="533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237B3A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b/>
                <w:color w:val="000000" w:themeColor="text1"/>
                <w:sz w:val="20"/>
                <w:szCs w:val="24"/>
              </w:rPr>
              <w:t>Natureza da sugestão</w:t>
            </w:r>
          </w:p>
        </w:tc>
        <w:tc>
          <w:tcPr>
            <w:tcW w:w="532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237B3A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b/>
                <w:color w:val="000000" w:themeColor="text1"/>
                <w:sz w:val="20"/>
                <w:szCs w:val="24"/>
              </w:rPr>
              <w:t>Item</w:t>
            </w:r>
          </w:p>
        </w:tc>
        <w:tc>
          <w:tcPr>
            <w:tcW w:w="1734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237B3A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b/>
                <w:color w:val="000000" w:themeColor="text1"/>
                <w:sz w:val="20"/>
                <w:szCs w:val="24"/>
              </w:rPr>
              <w:t>Proposta de alteração</w:t>
            </w:r>
          </w:p>
        </w:tc>
        <w:tc>
          <w:tcPr>
            <w:tcW w:w="1654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237B3A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b/>
                <w:color w:val="000000" w:themeColor="text1"/>
                <w:sz w:val="20"/>
                <w:szCs w:val="24"/>
              </w:rPr>
              <w:t>Justificativa</w:t>
            </w:r>
          </w:p>
        </w:tc>
      </w:tr>
      <w:tr w:rsidR="006E3142" w:rsidRPr="00237B3A" w:rsidTr="00AD6C38">
        <w:trPr>
          <w:trHeight w:val="1797"/>
        </w:trPr>
        <w:tc>
          <w:tcPr>
            <w:tcW w:w="547" w:type="pct"/>
            <w:vAlign w:val="center"/>
          </w:tcPr>
          <w:p w:rsidR="006E3142" w:rsidRPr="00237B3A" w:rsidRDefault="00237B3A" w:rsidP="000C0894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t>Minuta do contrato</w:t>
            </w:r>
          </w:p>
        </w:tc>
        <w:tc>
          <w:tcPr>
            <w:tcW w:w="533" w:type="pct"/>
            <w:vAlign w:val="center"/>
          </w:tcPr>
          <w:p w:rsidR="006E3142" w:rsidRPr="00237B3A" w:rsidRDefault="00237B3A" w:rsidP="000C0894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t>Alteração</w:t>
            </w:r>
          </w:p>
        </w:tc>
        <w:tc>
          <w:tcPr>
            <w:tcW w:w="532" w:type="pct"/>
            <w:vAlign w:val="center"/>
          </w:tcPr>
          <w:p w:rsidR="006E3142" w:rsidRPr="00237B3A" w:rsidRDefault="00237B3A" w:rsidP="008545CB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t xml:space="preserve">Anexo V – </w:t>
            </w:r>
            <w:r w:rsidR="008545CB">
              <w:rPr>
                <w:rFonts w:cs="Arial"/>
                <w:color w:val="000000" w:themeColor="text1"/>
                <w:sz w:val="20"/>
                <w:szCs w:val="24"/>
              </w:rPr>
              <w:t>d)</w:t>
            </w: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t xml:space="preserve"> </w:t>
            </w:r>
          </w:p>
        </w:tc>
        <w:tc>
          <w:tcPr>
            <w:tcW w:w="1734" w:type="pct"/>
            <w:vAlign w:val="center"/>
          </w:tcPr>
          <w:p w:rsidR="006E3142" w:rsidRPr="00237B3A" w:rsidRDefault="00237B3A" w:rsidP="00237B3A">
            <w:pPr>
              <w:pStyle w:val="Legenda"/>
              <w:jc w:val="both"/>
              <w:rPr>
                <w:sz w:val="20"/>
              </w:rPr>
            </w:pP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t xml:space="preserve">Para blocos oferecidos na Bacia do Parnaíba: </w:t>
            </w:r>
            <w:r w:rsidRPr="00237B3A">
              <w:rPr>
                <w:sz w:val="20"/>
              </w:rPr>
              <w:t xml:space="preserve">Pagamento aos proprietários da terra de participação equivalente a </w:t>
            </w:r>
            <w:r w:rsidRPr="00AD266A">
              <w:rPr>
                <w:color w:val="FF0000"/>
                <w:sz w:val="20"/>
              </w:rPr>
              <w:t xml:space="preserve">0,75% </w:t>
            </w:r>
            <w:r w:rsidRPr="00237B3A">
              <w:rPr>
                <w:sz w:val="20"/>
              </w:rPr>
              <w:t>(sete décimos e meio por cento) da Produção de Petróleo e Gás Natural, nos termos da Legislação Aplicável.</w:t>
            </w:r>
          </w:p>
          <w:p w:rsidR="00237B3A" w:rsidRPr="00237B3A" w:rsidRDefault="00237B3A" w:rsidP="00237B3A">
            <w:pPr>
              <w:rPr>
                <w:rFonts w:ascii="Arial" w:hAnsi="Arial"/>
              </w:rPr>
            </w:pPr>
          </w:p>
          <w:p w:rsidR="00237B3A" w:rsidRPr="00237B3A" w:rsidRDefault="00237B3A" w:rsidP="00237B3A">
            <w:r w:rsidRPr="00237B3A">
              <w:rPr>
                <w:rFonts w:ascii="Arial" w:hAnsi="Arial"/>
              </w:rPr>
              <w:t xml:space="preserve">Para blocos oferecidos na Bacia do Paraná:  Pagamento aos proprietários da terra de participação equivalente a </w:t>
            </w:r>
            <w:r w:rsidRPr="00AD266A">
              <w:rPr>
                <w:rFonts w:ascii="Arial" w:hAnsi="Arial"/>
                <w:color w:val="FF0000"/>
              </w:rPr>
              <w:t xml:space="preserve">0,50% </w:t>
            </w:r>
            <w:r w:rsidRPr="00237B3A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cinco</w:t>
            </w:r>
            <w:r w:rsidRPr="00237B3A">
              <w:rPr>
                <w:rFonts w:ascii="Arial" w:hAnsi="Arial"/>
              </w:rPr>
              <w:t xml:space="preserve"> décimos por cento) da Produção de Petróleo e Gás Natural, nos termos da Legislação Aplicável.</w:t>
            </w:r>
          </w:p>
        </w:tc>
        <w:tc>
          <w:tcPr>
            <w:tcW w:w="1654" w:type="pct"/>
            <w:vAlign w:val="center"/>
          </w:tcPr>
          <w:p w:rsidR="006E3142" w:rsidRDefault="00237B3A" w:rsidP="00931773">
            <w:pPr>
              <w:pStyle w:val="Legenda"/>
              <w:rPr>
                <w:rFonts w:cs="Arial"/>
                <w:color w:val="000000" w:themeColor="text1"/>
                <w:sz w:val="20"/>
                <w:szCs w:val="24"/>
              </w:rPr>
            </w:pP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O art. 52 da Lei 9.478/1997 (“Lei do Petróleo”) estabelece que o contrato de concessão de bloco terrestre deverá constar com cláusula que determine o pagamento a proprietários de terra de participação equivalente a um percentual variável entre </w:t>
            </w:r>
            <w:r w:rsidRPr="00CB1316">
              <w:rPr>
                <w:rFonts w:cs="Arial"/>
                <w:b/>
                <w:color w:val="000000" w:themeColor="text1"/>
                <w:sz w:val="20"/>
                <w:szCs w:val="24"/>
              </w:rPr>
              <w:t>0,5% e 1,0%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 da produção de hidrocarbonetos, a critério da ANP.</w:t>
            </w:r>
          </w:p>
          <w:p w:rsidR="00237B3A" w:rsidRPr="00237B3A" w:rsidRDefault="00237B3A" w:rsidP="00931773">
            <w:pPr>
              <w:rPr>
                <w:rFonts w:ascii="Arial" w:hAnsi="Arial" w:cs="Arial"/>
                <w:color w:val="000000" w:themeColor="text1"/>
                <w:szCs w:val="24"/>
              </w:rPr>
            </w:pPr>
          </w:p>
          <w:p w:rsidR="00931773" w:rsidRDefault="00237B3A" w:rsidP="00931773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 xml:space="preserve">O art. 47 da Lei do Petróleo </w:t>
            </w:r>
            <w:r w:rsidR="00931773">
              <w:rPr>
                <w:rFonts w:ascii="Arial" w:hAnsi="Arial" w:cs="Arial"/>
                <w:color w:val="000000" w:themeColor="text1"/>
                <w:szCs w:val="24"/>
              </w:rPr>
              <w:t xml:space="preserve">também 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prevê que a ANP poder</w:t>
            </w:r>
            <w:r w:rsidR="00931773">
              <w:rPr>
                <w:rFonts w:ascii="Arial" w:hAnsi="Arial" w:cs="Arial"/>
                <w:color w:val="000000" w:themeColor="text1"/>
                <w:szCs w:val="24"/>
              </w:rPr>
              <w:t>á adotar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 xml:space="preserve"> alíquotas de royalties </w:t>
            </w:r>
            <w:r w:rsidR="00931773">
              <w:rPr>
                <w:rFonts w:ascii="Arial" w:hAnsi="Arial" w:cs="Arial"/>
                <w:color w:val="000000" w:themeColor="text1"/>
                <w:szCs w:val="24"/>
              </w:rPr>
              <w:t xml:space="preserve">variáveis entre </w:t>
            </w:r>
            <w:r w:rsidR="00931773" w:rsidRPr="00CB1316">
              <w:rPr>
                <w:rFonts w:ascii="Arial" w:hAnsi="Arial" w:cs="Arial"/>
                <w:b/>
                <w:color w:val="000000" w:themeColor="text1"/>
                <w:szCs w:val="24"/>
              </w:rPr>
              <w:t>5,0% e 10</w:t>
            </w:r>
            <w:r w:rsidR="00CB1316">
              <w:rPr>
                <w:rFonts w:ascii="Arial" w:hAnsi="Arial" w:cs="Arial"/>
                <w:b/>
                <w:color w:val="000000" w:themeColor="text1"/>
                <w:szCs w:val="24"/>
              </w:rPr>
              <w:t>,0</w:t>
            </w:r>
            <w:r w:rsidR="00931773" w:rsidRPr="00CB1316">
              <w:rPr>
                <w:rFonts w:ascii="Arial" w:hAnsi="Arial" w:cs="Arial"/>
                <w:b/>
                <w:color w:val="000000" w:themeColor="text1"/>
                <w:szCs w:val="24"/>
              </w:rPr>
              <w:t>%</w:t>
            </w:r>
            <w:r w:rsidR="00CB1316">
              <w:rPr>
                <w:rFonts w:ascii="Arial" w:hAnsi="Arial" w:cs="Arial"/>
                <w:color w:val="000000" w:themeColor="text1"/>
                <w:szCs w:val="24"/>
              </w:rPr>
              <w:t xml:space="preserve"> da produção em seus editais de licitação</w:t>
            </w:r>
            <w:r w:rsidR="00931773">
              <w:rPr>
                <w:rFonts w:ascii="Arial" w:hAnsi="Arial" w:cs="Arial"/>
                <w:color w:val="000000" w:themeColor="text1"/>
                <w:szCs w:val="24"/>
              </w:rPr>
              <w:t xml:space="preserve">. </w:t>
            </w:r>
          </w:p>
          <w:p w:rsidR="00931773" w:rsidRDefault="00931773" w:rsidP="00931773">
            <w:pPr>
              <w:rPr>
                <w:rFonts w:ascii="Arial" w:hAnsi="Arial" w:cs="Arial"/>
                <w:color w:val="000000" w:themeColor="text1"/>
                <w:szCs w:val="24"/>
              </w:rPr>
            </w:pPr>
          </w:p>
          <w:p w:rsidR="00931773" w:rsidRDefault="00931773" w:rsidP="00931773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 xml:space="preserve">Observa-se, portanto, que o pagamento a proprietários de terra tenderia a uma </w:t>
            </w:r>
            <w:r w:rsidRPr="00CB1316">
              <w:rPr>
                <w:rFonts w:ascii="Arial" w:hAnsi="Arial" w:cs="Arial"/>
                <w:b/>
                <w:color w:val="000000" w:themeColor="text1"/>
                <w:szCs w:val="24"/>
              </w:rPr>
              <w:t>proporcionalidade de 10%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 xml:space="preserve"> da alíquota de royalties aplicável ao contrato de concessão. </w:t>
            </w:r>
          </w:p>
          <w:p w:rsidR="00931773" w:rsidRDefault="00931773" w:rsidP="00931773">
            <w:pPr>
              <w:rPr>
                <w:rFonts w:ascii="Arial" w:hAnsi="Arial" w:cs="Arial"/>
                <w:color w:val="000000" w:themeColor="text1"/>
                <w:szCs w:val="24"/>
              </w:rPr>
            </w:pPr>
          </w:p>
          <w:p w:rsidR="00237B3A" w:rsidRDefault="00931773" w:rsidP="00931773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Na atual minuta do contrato de concessão, a Bacia do Paraná teria alíquota de royalties de 5,0% e pagamento a proprietários de terra em 1,0% da produção (20% do valor compensado aos entes federativos em royalties). Já para a Bacia do Parnaíba, a alíquota de royalties seria de 7,5% e o pagamento a proprietários de terra em 1,0% da produção (13,3% do valor compensado aos entes federativos em royalties).</w:t>
            </w:r>
          </w:p>
          <w:p w:rsidR="00931773" w:rsidRDefault="00931773" w:rsidP="00931773">
            <w:pPr>
              <w:rPr>
                <w:rFonts w:ascii="Arial" w:hAnsi="Arial" w:cs="Arial"/>
                <w:color w:val="000000" w:themeColor="text1"/>
                <w:szCs w:val="24"/>
              </w:rPr>
            </w:pPr>
          </w:p>
          <w:p w:rsidR="00CB1316" w:rsidRDefault="00CB1316" w:rsidP="00931773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A Lei nº 9.784/1999, que regula o processo administrativo no âmbito da Administração Pública Federal, estabelece em seu art. 2 que a Administração Pública obedecerá, dentre outros critérios, ao da proporcionalidade.</w:t>
            </w:r>
          </w:p>
          <w:p w:rsidR="00CB1316" w:rsidRDefault="00CB1316" w:rsidP="00931773">
            <w:pPr>
              <w:rPr>
                <w:rFonts w:ascii="Arial" w:hAnsi="Arial" w:cs="Arial"/>
                <w:color w:val="000000" w:themeColor="text1"/>
                <w:szCs w:val="24"/>
              </w:rPr>
            </w:pPr>
          </w:p>
          <w:p w:rsidR="00237B3A" w:rsidRPr="00931773" w:rsidRDefault="00931773" w:rsidP="00237B3A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Para evitar a assimetria entre recebimento de entes federativos e particulares</w:t>
            </w:r>
            <w:r w:rsidR="00CB1316">
              <w:rPr>
                <w:rFonts w:ascii="Arial" w:hAnsi="Arial" w:cs="Arial"/>
                <w:color w:val="000000" w:themeColor="text1"/>
                <w:szCs w:val="24"/>
              </w:rPr>
              <w:t xml:space="preserve"> (inclusive no cruzamento supramencionado entre bacias sedimentares – 20% vs. 13,3%)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, sugere-se a adoção da proporcionalidade entre a alíquota de royalties e o pagamento a proprietários de terra, sendo este último 10% da alíquota aplicável de royalties.</w:t>
            </w:r>
          </w:p>
        </w:tc>
      </w:tr>
      <w:tr w:rsidR="007A5687" w:rsidRPr="00237B3A" w:rsidTr="00AD6C38">
        <w:trPr>
          <w:trHeight w:val="1797"/>
        </w:trPr>
        <w:tc>
          <w:tcPr>
            <w:tcW w:w="547" w:type="pct"/>
            <w:vAlign w:val="center"/>
          </w:tcPr>
          <w:p w:rsidR="007A5687" w:rsidRPr="00237B3A" w:rsidRDefault="007A5687" w:rsidP="000C0894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lastRenderedPageBreak/>
              <w:t>Minuta do contrato</w:t>
            </w:r>
          </w:p>
        </w:tc>
        <w:tc>
          <w:tcPr>
            <w:tcW w:w="533" w:type="pct"/>
            <w:vAlign w:val="center"/>
          </w:tcPr>
          <w:p w:rsidR="007A5687" w:rsidRPr="00237B3A" w:rsidRDefault="007A5687" w:rsidP="000C0894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t>Alteração</w:t>
            </w:r>
          </w:p>
        </w:tc>
        <w:tc>
          <w:tcPr>
            <w:tcW w:w="532" w:type="pct"/>
            <w:vAlign w:val="center"/>
          </w:tcPr>
          <w:p w:rsidR="007A5687" w:rsidRPr="00237B3A" w:rsidRDefault="007A5687" w:rsidP="008545CB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 w:rsidRPr="007A5687">
              <w:rPr>
                <w:rFonts w:cs="Arial"/>
                <w:color w:val="000000" w:themeColor="text1"/>
                <w:sz w:val="20"/>
                <w:szCs w:val="24"/>
              </w:rPr>
              <w:t>9.11.</w:t>
            </w:r>
          </w:p>
        </w:tc>
        <w:tc>
          <w:tcPr>
            <w:tcW w:w="1734" w:type="pct"/>
            <w:vAlign w:val="center"/>
          </w:tcPr>
          <w:p w:rsidR="007A5687" w:rsidRPr="00237B3A" w:rsidRDefault="007A5687" w:rsidP="007A5687">
            <w:pPr>
              <w:pStyle w:val="Legenda"/>
              <w:jc w:val="both"/>
              <w:rPr>
                <w:rFonts w:cs="Arial"/>
                <w:color w:val="000000" w:themeColor="text1"/>
                <w:sz w:val="20"/>
                <w:szCs w:val="24"/>
              </w:rPr>
            </w:pPr>
            <w:r w:rsidRPr="007A5687">
              <w:rPr>
                <w:rFonts w:cs="Arial"/>
                <w:color w:val="000000" w:themeColor="text1"/>
                <w:sz w:val="20"/>
                <w:szCs w:val="24"/>
              </w:rPr>
              <w:t xml:space="preserve">Na ausência de regulamentação específica, a ANP terá o prazo de </w:t>
            </w:r>
            <w:r w:rsidRPr="00AD266A">
              <w:rPr>
                <w:rFonts w:cs="Arial"/>
                <w:color w:val="FF0000"/>
                <w:sz w:val="20"/>
                <w:szCs w:val="24"/>
              </w:rPr>
              <w:t xml:space="preserve">180 (cento e oitenta) </w:t>
            </w:r>
            <w:r w:rsidRPr="007A5687">
              <w:rPr>
                <w:rFonts w:cs="Arial"/>
                <w:color w:val="000000" w:themeColor="text1"/>
                <w:sz w:val="20"/>
                <w:szCs w:val="24"/>
              </w:rPr>
              <w:t>dias contados da data de recebimento do Programa de Desativação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 </w:t>
            </w:r>
            <w:r w:rsidRPr="007A5687">
              <w:rPr>
                <w:rFonts w:cs="Arial"/>
                <w:color w:val="000000" w:themeColor="text1"/>
                <w:sz w:val="20"/>
                <w:szCs w:val="24"/>
              </w:rPr>
              <w:t>das Instalações para aprová-lo ou solicitar ao Con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>cessionário as modificações que julgar cabíveis.</w:t>
            </w:r>
          </w:p>
        </w:tc>
        <w:tc>
          <w:tcPr>
            <w:tcW w:w="1654" w:type="pct"/>
            <w:vAlign w:val="center"/>
          </w:tcPr>
          <w:p w:rsidR="007A5687" w:rsidRPr="00F12661" w:rsidRDefault="007A5687" w:rsidP="00F12661">
            <w:pPr>
              <w:pStyle w:val="Legenda"/>
              <w:rPr>
                <w:rFonts w:cs="Arial"/>
                <w:color w:val="000000" w:themeColor="text1"/>
                <w:sz w:val="20"/>
                <w:szCs w:val="24"/>
              </w:rPr>
            </w:pP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Comparativamente </w:t>
            </w:r>
            <w:r w:rsidR="006435E0">
              <w:rPr>
                <w:rFonts w:cs="Arial"/>
                <w:color w:val="000000" w:themeColor="text1"/>
                <w:sz w:val="20"/>
                <w:szCs w:val="24"/>
              </w:rPr>
              <w:t>à 14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>ª Rodada, houve aumento de quase 100% no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 xml:space="preserve"> prazo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 disponibilizado pela ANP para aprovar ou solicitar modificações no </w:t>
            </w:r>
            <w:r w:rsidRPr="007A5687">
              <w:rPr>
                <w:rFonts w:cs="Arial"/>
                <w:color w:val="000000" w:themeColor="text1"/>
                <w:sz w:val="20"/>
                <w:szCs w:val="24"/>
              </w:rPr>
              <w:t>Programa de Desativação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 </w:t>
            </w:r>
            <w:r w:rsidRPr="007A5687">
              <w:rPr>
                <w:rFonts w:cs="Arial"/>
                <w:color w:val="000000" w:themeColor="text1"/>
                <w:sz w:val="20"/>
                <w:szCs w:val="24"/>
              </w:rPr>
              <w:t>das Instalações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 prazo (180 dias para 365 dias, na minuta atual).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 xml:space="preserve"> </w:t>
            </w:r>
            <w:r w:rsidR="00F12661">
              <w:rPr>
                <w:rFonts w:cs="Arial"/>
                <w:color w:val="000000" w:themeColor="text1"/>
                <w:sz w:val="20"/>
                <w:szCs w:val="24"/>
              </w:rPr>
              <w:t>Sugere-se apenas a manutenção do prazo constante no último contrato de concess</w:t>
            </w:r>
            <w:r w:rsidR="006435E0">
              <w:rPr>
                <w:rFonts w:cs="Arial"/>
                <w:color w:val="000000" w:themeColor="text1"/>
                <w:sz w:val="20"/>
                <w:szCs w:val="24"/>
              </w:rPr>
              <w:t>ão (14</w:t>
            </w:r>
            <w:r w:rsidR="00F12661">
              <w:rPr>
                <w:rFonts w:cs="Arial"/>
                <w:color w:val="000000" w:themeColor="text1"/>
                <w:sz w:val="20"/>
                <w:szCs w:val="24"/>
              </w:rPr>
              <w:t>ª Rodada).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 </w:t>
            </w:r>
            <w:r w:rsidRPr="00F12661">
              <w:rPr>
                <w:rFonts w:cs="Arial"/>
                <w:color w:val="000000" w:themeColor="text1"/>
                <w:sz w:val="20"/>
                <w:szCs w:val="24"/>
              </w:rPr>
              <w:t xml:space="preserve">Destaca-se que, no contrato de concessão da 9ª Rodada, por exemplo, o prazo para apreciação da ANP era de </w:t>
            </w:r>
            <w:r w:rsidR="00F12661" w:rsidRPr="00F12661">
              <w:rPr>
                <w:rFonts w:cs="Arial"/>
                <w:color w:val="000000" w:themeColor="text1"/>
                <w:sz w:val="20"/>
                <w:szCs w:val="24"/>
              </w:rPr>
              <w:t>30 dias (8.12).</w:t>
            </w:r>
          </w:p>
          <w:p w:rsidR="007A5687" w:rsidRPr="007A5687" w:rsidRDefault="007A5687" w:rsidP="007A5687"/>
          <w:p w:rsidR="00F723D8" w:rsidRDefault="007A5687" w:rsidP="00F723D8">
            <w:pPr>
              <w:pStyle w:val="Legenda"/>
              <w:rPr>
                <w:rFonts w:cs="Arial"/>
                <w:color w:val="000000" w:themeColor="text1"/>
                <w:sz w:val="20"/>
                <w:szCs w:val="24"/>
              </w:rPr>
            </w:pP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Especialmente para operadores </w:t>
            </w:r>
            <w:r w:rsidR="00F12661">
              <w:rPr>
                <w:rFonts w:cs="Arial"/>
                <w:color w:val="000000" w:themeColor="text1"/>
                <w:sz w:val="20"/>
                <w:szCs w:val="24"/>
              </w:rPr>
              <w:t>terrestres, a extensão do prazo implica pagamento de retenção de área na Fase de Produç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 xml:space="preserve">ão e, diferentemente dos operadores marítimos, </w:t>
            </w:r>
            <w:r w:rsidR="00F12661">
              <w:rPr>
                <w:rFonts w:cs="Arial"/>
                <w:color w:val="000000" w:themeColor="text1"/>
                <w:sz w:val="20"/>
                <w:szCs w:val="24"/>
              </w:rPr>
              <w:t>compensações de aluguéis a proprietários de terra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 xml:space="preserve">, onerando as operações. </w:t>
            </w:r>
          </w:p>
          <w:p w:rsidR="00F723D8" w:rsidRDefault="00F723D8" w:rsidP="00F723D8">
            <w:pPr>
              <w:pStyle w:val="Legenda"/>
              <w:rPr>
                <w:rFonts w:cs="Arial"/>
                <w:color w:val="000000" w:themeColor="text1"/>
                <w:sz w:val="20"/>
                <w:szCs w:val="24"/>
              </w:rPr>
            </w:pPr>
          </w:p>
          <w:p w:rsidR="00B90C59" w:rsidRDefault="00BB798C" w:rsidP="008A7749">
            <w:pPr>
              <w:pStyle w:val="Legenda"/>
              <w:rPr>
                <w:rFonts w:cs="Arial"/>
                <w:color w:val="000000" w:themeColor="text1"/>
                <w:sz w:val="20"/>
                <w:szCs w:val="24"/>
              </w:rPr>
            </w:pPr>
            <w:r>
              <w:rPr>
                <w:rFonts w:cs="Arial"/>
                <w:color w:val="000000" w:themeColor="text1"/>
                <w:sz w:val="20"/>
                <w:szCs w:val="24"/>
              </w:rPr>
              <w:t>A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>lguns Programas de Desativação das Instalações podem ser simplificados, sem a desmobilização de todas as instalações. Isto é, os Programas podem não estar atrelados à devolução integral do campo (que continuar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>ia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 xml:space="preserve"> com produção efetiva, 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>em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 xml:space="preserve"> área remanescente), mas tão somente a uma redefiniç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 xml:space="preserve">ão do ring-fence. Neste caso, 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 xml:space="preserve">a área devolvida 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>poderia incluir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 xml:space="preserve">, por exemplo, 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 xml:space="preserve">somente 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>um poço seco que nunca produziu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 xml:space="preserve"> </w:t>
            </w:r>
            <w:r w:rsidR="00B73902">
              <w:rPr>
                <w:rFonts w:cs="Arial"/>
                <w:color w:val="000000" w:themeColor="text1"/>
                <w:sz w:val="20"/>
                <w:szCs w:val="24"/>
              </w:rPr>
              <w:t>(</w:t>
            </w:r>
            <w:r w:rsidR="00132719">
              <w:rPr>
                <w:rFonts w:cs="Arial"/>
                <w:color w:val="000000" w:themeColor="text1"/>
                <w:sz w:val="20"/>
                <w:szCs w:val="24"/>
              </w:rPr>
              <w:t xml:space="preserve">ex. </w:t>
            </w:r>
            <w:r w:rsidR="00B73902">
              <w:rPr>
                <w:rFonts w:cs="Arial"/>
                <w:color w:val="000000" w:themeColor="text1"/>
                <w:sz w:val="20"/>
                <w:szCs w:val="24"/>
              </w:rPr>
              <w:t xml:space="preserve">teste de upside) 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 xml:space="preserve">– acarretando a necessidade de envio de um 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lastRenderedPageBreak/>
              <w:t>Programa para a ANP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 por se localizar em área de desenvolvimento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 xml:space="preserve">. A 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 xml:space="preserve">recuperação </w:t>
            </w:r>
            <w:r w:rsidR="00F723D8">
              <w:rPr>
                <w:rFonts w:cs="Arial"/>
                <w:color w:val="000000" w:themeColor="text1"/>
                <w:sz w:val="20"/>
                <w:szCs w:val="24"/>
              </w:rPr>
              <w:t>envolvida, neste caso, seria simplificada, com o arrasamento e a recomposição da área da base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>,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 dentre outras ações consoante a l</w:t>
            </w:r>
            <w:r w:rsidR="00806F69">
              <w:rPr>
                <w:rFonts w:cs="Arial"/>
                <w:color w:val="000000" w:themeColor="text1"/>
                <w:sz w:val="20"/>
                <w:szCs w:val="24"/>
              </w:rPr>
              <w:t xml:space="preserve">egislação vigente. </w:t>
            </w:r>
          </w:p>
          <w:p w:rsidR="00B90C59" w:rsidRDefault="00B90C59" w:rsidP="008A7749">
            <w:pPr>
              <w:pStyle w:val="Legenda"/>
              <w:rPr>
                <w:rFonts w:cs="Arial"/>
                <w:color w:val="000000" w:themeColor="text1"/>
                <w:sz w:val="20"/>
                <w:szCs w:val="24"/>
              </w:rPr>
            </w:pPr>
          </w:p>
          <w:p w:rsidR="00BB798C" w:rsidRPr="00A274F8" w:rsidRDefault="00806F69" w:rsidP="008A7749">
            <w:pPr>
              <w:pStyle w:val="Legenda"/>
              <w:rPr>
                <w:rFonts w:cs="Arial"/>
                <w:color w:val="000000" w:themeColor="text1"/>
                <w:sz w:val="20"/>
                <w:szCs w:val="24"/>
              </w:rPr>
            </w:pP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Admitir um prazo </w:t>
            </w:r>
            <w:r w:rsidR="008A7749">
              <w:rPr>
                <w:rFonts w:cs="Arial"/>
                <w:color w:val="000000" w:themeColor="text1"/>
                <w:sz w:val="20"/>
                <w:szCs w:val="24"/>
              </w:rPr>
              <w:t>de</w:t>
            </w:r>
            <w:r w:rsidR="00BB798C">
              <w:rPr>
                <w:rFonts w:cs="Arial"/>
                <w:color w:val="000000" w:themeColor="text1"/>
                <w:sz w:val="20"/>
                <w:szCs w:val="24"/>
              </w:rPr>
              <w:t xml:space="preserve"> 36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>5 dias para apreciação, na ausência de regulamentação específica, poderia significar retenção mais morosa</w:t>
            </w:r>
            <w:r w:rsidR="00BB798C">
              <w:rPr>
                <w:rFonts w:cs="Arial"/>
                <w:color w:val="000000" w:themeColor="text1"/>
                <w:sz w:val="20"/>
                <w:szCs w:val="24"/>
              </w:rPr>
              <w:t xml:space="preserve"> do concessionário, especialmente considerando o interesse dos proprietários de terra em buscar a recuperação célere das áreas ou a reintegração da área de servidão.</w:t>
            </w:r>
          </w:p>
        </w:tc>
      </w:tr>
      <w:tr w:rsidR="00AD6C38" w:rsidRPr="00237B3A" w:rsidTr="00AD6C38">
        <w:trPr>
          <w:trHeight w:val="1797"/>
        </w:trPr>
        <w:tc>
          <w:tcPr>
            <w:tcW w:w="547" w:type="pct"/>
            <w:vAlign w:val="center"/>
          </w:tcPr>
          <w:p w:rsidR="00AD6C38" w:rsidRPr="00237B3A" w:rsidRDefault="00AD6C38" w:rsidP="00AD6C38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lastRenderedPageBreak/>
              <w:t>Minuta do contrato</w:t>
            </w:r>
          </w:p>
        </w:tc>
        <w:tc>
          <w:tcPr>
            <w:tcW w:w="533" w:type="pct"/>
            <w:vAlign w:val="center"/>
          </w:tcPr>
          <w:p w:rsidR="00AD6C38" w:rsidRPr="00237B3A" w:rsidRDefault="00AD6C38" w:rsidP="00AD6C38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t>Alteração</w:t>
            </w:r>
          </w:p>
        </w:tc>
        <w:tc>
          <w:tcPr>
            <w:tcW w:w="532" w:type="pct"/>
            <w:vAlign w:val="center"/>
          </w:tcPr>
          <w:p w:rsidR="00AD6C38" w:rsidRPr="007A5687" w:rsidRDefault="00AD6C38" w:rsidP="00AD6C38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>
              <w:rPr>
                <w:rFonts w:cs="Arial"/>
                <w:color w:val="000000" w:themeColor="text1"/>
                <w:sz w:val="20"/>
                <w:szCs w:val="24"/>
              </w:rPr>
              <w:t>11.1.2.</w:t>
            </w:r>
          </w:p>
        </w:tc>
        <w:tc>
          <w:tcPr>
            <w:tcW w:w="1734" w:type="pct"/>
            <w:vAlign w:val="center"/>
          </w:tcPr>
          <w:p w:rsidR="00AD6C38" w:rsidRPr="007A5687" w:rsidRDefault="00AD6C38" w:rsidP="00AD6C38">
            <w:pPr>
              <w:pStyle w:val="Legenda"/>
              <w:jc w:val="both"/>
              <w:rPr>
                <w:rFonts w:cs="Arial"/>
                <w:color w:val="000000" w:themeColor="text1"/>
                <w:sz w:val="20"/>
                <w:szCs w:val="24"/>
              </w:rPr>
            </w:pPr>
            <w:r w:rsidRPr="00AD6C38">
              <w:rPr>
                <w:rFonts w:cs="Arial"/>
                <w:color w:val="000000" w:themeColor="text1"/>
                <w:sz w:val="20"/>
                <w:szCs w:val="24"/>
              </w:rPr>
              <w:t>O Concessionário deverá informar à ANP a Data de Início da Produção, mediante notificação a esta Agência no prazo máximo de 24 (vinte e quatro) horas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 </w:t>
            </w:r>
            <w:r w:rsidRPr="00AD266A">
              <w:rPr>
                <w:rFonts w:cs="Arial"/>
                <w:color w:val="FF0000"/>
                <w:sz w:val="20"/>
                <w:szCs w:val="24"/>
              </w:rPr>
              <w:t>ou no primeiro dia útil</w:t>
            </w:r>
            <w:r w:rsidRPr="00AD6C38">
              <w:rPr>
                <w:rFonts w:cs="Arial"/>
                <w:color w:val="000000" w:themeColor="text1"/>
                <w:sz w:val="20"/>
                <w:szCs w:val="24"/>
              </w:rPr>
              <w:t xml:space="preserve"> após a sua ocorrência.</w:t>
            </w:r>
          </w:p>
        </w:tc>
        <w:tc>
          <w:tcPr>
            <w:tcW w:w="1654" w:type="pct"/>
            <w:vAlign w:val="center"/>
          </w:tcPr>
          <w:p w:rsidR="00AD6C38" w:rsidRPr="00AD266A" w:rsidRDefault="00AD6C38" w:rsidP="00AD266A">
            <w:pPr>
              <w:pStyle w:val="Legenda"/>
              <w:rPr>
                <w:rFonts w:cs="Arial"/>
                <w:color w:val="000000" w:themeColor="text1"/>
                <w:sz w:val="20"/>
                <w:szCs w:val="24"/>
              </w:rPr>
            </w:pPr>
            <w:r>
              <w:rPr>
                <w:rFonts w:cs="Arial"/>
                <w:color w:val="000000" w:themeColor="text1"/>
                <w:sz w:val="20"/>
                <w:szCs w:val="24"/>
              </w:rPr>
              <w:t xml:space="preserve">A redação sugerida visa apenas a considerar os casos em que um início de produção ocorra durante fins de semana ou feriados, sem prejuízo regulatório </w:t>
            </w:r>
            <w:r w:rsidR="00AD266A">
              <w:rPr>
                <w:rFonts w:cs="Arial"/>
                <w:color w:val="000000" w:themeColor="text1"/>
                <w:sz w:val="20"/>
                <w:szCs w:val="24"/>
              </w:rPr>
              <w:t xml:space="preserve">à ANP 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>no acompanhamento da produção de campos.</w:t>
            </w:r>
            <w:r w:rsidR="00AD266A">
              <w:rPr>
                <w:rFonts w:cs="Arial"/>
                <w:color w:val="000000" w:themeColor="text1"/>
                <w:sz w:val="20"/>
                <w:szCs w:val="24"/>
              </w:rPr>
              <w:t xml:space="preserve"> </w:t>
            </w:r>
          </w:p>
        </w:tc>
      </w:tr>
      <w:tr w:rsidR="00EA7953" w:rsidRPr="00A0360A" w:rsidTr="00AD6C38">
        <w:trPr>
          <w:trHeight w:val="1797"/>
        </w:trPr>
        <w:tc>
          <w:tcPr>
            <w:tcW w:w="547" w:type="pct"/>
            <w:vAlign w:val="center"/>
          </w:tcPr>
          <w:p w:rsidR="00EA7953" w:rsidRPr="00237B3A" w:rsidRDefault="00EA7953" w:rsidP="00EA7953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 w:rsidRPr="00237B3A">
              <w:rPr>
                <w:rFonts w:cs="Arial"/>
                <w:color w:val="000000" w:themeColor="text1"/>
                <w:sz w:val="20"/>
                <w:szCs w:val="24"/>
              </w:rPr>
              <w:t>Minuta do contrato</w:t>
            </w:r>
          </w:p>
        </w:tc>
        <w:tc>
          <w:tcPr>
            <w:tcW w:w="533" w:type="pct"/>
            <w:vAlign w:val="center"/>
          </w:tcPr>
          <w:p w:rsidR="00EA7953" w:rsidRPr="00237B3A" w:rsidRDefault="00EA7953" w:rsidP="00EA7953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>
              <w:rPr>
                <w:rFonts w:cs="Arial"/>
                <w:color w:val="000000" w:themeColor="text1"/>
                <w:sz w:val="20"/>
                <w:szCs w:val="24"/>
              </w:rPr>
              <w:t>Inclusão</w:t>
            </w:r>
          </w:p>
        </w:tc>
        <w:tc>
          <w:tcPr>
            <w:tcW w:w="532" w:type="pct"/>
            <w:vAlign w:val="center"/>
          </w:tcPr>
          <w:p w:rsidR="00EA7953" w:rsidRDefault="00EA7953" w:rsidP="008A7749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szCs w:val="24"/>
              </w:rPr>
            </w:pPr>
            <w:r>
              <w:rPr>
                <w:rFonts w:cs="Arial"/>
                <w:color w:val="000000" w:themeColor="text1"/>
                <w:sz w:val="20"/>
                <w:szCs w:val="24"/>
              </w:rPr>
              <w:t>12.</w:t>
            </w:r>
            <w:r w:rsidR="008A7749">
              <w:rPr>
                <w:rFonts w:cs="Arial"/>
                <w:color w:val="000000" w:themeColor="text1"/>
                <w:sz w:val="20"/>
                <w:szCs w:val="24"/>
              </w:rPr>
              <w:t>9.</w:t>
            </w:r>
          </w:p>
        </w:tc>
        <w:tc>
          <w:tcPr>
            <w:tcW w:w="1734" w:type="pct"/>
            <w:vAlign w:val="center"/>
          </w:tcPr>
          <w:p w:rsidR="00EA7953" w:rsidRPr="00D43679" w:rsidRDefault="00D43679" w:rsidP="00D43679">
            <w:pPr>
              <w:pStyle w:val="Legenda"/>
              <w:jc w:val="both"/>
              <w:rPr>
                <w:rFonts w:cs="Arial"/>
                <w:color w:val="FF0000"/>
                <w:sz w:val="20"/>
                <w:szCs w:val="24"/>
              </w:rPr>
            </w:pPr>
            <w:r>
              <w:rPr>
                <w:rFonts w:cs="Arial"/>
                <w:color w:val="FF0000"/>
                <w:sz w:val="20"/>
                <w:szCs w:val="24"/>
              </w:rPr>
              <w:t>C</w:t>
            </w:r>
            <w:r w:rsidRPr="00D43679">
              <w:rPr>
                <w:rFonts w:cs="Arial"/>
                <w:color w:val="FF0000"/>
                <w:sz w:val="20"/>
                <w:szCs w:val="24"/>
              </w:rPr>
              <w:t>aso haja aproveitamento econômico do hidrocarboneto extraído pelo Concessionário</w:t>
            </w:r>
            <w:r>
              <w:rPr>
                <w:rFonts w:cs="Arial"/>
                <w:color w:val="FF0000"/>
                <w:sz w:val="20"/>
                <w:szCs w:val="24"/>
              </w:rPr>
              <w:t>,</w:t>
            </w:r>
            <w:r w:rsidRPr="00D43679">
              <w:rPr>
                <w:rFonts w:cs="Arial"/>
                <w:color w:val="FF0000"/>
                <w:sz w:val="20"/>
                <w:szCs w:val="24"/>
              </w:rPr>
              <w:t xml:space="preserve"> </w:t>
            </w:r>
            <w:r>
              <w:rPr>
                <w:rFonts w:cs="Arial"/>
                <w:color w:val="FF0000"/>
                <w:sz w:val="20"/>
                <w:szCs w:val="24"/>
              </w:rPr>
              <w:t>os</w:t>
            </w:r>
            <w:r w:rsidR="00EA7953" w:rsidRPr="00D43679">
              <w:rPr>
                <w:rFonts w:cs="Arial"/>
                <w:color w:val="FF0000"/>
                <w:sz w:val="20"/>
                <w:szCs w:val="24"/>
              </w:rPr>
              <w:t xml:space="preserve"> volumes de</w:t>
            </w:r>
            <w:r w:rsidR="00B13806" w:rsidRPr="00D43679">
              <w:rPr>
                <w:rFonts w:cs="Arial"/>
                <w:color w:val="FF0000"/>
                <w:sz w:val="20"/>
                <w:szCs w:val="24"/>
              </w:rPr>
              <w:t xml:space="preserve"> </w:t>
            </w:r>
            <w:r w:rsidR="00EA7953" w:rsidRPr="00D43679">
              <w:rPr>
                <w:rFonts w:cs="Arial"/>
                <w:color w:val="FF0000"/>
                <w:sz w:val="20"/>
                <w:szCs w:val="24"/>
              </w:rPr>
              <w:t>Gás Natural produzidos durante testes de formação na Etapa de Desenvolvimento</w:t>
            </w:r>
            <w:r>
              <w:rPr>
                <w:rFonts w:cs="Arial"/>
                <w:color w:val="FF0000"/>
                <w:sz w:val="20"/>
                <w:szCs w:val="24"/>
              </w:rPr>
              <w:t>, com fluxo inferior a 72h,</w:t>
            </w:r>
            <w:r w:rsidR="00EA7953" w:rsidRPr="00D43679">
              <w:rPr>
                <w:rFonts w:cs="Arial"/>
                <w:color w:val="FF0000"/>
                <w:sz w:val="20"/>
                <w:szCs w:val="24"/>
              </w:rPr>
              <w:t xml:space="preserve"> serão computados para efeito do cálculo das Participações Governamentais e de Terceiros devidas</w:t>
            </w:r>
            <w:r w:rsidR="00B13806" w:rsidRPr="00D43679">
              <w:rPr>
                <w:rFonts w:cs="Arial"/>
                <w:color w:val="FF0000"/>
                <w:sz w:val="20"/>
                <w:szCs w:val="24"/>
              </w:rPr>
              <w:t>, previstas na Cláusula Vigésima Terceira</w:t>
            </w:r>
            <w:r w:rsidR="00EA7953" w:rsidRPr="00D43679">
              <w:rPr>
                <w:rFonts w:cs="Arial"/>
                <w:color w:val="FF0000"/>
                <w:sz w:val="20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654" w:type="pct"/>
            <w:vAlign w:val="center"/>
          </w:tcPr>
          <w:p w:rsidR="00EA7953" w:rsidRDefault="00B13806" w:rsidP="00B13806">
            <w:pPr>
              <w:pStyle w:val="Legenda"/>
              <w:rPr>
                <w:rFonts w:cs="Arial"/>
                <w:color w:val="000000" w:themeColor="text1"/>
                <w:sz w:val="20"/>
                <w:szCs w:val="24"/>
              </w:rPr>
            </w:pPr>
            <w:r w:rsidRPr="00B13806">
              <w:rPr>
                <w:rFonts w:cs="Arial"/>
                <w:color w:val="000000" w:themeColor="text1"/>
                <w:sz w:val="20"/>
                <w:szCs w:val="24"/>
              </w:rPr>
              <w:t xml:space="preserve">Na adoção das Melhores Práticas da Indústria, a partir da declaração de comercialidade de um campo de gás natural não associado é iniciada a etapa de desenvolvimento, quando toda a infraestrutura necessária à efetiva produção do campo é implantada. Nessa etapa, para melhor caracterização do reservatório e seu potencial produtor, são realizados testes de </w:t>
            </w:r>
            <w:r>
              <w:rPr>
                <w:rFonts w:cs="Arial"/>
                <w:color w:val="000000" w:themeColor="text1"/>
                <w:sz w:val="20"/>
                <w:szCs w:val="24"/>
              </w:rPr>
              <w:t>formação</w:t>
            </w:r>
            <w:r w:rsidRPr="00B13806">
              <w:rPr>
                <w:rFonts w:cs="Arial"/>
                <w:color w:val="000000" w:themeColor="text1"/>
                <w:sz w:val="20"/>
                <w:szCs w:val="24"/>
              </w:rPr>
              <w:t xml:space="preserve"> (TFR)</w:t>
            </w:r>
            <w:r w:rsidR="00BA7D12">
              <w:rPr>
                <w:rFonts w:cs="Arial"/>
                <w:color w:val="000000" w:themeColor="text1"/>
                <w:sz w:val="20"/>
                <w:szCs w:val="24"/>
              </w:rPr>
              <w:t xml:space="preserve"> –</w:t>
            </w:r>
            <w:r w:rsidR="00B90C59">
              <w:rPr>
                <w:rFonts w:cs="Arial"/>
                <w:color w:val="000000" w:themeColor="text1"/>
                <w:sz w:val="20"/>
                <w:szCs w:val="24"/>
              </w:rPr>
              <w:t xml:space="preserve"> fluxo inferior a 72h</w:t>
            </w:r>
            <w:r w:rsidR="00BA7D12">
              <w:rPr>
                <w:rFonts w:cs="Arial"/>
                <w:color w:val="000000" w:themeColor="text1"/>
                <w:sz w:val="20"/>
                <w:szCs w:val="24"/>
              </w:rPr>
              <w:t xml:space="preserve"> – </w:t>
            </w:r>
            <w:r w:rsidRPr="00B13806">
              <w:rPr>
                <w:rFonts w:cs="Arial"/>
                <w:color w:val="000000" w:themeColor="text1"/>
                <w:sz w:val="20"/>
                <w:szCs w:val="24"/>
              </w:rPr>
              <w:t>para determina</w:t>
            </w:r>
            <w:r w:rsidR="00BA7D12">
              <w:rPr>
                <w:rFonts w:cs="Arial"/>
                <w:color w:val="000000" w:themeColor="text1"/>
                <w:sz w:val="20"/>
                <w:szCs w:val="24"/>
              </w:rPr>
              <w:t xml:space="preserve">ção do Absolute Open Flow (AOF). </w:t>
            </w:r>
            <w:r w:rsidR="008C7069">
              <w:rPr>
                <w:rFonts w:cs="Arial"/>
                <w:color w:val="000000" w:themeColor="text1"/>
                <w:sz w:val="20"/>
                <w:szCs w:val="24"/>
              </w:rPr>
              <w:t>Dessa forma</w:t>
            </w:r>
            <w:r w:rsidR="00BA7D12">
              <w:rPr>
                <w:rFonts w:cs="Arial"/>
                <w:color w:val="000000" w:themeColor="text1"/>
                <w:sz w:val="20"/>
                <w:szCs w:val="24"/>
              </w:rPr>
              <w:t xml:space="preserve">, </w:t>
            </w:r>
            <w:r w:rsidRPr="00B13806">
              <w:rPr>
                <w:rFonts w:cs="Arial"/>
                <w:color w:val="000000" w:themeColor="text1"/>
                <w:sz w:val="20"/>
                <w:szCs w:val="24"/>
              </w:rPr>
              <w:t>todo o gás do TFR é queimado, sem aproveitamento econômico pelo concessionário, por questões de indisponibilidade de infraestrutura para escoamento da produção.</w:t>
            </w:r>
          </w:p>
          <w:p w:rsidR="00B13806" w:rsidRPr="00B13806" w:rsidRDefault="00B13806" w:rsidP="00B13806">
            <w:pPr>
              <w:rPr>
                <w:rFonts w:ascii="Arial" w:hAnsi="Arial" w:cs="Arial"/>
                <w:color w:val="000000" w:themeColor="text1"/>
                <w:szCs w:val="24"/>
              </w:rPr>
            </w:pPr>
          </w:p>
          <w:p w:rsidR="00B13806" w:rsidRPr="00B13806" w:rsidRDefault="00B13806" w:rsidP="00B13806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B13806">
              <w:rPr>
                <w:rFonts w:ascii="Arial" w:hAnsi="Arial" w:cs="Arial"/>
                <w:color w:val="000000" w:themeColor="text1"/>
                <w:szCs w:val="24"/>
              </w:rPr>
              <w:t xml:space="preserve">Destaca-se que o teste de potencial de produção de gás natural na 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E</w:t>
            </w:r>
            <w:r w:rsidRPr="00B13806">
              <w:rPr>
                <w:rFonts w:ascii="Arial" w:hAnsi="Arial" w:cs="Arial"/>
                <w:color w:val="000000" w:themeColor="text1"/>
                <w:szCs w:val="24"/>
              </w:rPr>
              <w:t xml:space="preserve">tapa de 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D</w:t>
            </w:r>
            <w:r w:rsidRPr="00B13806">
              <w:rPr>
                <w:rFonts w:ascii="Arial" w:hAnsi="Arial" w:cs="Arial"/>
                <w:color w:val="000000" w:themeColor="text1"/>
                <w:szCs w:val="24"/>
              </w:rPr>
              <w:t xml:space="preserve">esenvolvimento </w:t>
            </w:r>
            <w:r w:rsidRPr="00B13806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distingue-se do teste de potencial de produção de petróleo, em que é possível o armazenamento do hidrocarboneto líquido, por exemplo, em tanque arqueado, cujo volume poderá ser aproveitado economicamente pelo concessionário. Para concessionários de campos declarados comerciais de gás natural não associado, o aproveitamento máximo do hidrocarboneto extraído acaba por ser otimizado, em linha com o melhor aproveitamento de recursos da União. A queima do gás natural, portanto, é indesejada e realizada estritamente para a consecução do TFR e avaliação de AOF.</w:t>
            </w:r>
          </w:p>
          <w:p w:rsidR="00B13806" w:rsidRPr="00B13806" w:rsidRDefault="00B13806" w:rsidP="00B13806">
            <w:pPr>
              <w:rPr>
                <w:rFonts w:ascii="Arial" w:hAnsi="Arial" w:cs="Arial"/>
                <w:color w:val="000000" w:themeColor="text1"/>
                <w:szCs w:val="24"/>
              </w:rPr>
            </w:pPr>
          </w:p>
          <w:p w:rsidR="00B13806" w:rsidRDefault="00B13806" w:rsidP="00B13806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B13806">
              <w:rPr>
                <w:rFonts w:ascii="Arial" w:hAnsi="Arial" w:cs="Arial"/>
                <w:color w:val="000000" w:themeColor="text1"/>
                <w:szCs w:val="24"/>
              </w:rPr>
              <w:t>Atualmente, a regulação não diferencia o hidrocarboneto líquido (óleo) do hidrocarboneto gasoso (gás natural) na Fase de Produção, anteriormente ao início de produção do campo. Uma vez desenvolvido o campo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 xml:space="preserve"> de gás não associado</w:t>
            </w:r>
            <w:r w:rsidRPr="00B13806">
              <w:rPr>
                <w:rFonts w:ascii="Arial" w:hAnsi="Arial" w:cs="Arial"/>
                <w:color w:val="000000" w:themeColor="text1"/>
                <w:szCs w:val="24"/>
              </w:rPr>
              <w:t xml:space="preserve"> e iniciada 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su</w:t>
            </w:r>
            <w:r w:rsidRPr="00B13806">
              <w:rPr>
                <w:rFonts w:ascii="Arial" w:hAnsi="Arial" w:cs="Arial"/>
                <w:color w:val="000000" w:themeColor="text1"/>
                <w:szCs w:val="24"/>
              </w:rPr>
              <w:t>a operação, o gás natural testado poderá ser aproveitado economicamente.</w:t>
            </w:r>
          </w:p>
          <w:p w:rsidR="00A0360A" w:rsidRDefault="00A0360A" w:rsidP="00B13806">
            <w:pPr>
              <w:rPr>
                <w:rFonts w:ascii="Arial" w:hAnsi="Arial" w:cs="Arial"/>
                <w:color w:val="000000" w:themeColor="text1"/>
                <w:szCs w:val="24"/>
              </w:rPr>
            </w:pPr>
          </w:p>
          <w:p w:rsidR="00A0360A" w:rsidRPr="00A0360A" w:rsidRDefault="00A0360A" w:rsidP="00B13806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A0360A">
              <w:rPr>
                <w:rFonts w:ascii="Arial" w:hAnsi="Arial" w:cs="Arial"/>
                <w:color w:val="000000" w:themeColor="text1"/>
                <w:szCs w:val="24"/>
              </w:rPr>
              <w:t>A agenda para o gás natural, com tratamento específico para este hidrocarboneto, vem sendo promovida pelo Ministério de Minas e Energia através de iniciativas como o “Gás para Crescer” ou o Programa de Revitalização das Atividades de Exploração e Produção de Petróleo e Gás Natural em Áreas Terrestres – o REATE.</w:t>
            </w:r>
          </w:p>
        </w:tc>
      </w:tr>
    </w:tbl>
    <w:p w:rsidR="00764EB1" w:rsidRPr="00A0360A" w:rsidRDefault="00764EB1" w:rsidP="00CB1316">
      <w:pPr>
        <w:pStyle w:val="Legenda"/>
        <w:spacing w:line="360" w:lineRule="auto"/>
        <w:jc w:val="both"/>
        <w:rPr>
          <w:rFonts w:cs="Arial"/>
          <w:color w:val="000000" w:themeColor="text1"/>
          <w:sz w:val="20"/>
          <w:szCs w:val="24"/>
        </w:rPr>
      </w:pPr>
    </w:p>
    <w:sectPr w:rsidR="00764EB1" w:rsidRPr="00A0360A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589" w:rsidRDefault="00D25589" w:rsidP="00842086">
      <w:r>
        <w:separator/>
      </w:r>
    </w:p>
  </w:endnote>
  <w:endnote w:type="continuationSeparator" w:id="0">
    <w:p w:rsidR="00D25589" w:rsidRDefault="00D25589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3679">
      <w:rPr>
        <w:noProof/>
      </w:rPr>
      <w:t>6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3679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589" w:rsidRDefault="00D25589" w:rsidP="00842086">
      <w:r>
        <w:separator/>
      </w:r>
    </w:p>
  </w:footnote>
  <w:footnote w:type="continuationSeparator" w:id="0">
    <w:p w:rsidR="00D25589" w:rsidRDefault="00D25589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064"/>
      <w:gridCol w:w="6005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2007B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152650" cy="1111435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R15_Portugues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6988" cy="11291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273B85">
            <w:rPr>
              <w:rFonts w:ascii="Arial" w:hAnsi="Arial" w:cs="Arial"/>
              <w:b/>
              <w:sz w:val="28"/>
              <w:szCs w:val="28"/>
            </w:rPr>
            <w:t>25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86"/>
    <w:rsid w:val="00006A74"/>
    <w:rsid w:val="000C0815"/>
    <w:rsid w:val="000C0894"/>
    <w:rsid w:val="000C7F3F"/>
    <w:rsid w:val="000E6393"/>
    <w:rsid w:val="00103946"/>
    <w:rsid w:val="00132719"/>
    <w:rsid w:val="00193747"/>
    <w:rsid w:val="001965B6"/>
    <w:rsid w:val="001B071B"/>
    <w:rsid w:val="001B0976"/>
    <w:rsid w:val="002158EA"/>
    <w:rsid w:val="0022423B"/>
    <w:rsid w:val="00237B3A"/>
    <w:rsid w:val="00256685"/>
    <w:rsid w:val="00264138"/>
    <w:rsid w:val="00273B85"/>
    <w:rsid w:val="002A1E27"/>
    <w:rsid w:val="00300B92"/>
    <w:rsid w:val="00314BDB"/>
    <w:rsid w:val="00327F69"/>
    <w:rsid w:val="0036380F"/>
    <w:rsid w:val="003967EB"/>
    <w:rsid w:val="003B7B4E"/>
    <w:rsid w:val="003D5BFF"/>
    <w:rsid w:val="003D6CBE"/>
    <w:rsid w:val="0040140A"/>
    <w:rsid w:val="00412AA7"/>
    <w:rsid w:val="00471ADB"/>
    <w:rsid w:val="004A005A"/>
    <w:rsid w:val="004B7788"/>
    <w:rsid w:val="004C0021"/>
    <w:rsid w:val="004D28C1"/>
    <w:rsid w:val="004D421E"/>
    <w:rsid w:val="004F050F"/>
    <w:rsid w:val="005600AD"/>
    <w:rsid w:val="0056683F"/>
    <w:rsid w:val="005A66BD"/>
    <w:rsid w:val="005B3CEF"/>
    <w:rsid w:val="005B7D75"/>
    <w:rsid w:val="005C4925"/>
    <w:rsid w:val="005C5B4E"/>
    <w:rsid w:val="005D7856"/>
    <w:rsid w:val="00605710"/>
    <w:rsid w:val="00615A71"/>
    <w:rsid w:val="0062557C"/>
    <w:rsid w:val="006435E0"/>
    <w:rsid w:val="00675939"/>
    <w:rsid w:val="006E3142"/>
    <w:rsid w:val="006E7756"/>
    <w:rsid w:val="006F3664"/>
    <w:rsid w:val="007178AA"/>
    <w:rsid w:val="0072007B"/>
    <w:rsid w:val="0072285E"/>
    <w:rsid w:val="00764EB1"/>
    <w:rsid w:val="007662D7"/>
    <w:rsid w:val="007A5687"/>
    <w:rsid w:val="007E2560"/>
    <w:rsid w:val="007F7936"/>
    <w:rsid w:val="00806F69"/>
    <w:rsid w:val="00820EE1"/>
    <w:rsid w:val="0083277E"/>
    <w:rsid w:val="00842086"/>
    <w:rsid w:val="008500E0"/>
    <w:rsid w:val="008545CB"/>
    <w:rsid w:val="00854EE5"/>
    <w:rsid w:val="008675C5"/>
    <w:rsid w:val="00883495"/>
    <w:rsid w:val="008A590E"/>
    <w:rsid w:val="008A7749"/>
    <w:rsid w:val="008C7069"/>
    <w:rsid w:val="008E7D7F"/>
    <w:rsid w:val="00913328"/>
    <w:rsid w:val="0092578B"/>
    <w:rsid w:val="009271A8"/>
    <w:rsid w:val="00931773"/>
    <w:rsid w:val="00932C2C"/>
    <w:rsid w:val="009403DB"/>
    <w:rsid w:val="0099566E"/>
    <w:rsid w:val="00A0360A"/>
    <w:rsid w:val="00A274F8"/>
    <w:rsid w:val="00A51516"/>
    <w:rsid w:val="00A621DA"/>
    <w:rsid w:val="00A91CC2"/>
    <w:rsid w:val="00AB3B7A"/>
    <w:rsid w:val="00AC3176"/>
    <w:rsid w:val="00AC75F7"/>
    <w:rsid w:val="00AC7BE3"/>
    <w:rsid w:val="00AD266A"/>
    <w:rsid w:val="00AD6C38"/>
    <w:rsid w:val="00AE02B1"/>
    <w:rsid w:val="00B046D5"/>
    <w:rsid w:val="00B11FD8"/>
    <w:rsid w:val="00B13806"/>
    <w:rsid w:val="00B13EFD"/>
    <w:rsid w:val="00B25C8F"/>
    <w:rsid w:val="00B27481"/>
    <w:rsid w:val="00B40F4C"/>
    <w:rsid w:val="00B43186"/>
    <w:rsid w:val="00B73902"/>
    <w:rsid w:val="00B90C59"/>
    <w:rsid w:val="00BA4C9C"/>
    <w:rsid w:val="00BA7D12"/>
    <w:rsid w:val="00BB798C"/>
    <w:rsid w:val="00BC1BBC"/>
    <w:rsid w:val="00BE0221"/>
    <w:rsid w:val="00C102D5"/>
    <w:rsid w:val="00C44A37"/>
    <w:rsid w:val="00C57F32"/>
    <w:rsid w:val="00C85228"/>
    <w:rsid w:val="00C855A3"/>
    <w:rsid w:val="00CA289A"/>
    <w:rsid w:val="00CB1316"/>
    <w:rsid w:val="00CF02E6"/>
    <w:rsid w:val="00CF2944"/>
    <w:rsid w:val="00D25589"/>
    <w:rsid w:val="00D43679"/>
    <w:rsid w:val="00E05AB8"/>
    <w:rsid w:val="00E548B4"/>
    <w:rsid w:val="00E91A45"/>
    <w:rsid w:val="00EA1DC4"/>
    <w:rsid w:val="00EA7953"/>
    <w:rsid w:val="00ED28BC"/>
    <w:rsid w:val="00EF4AFC"/>
    <w:rsid w:val="00F12661"/>
    <w:rsid w:val="00F34DFC"/>
    <w:rsid w:val="00F503A5"/>
    <w:rsid w:val="00F63177"/>
    <w:rsid w:val="00F637D7"/>
    <w:rsid w:val="00F723D8"/>
    <w:rsid w:val="00FA7129"/>
    <w:rsid w:val="00FB378C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87D310-A137-4670-8204-3FA6432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80D9D-5C09-491D-8D95-A0B1514A8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6</Pages>
  <Words>1365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Lucas Ribeiro</cp:lastModifiedBy>
  <cp:revision>16</cp:revision>
  <cp:lastPrinted>2013-01-24T15:49:00Z</cp:lastPrinted>
  <dcterms:created xsi:type="dcterms:W3CDTF">2017-11-28T20:00:00Z</dcterms:created>
  <dcterms:modified xsi:type="dcterms:W3CDTF">2017-12-18T13:22:00Z</dcterms:modified>
</cp:coreProperties>
</file>