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5A" w:rsidRDefault="009A195A" w:rsidP="008D43AA">
      <w:pPr>
        <w:pStyle w:val="TCU-Epgrafe"/>
        <w:ind w:left="3402"/>
        <w:rPr>
          <w:szCs w:val="24"/>
        </w:rPr>
      </w:pPr>
      <w:bookmarkStart w:id="0" w:name="_GoBack"/>
      <w:bookmarkEnd w:id="0"/>
    </w:p>
    <w:p w:rsidR="00AD3C90" w:rsidRPr="008659BF" w:rsidRDefault="000F2444" w:rsidP="008D43AA">
      <w:pPr>
        <w:pStyle w:val="TCU-Epgrafe"/>
        <w:ind w:left="3402"/>
        <w:rPr>
          <w:szCs w:val="24"/>
        </w:rPr>
      </w:pPr>
      <w:r w:rsidRPr="008659BF">
        <w:rPr>
          <w:szCs w:val="24"/>
        </w:rPr>
        <w:t xml:space="preserve">GRUPO </w:t>
      </w:r>
      <w:r w:rsidR="00070AA3">
        <w:rPr>
          <w:szCs w:val="24"/>
        </w:rPr>
        <w:t>I</w:t>
      </w:r>
      <w:r w:rsidR="00AD3C90" w:rsidRPr="008659BF">
        <w:rPr>
          <w:szCs w:val="24"/>
        </w:rPr>
        <w:t xml:space="preserve"> – CLASSE </w:t>
      </w:r>
      <w:r w:rsidR="00070AA3">
        <w:rPr>
          <w:szCs w:val="24"/>
        </w:rPr>
        <w:t>VII</w:t>
      </w:r>
      <w:r w:rsidRPr="008659BF">
        <w:rPr>
          <w:szCs w:val="24"/>
        </w:rPr>
        <w:t xml:space="preserve"> </w:t>
      </w:r>
      <w:r w:rsidR="00AD3C90" w:rsidRPr="008659BF">
        <w:rPr>
          <w:szCs w:val="24"/>
        </w:rPr>
        <w:t xml:space="preserve">– </w:t>
      </w:r>
      <w:r w:rsidRPr="008659BF">
        <w:rPr>
          <w:szCs w:val="24"/>
        </w:rPr>
        <w:t>Plenário</w:t>
      </w:r>
    </w:p>
    <w:p w:rsidR="00AD3C90" w:rsidRPr="008659BF" w:rsidRDefault="000F2444" w:rsidP="008D43AA">
      <w:pPr>
        <w:pStyle w:val="TCU-Epgrafe"/>
        <w:ind w:left="3402"/>
        <w:rPr>
          <w:szCs w:val="24"/>
        </w:rPr>
      </w:pPr>
      <w:r w:rsidRPr="008659BF">
        <w:rPr>
          <w:szCs w:val="24"/>
        </w:rPr>
        <w:t xml:space="preserve">TC 003.403/2018-1 </w:t>
      </w:r>
    </w:p>
    <w:p w:rsidR="00AD3C90" w:rsidRPr="008659BF" w:rsidRDefault="00AD3C90" w:rsidP="008D43AA">
      <w:pPr>
        <w:pStyle w:val="TCU-Epgrafe"/>
        <w:ind w:left="3402"/>
        <w:rPr>
          <w:szCs w:val="24"/>
          <w:u w:val="single"/>
        </w:rPr>
      </w:pPr>
      <w:r w:rsidRPr="009A195A">
        <w:rPr>
          <w:b/>
          <w:szCs w:val="24"/>
        </w:rPr>
        <w:t>Natureza:</w:t>
      </w:r>
      <w:r w:rsidRPr="008659BF">
        <w:rPr>
          <w:szCs w:val="24"/>
        </w:rPr>
        <w:t xml:space="preserve"> </w:t>
      </w:r>
      <w:r w:rsidR="000F2444" w:rsidRPr="008659BF">
        <w:rPr>
          <w:szCs w:val="24"/>
        </w:rPr>
        <w:t>Desestatização</w:t>
      </w:r>
    </w:p>
    <w:p w:rsidR="00AD3C90" w:rsidRPr="008659BF" w:rsidRDefault="003E35D7" w:rsidP="008D43AA">
      <w:pPr>
        <w:pStyle w:val="TCU-Epgrafe"/>
        <w:ind w:left="3402"/>
        <w:rPr>
          <w:szCs w:val="24"/>
        </w:rPr>
      </w:pPr>
      <w:r w:rsidRPr="009A195A">
        <w:rPr>
          <w:b/>
          <w:szCs w:val="24"/>
        </w:rPr>
        <w:t>Órgão/Entidade</w:t>
      </w:r>
      <w:r w:rsidR="005264AF" w:rsidRPr="009A195A">
        <w:rPr>
          <w:b/>
          <w:szCs w:val="24"/>
        </w:rPr>
        <w:t>:</w:t>
      </w:r>
      <w:r w:rsidR="005264AF" w:rsidRPr="008659BF">
        <w:rPr>
          <w:szCs w:val="24"/>
        </w:rPr>
        <w:t xml:space="preserve"> Agência Nacional do Petróleo, Gás Natural e Biocombustíveis</w:t>
      </w:r>
    </w:p>
    <w:p w:rsidR="00EA61D7" w:rsidRPr="008659BF" w:rsidRDefault="007250BA" w:rsidP="008D43AA">
      <w:pPr>
        <w:pStyle w:val="TCU-Epgrafe"/>
        <w:ind w:left="3402"/>
        <w:rPr>
          <w:szCs w:val="24"/>
        </w:rPr>
      </w:pPr>
      <w:r w:rsidRPr="009A195A">
        <w:rPr>
          <w:b/>
          <w:szCs w:val="24"/>
        </w:rPr>
        <w:t>Representação legal:</w:t>
      </w:r>
      <w:r w:rsidRPr="00DE0343">
        <w:rPr>
          <w:szCs w:val="24"/>
        </w:rPr>
        <w:t xml:space="preserve"> não há</w:t>
      </w:r>
      <w:r w:rsidR="00070AA3">
        <w:rPr>
          <w:szCs w:val="24"/>
        </w:rPr>
        <w:t>.</w:t>
      </w:r>
    </w:p>
    <w:p w:rsidR="000F2444" w:rsidRPr="008659BF" w:rsidRDefault="000F2444" w:rsidP="008D43AA">
      <w:pPr>
        <w:pStyle w:val="TCU-Epgrafe"/>
        <w:ind w:left="3402"/>
      </w:pPr>
    </w:p>
    <w:p w:rsidR="00EA61D7" w:rsidRPr="008659BF" w:rsidRDefault="00EA61D7" w:rsidP="008D43AA">
      <w:pPr>
        <w:pStyle w:val="TCU-Epgrafe"/>
        <w:ind w:left="3402"/>
      </w:pPr>
      <w:r w:rsidRPr="009A195A">
        <w:rPr>
          <w:b/>
        </w:rPr>
        <w:t>SUMÁRIO:</w:t>
      </w:r>
      <w:r w:rsidRPr="008659BF">
        <w:t xml:space="preserve"> </w:t>
      </w:r>
      <w:r w:rsidR="00070AA3" w:rsidRPr="00B3337E">
        <w:t xml:space="preserve">DESESTATIZAÇÃO. </w:t>
      </w:r>
      <w:r w:rsidR="00070AA3">
        <w:t>4</w:t>
      </w:r>
      <w:r w:rsidR="00070AA3" w:rsidRPr="00B3337E">
        <w:t xml:space="preserve">ª RODADA DE LICITAÇÕES PARA OUTORGA DE BLOCO PARA EXPLORAÇÃO E PRODUÇÃO DE PETRÓLEO E GÁS NATURAL EM ÁREA DO PRÉ-SAL NO REGIME DE PARTILHA DE PRODUÇÃO. EXAME </w:t>
      </w:r>
      <w:r w:rsidR="00070AA3">
        <w:t xml:space="preserve">DO </w:t>
      </w:r>
      <w:r w:rsidR="00070AA3" w:rsidRPr="00B3337E">
        <w:t>SEGUNDO ESTÁGIO NOS TERMOS DA IN-TCU 27/1998. ATENDIMENTO AOS REQUISITOS FORMAIS.  CIÊNCIA.</w:t>
      </w:r>
      <w:r w:rsidR="00070AA3">
        <w:t xml:space="preserve"> </w:t>
      </w:r>
      <w:r w:rsidR="00070AA3" w:rsidRPr="00B3337E">
        <w:t>RESTITUIÇÃO DOS AUTOS À UNIDADE TÉCNICA PARA EXAME DO</w:t>
      </w:r>
      <w:r w:rsidR="00070AA3">
        <w:t>S DEMAIS ESTÁGIOS</w:t>
      </w:r>
      <w:r w:rsidR="00070AA3" w:rsidRPr="00B3337E">
        <w:t>.</w:t>
      </w:r>
    </w:p>
    <w:p w:rsidR="00EA61D7" w:rsidRPr="008659BF" w:rsidRDefault="00EA61D7" w:rsidP="00AD3C90">
      <w:pPr>
        <w:pStyle w:val="TCU-Epgrafe"/>
        <w:ind w:left="0"/>
        <w:rPr>
          <w:u w:val="single"/>
        </w:rPr>
      </w:pPr>
    </w:p>
    <w:p w:rsidR="00EA61D7" w:rsidRPr="009A195A" w:rsidRDefault="008D43AA" w:rsidP="008D43AA">
      <w:pPr>
        <w:pStyle w:val="TCU-Epgrafe"/>
        <w:ind w:left="0"/>
        <w:jc w:val="center"/>
        <w:rPr>
          <w:b/>
        </w:rPr>
      </w:pPr>
      <w:r w:rsidRPr="009A195A">
        <w:rPr>
          <w:b/>
        </w:rPr>
        <w:t>RELATÓRIO</w:t>
      </w:r>
    </w:p>
    <w:p w:rsidR="00EA61D7" w:rsidRDefault="00EA61D7" w:rsidP="00AD3C90">
      <w:pPr>
        <w:pStyle w:val="TCU-Epgrafe"/>
        <w:ind w:left="0"/>
      </w:pPr>
    </w:p>
    <w:p w:rsidR="000946FF" w:rsidRDefault="00602307" w:rsidP="009A195A">
      <w:pPr>
        <w:pStyle w:val="TCU-Epgrafe"/>
        <w:spacing w:before="120" w:after="120"/>
        <w:ind w:left="0" w:firstLine="1134"/>
      </w:pPr>
      <w:r>
        <w:t>Adoto como R</w:t>
      </w:r>
      <w:r w:rsidR="000946FF" w:rsidRPr="00B3337E">
        <w:t xml:space="preserve">elatório a instrução de mérito elaborada no âmbito da Secretaria de Fiscalização de Infraestrutura de Petróleo e Gás Natural (peça </w:t>
      </w:r>
      <w:r w:rsidR="00184BC7">
        <w:t>27</w:t>
      </w:r>
      <w:r w:rsidR="000946FF" w:rsidRPr="00B3337E">
        <w:t xml:space="preserve">), cuja proposta de encaminhamento foi integralmente acolhida pelo corpo dirigente daquela unidade técnica (peças </w:t>
      </w:r>
      <w:r w:rsidR="00184BC7">
        <w:t>28</w:t>
      </w:r>
      <w:r w:rsidR="000946FF" w:rsidRPr="00B3337E">
        <w:t>-</w:t>
      </w:r>
      <w:r w:rsidR="00184BC7">
        <w:t>29</w:t>
      </w:r>
      <w:r w:rsidR="000946FF" w:rsidRPr="00B3337E">
        <w:t>):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0"/>
        <w:rPr>
          <w:b/>
          <w:caps/>
          <w:sz w:val="22"/>
          <w:lang w:eastAsia="pt-BR"/>
        </w:rPr>
      </w:pPr>
      <w:r w:rsidRPr="00C454F4">
        <w:rPr>
          <w:caps/>
          <w:sz w:val="22"/>
          <w:lang w:eastAsia="pt-BR"/>
        </w:rPr>
        <w:t>“</w:t>
      </w:r>
      <w:r w:rsidRPr="00C454F4">
        <w:rPr>
          <w:b/>
          <w:caps/>
          <w:sz w:val="22"/>
          <w:lang w:eastAsia="pt-BR"/>
        </w:rPr>
        <w:t>1.</w:t>
      </w:r>
      <w:r w:rsidRPr="00C454F4">
        <w:rPr>
          <w:b/>
          <w:caps/>
          <w:sz w:val="22"/>
          <w:lang w:eastAsia="pt-BR"/>
        </w:rPr>
        <w:tab/>
        <w:t>Introdução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1.</w:t>
      </w:r>
      <w:r w:rsidRPr="00C454F4">
        <w:rPr>
          <w:sz w:val="22"/>
          <w:lang w:eastAsia="ar-SA"/>
        </w:rPr>
        <w:tab/>
        <w:t>Trata-se de processo de acompanhamento da Quarta Rodada de Licitações no Regime de Partilha de Produção, com vistas à outorga de bloco para exploração e produção de petróleo e gás natural em áreas do pré-sal, realizada pela Agência Nacional do Petróleo, Gás Natural e Biocombustíveis (ANP), nos termos da Instrução Normativa (IN) TCU 27/1998.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2.</w:t>
      </w:r>
      <w:r w:rsidRPr="00C454F4">
        <w:rPr>
          <w:sz w:val="22"/>
          <w:lang w:eastAsia="ar-SA"/>
        </w:rPr>
        <w:tab/>
        <w:t>As licitações para a outorga de blocos para exploração e produção de petróleo e gás natural são regidas pelo art. 177 da Constituição Federal de 1988, pela legislação setorial específica, especialmente pela Lei 9.478/1997 e pela Lei 12.351/2010, que estabelece regras específicas para as áreas do Polígono do Pré-sal.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3.</w:t>
      </w:r>
      <w:r w:rsidRPr="00C454F4">
        <w:rPr>
          <w:sz w:val="22"/>
          <w:lang w:eastAsia="ar-SA"/>
        </w:rPr>
        <w:tab/>
        <w:t>Cabe destacar que as regras para o Regime de Partilha de Produção estabeleceram novos procedimentos para a elaboração da licitação, diferenciados do regime de concessão. Apesar da promoção da licitação permanecer na competência da ANP, os artigos 9º e 10 da Lei 12.351/2010 reservaram competências específicas ao Conselho Nacional de Política Energética (CNPE) e ao Ministério de Minas e Energia (MME) para definições dos parâmetros técnicos e econômicos que devem ser estabelecidos no contrato de partilha de produção.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4.</w:t>
      </w:r>
      <w:r w:rsidRPr="00C454F4">
        <w:rPr>
          <w:sz w:val="22"/>
          <w:lang w:eastAsia="ar-SA"/>
        </w:rPr>
        <w:tab/>
        <w:t>No âmbito do Tribunal de Contas da União, os procedimentos para outorga estão disciplinados pela IN-TCU 27/1998, que dispõe sobre o acompanhamento dos processos de outorga em quatro estágios, mediante análise da documentação remetida pelo poder concedente.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5.</w:t>
      </w:r>
      <w:r w:rsidRPr="00C454F4">
        <w:rPr>
          <w:sz w:val="22"/>
          <w:lang w:eastAsia="ar-SA"/>
        </w:rPr>
        <w:tab/>
        <w:t xml:space="preserve">A presente instrução visa apresentar análise técnica acerca do </w:t>
      </w:r>
      <w:r w:rsidRPr="00C454F4">
        <w:rPr>
          <w:sz w:val="22"/>
          <w:u w:val="single"/>
          <w:lang w:eastAsia="ar-SA"/>
        </w:rPr>
        <w:t>segundo estágio</w:t>
      </w:r>
      <w:r w:rsidRPr="00C454F4">
        <w:rPr>
          <w:sz w:val="22"/>
          <w:lang w:eastAsia="ar-SA"/>
        </w:rPr>
        <w:t xml:space="preserve"> de acompanhamento da Quarta Rodada de Licitação no modelo de Partilha de Produção.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0"/>
        <w:rPr>
          <w:b/>
          <w:caps/>
          <w:sz w:val="22"/>
          <w:lang w:eastAsia="pt-BR"/>
        </w:rPr>
      </w:pPr>
      <w:r w:rsidRPr="00C454F4">
        <w:rPr>
          <w:b/>
          <w:caps/>
          <w:sz w:val="22"/>
          <w:lang w:eastAsia="pt-BR"/>
        </w:rPr>
        <w:t>2.</w:t>
      </w:r>
      <w:r w:rsidRPr="00C454F4">
        <w:rPr>
          <w:b/>
          <w:caps/>
          <w:sz w:val="22"/>
          <w:lang w:eastAsia="pt-BR"/>
        </w:rPr>
        <w:tab/>
        <w:t>HISTÓRICO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1. </w:t>
      </w:r>
      <w:r w:rsidRPr="00C454F4">
        <w:rPr>
          <w:spacing w:val="-5"/>
          <w:sz w:val="22"/>
          <w:lang w:eastAsia="ar-SA"/>
        </w:rPr>
        <w:t>A análise do Primeiro Estágio relativo à Quarta Rodada de Licitações, já foi procedida (peça 15), tendo sido exarado o Acórdão 816/2018-TCU-Plenário (peça 18) de relatoria do Ministro Aroldo Cedraz.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2. </w:t>
      </w:r>
      <w:r w:rsidRPr="00C454F4">
        <w:rPr>
          <w:spacing w:val="-5"/>
          <w:sz w:val="22"/>
          <w:lang w:eastAsia="ar-SA"/>
        </w:rPr>
        <w:t xml:space="preserve">Faz-se necessário, no entanto, rememorar acontecimento relevante quanto às áreas objetos </w:t>
      </w:r>
      <w:r w:rsidRPr="00C454F4">
        <w:rPr>
          <w:spacing w:val="-5"/>
          <w:sz w:val="22"/>
          <w:lang w:eastAsia="ar-SA"/>
        </w:rPr>
        <w:lastRenderedPageBreak/>
        <w:t>deste leilão. Inicialmente</w:t>
      </w:r>
      <w:r w:rsidRPr="00C454F4">
        <w:rPr>
          <w:sz w:val="22"/>
          <w:lang w:eastAsia="ar-SA"/>
        </w:rPr>
        <w:t xml:space="preserve">, o Conselho Nacional de Política Energética (CNPE) autorizou a licitação de cinco blocos. Todavia, em virtude dos riscos associados ao processo de unitização por que poderiam passar prospectos componentes do bloco de Saturno – contíguos ao Polígono do Pré-sal –, com potencial de provocar perdas consideráveis para a União, esta Corte, por intermédio do Acórdão 672/2018-TCU-Plenário (TC 000.016/2018-7), determinou a suspensão cautelar dos procedimentos da 15ª Rodada de Concessões para oferta dos Blocos S-M-645 e S-M-534, contíguos ao bloco de Saturno, previsto para compor a 4ª Rodada de Partilha da Produção. 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3. </w:t>
      </w:r>
      <w:r w:rsidRPr="00C454F4">
        <w:rPr>
          <w:sz w:val="22"/>
          <w:lang w:eastAsia="ar-SA"/>
        </w:rPr>
        <w:t>A provável unitização dos processos de produção deveu-se à decisão do Poder Concedente de licitar blocos contíguos ao Polígono do Pré-sal, que compartilham reservatórios comuns, em regimes distintos de outorga.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4. </w:t>
      </w:r>
      <w:r w:rsidRPr="00C454F4">
        <w:rPr>
          <w:sz w:val="22"/>
          <w:lang w:eastAsia="ar-SA"/>
        </w:rPr>
        <w:t xml:space="preserve">Em decorrência dessa medida de urgência e, após apresentação da estratégia para retomada das áreas excluídas da 15ª Rodada de Concessões para esta Unidade Técnica, a ANP e o MME resolveram excluir o bloco de Saturno da 4ª Rodada de Partilha da Produção para que se desse a continuidade do certame. Isso porque a nova estratégia apontou a indicação da oferta do Bloco de </w:t>
      </w:r>
      <w:r w:rsidRPr="00C454F4">
        <w:rPr>
          <w:sz w:val="22"/>
          <w:lang w:eastAsia="ar-SA"/>
        </w:rPr>
        <w:br/>
        <w:t xml:space="preserve">Saturno, juntamente com os blocos excluídos da 15ª Rodada de Concessões (Blocos S-M-645 e S-M-534), no âmbito da 5ª Rodada de Partilha da Produção, já aprovada pelo Conselho Nacional de Política Energética (CNPE), por meio da Resolução 4/2018, publicada no Diário Oficial da União em 11/5/2018, Seção 1, p. 5-6. 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5. </w:t>
      </w:r>
      <w:r w:rsidRPr="00C454F4">
        <w:rPr>
          <w:sz w:val="22"/>
          <w:lang w:eastAsia="ar-SA"/>
        </w:rPr>
        <w:t>A solicitação da exclusão do bloco se deu por meio do Ofício 191/2018/GM-MME no dia 4/4/2018 (peça 22, em anexo não digitalizável).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6. </w:t>
      </w:r>
      <w:r w:rsidRPr="00C454F4">
        <w:rPr>
          <w:sz w:val="22"/>
          <w:lang w:eastAsia="ar-SA"/>
        </w:rPr>
        <w:t>Assim, o edital do leilão da 4ª Rodada de Partilha da Produção foi republicado, em 5/4/2018, já contemplando a exclusão do bloco de Saturno.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7. </w:t>
      </w:r>
      <w:r w:rsidRPr="00C454F4">
        <w:rPr>
          <w:sz w:val="22"/>
          <w:lang w:eastAsia="ar-SA"/>
        </w:rPr>
        <w:t>Desse modo, com a exclusão do bloco de Saturno da Rodada em análise, o Plenário do TCU ao julgar o Primeiro Estágio de Fiscalização da Rodada em questão considerou, com fundamento no art. 258, inciso II, do Regimento Interno do TCU, que sob o ponto de vista formal, a Agência Nacional do Petróleo, Gás Natural e Biocombustíveis (ANP) atendeu aos requisitos previstos no art. 7º, inciso I, e 8º, inciso I, referentes ao 1° Estágio da Instrução Normativa TCU 27/1998 para a concessão de exploração de petróleo e gás natural no âmbito da 4ª Rodada de Partilha da Produção, além de emitir algumas determinações e recomendações que constam naquele Acórdão.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8. </w:t>
      </w:r>
      <w:r w:rsidRPr="00C454F4">
        <w:rPr>
          <w:sz w:val="22"/>
          <w:lang w:eastAsia="ar-SA"/>
        </w:rPr>
        <w:t>Uma das determinações emanadas determinava que fossem estabelecidos procedimentos de revisão contínua relativa à metodologia de cálculo do valor referente ao Programa Exploratório Mínimo (PEM), o qual serve como base de cálculo para a garantia financeira atrelada ao seu cumprimento, de forma a refletir custos mais realistas e atualizados de perfuração de poços. Desse modo, o Edital que foi publicado já refletiu essa alteração e colocou valores atualizados para a garantia financeira referente ao PEM com base na Nota Técnica SPL 17/2018 (Peça 22, em anexo não digitalizável)</w:t>
      </w:r>
    </w:p>
    <w:p w:rsidR="00184BC7" w:rsidRPr="00C454F4" w:rsidRDefault="00184BC7" w:rsidP="009A195A">
      <w:pPr>
        <w:widowControl w:val="0"/>
        <w:tabs>
          <w:tab w:val="left" w:pos="1134"/>
        </w:tabs>
        <w:autoSpaceDE w:val="0"/>
        <w:autoSpaceDN w:val="0"/>
        <w:ind w:left="1134"/>
        <w:jc w:val="both"/>
        <w:rPr>
          <w:spacing w:val="-5"/>
          <w:sz w:val="22"/>
          <w:lang w:eastAsia="ar-SA"/>
        </w:rPr>
      </w:pPr>
      <w:r w:rsidRPr="00C454F4">
        <w:rPr>
          <w:spacing w:val="-22"/>
          <w:sz w:val="22"/>
          <w:lang w:eastAsia="ar-SA"/>
        </w:rPr>
        <w:t xml:space="preserve">9. </w:t>
      </w:r>
      <w:r w:rsidRPr="00C454F4">
        <w:rPr>
          <w:spacing w:val="-5"/>
          <w:sz w:val="22"/>
          <w:lang w:eastAsia="ar-SA"/>
        </w:rPr>
        <w:t>Assim sendo, passa-se agora para a análise de Segundo Estágio de fiscalização da licitação, cujos documentos foram encaminhados pela ANP ao TCU, conforme peça 22, além de a documentação estar disponibilizada publicamente no sítio eletrônico http://www.brasil-rounds.gov.br/.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0"/>
        <w:rPr>
          <w:b/>
          <w:caps/>
          <w:sz w:val="22"/>
          <w:lang w:eastAsia="pt-BR"/>
        </w:rPr>
      </w:pPr>
      <w:r w:rsidRPr="00C454F4">
        <w:rPr>
          <w:b/>
          <w:caps/>
          <w:sz w:val="22"/>
          <w:lang w:eastAsia="pt-BR"/>
        </w:rPr>
        <w:t>3.</w:t>
      </w:r>
      <w:r w:rsidRPr="00C454F4">
        <w:rPr>
          <w:b/>
          <w:caps/>
          <w:sz w:val="22"/>
          <w:lang w:eastAsia="pt-BR"/>
        </w:rPr>
        <w:tab/>
        <w:t>EXAME TÉCNICO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1"/>
        <w:rPr>
          <w:b/>
          <w:sz w:val="22"/>
          <w:lang w:eastAsia="ar-SA"/>
        </w:rPr>
      </w:pPr>
      <w:r w:rsidRPr="00C454F4">
        <w:rPr>
          <w:b/>
          <w:sz w:val="22"/>
          <w:lang w:eastAsia="ar-SA"/>
        </w:rPr>
        <w:t>3.1</w:t>
      </w:r>
      <w:r w:rsidRPr="00C454F4">
        <w:rPr>
          <w:b/>
          <w:sz w:val="22"/>
          <w:lang w:eastAsia="ar-SA"/>
        </w:rPr>
        <w:tab/>
        <w:t>SEGUNDO ESTÁGIO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6. Conforme disposto no inciso II, do art. 7°da IN TCU 27/1998, os documentos objetos de análise no Segundo Estágio são: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a)</w:t>
      </w:r>
      <w:r w:rsidRPr="00C454F4">
        <w:rPr>
          <w:sz w:val="22"/>
          <w:lang w:eastAsia="ar-SA"/>
        </w:rPr>
        <w:tab/>
        <w:t>edital de pré-qualificação;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b)</w:t>
      </w:r>
      <w:r w:rsidRPr="00C454F4">
        <w:rPr>
          <w:sz w:val="22"/>
          <w:lang w:eastAsia="ar-SA"/>
        </w:rPr>
        <w:tab/>
        <w:t>atas de abertura e de encerramento da pré-qualificação;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c)</w:t>
      </w:r>
      <w:r w:rsidRPr="00C454F4">
        <w:rPr>
          <w:sz w:val="22"/>
          <w:lang w:eastAsia="ar-SA"/>
        </w:rPr>
        <w:tab/>
        <w:t>relatório de julgamento da pré-qualificação;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d)</w:t>
      </w:r>
      <w:r w:rsidRPr="00C454F4">
        <w:rPr>
          <w:sz w:val="22"/>
          <w:lang w:eastAsia="ar-SA"/>
        </w:rPr>
        <w:tab/>
        <w:t>recursos eventualmente interpostos e decisões proferidas referentes à pré-qualificação;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e)</w:t>
      </w:r>
      <w:r w:rsidRPr="00C454F4">
        <w:rPr>
          <w:sz w:val="22"/>
          <w:lang w:eastAsia="ar-SA"/>
        </w:rPr>
        <w:tab/>
        <w:t>edital de licitação;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f)</w:t>
      </w:r>
      <w:r w:rsidRPr="00C454F4">
        <w:rPr>
          <w:sz w:val="22"/>
          <w:lang w:eastAsia="ar-SA"/>
        </w:rPr>
        <w:tab/>
        <w:t>minuta de contrato;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lastRenderedPageBreak/>
        <w:t>g)</w:t>
      </w:r>
      <w:r w:rsidRPr="00C454F4">
        <w:rPr>
          <w:sz w:val="22"/>
          <w:lang w:eastAsia="ar-SA"/>
        </w:rPr>
        <w:tab/>
        <w:t>todas as comunicações e esclarecimentos porventura encaminhados às empresas participantes da licitação, bem como as impugnações ao edital, acompanhadas das respectivas respostas.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7. Usualmente, as rodadas de licitação da ANP não utilizam a fase de pré-qualificação, prevendo diretamente a habilitação das empresas como condição para apresentação das ofertas. Dessa forma, o item 4 do Edital definiu as regras e condições para participação na Licitação.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 xml:space="preserve">8. Assim sendo, as etapas previstas nos itens ”a”, “b”, “c” e “d” do inciso II, do art. 7° da IN TCU 27/1998, acima dispostas, ficaram suprimidas, sendo a etapa de habilitação da licitante vencedora avaliada no Terceiro Estágio dessa Instrução Normativa. 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9. Conforme procedimento adotado na análise de rodadas anteriores, neste Segundo Estágio, os documentos a serem analisados são compostos estritamente pelo edital de licitação, minuta de contrato, comunicações e esclarecimentos encaminhados às empresas, impugnações e respectivas respostas.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10.</w:t>
      </w:r>
      <w:r w:rsidRPr="00C454F4">
        <w:rPr>
          <w:sz w:val="22"/>
          <w:lang w:eastAsia="ar-SA"/>
        </w:rPr>
        <w:tab/>
        <w:t>Desse modo, os documentos relativos ao Segundo Estágio de fiscalização da licitação foram encaminhados pela ANP ao TCU, conforme peça 22, além de a documentação estar disponibilizada publicamente no sítio eletrônico http://www.brasil-rounds.gov.br/.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2"/>
        <w:rPr>
          <w:sz w:val="22"/>
          <w:u w:val="single"/>
          <w:lang w:eastAsia="ar-SA"/>
        </w:rPr>
      </w:pPr>
      <w:r w:rsidRPr="00C454F4">
        <w:rPr>
          <w:sz w:val="22"/>
          <w:lang w:eastAsia="ar-SA"/>
        </w:rPr>
        <w:t>3.1.1</w:t>
      </w:r>
      <w:r w:rsidRPr="00C454F4">
        <w:rPr>
          <w:sz w:val="22"/>
          <w:lang w:eastAsia="ar-SA"/>
        </w:rPr>
        <w:tab/>
      </w:r>
      <w:r w:rsidRPr="00C454F4">
        <w:rPr>
          <w:sz w:val="22"/>
          <w:u w:val="single"/>
          <w:lang w:eastAsia="ar-SA"/>
        </w:rPr>
        <w:t>Edital de Licitação e Minuta de Contrato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11.</w:t>
      </w:r>
      <w:r w:rsidRPr="00C454F4">
        <w:rPr>
          <w:sz w:val="22"/>
          <w:lang w:eastAsia="ar-SA"/>
        </w:rPr>
        <w:tab/>
        <w:t>Com relação às disposições do Edital e da minuta de contrato, foi verificado o atendimento formal quanto à presença dos requisitos essenciais estabelecidos pela Lei 12.351/2010 (arts. 15 e 27), nesses documentos, para o Regime de Partilha de Produção. Um resumo se apresenta conforme o Quadro I, a seguir:</w:t>
      </w:r>
    </w:p>
    <w:p w:rsidR="00184BC7" w:rsidRPr="00C454F4" w:rsidRDefault="00184BC7" w:rsidP="009A195A">
      <w:pPr>
        <w:tabs>
          <w:tab w:val="left" w:pos="1134"/>
        </w:tabs>
        <w:spacing w:before="120"/>
        <w:jc w:val="center"/>
        <w:rPr>
          <w:sz w:val="22"/>
          <w:lang w:eastAsia="ar-SA"/>
        </w:rPr>
      </w:pPr>
      <w:r w:rsidRPr="00C454F4">
        <w:rPr>
          <w:sz w:val="22"/>
          <w:lang w:eastAsia="ar-SA"/>
        </w:rPr>
        <w:t>Quadro I – Verificação de itens constantes do edital e da minuta de contrato</w:t>
      </w:r>
    </w:p>
    <w:tbl>
      <w:tblPr>
        <w:tblW w:w="969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4"/>
        <w:gridCol w:w="1432"/>
        <w:gridCol w:w="1670"/>
      </w:tblGrid>
      <w:tr w:rsidR="00184BC7" w:rsidRPr="00C454F4">
        <w:trPr>
          <w:tblHeader/>
        </w:trPr>
        <w:tc>
          <w:tcPr>
            <w:tcW w:w="6594" w:type="dxa"/>
            <w:shd w:val="clear" w:color="auto" w:fill="BFBFB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b/>
                <w:sz w:val="22"/>
                <w:lang w:eastAsia="ar-SA"/>
              </w:rPr>
              <w:t>Itens</w:t>
            </w:r>
            <w:r w:rsidRPr="00C454F4">
              <w:rPr>
                <w:sz w:val="22"/>
                <w:lang w:eastAsia="ar-SA"/>
              </w:rPr>
              <w:t xml:space="preserve"> </w:t>
            </w:r>
            <w:r w:rsidRPr="00C454F4">
              <w:rPr>
                <w:b/>
                <w:sz w:val="22"/>
                <w:lang w:eastAsia="ar-SA"/>
              </w:rPr>
              <w:t>de verificação</w:t>
            </w:r>
          </w:p>
        </w:tc>
        <w:tc>
          <w:tcPr>
            <w:tcW w:w="1432" w:type="dxa"/>
            <w:shd w:val="clear" w:color="auto" w:fill="BFBFB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b/>
                <w:sz w:val="22"/>
                <w:lang w:eastAsia="ar-SA"/>
              </w:rPr>
              <w:t>Cláusula</w:t>
            </w:r>
          </w:p>
        </w:tc>
        <w:tc>
          <w:tcPr>
            <w:tcW w:w="1670" w:type="dxa"/>
            <w:shd w:val="clear" w:color="auto" w:fill="BFBFB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b/>
                <w:sz w:val="22"/>
                <w:lang w:eastAsia="ar-SA"/>
              </w:rPr>
              <w:t>Anexo, fls.</w:t>
            </w:r>
          </w:p>
        </w:tc>
      </w:tr>
      <w:tr w:rsidR="00184BC7" w:rsidRPr="00C454F4">
        <w:trPr>
          <w:cantSplit/>
        </w:trPr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720"/>
              </w:tabs>
              <w:ind w:left="720" w:hanging="360"/>
              <w:jc w:val="both"/>
              <w:outlineLvl w:val="0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</w:t>
            </w:r>
            <w:r w:rsidRPr="00C454F4">
              <w:rPr>
                <w:sz w:val="22"/>
                <w:lang w:eastAsia="ar-SA"/>
              </w:rPr>
              <w:tab/>
              <w:t>Edital de licitação.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84BC7" w:rsidRPr="00C454F4">
        <w:trPr>
          <w:cantSplit/>
          <w:trHeight w:val="120"/>
        </w:trPr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suppressAutoHyphens/>
              <w:jc w:val="both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 Bloco objeto do contrato de partilha de produção.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12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0"/>
              </w:tabs>
              <w:ind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1.2</w:t>
            </w:r>
            <w:r w:rsidRPr="00C454F4">
              <w:rPr>
                <w:sz w:val="22"/>
                <w:lang w:eastAsia="ar-SA"/>
              </w:rPr>
              <w:tab/>
              <w:t>1.2 Critério de julgamento da licitação.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8.5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69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1.3</w:t>
            </w:r>
            <w:r w:rsidRPr="00C454F4">
              <w:rPr>
                <w:sz w:val="22"/>
                <w:lang w:eastAsia="ar-SA"/>
              </w:rPr>
              <w:tab/>
              <w:t>Percentual mínimo do excedente em óleo da União.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8.3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63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1.4</w:t>
            </w:r>
            <w:r w:rsidRPr="00C454F4">
              <w:rPr>
                <w:sz w:val="22"/>
                <w:lang w:eastAsia="ar-SA"/>
              </w:rPr>
              <w:tab/>
              <w:t>Formação do consórcio previsto no art. 20 e a respectiva participação mínima da Petrobras.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2.3 e 5.1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14 e 52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1.5</w:t>
            </w:r>
            <w:r w:rsidRPr="00C454F4">
              <w:rPr>
                <w:sz w:val="22"/>
                <w:lang w:eastAsia="ar-SA"/>
              </w:rPr>
              <w:tab/>
              <w:t>Limites, prazos, critérios e condições para o cálculo e apropriação pelo contratado do custo em óleo e do volume da produção correspondente aos royalties devidos.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 (contrato)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19 e</w:t>
            </w:r>
          </w:p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VII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1.6</w:t>
            </w:r>
            <w:r w:rsidRPr="00C454F4">
              <w:rPr>
                <w:sz w:val="22"/>
                <w:lang w:eastAsia="ar-SA"/>
              </w:rPr>
              <w:tab/>
              <w:t>Critérios para definição do excedente em óleo do contratado.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9 (contrato)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22 e</w:t>
            </w:r>
          </w:p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VII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1.7</w:t>
            </w:r>
            <w:r w:rsidRPr="00C454F4">
              <w:rPr>
                <w:sz w:val="22"/>
                <w:lang w:eastAsia="ar-SA"/>
              </w:rPr>
              <w:tab/>
              <w:t>Programa exploratório mínimo e os investimentos estimados correspondentes.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2.5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15 e</w:t>
            </w:r>
          </w:p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XX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1.8</w:t>
            </w:r>
            <w:r w:rsidRPr="00C454F4">
              <w:rPr>
                <w:sz w:val="22"/>
                <w:lang w:eastAsia="ar-SA"/>
              </w:rPr>
              <w:tab/>
              <w:t>Conteúdo local mínimo e outros critérios relacionados ao desenvolvimento da indústria nacional.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2.6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15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1.9</w:t>
            </w:r>
            <w:r w:rsidRPr="00C454F4">
              <w:rPr>
                <w:sz w:val="22"/>
                <w:lang w:eastAsia="ar-SA"/>
              </w:rPr>
              <w:tab/>
              <w:t>Valor do bônus de assinatura, e a parcela a ser destinada à PPSA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2.4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15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1.10</w:t>
            </w:r>
            <w:r w:rsidRPr="00C454F4">
              <w:rPr>
                <w:sz w:val="22"/>
                <w:lang w:eastAsia="ar-SA"/>
              </w:rPr>
              <w:tab/>
              <w:t xml:space="preserve">Regras e as fases da licitação: 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ind w:left="9"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1.1, 1.3, 1.4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6 a 9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1.11</w:t>
            </w:r>
            <w:r w:rsidRPr="00C454F4">
              <w:rPr>
                <w:sz w:val="22"/>
                <w:lang w:eastAsia="ar-SA"/>
              </w:rPr>
              <w:tab/>
              <w:t>Regras aplicáveis à participação conjunta de empresas na licitação.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 xml:space="preserve">4 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22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suppressAutoHyphens/>
              <w:ind w:left="720" w:hanging="72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1.12     Relação de documentos exigidos e os critérios de habilitação técnica, jurídica, econômico-financeira e fiscal dos licitantes.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4.3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28-52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suppressAutoHyphens/>
              <w:ind w:left="720" w:hanging="72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1.13     Garantia a ser apresentada pelo licitante para sua habilitação.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7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57-60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suppressAutoHyphens/>
              <w:ind w:left="720" w:hanging="72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1.14     Prazo, o local e o horário em que serão fornecidos aos licitantes os dados, estudos e demais elementos e informações necessários à elaboração das propostas, bem como o custo de sua aquisição.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6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54 e 55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suppressAutoHyphens/>
              <w:ind w:left="720" w:hanging="72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1.15     Local, o horário e a forma para apresentação das propostas.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8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61-67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suppressAutoHyphens/>
              <w:ind w:left="720" w:hanging="72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1.16     Exigências para empresas estrangeiras.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3.1.1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19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ind w:left="720" w:hanging="360"/>
              <w:jc w:val="both"/>
              <w:rPr>
                <w:sz w:val="22"/>
                <w:lang w:eastAsia="ar-SA"/>
              </w:rPr>
            </w:pPr>
            <w:r w:rsidRPr="00C454F4">
              <w:rPr>
                <w:rFonts w:ascii="Symbol" w:hAnsi="Symbol"/>
                <w:sz w:val="22"/>
                <w:lang w:eastAsia="ar-SA"/>
              </w:rPr>
              <w:t></w:t>
            </w:r>
            <w:r w:rsidRPr="00C454F4">
              <w:rPr>
                <w:rFonts w:ascii="Symbol" w:hAnsi="Symbol"/>
                <w:sz w:val="22"/>
                <w:lang w:eastAsia="ar-SA"/>
              </w:rPr>
              <w:tab/>
            </w:r>
            <w:r w:rsidRPr="00C454F4">
              <w:rPr>
                <w:sz w:val="22"/>
                <w:lang w:eastAsia="ar-SA"/>
              </w:rPr>
              <w:t>encaminhado ao TCU em:</w:t>
            </w:r>
            <w:r w:rsidRPr="00C454F4">
              <w:rPr>
                <w:sz w:val="22"/>
                <w:lang w:eastAsia="ar-SA"/>
              </w:rPr>
              <w:tab/>
            </w:r>
          </w:p>
          <w:p w:rsidR="00184BC7" w:rsidRPr="00C454F4" w:rsidRDefault="00184BC7" w:rsidP="009A195A">
            <w:pPr>
              <w:widowControl w:val="0"/>
              <w:ind w:left="720"/>
              <w:jc w:val="both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 xml:space="preserve">* O edital de licitação, acompanhado da minuta de contrato, deve ser encaminhado ao TCU cinco dias, no máximo, após a </w:t>
            </w:r>
            <w:r w:rsidRPr="00C454F4">
              <w:rPr>
                <w:sz w:val="22"/>
                <w:lang w:eastAsia="ar-SA"/>
              </w:rPr>
              <w:lastRenderedPageBreak/>
              <w:t>sua publicação, conforme o art. 8º, II, c da IN TCU nº 27/1998.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lastRenderedPageBreak/>
              <w:t>11/4/2018</w:t>
            </w:r>
          </w:p>
          <w:p w:rsidR="00184BC7" w:rsidRPr="00C454F4" w:rsidRDefault="00184BC7" w:rsidP="009A195A">
            <w:pPr>
              <w:suppressAutoHyphens/>
              <w:rPr>
                <w:sz w:val="22"/>
                <w:lang w:eastAsia="ar-SA"/>
              </w:rPr>
            </w:pPr>
          </w:p>
          <w:p w:rsidR="00184BC7" w:rsidRPr="00C454F4" w:rsidRDefault="00184BC7" w:rsidP="009A195A">
            <w:pPr>
              <w:suppressAutoHyphens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 xml:space="preserve">* o edital final </w:t>
            </w:r>
            <w:r w:rsidRPr="00C454F4">
              <w:rPr>
                <w:sz w:val="22"/>
                <w:lang w:eastAsia="ar-SA"/>
              </w:rPr>
              <w:lastRenderedPageBreak/>
              <w:t>foi publicado em 5/4/2018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ind w:left="720" w:hanging="360"/>
              <w:jc w:val="both"/>
              <w:outlineLvl w:val="0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</w:t>
            </w:r>
            <w:r w:rsidRPr="00C454F4">
              <w:rPr>
                <w:sz w:val="22"/>
                <w:lang w:eastAsia="ar-SA"/>
              </w:rPr>
              <w:tab/>
              <w:t>Contrato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</w:t>
            </w:r>
            <w:r w:rsidRPr="00C454F4">
              <w:rPr>
                <w:sz w:val="22"/>
                <w:lang w:eastAsia="ar-SA"/>
              </w:rPr>
              <w:tab/>
              <w:t>Definição do bloco objeto do contrato.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15 e Anexo I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2.2</w:t>
            </w:r>
            <w:r w:rsidRPr="00C454F4">
              <w:rPr>
                <w:sz w:val="22"/>
                <w:lang w:eastAsia="ar-SA"/>
              </w:rPr>
              <w:tab/>
              <w:t>Obrigação de o contratado assumir os riscos das atividades de exploração, avaliação, desenvolvimento e produção.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2.4, 2.5, e 2.6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15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2.3</w:t>
            </w:r>
            <w:r w:rsidRPr="00C454F4">
              <w:rPr>
                <w:sz w:val="22"/>
                <w:lang w:eastAsia="ar-SA"/>
              </w:rPr>
              <w:tab/>
              <w:t>Indicação das garantias a serem prestadas pelo contratado.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11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27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2.4</w:t>
            </w:r>
            <w:r w:rsidRPr="00C454F4">
              <w:rPr>
                <w:sz w:val="22"/>
                <w:lang w:eastAsia="ar-SA"/>
              </w:rPr>
              <w:tab/>
              <w:t>Direito do contratado à apropriação do custo em óleo, exigível unicamente em caso de descoberta comercial.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5.1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19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2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2.5</w:t>
            </w:r>
            <w:r w:rsidRPr="00C454F4">
              <w:rPr>
                <w:sz w:val="22"/>
                <w:lang w:eastAsia="ar-SA"/>
              </w:rPr>
              <w:tab/>
              <w:t>Limites, prazos, critérios e condições para o cálculo e apropriação pelo contratado do custo em óleo e do volume da produção correspondente aos royalties devidos.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 e 6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19 e 20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2.6</w:t>
            </w:r>
            <w:r w:rsidRPr="00C454F4">
              <w:rPr>
                <w:sz w:val="22"/>
                <w:lang w:eastAsia="ar-SA"/>
              </w:rPr>
              <w:tab/>
              <w:t>Critérios para cálculo do valor do petróleo ou do gás natural, em função dos preços de mercado, da especificação do produto e da localização do campo.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9.5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22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2.7</w:t>
            </w:r>
            <w:r w:rsidRPr="00C454F4">
              <w:rPr>
                <w:sz w:val="22"/>
                <w:lang w:eastAsia="ar-SA"/>
              </w:rPr>
              <w:tab/>
              <w:t>Regras e os prazos para a repartição do excedente em óleo.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VII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VII, 83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2.8</w:t>
            </w:r>
            <w:r w:rsidRPr="00C454F4">
              <w:rPr>
                <w:sz w:val="22"/>
                <w:lang w:eastAsia="ar-SA"/>
              </w:rPr>
              <w:tab/>
              <w:t>Atribuições, a composição, o funcionamento e a forma de tomada de decisões e de solução de controvérsias no âmbito do comitê operacional.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XI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XI, 101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2.9</w:t>
            </w:r>
            <w:r w:rsidRPr="00C454F4">
              <w:rPr>
                <w:sz w:val="22"/>
                <w:lang w:eastAsia="ar-SA"/>
              </w:rPr>
              <w:tab/>
              <w:t>Regras de contabilização, bem como os procedimentos para acompanhamento e controle das atividades de exploração, avaliação, desenvolvimento e produção.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20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45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2.10</w:t>
            </w:r>
            <w:r w:rsidRPr="00C454F4">
              <w:rPr>
                <w:sz w:val="22"/>
                <w:lang w:eastAsia="ar-SA"/>
              </w:rPr>
              <w:tab/>
              <w:t>Regras para a realização de atividades, por conta e risco do contratado, que não implicarão qualquer obrigação para a União ou contabilização no valor do custo em óleo.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2.4 a 2.6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15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2.11</w:t>
            </w:r>
            <w:r w:rsidRPr="00C454F4">
              <w:rPr>
                <w:sz w:val="22"/>
                <w:lang w:eastAsia="ar-SA"/>
              </w:rPr>
              <w:tab/>
              <w:t>prazo de duração da fase de exploração e as condições para sua prorrogação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10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24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2.12</w:t>
            </w:r>
            <w:r w:rsidRPr="00C454F4">
              <w:rPr>
                <w:sz w:val="22"/>
                <w:lang w:eastAsia="ar-SA"/>
              </w:rPr>
              <w:tab/>
              <w:t>programa exploratório mínimo e as condições para sua revisão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10.9 – 10.11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24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2.13</w:t>
            </w:r>
            <w:r w:rsidRPr="00C454F4">
              <w:rPr>
                <w:sz w:val="22"/>
                <w:lang w:eastAsia="ar-SA"/>
              </w:rPr>
              <w:tab/>
              <w:t>critérios para formulação e revisão dos planos de exploração e de desenvolvimento da produção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14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33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2.14</w:t>
            </w:r>
            <w:r w:rsidRPr="00C454F4">
              <w:rPr>
                <w:sz w:val="22"/>
                <w:lang w:eastAsia="ar-SA"/>
              </w:rPr>
              <w:tab/>
              <w:t>obrigatoriedade de o contratado fornecer à ANP e à PPSA, dados e informações relativos à execução do contrato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 xml:space="preserve"> 20  </w:t>
            </w:r>
          </w:p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44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2.15</w:t>
            </w:r>
            <w:r w:rsidRPr="00C454F4">
              <w:rPr>
                <w:sz w:val="22"/>
                <w:lang w:eastAsia="ar-SA"/>
              </w:rPr>
              <w:tab/>
              <w:t>critérios para devolução e desocupação de áreas pelo contratado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10 e 14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26 e 33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2.16</w:t>
            </w:r>
            <w:r w:rsidRPr="00C454F4">
              <w:rPr>
                <w:sz w:val="22"/>
                <w:lang w:eastAsia="ar-SA"/>
              </w:rPr>
              <w:tab/>
              <w:t>penalidades aplicáveis em caso de inadimplemento das obrigações contratuais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31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61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2.17</w:t>
            </w:r>
            <w:r w:rsidRPr="00C454F4">
              <w:rPr>
                <w:sz w:val="22"/>
                <w:lang w:eastAsia="ar-SA"/>
              </w:rPr>
              <w:tab/>
              <w:t>procedimentos relacionados à cessão dos direitos e obrigações relativos ao contrato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30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58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2.18</w:t>
            </w:r>
            <w:r w:rsidRPr="00C454F4">
              <w:rPr>
                <w:sz w:val="22"/>
                <w:lang w:eastAsia="ar-SA"/>
              </w:rPr>
              <w:tab/>
              <w:t>regras sobre solução de controvérsias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36.5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67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2.19</w:t>
            </w:r>
            <w:r w:rsidRPr="00C454F4">
              <w:rPr>
                <w:sz w:val="22"/>
                <w:lang w:eastAsia="ar-SA"/>
              </w:rPr>
              <w:tab/>
              <w:t>prazo de vigência do contrato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4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18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2.20</w:t>
            </w:r>
            <w:r w:rsidRPr="00C454F4">
              <w:rPr>
                <w:sz w:val="22"/>
                <w:lang w:eastAsia="ar-SA"/>
              </w:rPr>
              <w:tab/>
              <w:t>valor e a forma de pagamento do bônus de assinatura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Anexo V</w:t>
            </w:r>
          </w:p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(e 2.4 - edital)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75</w:t>
            </w:r>
          </w:p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(15)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2.21</w:t>
            </w:r>
            <w:r w:rsidRPr="00C454F4">
              <w:rPr>
                <w:sz w:val="22"/>
                <w:lang w:eastAsia="ar-SA"/>
              </w:rPr>
              <w:tab/>
              <w:t>obrigatoriedade de apresentação de inventário periódico sobre as emissões de gases que provocam efeito estufa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26.5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54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2.22</w:t>
            </w:r>
            <w:r w:rsidRPr="00C454F4">
              <w:rPr>
                <w:sz w:val="22"/>
                <w:lang w:eastAsia="ar-SA"/>
              </w:rPr>
              <w:tab/>
              <w:t>apresentação de plano de contingência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26.6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55</w:t>
            </w:r>
          </w:p>
        </w:tc>
      </w:tr>
      <w:tr w:rsidR="00184BC7" w:rsidRPr="00C454F4">
        <w:tc>
          <w:tcPr>
            <w:tcW w:w="659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184BC7" w:rsidRPr="00C454F4" w:rsidRDefault="00184BC7" w:rsidP="009A195A">
            <w:pPr>
              <w:widowControl w:val="0"/>
              <w:tabs>
                <w:tab w:val="left" w:pos="360"/>
              </w:tabs>
              <w:ind w:left="360" w:hanging="360"/>
              <w:jc w:val="both"/>
              <w:outlineLvl w:val="1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2.23</w:t>
            </w:r>
            <w:r w:rsidRPr="00C454F4">
              <w:rPr>
                <w:sz w:val="22"/>
                <w:lang w:eastAsia="ar-SA"/>
              </w:rPr>
              <w:tab/>
              <w:t>obrigatoriedade da realização de auditoria ambiental</w:t>
            </w:r>
          </w:p>
        </w:tc>
        <w:tc>
          <w:tcPr>
            <w:tcW w:w="143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26</w:t>
            </w:r>
          </w:p>
        </w:tc>
        <w:tc>
          <w:tcPr>
            <w:tcW w:w="167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84BC7" w:rsidRPr="00C454F4" w:rsidRDefault="00184BC7" w:rsidP="009A195A">
            <w:pPr>
              <w:suppressAutoHyphens/>
              <w:jc w:val="center"/>
              <w:rPr>
                <w:sz w:val="22"/>
                <w:lang w:eastAsia="ar-SA"/>
              </w:rPr>
            </w:pPr>
            <w:r w:rsidRPr="00C454F4">
              <w:rPr>
                <w:sz w:val="22"/>
                <w:lang w:eastAsia="ar-SA"/>
              </w:rPr>
              <w:t>54</w:t>
            </w:r>
          </w:p>
        </w:tc>
      </w:tr>
    </w:tbl>
    <w:p w:rsidR="00184BC7" w:rsidRPr="00C454F4" w:rsidRDefault="00184BC7" w:rsidP="009A195A">
      <w:pPr>
        <w:tabs>
          <w:tab w:val="left" w:pos="1134"/>
        </w:tabs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Fonte: Elaboração própria da SeinfraPetróleo</w:t>
      </w:r>
    </w:p>
    <w:p w:rsidR="00184BC7" w:rsidRPr="00C454F4" w:rsidRDefault="00184BC7" w:rsidP="009A195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9"/>
        </w:tabs>
        <w:suppressAutoHyphens/>
        <w:spacing w:before="120"/>
        <w:ind w:left="1134"/>
        <w:jc w:val="both"/>
        <w:outlineLvl w:val="2"/>
        <w:rPr>
          <w:sz w:val="22"/>
          <w:u w:val="single"/>
          <w:lang w:eastAsia="ar-SA"/>
        </w:rPr>
      </w:pPr>
      <w:r w:rsidRPr="00C454F4">
        <w:rPr>
          <w:sz w:val="22"/>
          <w:lang w:eastAsia="ar-SA"/>
        </w:rPr>
        <w:t>3.1.2</w:t>
      </w:r>
      <w:r w:rsidRPr="00C454F4">
        <w:rPr>
          <w:sz w:val="22"/>
          <w:lang w:eastAsia="ar-SA"/>
        </w:rPr>
        <w:tab/>
      </w:r>
      <w:r w:rsidRPr="00C454F4">
        <w:rPr>
          <w:sz w:val="22"/>
          <w:u w:val="single"/>
          <w:lang w:eastAsia="ar-SA"/>
        </w:rPr>
        <w:t>Prazos para envio das informações ao TCU</w:t>
      </w:r>
      <w:r w:rsidR="009A195A">
        <w:rPr>
          <w:sz w:val="22"/>
          <w:u w:val="single"/>
          <w:lang w:eastAsia="ar-SA"/>
        </w:rPr>
        <w:tab/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12.</w:t>
      </w:r>
      <w:r w:rsidRPr="00C454F4">
        <w:rPr>
          <w:sz w:val="22"/>
          <w:lang w:eastAsia="ar-SA"/>
        </w:rPr>
        <w:tab/>
        <w:t>A IN TCU 27/1998, em seu art. 8º, normatiza os prazos de entrega documental, por parte da ANP, relativamente ao segundo estágio da fiscalização da concessão da outorga de blocos exploratórios de petróleo e gás natural: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lastRenderedPageBreak/>
        <w:t>Art. 8º - O dirigente do órgão ou entidade federal concedente encaminhará, mediante cópia, a documentação descrita no artigo anterior ao Tribunal de Contas da União, observados os seguintes prazos: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(...)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II– segundo estágio – 5 (cinco dias), no máximo, após: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(...)</w:t>
      </w:r>
    </w:p>
    <w:p w:rsidR="00184BC7" w:rsidRPr="00C454F4" w:rsidRDefault="00184BC7" w:rsidP="009A195A">
      <w:pPr>
        <w:suppressAutoHyphens/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 xml:space="preserve"> c) a sua publicação, para o edital de licitação, acompanhado da minuta do contrato;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13.</w:t>
      </w:r>
      <w:r w:rsidRPr="00C454F4">
        <w:rPr>
          <w:sz w:val="22"/>
          <w:lang w:eastAsia="ar-SA"/>
        </w:rPr>
        <w:tab/>
        <w:t xml:space="preserve">Considerando que o edital do leilão da 4ª Rodada de Partilha da Produção foi republicado, em 5/4/2018, e que as versões finais foram enviadas ao Tribunal no dia 11/4/2018, os elementos enviados ao TCU ocorreram com atraso de um dia em relação ao prazo estipulado pela IN TCU 27/1998. 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14.</w:t>
      </w:r>
      <w:r w:rsidRPr="00C454F4">
        <w:rPr>
          <w:sz w:val="22"/>
          <w:lang w:eastAsia="ar-SA"/>
        </w:rPr>
        <w:tab/>
        <w:t>Tendo isso em consideração, no que tange à verificação dos prazos da IN TCU 27/1998, considerando o baixo potencial de acarretar prejuízos para a análises do 2º Estágio, deixa-se de enquadrar como ressalva esse atraso de um dia no envio das informações ao TCU.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0"/>
        <w:rPr>
          <w:b/>
          <w:caps/>
          <w:sz w:val="22"/>
          <w:lang w:eastAsia="pt-BR"/>
        </w:rPr>
      </w:pPr>
      <w:r w:rsidRPr="00C454F4">
        <w:rPr>
          <w:b/>
          <w:caps/>
          <w:sz w:val="22"/>
          <w:lang w:eastAsia="pt-BR"/>
        </w:rPr>
        <w:t>4.</w:t>
      </w:r>
      <w:r w:rsidRPr="00C454F4">
        <w:rPr>
          <w:b/>
          <w:caps/>
          <w:sz w:val="22"/>
          <w:lang w:eastAsia="pt-BR"/>
        </w:rPr>
        <w:tab/>
        <w:t>Conclusão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15.</w:t>
      </w:r>
      <w:r w:rsidRPr="00C454F4">
        <w:rPr>
          <w:sz w:val="22"/>
          <w:lang w:eastAsia="ar-SA"/>
        </w:rPr>
        <w:tab/>
        <w:t>A 4ª Rodada de Partilha da Produção tem como objetivo a oferta de quatro áreas localizadas no polígono do Pré-Sal, quais sejam: Itaimbezinho, Três Marias, Dois Irmãos e Uirapuru e nesta instrução foram analisados os documentos relativos ao Segundo Estágio de Fiscalização nos moldes da IN TCU 27/1998.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16.</w:t>
      </w:r>
      <w:r w:rsidRPr="00C454F4">
        <w:rPr>
          <w:sz w:val="22"/>
          <w:lang w:eastAsia="ar-SA"/>
        </w:rPr>
        <w:tab/>
        <w:t>Vale notar que mesmo com a retirada do bloco de Saturno e a adequação do Edital da Licitação, a data da sessão pública de apresentação de ofertas foi mantida com previsão de ocorrer no dia 7/6/2018 com as assinaturas dos contratos previstas para o dia 30/11/2018.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17.</w:t>
      </w:r>
      <w:r w:rsidRPr="00C454F4">
        <w:rPr>
          <w:sz w:val="22"/>
          <w:lang w:eastAsia="ar-SA"/>
        </w:rPr>
        <w:tab/>
        <w:t>Desse modo, considerando os tópicos precedentes, recomenda-se considerar que a ANP atendeu aos requisitos previstos nos artigos 7°, inciso II e 8°, inciso II, referentes ao 2° Estágio da Instrução Normativa – TCU 27/1998.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0"/>
        <w:rPr>
          <w:b/>
          <w:caps/>
          <w:sz w:val="22"/>
          <w:lang w:eastAsia="pt-BR"/>
        </w:rPr>
      </w:pPr>
      <w:r w:rsidRPr="00C454F4">
        <w:rPr>
          <w:b/>
          <w:caps/>
          <w:sz w:val="22"/>
          <w:lang w:eastAsia="pt-BR"/>
        </w:rPr>
        <w:t>5.</w:t>
      </w:r>
      <w:r w:rsidRPr="00C454F4">
        <w:rPr>
          <w:b/>
          <w:caps/>
          <w:sz w:val="22"/>
          <w:lang w:eastAsia="pt-BR"/>
        </w:rPr>
        <w:tab/>
        <w:t>VOLUME DE RECURSOS FISCALIZADOS E BENEFÍCIOS DO CONTROLE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18.</w:t>
      </w:r>
      <w:r w:rsidRPr="00C454F4">
        <w:rPr>
          <w:sz w:val="22"/>
          <w:lang w:eastAsia="ar-SA"/>
        </w:rPr>
        <w:tab/>
        <w:t>A quantificação do volume de recursos fiscalizados (VRF) da presente fiscalização foi calculado com base no valor presente das receitas governamentais. Calculou-se dessa forma porque, analisando a pertinência dos estudos relativos à carga fiscal dos campos licitados, fiscaliza-se, diretamente, as receitas governamentais que serão geradas ao longo do período de produção dos campos.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19.</w:t>
      </w:r>
      <w:r w:rsidRPr="00C454F4">
        <w:rPr>
          <w:sz w:val="22"/>
          <w:lang w:eastAsia="ar-SA"/>
        </w:rPr>
        <w:tab/>
        <w:t>Dessa forma, o VRF calculado foi de R$ 13.247.843.460,00. Registra-se, contudo, que se trata de valor com elevado grau de incerteza e inúmeros riscos envolvidos, característica intrínseca do setor.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20.</w:t>
      </w:r>
      <w:r w:rsidRPr="00C454F4">
        <w:rPr>
          <w:sz w:val="22"/>
          <w:lang w:eastAsia="ar-SA"/>
        </w:rPr>
        <w:tab/>
        <w:t>A atual sistemática de quantificação e registro sobre os benefícios das ações de controle externo foi instituída pela Portaria TCU 17/2015. Neste processo, os benefícios potenciais que se estimam para este acompanhamento dizem respeito à manutenção da expectativa de controle gerada pela atuação continuada desta Corte de Contas.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21.</w:t>
      </w:r>
      <w:r w:rsidRPr="00C454F4">
        <w:rPr>
          <w:sz w:val="22"/>
          <w:lang w:eastAsia="ar-SA"/>
        </w:rPr>
        <w:tab/>
        <w:t>Ademais, ao longo do acompanhamento das rodadas de licitações anteriores, é possível identificar várias recomendações e determinações destinadas à Agência reguladora que contribuíram no aprimoramento, ao longo dos anos, das licitações de blocos exploratórios.</w:t>
      </w:r>
    </w:p>
    <w:p w:rsidR="00184BC7" w:rsidRPr="00C454F4" w:rsidRDefault="00184BC7" w:rsidP="009A195A">
      <w:pPr>
        <w:keepNext/>
        <w:suppressAutoHyphens/>
        <w:ind w:left="1134"/>
        <w:jc w:val="both"/>
        <w:outlineLvl w:val="0"/>
        <w:rPr>
          <w:b/>
          <w:caps/>
          <w:sz w:val="22"/>
          <w:lang w:eastAsia="pt-BR"/>
        </w:rPr>
      </w:pPr>
      <w:r w:rsidRPr="00C454F4">
        <w:rPr>
          <w:b/>
          <w:caps/>
          <w:sz w:val="22"/>
          <w:lang w:eastAsia="pt-BR"/>
        </w:rPr>
        <w:t>6.</w:t>
      </w:r>
      <w:r w:rsidRPr="00C454F4">
        <w:rPr>
          <w:b/>
          <w:caps/>
          <w:sz w:val="22"/>
          <w:lang w:eastAsia="pt-BR"/>
        </w:rPr>
        <w:tab/>
        <w:t>Proposta de Encaminhamento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22.</w:t>
      </w:r>
      <w:r w:rsidRPr="00C454F4">
        <w:rPr>
          <w:sz w:val="22"/>
          <w:lang w:eastAsia="ar-SA"/>
        </w:rPr>
        <w:tab/>
        <w:t>Ante o exposto, submetem-se os autos à consideração superior, para posterior envio ao gabinete do Ministro Relator Aroldo Cedraz, propondo em relação à Quarta Rodada de Licitações de Partilha da Produção (4ª Rodada):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a)</w:t>
      </w:r>
      <w:r w:rsidRPr="00C454F4">
        <w:rPr>
          <w:sz w:val="22"/>
          <w:lang w:eastAsia="ar-SA"/>
        </w:rPr>
        <w:tab/>
        <w:t>considerar, com fundamento no art. 258, inciso II, do Regimento Interno do TCU, que sob o ponto de vista formal, a Agência Nacional do Petróleo, Gás Natural e Biocombustíveis (ANP) atendeu aos requisitos previstos no art. 7°, inciso II e 8°, inciso II, referentes ao 2° Estágio da Instrução Normativa TCU 27/1998 para a concessão de exploração de petróleo e gás natural no âmbito da 4ª Rodada de Partilha da Produção;</w:t>
      </w:r>
    </w:p>
    <w:p w:rsidR="00184BC7" w:rsidRPr="00C454F4" w:rsidRDefault="00184BC7" w:rsidP="009A195A">
      <w:pPr>
        <w:tabs>
          <w:tab w:val="left" w:pos="432"/>
          <w:tab w:val="left" w:pos="1134"/>
        </w:tabs>
        <w:ind w:left="1134"/>
        <w:jc w:val="both"/>
        <w:rPr>
          <w:sz w:val="22"/>
          <w:lang w:eastAsia="ar-SA"/>
        </w:rPr>
      </w:pPr>
      <w:r w:rsidRPr="00C454F4">
        <w:rPr>
          <w:sz w:val="22"/>
          <w:lang w:eastAsia="ar-SA"/>
        </w:rPr>
        <w:t>b)</w:t>
      </w:r>
      <w:r w:rsidRPr="00C454F4">
        <w:rPr>
          <w:sz w:val="22"/>
          <w:lang w:eastAsia="ar-SA"/>
        </w:rPr>
        <w:tab/>
        <w:t xml:space="preserve">encaminhar cópia do Acórdão que vier a ser proferido à Agência Nacional do Petróleo, Gás Natural e Biocombustíveis (ANP), ao Conselho Nacional de Política </w:t>
      </w:r>
      <w:r w:rsidRPr="00C454F4">
        <w:rPr>
          <w:sz w:val="22"/>
          <w:lang w:eastAsia="ar-SA"/>
        </w:rPr>
        <w:lastRenderedPageBreak/>
        <w:t>Energética (CNPE) e ao Ministério de Minas e Energia, informando-os que o conteúdo da decisão poderá ser consultado no endereço www.tcu.gov.br/acordaos</w:t>
      </w:r>
      <w:r w:rsidR="00B533CD" w:rsidRPr="00C454F4">
        <w:rPr>
          <w:sz w:val="22"/>
          <w:lang w:eastAsia="ar-SA"/>
        </w:rPr>
        <w:t>;</w:t>
      </w:r>
      <w:r w:rsidRPr="00C454F4">
        <w:rPr>
          <w:sz w:val="22"/>
          <w:lang w:eastAsia="ar-SA"/>
        </w:rPr>
        <w:t xml:space="preserve"> e</w:t>
      </w:r>
    </w:p>
    <w:p w:rsidR="00184BC7" w:rsidRPr="00184BC7" w:rsidRDefault="00184BC7" w:rsidP="009A195A">
      <w:pPr>
        <w:tabs>
          <w:tab w:val="left" w:pos="432"/>
          <w:tab w:val="left" w:pos="1134"/>
        </w:tabs>
        <w:ind w:left="1134"/>
        <w:jc w:val="both"/>
        <w:rPr>
          <w:szCs w:val="24"/>
          <w:lang w:eastAsia="ar-SA"/>
        </w:rPr>
      </w:pPr>
      <w:r w:rsidRPr="00C454F4">
        <w:rPr>
          <w:sz w:val="22"/>
          <w:lang w:eastAsia="ar-SA"/>
        </w:rPr>
        <w:t>c)</w:t>
      </w:r>
      <w:r w:rsidRPr="00C454F4">
        <w:rPr>
          <w:sz w:val="22"/>
          <w:lang w:eastAsia="ar-SA"/>
        </w:rPr>
        <w:tab/>
        <w:t>restituir os autos à SeinfraPetróleo para expedir as comunicações pertinentes em cumprimento aos comandos supra e para acompanhamento do 3º Estágio previsto no art. 7º, inciso IV, e 8º, inciso IV, da In</w:t>
      </w:r>
      <w:r w:rsidR="003E3DBF">
        <w:rPr>
          <w:sz w:val="22"/>
          <w:lang w:eastAsia="ar-SA"/>
        </w:rPr>
        <w:t>strução Normativa – TCU 27/1998.</w:t>
      </w:r>
      <w:r w:rsidRPr="00C454F4">
        <w:rPr>
          <w:sz w:val="22"/>
          <w:lang w:eastAsia="ar-SA"/>
        </w:rPr>
        <w:t>”</w:t>
      </w:r>
    </w:p>
    <w:p w:rsidR="009A195A" w:rsidRDefault="009A195A" w:rsidP="00184BC7">
      <w:pPr>
        <w:pStyle w:val="TCU-Epgrafe"/>
        <w:ind w:left="1134"/>
      </w:pPr>
    </w:p>
    <w:p w:rsidR="000946FF" w:rsidRPr="008659BF" w:rsidRDefault="000946FF" w:rsidP="00184BC7">
      <w:pPr>
        <w:pStyle w:val="TCU-Epgrafe"/>
        <w:ind w:left="1134"/>
      </w:pPr>
      <w:r>
        <w:t>É o Relatório.</w:t>
      </w:r>
      <w:r w:rsidRPr="008659BF">
        <w:br w:type="page"/>
      </w:r>
    </w:p>
    <w:p w:rsidR="00AD3C90" w:rsidRPr="0039071C" w:rsidRDefault="00AD3C90" w:rsidP="00AD3C90">
      <w:pPr>
        <w:pStyle w:val="Normal0"/>
        <w:jc w:val="both"/>
        <w:rPr>
          <w:szCs w:val="24"/>
        </w:rPr>
      </w:pPr>
    </w:p>
    <w:p w:rsidR="00EA61D7" w:rsidRPr="00F567DF" w:rsidRDefault="00EF3978" w:rsidP="00F567DF">
      <w:pPr>
        <w:pStyle w:val="TCU-Epgrafe0"/>
        <w:tabs>
          <w:tab w:val="left" w:pos="2880"/>
          <w:tab w:val="center" w:pos="4960"/>
        </w:tabs>
        <w:ind w:left="0"/>
        <w:jc w:val="center"/>
        <w:rPr>
          <w:b/>
          <w:u w:val="single"/>
        </w:rPr>
      </w:pPr>
      <w:r w:rsidRPr="00F567DF">
        <w:rPr>
          <w:b/>
        </w:rPr>
        <w:t>VOTO</w:t>
      </w:r>
    </w:p>
    <w:p w:rsidR="001F54E2" w:rsidRPr="0039071C" w:rsidRDefault="001F54E2" w:rsidP="008D43AA">
      <w:pPr>
        <w:pStyle w:val="TCU-Epgrafe0"/>
        <w:ind w:left="0"/>
        <w:jc w:val="center"/>
      </w:pPr>
    </w:p>
    <w:p w:rsidR="000830D2" w:rsidRDefault="000830D2" w:rsidP="00F567DF">
      <w:pPr>
        <w:pStyle w:val="TCU-Epgrafe0"/>
        <w:tabs>
          <w:tab w:val="left" w:pos="1134"/>
        </w:tabs>
        <w:spacing w:before="120" w:after="120"/>
        <w:ind w:left="0"/>
      </w:pPr>
      <w:r>
        <w:tab/>
      </w:r>
      <w:r w:rsidRPr="00EB4072">
        <w:t>Conforme consignad</w:t>
      </w:r>
      <w:r w:rsidR="003A77DF">
        <w:t>o no R</w:t>
      </w:r>
      <w:r>
        <w:t>elatório precedente, este processo de desestatização cuida do acompanhamento</w:t>
      </w:r>
      <w:r w:rsidRPr="00977620">
        <w:t xml:space="preserve"> </w:t>
      </w:r>
      <w:r>
        <w:t xml:space="preserve">da Quarta </w:t>
      </w:r>
      <w:r w:rsidRPr="000F4A67">
        <w:t>Rodada de Licitações</w:t>
      </w:r>
      <w:r>
        <w:t xml:space="preserve"> no Regime de Partilha de Produção, com vistas à outorga de bloco para exploração e produção de petróleo e gás natural em áreas do pré-sal, realizada pela Agência Nacional do Petróleo, Gás Natural e Biocombustíveis (ANP)</w:t>
      </w:r>
      <w:r w:rsidRPr="004D7F05">
        <w:t>.</w:t>
      </w:r>
    </w:p>
    <w:p w:rsidR="000830D2" w:rsidRDefault="000830D2" w:rsidP="00F567DF">
      <w:pPr>
        <w:pStyle w:val="TCU-Epgrafe0"/>
        <w:tabs>
          <w:tab w:val="left" w:pos="1134"/>
        </w:tabs>
        <w:spacing w:before="120" w:after="120"/>
        <w:ind w:left="0"/>
      </w:pPr>
      <w:r>
        <w:t>2.</w:t>
      </w:r>
      <w:r>
        <w:tab/>
      </w:r>
      <w:r w:rsidRPr="00977620">
        <w:t>No âmbito</w:t>
      </w:r>
      <w:r>
        <w:t xml:space="preserve"> desta Corte de Contas</w:t>
      </w:r>
      <w:r w:rsidRPr="00977620">
        <w:t>, a matéria está discipl</w:t>
      </w:r>
      <w:r>
        <w:t xml:space="preserve">inada pela Instrução Normativa </w:t>
      </w:r>
      <w:r w:rsidRPr="00977620">
        <w:t xml:space="preserve">TCU 27/1998, que dispõe sobre o acompanhamento concomitante dos processos de outorga de concessão </w:t>
      </w:r>
      <w:r>
        <w:t>de serviços públicos, realizado</w:t>
      </w:r>
      <w:r w:rsidRPr="00977620">
        <w:t xml:space="preserve"> em quatro estágios, por meio de análise da documentação remetida pelo </w:t>
      </w:r>
      <w:r>
        <w:t>P</w:t>
      </w:r>
      <w:r w:rsidRPr="00977620">
        <w:t xml:space="preserve">oder </w:t>
      </w:r>
      <w:r>
        <w:t>C</w:t>
      </w:r>
      <w:r w:rsidRPr="00977620">
        <w:t>oncedente.</w:t>
      </w:r>
      <w:r w:rsidRPr="008D020E">
        <w:rPr>
          <w:szCs w:val="24"/>
        </w:rPr>
        <w:t xml:space="preserve"> </w:t>
      </w:r>
      <w:r>
        <w:rPr>
          <w:szCs w:val="24"/>
        </w:rPr>
        <w:t>A</w:t>
      </w:r>
      <w:r>
        <w:t xml:space="preserve"> rigor, a exploração e a produção de petróleo e gás natural não configuram serviços públicos abrangidos pelo art. 175 da Constituição Federal. No entanto, a sistemática de acompanhamento de desestatizações normatizada pela IN-TCU 27/1998 tem sido aplicada a essa atividade econômica desde a realização da 1ª Rodada de Licitações no regime de concessão, ocorrida em 1999</w:t>
      </w:r>
      <w:r w:rsidR="00147B48">
        <w:t xml:space="preserve">. </w:t>
      </w:r>
      <w:r>
        <w:t>Portanto, há cerca de duas décadas consolidou-se a pacífica jurisprudência desta Corte de Contas quanto à plena aplicabilidade do citado normativo como disciplina para a fiscalização exercida sobre concessões de blocos de petróleo e contratos de partilha.</w:t>
      </w:r>
    </w:p>
    <w:p w:rsidR="000830D2" w:rsidRDefault="000830D2" w:rsidP="00F567DF">
      <w:pPr>
        <w:pStyle w:val="TCU-Epgrafe0"/>
        <w:tabs>
          <w:tab w:val="left" w:pos="1134"/>
        </w:tabs>
        <w:spacing w:before="120" w:after="120"/>
        <w:ind w:left="0"/>
      </w:pPr>
      <w:r>
        <w:t>3.</w:t>
      </w:r>
      <w:r>
        <w:tab/>
      </w:r>
      <w:r w:rsidRPr="001D507B">
        <w:t xml:space="preserve">Aprecia-se, nessa oportunidade, </w:t>
      </w:r>
      <w:r>
        <w:t>o segundo</w:t>
      </w:r>
      <w:r w:rsidRPr="001D507B">
        <w:t xml:space="preserve"> estágio de desestatização, que engloba</w:t>
      </w:r>
      <w:r>
        <w:t xml:space="preserve"> o edital e a minuta de contrato, e as comunicações e esclarecimentos porventura encaminhados às empresas participantes da licitação, bem como as impugnações ao edital, acompanhadas das respectivas respostas</w:t>
      </w:r>
      <w:r w:rsidRPr="001D507B">
        <w:t>.</w:t>
      </w:r>
    </w:p>
    <w:p w:rsidR="000830D2" w:rsidRDefault="000830D2" w:rsidP="00F567DF">
      <w:pPr>
        <w:pStyle w:val="TCU-Epgrafe0"/>
        <w:tabs>
          <w:tab w:val="left" w:pos="1134"/>
        </w:tabs>
        <w:spacing w:before="120" w:after="120"/>
        <w:ind w:left="0"/>
      </w:pPr>
      <w:r>
        <w:t>4.</w:t>
      </w:r>
      <w:r>
        <w:tab/>
      </w:r>
      <w:r w:rsidRPr="00D66B84">
        <w:rPr>
          <w:szCs w:val="24"/>
        </w:rPr>
        <w:t>Considero que o exame dos elementos do processo foi adequadamente realizado pela Unidade Técnica, podendo ser acolhido como min</w:t>
      </w:r>
      <w:r>
        <w:rPr>
          <w:szCs w:val="24"/>
        </w:rPr>
        <w:t>has próprias razões de decidir, sem prejuízo das considerações que passo a tecer.</w:t>
      </w:r>
    </w:p>
    <w:p w:rsidR="00343B54" w:rsidRDefault="000830D2" w:rsidP="00F567DF">
      <w:pPr>
        <w:pStyle w:val="TCU-Epgrafe0"/>
        <w:tabs>
          <w:tab w:val="left" w:pos="1134"/>
        </w:tabs>
        <w:spacing w:before="120" w:after="120"/>
        <w:ind w:left="0"/>
      </w:pPr>
      <w:r w:rsidRPr="009F787D">
        <w:t>5.</w:t>
      </w:r>
      <w:r w:rsidRPr="009F787D">
        <w:tab/>
        <w:t xml:space="preserve">A </w:t>
      </w:r>
      <w:r>
        <w:t>Quarta</w:t>
      </w:r>
      <w:r w:rsidRPr="009F787D">
        <w:t xml:space="preserve"> Rodada de Licitação de Partilha de Produção </w:t>
      </w:r>
      <w:r>
        <w:t xml:space="preserve">inicialmente </w:t>
      </w:r>
      <w:r w:rsidRPr="009F787D">
        <w:t>abrang</w:t>
      </w:r>
      <w:r>
        <w:t>ia</w:t>
      </w:r>
      <w:r w:rsidRPr="009F787D">
        <w:t xml:space="preserve"> </w:t>
      </w:r>
      <w:r>
        <w:t xml:space="preserve">cinco </w:t>
      </w:r>
      <w:r w:rsidRPr="000830D2">
        <w:t>blocos localizados no polígono do pré-sal: Itaimbezinho (C-M-537), Três Marias, Dois Irmãos</w:t>
      </w:r>
      <w:r>
        <w:t>, Saturno</w:t>
      </w:r>
      <w:r w:rsidRPr="000830D2">
        <w:t xml:space="preserve"> e Uirapuru. </w:t>
      </w:r>
      <w:r>
        <w:t xml:space="preserve">Porém, </w:t>
      </w:r>
      <w:r w:rsidRPr="000830D2">
        <w:t>esta Corte</w:t>
      </w:r>
      <w:r>
        <w:t xml:space="preserve"> </w:t>
      </w:r>
      <w:r w:rsidRPr="000830D2">
        <w:t>vislumbrou riscos de prejuízo</w:t>
      </w:r>
      <w:r w:rsidR="00667ECB">
        <w:t xml:space="preserve"> ao E</w:t>
      </w:r>
      <w:r>
        <w:t xml:space="preserve">rário decorrentes da decisão do Poder Concedente de licitar blocos contíguos ao Polígono do Pré-sal, que compartilhavam reservatórios comuns, em regimes distintos de outorga, o que levou à exclusão do bloco de Saturno da referida rodada de licitação em regime de partilha (Acórdãos 672/2018 e 816/2018, ambos do Plenário). </w:t>
      </w:r>
      <w:r w:rsidRPr="00171D0C">
        <w:t>O</w:t>
      </w:r>
      <w:r>
        <w:t xml:space="preserve">s valores dos </w:t>
      </w:r>
      <w:r w:rsidRPr="00171D0C">
        <w:t xml:space="preserve">bônus de assinatura </w:t>
      </w:r>
      <w:r>
        <w:t>previstos no edital variam entre R$ 50 milhões e</w:t>
      </w:r>
      <w:r w:rsidRPr="00171D0C">
        <w:t xml:space="preserve"> R$ </w:t>
      </w:r>
      <w:r>
        <w:t>2</w:t>
      </w:r>
      <w:r w:rsidRPr="00171D0C">
        <w:t>,</w:t>
      </w:r>
      <w:r>
        <w:t>6</w:t>
      </w:r>
      <w:r w:rsidRPr="00171D0C">
        <w:t xml:space="preserve"> bilhões.</w:t>
      </w:r>
    </w:p>
    <w:p w:rsidR="00343B54" w:rsidRDefault="00343B54" w:rsidP="00F567DF">
      <w:pPr>
        <w:pStyle w:val="TCU-Epgrafe0"/>
        <w:tabs>
          <w:tab w:val="left" w:pos="1134"/>
        </w:tabs>
        <w:spacing w:before="120" w:after="120"/>
        <w:ind w:left="0"/>
      </w:pPr>
      <w:r>
        <w:t>6.</w:t>
      </w:r>
      <w:r>
        <w:tab/>
        <w:t>Quanto ao exame do segundo estágio propriamente dito, foi verificado o atendimento formal quanto à presença dos requisitos essenciais estabelecidos pela Lei 12.351/2010 (arts. 15 e 27), tanto no Edital quanto na minuta de Contrato, seguindo procedimento adotado na análise de rodadas anteriores. A referida lei d</w:t>
      </w:r>
      <w:r w:rsidRPr="00343B54">
        <w:t>ispõe sobre a exploração e a produção de petróleo, de gás natural e de outros hidrocarbonetos fluidos, sob o regime de partilha de produção, em áreas do pré-sal e em áreas estratégicas</w:t>
      </w:r>
      <w:r>
        <w:t>.</w:t>
      </w:r>
    </w:p>
    <w:p w:rsidR="00343B54" w:rsidRDefault="00343B54" w:rsidP="00F567DF">
      <w:pPr>
        <w:pStyle w:val="TCU-Epgrafe0"/>
        <w:tabs>
          <w:tab w:val="left" w:pos="1134"/>
        </w:tabs>
        <w:spacing w:before="120" w:after="120"/>
        <w:ind w:left="0"/>
      </w:pPr>
      <w:r>
        <w:t>7.</w:t>
      </w:r>
      <w:r>
        <w:tab/>
        <w:t>Destaco que a data da sessão pública de apresentação de ofertas foi mantida para o dia 7/6/2018, com as assinaturas dos contratos previstas para 30/11/2018.</w:t>
      </w:r>
    </w:p>
    <w:p w:rsidR="000830D2" w:rsidRDefault="00343B54" w:rsidP="00F567DF">
      <w:pPr>
        <w:pStyle w:val="TCU-Epgrafe0"/>
        <w:tabs>
          <w:tab w:val="left" w:pos="1134"/>
        </w:tabs>
        <w:spacing w:before="120" w:after="120"/>
        <w:ind w:left="0"/>
        <w:rPr>
          <w:szCs w:val="24"/>
        </w:rPr>
      </w:pPr>
      <w:r>
        <w:t>8</w:t>
      </w:r>
      <w:r w:rsidR="000830D2" w:rsidRPr="00CE48A6">
        <w:t>.</w:t>
      </w:r>
      <w:r w:rsidR="000830D2" w:rsidRPr="00CE48A6">
        <w:tab/>
        <w:t>Concluo</w:t>
      </w:r>
      <w:r w:rsidR="000830D2">
        <w:t>,</w:t>
      </w:r>
      <w:r w:rsidR="000830D2" w:rsidRPr="00CE48A6">
        <w:t xml:space="preserve"> </w:t>
      </w:r>
      <w:r w:rsidR="000830D2" w:rsidRPr="00CE48A6">
        <w:rPr>
          <w:szCs w:val="24"/>
        </w:rPr>
        <w:t xml:space="preserve">portanto, </w:t>
      </w:r>
      <w:r w:rsidR="00147B48">
        <w:rPr>
          <w:szCs w:val="24"/>
        </w:rPr>
        <w:t xml:space="preserve">no sentido de </w:t>
      </w:r>
      <w:r w:rsidR="000830D2" w:rsidRPr="00CE48A6">
        <w:rPr>
          <w:szCs w:val="24"/>
        </w:rPr>
        <w:t xml:space="preserve">que foram atendidos os requisitos formais </w:t>
      </w:r>
      <w:r w:rsidR="00147B48">
        <w:rPr>
          <w:szCs w:val="24"/>
        </w:rPr>
        <w:t xml:space="preserve">do </w:t>
      </w:r>
      <w:r w:rsidR="000830D2" w:rsidRPr="00CE48A6">
        <w:rPr>
          <w:szCs w:val="24"/>
        </w:rPr>
        <w:t>segundo estágio desta desestatização pelo Poder Concedente</w:t>
      </w:r>
      <w:r w:rsidR="00147B48">
        <w:rPr>
          <w:szCs w:val="24"/>
        </w:rPr>
        <w:t>, devendo a Unidade Técnica seguir o rito de exame do</w:t>
      </w:r>
      <w:r w:rsidR="00E92486">
        <w:rPr>
          <w:szCs w:val="24"/>
        </w:rPr>
        <w:t xml:space="preserve"> </w:t>
      </w:r>
      <w:r w:rsidR="00147B48">
        <w:rPr>
          <w:szCs w:val="24"/>
        </w:rPr>
        <w:t>próximo</w:t>
      </w:r>
      <w:r w:rsidR="00E92486">
        <w:rPr>
          <w:szCs w:val="24"/>
        </w:rPr>
        <w:t xml:space="preserve"> </w:t>
      </w:r>
      <w:r w:rsidR="00147B48">
        <w:rPr>
          <w:szCs w:val="24"/>
        </w:rPr>
        <w:t>estágio</w:t>
      </w:r>
      <w:r w:rsidR="00E92486">
        <w:rPr>
          <w:szCs w:val="24"/>
        </w:rPr>
        <w:t>, nos termos do art. 7º, inciso IV, e 8º, inciso IV, da IN-TC 27/1998</w:t>
      </w:r>
      <w:r w:rsidR="000830D2" w:rsidRPr="00CE48A6">
        <w:rPr>
          <w:szCs w:val="24"/>
        </w:rPr>
        <w:t>.</w:t>
      </w:r>
      <w:r w:rsidR="000830D2">
        <w:rPr>
          <w:szCs w:val="24"/>
        </w:rPr>
        <w:t xml:space="preserve"> </w:t>
      </w:r>
    </w:p>
    <w:p w:rsidR="001A55BB" w:rsidRPr="0039071C" w:rsidRDefault="000830D2" w:rsidP="00F567DF">
      <w:pPr>
        <w:pStyle w:val="TCU-Epgrafe0"/>
        <w:tabs>
          <w:tab w:val="left" w:pos="1134"/>
        </w:tabs>
        <w:spacing w:before="120" w:after="120"/>
        <w:ind w:left="0"/>
      </w:pPr>
      <w:r w:rsidRPr="00343B54">
        <w:lastRenderedPageBreak/>
        <w:tab/>
        <w:t>Ante o exposto, VOTO no sentido de que o Tribunal adote a deliberação que ora submeto à apreciação deste Colegiado.</w:t>
      </w:r>
    </w:p>
    <w:p w:rsidR="001A55BB" w:rsidRPr="0039071C" w:rsidRDefault="001A55BB" w:rsidP="008D43AA">
      <w:pPr>
        <w:pStyle w:val="TCU-Epgrafe0"/>
        <w:ind w:left="0"/>
        <w:jc w:val="center"/>
      </w:pPr>
    </w:p>
    <w:p w:rsidR="001A55BB" w:rsidRPr="0039071C" w:rsidRDefault="001A55BB" w:rsidP="008D43AA">
      <w:pPr>
        <w:pStyle w:val="TCU-Epgrafe0"/>
        <w:ind w:left="0"/>
        <w:jc w:val="center"/>
      </w:pPr>
    </w:p>
    <w:p w:rsidR="001F54E2" w:rsidRPr="0039071C" w:rsidRDefault="001F54E2" w:rsidP="001F54E2">
      <w:pPr>
        <w:pStyle w:val="Corpodetexto"/>
        <w:ind w:firstLine="1134"/>
      </w:pPr>
      <w:r w:rsidRPr="0039071C">
        <w:t xml:space="preserve">TCU, Sala das Sessões Ministro Luciano Brandão Alves de Souza, em </w:t>
      </w:r>
      <w:r w:rsidR="007948FB">
        <w:t>13 de junho de 2018</w:t>
      </w:r>
      <w:r w:rsidRPr="0039071C">
        <w:t>.</w:t>
      </w:r>
    </w:p>
    <w:p w:rsidR="001F54E2" w:rsidRPr="0039071C" w:rsidRDefault="001F54E2" w:rsidP="001F54E2">
      <w:pPr>
        <w:pStyle w:val="Corpodetexto"/>
        <w:jc w:val="center"/>
      </w:pPr>
    </w:p>
    <w:p w:rsidR="001F54E2" w:rsidRPr="0039071C" w:rsidRDefault="001F54E2" w:rsidP="001F54E2">
      <w:pPr>
        <w:pStyle w:val="Corpodetexto"/>
        <w:jc w:val="center"/>
      </w:pPr>
    </w:p>
    <w:p w:rsidR="001F54E2" w:rsidRPr="0039071C" w:rsidRDefault="001F54E2" w:rsidP="001F54E2">
      <w:pPr>
        <w:pStyle w:val="Corpodetexto"/>
        <w:jc w:val="center"/>
      </w:pPr>
    </w:p>
    <w:p w:rsidR="00EB4D72" w:rsidRPr="0039071C" w:rsidRDefault="00EB4D72" w:rsidP="001F54E2">
      <w:pPr>
        <w:pStyle w:val="Corpodetexto"/>
        <w:jc w:val="center"/>
      </w:pPr>
    </w:p>
    <w:p w:rsidR="001F54E2" w:rsidRPr="0039071C" w:rsidRDefault="00A513B2" w:rsidP="001F54E2">
      <w:pPr>
        <w:pStyle w:val="Corpodetexto"/>
        <w:jc w:val="center"/>
      </w:pPr>
      <w:r w:rsidRPr="0039071C">
        <w:t xml:space="preserve">AROLDO CEDRAZ </w:t>
      </w:r>
    </w:p>
    <w:p w:rsidR="001A55BB" w:rsidRPr="0039071C" w:rsidRDefault="00F5286C" w:rsidP="001F54E2">
      <w:pPr>
        <w:pStyle w:val="Corpodetexto"/>
        <w:jc w:val="center"/>
      </w:pPr>
      <w:r>
        <w:t>Relator</w:t>
      </w:r>
    </w:p>
    <w:p w:rsidR="000946FF" w:rsidRPr="008659BF" w:rsidRDefault="000946FF" w:rsidP="00184BC7">
      <w:pPr>
        <w:pStyle w:val="TCU-Epgrafe"/>
        <w:ind w:left="1134"/>
      </w:pPr>
      <w:r w:rsidRPr="008659BF">
        <w:br w:type="page"/>
      </w:r>
    </w:p>
    <w:p w:rsidR="0033110C" w:rsidRPr="00DE0343" w:rsidRDefault="0033110C" w:rsidP="0033110C">
      <w:pPr>
        <w:pStyle w:val="Normal1"/>
        <w:widowControl w:val="0"/>
        <w:tabs>
          <w:tab w:val="left" w:pos="-142"/>
        </w:tabs>
        <w:autoSpaceDE w:val="0"/>
        <w:autoSpaceDN w:val="0"/>
        <w:ind w:left="360"/>
        <w:rPr>
          <w:szCs w:val="24"/>
        </w:rPr>
      </w:pPr>
    </w:p>
    <w:p w:rsidR="00F24798" w:rsidRPr="00DE618B" w:rsidRDefault="00F24798" w:rsidP="00F24798">
      <w:pPr>
        <w:pStyle w:val="Normal1"/>
        <w:widowControl w:val="0"/>
        <w:tabs>
          <w:tab w:val="left" w:pos="-142"/>
        </w:tabs>
        <w:autoSpaceDE w:val="0"/>
        <w:autoSpaceDN w:val="0"/>
        <w:ind w:left="360"/>
        <w:jc w:val="center"/>
        <w:rPr>
          <w:szCs w:val="24"/>
        </w:rPr>
      </w:pPr>
      <w:r w:rsidRPr="00DE618B">
        <w:rPr>
          <w:szCs w:val="24"/>
        </w:rPr>
        <w:t>ACÓRDÃO Nº 1386/2018</w:t>
      </w:r>
      <w:r w:rsidR="00AB2D19" w:rsidRPr="00DE618B">
        <w:rPr>
          <w:szCs w:val="24"/>
        </w:rPr>
        <w:t xml:space="preserve"> </w:t>
      </w:r>
      <w:r w:rsidR="00EC3F30" w:rsidRPr="00DE618B">
        <w:rPr>
          <w:szCs w:val="24"/>
        </w:rPr>
        <w:t>–</w:t>
      </w:r>
      <w:r w:rsidR="00AB2D19" w:rsidRPr="00DE618B">
        <w:rPr>
          <w:szCs w:val="24"/>
        </w:rPr>
        <w:t xml:space="preserve"> </w:t>
      </w:r>
      <w:r w:rsidRPr="00DE618B">
        <w:rPr>
          <w:szCs w:val="24"/>
        </w:rPr>
        <w:t>TCU</w:t>
      </w:r>
      <w:r w:rsidR="00AB2D19" w:rsidRPr="00DE618B">
        <w:rPr>
          <w:szCs w:val="24"/>
        </w:rPr>
        <w:t xml:space="preserve"> </w:t>
      </w:r>
      <w:r w:rsidRPr="00DE618B">
        <w:rPr>
          <w:szCs w:val="24"/>
        </w:rPr>
        <w:t>–</w:t>
      </w:r>
      <w:r w:rsidR="00AB2D19" w:rsidRPr="00DE618B">
        <w:rPr>
          <w:szCs w:val="24"/>
        </w:rPr>
        <w:t xml:space="preserve"> </w:t>
      </w:r>
      <w:r w:rsidRPr="00DE618B">
        <w:rPr>
          <w:szCs w:val="24"/>
        </w:rPr>
        <w:t>Plenário</w:t>
      </w:r>
    </w:p>
    <w:p w:rsidR="00F24798" w:rsidRPr="00DE0343" w:rsidRDefault="00F24798" w:rsidP="00F24798">
      <w:pPr>
        <w:pStyle w:val="TCU-Epgrafe1"/>
        <w:ind w:left="0"/>
        <w:jc w:val="center"/>
        <w:rPr>
          <w:szCs w:val="24"/>
        </w:rPr>
      </w:pPr>
    </w:p>
    <w:p w:rsidR="00F24798" w:rsidRPr="00DE0343" w:rsidRDefault="00F41BF6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>
        <w:rPr>
          <w:szCs w:val="24"/>
        </w:rPr>
        <w:t>1</w:t>
      </w:r>
      <w:r w:rsidR="00F2091E" w:rsidRPr="00DE0343">
        <w:rPr>
          <w:szCs w:val="24"/>
        </w:rPr>
        <w:t xml:space="preserve">. </w:t>
      </w:r>
      <w:r w:rsidR="00F24798" w:rsidRPr="00DE0343">
        <w:rPr>
          <w:szCs w:val="24"/>
        </w:rPr>
        <w:t xml:space="preserve">Processo TC 003.403/2018-1. </w:t>
      </w:r>
    </w:p>
    <w:p w:rsidR="00F24798" w:rsidRDefault="00F2091E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2. </w:t>
      </w:r>
      <w:r w:rsidR="00F24798" w:rsidRPr="00DE0343">
        <w:rPr>
          <w:szCs w:val="24"/>
        </w:rPr>
        <w:t>Grupo I – Classe</w:t>
      </w:r>
      <w:r w:rsidR="00CA53F1">
        <w:rPr>
          <w:szCs w:val="24"/>
        </w:rPr>
        <w:t xml:space="preserve"> de Assunto</w:t>
      </w:r>
      <w:r w:rsidR="009429CF">
        <w:rPr>
          <w:szCs w:val="24"/>
        </w:rPr>
        <w:t>:</w:t>
      </w:r>
      <w:r w:rsidR="00F24798" w:rsidRPr="00DE0343">
        <w:rPr>
          <w:szCs w:val="24"/>
        </w:rPr>
        <w:t xml:space="preserve"> </w:t>
      </w:r>
      <w:r w:rsidR="005E4440">
        <w:rPr>
          <w:szCs w:val="24"/>
        </w:rPr>
        <w:t>VII – Desestatização.</w:t>
      </w:r>
    </w:p>
    <w:p w:rsidR="00C237DD" w:rsidRPr="00DE0343" w:rsidRDefault="00F2091E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3. </w:t>
      </w:r>
      <w:r w:rsidR="00F24798" w:rsidRPr="00DE0343">
        <w:rPr>
          <w:szCs w:val="24"/>
        </w:rPr>
        <w:t>Interessados/Responsáveis: não há</w:t>
      </w:r>
      <w:r w:rsidR="00123E0F" w:rsidRPr="00DE0343">
        <w:rPr>
          <w:szCs w:val="24"/>
        </w:rPr>
        <w:t>.</w:t>
      </w:r>
    </w:p>
    <w:p w:rsidR="00F24798" w:rsidRPr="00DE0343" w:rsidRDefault="00F2091E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4. </w:t>
      </w:r>
      <w:r w:rsidR="00EE4B72">
        <w:rPr>
          <w:szCs w:val="24"/>
        </w:rPr>
        <w:t>Órgão/Entidade</w:t>
      </w:r>
      <w:r w:rsidR="00F24798" w:rsidRPr="00DE0343">
        <w:rPr>
          <w:szCs w:val="24"/>
        </w:rPr>
        <w:t>: Agência Nacional do Petróleo, Gás Natural e Biocombustíveis</w:t>
      </w:r>
      <w:r w:rsidR="00123E0F" w:rsidRPr="00DE0343">
        <w:rPr>
          <w:szCs w:val="24"/>
        </w:rPr>
        <w:t>.</w:t>
      </w:r>
    </w:p>
    <w:p w:rsidR="00F24798" w:rsidRPr="00DE0343" w:rsidRDefault="00F2091E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5. </w:t>
      </w:r>
      <w:r w:rsidR="00F24798" w:rsidRPr="00DE0343">
        <w:rPr>
          <w:szCs w:val="24"/>
        </w:rPr>
        <w:t>Relator: Ministro Aroldo Cedraz</w:t>
      </w:r>
      <w:r w:rsidR="00123E0F" w:rsidRPr="00DE0343">
        <w:rPr>
          <w:szCs w:val="24"/>
        </w:rPr>
        <w:t>.</w:t>
      </w:r>
    </w:p>
    <w:p w:rsidR="00F24798" w:rsidRPr="00DE0343" w:rsidRDefault="00F2091E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6. </w:t>
      </w:r>
      <w:r w:rsidR="00F24798" w:rsidRPr="00DE0343">
        <w:rPr>
          <w:szCs w:val="24"/>
        </w:rPr>
        <w:t>Representante do Ministério Público: não atuou</w:t>
      </w:r>
      <w:r w:rsidR="00123E0F" w:rsidRPr="00DE0343">
        <w:rPr>
          <w:szCs w:val="24"/>
        </w:rPr>
        <w:t>.</w:t>
      </w:r>
    </w:p>
    <w:p w:rsidR="00F24798" w:rsidRPr="00DE0343" w:rsidRDefault="00F2091E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7. </w:t>
      </w:r>
      <w:r w:rsidR="00F24798" w:rsidRPr="00DE0343">
        <w:rPr>
          <w:szCs w:val="24"/>
        </w:rPr>
        <w:t>Unidade Técnica: Secretaria de Fiscalização de Infraestrutura de Petróleo e Gás Natural (SeinfraPet</w:t>
      </w:r>
      <w:r w:rsidR="005E4440">
        <w:rPr>
          <w:szCs w:val="24"/>
        </w:rPr>
        <w:t>róleo</w:t>
      </w:r>
      <w:r w:rsidR="00F24798" w:rsidRPr="00DE0343">
        <w:rPr>
          <w:szCs w:val="24"/>
        </w:rPr>
        <w:t>)</w:t>
      </w:r>
      <w:r w:rsidR="00123E0F" w:rsidRPr="00DE0343">
        <w:rPr>
          <w:szCs w:val="24"/>
        </w:rPr>
        <w:t>.</w:t>
      </w:r>
    </w:p>
    <w:p w:rsidR="00F24798" w:rsidRPr="00DE0343" w:rsidRDefault="00F2091E" w:rsidP="00F2091E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8. </w:t>
      </w:r>
      <w:r w:rsidR="00F24798" w:rsidRPr="00DE0343">
        <w:rPr>
          <w:szCs w:val="24"/>
        </w:rPr>
        <w:t>Representação legal: não há</w:t>
      </w:r>
      <w:r w:rsidR="005E4440">
        <w:rPr>
          <w:szCs w:val="24"/>
        </w:rPr>
        <w:t>.</w:t>
      </w:r>
    </w:p>
    <w:p w:rsidR="00DE618B" w:rsidRDefault="00DE618B" w:rsidP="009F2172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</w:p>
    <w:p w:rsidR="005150A7" w:rsidRDefault="00F2091E" w:rsidP="009F2172">
      <w:pPr>
        <w:pStyle w:val="Normal1"/>
        <w:widowControl w:val="0"/>
        <w:tabs>
          <w:tab w:val="left" w:pos="284"/>
        </w:tabs>
        <w:autoSpaceDE w:val="0"/>
        <w:autoSpaceDN w:val="0"/>
        <w:jc w:val="both"/>
        <w:rPr>
          <w:szCs w:val="24"/>
        </w:rPr>
      </w:pPr>
      <w:r w:rsidRPr="00DE0343">
        <w:rPr>
          <w:szCs w:val="24"/>
        </w:rPr>
        <w:t xml:space="preserve">9. </w:t>
      </w:r>
      <w:r w:rsidR="00F24798" w:rsidRPr="00DE0343">
        <w:rPr>
          <w:szCs w:val="24"/>
        </w:rPr>
        <w:t>Acórdão:</w:t>
      </w:r>
    </w:p>
    <w:p w:rsidR="005E4440" w:rsidRDefault="005E4440" w:rsidP="00DE618B">
      <w:pPr>
        <w:pStyle w:val="TCU-Ac-item9-0"/>
      </w:pPr>
      <w:r>
        <w:t>VISTOS, relatados e discutidos estes autos de processo de desestatização</w:t>
      </w:r>
      <w:r w:rsidRPr="001F1F14">
        <w:t xml:space="preserve"> </w:t>
      </w:r>
      <w:r>
        <w:t xml:space="preserve">referente à Quarta </w:t>
      </w:r>
      <w:r w:rsidRPr="000F4A67">
        <w:t>Rodada de Licitações</w:t>
      </w:r>
      <w:r>
        <w:t xml:space="preserve"> no Regime de Partilha de Produção, com vistas à outorga de bloco para exploração e produção de petróleo e gás natural em áreas do pré-sal, realizada pela Agência Nacional do Petróleo, Gás Natural e Biocombustíveis (ANP);</w:t>
      </w:r>
    </w:p>
    <w:p w:rsidR="005E4440" w:rsidRDefault="005E4440" w:rsidP="00DE618B">
      <w:pPr>
        <w:pStyle w:val="TCU-Ac-item9-0"/>
      </w:pPr>
      <w:r>
        <w:t>ACORDAM os Ministros do Tribunal de Contas da União, reunidos em Sessão do Plenário, em:</w:t>
      </w:r>
    </w:p>
    <w:p w:rsidR="005E4440" w:rsidRDefault="005E4440" w:rsidP="00DE618B">
      <w:pPr>
        <w:pStyle w:val="TCU-Ac-item9-0"/>
      </w:pPr>
      <w:r>
        <w:t xml:space="preserve">9.1. </w:t>
      </w:r>
      <w:r w:rsidRPr="00492A1E">
        <w:t>com fundamento no art. 258, inciso II, do Regimento Interno do TCU</w:t>
      </w:r>
      <w:r>
        <w:t>, considerar que, sob o ponto de vista formal, foram atendidos os requisitos do segundo estágio da outorga previstos no art. 7º, inciso II, e no art. 8º, inciso II, da Instrução Normativa TCU 27/1998;</w:t>
      </w:r>
    </w:p>
    <w:p w:rsidR="005E4440" w:rsidRDefault="005E4440" w:rsidP="00DE618B">
      <w:pPr>
        <w:pStyle w:val="TCU-Ac-item9-0"/>
      </w:pPr>
      <w:r>
        <w:t xml:space="preserve">9.2. </w:t>
      </w:r>
      <w:r w:rsidRPr="008B5D5C">
        <w:rPr>
          <w:szCs w:val="24"/>
        </w:rPr>
        <w:t>encaminhar cópia desta deliberação</w:t>
      </w:r>
      <w:r>
        <w:rPr>
          <w:szCs w:val="24"/>
        </w:rPr>
        <w:t xml:space="preserve"> ao </w:t>
      </w:r>
      <w:r w:rsidRPr="00492A1E">
        <w:t>Conselho Nacional de Política Energética</w:t>
      </w:r>
      <w:r>
        <w:t>, ao Ministério de Minas e Energia e</w:t>
      </w:r>
      <w:r w:rsidRPr="00492A1E">
        <w:t xml:space="preserve"> </w:t>
      </w:r>
      <w:r>
        <w:rPr>
          <w:szCs w:val="24"/>
        </w:rPr>
        <w:t xml:space="preserve">à Agência Nacional do Petróleo, </w:t>
      </w:r>
      <w:r w:rsidRPr="001F1F14">
        <w:rPr>
          <w:szCs w:val="24"/>
        </w:rPr>
        <w:t xml:space="preserve">Gás Natural </w:t>
      </w:r>
      <w:r>
        <w:rPr>
          <w:szCs w:val="24"/>
        </w:rPr>
        <w:t>e Biocombustíveis;</w:t>
      </w:r>
    </w:p>
    <w:p w:rsidR="005E4440" w:rsidRDefault="005E4440" w:rsidP="00DE618B">
      <w:pPr>
        <w:pStyle w:val="TCU-Ac-item9-0"/>
        <w:rPr>
          <w:szCs w:val="24"/>
        </w:rPr>
      </w:pPr>
      <w:r>
        <w:rPr>
          <w:szCs w:val="24"/>
        </w:rPr>
        <w:t>9.3. r</w:t>
      </w:r>
      <w:r w:rsidRPr="008B5D5C">
        <w:rPr>
          <w:szCs w:val="24"/>
        </w:rPr>
        <w:t xml:space="preserve">estituir os autos à </w:t>
      </w:r>
      <w:r>
        <w:rPr>
          <w:szCs w:val="24"/>
        </w:rPr>
        <w:t>SeinfraPetróleo</w:t>
      </w:r>
      <w:r w:rsidRPr="008B5D5C">
        <w:rPr>
          <w:szCs w:val="24"/>
        </w:rPr>
        <w:t xml:space="preserve"> para </w:t>
      </w:r>
      <w:r>
        <w:rPr>
          <w:szCs w:val="24"/>
        </w:rPr>
        <w:t>dê seguimento ao exame de mérito do terceiro estágio de que trata o art. 7º, inciso IV, e o art. 8º, inciso IV, da Instrução Normativa TCU 27/1998.</w:t>
      </w:r>
    </w:p>
    <w:p w:rsidR="00DE618B" w:rsidRDefault="00DE618B" w:rsidP="00DE618B">
      <w:pPr>
        <w:pStyle w:val="TCU-Ac-item9-0"/>
      </w:pPr>
    </w:p>
    <w:p w:rsidR="00A64B75" w:rsidRDefault="00A64B75" w:rsidP="00A14B5A">
      <w:pPr>
        <w:pStyle w:val="Normal1"/>
        <w:jc w:val="both"/>
        <w:rPr>
          <w:color w:val="000000"/>
          <w:szCs w:val="24"/>
        </w:rPr>
      </w:pPr>
      <w:r>
        <w:rPr>
          <w:color w:val="000000"/>
          <w:szCs w:val="24"/>
        </w:rPr>
        <w:t>10. Ata n° 23/2018 – Plenário</w:t>
      </w:r>
      <w:r w:rsidR="00E964BF">
        <w:rPr>
          <w:color w:val="000000"/>
          <w:szCs w:val="24"/>
        </w:rPr>
        <w:t>.</w:t>
      </w:r>
    </w:p>
    <w:p w:rsidR="00A64B75" w:rsidRDefault="00A64B75" w:rsidP="00A14B5A">
      <w:pPr>
        <w:pStyle w:val="Normal1"/>
        <w:jc w:val="both"/>
        <w:rPr>
          <w:color w:val="000000"/>
          <w:szCs w:val="24"/>
        </w:rPr>
      </w:pPr>
      <w:r>
        <w:rPr>
          <w:color w:val="000000"/>
          <w:szCs w:val="24"/>
        </w:rPr>
        <w:t>11. Data da Sessão: 20/6/2018 – Ordinária</w:t>
      </w:r>
      <w:r w:rsidR="00E964BF">
        <w:rPr>
          <w:color w:val="000000"/>
          <w:szCs w:val="24"/>
        </w:rPr>
        <w:t>.</w:t>
      </w:r>
    </w:p>
    <w:p w:rsidR="00A64B75" w:rsidRDefault="00A64B75" w:rsidP="00A14B5A">
      <w:pPr>
        <w:pStyle w:val="Normal1"/>
        <w:jc w:val="both"/>
        <w:rPr>
          <w:color w:val="000000"/>
          <w:szCs w:val="24"/>
        </w:rPr>
      </w:pPr>
      <w:r>
        <w:rPr>
          <w:color w:val="000000"/>
          <w:szCs w:val="24"/>
        </w:rPr>
        <w:t>12. Código eletrônico para localização na página do TCU na Internet: AC-1386-23/18-P</w:t>
      </w:r>
      <w:r w:rsidR="00E964BF">
        <w:rPr>
          <w:color w:val="000000"/>
          <w:szCs w:val="24"/>
        </w:rPr>
        <w:t>.</w:t>
      </w:r>
    </w:p>
    <w:p w:rsidR="00A64B75" w:rsidRDefault="00A64B75" w:rsidP="00A14B5A">
      <w:pPr>
        <w:pStyle w:val="Normal1"/>
        <w:jc w:val="both"/>
        <w:rPr>
          <w:szCs w:val="24"/>
        </w:rPr>
      </w:pPr>
      <w:r>
        <w:rPr>
          <w:color w:val="000000"/>
          <w:szCs w:val="24"/>
        </w:rPr>
        <w:t>13. Especificação do quorum:</w:t>
      </w:r>
      <w:r w:rsidR="00E102DC">
        <w:rPr>
          <w:color w:val="000000"/>
          <w:szCs w:val="24"/>
        </w:rPr>
        <w:t xml:space="preserve"> </w:t>
      </w:r>
    </w:p>
    <w:p w:rsidR="00A64B75" w:rsidRDefault="00A64B75" w:rsidP="00A14B5A">
      <w:pPr>
        <w:pStyle w:val="Normal1"/>
        <w:jc w:val="both"/>
        <w:rPr>
          <w:szCs w:val="24"/>
        </w:rPr>
      </w:pPr>
      <w:r>
        <w:rPr>
          <w:szCs w:val="24"/>
        </w:rPr>
        <w:t>13.1. Ministros presentes: Raimundo Carreiro (Presidente), Walton Alencar Rodrigues, Aroldo Cedraz (Relator), José Múcio Monteiro e Bruno Dantas.</w:t>
      </w:r>
    </w:p>
    <w:p w:rsidR="00A64B75" w:rsidRDefault="00A64B75" w:rsidP="00A14B5A">
      <w:pPr>
        <w:pStyle w:val="Normal1"/>
        <w:jc w:val="both"/>
        <w:rPr>
          <w:szCs w:val="24"/>
        </w:rPr>
      </w:pPr>
      <w:r>
        <w:rPr>
          <w:szCs w:val="24"/>
        </w:rPr>
        <w:t>13.2. Ministros-Substitutos convocados: Marcos Bemquerer Costa e André Luís de Carvalho.</w:t>
      </w:r>
    </w:p>
    <w:p w:rsidR="00A64B75" w:rsidRDefault="00A64B75" w:rsidP="00A14B5A">
      <w:pPr>
        <w:pStyle w:val="Normal1"/>
        <w:jc w:val="both"/>
        <w:rPr>
          <w:color w:val="000000"/>
          <w:szCs w:val="24"/>
        </w:rPr>
      </w:pPr>
    </w:p>
    <w:p w:rsidR="008F477F" w:rsidRDefault="008F477F" w:rsidP="00A14B5A">
      <w:pPr>
        <w:pStyle w:val="Normal1"/>
        <w:jc w:val="both"/>
        <w:rPr>
          <w:color w:val="000000"/>
          <w:szCs w:val="2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8F477F">
        <w:trPr>
          <w:jc w:val="center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F" w:rsidRDefault="008F477F" w:rsidP="008F477F">
            <w:pPr>
              <w:pStyle w:val="Normal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(Assinado Eletronicamente)</w:t>
            </w:r>
          </w:p>
          <w:p w:rsidR="008F477F" w:rsidRDefault="008F477F" w:rsidP="00D32800">
            <w:pPr>
              <w:pStyle w:val="Normal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RAIMUNDO CARREIRO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F" w:rsidRDefault="008F477F" w:rsidP="008F477F">
            <w:pPr>
              <w:pStyle w:val="Normal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(Assinado Eletronicamente)</w:t>
            </w:r>
          </w:p>
          <w:p w:rsidR="008F477F" w:rsidRDefault="008F477F" w:rsidP="00D32800">
            <w:pPr>
              <w:pStyle w:val="Normal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AROLDO CEDRAZ</w:t>
            </w:r>
          </w:p>
        </w:tc>
      </w:tr>
      <w:tr w:rsidR="008F477F">
        <w:trPr>
          <w:jc w:val="center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F" w:rsidRDefault="008F477F" w:rsidP="00D32800">
            <w:pPr>
              <w:pStyle w:val="Normal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Presidente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F" w:rsidRDefault="008F477F" w:rsidP="00D32800">
            <w:pPr>
              <w:pStyle w:val="Normal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Relator</w:t>
            </w:r>
          </w:p>
        </w:tc>
      </w:tr>
    </w:tbl>
    <w:p w:rsidR="008F477F" w:rsidRDefault="008F477F" w:rsidP="008F477F">
      <w:pPr>
        <w:pStyle w:val="Normal1"/>
        <w:jc w:val="center"/>
        <w:rPr>
          <w:color w:val="000000"/>
          <w:szCs w:val="24"/>
        </w:rPr>
      </w:pPr>
    </w:p>
    <w:p w:rsidR="008F477F" w:rsidRDefault="008F477F" w:rsidP="008F477F">
      <w:pPr>
        <w:pStyle w:val="Normal1"/>
        <w:jc w:val="center"/>
        <w:rPr>
          <w:color w:val="000000"/>
          <w:szCs w:val="24"/>
        </w:rPr>
      </w:pPr>
      <w:r>
        <w:rPr>
          <w:color w:val="000000"/>
          <w:szCs w:val="24"/>
        </w:rPr>
        <w:t>Fui presente:</w:t>
      </w:r>
    </w:p>
    <w:p w:rsidR="008F477F" w:rsidRDefault="008F477F" w:rsidP="008F477F">
      <w:pPr>
        <w:pStyle w:val="Normal1"/>
        <w:jc w:val="center"/>
        <w:rPr>
          <w:color w:val="000000"/>
          <w:szCs w:val="24"/>
        </w:rPr>
      </w:pPr>
    </w:p>
    <w:p w:rsidR="008F477F" w:rsidRDefault="008F477F" w:rsidP="008F477F">
      <w:pPr>
        <w:pStyle w:val="Normal1"/>
        <w:jc w:val="center"/>
        <w:rPr>
          <w:color w:val="000000"/>
          <w:szCs w:val="24"/>
        </w:rPr>
      </w:pPr>
    </w:p>
    <w:p w:rsidR="008F477F" w:rsidRDefault="008F477F" w:rsidP="008F477F">
      <w:pPr>
        <w:pStyle w:val="Normal1"/>
        <w:jc w:val="center"/>
        <w:rPr>
          <w:color w:val="000000"/>
          <w:sz w:val="20"/>
        </w:rPr>
      </w:pPr>
      <w:r>
        <w:rPr>
          <w:color w:val="000000"/>
          <w:sz w:val="20"/>
        </w:rPr>
        <w:t>(Assinado Eletronicamente)</w:t>
      </w:r>
    </w:p>
    <w:p w:rsidR="008F477F" w:rsidRDefault="008F477F" w:rsidP="008F477F">
      <w:pPr>
        <w:pStyle w:val="Normal1"/>
        <w:jc w:val="center"/>
        <w:rPr>
          <w:color w:val="000000"/>
          <w:szCs w:val="24"/>
        </w:rPr>
      </w:pPr>
      <w:r>
        <w:rPr>
          <w:color w:val="000000"/>
          <w:szCs w:val="24"/>
        </w:rPr>
        <w:t>CRISTINA MACHADO DA COSTA E SILVA</w:t>
      </w:r>
    </w:p>
    <w:p w:rsidR="005E4440" w:rsidRDefault="008F477F" w:rsidP="00DE618B">
      <w:pPr>
        <w:pStyle w:val="Normal1"/>
        <w:jc w:val="center"/>
      </w:pPr>
      <w:r>
        <w:rPr>
          <w:color w:val="000000"/>
          <w:szCs w:val="24"/>
        </w:rPr>
        <w:t>Procuradora-Geral</w:t>
      </w:r>
    </w:p>
    <w:p w:rsidR="000946FF" w:rsidRPr="008659BF" w:rsidRDefault="000946FF" w:rsidP="00184BC7">
      <w:pPr>
        <w:pStyle w:val="TCU-Epgrafe"/>
        <w:ind w:left="1134"/>
      </w:pPr>
    </w:p>
    <w:sectPr w:rsidR="000946FF" w:rsidRPr="008659BF">
      <w:headerReference w:type="default" r:id="rId7"/>
      <w:footerReference w:type="default" r:id="rId8"/>
      <w:pgSz w:w="11906" w:h="16838" w:code="9"/>
      <w:pgMar w:top="1701" w:right="1134" w:bottom="1134" w:left="1701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D4" w:rsidRDefault="003230D4" w:rsidP="00ED5179">
      <w:r>
        <w:separator/>
      </w:r>
    </w:p>
  </w:endnote>
  <w:endnote w:type="continuationSeparator" w:id="0">
    <w:p w:rsidR="003230D4" w:rsidRDefault="003230D4" w:rsidP="00ED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E2" w:rsidRDefault="00C04BE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C47">
      <w:rPr>
        <w:noProof/>
      </w:rPr>
      <w:t>9</w:t>
    </w:r>
    <w:r>
      <w:fldChar w:fldCharType="end"/>
    </w:r>
  </w:p>
  <w:p w:rsidR="009C1CD2" w:rsidRDefault="009C1CD2" w:rsidP="00D702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D4" w:rsidRDefault="003230D4" w:rsidP="00ED5179">
      <w:r>
        <w:separator/>
      </w:r>
    </w:p>
  </w:footnote>
  <w:footnote w:type="continuationSeparator" w:id="0">
    <w:p w:rsidR="003230D4" w:rsidRDefault="003230D4" w:rsidP="00ED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06" w:rsidRDefault="003230D4" w:rsidP="00842D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-47625</wp:posOffset>
          </wp:positionV>
          <wp:extent cx="638175" cy="552450"/>
          <wp:effectExtent l="0" t="0" r="0" b="0"/>
          <wp:wrapThrough wrapText="bothSides">
            <wp:wrapPolygon edited="0">
              <wp:start x="0" y="0"/>
              <wp:lineTo x="0" y="20217"/>
              <wp:lineTo x="20279" y="20217"/>
              <wp:lineTo x="2027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D06" w:rsidRPr="00B41043" w:rsidRDefault="00803B22" w:rsidP="00803B22">
    <w:pPr>
      <w:pStyle w:val="Cabealho"/>
      <w:tabs>
        <w:tab w:val="clear" w:pos="8504"/>
        <w:tab w:val="right" w:pos="9071"/>
      </w:tabs>
      <w:rPr>
        <w:rFonts w:ascii="Times New (W1)" w:hAnsi="Times New (W1)"/>
        <w:sz w:val="22"/>
      </w:rPr>
    </w:pPr>
    <w:r>
      <w:t xml:space="preserve">                    </w:t>
    </w:r>
    <w:r w:rsidR="00842D06" w:rsidRPr="00E027B1">
      <w:rPr>
        <w:rFonts w:ascii="Arial Black" w:hAnsi="Arial Black"/>
        <w:b/>
        <w:sz w:val="18"/>
        <w:szCs w:val="18"/>
      </w:rPr>
      <w:t>TRIBUNAL DE CONTAS DA UNIÃO</w:t>
    </w:r>
    <w:r w:rsidR="00842D06" w:rsidRPr="00B41043">
      <w:rPr>
        <w:rFonts w:ascii="Times New (W1)" w:hAnsi="Times New (W1)"/>
        <w:b/>
        <w:sz w:val="22"/>
      </w:rPr>
      <w:tab/>
    </w:r>
    <w:r w:rsidR="00842D06" w:rsidRPr="00E027B1">
      <w:rPr>
        <w:rFonts w:ascii="Arial" w:hAnsi="Arial" w:cs="Arial"/>
        <w:sz w:val="18"/>
        <w:szCs w:val="18"/>
      </w:rPr>
      <w:t>TC 003.403/2018-1</w:t>
    </w:r>
  </w:p>
  <w:p w:rsidR="006006C2" w:rsidRPr="00842D06" w:rsidRDefault="006006C2" w:rsidP="00842D06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79"/>
    <w:rsid w:val="00070AA3"/>
    <w:rsid w:val="000830D2"/>
    <w:rsid w:val="000946FF"/>
    <w:rsid w:val="000F2444"/>
    <w:rsid w:val="000F4A67"/>
    <w:rsid w:val="00123E0F"/>
    <w:rsid w:val="0013773E"/>
    <w:rsid w:val="00147B48"/>
    <w:rsid w:val="00171D0C"/>
    <w:rsid w:val="00177D47"/>
    <w:rsid w:val="00184BC7"/>
    <w:rsid w:val="001A0F92"/>
    <w:rsid w:val="001A55BB"/>
    <w:rsid w:val="001D00C5"/>
    <w:rsid w:val="001D507B"/>
    <w:rsid w:val="001F1F14"/>
    <w:rsid w:val="001F4538"/>
    <w:rsid w:val="001F54E2"/>
    <w:rsid w:val="0020622A"/>
    <w:rsid w:val="00234034"/>
    <w:rsid w:val="00256B0C"/>
    <w:rsid w:val="00283FE2"/>
    <w:rsid w:val="00295550"/>
    <w:rsid w:val="002961A3"/>
    <w:rsid w:val="002E380E"/>
    <w:rsid w:val="003230D4"/>
    <w:rsid w:val="00327A3D"/>
    <w:rsid w:val="0033110C"/>
    <w:rsid w:val="00343B54"/>
    <w:rsid w:val="00344ECE"/>
    <w:rsid w:val="0039071C"/>
    <w:rsid w:val="003A77DF"/>
    <w:rsid w:val="003E35D7"/>
    <w:rsid w:val="003E3DBF"/>
    <w:rsid w:val="003F6210"/>
    <w:rsid w:val="00445CBC"/>
    <w:rsid w:val="00492A1E"/>
    <w:rsid w:val="004D7F05"/>
    <w:rsid w:val="005150A7"/>
    <w:rsid w:val="005264AF"/>
    <w:rsid w:val="00532988"/>
    <w:rsid w:val="00540BCC"/>
    <w:rsid w:val="00546706"/>
    <w:rsid w:val="005510CA"/>
    <w:rsid w:val="00566848"/>
    <w:rsid w:val="005A2E89"/>
    <w:rsid w:val="005E4440"/>
    <w:rsid w:val="006006C2"/>
    <w:rsid w:val="00602307"/>
    <w:rsid w:val="00667ECB"/>
    <w:rsid w:val="00671C17"/>
    <w:rsid w:val="006779C0"/>
    <w:rsid w:val="006E2D99"/>
    <w:rsid w:val="00703C89"/>
    <w:rsid w:val="007250BA"/>
    <w:rsid w:val="007404E0"/>
    <w:rsid w:val="007948FB"/>
    <w:rsid w:val="00803B22"/>
    <w:rsid w:val="008048F0"/>
    <w:rsid w:val="00842D06"/>
    <w:rsid w:val="0086590F"/>
    <w:rsid w:val="008659BF"/>
    <w:rsid w:val="008B5D5C"/>
    <w:rsid w:val="008D020E"/>
    <w:rsid w:val="008D43AA"/>
    <w:rsid w:val="008F0439"/>
    <w:rsid w:val="008F477F"/>
    <w:rsid w:val="00924297"/>
    <w:rsid w:val="00935B2B"/>
    <w:rsid w:val="009429CF"/>
    <w:rsid w:val="0095776C"/>
    <w:rsid w:val="00977620"/>
    <w:rsid w:val="00991087"/>
    <w:rsid w:val="009A195A"/>
    <w:rsid w:val="009B0538"/>
    <w:rsid w:val="009C1CD2"/>
    <w:rsid w:val="009E41D1"/>
    <w:rsid w:val="009F2172"/>
    <w:rsid w:val="009F787D"/>
    <w:rsid w:val="00A14B5A"/>
    <w:rsid w:val="00A205EC"/>
    <w:rsid w:val="00A513B2"/>
    <w:rsid w:val="00A64B75"/>
    <w:rsid w:val="00A9242D"/>
    <w:rsid w:val="00AA4BD9"/>
    <w:rsid w:val="00AB2D19"/>
    <w:rsid w:val="00AB7BF8"/>
    <w:rsid w:val="00AD3C90"/>
    <w:rsid w:val="00B3337E"/>
    <w:rsid w:val="00B41043"/>
    <w:rsid w:val="00B533CD"/>
    <w:rsid w:val="00B75BB3"/>
    <w:rsid w:val="00BD55F7"/>
    <w:rsid w:val="00BE719D"/>
    <w:rsid w:val="00BF2730"/>
    <w:rsid w:val="00BF581A"/>
    <w:rsid w:val="00C013E3"/>
    <w:rsid w:val="00C04BE2"/>
    <w:rsid w:val="00C16C8D"/>
    <w:rsid w:val="00C237DD"/>
    <w:rsid w:val="00C23E2C"/>
    <w:rsid w:val="00C35594"/>
    <w:rsid w:val="00C454F4"/>
    <w:rsid w:val="00C72771"/>
    <w:rsid w:val="00C92822"/>
    <w:rsid w:val="00C96FBD"/>
    <w:rsid w:val="00CA53F1"/>
    <w:rsid w:val="00CD5906"/>
    <w:rsid w:val="00CE382D"/>
    <w:rsid w:val="00CE48A6"/>
    <w:rsid w:val="00CF6E4C"/>
    <w:rsid w:val="00D1244C"/>
    <w:rsid w:val="00D31C0A"/>
    <w:rsid w:val="00D32800"/>
    <w:rsid w:val="00D40D88"/>
    <w:rsid w:val="00D501DA"/>
    <w:rsid w:val="00D66B84"/>
    <w:rsid w:val="00D702D9"/>
    <w:rsid w:val="00D75CE4"/>
    <w:rsid w:val="00DC4B60"/>
    <w:rsid w:val="00DD065C"/>
    <w:rsid w:val="00DD5873"/>
    <w:rsid w:val="00DE0343"/>
    <w:rsid w:val="00DE509C"/>
    <w:rsid w:val="00DE618B"/>
    <w:rsid w:val="00DF69E6"/>
    <w:rsid w:val="00E027B1"/>
    <w:rsid w:val="00E03E24"/>
    <w:rsid w:val="00E102DC"/>
    <w:rsid w:val="00E55A1D"/>
    <w:rsid w:val="00E92486"/>
    <w:rsid w:val="00E93506"/>
    <w:rsid w:val="00E964BF"/>
    <w:rsid w:val="00EA61D7"/>
    <w:rsid w:val="00EB4072"/>
    <w:rsid w:val="00EB4D72"/>
    <w:rsid w:val="00EC0C47"/>
    <w:rsid w:val="00EC3F30"/>
    <w:rsid w:val="00ED5179"/>
    <w:rsid w:val="00EE4B72"/>
    <w:rsid w:val="00EF3978"/>
    <w:rsid w:val="00F0239A"/>
    <w:rsid w:val="00F2091E"/>
    <w:rsid w:val="00F24798"/>
    <w:rsid w:val="00F26DD0"/>
    <w:rsid w:val="00F41BF6"/>
    <w:rsid w:val="00F5286C"/>
    <w:rsid w:val="00F567DF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ECD5405-F02C-4225-8FB1-247F121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3E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F2730"/>
    <w:pPr>
      <w:keepNext/>
      <w:keepLines/>
      <w:outlineLvl w:val="0"/>
    </w:pPr>
    <w:rPr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84BC7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84BC7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84BC7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F273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184BC7"/>
    <w:rPr>
      <w:rFonts w:ascii="Cambria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84BC7"/>
    <w:rPr>
      <w:rFonts w:ascii="Cambria" w:hAnsi="Cambria" w:cs="Times New Roman"/>
      <w:color w:val="243F6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184BC7"/>
    <w:rPr>
      <w:rFonts w:ascii="Cambria" w:hAnsi="Cambria" w:cs="Times New Roman"/>
      <w:color w:val="272727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ED51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517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D51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D5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1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D5179"/>
    <w:rPr>
      <w:rFonts w:ascii="Tahoma" w:hAnsi="Tahoma" w:cs="Tahoma"/>
      <w:sz w:val="16"/>
      <w:szCs w:val="16"/>
    </w:rPr>
  </w:style>
  <w:style w:type="paragraph" w:customStyle="1" w:styleId="TCU-Epgrafe">
    <w:name w:val="TCU - Epígrafe"/>
    <w:basedOn w:val="Normal"/>
    <w:rsid w:val="00BF2730"/>
    <w:pPr>
      <w:ind w:left="2835"/>
      <w:jc w:val="both"/>
    </w:pPr>
    <w:rPr>
      <w:szCs w:val="20"/>
      <w:lang w:eastAsia="pt-BR"/>
    </w:rPr>
  </w:style>
  <w:style w:type="paragraph" w:styleId="SemEspaamento">
    <w:name w:val="No Spacing"/>
    <w:uiPriority w:val="1"/>
    <w:qFormat/>
    <w:rsid w:val="00BF2730"/>
    <w:pPr>
      <w:spacing w:after="0" w:line="240" w:lineRule="auto"/>
    </w:pPr>
    <w:rPr>
      <w:rFonts w:cs="Times New Roman"/>
      <w:sz w:val="24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BF2730"/>
    <w:pPr>
      <w:pBdr>
        <w:bottom w:val="single" w:sz="8" w:space="4" w:color="4F81BD"/>
      </w:pBdr>
      <w:contextualSpacing/>
    </w:pPr>
    <w:rPr>
      <w:color w:val="17365D"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sid w:val="00BF273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730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F273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TCU-Centralizado">
    <w:name w:val="TCU - Centralizado"/>
    <w:basedOn w:val="Normal"/>
    <w:qFormat/>
    <w:rsid w:val="009E41D1"/>
    <w:pPr>
      <w:jc w:val="center"/>
    </w:pPr>
    <w:rPr>
      <w:szCs w:val="24"/>
    </w:rPr>
  </w:style>
  <w:style w:type="paragraph" w:customStyle="1" w:styleId="TCU-RelVoto-1">
    <w:name w:val="TCU - Rel/Voto - 1º §"/>
    <w:basedOn w:val="Normal"/>
    <w:qFormat/>
    <w:rsid w:val="009E41D1"/>
    <w:pPr>
      <w:spacing w:after="160"/>
      <w:ind w:firstLine="1134"/>
      <w:jc w:val="both"/>
    </w:pPr>
  </w:style>
  <w:style w:type="paragraph" w:customStyle="1" w:styleId="TCU-Ac-item9-">
    <w:name w:val="TCU - Ac - item 9 - §§"/>
    <w:basedOn w:val="TCU-RelVoto-1"/>
    <w:qFormat/>
    <w:rsid w:val="009E41D1"/>
    <w:pPr>
      <w:spacing w:after="0"/>
    </w:pPr>
  </w:style>
  <w:style w:type="paragraph" w:customStyle="1" w:styleId="TCU-RelVoto-demais">
    <w:name w:val="TCU - Rel/Voto - demais §§"/>
    <w:basedOn w:val="Normal"/>
    <w:qFormat/>
    <w:rsid w:val="009E41D1"/>
    <w:pPr>
      <w:tabs>
        <w:tab w:val="left" w:pos="1134"/>
      </w:tabs>
      <w:spacing w:after="160"/>
      <w:jc w:val="both"/>
    </w:pPr>
  </w:style>
  <w:style w:type="paragraph" w:customStyle="1" w:styleId="TCU-Ac-itens1a8">
    <w:name w:val="TCU -   Ac - itens 1 a 8"/>
    <w:basedOn w:val="TCU-RelVoto-demais"/>
    <w:qFormat/>
    <w:rsid w:val="009E41D1"/>
    <w:pPr>
      <w:spacing w:after="0"/>
    </w:pPr>
  </w:style>
  <w:style w:type="paragraph" w:customStyle="1" w:styleId="TCU-Sumrio">
    <w:name w:val="TCU - Sumário"/>
    <w:basedOn w:val="Normal"/>
    <w:qFormat/>
    <w:rsid w:val="009E41D1"/>
    <w:pPr>
      <w:ind w:left="5103"/>
      <w:jc w:val="both"/>
    </w:pPr>
    <w:rPr>
      <w:b/>
    </w:rPr>
  </w:style>
  <w:style w:type="paragraph" w:customStyle="1" w:styleId="TCU-Transcrio">
    <w:name w:val="TCU - Transcrição"/>
    <w:basedOn w:val="Normal"/>
    <w:qFormat/>
    <w:rsid w:val="009E41D1"/>
    <w:pPr>
      <w:spacing w:after="120"/>
      <w:ind w:left="284" w:firstLine="567"/>
      <w:jc w:val="both"/>
    </w:pPr>
    <w:rPr>
      <w:i/>
    </w:rPr>
  </w:style>
  <w:style w:type="paragraph" w:customStyle="1" w:styleId="TCU-Ac-item9-1Linha">
    <w:name w:val="TCU -  Ac - item 9 - 1ª Linha"/>
    <w:basedOn w:val="TCU-RelVoto-demais"/>
    <w:qFormat/>
    <w:rsid w:val="0013773E"/>
  </w:style>
  <w:style w:type="character" w:styleId="Refdecomentrio">
    <w:name w:val="annotation reference"/>
    <w:basedOn w:val="Fontepargpadro"/>
    <w:uiPriority w:val="99"/>
    <w:unhideWhenUsed/>
    <w:rsid w:val="00184BC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4BC7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184BC7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Header0">
    <w:name w:val="Header_0"/>
    <w:basedOn w:val="Normal0"/>
    <w:link w:val="CabealhoChar0"/>
    <w:uiPriority w:val="99"/>
    <w:unhideWhenUsed/>
    <w:rsid w:val="00ED5179"/>
    <w:pPr>
      <w:tabs>
        <w:tab w:val="center" w:pos="4252"/>
        <w:tab w:val="right" w:pos="8504"/>
      </w:tabs>
    </w:pPr>
  </w:style>
  <w:style w:type="paragraph" w:customStyle="1" w:styleId="Normal0">
    <w:name w:val="Normal_0"/>
    <w:qFormat/>
    <w:rsid w:val="009E4455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character" w:customStyle="1" w:styleId="CabealhoChar0">
    <w:name w:val="Cabeçalho Char_0"/>
    <w:basedOn w:val="Fontepargpadro"/>
    <w:link w:val="Header0"/>
    <w:uiPriority w:val="99"/>
    <w:locked/>
    <w:rsid w:val="00ED5179"/>
    <w:rPr>
      <w:rFonts w:cs="Times New Roman"/>
    </w:rPr>
  </w:style>
  <w:style w:type="paragraph" w:customStyle="1" w:styleId="Footer0">
    <w:name w:val="Footer_0"/>
    <w:basedOn w:val="Normal0"/>
    <w:link w:val="RodapChar0"/>
    <w:uiPriority w:val="99"/>
    <w:unhideWhenUsed/>
    <w:rsid w:val="00ED5179"/>
    <w:pPr>
      <w:tabs>
        <w:tab w:val="center" w:pos="4252"/>
        <w:tab w:val="right" w:pos="8504"/>
      </w:tabs>
    </w:pPr>
  </w:style>
  <w:style w:type="character" w:customStyle="1" w:styleId="RodapChar0">
    <w:name w:val="Rodapé Char_0"/>
    <w:basedOn w:val="Fontepargpadro"/>
    <w:link w:val="Footer0"/>
    <w:uiPriority w:val="99"/>
    <w:locked/>
    <w:rsid w:val="00ED5179"/>
    <w:rPr>
      <w:rFonts w:cs="Times New Roman"/>
    </w:rPr>
  </w:style>
  <w:style w:type="paragraph" w:customStyle="1" w:styleId="TCU-Epgrafe0">
    <w:name w:val="TCU - Epígrafe_0"/>
    <w:basedOn w:val="Normal0"/>
    <w:rsid w:val="00365409"/>
    <w:pPr>
      <w:ind w:left="2835"/>
      <w:jc w:val="both"/>
    </w:pPr>
    <w:rPr>
      <w:szCs w:val="20"/>
      <w:lang w:eastAsia="pt-BR"/>
    </w:rPr>
  </w:style>
  <w:style w:type="paragraph" w:styleId="Corpodetexto">
    <w:name w:val="Body Text"/>
    <w:basedOn w:val="Normal0"/>
    <w:link w:val="CorpodetextoChar"/>
    <w:uiPriority w:val="99"/>
    <w:semiHidden/>
    <w:rsid w:val="001F54E2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F54E2"/>
    <w:rPr>
      <w:rFonts w:ascii="Times New Roman" w:hAnsi="Times New Roman" w:cs="Times New Roman"/>
      <w:sz w:val="20"/>
      <w:szCs w:val="20"/>
      <w:lang w:val="x-none" w:eastAsia="pt-BR"/>
    </w:rPr>
  </w:style>
  <w:style w:type="paragraph" w:customStyle="1" w:styleId="Header1">
    <w:name w:val="Header_1"/>
    <w:basedOn w:val="Normal1"/>
    <w:link w:val="CabealhoChar1"/>
    <w:uiPriority w:val="99"/>
    <w:unhideWhenUsed/>
    <w:rsid w:val="00ED5179"/>
    <w:pPr>
      <w:tabs>
        <w:tab w:val="center" w:pos="4252"/>
        <w:tab w:val="right" w:pos="8504"/>
      </w:tabs>
    </w:pPr>
  </w:style>
  <w:style w:type="paragraph" w:customStyle="1" w:styleId="Normal1">
    <w:name w:val="Normal_1"/>
    <w:qFormat/>
    <w:rsid w:val="006C36C4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character" w:customStyle="1" w:styleId="CabealhoChar1">
    <w:name w:val="Cabeçalho Char_1"/>
    <w:basedOn w:val="Fontepargpadro"/>
    <w:link w:val="Header1"/>
    <w:uiPriority w:val="99"/>
    <w:locked/>
    <w:rsid w:val="00ED5179"/>
    <w:rPr>
      <w:rFonts w:cs="Times New Roman"/>
    </w:rPr>
  </w:style>
  <w:style w:type="paragraph" w:customStyle="1" w:styleId="Footer1">
    <w:name w:val="Footer_1"/>
    <w:basedOn w:val="Normal1"/>
    <w:link w:val="RodapChar1"/>
    <w:uiPriority w:val="99"/>
    <w:unhideWhenUsed/>
    <w:rsid w:val="00ED5179"/>
    <w:pPr>
      <w:tabs>
        <w:tab w:val="center" w:pos="4252"/>
        <w:tab w:val="right" w:pos="8504"/>
      </w:tabs>
    </w:pPr>
  </w:style>
  <w:style w:type="character" w:customStyle="1" w:styleId="RodapChar1">
    <w:name w:val="Rodapé Char_1"/>
    <w:basedOn w:val="Fontepargpadro"/>
    <w:link w:val="Footer1"/>
    <w:uiPriority w:val="99"/>
    <w:locked/>
    <w:rsid w:val="00ED5179"/>
    <w:rPr>
      <w:rFonts w:cs="Times New Roman"/>
    </w:rPr>
  </w:style>
  <w:style w:type="paragraph" w:customStyle="1" w:styleId="TCU-Epgrafe1">
    <w:name w:val="TCU - Epígrafe_1"/>
    <w:basedOn w:val="Normal1"/>
    <w:rsid w:val="00D47D13"/>
    <w:pPr>
      <w:ind w:left="2835"/>
      <w:jc w:val="both"/>
    </w:pPr>
    <w:rPr>
      <w:szCs w:val="20"/>
      <w:lang w:eastAsia="pt-BR"/>
    </w:rPr>
  </w:style>
  <w:style w:type="paragraph" w:customStyle="1" w:styleId="TCU-Ac-item9-0">
    <w:name w:val="TCU - Ac - item 9 - §§_0"/>
    <w:basedOn w:val="TCU-RelVoto-10"/>
    <w:qFormat/>
    <w:rsid w:val="00D466AB"/>
    <w:pPr>
      <w:spacing w:after="0"/>
    </w:pPr>
  </w:style>
  <w:style w:type="paragraph" w:customStyle="1" w:styleId="TCU-RelVoto-10">
    <w:name w:val="TCU - Rel/Voto - 1º §_0"/>
    <w:basedOn w:val="Normal1"/>
    <w:qFormat/>
    <w:rsid w:val="00D466AB"/>
    <w:pPr>
      <w:spacing w:after="160"/>
      <w:ind w:firstLine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E6CE-E6E1-4CFC-931C-A3352DC7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3582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22884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PAIVA DE CASTILHO CARNEIRO</dc:creator>
  <cp:keywords/>
  <dc:description/>
  <cp:lastModifiedBy>MARCELO PAIVA DE CASTILHO CARNEIRO</cp:lastModifiedBy>
  <cp:revision>2</cp:revision>
  <dcterms:created xsi:type="dcterms:W3CDTF">2018-06-27T20:24:00Z</dcterms:created>
  <dcterms:modified xsi:type="dcterms:W3CDTF">2018-06-27T20:24:00Z</dcterms:modified>
</cp:coreProperties>
</file>